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3EB8D">
      <w:pPr>
        <w:spacing w:line="464" w:lineRule="auto"/>
        <w:rPr>
          <w:rFonts w:ascii="Arial"/>
          <w:sz w:val="21"/>
        </w:rPr>
      </w:pPr>
    </w:p>
    <w:sdt>
      <w:sdtPr>
        <w:rPr>
          <w:rFonts w:ascii="宋体" w:hAnsi="宋体" w:eastAsia="宋体" w:cs="宋体"/>
          <w:sz w:val="24"/>
          <w:szCs w:val="24"/>
        </w:rPr>
        <w:id w:val="1"/>
        <w:docPartObj>
          <w:docPartGallery w:val="Table of Contents"/>
          <w:docPartUnique/>
        </w:docPartObj>
      </w:sdtPr>
      <w:sdtEndPr>
        <w:rPr>
          <w:rFonts w:ascii="Times New Roman" w:hAnsi="Times New Roman" w:eastAsia="Times New Roman" w:cs="Times New Roman"/>
          <w:sz w:val="24"/>
          <w:szCs w:val="24"/>
        </w:rPr>
      </w:sdtEndPr>
      <w:sdtContent>
        <w:p w14:paraId="4162F964">
          <w:pPr>
            <w:pStyle w:val="2"/>
            <w:spacing w:before="78" w:line="221" w:lineRule="auto"/>
            <w:ind w:left="4167"/>
          </w:pPr>
          <w:bookmarkStart w:id="0" w:name="bookmark1"/>
          <w:bookmarkEnd w:id="0"/>
          <w:r>
            <w:rPr>
              <w:b/>
              <w:bCs/>
              <w:spacing w:val="-31"/>
            </w:rPr>
            <w:t>目</w:t>
          </w:r>
          <w:r>
            <w:rPr>
              <w:spacing w:val="11"/>
            </w:rPr>
            <w:t xml:space="preserve"> </w:t>
          </w:r>
          <w:r>
            <w:rPr>
              <w:b/>
              <w:bCs/>
              <w:spacing w:val="-31"/>
            </w:rPr>
            <w:t>录</w:t>
          </w:r>
        </w:p>
        <w:p w14:paraId="629165D8">
          <w:pPr>
            <w:pStyle w:val="2"/>
            <w:tabs>
              <w:tab w:val="right" w:leader="dot" w:pos="8835"/>
            </w:tabs>
            <w:spacing w:before="177" w:line="185" w:lineRule="auto"/>
            <w:ind w:left="4"/>
            <w:rPr>
              <w:rFonts w:ascii="Times New Roman" w:hAnsi="Times New Roman" w:eastAsia="Times New Roman" w:cs="Times New Roman"/>
            </w:rPr>
          </w:pPr>
          <w:bookmarkStart w:id="1" w:name="bookmark1"/>
          <w:bookmarkEnd w:id="1"/>
          <w:r>
            <w:fldChar w:fldCharType="begin"/>
          </w:r>
          <w:r>
            <w:instrText xml:space="preserve"> HYPERLINK \l "bookmark2" </w:instrText>
          </w:r>
          <w:r>
            <w:fldChar w:fldCharType="separate"/>
          </w:r>
          <w:r>
            <w:rPr>
              <w:spacing w:val="-17"/>
            </w:rPr>
            <w:t>前</w:t>
          </w:r>
          <w:r>
            <w:rPr>
              <w:spacing w:val="19"/>
            </w:rPr>
            <w:t xml:space="preserve"> </w:t>
          </w:r>
          <w:r>
            <w:rPr>
              <w:spacing w:val="-17"/>
            </w:rPr>
            <w:t>言</w:t>
          </w:r>
          <w:r>
            <w:tab/>
          </w:r>
          <w:r>
            <w:rPr>
              <w:spacing w:val="-37"/>
            </w:rPr>
            <w:t xml:space="preserve"> </w:t>
          </w:r>
          <w:r>
            <w:rPr>
              <w:rFonts w:ascii="Times New Roman" w:hAnsi="Times New Roman" w:eastAsia="Times New Roman" w:cs="Times New Roman"/>
              <w:spacing w:val="-29"/>
            </w:rPr>
            <w:t>1</w:t>
          </w:r>
          <w:r>
            <w:rPr>
              <w:rFonts w:ascii="Times New Roman" w:hAnsi="Times New Roman" w:eastAsia="Times New Roman" w:cs="Times New Roman"/>
              <w:spacing w:val="-29"/>
            </w:rPr>
            <w:fldChar w:fldCharType="end"/>
          </w:r>
        </w:p>
        <w:p w14:paraId="7F2F1A32">
          <w:pPr>
            <w:pStyle w:val="2"/>
            <w:tabs>
              <w:tab w:val="right" w:leader="dot" w:pos="8835"/>
            </w:tabs>
            <w:spacing w:before="227" w:line="185" w:lineRule="auto"/>
            <w:ind w:left="4"/>
            <w:rPr>
              <w:rFonts w:ascii="Times New Roman" w:hAnsi="Times New Roman" w:eastAsia="Times New Roman" w:cs="Times New Roman"/>
            </w:rPr>
          </w:pPr>
          <w:bookmarkStart w:id="2" w:name="bookmark3"/>
          <w:bookmarkEnd w:id="2"/>
          <w:r>
            <w:fldChar w:fldCharType="begin"/>
          </w:r>
          <w:r>
            <w:instrText xml:space="preserve"> HYPERLINK \l "bookmark4" </w:instrText>
          </w:r>
          <w:r>
            <w:fldChar w:fldCharType="separate"/>
          </w:r>
          <w:r>
            <w:rPr>
              <w:spacing w:val="-2"/>
            </w:rPr>
            <w:t>一、建设项目基本情况</w:t>
          </w:r>
          <w:r>
            <w:tab/>
          </w:r>
          <w:r>
            <w:rPr>
              <w:spacing w:val="-55"/>
            </w:rPr>
            <w:t xml:space="preserve"> </w:t>
          </w:r>
          <w:r>
            <w:rPr>
              <w:rFonts w:ascii="Times New Roman" w:hAnsi="Times New Roman" w:eastAsia="Times New Roman" w:cs="Times New Roman"/>
              <w:spacing w:val="-10"/>
            </w:rPr>
            <w:t>3</w:t>
          </w:r>
          <w:r>
            <w:rPr>
              <w:rFonts w:ascii="Times New Roman" w:hAnsi="Times New Roman" w:eastAsia="Times New Roman" w:cs="Times New Roman"/>
              <w:spacing w:val="-10"/>
            </w:rPr>
            <w:fldChar w:fldCharType="end"/>
          </w:r>
        </w:p>
        <w:p w14:paraId="3942ACE3">
          <w:pPr>
            <w:pStyle w:val="2"/>
            <w:tabs>
              <w:tab w:val="right" w:leader="dot" w:pos="8835"/>
            </w:tabs>
            <w:spacing w:before="225" w:line="185" w:lineRule="auto"/>
            <w:ind w:left="4"/>
            <w:rPr>
              <w:rFonts w:ascii="Times New Roman" w:hAnsi="Times New Roman" w:eastAsia="Times New Roman" w:cs="Times New Roman"/>
            </w:rPr>
          </w:pPr>
          <w:bookmarkStart w:id="3" w:name="bookmark5"/>
          <w:bookmarkEnd w:id="3"/>
          <w:r>
            <w:fldChar w:fldCharType="begin"/>
          </w:r>
          <w:r>
            <w:instrText xml:space="preserve"> HYPERLINK \l "bookmark6" </w:instrText>
          </w:r>
          <w:r>
            <w:fldChar w:fldCharType="separate"/>
          </w:r>
          <w:r>
            <w:rPr>
              <w:spacing w:val="-3"/>
            </w:rPr>
            <w:t>二、建设内容</w:t>
          </w:r>
          <w:r>
            <w:tab/>
          </w:r>
          <w:r>
            <w:rPr>
              <w:spacing w:val="-61"/>
            </w:rPr>
            <w:t xml:space="preserve"> </w:t>
          </w:r>
          <w:r>
            <w:rPr>
              <w:rFonts w:ascii="Times New Roman" w:hAnsi="Times New Roman" w:eastAsia="Times New Roman" w:cs="Times New Roman"/>
              <w:spacing w:val="-2"/>
            </w:rPr>
            <w:t>43</w:t>
          </w:r>
          <w:r>
            <w:rPr>
              <w:rFonts w:ascii="Times New Roman" w:hAnsi="Times New Roman" w:eastAsia="Times New Roman" w:cs="Times New Roman"/>
              <w:spacing w:val="-2"/>
            </w:rPr>
            <w:fldChar w:fldCharType="end"/>
          </w:r>
        </w:p>
        <w:p w14:paraId="15C5C48B">
          <w:pPr>
            <w:pStyle w:val="2"/>
            <w:tabs>
              <w:tab w:val="right" w:leader="dot" w:pos="8835"/>
            </w:tabs>
            <w:spacing w:before="228" w:line="185" w:lineRule="auto"/>
            <w:rPr>
              <w:rFonts w:ascii="Times New Roman" w:hAnsi="Times New Roman" w:eastAsia="Times New Roman" w:cs="Times New Roman"/>
            </w:rPr>
          </w:pPr>
          <w:bookmarkStart w:id="4" w:name="bookmark7"/>
          <w:bookmarkEnd w:id="4"/>
          <w:r>
            <w:fldChar w:fldCharType="begin"/>
          </w:r>
          <w:r>
            <w:instrText xml:space="preserve"> HYPERLINK \l "bookmark8" </w:instrText>
          </w:r>
          <w:r>
            <w:fldChar w:fldCharType="separate"/>
          </w:r>
          <w:r>
            <w:rPr>
              <w:spacing w:val="-1"/>
            </w:rPr>
            <w:t>三、生态环境现状、保护目标及评价标准</w:t>
          </w:r>
          <w:r>
            <w:tab/>
          </w:r>
          <w:r>
            <w:rPr>
              <w:spacing w:val="-56"/>
            </w:rPr>
            <w:t xml:space="preserve"> </w:t>
          </w:r>
          <w:r>
            <w:rPr>
              <w:rFonts w:ascii="Times New Roman" w:hAnsi="Times New Roman" w:eastAsia="Times New Roman" w:cs="Times New Roman"/>
              <w:spacing w:val="-5"/>
            </w:rPr>
            <w:t>76</w:t>
          </w:r>
          <w:r>
            <w:rPr>
              <w:rFonts w:ascii="Times New Roman" w:hAnsi="Times New Roman" w:eastAsia="Times New Roman" w:cs="Times New Roman"/>
              <w:spacing w:val="-5"/>
            </w:rPr>
            <w:fldChar w:fldCharType="end"/>
          </w:r>
        </w:p>
        <w:p w14:paraId="7E59C190">
          <w:pPr>
            <w:pStyle w:val="2"/>
            <w:tabs>
              <w:tab w:val="right" w:leader="dot" w:pos="8835"/>
            </w:tabs>
            <w:spacing w:before="227" w:line="185" w:lineRule="auto"/>
            <w:ind w:left="23"/>
            <w:rPr>
              <w:rFonts w:ascii="Times New Roman" w:hAnsi="Times New Roman" w:eastAsia="Times New Roman" w:cs="Times New Roman"/>
            </w:rPr>
          </w:pPr>
          <w:bookmarkStart w:id="5" w:name="bookmark9"/>
          <w:bookmarkEnd w:id="5"/>
          <w:r>
            <w:fldChar w:fldCharType="begin"/>
          </w:r>
          <w:r>
            <w:instrText xml:space="preserve"> HYPERLINK \l "bookmark10" </w:instrText>
          </w:r>
          <w:r>
            <w:fldChar w:fldCharType="separate"/>
          </w:r>
          <w:r>
            <w:rPr>
              <w:spacing w:val="-4"/>
            </w:rPr>
            <w:t>四、生态环境影响分析</w:t>
          </w:r>
          <w:r>
            <w:tab/>
          </w:r>
          <w:r>
            <w:rPr>
              <w:spacing w:val="-36"/>
            </w:rPr>
            <w:t xml:space="preserve"> </w:t>
          </w:r>
          <w:r>
            <w:rPr>
              <w:rFonts w:ascii="Times New Roman" w:hAnsi="Times New Roman" w:eastAsia="Times New Roman" w:cs="Times New Roman"/>
              <w:spacing w:val="-10"/>
            </w:rPr>
            <w:t>101</w:t>
          </w:r>
          <w:r>
            <w:rPr>
              <w:rFonts w:ascii="Times New Roman" w:hAnsi="Times New Roman" w:eastAsia="Times New Roman" w:cs="Times New Roman"/>
              <w:spacing w:val="-10"/>
            </w:rPr>
            <w:fldChar w:fldCharType="end"/>
          </w:r>
        </w:p>
        <w:p w14:paraId="511A4465">
          <w:pPr>
            <w:pStyle w:val="2"/>
            <w:tabs>
              <w:tab w:val="right" w:leader="dot" w:pos="8835"/>
            </w:tabs>
            <w:spacing w:before="225" w:line="185" w:lineRule="auto"/>
            <w:ind w:left="4"/>
            <w:rPr>
              <w:rFonts w:ascii="Times New Roman" w:hAnsi="Times New Roman" w:eastAsia="Times New Roman" w:cs="Times New Roman"/>
            </w:rPr>
          </w:pPr>
          <w:bookmarkStart w:id="6" w:name="bookmark11"/>
          <w:bookmarkEnd w:id="6"/>
          <w:r>
            <w:fldChar w:fldCharType="begin"/>
          </w:r>
          <w:r>
            <w:instrText xml:space="preserve"> HYPERLINK \l "bookmark12" </w:instrText>
          </w:r>
          <w:r>
            <w:fldChar w:fldCharType="separate"/>
          </w:r>
          <w:r>
            <w:rPr>
              <w:spacing w:val="-2"/>
            </w:rPr>
            <w:t>五、主要生态环境保护措施</w:t>
          </w:r>
          <w:r>
            <w:tab/>
          </w:r>
          <w:r>
            <w:rPr>
              <w:spacing w:val="-36"/>
            </w:rPr>
            <w:t xml:space="preserve"> </w:t>
          </w:r>
          <w:r>
            <w:rPr>
              <w:rFonts w:ascii="Times New Roman" w:hAnsi="Times New Roman" w:eastAsia="Times New Roman" w:cs="Times New Roman"/>
              <w:spacing w:val="-11"/>
            </w:rPr>
            <w:t>1</w:t>
          </w:r>
          <w:r>
            <w:rPr>
              <w:rFonts w:ascii="Times New Roman" w:hAnsi="Times New Roman" w:eastAsia="Times New Roman" w:cs="Times New Roman"/>
              <w:spacing w:val="-10"/>
            </w:rPr>
            <w:t>5</w:t>
          </w:r>
          <w:r>
            <w:rPr>
              <w:rFonts w:ascii="Times New Roman" w:hAnsi="Times New Roman" w:eastAsia="Times New Roman" w:cs="Times New Roman"/>
              <w:spacing w:val="-9"/>
            </w:rPr>
            <w:t>0</w:t>
          </w:r>
          <w:r>
            <w:rPr>
              <w:rFonts w:ascii="Times New Roman" w:hAnsi="Times New Roman" w:eastAsia="Times New Roman" w:cs="Times New Roman"/>
              <w:spacing w:val="-9"/>
            </w:rPr>
            <w:fldChar w:fldCharType="end"/>
          </w:r>
        </w:p>
        <w:p w14:paraId="76240D66">
          <w:pPr>
            <w:pStyle w:val="2"/>
            <w:tabs>
              <w:tab w:val="right" w:leader="dot" w:pos="8835"/>
            </w:tabs>
            <w:spacing w:before="228" w:line="185" w:lineRule="auto"/>
            <w:ind w:left="2"/>
            <w:rPr>
              <w:rFonts w:ascii="Times New Roman" w:hAnsi="Times New Roman" w:eastAsia="Times New Roman" w:cs="Times New Roman"/>
            </w:rPr>
          </w:pPr>
          <w:bookmarkStart w:id="7" w:name="bookmark13"/>
          <w:bookmarkEnd w:id="7"/>
          <w:r>
            <w:fldChar w:fldCharType="begin"/>
          </w:r>
          <w:r>
            <w:instrText xml:space="preserve"> HYPERLINK \l "bookmark14" </w:instrText>
          </w:r>
          <w:r>
            <w:fldChar w:fldCharType="separate"/>
          </w:r>
          <w:r>
            <w:rPr>
              <w:spacing w:val="-1"/>
            </w:rPr>
            <w:t>六、生态环境保护措施监督检查清单</w:t>
          </w:r>
          <w:r>
            <w:tab/>
          </w:r>
          <w:r>
            <w:rPr>
              <w:spacing w:val="-36"/>
            </w:rPr>
            <w:t xml:space="preserve"> </w:t>
          </w:r>
          <w:r>
            <w:rPr>
              <w:rFonts w:ascii="Times New Roman" w:hAnsi="Times New Roman" w:eastAsia="Times New Roman" w:cs="Times New Roman"/>
              <w:spacing w:val="-10"/>
            </w:rPr>
            <w:t>166</w:t>
          </w:r>
          <w:r>
            <w:rPr>
              <w:rFonts w:ascii="Times New Roman" w:hAnsi="Times New Roman" w:eastAsia="Times New Roman" w:cs="Times New Roman"/>
              <w:spacing w:val="-10"/>
            </w:rPr>
            <w:fldChar w:fldCharType="end"/>
          </w:r>
        </w:p>
        <w:p w14:paraId="579157B3">
          <w:pPr>
            <w:pStyle w:val="2"/>
            <w:tabs>
              <w:tab w:val="right" w:leader="dot" w:pos="8835"/>
            </w:tabs>
            <w:spacing w:before="224" w:line="221" w:lineRule="auto"/>
            <w:rPr>
              <w:rFonts w:ascii="Times New Roman" w:hAnsi="Times New Roman" w:eastAsia="Times New Roman" w:cs="Times New Roman"/>
            </w:rPr>
          </w:pPr>
          <w:bookmarkStart w:id="8" w:name="bookmark15"/>
          <w:bookmarkEnd w:id="8"/>
          <w:r>
            <w:fldChar w:fldCharType="begin"/>
          </w:r>
          <w:r>
            <w:instrText xml:space="preserve"> HYPERLINK \l "bookmark16" </w:instrText>
          </w:r>
          <w:r>
            <w:fldChar w:fldCharType="separate"/>
          </w:r>
          <w:r>
            <w:rPr>
              <w:spacing w:val="-3"/>
            </w:rPr>
            <w:t>七、结论</w:t>
          </w:r>
          <w:r>
            <w:tab/>
          </w:r>
          <w:r>
            <w:rPr>
              <w:spacing w:val="-36"/>
            </w:rPr>
            <w:t xml:space="preserve"> </w:t>
          </w:r>
          <w:r>
            <w:rPr>
              <w:rFonts w:ascii="Times New Roman" w:hAnsi="Times New Roman" w:eastAsia="Times New Roman" w:cs="Times New Roman"/>
              <w:spacing w:val="-10"/>
            </w:rPr>
            <w:t>173</w:t>
          </w:r>
          <w:r>
            <w:rPr>
              <w:rFonts w:ascii="Times New Roman" w:hAnsi="Times New Roman" w:eastAsia="Times New Roman" w:cs="Times New Roman"/>
              <w:spacing w:val="-10"/>
            </w:rPr>
            <w:fldChar w:fldCharType="end"/>
          </w:r>
        </w:p>
      </w:sdtContent>
    </w:sdt>
    <w:p w14:paraId="40CD508C">
      <w:pPr>
        <w:spacing w:line="256" w:lineRule="auto"/>
        <w:rPr>
          <w:rFonts w:ascii="Arial"/>
          <w:sz w:val="21"/>
        </w:rPr>
      </w:pPr>
    </w:p>
    <w:p w14:paraId="3C1007DC">
      <w:pPr>
        <w:spacing w:line="256" w:lineRule="auto"/>
        <w:rPr>
          <w:rFonts w:ascii="Arial"/>
          <w:sz w:val="21"/>
        </w:rPr>
      </w:pPr>
    </w:p>
    <w:p w14:paraId="65869C13">
      <w:pPr>
        <w:pStyle w:val="2"/>
        <w:spacing w:before="78" w:line="219" w:lineRule="auto"/>
        <w:ind w:left="19"/>
      </w:pPr>
      <w:r>
        <w:rPr>
          <w:b/>
          <w:bCs/>
          <w:spacing w:val="-12"/>
        </w:rPr>
        <w:t>附件：</w:t>
      </w:r>
    </w:p>
    <w:p w14:paraId="3DFEA522">
      <w:pPr>
        <w:pStyle w:val="2"/>
        <w:spacing w:before="184" w:line="219" w:lineRule="auto"/>
        <w:ind w:left="499"/>
      </w:pPr>
      <w:r>
        <w:rPr>
          <w:spacing w:val="-13"/>
        </w:rPr>
        <w:t>附件</w:t>
      </w:r>
      <w:r>
        <w:rPr>
          <w:spacing w:val="-29"/>
        </w:rPr>
        <w:t xml:space="preserve"> </w:t>
      </w:r>
      <w:r>
        <w:rPr>
          <w:rFonts w:ascii="Times New Roman" w:hAnsi="Times New Roman" w:eastAsia="Times New Roman" w:cs="Times New Roman"/>
          <w:spacing w:val="-13"/>
        </w:rPr>
        <w:t>1</w:t>
      </w:r>
      <w:r>
        <w:rPr>
          <w:rFonts w:ascii="Times New Roman" w:hAnsi="Times New Roman" w:eastAsia="Times New Roman" w:cs="Times New Roman"/>
          <w:spacing w:val="-30"/>
        </w:rPr>
        <w:t xml:space="preserve"> </w:t>
      </w:r>
      <w:r>
        <w:rPr>
          <w:spacing w:val="-13"/>
        </w:rPr>
        <w:t>：委托书</w:t>
      </w:r>
    </w:p>
    <w:p w14:paraId="6CC6E2D2">
      <w:pPr>
        <w:pStyle w:val="2"/>
        <w:spacing w:before="180" w:line="219" w:lineRule="auto"/>
        <w:ind w:left="499"/>
      </w:pPr>
      <w:r>
        <w:rPr>
          <w:spacing w:val="-8"/>
        </w:rPr>
        <w:t>附件</w:t>
      </w:r>
      <w:r>
        <w:rPr>
          <w:spacing w:val="-55"/>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30"/>
        </w:rPr>
        <w:t xml:space="preserve"> </w:t>
      </w:r>
      <w:r>
        <w:rPr>
          <w:spacing w:val="-8"/>
        </w:rPr>
        <w:t>：营业执照</w:t>
      </w:r>
    </w:p>
    <w:p w14:paraId="58A5F7FD">
      <w:pPr>
        <w:pStyle w:val="2"/>
        <w:spacing w:before="184" w:line="219" w:lineRule="auto"/>
        <w:ind w:left="499"/>
      </w:pPr>
      <w:r>
        <w:rPr>
          <w:spacing w:val="-7"/>
        </w:rPr>
        <w:t>附件</w:t>
      </w:r>
      <w:r>
        <w:rPr>
          <w:spacing w:val="-50"/>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30"/>
        </w:rPr>
        <w:t xml:space="preserve"> </w:t>
      </w:r>
      <w:r>
        <w:rPr>
          <w:spacing w:val="-7"/>
        </w:rPr>
        <w:t>：技术咨询合同</w:t>
      </w:r>
    </w:p>
    <w:p w14:paraId="671C7F39">
      <w:pPr>
        <w:pStyle w:val="2"/>
        <w:spacing w:before="181" w:line="219" w:lineRule="auto"/>
        <w:ind w:left="499"/>
      </w:pPr>
      <w:r>
        <w:rPr>
          <w:spacing w:val="-6"/>
        </w:rPr>
        <w:t>附件</w:t>
      </w:r>
      <w:r>
        <w:rPr>
          <w:spacing w:val="-54"/>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30"/>
        </w:rPr>
        <w:t xml:space="preserve"> </w:t>
      </w:r>
      <w:r>
        <w:rPr>
          <w:spacing w:val="-6"/>
        </w:rPr>
        <w:t>：投资项目备案证</w:t>
      </w:r>
    </w:p>
    <w:p w14:paraId="69C7225A">
      <w:pPr>
        <w:pStyle w:val="2"/>
        <w:spacing w:before="184" w:line="346" w:lineRule="auto"/>
        <w:ind w:left="1" w:right="39" w:firstLine="497"/>
      </w:pPr>
      <w:r>
        <w:rPr>
          <w:spacing w:val="-3"/>
        </w:rPr>
        <w:t>附件</w:t>
      </w:r>
      <w:r>
        <w:rPr>
          <w:spacing w:val="-33"/>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27"/>
        </w:rPr>
        <w:t xml:space="preserve"> </w:t>
      </w:r>
      <w:r>
        <w:rPr>
          <w:spacing w:val="-3"/>
        </w:rPr>
        <w:t>：寻甸回族彝族自治县林业和草原局关于委托维护和修建梳山、化桃箐、</w:t>
      </w:r>
      <w:r>
        <w:t xml:space="preserve"> </w:t>
      </w:r>
      <w:r>
        <w:rPr>
          <w:spacing w:val="-1"/>
        </w:rPr>
        <w:t>石崖、白石岩光伏发电项目周边道路工程的函（寻林函〔</w:t>
      </w:r>
      <w:r>
        <w:rPr>
          <w:rFonts w:ascii="Times New Roman" w:hAnsi="Times New Roman" w:eastAsia="Times New Roman" w:cs="Times New Roman"/>
          <w:spacing w:val="-1"/>
        </w:rPr>
        <w:t>2024</w:t>
      </w:r>
      <w:r>
        <w:rPr>
          <w:spacing w:val="-1"/>
        </w:rPr>
        <w:t>〕</w:t>
      </w:r>
      <w:r>
        <w:rPr>
          <w:rFonts w:ascii="Times New Roman" w:hAnsi="Times New Roman" w:eastAsia="Times New Roman" w:cs="Times New Roman"/>
          <w:spacing w:val="-1"/>
        </w:rPr>
        <w:t>12</w:t>
      </w:r>
      <w:r>
        <w:rPr>
          <w:rFonts w:ascii="Times New Roman" w:hAnsi="Times New Roman" w:eastAsia="Times New Roman" w:cs="Times New Roman"/>
          <w:spacing w:val="22"/>
          <w:w w:val="101"/>
        </w:rPr>
        <w:t xml:space="preserve"> </w:t>
      </w:r>
      <w:r>
        <w:rPr>
          <w:spacing w:val="-1"/>
        </w:rPr>
        <w:t>号）</w:t>
      </w:r>
    </w:p>
    <w:p w14:paraId="1905DB4E">
      <w:pPr>
        <w:pStyle w:val="2"/>
        <w:spacing w:before="33" w:line="219" w:lineRule="auto"/>
        <w:ind w:left="499"/>
      </w:pPr>
      <w:r>
        <w:rPr>
          <w:spacing w:val="-7"/>
        </w:rPr>
        <w:t>附件</w:t>
      </w:r>
      <w:r>
        <w:rPr>
          <w:spacing w:val="-43"/>
        </w:rPr>
        <w:t xml:space="preserve"> </w:t>
      </w:r>
      <w:r>
        <w:rPr>
          <w:rFonts w:ascii="Times New Roman" w:hAnsi="Times New Roman" w:eastAsia="Times New Roman" w:cs="Times New Roman"/>
          <w:spacing w:val="-7"/>
        </w:rPr>
        <w:t>6</w:t>
      </w:r>
      <w:r>
        <w:rPr>
          <w:rFonts w:ascii="Times New Roman" w:hAnsi="Times New Roman" w:eastAsia="Times New Roman" w:cs="Times New Roman"/>
          <w:spacing w:val="-30"/>
        </w:rPr>
        <w:t xml:space="preserve"> </w:t>
      </w:r>
      <w:r>
        <w:rPr>
          <w:spacing w:val="-7"/>
        </w:rPr>
        <w:t>：各部门选址意见</w:t>
      </w:r>
    </w:p>
    <w:p w14:paraId="45B5F74A">
      <w:pPr>
        <w:pStyle w:val="2"/>
        <w:spacing w:before="181" w:line="347" w:lineRule="auto"/>
        <w:ind w:right="24" w:firstLine="499"/>
      </w:pPr>
      <w:r>
        <w:rPr>
          <w:spacing w:val="-2"/>
        </w:rPr>
        <w:t>附件</w:t>
      </w:r>
      <w:r>
        <w:rPr>
          <w:spacing w:val="-49"/>
        </w:rPr>
        <w:t xml:space="preserve"> </w:t>
      </w:r>
      <w:r>
        <w:rPr>
          <w:rFonts w:ascii="Times New Roman" w:hAnsi="Times New Roman" w:eastAsia="Times New Roman" w:cs="Times New Roman"/>
          <w:spacing w:val="-2"/>
        </w:rPr>
        <w:t>7</w:t>
      </w:r>
      <w:r>
        <w:rPr>
          <w:rFonts w:ascii="Times New Roman" w:hAnsi="Times New Roman" w:eastAsia="Times New Roman" w:cs="Times New Roman"/>
          <w:spacing w:val="-30"/>
        </w:rPr>
        <w:t xml:space="preserve"> </w:t>
      </w:r>
      <w:r>
        <w:rPr>
          <w:spacing w:val="-2"/>
        </w:rPr>
        <w:t>：《云南省发展和改革委员会 云南省能源局关于印发云南省</w:t>
      </w:r>
      <w:r>
        <w:rPr>
          <w:spacing w:val="-55"/>
        </w:rPr>
        <w:t xml:space="preserve"> </w:t>
      </w:r>
      <w:r>
        <w:rPr>
          <w:rFonts w:ascii="Times New Roman" w:hAnsi="Times New Roman" w:eastAsia="Times New Roman" w:cs="Times New Roman"/>
          <w:spacing w:val="-2"/>
        </w:rPr>
        <w:t xml:space="preserve">2023 </w:t>
      </w:r>
      <w:r>
        <w:rPr>
          <w:spacing w:val="-2"/>
        </w:rPr>
        <w:t>年第一</w:t>
      </w:r>
      <w:r>
        <w:t xml:space="preserve"> </w:t>
      </w:r>
      <w:r>
        <w:rPr>
          <w:spacing w:val="-1"/>
        </w:rPr>
        <w:t>批新能源建设方案的通知》（云能源水电〔</w:t>
      </w:r>
      <w:r>
        <w:rPr>
          <w:rFonts w:ascii="Times New Roman" w:hAnsi="Times New Roman" w:eastAsia="Times New Roman" w:cs="Times New Roman"/>
          <w:spacing w:val="-1"/>
        </w:rPr>
        <w:t>2023</w:t>
      </w:r>
      <w:r>
        <w:rPr>
          <w:spacing w:val="-1"/>
        </w:rPr>
        <w:t>〕</w:t>
      </w:r>
      <w:r>
        <w:rPr>
          <w:rFonts w:ascii="Times New Roman" w:hAnsi="Times New Roman" w:eastAsia="Times New Roman" w:cs="Times New Roman"/>
          <w:spacing w:val="-1"/>
        </w:rPr>
        <w:t>170</w:t>
      </w:r>
      <w:r>
        <w:rPr>
          <w:rFonts w:ascii="Times New Roman" w:hAnsi="Times New Roman" w:eastAsia="Times New Roman" w:cs="Times New Roman"/>
          <w:spacing w:val="19"/>
        </w:rPr>
        <w:t xml:space="preserve"> </w:t>
      </w:r>
      <w:r>
        <w:rPr>
          <w:spacing w:val="-1"/>
        </w:rPr>
        <w:t>号）</w:t>
      </w:r>
    </w:p>
    <w:p w14:paraId="6732C97F">
      <w:pPr>
        <w:pStyle w:val="2"/>
        <w:spacing w:before="32" w:line="218" w:lineRule="auto"/>
        <w:ind w:left="499"/>
      </w:pPr>
      <w:r>
        <w:rPr>
          <w:spacing w:val="-5"/>
        </w:rPr>
        <w:t>附件</w:t>
      </w:r>
      <w:r>
        <w:rPr>
          <w:spacing w:val="-40"/>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30"/>
        </w:rPr>
        <w:t xml:space="preserve"> </w:t>
      </w:r>
      <w:r>
        <w:rPr>
          <w:spacing w:val="-5"/>
        </w:rPr>
        <w:t>：项目环境质量现状监测报告</w:t>
      </w:r>
    </w:p>
    <w:p w14:paraId="07A8FA56">
      <w:pPr>
        <w:pStyle w:val="2"/>
        <w:spacing w:before="184" w:line="219" w:lineRule="auto"/>
        <w:ind w:left="19"/>
      </w:pPr>
      <w:r>
        <w:rPr>
          <w:b/>
          <w:bCs/>
          <w:spacing w:val="-12"/>
        </w:rPr>
        <w:t>附图：</w:t>
      </w:r>
    </w:p>
    <w:p w14:paraId="4E722439">
      <w:pPr>
        <w:pStyle w:val="2"/>
        <w:spacing w:before="183" w:line="219" w:lineRule="auto"/>
        <w:ind w:left="499"/>
      </w:pPr>
      <w:r>
        <w:rPr>
          <w:spacing w:val="-8"/>
        </w:rPr>
        <w:t>附图</w:t>
      </w:r>
      <w:r>
        <w:rPr>
          <w:spacing w:val="-32"/>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30"/>
        </w:rPr>
        <w:t xml:space="preserve"> </w:t>
      </w:r>
      <w:r>
        <w:rPr>
          <w:spacing w:val="-8"/>
        </w:rPr>
        <w:t>：项目地理位置图</w:t>
      </w:r>
    </w:p>
    <w:p w14:paraId="34F02F87">
      <w:pPr>
        <w:pStyle w:val="2"/>
        <w:spacing w:before="181" w:line="219" w:lineRule="auto"/>
        <w:ind w:left="499"/>
      </w:pPr>
      <w:r>
        <w:rPr>
          <w:spacing w:val="-6"/>
        </w:rPr>
        <w:t>附图</w:t>
      </w:r>
      <w:r>
        <w:rPr>
          <w:spacing w:val="-54"/>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30"/>
        </w:rPr>
        <w:t xml:space="preserve"> </w:t>
      </w:r>
      <w:r>
        <w:rPr>
          <w:spacing w:val="-6"/>
        </w:rPr>
        <w:t>：项目区域水系图</w:t>
      </w:r>
    </w:p>
    <w:p w14:paraId="1C42777B">
      <w:pPr>
        <w:pStyle w:val="2"/>
        <w:spacing w:before="183" w:line="219" w:lineRule="auto"/>
        <w:ind w:left="499"/>
      </w:pPr>
      <w:r>
        <w:rPr>
          <w:spacing w:val="-4"/>
        </w:rPr>
        <w:t>附图</w:t>
      </w:r>
      <w:r>
        <w:rPr>
          <w:spacing w:val="-44"/>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30"/>
        </w:rPr>
        <w:t xml:space="preserve"> </w:t>
      </w:r>
      <w:r>
        <w:rPr>
          <w:spacing w:val="-4"/>
        </w:rPr>
        <w:t>：光伏阵区及升压站平面布置示意图</w:t>
      </w:r>
    </w:p>
    <w:p w14:paraId="53B3477C">
      <w:pPr>
        <w:pStyle w:val="2"/>
        <w:spacing w:before="181" w:line="219" w:lineRule="auto"/>
        <w:ind w:left="499"/>
      </w:pPr>
      <w:r>
        <w:rPr>
          <w:spacing w:val="-4"/>
        </w:rPr>
        <w:t>附图</w:t>
      </w:r>
      <w:r>
        <w:rPr>
          <w:spacing w:val="-52"/>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30"/>
        </w:rPr>
        <w:t xml:space="preserve"> </w:t>
      </w:r>
      <w:r>
        <w:rPr>
          <w:spacing w:val="-4"/>
        </w:rPr>
        <w:t>：升压站平面布置及分区防渗图</w:t>
      </w:r>
    </w:p>
    <w:p w14:paraId="5F187716">
      <w:pPr>
        <w:pStyle w:val="2"/>
        <w:spacing w:before="184" w:line="219" w:lineRule="auto"/>
        <w:ind w:left="499"/>
      </w:pPr>
      <w:r>
        <w:rPr>
          <w:spacing w:val="-7"/>
        </w:rPr>
        <w:t>附图</w:t>
      </w:r>
      <w:r>
        <w:rPr>
          <w:spacing w:val="-43"/>
        </w:rPr>
        <w:t xml:space="preserve"> </w:t>
      </w:r>
      <w:r>
        <w:rPr>
          <w:rFonts w:ascii="Times New Roman" w:hAnsi="Times New Roman" w:eastAsia="Times New Roman" w:cs="Times New Roman"/>
          <w:spacing w:val="-7"/>
        </w:rPr>
        <w:t>5</w:t>
      </w:r>
      <w:r>
        <w:rPr>
          <w:rFonts w:ascii="Times New Roman" w:hAnsi="Times New Roman" w:eastAsia="Times New Roman" w:cs="Times New Roman"/>
          <w:spacing w:val="-30"/>
        </w:rPr>
        <w:t xml:space="preserve"> </w:t>
      </w:r>
      <w:r>
        <w:rPr>
          <w:spacing w:val="-7"/>
        </w:rPr>
        <w:t>：箱变基础平面图</w:t>
      </w:r>
    </w:p>
    <w:p w14:paraId="76D821B0">
      <w:pPr>
        <w:pStyle w:val="2"/>
        <w:spacing w:before="180" w:line="219" w:lineRule="auto"/>
        <w:ind w:left="499"/>
      </w:pPr>
      <w:r>
        <w:rPr>
          <w:spacing w:val="-4"/>
        </w:rPr>
        <w:t>附图</w:t>
      </w:r>
      <w:r>
        <w:rPr>
          <w:spacing w:val="-40"/>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30"/>
        </w:rPr>
        <w:t xml:space="preserve"> </w:t>
      </w:r>
      <w:r>
        <w:rPr>
          <w:spacing w:val="-4"/>
        </w:rPr>
        <w:t>：生态环境保护目标分布及位置关系图</w:t>
      </w:r>
    </w:p>
    <w:p w14:paraId="78CA02F8">
      <w:pPr>
        <w:spacing w:line="219" w:lineRule="auto"/>
        <w:sectPr>
          <w:footerReference r:id="rId5" w:type="default"/>
          <w:pgSz w:w="11906" w:h="16839"/>
          <w:pgMar w:top="1431" w:right="1530" w:bottom="1314" w:left="1539" w:header="0" w:footer="1035" w:gutter="0"/>
          <w:cols w:space="720" w:num="1"/>
        </w:sectPr>
      </w:pPr>
    </w:p>
    <w:p w14:paraId="33F7393D">
      <w:pPr>
        <w:pStyle w:val="2"/>
        <w:spacing w:before="304" w:line="219" w:lineRule="auto"/>
        <w:ind w:left="253"/>
      </w:pPr>
      <w:r>
        <w:rPr>
          <w:spacing w:val="-4"/>
        </w:rPr>
        <w:t>附图</w:t>
      </w:r>
      <w:r>
        <w:rPr>
          <w:spacing w:val="-48"/>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30"/>
        </w:rPr>
        <w:t xml:space="preserve"> </w:t>
      </w:r>
      <w:r>
        <w:rPr>
          <w:spacing w:val="-4"/>
        </w:rPr>
        <w:t>：项目现状监测及监测计划布点图</w:t>
      </w:r>
    </w:p>
    <w:p w14:paraId="06728B7A">
      <w:pPr>
        <w:pStyle w:val="2"/>
        <w:spacing w:before="180" w:line="219" w:lineRule="auto"/>
        <w:ind w:left="253"/>
      </w:pPr>
      <w:r>
        <w:rPr>
          <w:spacing w:val="-3"/>
        </w:rPr>
        <w:t>附图</w:t>
      </w:r>
      <w:r>
        <w:rPr>
          <w:spacing w:val="-39"/>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30"/>
        </w:rPr>
        <w:t xml:space="preserve"> </w:t>
      </w:r>
      <w:r>
        <w:rPr>
          <w:spacing w:val="-3"/>
        </w:rPr>
        <w:t>：项目与牛栏江（云南段）水环境保护分区位置关系图</w:t>
      </w:r>
    </w:p>
    <w:p w14:paraId="2D0F5989">
      <w:pPr>
        <w:pStyle w:val="2"/>
        <w:spacing w:before="183" w:line="219" w:lineRule="auto"/>
        <w:ind w:left="253"/>
      </w:pPr>
      <w:r>
        <w:rPr>
          <w:spacing w:val="-3"/>
        </w:rPr>
        <w:t>附图</w:t>
      </w:r>
      <w:r>
        <w:rPr>
          <w:spacing w:val="-39"/>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30"/>
        </w:rPr>
        <w:t xml:space="preserve"> </w:t>
      </w:r>
      <w:r>
        <w:rPr>
          <w:spacing w:val="-3"/>
        </w:rPr>
        <w:t>：项目与牛栏江（寻甸段）水环境保护分区位置关系图</w:t>
      </w:r>
    </w:p>
    <w:p w14:paraId="43411856">
      <w:pPr>
        <w:pStyle w:val="2"/>
        <w:spacing w:before="180" w:line="219" w:lineRule="auto"/>
        <w:ind w:left="253"/>
      </w:pPr>
      <w:r>
        <w:rPr>
          <w:spacing w:val="-2"/>
        </w:rPr>
        <w:t>附图</w:t>
      </w:r>
      <w:r>
        <w:rPr>
          <w:spacing w:val="-32"/>
        </w:rPr>
        <w:t xml:space="preserve"> </w:t>
      </w:r>
      <w:r>
        <w:rPr>
          <w:rFonts w:ascii="Times New Roman" w:hAnsi="Times New Roman" w:eastAsia="Times New Roman" w:cs="Times New Roman"/>
          <w:spacing w:val="-2"/>
        </w:rPr>
        <w:t>10</w:t>
      </w:r>
      <w:r>
        <w:rPr>
          <w:spacing w:val="-2"/>
        </w:rPr>
        <w:t>：项目与寻甸县</w:t>
      </w:r>
      <w:r>
        <w:rPr>
          <w:rFonts w:ascii="Times New Roman" w:hAnsi="Times New Roman" w:eastAsia="Times New Roman" w:cs="Times New Roman"/>
          <w:spacing w:val="-2"/>
        </w:rPr>
        <w:t>“</w:t>
      </w:r>
      <w:r>
        <w:rPr>
          <w:spacing w:val="-2"/>
        </w:rPr>
        <w:t>三区三线</w:t>
      </w:r>
      <w:r>
        <w:rPr>
          <w:rFonts w:ascii="Times New Roman" w:hAnsi="Times New Roman" w:eastAsia="Times New Roman" w:cs="Times New Roman"/>
          <w:spacing w:val="-2"/>
        </w:rPr>
        <w:t>”</w:t>
      </w:r>
      <w:r>
        <w:rPr>
          <w:spacing w:val="-2"/>
        </w:rPr>
        <w:t>划定成果的位置</w:t>
      </w:r>
      <w:r>
        <w:rPr>
          <w:spacing w:val="-3"/>
        </w:rPr>
        <w:t>关系图</w:t>
      </w:r>
    </w:p>
    <w:p w14:paraId="3E09A630">
      <w:pPr>
        <w:pStyle w:val="2"/>
        <w:spacing w:before="184" w:line="218" w:lineRule="auto"/>
        <w:ind w:left="253"/>
      </w:pPr>
      <w:r>
        <w:rPr>
          <w:spacing w:val="-5"/>
        </w:rPr>
        <w:t>附图</w:t>
      </w:r>
      <w:r>
        <w:rPr>
          <w:spacing w:val="-24"/>
        </w:rPr>
        <w:t xml:space="preserve"> </w:t>
      </w:r>
      <w:r>
        <w:rPr>
          <w:rFonts w:ascii="Times New Roman" w:hAnsi="Times New Roman" w:eastAsia="Times New Roman" w:cs="Times New Roman"/>
          <w:spacing w:val="-5"/>
        </w:rPr>
        <w:t>11</w:t>
      </w:r>
      <w:r>
        <w:rPr>
          <w:spacing w:val="-5"/>
        </w:rPr>
        <w:t>：评价区土地利用现状图</w:t>
      </w:r>
    </w:p>
    <w:p w14:paraId="759B975B">
      <w:pPr>
        <w:pStyle w:val="2"/>
        <w:spacing w:before="185" w:line="218" w:lineRule="auto"/>
        <w:ind w:left="253"/>
      </w:pPr>
      <w:r>
        <w:rPr>
          <w:spacing w:val="-5"/>
        </w:rPr>
        <w:t>附图</w:t>
      </w:r>
      <w:r>
        <w:rPr>
          <w:spacing w:val="-25"/>
        </w:rPr>
        <w:t xml:space="preserve"> </w:t>
      </w:r>
      <w:r>
        <w:rPr>
          <w:rFonts w:ascii="Times New Roman" w:hAnsi="Times New Roman" w:eastAsia="Times New Roman" w:cs="Times New Roman"/>
          <w:spacing w:val="-5"/>
        </w:rPr>
        <w:t>12</w:t>
      </w:r>
      <w:r>
        <w:rPr>
          <w:spacing w:val="-5"/>
        </w:rPr>
        <w:t>：评价区植被类型图</w:t>
      </w:r>
    </w:p>
    <w:p w14:paraId="6DC98604">
      <w:pPr>
        <w:pStyle w:val="2"/>
        <w:spacing w:before="181" w:line="219" w:lineRule="auto"/>
        <w:ind w:left="253"/>
      </w:pPr>
      <w:r>
        <w:rPr>
          <w:spacing w:val="-3"/>
        </w:rPr>
        <w:t>附图</w:t>
      </w:r>
      <w:r>
        <w:rPr>
          <w:spacing w:val="-15"/>
        </w:rPr>
        <w:t xml:space="preserve"> </w:t>
      </w:r>
      <w:r>
        <w:rPr>
          <w:rFonts w:ascii="Times New Roman" w:hAnsi="Times New Roman" w:eastAsia="Times New Roman" w:cs="Times New Roman"/>
          <w:spacing w:val="-3"/>
        </w:rPr>
        <w:t>13</w:t>
      </w:r>
      <w:r>
        <w:rPr>
          <w:spacing w:val="-3"/>
        </w:rPr>
        <w:t>：项目在云南省主体功能区划分总图中的位置图</w:t>
      </w:r>
    </w:p>
    <w:p w14:paraId="4CDC4BF9">
      <w:pPr>
        <w:pStyle w:val="2"/>
        <w:spacing w:before="184" w:line="219" w:lineRule="auto"/>
        <w:ind w:left="253"/>
      </w:pPr>
      <w:r>
        <w:rPr>
          <w:spacing w:val="-3"/>
        </w:rPr>
        <w:t>附图</w:t>
      </w:r>
      <w:r>
        <w:rPr>
          <w:spacing w:val="-21"/>
        </w:rPr>
        <w:t xml:space="preserve"> </w:t>
      </w:r>
      <w:r>
        <w:rPr>
          <w:rFonts w:ascii="Times New Roman" w:hAnsi="Times New Roman" w:eastAsia="Times New Roman" w:cs="Times New Roman"/>
          <w:spacing w:val="-3"/>
        </w:rPr>
        <w:t>14</w:t>
      </w:r>
      <w:r>
        <w:rPr>
          <w:spacing w:val="-3"/>
        </w:rPr>
        <w:t>：项目在云南省生态功能类型区中的位置图</w:t>
      </w:r>
    </w:p>
    <w:p w14:paraId="5035AD80">
      <w:pPr>
        <w:pStyle w:val="2"/>
        <w:spacing w:before="181" w:line="219" w:lineRule="auto"/>
        <w:ind w:left="253"/>
      </w:pPr>
      <w:r>
        <w:rPr>
          <w:spacing w:val="-2"/>
        </w:rPr>
        <w:t>附图</w:t>
      </w:r>
      <w:r>
        <w:rPr>
          <w:spacing w:val="-32"/>
        </w:rPr>
        <w:t xml:space="preserve"> </w:t>
      </w:r>
      <w:r>
        <w:rPr>
          <w:rFonts w:ascii="Times New Roman" w:hAnsi="Times New Roman" w:eastAsia="Times New Roman" w:cs="Times New Roman"/>
          <w:spacing w:val="-2"/>
        </w:rPr>
        <w:t>15</w:t>
      </w:r>
      <w:r>
        <w:rPr>
          <w:spacing w:val="-2"/>
        </w:rPr>
        <w:t>：项目与云南省生物多样性保护优先区域位</w:t>
      </w:r>
      <w:r>
        <w:rPr>
          <w:spacing w:val="-3"/>
        </w:rPr>
        <w:t>置关系图</w:t>
      </w:r>
    </w:p>
    <w:p w14:paraId="119FFEE0">
      <w:pPr>
        <w:spacing w:line="219" w:lineRule="auto"/>
        <w:sectPr>
          <w:footerReference r:id="rId6" w:type="default"/>
          <w:pgSz w:w="11906" w:h="16839"/>
          <w:pgMar w:top="1431" w:right="1785" w:bottom="1314" w:left="1785" w:header="0" w:footer="1035" w:gutter="0"/>
          <w:cols w:space="720" w:num="1"/>
        </w:sectPr>
      </w:pPr>
    </w:p>
    <w:p w14:paraId="5B778035">
      <w:pPr>
        <w:pStyle w:val="2"/>
        <w:spacing w:before="141" w:line="221" w:lineRule="auto"/>
        <w:ind w:left="4083"/>
        <w:outlineLvl w:val="0"/>
        <w:rPr>
          <w:sz w:val="28"/>
          <w:szCs w:val="28"/>
        </w:rPr>
      </w:pPr>
      <w:bookmarkStart w:id="9" w:name="bookmark1"/>
      <w:bookmarkEnd w:id="9"/>
      <w:bookmarkStart w:id="10" w:name="bookmark2"/>
      <w:bookmarkEnd w:id="10"/>
      <w:r>
        <w:rPr>
          <w:b/>
          <w:bCs/>
          <w:spacing w:val="-11"/>
          <w:sz w:val="28"/>
          <w:szCs w:val="28"/>
        </w:rPr>
        <w:t>前</w:t>
      </w:r>
      <w:r>
        <w:rPr>
          <w:spacing w:val="22"/>
          <w:sz w:val="28"/>
          <w:szCs w:val="28"/>
        </w:rPr>
        <w:t xml:space="preserve"> </w:t>
      </w:r>
      <w:r>
        <w:rPr>
          <w:b/>
          <w:bCs/>
          <w:spacing w:val="-11"/>
          <w:sz w:val="28"/>
          <w:szCs w:val="28"/>
        </w:rPr>
        <w:t>言</w:t>
      </w:r>
    </w:p>
    <w:p w14:paraId="55266797">
      <w:pPr>
        <w:pStyle w:val="2"/>
        <w:spacing w:before="205" w:line="355" w:lineRule="auto"/>
        <w:ind w:left="6" w:right="2" w:firstLine="483"/>
      </w:pPr>
      <w:r>
        <w:rPr>
          <w:spacing w:val="-2"/>
        </w:rPr>
        <w:t>为贯彻落实省委、省政府有关工作部署，全面实施“</w:t>
      </w:r>
      <w:r>
        <w:rPr>
          <w:rFonts w:ascii="Times New Roman" w:hAnsi="Times New Roman" w:eastAsia="Times New Roman" w:cs="Times New Roman"/>
          <w:spacing w:val="-2"/>
        </w:rPr>
        <w:t>3815</w:t>
      </w:r>
      <w:r>
        <w:rPr>
          <w:rFonts w:ascii="Times New Roman" w:hAnsi="Times New Roman" w:eastAsia="Times New Roman" w:cs="Times New Roman"/>
          <w:spacing w:val="-28"/>
        </w:rPr>
        <w:t xml:space="preserve"> </w:t>
      </w:r>
      <w:r>
        <w:rPr>
          <w:spacing w:val="-3"/>
        </w:rPr>
        <w:t>”战略发展目标，持续</w:t>
      </w:r>
      <w:r>
        <w:t xml:space="preserve"> </w:t>
      </w:r>
      <w:r>
        <w:rPr>
          <w:spacing w:val="-1"/>
        </w:rPr>
        <w:t>提高我省能源安全保障水平，支撑经济社会发展，云南省发展和</w:t>
      </w:r>
      <w:r>
        <w:rPr>
          <w:spacing w:val="-2"/>
        </w:rPr>
        <w:t>改革委员会、云南省</w:t>
      </w:r>
      <w:r>
        <w:t xml:space="preserve"> 能源局下发了《云南省</w:t>
      </w:r>
      <w:r>
        <w:rPr>
          <w:spacing w:val="-55"/>
        </w:rPr>
        <w:t xml:space="preserve"> </w:t>
      </w:r>
      <w:r>
        <w:rPr>
          <w:rFonts w:ascii="Times New Roman" w:hAnsi="Times New Roman" w:eastAsia="Times New Roman" w:cs="Times New Roman"/>
        </w:rPr>
        <w:t xml:space="preserve">2023 </w:t>
      </w:r>
      <w:r>
        <w:t>年第一批新能源项目</w:t>
      </w:r>
      <w:r>
        <w:rPr>
          <w:spacing w:val="-1"/>
        </w:rPr>
        <w:t>开发建设方案》，要求组织实施新</w:t>
      </w:r>
      <w:r>
        <w:t xml:space="preserve"> </w:t>
      </w:r>
      <w:r>
        <w:rPr>
          <w:spacing w:val="-1"/>
        </w:rPr>
        <w:t>能源项目，本项目为实施方案内的工程之一—。本项目的开发建</w:t>
      </w:r>
      <w:r>
        <w:rPr>
          <w:spacing w:val="-2"/>
        </w:rPr>
        <w:t>设能有效的促进地方</w:t>
      </w:r>
      <w:r>
        <w:t xml:space="preserve"> </w:t>
      </w:r>
      <w:r>
        <w:rPr>
          <w:spacing w:val="-1"/>
        </w:rPr>
        <w:t>经济，带动光伏产业链的发展，落实国家实施碳达峰、碳中和的</w:t>
      </w:r>
      <w:r>
        <w:rPr>
          <w:spacing w:val="-2"/>
        </w:rPr>
        <w:t>目标，具有良好的社</w:t>
      </w:r>
      <w:r>
        <w:t xml:space="preserve"> </w:t>
      </w:r>
      <w:r>
        <w:rPr>
          <w:spacing w:val="-1"/>
        </w:rPr>
        <w:t>会效益和经济效益，对于改善当地电网电源结构，推动云南省太</w:t>
      </w:r>
      <w:r>
        <w:rPr>
          <w:spacing w:val="-2"/>
        </w:rPr>
        <w:t>阳能发电事业发展，</w:t>
      </w:r>
      <w:r>
        <w:t xml:space="preserve"> </w:t>
      </w:r>
      <w:r>
        <w:rPr>
          <w:spacing w:val="-1"/>
        </w:rPr>
        <w:t>开发可再生能源有着积极的意义。</w:t>
      </w:r>
    </w:p>
    <w:p w14:paraId="34179DA2">
      <w:pPr>
        <w:pStyle w:val="2"/>
        <w:spacing w:before="35" w:line="350" w:lineRule="auto"/>
        <w:ind w:left="1" w:right="2" w:firstLine="481"/>
      </w:pPr>
      <w:r>
        <w:rPr>
          <w:rFonts w:ascii="Times New Roman" w:hAnsi="Times New Roman" w:eastAsia="Times New Roman" w:cs="Times New Roman"/>
          <w:spacing w:val="-5"/>
        </w:rPr>
        <w:t xml:space="preserve">2022 </w:t>
      </w:r>
      <w:r>
        <w:rPr>
          <w:spacing w:val="-5"/>
        </w:rPr>
        <w:t>年</w:t>
      </w:r>
      <w:r>
        <w:rPr>
          <w:spacing w:val="-51"/>
        </w:rPr>
        <w:t xml:space="preserve"> </w:t>
      </w:r>
      <w:r>
        <w:rPr>
          <w:rFonts w:ascii="Times New Roman" w:hAnsi="Times New Roman" w:eastAsia="Times New Roman" w:cs="Times New Roman"/>
          <w:spacing w:val="-5"/>
        </w:rPr>
        <w:t>07</w:t>
      </w:r>
      <w:r>
        <w:rPr>
          <w:rFonts w:ascii="Times New Roman" w:hAnsi="Times New Roman" w:eastAsia="Times New Roman" w:cs="Times New Roman"/>
          <w:spacing w:val="15"/>
        </w:rPr>
        <w:t xml:space="preserve"> </w:t>
      </w:r>
      <w:r>
        <w:rPr>
          <w:spacing w:val="-5"/>
        </w:rPr>
        <w:t>月</w:t>
      </w:r>
      <w:r>
        <w:rPr>
          <w:spacing w:val="-51"/>
        </w:rPr>
        <w:t xml:space="preserve"> </w:t>
      </w:r>
      <w:r>
        <w:rPr>
          <w:rFonts w:ascii="Times New Roman" w:hAnsi="Times New Roman" w:eastAsia="Times New Roman" w:cs="Times New Roman"/>
          <w:spacing w:val="-5"/>
        </w:rPr>
        <w:t xml:space="preserve">06  </w:t>
      </w:r>
      <w:r>
        <w:rPr>
          <w:spacing w:val="-5"/>
        </w:rPr>
        <w:t>日，京能（寻</w:t>
      </w:r>
      <w:r>
        <w:rPr>
          <w:spacing w:val="-6"/>
        </w:rPr>
        <w:t>甸）新能源有限公司（以下简称“建设单位</w:t>
      </w:r>
      <w:r>
        <w:rPr>
          <w:spacing w:val="-89"/>
        </w:rPr>
        <w:t xml:space="preserve"> </w:t>
      </w:r>
      <w:r>
        <w:rPr>
          <w:spacing w:val="-6"/>
        </w:rPr>
        <w:t>”）取</w:t>
      </w:r>
      <w:r>
        <w:t xml:space="preserve"> </w:t>
      </w:r>
      <w:r>
        <w:rPr>
          <w:spacing w:val="-1"/>
        </w:rPr>
        <w:t>得寻甸回族彝族自治县发展和改革局出具的投资备案证，化桃箐光伏发电项</w:t>
      </w:r>
      <w:r>
        <w:rPr>
          <w:spacing w:val="-2"/>
        </w:rPr>
        <w:t>目总投资</w:t>
      </w:r>
      <w:r>
        <w:t xml:space="preserve"> </w:t>
      </w:r>
      <w:r>
        <w:rPr>
          <w:rFonts w:ascii="Times New Roman" w:hAnsi="Times New Roman" w:eastAsia="Times New Roman" w:cs="Times New Roman"/>
          <w:spacing w:val="-2"/>
        </w:rPr>
        <w:t>49735.85</w:t>
      </w:r>
      <w:r>
        <w:rPr>
          <w:rFonts w:ascii="Times New Roman" w:hAnsi="Times New Roman" w:eastAsia="Times New Roman" w:cs="Times New Roman"/>
          <w:spacing w:val="16"/>
        </w:rPr>
        <w:t xml:space="preserve"> </w:t>
      </w:r>
      <w:r>
        <w:rPr>
          <w:spacing w:val="-2"/>
        </w:rPr>
        <w:t>万元，装机容量</w:t>
      </w:r>
      <w:r>
        <w:rPr>
          <w:spacing w:val="-32"/>
        </w:rPr>
        <w:t xml:space="preserve"> </w:t>
      </w:r>
      <w:r>
        <w:rPr>
          <w:rFonts w:ascii="Times New Roman" w:hAnsi="Times New Roman" w:eastAsia="Times New Roman" w:cs="Times New Roman"/>
          <w:spacing w:val="-2"/>
        </w:rPr>
        <w:t>100MW</w:t>
      </w:r>
      <w:r>
        <w:rPr>
          <w:rFonts w:ascii="Times New Roman" w:hAnsi="Times New Roman" w:eastAsia="Times New Roman" w:cs="Times New Roman"/>
          <w:spacing w:val="-32"/>
        </w:rPr>
        <w:t xml:space="preserve"> </w:t>
      </w:r>
      <w:r>
        <w:rPr>
          <w:spacing w:val="-2"/>
        </w:rPr>
        <w:t>，配套建设升压站、箱变、光伏阵列</w:t>
      </w:r>
      <w:r>
        <w:rPr>
          <w:spacing w:val="-3"/>
        </w:rPr>
        <w:t>区。</w:t>
      </w:r>
    </w:p>
    <w:p w14:paraId="4FB7AF6F">
      <w:pPr>
        <w:pStyle w:val="2"/>
        <w:spacing w:before="35" w:line="346" w:lineRule="auto"/>
        <w:ind w:left="36" w:right="2" w:firstLine="451"/>
      </w:pPr>
      <w:r>
        <w:rPr>
          <w:spacing w:val="-1"/>
        </w:rPr>
        <w:t>化桃箐光伏发电项目由京能（寻甸）新能源有限公</w:t>
      </w:r>
      <w:r>
        <w:rPr>
          <w:spacing w:val="-2"/>
        </w:rPr>
        <w:t>司投资建设，项目位于云南省</w:t>
      </w:r>
      <w:r>
        <w:t xml:space="preserve"> </w:t>
      </w:r>
      <w:r>
        <w:rPr>
          <w:spacing w:val="-1"/>
        </w:rPr>
        <w:t>昆明市寻甸回族彝族自治县河口镇境内，光伏</w:t>
      </w:r>
      <w:r>
        <w:rPr>
          <w:spacing w:val="-2"/>
        </w:rPr>
        <w:t>场区地理坐标介于东经</w:t>
      </w:r>
    </w:p>
    <w:p w14:paraId="3F388791">
      <w:pPr>
        <w:pStyle w:val="2"/>
        <w:spacing w:before="32" w:line="356" w:lineRule="auto"/>
        <w:ind w:firstLine="26"/>
      </w:pPr>
      <w:r>
        <w:rPr>
          <w:rFonts w:ascii="Times New Roman" w:hAnsi="Times New Roman" w:eastAsia="Times New Roman" w:cs="Times New Roman"/>
          <w:spacing w:val="-3"/>
        </w:rPr>
        <w:t>103°22′30″~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103°28′20″</w:t>
      </w:r>
      <w:r>
        <w:rPr>
          <w:rFonts w:ascii="Times New Roman" w:hAnsi="Times New Roman" w:eastAsia="Times New Roman" w:cs="Times New Roman"/>
          <w:spacing w:val="-30"/>
        </w:rPr>
        <w:t xml:space="preserve"> </w:t>
      </w:r>
      <w:r>
        <w:rPr>
          <w:spacing w:val="-3"/>
        </w:rPr>
        <w:t>，北纬</w:t>
      </w:r>
      <w:r>
        <w:rPr>
          <w:spacing w:val="-55"/>
        </w:rPr>
        <w:t xml:space="preserve"> </w:t>
      </w:r>
      <w:r>
        <w:rPr>
          <w:rFonts w:ascii="Times New Roman" w:hAnsi="Times New Roman" w:eastAsia="Times New Roman" w:cs="Times New Roman"/>
          <w:spacing w:val="-3"/>
        </w:rPr>
        <w:t>25°42′30″~26°40′00″</w:t>
      </w:r>
      <w:r>
        <w:rPr>
          <w:rFonts w:ascii="Times New Roman" w:hAnsi="Times New Roman" w:eastAsia="Times New Roman" w:cs="Times New Roman"/>
          <w:spacing w:val="-30"/>
        </w:rPr>
        <w:t xml:space="preserve"> </w:t>
      </w:r>
      <w:r>
        <w:rPr>
          <w:spacing w:val="-3"/>
        </w:rPr>
        <w:t>，升压站中心坐标位于东</w:t>
      </w:r>
      <w:r>
        <w:rPr>
          <w:spacing w:val="-4"/>
        </w:rPr>
        <w:t>经</w:t>
      </w:r>
      <w:r>
        <w:rPr>
          <w:spacing w:val="-32"/>
        </w:rPr>
        <w:t xml:space="preserve"> </w:t>
      </w:r>
      <w:r>
        <w:rPr>
          <w:rFonts w:ascii="Times New Roman" w:hAnsi="Times New Roman" w:eastAsia="Times New Roman" w:cs="Times New Roman"/>
          <w:spacing w:val="-4"/>
        </w:rPr>
        <w:t>103</w:t>
      </w:r>
      <w:r>
        <w:rPr>
          <w:rFonts w:ascii="Times New Roman" w:hAnsi="Times New Roman" w:eastAsia="Times New Roman" w:cs="Times New Roman"/>
          <w:spacing w:val="-29"/>
        </w:rPr>
        <w:t xml:space="preserve"> </w:t>
      </w:r>
      <w:r>
        <w:rPr>
          <w:spacing w:val="-4"/>
        </w:rPr>
        <w:t>°</w:t>
      </w:r>
      <w:r>
        <w:t xml:space="preserve">  </w:t>
      </w:r>
      <w:r>
        <w:rPr>
          <w:rFonts w:ascii="Times New Roman" w:hAnsi="Times New Roman" w:eastAsia="Times New Roman" w:cs="Times New Roman"/>
          <w:spacing w:val="-10"/>
        </w:rPr>
        <w:t>25</w:t>
      </w:r>
      <w:r>
        <w:rPr>
          <w:rFonts w:ascii="Times New Roman" w:hAnsi="Times New Roman" w:eastAsia="Times New Roman" w:cs="Times New Roman"/>
          <w:spacing w:val="-17"/>
        </w:rPr>
        <w:t xml:space="preserve"> </w:t>
      </w:r>
      <w:r>
        <w:rPr>
          <w:spacing w:val="-10"/>
        </w:rPr>
        <w:t>′</w:t>
      </w:r>
      <w:r>
        <w:rPr>
          <w:rFonts w:ascii="Times New Roman" w:hAnsi="Times New Roman" w:eastAsia="Times New Roman" w:cs="Times New Roman"/>
          <w:spacing w:val="-10"/>
        </w:rPr>
        <w:t>28.2</w:t>
      </w:r>
      <w:r>
        <w:rPr>
          <w:rFonts w:ascii="Times New Roman" w:hAnsi="Times New Roman" w:eastAsia="Times New Roman" w:cs="Times New Roman"/>
          <w:spacing w:val="-9"/>
        </w:rPr>
        <w:t>93</w:t>
      </w:r>
      <w:r>
        <w:rPr>
          <w:rFonts w:ascii="Times New Roman" w:hAnsi="Times New Roman" w:eastAsia="Times New Roman" w:cs="Times New Roman"/>
          <w:spacing w:val="-15"/>
        </w:rPr>
        <w:t xml:space="preserve"> </w:t>
      </w:r>
      <w:r>
        <w:rPr>
          <w:spacing w:val="-9"/>
        </w:rPr>
        <w:t>″，北纬</w:t>
      </w:r>
      <w:r>
        <w:rPr>
          <w:spacing w:val="-67"/>
        </w:rPr>
        <w:t xml:space="preserve"> </w:t>
      </w:r>
      <w:r>
        <w:rPr>
          <w:rFonts w:ascii="Times New Roman" w:hAnsi="Times New Roman" w:eastAsia="Times New Roman" w:cs="Times New Roman"/>
          <w:spacing w:val="-9"/>
        </w:rPr>
        <w:t>25</w:t>
      </w:r>
      <w:r>
        <w:rPr>
          <w:rFonts w:ascii="Times New Roman" w:hAnsi="Times New Roman" w:eastAsia="Times New Roman" w:cs="Times New Roman"/>
          <w:spacing w:val="-29"/>
        </w:rPr>
        <w:t xml:space="preserve"> </w:t>
      </w:r>
      <w:r>
        <w:rPr>
          <w:spacing w:val="-9"/>
        </w:rPr>
        <w:t>°</w:t>
      </w:r>
      <w:r>
        <w:rPr>
          <w:rFonts w:ascii="Times New Roman" w:hAnsi="Times New Roman" w:eastAsia="Times New Roman" w:cs="Times New Roman"/>
          <w:spacing w:val="-9"/>
        </w:rPr>
        <w:t>41</w:t>
      </w:r>
      <w:r>
        <w:rPr>
          <w:rFonts w:ascii="Times New Roman" w:hAnsi="Times New Roman" w:eastAsia="Times New Roman" w:cs="Times New Roman"/>
          <w:spacing w:val="-17"/>
        </w:rPr>
        <w:t xml:space="preserve"> </w:t>
      </w:r>
      <w:r>
        <w:rPr>
          <w:spacing w:val="-9"/>
        </w:rPr>
        <w:t>′</w:t>
      </w:r>
      <w:r>
        <w:rPr>
          <w:rFonts w:ascii="Times New Roman" w:hAnsi="Times New Roman" w:eastAsia="Times New Roman" w:cs="Times New Roman"/>
          <w:spacing w:val="-9"/>
        </w:rPr>
        <w:t>32.340</w:t>
      </w:r>
      <w:r>
        <w:rPr>
          <w:rFonts w:ascii="Times New Roman" w:hAnsi="Times New Roman" w:eastAsia="Times New Roman" w:cs="Times New Roman"/>
          <w:spacing w:val="-16"/>
        </w:rPr>
        <w:t xml:space="preserve"> </w:t>
      </w:r>
      <w:r>
        <w:rPr>
          <w:spacing w:val="-9"/>
        </w:rPr>
        <w:t>″。项目区共布置</w:t>
      </w:r>
      <w:r>
        <w:rPr>
          <w:spacing w:val="-60"/>
        </w:rPr>
        <w:t xml:space="preserve"> </w:t>
      </w:r>
      <w:r>
        <w:rPr>
          <w:rFonts w:ascii="Times New Roman" w:hAnsi="Times New Roman" w:eastAsia="Times New Roman" w:cs="Times New Roman"/>
          <w:spacing w:val="-9"/>
        </w:rPr>
        <w:t xml:space="preserve">37 </w:t>
      </w:r>
      <w:r>
        <w:rPr>
          <w:spacing w:val="-9"/>
        </w:rPr>
        <w:t>个光伏发电</w:t>
      </w:r>
      <w:r>
        <w:rPr>
          <w:spacing w:val="-10"/>
        </w:rPr>
        <w:t>单元和一座</w:t>
      </w:r>
      <w:r>
        <w:rPr>
          <w:rFonts w:ascii="Times New Roman" w:hAnsi="Times New Roman" w:eastAsia="Times New Roman" w:cs="Times New Roman"/>
          <w:spacing w:val="-10"/>
        </w:rPr>
        <w:t>220k</w:t>
      </w:r>
      <w:r>
        <w:rPr>
          <w:rFonts w:ascii="Times New Roman" w:hAnsi="Times New Roman" w:eastAsia="Times New Roman" w:cs="Times New Roman"/>
          <w:spacing w:val="-3"/>
        </w:rPr>
        <w:t>V</w:t>
      </w:r>
      <w:r>
        <w:rPr>
          <w:rFonts w:ascii="Times New Roman" w:hAnsi="Times New Roman" w:eastAsia="Times New Roman" w:cs="Times New Roman"/>
        </w:rPr>
        <w:t xml:space="preserve"> </w:t>
      </w:r>
      <w:r>
        <w:rPr>
          <w:spacing w:val="-7"/>
        </w:rPr>
        <w:t>升压站。项目额定容量</w:t>
      </w:r>
      <w:r>
        <w:rPr>
          <w:spacing w:val="-59"/>
        </w:rPr>
        <w:t xml:space="preserve"> </w:t>
      </w:r>
      <w:r>
        <w:rPr>
          <w:rFonts w:ascii="Times New Roman" w:hAnsi="Times New Roman" w:eastAsia="Times New Roman" w:cs="Times New Roman"/>
          <w:spacing w:val="-7"/>
        </w:rPr>
        <w:t>95.7MW</w:t>
      </w:r>
      <w:r>
        <w:rPr>
          <w:spacing w:val="-7"/>
        </w:rPr>
        <w:t>（交流侧</w:t>
      </w:r>
      <w:r>
        <w:rPr>
          <w:spacing w:val="-5"/>
        </w:rPr>
        <w:t>），</w:t>
      </w:r>
      <w:r>
        <w:rPr>
          <w:spacing w:val="-7"/>
        </w:rPr>
        <w:t>实际直流侧安装容量</w:t>
      </w:r>
      <w:r>
        <w:rPr>
          <w:spacing w:val="-42"/>
        </w:rPr>
        <w:t xml:space="preserve"> </w:t>
      </w:r>
      <w:r>
        <w:rPr>
          <w:rFonts w:ascii="Times New Roman" w:hAnsi="Times New Roman" w:eastAsia="Times New Roman" w:cs="Times New Roman"/>
          <w:spacing w:val="-8"/>
        </w:rPr>
        <w:t>115.290MWp</w:t>
      </w:r>
      <w:r>
        <w:rPr>
          <w:spacing w:val="-8"/>
        </w:rPr>
        <w:t>，拟采</w:t>
      </w:r>
      <w:r>
        <w:t xml:space="preserve">  </w:t>
      </w:r>
      <w:r>
        <w:rPr>
          <w:spacing w:val="-1"/>
        </w:rPr>
        <w:t>用</w:t>
      </w:r>
      <w:r>
        <w:rPr>
          <w:spacing w:val="-59"/>
        </w:rPr>
        <w:t xml:space="preserve"> </w:t>
      </w:r>
      <w:r>
        <w:rPr>
          <w:rFonts w:ascii="Times New Roman" w:hAnsi="Times New Roman" w:eastAsia="Times New Roman" w:cs="Times New Roman"/>
          <w:spacing w:val="-1"/>
        </w:rPr>
        <w:t xml:space="preserve">630Wp </w:t>
      </w:r>
      <w:r>
        <w:rPr>
          <w:spacing w:val="-1"/>
        </w:rPr>
        <w:t>单晶硅电池组件</w:t>
      </w:r>
      <w:r>
        <w:rPr>
          <w:spacing w:val="-32"/>
        </w:rPr>
        <w:t xml:space="preserve"> </w:t>
      </w:r>
      <w:r>
        <w:rPr>
          <w:rFonts w:ascii="Times New Roman" w:hAnsi="Times New Roman" w:eastAsia="Times New Roman" w:cs="Times New Roman"/>
          <w:spacing w:val="-1"/>
        </w:rPr>
        <w:t xml:space="preserve">183000 </w:t>
      </w:r>
      <w:r>
        <w:rPr>
          <w:spacing w:val="-1"/>
        </w:rPr>
        <w:t>块，每个单晶硅光伏阵</w:t>
      </w:r>
      <w:r>
        <w:rPr>
          <w:spacing w:val="-2"/>
        </w:rPr>
        <w:t xml:space="preserve">列单元由 </w:t>
      </w:r>
      <w:r>
        <w:rPr>
          <w:rFonts w:ascii="Times New Roman" w:hAnsi="Times New Roman" w:eastAsia="Times New Roman" w:cs="Times New Roman"/>
          <w:spacing w:val="-2"/>
        </w:rPr>
        <w:t xml:space="preserve">60~264  </w:t>
      </w:r>
      <w:r>
        <w:rPr>
          <w:spacing w:val="-2"/>
        </w:rPr>
        <w:t>路单晶硅</w:t>
      </w:r>
      <w:r>
        <w:t xml:space="preserve"> 电池组串并联而成，地块分散且复杂，根据地块布置情况，每 </w:t>
      </w:r>
      <w:r>
        <w:rPr>
          <w:rFonts w:ascii="Times New Roman" w:hAnsi="Times New Roman" w:eastAsia="Times New Roman" w:cs="Times New Roman"/>
        </w:rPr>
        <w:t>20/22/23/24/25/26</w:t>
      </w:r>
      <w:r>
        <w:rPr>
          <w:rFonts w:ascii="Times New Roman" w:hAnsi="Times New Roman" w:eastAsia="Times New Roman" w:cs="Times New Roman"/>
          <w:spacing w:val="-1"/>
        </w:rPr>
        <w:t xml:space="preserve">  </w:t>
      </w:r>
      <w:r>
        <w:rPr>
          <w:spacing w:val="-1"/>
        </w:rPr>
        <w:t>路</w:t>
      </w:r>
      <w:r>
        <w:t xml:space="preserve">  </w:t>
      </w:r>
      <w:r>
        <w:rPr>
          <w:spacing w:val="-4"/>
        </w:rPr>
        <w:t>单晶硅电池组串并联接入</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8"/>
          <w:w w:val="101"/>
        </w:rPr>
        <w:t xml:space="preserve"> </w:t>
      </w:r>
      <w:r>
        <w:rPr>
          <w:spacing w:val="-4"/>
        </w:rPr>
        <w:t>台</w:t>
      </w:r>
      <w:r>
        <w:rPr>
          <w:spacing w:val="-51"/>
        </w:rPr>
        <w:t xml:space="preserve"> </w:t>
      </w:r>
      <w:r>
        <w:rPr>
          <w:rFonts w:ascii="Times New Roman" w:hAnsi="Times New Roman" w:eastAsia="Times New Roman" w:cs="Times New Roman"/>
          <w:spacing w:val="-4"/>
        </w:rPr>
        <w:t xml:space="preserve">300kW  </w:t>
      </w:r>
      <w:r>
        <w:rPr>
          <w:spacing w:val="-4"/>
        </w:rPr>
        <w:t>组串式逆变器，每个单元阵列配置</w:t>
      </w:r>
      <w:r>
        <w:rPr>
          <w:spacing w:val="-50"/>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11</w:t>
      </w:r>
      <w:r>
        <w:rPr>
          <w:rFonts w:ascii="Times New Roman" w:hAnsi="Times New Roman" w:eastAsia="Times New Roman" w:cs="Times New Roman"/>
          <w:spacing w:val="26"/>
        </w:rPr>
        <w:t xml:space="preserve"> </w:t>
      </w:r>
      <w:r>
        <w:rPr>
          <w:spacing w:val="-4"/>
        </w:rPr>
        <w:t>台</w:t>
      </w:r>
      <w:r>
        <w:rPr>
          <w:spacing w:val="-50"/>
        </w:rPr>
        <w:t xml:space="preserve"> </w:t>
      </w:r>
      <w:r>
        <w:rPr>
          <w:rFonts w:ascii="Times New Roman" w:hAnsi="Times New Roman" w:eastAsia="Times New Roman" w:cs="Times New Roman"/>
          <w:spacing w:val="-5"/>
        </w:rPr>
        <w:t>300</w:t>
      </w:r>
      <w:r>
        <w:rPr>
          <w:rFonts w:ascii="Times New Roman" w:hAnsi="Times New Roman" w:eastAsia="Times New Roman" w:cs="Times New Roman"/>
        </w:rPr>
        <w:t xml:space="preserve"> </w:t>
      </w:r>
      <w:r>
        <w:rPr>
          <w:rFonts w:ascii="Times New Roman" w:hAnsi="Times New Roman" w:eastAsia="Times New Roman" w:cs="Times New Roman"/>
          <w:spacing w:val="-1"/>
        </w:rPr>
        <w:t xml:space="preserve">kW </w:t>
      </w:r>
      <w:r>
        <w:rPr>
          <w:spacing w:val="-1"/>
        </w:rPr>
        <w:t>组串式逆变器，</w:t>
      </w:r>
      <w:r>
        <w:rPr>
          <w:rFonts w:ascii="Times New Roman" w:hAnsi="Times New Roman" w:eastAsia="Times New Roman" w:cs="Times New Roman"/>
          <w:spacing w:val="-1"/>
        </w:rPr>
        <w:t>1</w:t>
      </w:r>
      <w:r>
        <w:rPr>
          <w:rFonts w:ascii="Times New Roman" w:hAnsi="Times New Roman" w:eastAsia="Times New Roman" w:cs="Times New Roman"/>
          <w:spacing w:val="28"/>
          <w:w w:val="101"/>
        </w:rPr>
        <w:t xml:space="preserve"> </w:t>
      </w:r>
      <w:r>
        <w:rPr>
          <w:spacing w:val="-1"/>
        </w:rPr>
        <w:t>台容量为</w:t>
      </w:r>
      <w:r>
        <w:rPr>
          <w:spacing w:val="-51"/>
        </w:rPr>
        <w:t xml:space="preserve"> </w:t>
      </w:r>
      <w:r>
        <w:rPr>
          <w:rFonts w:ascii="Times New Roman" w:hAnsi="Times New Roman" w:eastAsia="Times New Roman" w:cs="Times New Roman"/>
          <w:spacing w:val="-1"/>
        </w:rPr>
        <w:t>900/1200</w:t>
      </w:r>
      <w:r>
        <w:rPr>
          <w:rFonts w:ascii="Times New Roman" w:hAnsi="Times New Roman" w:eastAsia="Times New Roman" w:cs="Times New Roman"/>
          <w:spacing w:val="-2"/>
        </w:rPr>
        <w:t xml:space="preserve">/1800/2100/2400/2700/3300kVA </w:t>
      </w:r>
      <w:r>
        <w:rPr>
          <w:spacing w:val="-2"/>
        </w:rPr>
        <w:t>箱变。全站设</w:t>
      </w:r>
      <w:r>
        <w:t xml:space="preserve"> </w:t>
      </w:r>
      <w:r>
        <w:rPr>
          <w:rFonts w:ascii="Times New Roman" w:hAnsi="Times New Roman" w:eastAsia="Times New Roman" w:cs="Times New Roman"/>
          <w:spacing w:val="-4"/>
        </w:rPr>
        <w:t>319</w:t>
      </w:r>
      <w:r>
        <w:rPr>
          <w:rFonts w:ascii="Times New Roman" w:hAnsi="Times New Roman" w:eastAsia="Times New Roman" w:cs="Times New Roman"/>
          <w:spacing w:val="28"/>
        </w:rPr>
        <w:t xml:space="preserve"> </w:t>
      </w:r>
      <w:r>
        <w:rPr>
          <w:spacing w:val="-4"/>
        </w:rPr>
        <w:t>台</w:t>
      </w:r>
      <w:r>
        <w:rPr>
          <w:spacing w:val="-50"/>
        </w:rPr>
        <w:t xml:space="preserve"> </w:t>
      </w:r>
      <w:r>
        <w:rPr>
          <w:rFonts w:ascii="Times New Roman" w:hAnsi="Times New Roman" w:eastAsia="Times New Roman" w:cs="Times New Roman"/>
          <w:spacing w:val="-4"/>
        </w:rPr>
        <w:t xml:space="preserve">300kW </w:t>
      </w:r>
      <w:r>
        <w:rPr>
          <w:spacing w:val="-4"/>
        </w:rPr>
        <w:t>组串式逆变器，</w:t>
      </w:r>
      <w:r>
        <w:rPr>
          <w:rFonts w:ascii="Times New Roman" w:hAnsi="Times New Roman" w:eastAsia="Times New Roman" w:cs="Times New Roman"/>
          <w:spacing w:val="-4"/>
        </w:rPr>
        <w:t>37</w:t>
      </w:r>
      <w:r>
        <w:rPr>
          <w:rFonts w:ascii="Times New Roman" w:hAnsi="Times New Roman" w:eastAsia="Times New Roman" w:cs="Times New Roman"/>
          <w:spacing w:val="28"/>
        </w:rPr>
        <w:t xml:space="preserve"> </w:t>
      </w:r>
      <w:r>
        <w:rPr>
          <w:spacing w:val="-4"/>
        </w:rPr>
        <w:t>台</w:t>
      </w:r>
      <w:r>
        <w:rPr>
          <w:spacing w:val="-50"/>
        </w:rPr>
        <w:t xml:space="preserve"> </w:t>
      </w:r>
      <w:r>
        <w:rPr>
          <w:rFonts w:ascii="Times New Roman" w:hAnsi="Times New Roman" w:eastAsia="Times New Roman" w:cs="Times New Roman"/>
          <w:spacing w:val="-4"/>
        </w:rPr>
        <w:t xml:space="preserve">35kV </w:t>
      </w:r>
      <w:r>
        <w:rPr>
          <w:spacing w:val="-4"/>
        </w:rPr>
        <w:t>升压箱变，全站装机容量通过</w:t>
      </w:r>
      <w:r>
        <w:rPr>
          <w:spacing w:val="-56"/>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33"/>
        </w:rPr>
        <w:t xml:space="preserve"> </w:t>
      </w:r>
      <w:r>
        <w:rPr>
          <w:spacing w:val="-4"/>
        </w:rPr>
        <w:t>回</w:t>
      </w:r>
      <w:r>
        <w:rPr>
          <w:spacing w:val="-51"/>
        </w:rPr>
        <w:t xml:space="preserve"> </w:t>
      </w:r>
      <w:r>
        <w:rPr>
          <w:rFonts w:ascii="Times New Roman" w:hAnsi="Times New Roman" w:eastAsia="Times New Roman" w:cs="Times New Roman"/>
          <w:spacing w:val="-5"/>
        </w:rPr>
        <w:t xml:space="preserve">35kV  </w:t>
      </w:r>
      <w:r>
        <w:rPr>
          <w:spacing w:val="-5"/>
        </w:rPr>
        <w:t>电</w:t>
      </w:r>
      <w:r>
        <w:t xml:space="preserve"> </w:t>
      </w:r>
      <w:r>
        <w:rPr>
          <w:spacing w:val="-2"/>
        </w:rPr>
        <w:t>缆集电线路输送至升压站。新建一座</w:t>
      </w:r>
      <w:r>
        <w:rPr>
          <w:spacing w:val="-55"/>
        </w:rPr>
        <w:t xml:space="preserve"> </w:t>
      </w:r>
      <w:r>
        <w:rPr>
          <w:rFonts w:ascii="Times New Roman" w:hAnsi="Times New Roman" w:eastAsia="Times New Roman" w:cs="Times New Roman"/>
          <w:spacing w:val="-2"/>
        </w:rPr>
        <w:t xml:space="preserve">220kV </w:t>
      </w:r>
      <w:r>
        <w:rPr>
          <w:spacing w:val="-2"/>
        </w:rPr>
        <w:t>升压站，配套建</w:t>
      </w:r>
      <w:r>
        <w:rPr>
          <w:spacing w:val="-3"/>
        </w:rPr>
        <w:t>设</w:t>
      </w:r>
      <w:r>
        <w:rPr>
          <w:spacing w:val="-3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8"/>
        </w:rPr>
        <w:t xml:space="preserve"> </w:t>
      </w:r>
      <w:r>
        <w:rPr>
          <w:spacing w:val="-3"/>
        </w:rPr>
        <w:t>台容量为</w:t>
      </w:r>
      <w:r>
        <w:rPr>
          <w:spacing w:val="-32"/>
        </w:rPr>
        <w:t xml:space="preserve"> </w:t>
      </w:r>
      <w:r>
        <w:rPr>
          <w:rFonts w:ascii="Times New Roman" w:hAnsi="Times New Roman" w:eastAsia="Times New Roman" w:cs="Times New Roman"/>
          <w:spacing w:val="-3"/>
        </w:rPr>
        <w:t>180MVA</w:t>
      </w:r>
      <w:r>
        <w:rPr>
          <w:rFonts w:ascii="Times New Roman" w:hAnsi="Times New Roman" w:eastAsia="Times New Roman" w:cs="Times New Roman"/>
        </w:rPr>
        <w:t xml:space="preserve">   </w:t>
      </w:r>
      <w:r>
        <w:rPr>
          <w:spacing w:val="-2"/>
        </w:rPr>
        <w:t>的主变压器，通过</w:t>
      </w:r>
      <w:r>
        <w:rPr>
          <w:spacing w:val="-31"/>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w w:val="101"/>
        </w:rPr>
        <w:t xml:space="preserve"> </w:t>
      </w:r>
      <w:r>
        <w:rPr>
          <w:spacing w:val="-2"/>
        </w:rPr>
        <w:t>回</w:t>
      </w:r>
      <w:r>
        <w:rPr>
          <w:spacing w:val="-55"/>
        </w:rPr>
        <w:t xml:space="preserve"> </w:t>
      </w:r>
      <w:r>
        <w:rPr>
          <w:rFonts w:ascii="Times New Roman" w:hAnsi="Times New Roman" w:eastAsia="Times New Roman" w:cs="Times New Roman"/>
          <w:spacing w:val="-2"/>
        </w:rPr>
        <w:t xml:space="preserve">220kV </w:t>
      </w:r>
      <w:r>
        <w:rPr>
          <w:spacing w:val="-2"/>
        </w:rPr>
        <w:t>送出线路接入</w:t>
      </w:r>
      <w:r>
        <w:rPr>
          <w:spacing w:val="-49"/>
        </w:rPr>
        <w:t xml:space="preserve"> </w:t>
      </w:r>
      <w:r>
        <w:rPr>
          <w:rFonts w:ascii="Times New Roman" w:hAnsi="Times New Roman" w:eastAsia="Times New Roman" w:cs="Times New Roman"/>
          <w:spacing w:val="-2"/>
        </w:rPr>
        <w:t xml:space="preserve">500kV </w:t>
      </w:r>
      <w:r>
        <w:rPr>
          <w:spacing w:val="-2"/>
        </w:rPr>
        <w:t>麒</w:t>
      </w:r>
      <w:r>
        <w:rPr>
          <w:spacing w:val="-3"/>
        </w:rPr>
        <w:t>麟变</w:t>
      </w:r>
      <w:r>
        <w:rPr>
          <w:spacing w:val="-55"/>
        </w:rPr>
        <w:t xml:space="preserve"> </w:t>
      </w:r>
      <w:r>
        <w:rPr>
          <w:rFonts w:ascii="Times New Roman" w:hAnsi="Times New Roman" w:eastAsia="Times New Roman" w:cs="Times New Roman"/>
          <w:spacing w:val="-3"/>
        </w:rPr>
        <w:t xml:space="preserve">220kV </w:t>
      </w:r>
      <w:r>
        <w:rPr>
          <w:spacing w:val="-3"/>
        </w:rPr>
        <w:t>侧。</w:t>
      </w:r>
    </w:p>
    <w:p w14:paraId="0C8FAEAE">
      <w:pPr>
        <w:pStyle w:val="2"/>
        <w:spacing w:before="42" w:line="350" w:lineRule="auto"/>
        <w:ind w:left="7" w:right="4" w:firstLine="480"/>
      </w:pPr>
      <w:r>
        <w:rPr>
          <w:spacing w:val="-6"/>
        </w:rPr>
        <w:t>根据项目投资备案证，</w:t>
      </w:r>
      <w:r>
        <w:rPr>
          <w:rFonts w:ascii="Times New Roman" w:hAnsi="Times New Roman" w:eastAsia="Times New Roman" w:cs="Times New Roman"/>
          <w:spacing w:val="-6"/>
        </w:rPr>
        <w:t xml:space="preserve">220kV </w:t>
      </w:r>
      <w:r>
        <w:rPr>
          <w:spacing w:val="-6"/>
        </w:rPr>
        <w:t>架空输</w:t>
      </w:r>
      <w:r>
        <w:rPr>
          <w:spacing w:val="-7"/>
        </w:rPr>
        <w:t>出线路单独进行核准，本次评价不包含</w:t>
      </w:r>
      <w:r>
        <w:rPr>
          <w:spacing w:val="-67"/>
        </w:rPr>
        <w:t xml:space="preserve"> </w:t>
      </w:r>
      <w:r>
        <w:rPr>
          <w:rFonts w:ascii="Times New Roman" w:hAnsi="Times New Roman" w:eastAsia="Times New Roman" w:cs="Times New Roman"/>
          <w:spacing w:val="-7"/>
        </w:rPr>
        <w:t>220kV</w:t>
      </w:r>
      <w:r>
        <w:rPr>
          <w:rFonts w:ascii="Times New Roman" w:hAnsi="Times New Roman" w:eastAsia="Times New Roman" w:cs="Times New Roman"/>
        </w:rPr>
        <w:t xml:space="preserve"> </w:t>
      </w:r>
      <w:r>
        <w:rPr>
          <w:spacing w:val="1"/>
        </w:rPr>
        <w:t>架空线路工程内容，建设单位在开展送出</w:t>
      </w:r>
      <w:r>
        <w:rPr>
          <w:rFonts w:ascii="Times New Roman" w:hAnsi="Times New Roman" w:eastAsia="Times New Roman" w:cs="Times New Roman"/>
          <w:spacing w:val="1"/>
        </w:rPr>
        <w:t>220</w:t>
      </w:r>
      <w:r>
        <w:rPr>
          <w:rFonts w:ascii="Times New Roman" w:hAnsi="Times New Roman" w:eastAsia="Times New Roman" w:cs="Times New Roman"/>
        </w:rPr>
        <w:t>KV</w:t>
      </w:r>
      <w:r>
        <w:rPr>
          <w:rFonts w:ascii="Times New Roman" w:hAnsi="Times New Roman" w:eastAsia="Times New Roman" w:cs="Times New Roman"/>
          <w:spacing w:val="1"/>
        </w:rPr>
        <w:t xml:space="preserve"> </w:t>
      </w:r>
      <w:r>
        <w:rPr>
          <w:spacing w:val="1"/>
        </w:rPr>
        <w:t>输出线路工程时另行办理相关环保</w:t>
      </w:r>
      <w:r>
        <w:rPr>
          <w:spacing w:val="11"/>
        </w:rPr>
        <w:t xml:space="preserve"> </w:t>
      </w:r>
      <w:r>
        <w:rPr>
          <w:spacing w:val="-1"/>
        </w:rPr>
        <w:t>手续，本次不对</w:t>
      </w:r>
      <w:r>
        <w:rPr>
          <w:spacing w:val="-49"/>
        </w:rPr>
        <w:t xml:space="preserve"> </w:t>
      </w:r>
      <w:r>
        <w:rPr>
          <w:rFonts w:ascii="Times New Roman" w:hAnsi="Times New Roman" w:eastAsia="Times New Roman" w:cs="Times New Roman"/>
          <w:spacing w:val="-1"/>
        </w:rPr>
        <w:t xml:space="preserve">220KV </w:t>
      </w:r>
      <w:r>
        <w:rPr>
          <w:spacing w:val="-1"/>
        </w:rPr>
        <w:t>输出线路工程做评价。</w:t>
      </w:r>
    </w:p>
    <w:p w14:paraId="76B24A0E">
      <w:pPr>
        <w:pStyle w:val="2"/>
        <w:spacing w:before="35" w:line="350" w:lineRule="auto"/>
        <w:ind w:left="6" w:right="2" w:firstLine="504"/>
      </w:pPr>
      <w:r>
        <w:rPr>
          <w:spacing w:val="-2"/>
        </w:rPr>
        <w:t>同时场区道路以消防通道单独进行立项报批，本次不进行评价，建设单位在开展</w:t>
      </w:r>
      <w:r>
        <w:t xml:space="preserve"> </w:t>
      </w:r>
      <w:r>
        <w:rPr>
          <w:spacing w:val="-1"/>
        </w:rPr>
        <w:t>道路工程时另行办理相关环保手续。此外光伏电站还需实施草光</w:t>
      </w:r>
      <w:r>
        <w:rPr>
          <w:spacing w:val="-2"/>
        </w:rPr>
        <w:t>互补工程，现阶段未</w:t>
      </w:r>
      <w:r>
        <w:t xml:space="preserve"> </w:t>
      </w:r>
      <w:r>
        <w:rPr>
          <w:spacing w:val="-1"/>
        </w:rPr>
        <w:t>明确具体的草光互补方案，待草光互补方案确定后，建设单位依</w:t>
      </w:r>
      <w:r>
        <w:rPr>
          <w:spacing w:val="-2"/>
        </w:rPr>
        <w:t>据《中华人民共和国</w:t>
      </w:r>
    </w:p>
    <w:p w14:paraId="435249E8">
      <w:pPr>
        <w:spacing w:line="350" w:lineRule="auto"/>
        <w:sectPr>
          <w:footerReference r:id="rId7" w:type="default"/>
          <w:pgSz w:w="11906" w:h="16839"/>
          <w:pgMar w:top="1431" w:right="1527" w:bottom="1278" w:left="1533" w:header="0" w:footer="1116" w:gutter="0"/>
          <w:cols w:space="720" w:num="1"/>
        </w:sectPr>
      </w:pPr>
    </w:p>
    <w:p w14:paraId="3240B9CC">
      <w:pPr>
        <w:pStyle w:val="2"/>
        <w:spacing w:before="134" w:line="218" w:lineRule="auto"/>
      </w:pPr>
      <w:r>
        <w:rPr>
          <w:spacing w:val="-1"/>
        </w:rPr>
        <w:t>环境影响评价法》《建设项目环境保护管理条例》《建设项目</w:t>
      </w:r>
      <w:r>
        <w:rPr>
          <w:spacing w:val="-2"/>
        </w:rPr>
        <w:t>环境影响评价分类管理</w:t>
      </w:r>
    </w:p>
    <w:p w14:paraId="77CD77AC">
      <w:pPr>
        <w:pStyle w:val="2"/>
        <w:spacing w:before="182" w:line="219" w:lineRule="auto"/>
        <w:ind w:left="2"/>
      </w:pPr>
      <w:r>
        <w:rPr>
          <w:spacing w:val="-1"/>
        </w:rPr>
        <w:t>名录》的规定，另行办理环评手续。</w:t>
      </w:r>
    </w:p>
    <w:p w14:paraId="5CEA810A">
      <w:pPr>
        <w:pStyle w:val="2"/>
        <w:spacing w:before="185" w:line="353" w:lineRule="auto"/>
        <w:ind w:right="103" w:firstLine="479"/>
        <w:jc w:val="both"/>
      </w:pPr>
      <w:r>
        <w:rPr>
          <w:spacing w:val="-1"/>
        </w:rPr>
        <w:t>根据《中华人民共和国环境影响评价法》《建设项目</w:t>
      </w:r>
      <w:r>
        <w:rPr>
          <w:spacing w:val="-2"/>
        </w:rPr>
        <w:t>环境保护管理条例》等有关</w:t>
      </w:r>
      <w:r>
        <w:t xml:space="preserve"> </w:t>
      </w:r>
      <w:r>
        <w:rPr>
          <w:spacing w:val="-1"/>
        </w:rPr>
        <w:t>法律和规定，本项目应开展环境影响评价工作。根据《建设</w:t>
      </w:r>
      <w:r>
        <w:rPr>
          <w:spacing w:val="-2"/>
        </w:rPr>
        <w:t>项目环境影响评价分类管</w:t>
      </w:r>
      <w:r>
        <w:t xml:space="preserve"> </w:t>
      </w:r>
      <w:r>
        <w:rPr>
          <w:spacing w:val="2"/>
        </w:rPr>
        <w:t>理名录》（</w:t>
      </w:r>
      <w:r>
        <w:rPr>
          <w:rFonts w:ascii="Times New Roman" w:hAnsi="Times New Roman" w:eastAsia="Times New Roman" w:cs="Times New Roman"/>
          <w:spacing w:val="2"/>
        </w:rPr>
        <w:t>2021</w:t>
      </w:r>
      <w:r>
        <w:rPr>
          <w:spacing w:val="2"/>
        </w:rPr>
        <w:t>版</w:t>
      </w:r>
      <w:r>
        <w:rPr>
          <w:spacing w:val="5"/>
        </w:rPr>
        <w:t>），</w:t>
      </w:r>
      <w:r>
        <w:rPr>
          <w:spacing w:val="2"/>
        </w:rPr>
        <w:t>本项目属于“</w:t>
      </w:r>
      <w:r>
        <w:rPr>
          <w:spacing w:val="-88"/>
        </w:rPr>
        <w:t xml:space="preserve"> </w:t>
      </w:r>
      <w:r>
        <w:rPr>
          <w:spacing w:val="2"/>
        </w:rPr>
        <w:t>四十一、电力、热力生产和供</w:t>
      </w:r>
      <w:r>
        <w:rPr>
          <w:spacing w:val="1"/>
        </w:rPr>
        <w:t>应业中的</w:t>
      </w:r>
      <w:r>
        <w:rPr>
          <w:rFonts w:ascii="Times New Roman" w:hAnsi="Times New Roman" w:eastAsia="Times New Roman" w:cs="Times New Roman"/>
          <w:spacing w:val="1"/>
        </w:rPr>
        <w:t>90</w:t>
      </w:r>
      <w:r>
        <w:rPr>
          <w:spacing w:val="1"/>
        </w:rPr>
        <w:t>—太</w:t>
      </w:r>
      <w:r>
        <w:t xml:space="preserve"> </w:t>
      </w:r>
      <w:r>
        <w:rPr>
          <w:spacing w:val="-1"/>
        </w:rPr>
        <w:t>阳能发电</w:t>
      </w:r>
      <w:r>
        <w:rPr>
          <w:spacing w:val="-55"/>
        </w:rPr>
        <w:t xml:space="preserve"> </w:t>
      </w:r>
      <w:r>
        <w:rPr>
          <w:rFonts w:ascii="Times New Roman" w:hAnsi="Times New Roman" w:eastAsia="Times New Roman" w:cs="Times New Roman"/>
          <w:spacing w:val="-1"/>
        </w:rPr>
        <w:t>4416</w:t>
      </w:r>
      <w:r>
        <w:rPr>
          <w:spacing w:val="-1"/>
        </w:rPr>
        <w:t>（不含居民家用光伏发电</w:t>
      </w:r>
      <w:r>
        <w:rPr>
          <w:spacing w:val="6"/>
        </w:rPr>
        <w:t>）；</w:t>
      </w:r>
      <w:r>
        <w:rPr>
          <w:spacing w:val="-1"/>
        </w:rPr>
        <w:t>地面集中光伏电站（总容量大于</w:t>
      </w:r>
      <w:r>
        <w:rPr>
          <w:spacing w:val="-50"/>
        </w:rPr>
        <w:t xml:space="preserve"> </w:t>
      </w:r>
      <w:r>
        <w:rPr>
          <w:rFonts w:ascii="Times New Roman" w:hAnsi="Times New Roman" w:eastAsia="Times New Roman" w:cs="Times New Roman"/>
          <w:spacing w:val="-1"/>
        </w:rPr>
        <w:t xml:space="preserve">6000 </w:t>
      </w:r>
      <w:r>
        <w:rPr>
          <w:spacing w:val="-1"/>
        </w:rPr>
        <w:t>千</w:t>
      </w:r>
      <w:r>
        <w:t xml:space="preserve"> </w:t>
      </w:r>
      <w:r>
        <w:rPr>
          <w:spacing w:val="-2"/>
        </w:rPr>
        <w:t>瓦，且接入电压等级不小于</w:t>
      </w:r>
      <w:r>
        <w:rPr>
          <w:spacing w:val="-32"/>
        </w:rPr>
        <w:t xml:space="preserve"> </w:t>
      </w:r>
      <w:r>
        <w:rPr>
          <w:rFonts w:ascii="Times New Roman" w:hAnsi="Times New Roman" w:eastAsia="Times New Roman" w:cs="Times New Roman"/>
          <w:spacing w:val="-2"/>
        </w:rPr>
        <w:t xml:space="preserve">10 </w:t>
      </w:r>
      <w:r>
        <w:rPr>
          <w:spacing w:val="-2"/>
        </w:rPr>
        <w:t>千伏）</w:t>
      </w:r>
      <w:r>
        <w:rPr>
          <w:spacing w:val="-88"/>
        </w:rPr>
        <w:t xml:space="preserve"> </w:t>
      </w:r>
      <w:r>
        <w:rPr>
          <w:spacing w:val="-2"/>
        </w:rPr>
        <w:t>”，项目应编制环境</w:t>
      </w:r>
      <w:r>
        <w:rPr>
          <w:spacing w:val="-3"/>
        </w:rPr>
        <w:t>影响报告表。</w:t>
      </w:r>
    </w:p>
    <w:p w14:paraId="13FC347C">
      <w:pPr>
        <w:pStyle w:val="2"/>
        <w:spacing w:before="36" w:line="354" w:lineRule="auto"/>
        <w:ind w:left="2" w:firstLine="472"/>
        <w:jc w:val="both"/>
      </w:pPr>
      <w:r>
        <w:rPr>
          <w:rFonts w:ascii="Times New Roman" w:hAnsi="Times New Roman" w:eastAsia="Times New Roman" w:cs="Times New Roman"/>
          <w:spacing w:val="-1"/>
        </w:rPr>
        <w:t xml:space="preserve">2024 </w:t>
      </w:r>
      <w:r>
        <w:rPr>
          <w:spacing w:val="-1"/>
        </w:rPr>
        <w:t>年</w:t>
      </w:r>
      <w:r>
        <w:rPr>
          <w:spacing w:val="-25"/>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18"/>
        </w:rPr>
        <w:t xml:space="preserve"> </w:t>
      </w:r>
      <w:r>
        <w:rPr>
          <w:spacing w:val="-1"/>
        </w:rPr>
        <w:t>月建设单位委托我公司（云南清蓝源环保科技有限公司）承担本项目</w:t>
      </w:r>
      <w:r>
        <w:t xml:space="preserve">  </w:t>
      </w:r>
      <w:r>
        <w:rPr>
          <w:spacing w:val="-1"/>
        </w:rPr>
        <w:t>的环境影响评价工作。接受委托后我公司对建设项目现</w:t>
      </w:r>
      <w:r>
        <w:rPr>
          <w:spacing w:val="-2"/>
        </w:rPr>
        <w:t>场进行了调查和踏勘，并收集</w:t>
      </w:r>
      <w:r>
        <w:t xml:space="preserve">  </w:t>
      </w:r>
      <w:r>
        <w:rPr>
          <w:spacing w:val="-3"/>
        </w:rPr>
        <w:t>了相关资料，按照《建设项目环境影响报告表编制技术指南（生态影响类</w:t>
      </w:r>
      <w:r>
        <w:rPr>
          <w:spacing w:val="-38"/>
        </w:rPr>
        <w:t>）（</w:t>
      </w:r>
      <w:r>
        <w:rPr>
          <w:spacing w:val="-3"/>
        </w:rPr>
        <w:t>试</w:t>
      </w:r>
      <w:r>
        <w:rPr>
          <w:spacing w:val="-4"/>
        </w:rPr>
        <w:t>行）》</w:t>
      </w:r>
      <w:r>
        <w:rPr>
          <w:spacing w:val="1"/>
        </w:rPr>
        <w:t xml:space="preserve"> </w:t>
      </w:r>
      <w:r>
        <w:rPr>
          <w:spacing w:val="-1"/>
        </w:rPr>
        <w:t>的要求，编制完成了《化桃箐光伏发电项目环境影响报</w:t>
      </w:r>
      <w:r>
        <w:rPr>
          <w:spacing w:val="-2"/>
        </w:rPr>
        <w:t>告表》，供建设单位上报审批</w:t>
      </w:r>
      <w:r>
        <w:t xml:space="preserve">  </w:t>
      </w:r>
      <w:r>
        <w:rPr>
          <w:spacing w:val="-3"/>
        </w:rPr>
        <w:t>部门审查。</w:t>
      </w:r>
    </w:p>
    <w:p w14:paraId="7A2EADFE">
      <w:pPr>
        <w:spacing w:line="354" w:lineRule="auto"/>
        <w:sectPr>
          <w:footerReference r:id="rId8" w:type="default"/>
          <w:pgSz w:w="11906" w:h="16839"/>
          <w:pgMar w:top="1431" w:right="1427" w:bottom="1278" w:left="1540" w:header="0" w:footer="1116" w:gutter="0"/>
          <w:cols w:space="720" w:num="1"/>
        </w:sectPr>
      </w:pPr>
    </w:p>
    <w:p w14:paraId="663C8F38">
      <w:pPr>
        <w:spacing w:before="145" w:line="211" w:lineRule="auto"/>
        <w:ind w:left="3061"/>
        <w:outlineLvl w:val="0"/>
        <w:rPr>
          <w:rFonts w:ascii="黑体" w:hAnsi="黑体" w:eastAsia="黑体" w:cs="黑体"/>
          <w:sz w:val="30"/>
          <w:szCs w:val="30"/>
        </w:rPr>
      </w:pPr>
      <w:r>
        <w:drawing>
          <wp:anchor distT="0" distB="0" distL="0" distR="0" simplePos="0" relativeHeight="251659264" behindDoc="0" locked="0" layoutInCell="1" allowOverlap="1">
            <wp:simplePos x="0" y="0"/>
            <wp:positionH relativeFrom="column">
              <wp:posOffset>5690235</wp:posOffset>
            </wp:positionH>
            <wp:positionV relativeFrom="paragraph">
              <wp:posOffset>8023860</wp:posOffset>
            </wp:positionV>
            <wp:extent cx="6350" cy="70294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98"/>
                    <a:stretch>
                      <a:fillRect/>
                    </a:stretch>
                  </pic:blipFill>
                  <pic:spPr>
                    <a:xfrm>
                      <a:off x="0" y="0"/>
                      <a:ext cx="6350" cy="702944"/>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713740</wp:posOffset>
            </wp:positionH>
            <wp:positionV relativeFrom="paragraph">
              <wp:posOffset>8023860</wp:posOffset>
            </wp:positionV>
            <wp:extent cx="6350" cy="70294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99"/>
                    <a:stretch>
                      <a:fillRect/>
                    </a:stretch>
                  </pic:blipFill>
                  <pic:spPr>
                    <a:xfrm>
                      <a:off x="0" y="0"/>
                      <a:ext cx="6350" cy="702944"/>
                    </a:xfrm>
                    <a:prstGeom prst="rect">
                      <a:avLst/>
                    </a:prstGeom>
                  </pic:spPr>
                </pic:pic>
              </a:graphicData>
            </a:graphic>
          </wp:anchor>
        </w:drawing>
      </w:r>
      <w:bookmarkStart w:id="11" w:name="bookmark4"/>
      <w:bookmarkEnd w:id="11"/>
      <w:bookmarkStart w:id="12" w:name="bookmark3"/>
      <w:bookmarkEnd w:id="12"/>
      <w:r>
        <w:rPr>
          <w:rFonts w:ascii="黑体" w:hAnsi="黑体" w:eastAsia="黑体" w:cs="黑体"/>
          <w:spacing w:val="-2"/>
          <w:sz w:val="30"/>
          <w:szCs w:val="30"/>
        </w:rPr>
        <w:t>一、建设项目基本情况</w:t>
      </w:r>
    </w:p>
    <w:tbl>
      <w:tblPr>
        <w:tblStyle w:val="5"/>
        <w:tblW w:w="90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4"/>
        <w:gridCol w:w="1244"/>
        <w:gridCol w:w="1865"/>
        <w:gridCol w:w="1608"/>
        <w:gridCol w:w="234"/>
        <w:gridCol w:w="1908"/>
        <w:gridCol w:w="1203"/>
      </w:tblGrid>
      <w:tr w14:paraId="316AD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8" w:hRule="atLeast"/>
        </w:trPr>
        <w:tc>
          <w:tcPr>
            <w:tcW w:w="1014" w:type="dxa"/>
            <w:tcBorders>
              <w:top w:val="single" w:color="000000" w:sz="6" w:space="0"/>
              <w:left w:val="single" w:color="000000" w:sz="6" w:space="0"/>
            </w:tcBorders>
            <w:vAlign w:val="top"/>
          </w:tcPr>
          <w:p w14:paraId="4D2F3B6A">
            <w:pPr>
              <w:pStyle w:val="6"/>
              <w:spacing w:before="55" w:line="224" w:lineRule="auto"/>
              <w:ind w:left="191" w:right="146" w:hanging="42"/>
            </w:pPr>
            <w:r>
              <w:rPr>
                <w:spacing w:val="-5"/>
              </w:rPr>
              <w:t>建设项</w:t>
            </w:r>
            <w:r>
              <w:rPr>
                <w:spacing w:val="1"/>
              </w:rPr>
              <w:t xml:space="preserve"> </w:t>
            </w:r>
            <w:r>
              <w:rPr>
                <w:spacing w:val="-19"/>
              </w:rPr>
              <w:t>目名称</w:t>
            </w:r>
          </w:p>
        </w:tc>
        <w:tc>
          <w:tcPr>
            <w:tcW w:w="8062" w:type="dxa"/>
            <w:gridSpan w:val="6"/>
            <w:tcBorders>
              <w:top w:val="single" w:color="000000" w:sz="6" w:space="0"/>
              <w:right w:val="single" w:color="000000" w:sz="6" w:space="0"/>
            </w:tcBorders>
            <w:vAlign w:val="top"/>
          </w:tcPr>
          <w:p w14:paraId="7CCAFA40">
            <w:pPr>
              <w:pStyle w:val="6"/>
              <w:spacing w:before="211" w:line="219" w:lineRule="auto"/>
              <w:ind w:left="2954"/>
            </w:pPr>
            <w:r>
              <w:rPr>
                <w:spacing w:val="-2"/>
              </w:rPr>
              <w:t>化桃箐光伏发电项目</w:t>
            </w:r>
          </w:p>
        </w:tc>
      </w:tr>
      <w:tr w14:paraId="3E668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014" w:type="dxa"/>
            <w:tcBorders>
              <w:left w:val="single" w:color="000000" w:sz="6" w:space="0"/>
            </w:tcBorders>
            <w:vAlign w:val="top"/>
          </w:tcPr>
          <w:p w14:paraId="7D42BA64">
            <w:pPr>
              <w:pStyle w:val="6"/>
              <w:spacing w:before="49" w:line="224" w:lineRule="auto"/>
              <w:ind w:left="385" w:right="146" w:hanging="235"/>
            </w:pPr>
            <w:r>
              <w:rPr>
                <w:spacing w:val="-5"/>
              </w:rPr>
              <w:t>项目代</w:t>
            </w:r>
            <w:r>
              <w:t xml:space="preserve"> 码</w:t>
            </w:r>
          </w:p>
        </w:tc>
        <w:tc>
          <w:tcPr>
            <w:tcW w:w="8062" w:type="dxa"/>
            <w:gridSpan w:val="6"/>
            <w:tcBorders>
              <w:right w:val="single" w:color="000000" w:sz="6" w:space="0"/>
            </w:tcBorders>
            <w:vAlign w:val="top"/>
          </w:tcPr>
          <w:p w14:paraId="5DA02D56">
            <w:pPr>
              <w:spacing w:before="248" w:line="188" w:lineRule="auto"/>
              <w:ind w:left="26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2207-530129-04-01-142912</w:t>
            </w:r>
          </w:p>
        </w:tc>
      </w:tr>
      <w:tr w14:paraId="727F7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014" w:type="dxa"/>
            <w:tcBorders>
              <w:left w:val="single" w:color="000000" w:sz="6" w:space="0"/>
            </w:tcBorders>
            <w:vAlign w:val="top"/>
          </w:tcPr>
          <w:p w14:paraId="19D8DF64">
            <w:pPr>
              <w:pStyle w:val="6"/>
              <w:spacing w:before="54" w:line="220" w:lineRule="auto"/>
              <w:ind w:left="149"/>
            </w:pPr>
            <w:r>
              <w:rPr>
                <w:spacing w:val="-5"/>
              </w:rPr>
              <w:t>建设单</w:t>
            </w:r>
          </w:p>
          <w:p w14:paraId="60BA23DC">
            <w:pPr>
              <w:pStyle w:val="6"/>
              <w:spacing w:before="23" w:line="221" w:lineRule="auto"/>
              <w:ind w:left="146"/>
            </w:pPr>
            <w:r>
              <w:rPr>
                <w:spacing w:val="-4"/>
              </w:rPr>
              <w:t>位联系</w:t>
            </w:r>
          </w:p>
          <w:p w14:paraId="324EB804">
            <w:pPr>
              <w:pStyle w:val="6"/>
              <w:spacing w:before="25" w:line="206" w:lineRule="auto"/>
              <w:ind w:left="388"/>
            </w:pPr>
            <w:r>
              <w:t>人</w:t>
            </w:r>
          </w:p>
        </w:tc>
        <w:tc>
          <w:tcPr>
            <w:tcW w:w="3109" w:type="dxa"/>
            <w:gridSpan w:val="2"/>
            <w:vAlign w:val="top"/>
          </w:tcPr>
          <w:p w14:paraId="17526EDD">
            <w:pPr>
              <w:spacing w:line="283" w:lineRule="auto"/>
              <w:rPr>
                <w:rFonts w:ascii="Arial"/>
                <w:sz w:val="21"/>
              </w:rPr>
            </w:pPr>
          </w:p>
          <w:p w14:paraId="39498BC7">
            <w:pPr>
              <w:pStyle w:val="6"/>
              <w:spacing w:before="78" w:line="221" w:lineRule="auto"/>
              <w:ind w:left="1202"/>
            </w:pPr>
          </w:p>
        </w:tc>
        <w:tc>
          <w:tcPr>
            <w:tcW w:w="1842" w:type="dxa"/>
            <w:gridSpan w:val="2"/>
            <w:vAlign w:val="top"/>
          </w:tcPr>
          <w:p w14:paraId="4B1BF7A8">
            <w:pPr>
              <w:spacing w:line="283" w:lineRule="auto"/>
              <w:rPr>
                <w:rFonts w:ascii="Arial"/>
                <w:sz w:val="21"/>
              </w:rPr>
            </w:pPr>
          </w:p>
          <w:p w14:paraId="71BA884A">
            <w:pPr>
              <w:pStyle w:val="6"/>
              <w:spacing w:before="78" w:line="221" w:lineRule="auto"/>
              <w:ind w:left="448"/>
            </w:pPr>
            <w:r>
              <w:rPr>
                <w:spacing w:val="-3"/>
              </w:rPr>
              <w:t>联系方式</w:t>
            </w:r>
          </w:p>
        </w:tc>
        <w:tc>
          <w:tcPr>
            <w:tcW w:w="3111" w:type="dxa"/>
            <w:gridSpan w:val="2"/>
            <w:tcBorders>
              <w:right w:val="single" w:color="000000" w:sz="6" w:space="0"/>
            </w:tcBorders>
            <w:vAlign w:val="top"/>
          </w:tcPr>
          <w:p w14:paraId="7A4ACE04">
            <w:pPr>
              <w:spacing w:line="334" w:lineRule="auto"/>
              <w:rPr>
                <w:rFonts w:ascii="Arial"/>
                <w:sz w:val="21"/>
              </w:rPr>
            </w:pPr>
          </w:p>
          <w:p w14:paraId="6C7B9C04">
            <w:pPr>
              <w:spacing w:before="69" w:line="188" w:lineRule="auto"/>
              <w:ind w:left="920"/>
              <w:rPr>
                <w:rFonts w:ascii="Times New Roman" w:hAnsi="Times New Roman" w:eastAsia="Times New Roman" w:cs="Times New Roman"/>
                <w:sz w:val="24"/>
                <w:szCs w:val="24"/>
              </w:rPr>
            </w:pPr>
          </w:p>
        </w:tc>
      </w:tr>
      <w:tr w14:paraId="60557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014" w:type="dxa"/>
            <w:tcBorders>
              <w:left w:val="single" w:color="000000" w:sz="6" w:space="0"/>
            </w:tcBorders>
            <w:vAlign w:val="top"/>
          </w:tcPr>
          <w:p w14:paraId="09D37978">
            <w:pPr>
              <w:pStyle w:val="6"/>
              <w:spacing w:before="52" w:line="223" w:lineRule="auto"/>
              <w:ind w:left="398" w:right="146" w:hanging="249"/>
            </w:pPr>
            <w:r>
              <w:rPr>
                <w:spacing w:val="-5"/>
              </w:rPr>
              <w:t>建设地</w:t>
            </w:r>
            <w:r>
              <w:rPr>
                <w:spacing w:val="1"/>
              </w:rPr>
              <w:t xml:space="preserve"> </w:t>
            </w:r>
            <w:r>
              <w:t>点</w:t>
            </w:r>
          </w:p>
        </w:tc>
        <w:tc>
          <w:tcPr>
            <w:tcW w:w="8062" w:type="dxa"/>
            <w:gridSpan w:val="6"/>
            <w:tcBorders>
              <w:right w:val="single" w:color="000000" w:sz="6" w:space="0"/>
            </w:tcBorders>
            <w:vAlign w:val="top"/>
          </w:tcPr>
          <w:p w14:paraId="077FD167">
            <w:pPr>
              <w:pStyle w:val="6"/>
              <w:spacing w:before="208" w:line="219" w:lineRule="auto"/>
              <w:ind w:left="1782"/>
            </w:pPr>
            <w:r>
              <w:rPr>
                <w:spacing w:val="-3"/>
              </w:rPr>
              <w:t>昆明市寻甸回族彝族自治县河口镇化桃箐村</w:t>
            </w:r>
          </w:p>
        </w:tc>
      </w:tr>
      <w:tr w14:paraId="15C1A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1014" w:type="dxa"/>
            <w:tcBorders>
              <w:left w:val="single" w:color="000000" w:sz="6" w:space="0"/>
            </w:tcBorders>
            <w:vAlign w:val="top"/>
          </w:tcPr>
          <w:p w14:paraId="1E88BB75">
            <w:pPr>
              <w:pStyle w:val="6"/>
              <w:spacing w:before="193" w:line="229" w:lineRule="auto"/>
              <w:ind w:left="386" w:right="146" w:hanging="240"/>
            </w:pPr>
            <w:r>
              <w:rPr>
                <w:spacing w:val="-4"/>
              </w:rPr>
              <w:t>地理坐</w:t>
            </w:r>
            <w:r>
              <w:rPr>
                <w:spacing w:val="1"/>
              </w:rPr>
              <w:t xml:space="preserve"> </w:t>
            </w:r>
            <w:r>
              <w:t>标</w:t>
            </w:r>
          </w:p>
        </w:tc>
        <w:tc>
          <w:tcPr>
            <w:tcW w:w="8062" w:type="dxa"/>
            <w:gridSpan w:val="6"/>
            <w:tcBorders>
              <w:right w:val="single" w:color="000000" w:sz="6" w:space="0"/>
            </w:tcBorders>
            <w:vAlign w:val="top"/>
          </w:tcPr>
          <w:p w14:paraId="1F21BFA0">
            <w:pPr>
              <w:pStyle w:val="6"/>
              <w:spacing w:before="55" w:line="219" w:lineRule="auto"/>
              <w:ind w:left="1052"/>
            </w:pPr>
            <w:r>
              <w:rPr>
                <w:spacing w:val="-3"/>
              </w:rPr>
              <w:t>光伏场区地理坐标介于东经</w:t>
            </w:r>
            <w:r>
              <w:rPr>
                <w:spacing w:val="-23"/>
              </w:rPr>
              <w:t xml:space="preserve"> </w:t>
            </w:r>
            <w:r>
              <w:rPr>
                <w:rFonts w:ascii="Times New Roman" w:hAnsi="Times New Roman" w:eastAsia="Times New Roman" w:cs="Times New Roman"/>
                <w:spacing w:val="-3"/>
              </w:rPr>
              <w:t>103°22′30″~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103°28′20″</w:t>
            </w:r>
            <w:r>
              <w:rPr>
                <w:rFonts w:ascii="Times New Roman" w:hAnsi="Times New Roman" w:eastAsia="Times New Roman" w:cs="Times New Roman"/>
                <w:spacing w:val="-32"/>
              </w:rPr>
              <w:t xml:space="preserve"> </w:t>
            </w:r>
            <w:r>
              <w:rPr>
                <w:spacing w:val="-3"/>
              </w:rPr>
              <w:t>，北纬</w:t>
            </w:r>
          </w:p>
          <w:p w14:paraId="32F08156">
            <w:pPr>
              <w:spacing w:before="50" w:line="188" w:lineRule="auto"/>
              <w:ind w:left="29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25°42′30″~26°40′00″</w:t>
            </w:r>
          </w:p>
          <w:p w14:paraId="26F1B398">
            <w:pPr>
              <w:pStyle w:val="6"/>
              <w:spacing w:before="34" w:line="206" w:lineRule="auto"/>
              <w:ind w:left="495"/>
            </w:pPr>
            <w:r>
              <w:rPr>
                <w:spacing w:val="-7"/>
              </w:rPr>
              <w:t>升压站中心坐标：东经</w:t>
            </w:r>
            <w:r>
              <w:rPr>
                <w:spacing w:val="-19"/>
              </w:rPr>
              <w:t xml:space="preserve"> </w:t>
            </w:r>
            <w:r>
              <w:rPr>
                <w:rFonts w:ascii="Times New Roman" w:hAnsi="Times New Roman" w:eastAsia="Times New Roman" w:cs="Times New Roman"/>
                <w:spacing w:val="-7"/>
              </w:rPr>
              <w:t>103</w:t>
            </w:r>
            <w:r>
              <w:rPr>
                <w:rFonts w:ascii="Times New Roman" w:hAnsi="Times New Roman" w:eastAsia="Times New Roman" w:cs="Times New Roman"/>
                <w:spacing w:val="-29"/>
              </w:rPr>
              <w:t xml:space="preserve"> </w:t>
            </w:r>
            <w:r>
              <w:rPr>
                <w:spacing w:val="-7"/>
              </w:rPr>
              <w:t>°</w:t>
            </w:r>
            <w:r>
              <w:rPr>
                <w:rFonts w:ascii="Times New Roman" w:hAnsi="Times New Roman" w:eastAsia="Times New Roman" w:cs="Times New Roman"/>
                <w:spacing w:val="-7"/>
              </w:rPr>
              <w:t>25</w:t>
            </w:r>
            <w:r>
              <w:rPr>
                <w:rFonts w:ascii="Times New Roman" w:hAnsi="Times New Roman" w:eastAsia="Times New Roman" w:cs="Times New Roman"/>
                <w:spacing w:val="-17"/>
              </w:rPr>
              <w:t xml:space="preserve"> </w:t>
            </w:r>
            <w:r>
              <w:rPr>
                <w:spacing w:val="-7"/>
              </w:rPr>
              <w:t>′</w:t>
            </w:r>
            <w:r>
              <w:rPr>
                <w:rFonts w:ascii="Times New Roman" w:hAnsi="Times New Roman" w:eastAsia="Times New Roman" w:cs="Times New Roman"/>
                <w:spacing w:val="-7"/>
              </w:rPr>
              <w:t>28.293</w:t>
            </w:r>
            <w:r>
              <w:rPr>
                <w:rFonts w:ascii="Times New Roman" w:hAnsi="Times New Roman" w:eastAsia="Times New Roman" w:cs="Times New Roman"/>
                <w:spacing w:val="-16"/>
              </w:rPr>
              <w:t xml:space="preserve"> </w:t>
            </w:r>
            <w:r>
              <w:rPr>
                <w:spacing w:val="-7"/>
              </w:rPr>
              <w:t>″</w:t>
            </w:r>
            <w:r>
              <w:rPr>
                <w:spacing w:val="-91"/>
              </w:rPr>
              <w:t xml:space="preserve"> </w:t>
            </w:r>
            <w:r>
              <w:rPr>
                <w:spacing w:val="-7"/>
              </w:rPr>
              <w:t>，北纬</w:t>
            </w:r>
            <w:r>
              <w:rPr>
                <w:spacing w:val="-55"/>
              </w:rPr>
              <w:t xml:space="preserve"> </w:t>
            </w:r>
            <w:r>
              <w:rPr>
                <w:rFonts w:ascii="Times New Roman" w:hAnsi="Times New Roman" w:eastAsia="Times New Roman" w:cs="Times New Roman"/>
                <w:spacing w:val="-7"/>
              </w:rPr>
              <w:t>25</w:t>
            </w:r>
            <w:r>
              <w:rPr>
                <w:rFonts w:ascii="Times New Roman" w:hAnsi="Times New Roman" w:eastAsia="Times New Roman" w:cs="Times New Roman"/>
                <w:spacing w:val="-29"/>
              </w:rPr>
              <w:t xml:space="preserve"> </w:t>
            </w:r>
            <w:r>
              <w:rPr>
                <w:spacing w:val="-7"/>
              </w:rPr>
              <w:t>°</w:t>
            </w:r>
            <w:r>
              <w:rPr>
                <w:rFonts w:ascii="Times New Roman" w:hAnsi="Times New Roman" w:eastAsia="Times New Roman" w:cs="Times New Roman"/>
                <w:spacing w:val="-7"/>
              </w:rPr>
              <w:t>41</w:t>
            </w:r>
            <w:r>
              <w:rPr>
                <w:rFonts w:ascii="Times New Roman" w:hAnsi="Times New Roman" w:eastAsia="Times New Roman" w:cs="Times New Roman"/>
                <w:spacing w:val="-17"/>
              </w:rPr>
              <w:t xml:space="preserve"> </w:t>
            </w:r>
            <w:r>
              <w:rPr>
                <w:spacing w:val="-7"/>
              </w:rPr>
              <w:t>′</w:t>
            </w:r>
            <w:r>
              <w:rPr>
                <w:rFonts w:ascii="Times New Roman" w:hAnsi="Times New Roman" w:eastAsia="Times New Roman" w:cs="Times New Roman"/>
                <w:spacing w:val="-7"/>
              </w:rPr>
              <w:t>32.340</w:t>
            </w:r>
            <w:r>
              <w:rPr>
                <w:rFonts w:ascii="Times New Roman" w:hAnsi="Times New Roman" w:eastAsia="Times New Roman" w:cs="Times New Roman"/>
                <w:spacing w:val="-16"/>
              </w:rPr>
              <w:t xml:space="preserve"> </w:t>
            </w:r>
            <w:r>
              <w:rPr>
                <w:spacing w:val="-7"/>
              </w:rPr>
              <w:t>″</w:t>
            </w:r>
          </w:p>
        </w:tc>
      </w:tr>
      <w:tr w14:paraId="33A1D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1014" w:type="dxa"/>
            <w:tcBorders>
              <w:left w:val="single" w:color="000000" w:sz="6" w:space="0"/>
            </w:tcBorders>
            <w:vAlign w:val="top"/>
          </w:tcPr>
          <w:p w14:paraId="1B374BD9">
            <w:pPr>
              <w:pStyle w:val="6"/>
              <w:spacing w:before="56" w:line="230" w:lineRule="auto"/>
              <w:ind w:left="431" w:right="146" w:hanging="282"/>
            </w:pPr>
            <w:r>
              <w:rPr>
                <w:spacing w:val="-5"/>
              </w:rPr>
              <w:t>建设项</w:t>
            </w:r>
            <w:r>
              <w:rPr>
                <w:spacing w:val="1"/>
              </w:rPr>
              <w:t xml:space="preserve"> </w:t>
            </w:r>
            <w:r>
              <w:t>目</w:t>
            </w:r>
          </w:p>
          <w:p w14:paraId="36CED67E">
            <w:pPr>
              <w:pStyle w:val="6"/>
              <w:spacing w:before="23" w:line="222" w:lineRule="auto"/>
              <w:ind w:left="389" w:right="146" w:hanging="239"/>
            </w:pPr>
            <w:r>
              <w:rPr>
                <w:spacing w:val="-5"/>
              </w:rPr>
              <w:t>行业类</w:t>
            </w:r>
            <w:r>
              <w:t xml:space="preserve"> 别</w:t>
            </w:r>
          </w:p>
        </w:tc>
        <w:tc>
          <w:tcPr>
            <w:tcW w:w="3109" w:type="dxa"/>
            <w:gridSpan w:val="2"/>
            <w:vAlign w:val="top"/>
          </w:tcPr>
          <w:p w14:paraId="46C43A61">
            <w:pPr>
              <w:pStyle w:val="6"/>
              <w:spacing w:before="229" w:line="219" w:lineRule="auto"/>
              <w:ind w:left="139"/>
            </w:pPr>
            <w:r>
              <w:rPr>
                <w:spacing w:val="-3"/>
              </w:rPr>
              <w:t>四十一、电力、热力生产和</w:t>
            </w:r>
          </w:p>
          <w:p w14:paraId="4EACA480">
            <w:pPr>
              <w:pStyle w:val="6"/>
              <w:spacing w:before="23" w:line="219" w:lineRule="auto"/>
              <w:ind w:left="237"/>
            </w:pPr>
            <w:r>
              <w:rPr>
                <w:spacing w:val="-3"/>
              </w:rPr>
              <w:t>供应业</w:t>
            </w:r>
            <w:r>
              <w:rPr>
                <w:rFonts w:ascii="Times New Roman" w:hAnsi="Times New Roman" w:eastAsia="Times New Roman" w:cs="Times New Roman"/>
                <w:spacing w:val="-3"/>
              </w:rPr>
              <w:t>—90</w:t>
            </w:r>
            <w:r>
              <w:rPr>
                <w:rFonts w:ascii="Times New Roman" w:hAnsi="Times New Roman" w:eastAsia="Times New Roman" w:cs="Times New Roman"/>
                <w:spacing w:val="-34"/>
              </w:rPr>
              <w:t xml:space="preserve"> </w:t>
            </w:r>
            <w:r>
              <w:rPr>
                <w:spacing w:val="-3"/>
              </w:rPr>
              <w:t>、太阳能发电</w:t>
            </w:r>
          </w:p>
          <w:p w14:paraId="5E8959CC">
            <w:pPr>
              <w:spacing w:before="52" w:line="188" w:lineRule="auto"/>
              <w:ind w:left="131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4416</w:t>
            </w:r>
          </w:p>
        </w:tc>
        <w:tc>
          <w:tcPr>
            <w:tcW w:w="1842" w:type="dxa"/>
            <w:gridSpan w:val="2"/>
            <w:vAlign w:val="top"/>
          </w:tcPr>
          <w:p w14:paraId="62FAA65F">
            <w:pPr>
              <w:pStyle w:val="6"/>
              <w:spacing w:before="209" w:line="221" w:lineRule="auto"/>
              <w:ind w:left="115"/>
            </w:pPr>
            <w:r>
              <w:rPr>
                <w:spacing w:val="-8"/>
              </w:rPr>
              <w:t>用地（用海）面</w:t>
            </w:r>
          </w:p>
          <w:p w14:paraId="5C175C7E">
            <w:pPr>
              <w:pStyle w:val="6"/>
              <w:spacing w:before="25" w:line="220" w:lineRule="auto"/>
              <w:ind w:left="161"/>
            </w:pPr>
            <w:r>
              <w:rPr>
                <w:spacing w:val="-5"/>
              </w:rPr>
              <w:t>积（</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 xml:space="preserve">2 </w:t>
            </w:r>
            <w:r>
              <w:rPr>
                <w:spacing w:val="-5"/>
              </w:rPr>
              <w:t>）</w:t>
            </w:r>
            <w:r>
              <w:rPr>
                <w:rFonts w:ascii="Times New Roman" w:hAnsi="Times New Roman" w:eastAsia="Times New Roman" w:cs="Times New Roman"/>
                <w:spacing w:val="-5"/>
              </w:rPr>
              <w:t>/</w:t>
            </w:r>
            <w:r>
              <w:rPr>
                <w:spacing w:val="-5"/>
              </w:rPr>
              <w:t>长度</w:t>
            </w:r>
          </w:p>
          <w:p w14:paraId="2FC90E2C">
            <w:pPr>
              <w:pStyle w:val="6"/>
              <w:spacing w:before="25" w:line="232" w:lineRule="auto"/>
              <w:ind w:left="545"/>
            </w:pPr>
            <w:r>
              <w:rPr>
                <w:spacing w:val="-6"/>
              </w:rPr>
              <w:t>（</w:t>
            </w:r>
            <w:r>
              <w:rPr>
                <w:rFonts w:ascii="Times New Roman" w:hAnsi="Times New Roman" w:eastAsia="Times New Roman" w:cs="Times New Roman"/>
                <w:spacing w:val="-6"/>
              </w:rPr>
              <w:t>km</w:t>
            </w:r>
            <w:r>
              <w:rPr>
                <w:spacing w:val="-6"/>
              </w:rPr>
              <w:t>）</w:t>
            </w:r>
          </w:p>
        </w:tc>
        <w:tc>
          <w:tcPr>
            <w:tcW w:w="3111" w:type="dxa"/>
            <w:gridSpan w:val="2"/>
            <w:tcBorders>
              <w:right w:val="single" w:color="000000" w:sz="6" w:space="0"/>
            </w:tcBorders>
            <w:vAlign w:val="top"/>
          </w:tcPr>
          <w:p w14:paraId="1B28D729">
            <w:pPr>
              <w:pStyle w:val="6"/>
              <w:spacing w:before="209" w:line="220" w:lineRule="auto"/>
              <w:ind w:left="136"/>
            </w:pPr>
            <w:r>
              <w:rPr>
                <w:rFonts w:ascii="Times New Roman" w:hAnsi="Times New Roman" w:eastAsia="Times New Roman" w:cs="Times New Roman"/>
                <w:spacing w:val="-8"/>
              </w:rPr>
              <w:t>140.</w:t>
            </w:r>
            <w:r>
              <w:rPr>
                <w:rFonts w:ascii="Times New Roman" w:hAnsi="Times New Roman" w:eastAsia="Times New Roman" w:cs="Times New Roman"/>
                <w:spacing w:val="-18"/>
              </w:rPr>
              <w:t xml:space="preserve"> </w:t>
            </w:r>
            <w:r>
              <w:rPr>
                <w:rFonts w:ascii="Times New Roman" w:hAnsi="Times New Roman" w:eastAsia="Times New Roman" w:cs="Times New Roman"/>
                <w:spacing w:val="-8"/>
              </w:rPr>
              <w:t>1304hm</w:t>
            </w:r>
            <w:r>
              <w:rPr>
                <w:rFonts w:ascii="Times New Roman" w:hAnsi="Times New Roman" w:eastAsia="Times New Roman" w:cs="Times New Roman"/>
                <w:spacing w:val="-8"/>
                <w:position w:val="7"/>
                <w:sz w:val="15"/>
                <w:szCs w:val="15"/>
              </w:rPr>
              <w:t>2</w:t>
            </w:r>
            <w:r>
              <w:rPr>
                <w:spacing w:val="-8"/>
              </w:rPr>
              <w:t>（其中永久占地</w:t>
            </w:r>
          </w:p>
          <w:p w14:paraId="59225ED5">
            <w:pPr>
              <w:pStyle w:val="6"/>
              <w:spacing w:before="26" w:line="219" w:lineRule="auto"/>
              <w:ind w:left="439"/>
            </w:pPr>
            <w:r>
              <w:rPr>
                <w:rFonts w:ascii="Times New Roman" w:hAnsi="Times New Roman" w:eastAsia="Times New Roman" w:cs="Times New Roman"/>
                <w:spacing w:val="-3"/>
              </w:rPr>
              <w:t>3.4547hm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5"/>
                <w:position w:val="7"/>
                <w:sz w:val="15"/>
                <w:szCs w:val="15"/>
              </w:rPr>
              <w:t xml:space="preserve"> </w:t>
            </w:r>
            <w:r>
              <w:rPr>
                <w:spacing w:val="-3"/>
              </w:rPr>
              <w:t>，临时占地</w:t>
            </w:r>
          </w:p>
          <w:p w14:paraId="7D6A4EF9">
            <w:pPr>
              <w:pStyle w:val="6"/>
              <w:spacing w:before="26" w:line="232" w:lineRule="auto"/>
              <w:ind w:left="817"/>
            </w:pPr>
            <w:r>
              <w:rPr>
                <w:rFonts w:ascii="Times New Roman" w:hAnsi="Times New Roman" w:eastAsia="Times New Roman" w:cs="Times New Roman"/>
                <w:spacing w:val="-3"/>
              </w:rPr>
              <w:t>136.6757hm</w:t>
            </w:r>
            <w:r>
              <w:rPr>
                <w:rFonts w:ascii="Times New Roman" w:hAnsi="Times New Roman" w:eastAsia="Times New Roman" w:cs="Times New Roman"/>
                <w:spacing w:val="-3"/>
                <w:position w:val="7"/>
                <w:sz w:val="15"/>
                <w:szCs w:val="15"/>
              </w:rPr>
              <w:t>2</w:t>
            </w:r>
            <w:r>
              <w:rPr>
                <w:spacing w:val="-3"/>
              </w:rPr>
              <w:t>）</w:t>
            </w:r>
          </w:p>
        </w:tc>
      </w:tr>
      <w:tr w14:paraId="338BA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1014" w:type="dxa"/>
            <w:tcBorders>
              <w:left w:val="single" w:color="000000" w:sz="6" w:space="0"/>
            </w:tcBorders>
            <w:vAlign w:val="top"/>
          </w:tcPr>
          <w:p w14:paraId="14DFE742">
            <w:pPr>
              <w:spacing w:line="316" w:lineRule="auto"/>
              <w:rPr>
                <w:rFonts w:ascii="Arial"/>
                <w:sz w:val="21"/>
              </w:rPr>
            </w:pPr>
          </w:p>
          <w:p w14:paraId="11E3DA2B">
            <w:pPr>
              <w:pStyle w:val="6"/>
              <w:spacing w:before="78" w:line="230" w:lineRule="auto"/>
              <w:ind w:left="387" w:right="146" w:hanging="238"/>
            </w:pPr>
            <w:r>
              <w:rPr>
                <w:spacing w:val="-5"/>
              </w:rPr>
              <w:t>建设性</w:t>
            </w:r>
            <w:r>
              <w:rPr>
                <w:spacing w:val="1"/>
              </w:rPr>
              <w:t xml:space="preserve"> </w:t>
            </w:r>
            <w:r>
              <w:t>质</w:t>
            </w:r>
          </w:p>
        </w:tc>
        <w:tc>
          <w:tcPr>
            <w:tcW w:w="3109" w:type="dxa"/>
            <w:gridSpan w:val="2"/>
            <w:vAlign w:val="top"/>
          </w:tcPr>
          <w:p w14:paraId="40B9CC30">
            <w:pPr>
              <w:pStyle w:val="6"/>
              <w:spacing w:before="86" w:line="233" w:lineRule="auto"/>
              <w:ind w:left="134" w:right="2283" w:hanging="15"/>
              <w:jc w:val="both"/>
            </w:pPr>
            <w:r>
              <w:rPr>
                <w:rFonts w:ascii="MS Gothic" w:hAnsi="MS Gothic" w:eastAsia="MS Gothic" w:cs="MS Gothic"/>
                <w:spacing w:val="-7"/>
              </w:rPr>
              <w:t>☑</w:t>
            </w:r>
            <w:r>
              <w:rPr>
                <w:spacing w:val="-7"/>
              </w:rPr>
              <w:t>新建</w:t>
            </w:r>
            <w:r>
              <w:rPr>
                <w:spacing w:val="1"/>
              </w:rPr>
              <w:t xml:space="preserve"> </w:t>
            </w:r>
            <w:r>
              <w:rPr>
                <w:spacing w:val="-12"/>
              </w:rPr>
              <w:t>□改建</w:t>
            </w:r>
            <w:r>
              <w:rPr>
                <w:spacing w:val="1"/>
              </w:rPr>
              <w:t xml:space="preserve"> </w:t>
            </w:r>
            <w:r>
              <w:rPr>
                <w:spacing w:val="-12"/>
              </w:rPr>
              <w:t>□扩建</w:t>
            </w:r>
          </w:p>
          <w:p w14:paraId="1E8BB0B1">
            <w:pPr>
              <w:pStyle w:val="6"/>
              <w:spacing w:before="23" w:line="219" w:lineRule="auto"/>
              <w:ind w:left="134"/>
            </w:pPr>
            <w:r>
              <w:rPr>
                <w:spacing w:val="-7"/>
              </w:rPr>
              <w:t>□技术改造</w:t>
            </w:r>
          </w:p>
        </w:tc>
        <w:tc>
          <w:tcPr>
            <w:tcW w:w="1842" w:type="dxa"/>
            <w:gridSpan w:val="2"/>
            <w:vAlign w:val="top"/>
          </w:tcPr>
          <w:p w14:paraId="1C30E9E7">
            <w:pPr>
              <w:spacing w:line="315" w:lineRule="auto"/>
              <w:rPr>
                <w:rFonts w:ascii="Arial"/>
                <w:sz w:val="21"/>
              </w:rPr>
            </w:pPr>
          </w:p>
          <w:p w14:paraId="23F0514F">
            <w:pPr>
              <w:pStyle w:val="6"/>
              <w:spacing w:before="78" w:line="230" w:lineRule="auto"/>
              <w:ind w:left="478" w:right="439" w:hanging="28"/>
            </w:pPr>
            <w:r>
              <w:rPr>
                <w:spacing w:val="-4"/>
              </w:rPr>
              <w:t>建设项目</w:t>
            </w:r>
            <w:r>
              <w:rPr>
                <w:spacing w:val="2"/>
              </w:rPr>
              <w:t xml:space="preserve"> </w:t>
            </w:r>
            <w:r>
              <w:rPr>
                <w:spacing w:val="-11"/>
              </w:rPr>
              <w:t>申报情形</w:t>
            </w:r>
          </w:p>
        </w:tc>
        <w:tc>
          <w:tcPr>
            <w:tcW w:w="3111" w:type="dxa"/>
            <w:gridSpan w:val="2"/>
            <w:tcBorders>
              <w:right w:val="single" w:color="000000" w:sz="6" w:space="0"/>
            </w:tcBorders>
            <w:vAlign w:val="top"/>
          </w:tcPr>
          <w:p w14:paraId="12E1E194">
            <w:pPr>
              <w:pStyle w:val="6"/>
              <w:spacing w:before="85" w:line="219" w:lineRule="auto"/>
              <w:ind w:left="126"/>
            </w:pPr>
            <w:r>
              <w:rPr>
                <w:rFonts w:ascii="MS Gothic" w:hAnsi="MS Gothic" w:eastAsia="MS Gothic" w:cs="MS Gothic"/>
                <w:spacing w:val="-3"/>
              </w:rPr>
              <w:t>☑</w:t>
            </w:r>
            <w:r>
              <w:rPr>
                <w:spacing w:val="-3"/>
              </w:rPr>
              <w:t>首次申报项目</w:t>
            </w:r>
          </w:p>
          <w:p w14:paraId="2474827C">
            <w:pPr>
              <w:pStyle w:val="6"/>
              <w:spacing w:before="27" w:line="219" w:lineRule="auto"/>
              <w:ind w:left="141"/>
            </w:pPr>
            <w:r>
              <w:rPr>
                <w:spacing w:val="-3"/>
              </w:rPr>
              <w:t>□不予批准后再次申报项目</w:t>
            </w:r>
          </w:p>
          <w:p w14:paraId="441407E6">
            <w:pPr>
              <w:pStyle w:val="6"/>
              <w:spacing w:before="27" w:line="219" w:lineRule="auto"/>
              <w:ind w:left="141"/>
            </w:pPr>
            <w:r>
              <w:rPr>
                <w:spacing w:val="-4"/>
              </w:rPr>
              <w:t>□超五年重新审核项目</w:t>
            </w:r>
          </w:p>
          <w:p w14:paraId="41DF6717">
            <w:pPr>
              <w:pStyle w:val="6"/>
              <w:spacing w:before="24" w:line="219" w:lineRule="auto"/>
              <w:ind w:left="141"/>
            </w:pPr>
            <w:r>
              <w:rPr>
                <w:spacing w:val="-4"/>
              </w:rPr>
              <w:t>□重大变动重新报批项目</w:t>
            </w:r>
          </w:p>
        </w:tc>
      </w:tr>
      <w:tr w14:paraId="51B03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8" w:hRule="atLeast"/>
        </w:trPr>
        <w:tc>
          <w:tcPr>
            <w:tcW w:w="1014" w:type="dxa"/>
            <w:tcBorders>
              <w:left w:val="single" w:color="000000" w:sz="6" w:space="0"/>
            </w:tcBorders>
            <w:vAlign w:val="top"/>
          </w:tcPr>
          <w:p w14:paraId="01891794">
            <w:pPr>
              <w:pStyle w:val="6"/>
              <w:spacing w:before="60" w:line="229" w:lineRule="auto"/>
              <w:ind w:left="145" w:right="146" w:firstLine="4"/>
            </w:pPr>
            <w:r>
              <w:rPr>
                <w:spacing w:val="-5"/>
              </w:rPr>
              <w:t>项目审</w:t>
            </w:r>
            <w:r>
              <w:t xml:space="preserve"> </w:t>
            </w:r>
            <w:r>
              <w:rPr>
                <w:spacing w:val="-3"/>
              </w:rPr>
              <w:t>批（核</w:t>
            </w:r>
          </w:p>
          <w:p w14:paraId="658385A2">
            <w:pPr>
              <w:pStyle w:val="6"/>
              <w:spacing w:before="26" w:line="229" w:lineRule="auto"/>
              <w:ind w:left="149" w:right="167" w:firstLine="205"/>
            </w:pPr>
            <w:r>
              <w:rPr>
                <w:spacing w:val="-6"/>
              </w:rPr>
              <w:t>准</w:t>
            </w:r>
            <w:r>
              <w:rPr>
                <w:rFonts w:ascii="Times New Roman" w:hAnsi="Times New Roman" w:eastAsia="Times New Roman" w:cs="Times New Roman"/>
                <w:spacing w:val="-6"/>
              </w:rPr>
              <w:t>/</w:t>
            </w:r>
            <w:r>
              <w:rPr>
                <w:rFonts w:ascii="Times New Roman" w:hAnsi="Times New Roman" w:eastAsia="Times New Roman" w:cs="Times New Roman"/>
              </w:rPr>
              <w:t xml:space="preserve">    </w:t>
            </w:r>
            <w:r>
              <w:rPr>
                <w:spacing w:val="-12"/>
              </w:rPr>
              <w:t>备案）</w:t>
            </w:r>
          </w:p>
          <w:p w14:paraId="4FC617C3">
            <w:pPr>
              <w:pStyle w:val="6"/>
              <w:spacing w:before="25" w:line="227" w:lineRule="auto"/>
              <w:ind w:left="268" w:right="266"/>
            </w:pPr>
            <w:r>
              <w:rPr>
                <w:spacing w:val="-7"/>
              </w:rPr>
              <w:t>部门</w:t>
            </w:r>
            <w:r>
              <w:t xml:space="preserve"> </w:t>
            </w:r>
            <w:r>
              <w:rPr>
                <w:spacing w:val="-6"/>
              </w:rPr>
              <w:t>（选</w:t>
            </w:r>
            <w:r>
              <w:t xml:space="preserve"> </w:t>
            </w:r>
            <w:r>
              <w:rPr>
                <w:spacing w:val="-6"/>
              </w:rPr>
              <w:t>填）</w:t>
            </w:r>
          </w:p>
        </w:tc>
        <w:tc>
          <w:tcPr>
            <w:tcW w:w="3109" w:type="dxa"/>
            <w:gridSpan w:val="2"/>
            <w:vAlign w:val="top"/>
          </w:tcPr>
          <w:p w14:paraId="5904753F">
            <w:pPr>
              <w:spacing w:line="250" w:lineRule="auto"/>
              <w:rPr>
                <w:rFonts w:ascii="Arial"/>
                <w:sz w:val="21"/>
              </w:rPr>
            </w:pPr>
          </w:p>
          <w:p w14:paraId="5D59A39C">
            <w:pPr>
              <w:spacing w:line="250" w:lineRule="auto"/>
              <w:rPr>
                <w:rFonts w:ascii="Arial"/>
                <w:sz w:val="21"/>
              </w:rPr>
            </w:pPr>
          </w:p>
          <w:p w14:paraId="5424AEAF">
            <w:pPr>
              <w:spacing w:line="251" w:lineRule="auto"/>
              <w:rPr>
                <w:rFonts w:ascii="Arial"/>
                <w:sz w:val="21"/>
              </w:rPr>
            </w:pPr>
          </w:p>
          <w:p w14:paraId="66BAC30D">
            <w:pPr>
              <w:pStyle w:val="6"/>
              <w:spacing w:before="78" w:line="230" w:lineRule="auto"/>
              <w:ind w:left="1204" w:right="116" w:hanging="1083"/>
            </w:pPr>
            <w:r>
              <w:rPr>
                <w:spacing w:val="-2"/>
              </w:rPr>
              <w:t>寻甸回族彝族自治县发展和</w:t>
            </w:r>
            <w:r>
              <w:rPr>
                <w:spacing w:val="8"/>
              </w:rPr>
              <w:t xml:space="preserve"> </w:t>
            </w:r>
            <w:r>
              <w:rPr>
                <w:spacing w:val="-6"/>
              </w:rPr>
              <w:t>改革局</w:t>
            </w:r>
          </w:p>
        </w:tc>
        <w:tc>
          <w:tcPr>
            <w:tcW w:w="1842" w:type="dxa"/>
            <w:gridSpan w:val="2"/>
            <w:vAlign w:val="top"/>
          </w:tcPr>
          <w:p w14:paraId="0BE166C8">
            <w:pPr>
              <w:spacing w:line="461" w:lineRule="auto"/>
              <w:rPr>
                <w:rFonts w:ascii="Arial"/>
                <w:sz w:val="21"/>
              </w:rPr>
            </w:pPr>
          </w:p>
          <w:p w14:paraId="5F2B736A">
            <w:pPr>
              <w:pStyle w:val="6"/>
              <w:spacing w:before="78" w:line="231" w:lineRule="auto"/>
              <w:ind w:left="884" w:right="103" w:hanging="767"/>
              <w:rPr>
                <w:rFonts w:ascii="Times New Roman" w:hAnsi="Times New Roman" w:eastAsia="Times New Roman" w:cs="Times New Roman"/>
              </w:rPr>
            </w:pPr>
            <w:r>
              <w:rPr>
                <w:spacing w:val="-10"/>
              </w:rPr>
              <w:t>项目审批（核准</w:t>
            </w:r>
            <w:r>
              <w:rPr>
                <w:spacing w:val="5"/>
              </w:rPr>
              <w:t xml:space="preserve"> </w:t>
            </w:r>
            <w:r>
              <w:rPr>
                <w:rFonts w:ascii="Times New Roman" w:hAnsi="Times New Roman" w:eastAsia="Times New Roman" w:cs="Times New Roman"/>
              </w:rPr>
              <w:t>/</w:t>
            </w:r>
          </w:p>
          <w:p w14:paraId="4CD7E71E">
            <w:pPr>
              <w:pStyle w:val="6"/>
              <w:spacing w:before="22" w:line="229" w:lineRule="auto"/>
              <w:ind w:left="688" w:right="103" w:hanging="572"/>
            </w:pPr>
            <w:r>
              <w:rPr>
                <w:spacing w:val="-9"/>
              </w:rPr>
              <w:t>备案）文号（选</w:t>
            </w:r>
            <w:r>
              <w:t xml:space="preserve"> </w:t>
            </w:r>
            <w:r>
              <w:rPr>
                <w:spacing w:val="-6"/>
              </w:rPr>
              <w:t>填）</w:t>
            </w:r>
          </w:p>
        </w:tc>
        <w:tc>
          <w:tcPr>
            <w:tcW w:w="3111" w:type="dxa"/>
            <w:gridSpan w:val="2"/>
            <w:tcBorders>
              <w:right w:val="single" w:color="000000" w:sz="6" w:space="0"/>
            </w:tcBorders>
            <w:vAlign w:val="top"/>
          </w:tcPr>
          <w:p w14:paraId="612425FB">
            <w:pPr>
              <w:spacing w:line="319" w:lineRule="auto"/>
              <w:rPr>
                <w:rFonts w:ascii="Arial"/>
                <w:sz w:val="21"/>
              </w:rPr>
            </w:pPr>
          </w:p>
          <w:p w14:paraId="0775D76D">
            <w:pPr>
              <w:spacing w:line="319" w:lineRule="auto"/>
              <w:rPr>
                <w:rFonts w:ascii="Arial"/>
                <w:sz w:val="21"/>
              </w:rPr>
            </w:pPr>
          </w:p>
          <w:p w14:paraId="5547E12C">
            <w:pPr>
              <w:spacing w:line="319" w:lineRule="auto"/>
              <w:rPr>
                <w:rFonts w:ascii="Arial"/>
                <w:sz w:val="21"/>
              </w:rPr>
            </w:pPr>
          </w:p>
          <w:p w14:paraId="30D35D37">
            <w:pPr>
              <w:spacing w:before="69" w:line="188" w:lineRule="auto"/>
              <w:ind w:left="19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2207-530129-04-01-142912</w:t>
            </w:r>
          </w:p>
        </w:tc>
      </w:tr>
      <w:tr w14:paraId="0B1B0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014" w:type="dxa"/>
            <w:tcBorders>
              <w:left w:val="single" w:color="000000" w:sz="6" w:space="0"/>
            </w:tcBorders>
            <w:vAlign w:val="top"/>
          </w:tcPr>
          <w:p w14:paraId="190243FB">
            <w:pPr>
              <w:pStyle w:val="6"/>
              <w:spacing w:before="61" w:line="226" w:lineRule="auto"/>
              <w:ind w:left="268" w:right="146" w:hanging="115"/>
              <w:jc w:val="both"/>
            </w:pPr>
            <w:r>
              <w:rPr>
                <w:spacing w:val="-6"/>
              </w:rPr>
              <w:t>总投资</w:t>
            </w:r>
            <w:r>
              <w:rPr>
                <w:spacing w:val="1"/>
              </w:rPr>
              <w:t xml:space="preserve"> </w:t>
            </w:r>
            <w:r>
              <w:rPr>
                <w:spacing w:val="-6"/>
              </w:rPr>
              <w:t>（万</w:t>
            </w:r>
            <w:r>
              <w:t xml:space="preserve">  </w:t>
            </w:r>
            <w:r>
              <w:rPr>
                <w:spacing w:val="-6"/>
              </w:rPr>
              <w:t>元）</w:t>
            </w:r>
          </w:p>
        </w:tc>
        <w:tc>
          <w:tcPr>
            <w:tcW w:w="3109" w:type="dxa"/>
            <w:gridSpan w:val="2"/>
            <w:vAlign w:val="top"/>
          </w:tcPr>
          <w:p w14:paraId="07EAF80F">
            <w:pPr>
              <w:spacing w:line="362" w:lineRule="auto"/>
              <w:rPr>
                <w:rFonts w:ascii="Arial"/>
                <w:sz w:val="21"/>
              </w:rPr>
            </w:pPr>
          </w:p>
          <w:p w14:paraId="21F089BD">
            <w:pPr>
              <w:spacing w:before="58" w:line="195" w:lineRule="auto"/>
              <w:ind w:left="11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49735.85</w:t>
            </w:r>
          </w:p>
        </w:tc>
        <w:tc>
          <w:tcPr>
            <w:tcW w:w="1842" w:type="dxa"/>
            <w:gridSpan w:val="2"/>
            <w:vAlign w:val="top"/>
          </w:tcPr>
          <w:p w14:paraId="2DEADAB3">
            <w:pPr>
              <w:pStyle w:val="6"/>
              <w:spacing w:before="216" w:line="229" w:lineRule="auto"/>
              <w:ind w:left="688" w:right="199" w:hanging="481"/>
            </w:pPr>
            <w:r>
              <w:rPr>
                <w:spacing w:val="-2"/>
              </w:rPr>
              <w:t>环保投资（万</w:t>
            </w:r>
            <w:r>
              <w:rPr>
                <w:spacing w:val="1"/>
              </w:rPr>
              <w:t xml:space="preserve"> </w:t>
            </w:r>
            <w:r>
              <w:rPr>
                <w:spacing w:val="-6"/>
              </w:rPr>
              <w:t>元）</w:t>
            </w:r>
          </w:p>
        </w:tc>
        <w:tc>
          <w:tcPr>
            <w:tcW w:w="3111" w:type="dxa"/>
            <w:gridSpan w:val="2"/>
            <w:tcBorders>
              <w:right w:val="single" w:color="000000" w:sz="6" w:space="0"/>
            </w:tcBorders>
            <w:vAlign w:val="top"/>
          </w:tcPr>
          <w:p w14:paraId="4E776012">
            <w:pPr>
              <w:spacing w:line="340" w:lineRule="auto"/>
              <w:rPr>
                <w:rFonts w:ascii="Arial"/>
                <w:sz w:val="21"/>
              </w:rPr>
            </w:pPr>
          </w:p>
          <w:p w14:paraId="73D138D7">
            <w:pPr>
              <w:spacing w:before="69" w:line="188" w:lineRule="auto"/>
              <w:ind w:left="1309"/>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184.6</w:t>
            </w:r>
          </w:p>
        </w:tc>
      </w:tr>
      <w:tr w14:paraId="10C1D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014" w:type="dxa"/>
            <w:tcBorders>
              <w:left w:val="single" w:color="000000" w:sz="6" w:space="0"/>
            </w:tcBorders>
            <w:vAlign w:val="top"/>
          </w:tcPr>
          <w:p w14:paraId="66E03492">
            <w:pPr>
              <w:pStyle w:val="6"/>
              <w:spacing w:before="62" w:line="226" w:lineRule="auto"/>
              <w:ind w:left="156" w:right="146" w:hanging="10"/>
              <w:jc w:val="both"/>
            </w:pPr>
            <w:r>
              <w:rPr>
                <w:spacing w:val="-4"/>
              </w:rPr>
              <w:t>环保投</w:t>
            </w:r>
            <w:r>
              <w:rPr>
                <w:spacing w:val="1"/>
              </w:rPr>
              <w:t xml:space="preserve"> </w:t>
            </w:r>
            <w:r>
              <w:rPr>
                <w:spacing w:val="-7"/>
              </w:rPr>
              <w:t>资占比</w:t>
            </w:r>
            <w:r>
              <w:t xml:space="preserve"> </w:t>
            </w:r>
            <w:r>
              <w:rPr>
                <w:spacing w:val="-1"/>
              </w:rPr>
              <w:t>（</w:t>
            </w:r>
            <w:r>
              <w:rPr>
                <w:rFonts w:ascii="Times New Roman" w:hAnsi="Times New Roman" w:eastAsia="Times New Roman" w:cs="Times New Roman"/>
                <w:spacing w:val="-1"/>
              </w:rPr>
              <w:t>%</w:t>
            </w:r>
            <w:r>
              <w:rPr>
                <w:spacing w:val="-1"/>
              </w:rPr>
              <w:t>）</w:t>
            </w:r>
          </w:p>
        </w:tc>
        <w:tc>
          <w:tcPr>
            <w:tcW w:w="3109" w:type="dxa"/>
            <w:gridSpan w:val="2"/>
            <w:vAlign w:val="top"/>
          </w:tcPr>
          <w:p w14:paraId="22543FBF">
            <w:pPr>
              <w:spacing w:line="342" w:lineRule="auto"/>
              <w:rPr>
                <w:rFonts w:ascii="Arial"/>
                <w:sz w:val="21"/>
              </w:rPr>
            </w:pPr>
          </w:p>
          <w:p w14:paraId="5DA9F177">
            <w:pPr>
              <w:spacing w:before="69" w:line="188" w:lineRule="auto"/>
              <w:ind w:left="134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0.37</w:t>
            </w:r>
          </w:p>
        </w:tc>
        <w:tc>
          <w:tcPr>
            <w:tcW w:w="1842" w:type="dxa"/>
            <w:gridSpan w:val="2"/>
            <w:vAlign w:val="top"/>
          </w:tcPr>
          <w:p w14:paraId="7AA0776E">
            <w:pPr>
              <w:spacing w:line="291" w:lineRule="auto"/>
              <w:rPr>
                <w:rFonts w:ascii="Arial"/>
                <w:sz w:val="21"/>
              </w:rPr>
            </w:pPr>
          </w:p>
          <w:p w14:paraId="0CE8866D">
            <w:pPr>
              <w:pStyle w:val="6"/>
              <w:spacing w:before="78" w:line="220" w:lineRule="auto"/>
              <w:ind w:left="446"/>
            </w:pPr>
            <w:r>
              <w:rPr>
                <w:spacing w:val="-3"/>
              </w:rPr>
              <w:t>施工工期</w:t>
            </w:r>
          </w:p>
        </w:tc>
        <w:tc>
          <w:tcPr>
            <w:tcW w:w="3111" w:type="dxa"/>
            <w:gridSpan w:val="2"/>
            <w:tcBorders>
              <w:right w:val="single" w:color="000000" w:sz="6" w:space="0"/>
            </w:tcBorders>
            <w:vAlign w:val="top"/>
          </w:tcPr>
          <w:p w14:paraId="7FEBC6B3">
            <w:pPr>
              <w:spacing w:line="292" w:lineRule="auto"/>
              <w:rPr>
                <w:rFonts w:ascii="Arial"/>
                <w:sz w:val="21"/>
              </w:rPr>
            </w:pPr>
          </w:p>
          <w:p w14:paraId="76E3CCD2">
            <w:pPr>
              <w:pStyle w:val="6"/>
              <w:spacing w:before="78" w:line="219" w:lineRule="auto"/>
              <w:ind w:left="1230"/>
            </w:pPr>
            <w:r>
              <w:rPr>
                <w:rFonts w:ascii="Times New Roman" w:hAnsi="Times New Roman" w:eastAsia="Times New Roman" w:cs="Times New Roman"/>
                <w:spacing w:val="-7"/>
              </w:rPr>
              <w:t>7</w:t>
            </w:r>
            <w:r>
              <w:rPr>
                <w:rFonts w:ascii="Times New Roman" w:hAnsi="Times New Roman" w:eastAsia="Times New Roman" w:cs="Times New Roman"/>
                <w:spacing w:val="11"/>
              </w:rPr>
              <w:t xml:space="preserve"> </w:t>
            </w:r>
            <w:r>
              <w:rPr>
                <w:spacing w:val="-7"/>
              </w:rPr>
              <w:t>个月</w:t>
            </w:r>
          </w:p>
        </w:tc>
      </w:tr>
      <w:tr w14:paraId="05944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1014" w:type="dxa"/>
            <w:tcBorders>
              <w:left w:val="single" w:color="000000" w:sz="6" w:space="0"/>
            </w:tcBorders>
            <w:vAlign w:val="top"/>
          </w:tcPr>
          <w:p w14:paraId="1A670B92">
            <w:pPr>
              <w:pStyle w:val="6"/>
              <w:spacing w:before="176" w:line="230" w:lineRule="auto"/>
              <w:ind w:left="149" w:right="146"/>
            </w:pPr>
            <w:r>
              <w:rPr>
                <w:spacing w:val="-5"/>
              </w:rPr>
              <w:t>是否开</w:t>
            </w:r>
            <w:r>
              <w:t xml:space="preserve"> </w:t>
            </w:r>
            <w:r>
              <w:rPr>
                <w:spacing w:val="-5"/>
              </w:rPr>
              <w:t>工建设</w:t>
            </w:r>
          </w:p>
        </w:tc>
        <w:tc>
          <w:tcPr>
            <w:tcW w:w="8062" w:type="dxa"/>
            <w:gridSpan w:val="6"/>
            <w:tcBorders>
              <w:right w:val="single" w:color="000000" w:sz="6" w:space="0"/>
            </w:tcBorders>
            <w:vAlign w:val="top"/>
          </w:tcPr>
          <w:p w14:paraId="5E0804FE">
            <w:pPr>
              <w:pStyle w:val="6"/>
              <w:spacing w:before="175" w:line="220" w:lineRule="auto"/>
              <w:ind w:left="119"/>
            </w:pPr>
            <w:r>
              <w:rPr>
                <w:rFonts w:ascii="MS Gothic" w:hAnsi="MS Gothic" w:eastAsia="MS Gothic" w:cs="MS Gothic"/>
                <w:spacing w:val="-10"/>
              </w:rPr>
              <w:t>☑</w:t>
            </w:r>
            <w:r>
              <w:rPr>
                <w:spacing w:val="-10"/>
              </w:rPr>
              <w:t>否</w:t>
            </w:r>
          </w:p>
          <w:p w14:paraId="57E5361B">
            <w:pPr>
              <w:pStyle w:val="6"/>
              <w:spacing w:before="25" w:line="223" w:lineRule="auto"/>
              <w:ind w:left="134"/>
            </w:pPr>
            <w:r>
              <w:rPr>
                <w:spacing w:val="-12"/>
              </w:rPr>
              <w:t>□是：</w:t>
            </w:r>
            <w:r>
              <w:rPr>
                <w:u w:val="single" w:color="auto"/>
              </w:rPr>
              <w:t xml:space="preserve">                          </w:t>
            </w:r>
          </w:p>
        </w:tc>
      </w:tr>
      <w:tr w14:paraId="59F09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014" w:type="dxa"/>
            <w:vMerge w:val="restart"/>
            <w:tcBorders>
              <w:left w:val="single" w:color="000000" w:sz="6" w:space="0"/>
              <w:bottom w:val="nil"/>
            </w:tcBorders>
            <w:vAlign w:val="top"/>
          </w:tcPr>
          <w:p w14:paraId="513ED3EF">
            <w:pPr>
              <w:spacing w:line="413" w:lineRule="auto"/>
              <w:rPr>
                <w:rFonts w:ascii="Arial"/>
                <w:sz w:val="21"/>
              </w:rPr>
            </w:pPr>
          </w:p>
          <w:p w14:paraId="5E63E18E">
            <w:pPr>
              <w:pStyle w:val="6"/>
              <w:spacing w:before="78" w:line="220" w:lineRule="auto"/>
              <w:ind w:left="147"/>
            </w:pPr>
            <w:r>
              <w:rPr>
                <w:spacing w:val="-4"/>
              </w:rPr>
              <w:t>专项评</w:t>
            </w:r>
          </w:p>
          <w:p w14:paraId="20030F40">
            <w:pPr>
              <w:pStyle w:val="6"/>
              <w:spacing w:before="23" w:line="218" w:lineRule="auto"/>
              <w:ind w:left="147"/>
            </w:pPr>
            <w:r>
              <w:rPr>
                <w:spacing w:val="-4"/>
              </w:rPr>
              <w:t>价设置</w:t>
            </w:r>
          </w:p>
          <w:p w14:paraId="2BBC2F7C">
            <w:pPr>
              <w:pStyle w:val="6"/>
              <w:spacing w:before="28" w:line="220" w:lineRule="auto"/>
              <w:ind w:left="267"/>
            </w:pPr>
            <w:r>
              <w:rPr>
                <w:spacing w:val="-6"/>
              </w:rPr>
              <w:t>情况</w:t>
            </w:r>
          </w:p>
        </w:tc>
        <w:tc>
          <w:tcPr>
            <w:tcW w:w="8062" w:type="dxa"/>
            <w:gridSpan w:val="6"/>
            <w:tcBorders>
              <w:right w:val="single" w:color="000000" w:sz="6" w:space="0"/>
            </w:tcBorders>
            <w:vAlign w:val="top"/>
          </w:tcPr>
          <w:p w14:paraId="2E36C73B">
            <w:pPr>
              <w:pStyle w:val="6"/>
              <w:spacing w:before="59" w:line="226" w:lineRule="auto"/>
              <w:ind w:left="532"/>
              <w:rPr>
                <w:sz w:val="20"/>
                <w:szCs w:val="20"/>
              </w:rPr>
            </w:pPr>
            <w:r>
              <w:rPr>
                <w:spacing w:val="7"/>
                <w:sz w:val="20"/>
                <w:szCs w:val="20"/>
              </w:rPr>
              <w:t>项目专项评价设置原则见表</w:t>
            </w:r>
            <w:r>
              <w:rPr>
                <w:rFonts w:ascii="Times New Roman" w:hAnsi="Times New Roman" w:eastAsia="Times New Roman" w:cs="Times New Roman"/>
                <w:spacing w:val="7"/>
                <w:sz w:val="20"/>
                <w:szCs w:val="20"/>
              </w:rPr>
              <w:t>1-1</w:t>
            </w:r>
            <w:r>
              <w:rPr>
                <w:spacing w:val="7"/>
                <w:sz w:val="20"/>
                <w:szCs w:val="20"/>
              </w:rPr>
              <w:t>。</w:t>
            </w:r>
          </w:p>
          <w:p w14:paraId="3C5D675E">
            <w:pPr>
              <w:pStyle w:val="6"/>
              <w:spacing w:before="163" w:line="206" w:lineRule="auto"/>
              <w:ind w:left="2783"/>
              <w:outlineLvl w:val="1"/>
              <w:rPr>
                <w:sz w:val="20"/>
                <w:szCs w:val="20"/>
              </w:rPr>
            </w:pPr>
            <w:r>
              <w:rPr>
                <w:b/>
                <w:bCs/>
                <w:spacing w:val="5"/>
                <w:sz w:val="20"/>
                <w:szCs w:val="20"/>
              </w:rPr>
              <w:t>表</w:t>
            </w:r>
            <w:r>
              <w:rPr>
                <w:spacing w:val="-25"/>
                <w:sz w:val="20"/>
                <w:szCs w:val="20"/>
              </w:rPr>
              <w:t xml:space="preserve"> </w:t>
            </w:r>
            <w:r>
              <w:rPr>
                <w:rFonts w:ascii="Times New Roman" w:hAnsi="Times New Roman" w:eastAsia="Times New Roman" w:cs="Times New Roman"/>
                <w:b/>
                <w:bCs/>
                <w:spacing w:val="5"/>
                <w:sz w:val="20"/>
                <w:szCs w:val="20"/>
              </w:rPr>
              <w:t xml:space="preserve">1-1 </w:t>
            </w:r>
            <w:r>
              <w:rPr>
                <w:b/>
                <w:bCs/>
                <w:spacing w:val="5"/>
                <w:sz w:val="20"/>
                <w:szCs w:val="20"/>
              </w:rPr>
              <w:t>专项评价设置原则表</w:t>
            </w:r>
          </w:p>
        </w:tc>
      </w:tr>
      <w:tr w14:paraId="2C88F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14" w:type="dxa"/>
            <w:vMerge w:val="continue"/>
            <w:tcBorders>
              <w:top w:val="nil"/>
              <w:left w:val="single" w:color="000000" w:sz="6" w:space="0"/>
              <w:bottom w:val="nil"/>
            </w:tcBorders>
            <w:vAlign w:val="top"/>
          </w:tcPr>
          <w:p w14:paraId="6BA39575">
            <w:pPr>
              <w:rPr>
                <w:rFonts w:ascii="Arial"/>
                <w:sz w:val="21"/>
              </w:rPr>
            </w:pPr>
          </w:p>
        </w:tc>
        <w:tc>
          <w:tcPr>
            <w:tcW w:w="1244" w:type="dxa"/>
            <w:vAlign w:val="top"/>
          </w:tcPr>
          <w:p w14:paraId="0E92636E">
            <w:pPr>
              <w:pStyle w:val="6"/>
              <w:spacing w:before="44" w:line="228" w:lineRule="auto"/>
              <w:ind w:left="379" w:right="147" w:hanging="121"/>
              <w:rPr>
                <w:sz w:val="20"/>
                <w:szCs w:val="20"/>
              </w:rPr>
            </w:pPr>
            <w:r>
              <w:rPr>
                <w:b/>
                <w:bCs/>
                <w:spacing w:val="6"/>
                <w:sz w:val="20"/>
                <w:szCs w:val="20"/>
              </w:rPr>
              <w:t>专项评价</w:t>
            </w:r>
            <w:r>
              <w:rPr>
                <w:sz w:val="20"/>
                <w:szCs w:val="20"/>
              </w:rPr>
              <w:t xml:space="preserve"> </w:t>
            </w:r>
            <w:r>
              <w:rPr>
                <w:b/>
                <w:bCs/>
                <w:spacing w:val="-1"/>
                <w:sz w:val="20"/>
                <w:szCs w:val="20"/>
              </w:rPr>
              <w:t>的类别</w:t>
            </w:r>
          </w:p>
        </w:tc>
        <w:tc>
          <w:tcPr>
            <w:tcW w:w="3473" w:type="dxa"/>
            <w:gridSpan w:val="2"/>
            <w:vAlign w:val="top"/>
          </w:tcPr>
          <w:p w14:paraId="0EB1B6CF">
            <w:pPr>
              <w:pStyle w:val="6"/>
              <w:spacing w:before="178" w:line="228" w:lineRule="auto"/>
              <w:ind w:left="1110"/>
              <w:rPr>
                <w:sz w:val="20"/>
                <w:szCs w:val="20"/>
              </w:rPr>
            </w:pPr>
            <w:r>
              <w:rPr>
                <w:b/>
                <w:bCs/>
                <w:spacing w:val="6"/>
                <w:sz w:val="20"/>
                <w:szCs w:val="20"/>
              </w:rPr>
              <w:t>涉及项目类别</w:t>
            </w:r>
          </w:p>
        </w:tc>
        <w:tc>
          <w:tcPr>
            <w:tcW w:w="2142" w:type="dxa"/>
            <w:gridSpan w:val="2"/>
            <w:vAlign w:val="top"/>
          </w:tcPr>
          <w:p w14:paraId="4CE3D41D">
            <w:pPr>
              <w:pStyle w:val="6"/>
              <w:spacing w:before="179" w:line="228" w:lineRule="auto"/>
              <w:ind w:left="663"/>
              <w:rPr>
                <w:sz w:val="20"/>
                <w:szCs w:val="20"/>
              </w:rPr>
            </w:pPr>
            <w:r>
              <w:rPr>
                <w:b/>
                <w:bCs/>
                <w:spacing w:val="5"/>
                <w:sz w:val="20"/>
                <w:szCs w:val="20"/>
              </w:rPr>
              <w:t>项目情况</w:t>
            </w:r>
          </w:p>
        </w:tc>
        <w:tc>
          <w:tcPr>
            <w:tcW w:w="1203" w:type="dxa"/>
            <w:tcBorders>
              <w:right w:val="single" w:color="000000" w:sz="6" w:space="0"/>
            </w:tcBorders>
            <w:vAlign w:val="top"/>
          </w:tcPr>
          <w:p w14:paraId="5161DDCD">
            <w:pPr>
              <w:pStyle w:val="6"/>
              <w:spacing w:before="44" w:line="228" w:lineRule="auto"/>
              <w:ind w:left="339" w:right="228" w:hanging="206"/>
              <w:rPr>
                <w:sz w:val="20"/>
                <w:szCs w:val="20"/>
              </w:rPr>
            </w:pPr>
            <w:r>
              <w:rPr>
                <w:b/>
                <w:bCs/>
                <w:spacing w:val="5"/>
                <w:sz w:val="20"/>
                <w:szCs w:val="20"/>
              </w:rPr>
              <w:t>是否设置</w:t>
            </w:r>
            <w:r>
              <w:rPr>
                <w:spacing w:val="1"/>
                <w:sz w:val="20"/>
                <w:szCs w:val="20"/>
              </w:rPr>
              <w:t xml:space="preserve"> </w:t>
            </w:r>
            <w:r>
              <w:rPr>
                <w:b/>
                <w:bCs/>
                <w:spacing w:val="3"/>
                <w:sz w:val="20"/>
                <w:szCs w:val="20"/>
              </w:rPr>
              <w:t>专项</w:t>
            </w:r>
          </w:p>
        </w:tc>
      </w:tr>
      <w:tr w14:paraId="75AC0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014" w:type="dxa"/>
            <w:vMerge w:val="continue"/>
            <w:tcBorders>
              <w:top w:val="nil"/>
              <w:left w:val="single" w:color="000000" w:sz="6" w:space="0"/>
              <w:bottom w:val="single" w:color="000000" w:sz="6" w:space="0"/>
            </w:tcBorders>
            <w:vAlign w:val="top"/>
          </w:tcPr>
          <w:p w14:paraId="662BFF6B">
            <w:pPr>
              <w:rPr>
                <w:rFonts w:ascii="Arial"/>
                <w:sz w:val="21"/>
              </w:rPr>
            </w:pPr>
          </w:p>
        </w:tc>
        <w:tc>
          <w:tcPr>
            <w:tcW w:w="1244" w:type="dxa"/>
            <w:tcBorders>
              <w:bottom w:val="single" w:color="000000" w:sz="6" w:space="0"/>
            </w:tcBorders>
            <w:vAlign w:val="top"/>
          </w:tcPr>
          <w:p w14:paraId="46B66973">
            <w:pPr>
              <w:pStyle w:val="6"/>
              <w:spacing w:before="179" w:line="228" w:lineRule="auto"/>
              <w:ind w:left="365"/>
              <w:rPr>
                <w:sz w:val="20"/>
                <w:szCs w:val="20"/>
              </w:rPr>
            </w:pPr>
            <w:r>
              <w:rPr>
                <w:spacing w:val="6"/>
                <w:sz w:val="20"/>
                <w:szCs w:val="20"/>
              </w:rPr>
              <w:t>地表水</w:t>
            </w:r>
          </w:p>
        </w:tc>
        <w:tc>
          <w:tcPr>
            <w:tcW w:w="3473" w:type="dxa"/>
            <w:gridSpan w:val="2"/>
            <w:tcBorders>
              <w:bottom w:val="single" w:color="000000" w:sz="6" w:space="0"/>
            </w:tcBorders>
            <w:vAlign w:val="top"/>
          </w:tcPr>
          <w:p w14:paraId="33E3397F">
            <w:pPr>
              <w:pStyle w:val="6"/>
              <w:spacing w:before="44" w:line="234" w:lineRule="auto"/>
              <w:ind w:left="133" w:right="54" w:hanging="21"/>
              <w:rPr>
                <w:sz w:val="20"/>
                <w:szCs w:val="20"/>
              </w:rPr>
            </w:pPr>
            <w:r>
              <w:rPr>
                <w:spacing w:val="3"/>
                <w:sz w:val="20"/>
                <w:szCs w:val="20"/>
              </w:rPr>
              <w:t>水力发电：引水式发电、涉及调峰发</w:t>
            </w:r>
            <w:r>
              <w:rPr>
                <w:spacing w:val="2"/>
                <w:sz w:val="20"/>
                <w:szCs w:val="20"/>
              </w:rPr>
              <w:t xml:space="preserve"> </w:t>
            </w:r>
            <w:r>
              <w:rPr>
                <w:spacing w:val="-8"/>
                <w:sz w:val="20"/>
                <w:szCs w:val="20"/>
              </w:rPr>
              <w:t>电的项目；人工湖、人工湿地：全部；</w:t>
            </w:r>
          </w:p>
        </w:tc>
        <w:tc>
          <w:tcPr>
            <w:tcW w:w="2142" w:type="dxa"/>
            <w:gridSpan w:val="2"/>
            <w:tcBorders>
              <w:bottom w:val="single" w:color="000000" w:sz="6" w:space="0"/>
            </w:tcBorders>
            <w:vAlign w:val="top"/>
          </w:tcPr>
          <w:p w14:paraId="228AC24C">
            <w:pPr>
              <w:pStyle w:val="6"/>
              <w:spacing w:before="44" w:line="234" w:lineRule="auto"/>
              <w:ind w:left="173" w:right="122" w:hanging="36"/>
              <w:rPr>
                <w:sz w:val="20"/>
                <w:szCs w:val="20"/>
              </w:rPr>
            </w:pPr>
            <w:r>
              <w:rPr>
                <w:spacing w:val="8"/>
                <w:sz w:val="20"/>
                <w:szCs w:val="20"/>
              </w:rPr>
              <w:t>项目属于光伏发电项</w:t>
            </w:r>
            <w:r>
              <w:rPr>
                <w:spacing w:val="4"/>
                <w:sz w:val="20"/>
                <w:szCs w:val="20"/>
              </w:rPr>
              <w:t xml:space="preserve"> 目，不涉及需做地表</w:t>
            </w:r>
          </w:p>
        </w:tc>
        <w:tc>
          <w:tcPr>
            <w:tcW w:w="1203" w:type="dxa"/>
            <w:tcBorders>
              <w:bottom w:val="single" w:color="000000" w:sz="6" w:space="0"/>
              <w:right w:val="single" w:color="000000" w:sz="6" w:space="0"/>
            </w:tcBorders>
            <w:vAlign w:val="top"/>
          </w:tcPr>
          <w:p w14:paraId="765480A9">
            <w:pPr>
              <w:pStyle w:val="6"/>
              <w:spacing w:before="179" w:line="228" w:lineRule="auto"/>
              <w:ind w:left="451"/>
              <w:rPr>
                <w:sz w:val="20"/>
                <w:szCs w:val="20"/>
              </w:rPr>
            </w:pPr>
            <w:r>
              <w:rPr>
                <w:sz w:val="20"/>
                <w:szCs w:val="20"/>
              </w:rPr>
              <w:t>否</w:t>
            </w:r>
          </w:p>
        </w:tc>
      </w:tr>
    </w:tbl>
    <w:p w14:paraId="2F51181A">
      <w:pPr>
        <w:rPr>
          <w:rFonts w:ascii="Arial"/>
          <w:sz w:val="21"/>
        </w:rPr>
      </w:pPr>
    </w:p>
    <w:p w14:paraId="19DA3318">
      <w:pPr>
        <w:rPr>
          <w:rFonts w:ascii="Arial" w:hAnsi="Arial" w:eastAsia="Arial" w:cs="Arial"/>
          <w:sz w:val="21"/>
          <w:szCs w:val="21"/>
        </w:rPr>
        <w:sectPr>
          <w:footerReference r:id="rId9" w:type="default"/>
          <w:pgSz w:w="11906" w:h="16839"/>
          <w:pgMar w:top="1431" w:right="1407" w:bottom="1278" w:left="1407" w:header="0" w:footer="1116" w:gutter="0"/>
          <w:cols w:space="720" w:num="1"/>
        </w:sectPr>
      </w:pPr>
    </w:p>
    <w:p w14:paraId="6DB26C53">
      <w:pPr>
        <w:spacing w:line="99" w:lineRule="exact"/>
      </w:pPr>
      <w:r>
        <w:pict>
          <v:shape id="_x0000_s1026" o:spid="_x0000_s1026" style="position:absolute;left:0pt;margin-left:120.9pt;margin-top:77.5pt;height:680.05pt;width:0.5pt;mso-position-horizontal-relative:page;mso-position-vertical-relative:page;z-index:251661312;mso-width-relative:page;mso-height-relative:page;" filled="f" stroked="t" coordsize="10,13600" o:allowincell="f" path="m4,0l4,13600e">
            <v:fill on="f" focussize="0,0"/>
            <v:stroke weight="0.48pt" color="#000000" miterlimit="2" joinstyle="bevel"/>
            <v:imagedata o:title=""/>
            <o:lock v:ext="edit"/>
          </v:shape>
        </w:pict>
      </w: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9"/>
        <w:gridCol w:w="8077"/>
      </w:tblGrid>
      <w:tr w14:paraId="39D73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06" w:hRule="atLeast"/>
        </w:trPr>
        <w:tc>
          <w:tcPr>
            <w:tcW w:w="9076" w:type="dxa"/>
            <w:gridSpan w:val="2"/>
            <w:tcBorders>
              <w:bottom w:val="single" w:color="000000" w:sz="2" w:space="0"/>
            </w:tcBorders>
            <w:vAlign w:val="top"/>
          </w:tcPr>
          <w:p w14:paraId="6D490789">
            <w:pPr>
              <w:spacing w:line="114" w:lineRule="auto"/>
              <w:rPr>
                <w:rFonts w:ascii="Arial"/>
                <w:sz w:val="2"/>
              </w:rPr>
            </w:pPr>
          </w:p>
          <w:tbl>
            <w:tblPr>
              <w:tblStyle w:val="5"/>
              <w:tblW w:w="7841" w:type="dxa"/>
              <w:tblInd w:w="11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6"/>
              <w:gridCol w:w="3477"/>
              <w:gridCol w:w="2143"/>
              <w:gridCol w:w="1085"/>
            </w:tblGrid>
            <w:tr w14:paraId="3E6D6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1136" w:type="dxa"/>
                  <w:tcBorders>
                    <w:top w:val="nil"/>
                  </w:tcBorders>
                  <w:vAlign w:val="top"/>
                </w:tcPr>
                <w:p w14:paraId="638BDD99">
                  <w:pPr>
                    <w:rPr>
                      <w:rFonts w:ascii="Arial"/>
                      <w:sz w:val="21"/>
                    </w:rPr>
                  </w:pPr>
                </w:p>
              </w:tc>
              <w:tc>
                <w:tcPr>
                  <w:tcW w:w="3477" w:type="dxa"/>
                  <w:tcBorders>
                    <w:top w:val="nil"/>
                  </w:tcBorders>
                  <w:vAlign w:val="top"/>
                </w:tcPr>
                <w:p w14:paraId="557FC30F">
                  <w:pPr>
                    <w:pStyle w:val="6"/>
                    <w:spacing w:before="40" w:line="243" w:lineRule="auto"/>
                    <w:ind w:left="112" w:right="52" w:firstLine="2"/>
                    <w:jc w:val="both"/>
                    <w:rPr>
                      <w:sz w:val="20"/>
                      <w:szCs w:val="20"/>
                    </w:rPr>
                  </w:pPr>
                  <w:r>
                    <w:rPr>
                      <w:spacing w:val="3"/>
                      <w:sz w:val="20"/>
                      <w:szCs w:val="20"/>
                    </w:rPr>
                    <w:t>水库：全部；引水工程：全部（配套</w:t>
                  </w:r>
                  <w:r>
                    <w:rPr>
                      <w:sz w:val="20"/>
                      <w:szCs w:val="20"/>
                    </w:rPr>
                    <w:t xml:space="preserve"> </w:t>
                  </w:r>
                  <w:r>
                    <w:rPr>
                      <w:spacing w:val="4"/>
                      <w:sz w:val="20"/>
                      <w:szCs w:val="20"/>
                    </w:rPr>
                    <w:t>的管线工程等除外</w:t>
                  </w:r>
                  <w:r>
                    <w:rPr>
                      <w:spacing w:val="-45"/>
                      <w:w w:val="83"/>
                      <w:sz w:val="20"/>
                      <w:szCs w:val="20"/>
                    </w:rPr>
                    <w:t>）；</w:t>
                  </w:r>
                  <w:r>
                    <w:rPr>
                      <w:spacing w:val="4"/>
                      <w:sz w:val="20"/>
                      <w:szCs w:val="20"/>
                    </w:rPr>
                    <w:t>防洪除涝工程：</w:t>
                  </w:r>
                  <w:r>
                    <w:rPr>
                      <w:spacing w:val="3"/>
                      <w:sz w:val="20"/>
                      <w:szCs w:val="20"/>
                    </w:rPr>
                    <w:t xml:space="preserve"> 包含水库的项目；河湖整治：涉及清</w:t>
                  </w:r>
                  <w:r>
                    <w:rPr>
                      <w:spacing w:val="4"/>
                      <w:sz w:val="20"/>
                      <w:szCs w:val="20"/>
                    </w:rPr>
                    <w:t xml:space="preserve"> </w:t>
                  </w:r>
                  <w:r>
                    <w:rPr>
                      <w:spacing w:val="12"/>
                      <w:sz w:val="20"/>
                      <w:szCs w:val="20"/>
                    </w:rPr>
                    <w:t>淤且底泥存在重金属污染的项目。</w:t>
                  </w:r>
                </w:p>
              </w:tc>
              <w:tc>
                <w:tcPr>
                  <w:tcW w:w="2143" w:type="dxa"/>
                  <w:tcBorders>
                    <w:top w:val="nil"/>
                  </w:tcBorders>
                  <w:vAlign w:val="top"/>
                </w:tcPr>
                <w:p w14:paraId="05033158">
                  <w:pPr>
                    <w:pStyle w:val="6"/>
                    <w:spacing w:before="40" w:line="228" w:lineRule="auto"/>
                    <w:ind w:left="346"/>
                    <w:rPr>
                      <w:sz w:val="20"/>
                      <w:szCs w:val="20"/>
                    </w:rPr>
                  </w:pPr>
                  <w:r>
                    <w:rPr>
                      <w:spacing w:val="6"/>
                      <w:sz w:val="20"/>
                      <w:szCs w:val="20"/>
                    </w:rPr>
                    <w:t>水专项的内容。</w:t>
                  </w:r>
                </w:p>
              </w:tc>
              <w:tc>
                <w:tcPr>
                  <w:tcW w:w="1085" w:type="dxa"/>
                  <w:tcBorders>
                    <w:top w:val="nil"/>
                  </w:tcBorders>
                  <w:vAlign w:val="top"/>
                </w:tcPr>
                <w:p w14:paraId="2F436FF2">
                  <w:pPr>
                    <w:rPr>
                      <w:rFonts w:ascii="Arial"/>
                      <w:sz w:val="21"/>
                    </w:rPr>
                  </w:pPr>
                </w:p>
              </w:tc>
            </w:tr>
            <w:tr w14:paraId="0105E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136" w:type="dxa"/>
                  <w:vAlign w:val="top"/>
                </w:tcPr>
                <w:p w14:paraId="1822E676">
                  <w:pPr>
                    <w:spacing w:line="371" w:lineRule="auto"/>
                    <w:rPr>
                      <w:rFonts w:ascii="Arial"/>
                      <w:sz w:val="21"/>
                    </w:rPr>
                  </w:pPr>
                </w:p>
                <w:p w14:paraId="4EA60BB1">
                  <w:pPr>
                    <w:pStyle w:val="6"/>
                    <w:spacing w:before="65" w:line="228" w:lineRule="auto"/>
                    <w:ind w:left="259"/>
                    <w:rPr>
                      <w:sz w:val="20"/>
                      <w:szCs w:val="20"/>
                    </w:rPr>
                  </w:pPr>
                  <w:r>
                    <w:rPr>
                      <w:spacing w:val="6"/>
                      <w:sz w:val="20"/>
                      <w:szCs w:val="20"/>
                    </w:rPr>
                    <w:t>地下水</w:t>
                  </w:r>
                </w:p>
              </w:tc>
              <w:tc>
                <w:tcPr>
                  <w:tcW w:w="3477" w:type="dxa"/>
                  <w:vAlign w:val="top"/>
                </w:tcPr>
                <w:p w14:paraId="3841617A">
                  <w:pPr>
                    <w:pStyle w:val="6"/>
                    <w:spacing w:before="30" w:line="244" w:lineRule="auto"/>
                    <w:ind w:left="115" w:right="44" w:firstLine="8"/>
                    <w:jc w:val="both"/>
                    <w:rPr>
                      <w:sz w:val="20"/>
                      <w:szCs w:val="20"/>
                    </w:rPr>
                  </w:pPr>
                  <w:r>
                    <w:rPr>
                      <w:spacing w:val="2"/>
                      <w:sz w:val="20"/>
                      <w:szCs w:val="20"/>
                    </w:rPr>
                    <w:t>陆地石油和天然气开采：全部；地下</w:t>
                  </w:r>
                  <w:r>
                    <w:rPr>
                      <w:spacing w:val="7"/>
                      <w:sz w:val="20"/>
                      <w:szCs w:val="20"/>
                    </w:rPr>
                    <w:t xml:space="preserve"> 水（含矿泉水）开采：全部；水利、</w:t>
                  </w:r>
                  <w:r>
                    <w:rPr>
                      <w:sz w:val="20"/>
                      <w:szCs w:val="20"/>
                    </w:rPr>
                    <w:t xml:space="preserve"> </w:t>
                  </w:r>
                  <w:r>
                    <w:rPr>
                      <w:spacing w:val="3"/>
                      <w:sz w:val="20"/>
                      <w:szCs w:val="20"/>
                    </w:rPr>
                    <w:t>水电、交通等：含穿越可溶岩地层隧</w:t>
                  </w:r>
                </w:p>
                <w:p w14:paraId="01115518">
                  <w:pPr>
                    <w:pStyle w:val="6"/>
                    <w:spacing w:before="26" w:line="216" w:lineRule="auto"/>
                    <w:ind w:left="1218"/>
                    <w:rPr>
                      <w:sz w:val="20"/>
                      <w:szCs w:val="20"/>
                    </w:rPr>
                  </w:pPr>
                  <w:r>
                    <w:rPr>
                      <w:spacing w:val="6"/>
                      <w:sz w:val="20"/>
                      <w:szCs w:val="20"/>
                    </w:rPr>
                    <w:t>道的项目。</w:t>
                  </w:r>
                </w:p>
              </w:tc>
              <w:tc>
                <w:tcPr>
                  <w:tcW w:w="2143" w:type="dxa"/>
                  <w:vAlign w:val="top"/>
                </w:tcPr>
                <w:p w14:paraId="6276FD64">
                  <w:pPr>
                    <w:pStyle w:val="6"/>
                    <w:spacing w:before="168" w:line="227" w:lineRule="auto"/>
                    <w:ind w:left="135"/>
                    <w:rPr>
                      <w:sz w:val="20"/>
                      <w:szCs w:val="20"/>
                    </w:rPr>
                  </w:pPr>
                  <w:r>
                    <w:rPr>
                      <w:spacing w:val="8"/>
                      <w:sz w:val="20"/>
                      <w:szCs w:val="20"/>
                    </w:rPr>
                    <w:t>项目属于光伏发电项</w:t>
                  </w:r>
                </w:p>
                <w:p w14:paraId="1892AA31">
                  <w:pPr>
                    <w:pStyle w:val="6"/>
                    <w:spacing w:before="25" w:line="239" w:lineRule="auto"/>
                    <w:ind w:left="345" w:right="124" w:hanging="173"/>
                    <w:rPr>
                      <w:sz w:val="20"/>
                      <w:szCs w:val="20"/>
                    </w:rPr>
                  </w:pPr>
                  <w:r>
                    <w:rPr>
                      <w:spacing w:val="4"/>
                      <w:sz w:val="20"/>
                      <w:szCs w:val="20"/>
                    </w:rPr>
                    <w:t>目，不涉及需做地下</w:t>
                  </w:r>
                  <w:r>
                    <w:rPr>
                      <w:spacing w:val="3"/>
                      <w:sz w:val="20"/>
                      <w:szCs w:val="20"/>
                    </w:rPr>
                    <w:t xml:space="preserve"> </w:t>
                  </w:r>
                  <w:r>
                    <w:rPr>
                      <w:spacing w:val="6"/>
                      <w:sz w:val="20"/>
                      <w:szCs w:val="20"/>
                    </w:rPr>
                    <w:t>水专项的内容。</w:t>
                  </w:r>
                </w:p>
              </w:tc>
              <w:tc>
                <w:tcPr>
                  <w:tcW w:w="1085" w:type="dxa"/>
                  <w:vAlign w:val="top"/>
                </w:tcPr>
                <w:p w14:paraId="2654BAE7">
                  <w:pPr>
                    <w:spacing w:line="372" w:lineRule="auto"/>
                    <w:rPr>
                      <w:rFonts w:ascii="Arial"/>
                      <w:sz w:val="21"/>
                    </w:rPr>
                  </w:pPr>
                </w:p>
                <w:p w14:paraId="63D41477">
                  <w:pPr>
                    <w:pStyle w:val="6"/>
                    <w:spacing w:before="65" w:line="228" w:lineRule="auto"/>
                    <w:ind w:left="448"/>
                    <w:rPr>
                      <w:sz w:val="20"/>
                      <w:szCs w:val="20"/>
                    </w:rPr>
                  </w:pPr>
                  <w:r>
                    <w:rPr>
                      <w:sz w:val="20"/>
                      <w:szCs w:val="20"/>
                    </w:rPr>
                    <w:t>否</w:t>
                  </w:r>
                </w:p>
              </w:tc>
            </w:tr>
            <w:tr w14:paraId="1B50C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136" w:type="dxa"/>
                  <w:vAlign w:val="top"/>
                </w:tcPr>
                <w:p w14:paraId="0BD5714A">
                  <w:pPr>
                    <w:spacing w:line="322" w:lineRule="auto"/>
                    <w:rPr>
                      <w:rFonts w:ascii="Arial"/>
                      <w:sz w:val="21"/>
                    </w:rPr>
                  </w:pPr>
                </w:p>
                <w:p w14:paraId="16AE64F2">
                  <w:pPr>
                    <w:spacing w:line="322" w:lineRule="auto"/>
                    <w:rPr>
                      <w:rFonts w:ascii="Arial"/>
                      <w:sz w:val="21"/>
                    </w:rPr>
                  </w:pPr>
                </w:p>
                <w:p w14:paraId="032B0628">
                  <w:pPr>
                    <w:pStyle w:val="6"/>
                    <w:spacing w:before="65" w:line="233" w:lineRule="auto"/>
                    <w:ind w:left="364"/>
                    <w:rPr>
                      <w:sz w:val="20"/>
                      <w:szCs w:val="20"/>
                    </w:rPr>
                  </w:pPr>
                  <w:r>
                    <w:rPr>
                      <w:spacing w:val="3"/>
                      <w:sz w:val="20"/>
                      <w:szCs w:val="20"/>
                    </w:rPr>
                    <w:t>生态</w:t>
                  </w:r>
                </w:p>
              </w:tc>
              <w:tc>
                <w:tcPr>
                  <w:tcW w:w="3477" w:type="dxa"/>
                  <w:vAlign w:val="top"/>
                </w:tcPr>
                <w:p w14:paraId="31C29601">
                  <w:pPr>
                    <w:rPr>
                      <w:rFonts w:ascii="Arial"/>
                      <w:sz w:val="21"/>
                    </w:rPr>
                  </w:pPr>
                </w:p>
                <w:p w14:paraId="338F91FD">
                  <w:pPr>
                    <w:pStyle w:val="6"/>
                    <w:spacing w:before="65" w:line="245" w:lineRule="auto"/>
                    <w:ind w:left="113" w:right="105"/>
                    <w:jc w:val="both"/>
                    <w:rPr>
                      <w:sz w:val="20"/>
                      <w:szCs w:val="20"/>
                    </w:rPr>
                  </w:pPr>
                  <w:r>
                    <w:rPr>
                      <w:spacing w:val="3"/>
                      <w:sz w:val="20"/>
                      <w:szCs w:val="20"/>
                    </w:rPr>
                    <w:t>涉及环境敏感区（不包括饮用水水源</w:t>
                  </w:r>
                  <w:r>
                    <w:rPr>
                      <w:sz w:val="20"/>
                      <w:szCs w:val="20"/>
                    </w:rPr>
                    <w:t xml:space="preserve"> </w:t>
                  </w:r>
                  <w:r>
                    <w:rPr>
                      <w:spacing w:val="3"/>
                      <w:sz w:val="20"/>
                      <w:szCs w:val="20"/>
                    </w:rPr>
                    <w:t>保护区，以居住、医疗卫生、文化教</w:t>
                  </w:r>
                  <w:r>
                    <w:rPr>
                      <w:spacing w:val="1"/>
                      <w:sz w:val="20"/>
                      <w:szCs w:val="20"/>
                    </w:rPr>
                    <w:t xml:space="preserve"> </w:t>
                  </w:r>
                  <w:r>
                    <w:rPr>
                      <w:spacing w:val="3"/>
                      <w:sz w:val="20"/>
                      <w:szCs w:val="20"/>
                    </w:rPr>
                    <w:t xml:space="preserve">育、科研、行政办公为主要功能的区 </w:t>
                  </w:r>
                  <w:r>
                    <w:rPr>
                      <w:spacing w:val="9"/>
                      <w:sz w:val="20"/>
                      <w:szCs w:val="20"/>
                    </w:rPr>
                    <w:t>域，</w:t>
                  </w:r>
                  <w:r>
                    <w:rPr>
                      <w:spacing w:val="-53"/>
                      <w:sz w:val="20"/>
                      <w:szCs w:val="20"/>
                    </w:rPr>
                    <w:t xml:space="preserve"> </w:t>
                  </w:r>
                  <w:r>
                    <w:rPr>
                      <w:spacing w:val="9"/>
                      <w:sz w:val="20"/>
                      <w:szCs w:val="20"/>
                    </w:rPr>
                    <w:t>以及文物保护单位）的项目。</w:t>
                  </w:r>
                </w:p>
              </w:tc>
              <w:tc>
                <w:tcPr>
                  <w:tcW w:w="2143" w:type="dxa"/>
                  <w:vAlign w:val="top"/>
                </w:tcPr>
                <w:p w14:paraId="31E43847">
                  <w:pPr>
                    <w:pStyle w:val="6"/>
                    <w:spacing w:before="32" w:line="228" w:lineRule="auto"/>
                    <w:ind w:left="135"/>
                    <w:rPr>
                      <w:sz w:val="20"/>
                      <w:szCs w:val="20"/>
                    </w:rPr>
                  </w:pPr>
                  <w:r>
                    <w:rPr>
                      <w:spacing w:val="8"/>
                      <w:sz w:val="20"/>
                      <w:szCs w:val="20"/>
                    </w:rPr>
                    <w:t>项目不涉及自然保护</w:t>
                  </w:r>
                </w:p>
                <w:p w14:paraId="46DAA3B2">
                  <w:pPr>
                    <w:pStyle w:val="6"/>
                    <w:spacing w:before="25" w:line="228" w:lineRule="auto"/>
                    <w:ind w:left="147"/>
                    <w:rPr>
                      <w:sz w:val="20"/>
                      <w:szCs w:val="20"/>
                    </w:rPr>
                  </w:pPr>
                  <w:r>
                    <w:rPr>
                      <w:spacing w:val="7"/>
                      <w:sz w:val="20"/>
                      <w:szCs w:val="20"/>
                    </w:rPr>
                    <w:t>区、风景名胜区、世</w:t>
                  </w:r>
                </w:p>
                <w:p w14:paraId="0D0DF251">
                  <w:pPr>
                    <w:pStyle w:val="6"/>
                    <w:spacing w:before="24" w:line="228" w:lineRule="auto"/>
                    <w:ind w:left="242"/>
                    <w:rPr>
                      <w:sz w:val="20"/>
                      <w:szCs w:val="20"/>
                    </w:rPr>
                  </w:pPr>
                  <w:r>
                    <w:rPr>
                      <w:spacing w:val="8"/>
                      <w:sz w:val="20"/>
                      <w:szCs w:val="20"/>
                    </w:rPr>
                    <w:t>界文化和自然遗产</w:t>
                  </w:r>
                </w:p>
                <w:p w14:paraId="0B117881">
                  <w:pPr>
                    <w:pStyle w:val="6"/>
                    <w:spacing w:before="26" w:line="228" w:lineRule="auto"/>
                    <w:ind w:right="8"/>
                    <w:jc w:val="right"/>
                    <w:rPr>
                      <w:sz w:val="20"/>
                      <w:szCs w:val="20"/>
                    </w:rPr>
                  </w:pPr>
                  <w:r>
                    <w:rPr>
                      <w:spacing w:val="1"/>
                      <w:sz w:val="20"/>
                      <w:szCs w:val="20"/>
                    </w:rPr>
                    <w:t>地、海洋特别保护区，</w:t>
                  </w:r>
                </w:p>
                <w:p w14:paraId="6D651D14">
                  <w:pPr>
                    <w:pStyle w:val="6"/>
                    <w:spacing w:before="24" w:line="228" w:lineRule="auto"/>
                    <w:ind w:left="135"/>
                    <w:rPr>
                      <w:sz w:val="20"/>
                      <w:szCs w:val="20"/>
                    </w:rPr>
                  </w:pPr>
                  <w:r>
                    <w:rPr>
                      <w:spacing w:val="8"/>
                      <w:sz w:val="20"/>
                      <w:szCs w:val="20"/>
                    </w:rPr>
                    <w:t>不涉及已批复的国家</w:t>
                  </w:r>
                </w:p>
                <w:p w14:paraId="4F9FA0A7">
                  <w:pPr>
                    <w:pStyle w:val="6"/>
                    <w:spacing w:before="24" w:line="217" w:lineRule="auto"/>
                    <w:ind w:left="873"/>
                    <w:rPr>
                      <w:sz w:val="20"/>
                      <w:szCs w:val="20"/>
                    </w:rPr>
                  </w:pPr>
                  <w:r>
                    <w:rPr>
                      <w:spacing w:val="1"/>
                      <w:sz w:val="20"/>
                      <w:szCs w:val="20"/>
                    </w:rPr>
                    <w:t>公园</w:t>
                  </w:r>
                </w:p>
              </w:tc>
              <w:tc>
                <w:tcPr>
                  <w:tcW w:w="1085" w:type="dxa"/>
                  <w:vAlign w:val="top"/>
                </w:tcPr>
                <w:p w14:paraId="25ED554B">
                  <w:pPr>
                    <w:spacing w:line="322" w:lineRule="auto"/>
                    <w:rPr>
                      <w:rFonts w:ascii="Arial"/>
                      <w:sz w:val="21"/>
                    </w:rPr>
                  </w:pPr>
                </w:p>
                <w:p w14:paraId="139B5E19">
                  <w:pPr>
                    <w:spacing w:line="322" w:lineRule="auto"/>
                    <w:rPr>
                      <w:rFonts w:ascii="Arial"/>
                      <w:sz w:val="21"/>
                    </w:rPr>
                  </w:pPr>
                </w:p>
                <w:p w14:paraId="2C8E14B1">
                  <w:pPr>
                    <w:pStyle w:val="6"/>
                    <w:spacing w:before="65" w:line="228" w:lineRule="auto"/>
                    <w:ind w:left="448"/>
                    <w:rPr>
                      <w:sz w:val="20"/>
                      <w:szCs w:val="20"/>
                    </w:rPr>
                  </w:pPr>
                  <w:r>
                    <w:rPr>
                      <w:sz w:val="20"/>
                      <w:szCs w:val="20"/>
                    </w:rPr>
                    <w:t>否</w:t>
                  </w:r>
                </w:p>
              </w:tc>
            </w:tr>
            <w:tr w14:paraId="7E1E4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136" w:type="dxa"/>
                  <w:vAlign w:val="top"/>
                </w:tcPr>
                <w:p w14:paraId="222189A1">
                  <w:pPr>
                    <w:spacing w:line="373" w:lineRule="auto"/>
                    <w:rPr>
                      <w:rFonts w:ascii="Arial"/>
                      <w:sz w:val="21"/>
                    </w:rPr>
                  </w:pPr>
                </w:p>
                <w:p w14:paraId="686E6A82">
                  <w:pPr>
                    <w:pStyle w:val="6"/>
                    <w:spacing w:before="65" w:line="228" w:lineRule="auto"/>
                    <w:ind w:left="365"/>
                    <w:rPr>
                      <w:sz w:val="20"/>
                      <w:szCs w:val="20"/>
                    </w:rPr>
                  </w:pPr>
                  <w:r>
                    <w:rPr>
                      <w:spacing w:val="3"/>
                      <w:sz w:val="20"/>
                      <w:szCs w:val="20"/>
                    </w:rPr>
                    <w:t>大气</w:t>
                  </w:r>
                </w:p>
              </w:tc>
              <w:tc>
                <w:tcPr>
                  <w:tcW w:w="3477" w:type="dxa"/>
                  <w:vAlign w:val="top"/>
                </w:tcPr>
                <w:p w14:paraId="17C48444">
                  <w:pPr>
                    <w:pStyle w:val="6"/>
                    <w:spacing w:before="33" w:line="243" w:lineRule="auto"/>
                    <w:ind w:left="112" w:right="44" w:firstLine="3"/>
                    <w:jc w:val="both"/>
                    <w:rPr>
                      <w:sz w:val="20"/>
                      <w:szCs w:val="20"/>
                    </w:rPr>
                  </w:pPr>
                  <w:r>
                    <w:rPr>
                      <w:spacing w:val="2"/>
                      <w:sz w:val="20"/>
                      <w:szCs w:val="20"/>
                    </w:rPr>
                    <w:t>油气、液体化工码头：全部；干散货</w:t>
                  </w:r>
                  <w:r>
                    <w:rPr>
                      <w:spacing w:val="14"/>
                      <w:sz w:val="20"/>
                      <w:szCs w:val="20"/>
                    </w:rPr>
                    <w:t xml:space="preserve"> </w:t>
                  </w:r>
                  <w:r>
                    <w:rPr>
                      <w:spacing w:val="7"/>
                      <w:sz w:val="20"/>
                      <w:szCs w:val="20"/>
                    </w:rPr>
                    <w:t>（含煤炭、矿石）、件杂、多用途、</w:t>
                  </w:r>
                  <w:r>
                    <w:rPr>
                      <w:spacing w:val="1"/>
                      <w:sz w:val="20"/>
                      <w:szCs w:val="20"/>
                    </w:rPr>
                    <w:t xml:space="preserve"> </w:t>
                  </w:r>
                  <w:r>
                    <w:rPr>
                      <w:spacing w:val="3"/>
                      <w:sz w:val="20"/>
                      <w:szCs w:val="20"/>
                    </w:rPr>
                    <w:t>通用码头：涉及粉尘、挥发性有机物</w:t>
                  </w:r>
                </w:p>
                <w:p w14:paraId="21D97B97">
                  <w:pPr>
                    <w:pStyle w:val="6"/>
                    <w:spacing w:before="27" w:line="214" w:lineRule="auto"/>
                    <w:ind w:left="1113"/>
                    <w:rPr>
                      <w:sz w:val="20"/>
                      <w:szCs w:val="20"/>
                    </w:rPr>
                  </w:pPr>
                  <w:r>
                    <w:rPr>
                      <w:spacing w:val="6"/>
                      <w:sz w:val="20"/>
                      <w:szCs w:val="20"/>
                    </w:rPr>
                    <w:t>排放的项目。</w:t>
                  </w:r>
                </w:p>
              </w:tc>
              <w:tc>
                <w:tcPr>
                  <w:tcW w:w="2143" w:type="dxa"/>
                  <w:vAlign w:val="top"/>
                </w:tcPr>
                <w:p w14:paraId="0C357D87">
                  <w:pPr>
                    <w:pStyle w:val="6"/>
                    <w:spacing w:before="167" w:line="227" w:lineRule="auto"/>
                    <w:ind w:left="135"/>
                    <w:rPr>
                      <w:sz w:val="20"/>
                      <w:szCs w:val="20"/>
                    </w:rPr>
                  </w:pPr>
                  <w:r>
                    <w:rPr>
                      <w:spacing w:val="8"/>
                      <w:sz w:val="20"/>
                      <w:szCs w:val="20"/>
                    </w:rPr>
                    <w:t>项目属于光伏发电项</w:t>
                  </w:r>
                </w:p>
                <w:p w14:paraId="7C98BADD">
                  <w:pPr>
                    <w:pStyle w:val="6"/>
                    <w:spacing w:before="27" w:line="239" w:lineRule="auto"/>
                    <w:ind w:left="447" w:right="124" w:hanging="275"/>
                    <w:rPr>
                      <w:sz w:val="20"/>
                      <w:szCs w:val="20"/>
                    </w:rPr>
                  </w:pPr>
                  <w:r>
                    <w:rPr>
                      <w:spacing w:val="4"/>
                      <w:sz w:val="20"/>
                      <w:szCs w:val="20"/>
                    </w:rPr>
                    <w:t>目，不涉及需做大气</w:t>
                  </w:r>
                  <w:r>
                    <w:rPr>
                      <w:spacing w:val="3"/>
                      <w:sz w:val="20"/>
                      <w:szCs w:val="20"/>
                    </w:rPr>
                    <w:t xml:space="preserve"> </w:t>
                  </w:r>
                  <w:r>
                    <w:rPr>
                      <w:spacing w:val="6"/>
                      <w:sz w:val="20"/>
                      <w:szCs w:val="20"/>
                    </w:rPr>
                    <w:t>专项的内容。</w:t>
                  </w:r>
                </w:p>
              </w:tc>
              <w:tc>
                <w:tcPr>
                  <w:tcW w:w="1085" w:type="dxa"/>
                  <w:vAlign w:val="top"/>
                </w:tcPr>
                <w:p w14:paraId="68441A04">
                  <w:pPr>
                    <w:spacing w:line="373" w:lineRule="auto"/>
                    <w:rPr>
                      <w:rFonts w:ascii="Arial"/>
                      <w:sz w:val="21"/>
                    </w:rPr>
                  </w:pPr>
                </w:p>
                <w:p w14:paraId="6DDB8162">
                  <w:pPr>
                    <w:pStyle w:val="6"/>
                    <w:spacing w:before="65" w:line="228" w:lineRule="auto"/>
                    <w:ind w:left="448"/>
                    <w:rPr>
                      <w:sz w:val="20"/>
                      <w:szCs w:val="20"/>
                    </w:rPr>
                  </w:pPr>
                  <w:r>
                    <w:rPr>
                      <w:sz w:val="20"/>
                      <w:szCs w:val="20"/>
                    </w:rPr>
                    <w:t>否</w:t>
                  </w:r>
                </w:p>
              </w:tc>
            </w:tr>
            <w:tr w14:paraId="60D12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136" w:type="dxa"/>
                  <w:vAlign w:val="top"/>
                </w:tcPr>
                <w:p w14:paraId="1DC1DCBB">
                  <w:pPr>
                    <w:spacing w:line="323" w:lineRule="auto"/>
                    <w:rPr>
                      <w:rFonts w:ascii="Arial"/>
                      <w:sz w:val="21"/>
                    </w:rPr>
                  </w:pPr>
                </w:p>
                <w:p w14:paraId="571AE87B">
                  <w:pPr>
                    <w:spacing w:line="324" w:lineRule="auto"/>
                    <w:rPr>
                      <w:rFonts w:ascii="Arial"/>
                      <w:sz w:val="21"/>
                    </w:rPr>
                  </w:pPr>
                </w:p>
                <w:p w14:paraId="25E5A9DD">
                  <w:pPr>
                    <w:pStyle w:val="6"/>
                    <w:spacing w:before="65" w:line="228" w:lineRule="auto"/>
                    <w:ind w:left="372"/>
                    <w:rPr>
                      <w:sz w:val="20"/>
                      <w:szCs w:val="20"/>
                    </w:rPr>
                  </w:pPr>
                  <w:r>
                    <w:rPr>
                      <w:spacing w:val="-1"/>
                      <w:sz w:val="20"/>
                      <w:szCs w:val="20"/>
                    </w:rPr>
                    <w:t>噪声</w:t>
                  </w:r>
                </w:p>
              </w:tc>
              <w:tc>
                <w:tcPr>
                  <w:tcW w:w="3477" w:type="dxa"/>
                  <w:vAlign w:val="top"/>
                </w:tcPr>
                <w:p w14:paraId="4DB0B5E3">
                  <w:pPr>
                    <w:pStyle w:val="6"/>
                    <w:spacing w:before="37" w:line="246" w:lineRule="auto"/>
                    <w:ind w:left="112" w:right="52" w:firstLine="6"/>
                    <w:jc w:val="both"/>
                    <w:rPr>
                      <w:sz w:val="20"/>
                      <w:szCs w:val="20"/>
                    </w:rPr>
                  </w:pPr>
                  <w:r>
                    <w:rPr>
                      <w:spacing w:val="2"/>
                      <w:sz w:val="20"/>
                      <w:szCs w:val="20"/>
                    </w:rPr>
                    <w:t>公路、铁路、机场等交通运输业涉及</w:t>
                  </w:r>
                  <w:r>
                    <w:rPr>
                      <w:spacing w:val="11"/>
                      <w:sz w:val="20"/>
                      <w:szCs w:val="20"/>
                    </w:rPr>
                    <w:t xml:space="preserve"> </w:t>
                  </w:r>
                  <w:r>
                    <w:rPr>
                      <w:spacing w:val="3"/>
                      <w:sz w:val="20"/>
                      <w:szCs w:val="20"/>
                    </w:rPr>
                    <w:t>环境敏感区（以居住、医疗卫生、文</w:t>
                  </w:r>
                  <w:r>
                    <w:rPr>
                      <w:spacing w:val="2"/>
                      <w:sz w:val="20"/>
                      <w:szCs w:val="20"/>
                    </w:rPr>
                    <w:t xml:space="preserve"> </w:t>
                  </w:r>
                  <w:r>
                    <w:rPr>
                      <w:spacing w:val="3"/>
                      <w:sz w:val="20"/>
                      <w:szCs w:val="20"/>
                    </w:rPr>
                    <w:t>化教育、科研、行政办公为主要功能</w:t>
                  </w:r>
                  <w:r>
                    <w:rPr>
                      <w:spacing w:val="4"/>
                      <w:sz w:val="20"/>
                      <w:szCs w:val="20"/>
                    </w:rPr>
                    <w:t xml:space="preserve"> </w:t>
                  </w:r>
                  <w:r>
                    <w:rPr>
                      <w:spacing w:val="3"/>
                      <w:sz w:val="20"/>
                      <w:szCs w:val="20"/>
                    </w:rPr>
                    <w:t>的区域）的项目。城市道路（不含维</w:t>
                  </w:r>
                  <w:r>
                    <w:rPr>
                      <w:spacing w:val="2"/>
                      <w:sz w:val="20"/>
                      <w:szCs w:val="20"/>
                    </w:rPr>
                    <w:t xml:space="preserve"> </w:t>
                  </w:r>
                  <w:r>
                    <w:rPr>
                      <w:spacing w:val="-10"/>
                      <w:sz w:val="20"/>
                      <w:szCs w:val="20"/>
                    </w:rPr>
                    <w:t>护，不含支路、人行天桥、人行地道</w:t>
                  </w:r>
                  <w:r>
                    <w:rPr>
                      <w:spacing w:val="-49"/>
                      <w:w w:val="90"/>
                      <w:sz w:val="20"/>
                      <w:szCs w:val="20"/>
                    </w:rPr>
                    <w:t>）：</w:t>
                  </w:r>
                </w:p>
                <w:p w14:paraId="7C8F0EAE">
                  <w:pPr>
                    <w:pStyle w:val="6"/>
                    <w:spacing w:before="26" w:line="213" w:lineRule="auto"/>
                    <w:ind w:left="1427"/>
                    <w:rPr>
                      <w:sz w:val="20"/>
                      <w:szCs w:val="20"/>
                    </w:rPr>
                  </w:pPr>
                  <w:r>
                    <w:rPr>
                      <w:spacing w:val="3"/>
                      <w:sz w:val="20"/>
                      <w:szCs w:val="20"/>
                    </w:rPr>
                    <w:t>全部。</w:t>
                  </w:r>
                </w:p>
              </w:tc>
              <w:tc>
                <w:tcPr>
                  <w:tcW w:w="2143" w:type="dxa"/>
                  <w:vAlign w:val="top"/>
                </w:tcPr>
                <w:p w14:paraId="675ECF36">
                  <w:pPr>
                    <w:spacing w:line="377" w:lineRule="auto"/>
                    <w:rPr>
                      <w:rFonts w:ascii="Arial"/>
                      <w:sz w:val="21"/>
                    </w:rPr>
                  </w:pPr>
                </w:p>
                <w:p w14:paraId="3FBA1D26">
                  <w:pPr>
                    <w:pStyle w:val="6"/>
                    <w:spacing w:before="65" w:line="227" w:lineRule="auto"/>
                    <w:ind w:left="135"/>
                    <w:rPr>
                      <w:sz w:val="20"/>
                      <w:szCs w:val="20"/>
                    </w:rPr>
                  </w:pPr>
                  <w:r>
                    <w:rPr>
                      <w:spacing w:val="8"/>
                      <w:sz w:val="20"/>
                      <w:szCs w:val="20"/>
                    </w:rPr>
                    <w:t>项目属于光伏发电项</w:t>
                  </w:r>
                </w:p>
                <w:p w14:paraId="192AE9AD">
                  <w:pPr>
                    <w:pStyle w:val="6"/>
                    <w:spacing w:before="25" w:line="239" w:lineRule="auto"/>
                    <w:ind w:left="447" w:right="124" w:hanging="275"/>
                    <w:rPr>
                      <w:sz w:val="20"/>
                      <w:szCs w:val="20"/>
                    </w:rPr>
                  </w:pPr>
                  <w:r>
                    <w:rPr>
                      <w:spacing w:val="4"/>
                      <w:sz w:val="20"/>
                      <w:szCs w:val="20"/>
                    </w:rPr>
                    <w:t>目，不涉及需做噪声</w:t>
                  </w:r>
                  <w:r>
                    <w:rPr>
                      <w:spacing w:val="3"/>
                      <w:sz w:val="20"/>
                      <w:szCs w:val="20"/>
                    </w:rPr>
                    <w:t xml:space="preserve"> </w:t>
                  </w:r>
                  <w:r>
                    <w:rPr>
                      <w:spacing w:val="6"/>
                      <w:sz w:val="20"/>
                      <w:szCs w:val="20"/>
                    </w:rPr>
                    <w:t>专项的内容。</w:t>
                  </w:r>
                </w:p>
              </w:tc>
              <w:tc>
                <w:tcPr>
                  <w:tcW w:w="1085" w:type="dxa"/>
                  <w:vAlign w:val="top"/>
                </w:tcPr>
                <w:p w14:paraId="7673937C">
                  <w:pPr>
                    <w:spacing w:line="323" w:lineRule="auto"/>
                    <w:rPr>
                      <w:rFonts w:ascii="Arial"/>
                      <w:sz w:val="21"/>
                    </w:rPr>
                  </w:pPr>
                </w:p>
                <w:p w14:paraId="0931B7FD">
                  <w:pPr>
                    <w:spacing w:line="324" w:lineRule="auto"/>
                    <w:rPr>
                      <w:rFonts w:ascii="Arial"/>
                      <w:sz w:val="21"/>
                    </w:rPr>
                  </w:pPr>
                </w:p>
                <w:p w14:paraId="7087B1DD">
                  <w:pPr>
                    <w:pStyle w:val="6"/>
                    <w:spacing w:before="65" w:line="228" w:lineRule="auto"/>
                    <w:ind w:left="448"/>
                    <w:rPr>
                      <w:sz w:val="20"/>
                      <w:szCs w:val="20"/>
                    </w:rPr>
                  </w:pPr>
                  <w:r>
                    <w:rPr>
                      <w:sz w:val="20"/>
                      <w:szCs w:val="20"/>
                    </w:rPr>
                    <w:t>否</w:t>
                  </w:r>
                </w:p>
              </w:tc>
            </w:tr>
            <w:tr w14:paraId="299D5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1136" w:type="dxa"/>
                  <w:vAlign w:val="top"/>
                </w:tcPr>
                <w:p w14:paraId="775A83B9">
                  <w:pPr>
                    <w:spacing w:line="378" w:lineRule="auto"/>
                    <w:rPr>
                      <w:rFonts w:ascii="Arial"/>
                      <w:sz w:val="21"/>
                    </w:rPr>
                  </w:pPr>
                </w:p>
                <w:p w14:paraId="797D7BB9">
                  <w:pPr>
                    <w:pStyle w:val="6"/>
                    <w:spacing w:before="65" w:line="239" w:lineRule="auto"/>
                    <w:ind w:left="362" w:right="358"/>
                    <w:rPr>
                      <w:sz w:val="20"/>
                      <w:szCs w:val="20"/>
                    </w:rPr>
                  </w:pPr>
                  <w:r>
                    <w:rPr>
                      <w:spacing w:val="4"/>
                      <w:sz w:val="20"/>
                      <w:szCs w:val="20"/>
                    </w:rPr>
                    <w:t>环境</w:t>
                  </w:r>
                  <w:r>
                    <w:rPr>
                      <w:sz w:val="20"/>
                      <w:szCs w:val="20"/>
                    </w:rPr>
                    <w:t xml:space="preserve"> </w:t>
                  </w:r>
                  <w:r>
                    <w:rPr>
                      <w:spacing w:val="4"/>
                      <w:sz w:val="20"/>
                      <w:szCs w:val="20"/>
                    </w:rPr>
                    <w:t>风险</w:t>
                  </w:r>
                </w:p>
              </w:tc>
              <w:tc>
                <w:tcPr>
                  <w:tcW w:w="3477" w:type="dxa"/>
                  <w:vAlign w:val="top"/>
                </w:tcPr>
                <w:p w14:paraId="43214E55">
                  <w:pPr>
                    <w:pStyle w:val="6"/>
                    <w:spacing w:before="37" w:line="227" w:lineRule="auto"/>
                    <w:ind w:left="113"/>
                    <w:rPr>
                      <w:sz w:val="20"/>
                      <w:szCs w:val="20"/>
                    </w:rPr>
                  </w:pPr>
                  <w:r>
                    <w:rPr>
                      <w:spacing w:val="3"/>
                      <w:sz w:val="20"/>
                      <w:szCs w:val="20"/>
                    </w:rPr>
                    <w:t>石油和天然气开采：全部；油气、液</w:t>
                  </w:r>
                </w:p>
                <w:p w14:paraId="624DB6F7">
                  <w:pPr>
                    <w:pStyle w:val="6"/>
                    <w:spacing w:before="24" w:line="243" w:lineRule="auto"/>
                    <w:ind w:left="115" w:right="37" w:hanging="3"/>
                    <w:rPr>
                      <w:sz w:val="20"/>
                      <w:szCs w:val="20"/>
                    </w:rPr>
                  </w:pPr>
                  <w:r>
                    <w:rPr>
                      <w:spacing w:val="7"/>
                      <w:sz w:val="20"/>
                      <w:szCs w:val="20"/>
                    </w:rPr>
                    <w:t>体化工码头：全部；原油、成品油、</w:t>
                  </w:r>
                  <w:r>
                    <w:rPr>
                      <w:spacing w:val="9"/>
                      <w:sz w:val="20"/>
                      <w:szCs w:val="20"/>
                    </w:rPr>
                    <w:t xml:space="preserve"> </w:t>
                  </w:r>
                  <w:r>
                    <w:rPr>
                      <w:spacing w:val="7"/>
                      <w:sz w:val="20"/>
                      <w:szCs w:val="20"/>
                    </w:rPr>
                    <w:t>天然气管线（不含城镇天然气管线、</w:t>
                  </w:r>
                  <w:r>
                    <w:rPr>
                      <w:spacing w:val="5"/>
                      <w:sz w:val="20"/>
                      <w:szCs w:val="20"/>
                    </w:rPr>
                    <w:t xml:space="preserve"> </w:t>
                  </w:r>
                  <w:r>
                    <w:rPr>
                      <w:spacing w:val="8"/>
                      <w:sz w:val="20"/>
                      <w:szCs w:val="20"/>
                    </w:rPr>
                    <w:t>企业厂区内管线</w:t>
                  </w:r>
                  <w:r>
                    <w:rPr>
                      <w:spacing w:val="-32"/>
                      <w:sz w:val="20"/>
                      <w:szCs w:val="20"/>
                    </w:rPr>
                    <w:t>），</w:t>
                  </w:r>
                  <w:r>
                    <w:rPr>
                      <w:spacing w:val="8"/>
                      <w:sz w:val="20"/>
                      <w:szCs w:val="20"/>
                    </w:rPr>
                    <w:t>危险化学品输送</w:t>
                  </w:r>
                  <w:r>
                    <w:rPr>
                      <w:spacing w:val="1"/>
                      <w:sz w:val="20"/>
                      <w:szCs w:val="20"/>
                    </w:rPr>
                    <w:t xml:space="preserve"> 管线（不含企业厂区内管线</w:t>
                  </w:r>
                  <w:r>
                    <w:rPr>
                      <w:spacing w:val="-49"/>
                      <w:sz w:val="20"/>
                      <w:szCs w:val="20"/>
                    </w:rPr>
                    <w:t>）：</w:t>
                  </w:r>
                  <w:r>
                    <w:rPr>
                      <w:spacing w:val="1"/>
                      <w:sz w:val="20"/>
                      <w:szCs w:val="20"/>
                    </w:rPr>
                    <w:t>全部。</w:t>
                  </w:r>
                </w:p>
              </w:tc>
              <w:tc>
                <w:tcPr>
                  <w:tcW w:w="2143" w:type="dxa"/>
                  <w:vAlign w:val="top"/>
                </w:tcPr>
                <w:p w14:paraId="349307F1">
                  <w:pPr>
                    <w:pStyle w:val="6"/>
                    <w:spacing w:before="304" w:line="244" w:lineRule="auto"/>
                    <w:ind w:left="171" w:right="124" w:hanging="36"/>
                    <w:jc w:val="both"/>
                    <w:rPr>
                      <w:sz w:val="20"/>
                      <w:szCs w:val="20"/>
                    </w:rPr>
                  </w:pPr>
                  <w:r>
                    <w:rPr>
                      <w:spacing w:val="8"/>
                      <w:sz w:val="20"/>
                      <w:szCs w:val="20"/>
                    </w:rPr>
                    <w:t>项目属于光伏发电项</w:t>
                  </w:r>
                  <w:r>
                    <w:rPr>
                      <w:spacing w:val="4"/>
                      <w:sz w:val="20"/>
                      <w:szCs w:val="20"/>
                    </w:rPr>
                    <w:t xml:space="preserve"> 目，不涉及需做环境</w:t>
                  </w:r>
                  <w:r>
                    <w:rPr>
                      <w:spacing w:val="3"/>
                      <w:sz w:val="20"/>
                      <w:szCs w:val="20"/>
                    </w:rPr>
                    <w:t xml:space="preserve"> </w:t>
                  </w:r>
                  <w:r>
                    <w:rPr>
                      <w:spacing w:val="15"/>
                      <w:sz w:val="20"/>
                      <w:szCs w:val="20"/>
                    </w:rPr>
                    <w:t>风险专项的内容。</w:t>
                  </w:r>
                </w:p>
              </w:tc>
              <w:tc>
                <w:tcPr>
                  <w:tcW w:w="1085" w:type="dxa"/>
                  <w:vAlign w:val="top"/>
                </w:tcPr>
                <w:p w14:paraId="04A7B09C">
                  <w:pPr>
                    <w:spacing w:line="256" w:lineRule="auto"/>
                    <w:rPr>
                      <w:rFonts w:ascii="Arial"/>
                      <w:sz w:val="21"/>
                    </w:rPr>
                  </w:pPr>
                </w:p>
                <w:p w14:paraId="5A733010">
                  <w:pPr>
                    <w:spacing w:line="256" w:lineRule="auto"/>
                    <w:rPr>
                      <w:rFonts w:ascii="Arial"/>
                      <w:sz w:val="21"/>
                    </w:rPr>
                  </w:pPr>
                </w:p>
                <w:p w14:paraId="28F9634C">
                  <w:pPr>
                    <w:pStyle w:val="6"/>
                    <w:spacing w:before="65" w:line="228" w:lineRule="auto"/>
                    <w:ind w:left="448"/>
                    <w:rPr>
                      <w:sz w:val="20"/>
                      <w:szCs w:val="20"/>
                    </w:rPr>
                  </w:pPr>
                  <w:r>
                    <w:rPr>
                      <w:sz w:val="20"/>
                      <w:szCs w:val="20"/>
                    </w:rPr>
                    <w:t>否</w:t>
                  </w:r>
                </w:p>
              </w:tc>
            </w:tr>
          </w:tbl>
          <w:p w14:paraId="6DB3E0C3">
            <w:pPr>
              <w:pStyle w:val="6"/>
              <w:spacing w:before="36" w:line="344" w:lineRule="auto"/>
              <w:ind w:left="1119" w:firstLine="477"/>
            </w:pPr>
            <w:r>
              <w:rPr>
                <w:spacing w:val="-11"/>
              </w:rPr>
              <w:t>根据《建设项目环境影响报告表编制技术指南（生态影响类</w:t>
            </w:r>
            <w:r>
              <w:rPr>
                <w:spacing w:val="-59"/>
              </w:rPr>
              <w:t>）（</w:t>
            </w:r>
            <w:r>
              <w:rPr>
                <w:spacing w:val="-11"/>
              </w:rPr>
              <w:t>试行）》，</w:t>
            </w:r>
            <w:r>
              <w:rPr>
                <w:spacing w:val="1"/>
              </w:rPr>
              <w:t xml:space="preserve"> </w:t>
            </w:r>
            <w:r>
              <w:rPr>
                <w:spacing w:val="-7"/>
              </w:rPr>
              <w:t>本项目无需设置地表水、地下水、生态、大气、噪声、环境风险等专项评价。</w:t>
            </w:r>
          </w:p>
          <w:p w14:paraId="1311A9BD">
            <w:pPr>
              <w:pStyle w:val="6"/>
              <w:spacing w:before="41" w:line="352" w:lineRule="auto"/>
              <w:ind w:left="1113" w:right="41" w:firstLine="486"/>
            </w:pPr>
            <w:r>
              <w:rPr>
                <w:spacing w:val="-1"/>
              </w:rPr>
              <w:t>本次光伏电站配套建设一座</w:t>
            </w:r>
            <w:r>
              <w:rPr>
                <w:rFonts w:ascii="Times New Roman" w:hAnsi="Times New Roman" w:eastAsia="Times New Roman" w:cs="Times New Roman"/>
                <w:spacing w:val="-1"/>
              </w:rPr>
              <w:t>220kV</w:t>
            </w:r>
            <w:r>
              <w:rPr>
                <w:spacing w:val="-1"/>
              </w:rPr>
              <w:t>升压站，根据《环境影响评价技术导</w:t>
            </w:r>
            <w:r>
              <w:rPr>
                <w:spacing w:val="16"/>
              </w:rPr>
              <w:t xml:space="preserve"> </w:t>
            </w:r>
            <w:r>
              <w:rPr>
                <w:spacing w:val="-7"/>
              </w:rPr>
              <w:t>则 输变电》（</w:t>
            </w:r>
            <w:r>
              <w:rPr>
                <w:rFonts w:ascii="Times New Roman" w:hAnsi="Times New Roman" w:eastAsia="Times New Roman" w:cs="Times New Roman"/>
                <w:spacing w:val="-7"/>
              </w:rPr>
              <w:t>HJ24-2020</w:t>
            </w:r>
            <w:r>
              <w:rPr>
                <w:spacing w:val="-7"/>
              </w:rPr>
              <w:t>）附录</w:t>
            </w:r>
            <w:r>
              <w:rPr>
                <w:rFonts w:ascii="Times New Roman" w:hAnsi="Times New Roman" w:eastAsia="Times New Roman" w:cs="Times New Roman"/>
                <w:spacing w:val="-7"/>
              </w:rPr>
              <w:t>B.2.</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w:t>
            </w:r>
            <w:r>
              <w:rPr>
                <w:spacing w:val="-7"/>
              </w:rPr>
              <w:t>专</w:t>
            </w:r>
            <w:r>
              <w:rPr>
                <w:spacing w:val="-8"/>
              </w:rPr>
              <w:t>题评价：应设电磁环境影响专题评价，</w:t>
            </w:r>
            <w:r>
              <w:t xml:space="preserve"> </w:t>
            </w:r>
            <w:r>
              <w:rPr>
                <w:spacing w:val="-1"/>
              </w:rPr>
              <w:t>其评价等级、评价内容与格式按照本标准有关电磁环境影响评价要求进行。</w:t>
            </w:r>
            <w:r>
              <w:rPr>
                <w:spacing w:val="17"/>
              </w:rPr>
              <w:t xml:space="preserve"> </w:t>
            </w:r>
            <w:r>
              <w:rPr>
                <w:rFonts w:ascii="Times New Roman" w:hAnsi="Times New Roman" w:eastAsia="Times New Roman" w:cs="Times New Roman"/>
              </w:rPr>
              <w:t>HJ</w:t>
            </w:r>
            <w:r>
              <w:rPr>
                <w:rFonts w:ascii="Times New Roman" w:hAnsi="Times New Roman" w:eastAsia="Times New Roman" w:cs="Times New Roman"/>
                <w:spacing w:val="7"/>
              </w:rPr>
              <w:t>24-2020</w:t>
            </w:r>
            <w:r>
              <w:rPr>
                <w:spacing w:val="7"/>
              </w:rPr>
              <w:t>标准适用于</w:t>
            </w:r>
            <w:r>
              <w:rPr>
                <w:rFonts w:ascii="Times New Roman" w:hAnsi="Times New Roman" w:eastAsia="Times New Roman" w:cs="Times New Roman"/>
                <w:spacing w:val="7"/>
              </w:rPr>
              <w:t>110</w:t>
            </w:r>
            <w:r>
              <w:rPr>
                <w:rFonts w:ascii="Times New Roman" w:hAnsi="Times New Roman" w:eastAsia="Times New Roman" w:cs="Times New Roman"/>
              </w:rPr>
              <w:t>kV</w:t>
            </w:r>
            <w:r>
              <w:rPr>
                <w:spacing w:val="7"/>
              </w:rPr>
              <w:t>及以上电压等级的交流输变电建设项</w:t>
            </w:r>
            <w:r>
              <w:rPr>
                <w:spacing w:val="-48"/>
              </w:rPr>
              <w:t xml:space="preserve"> </w:t>
            </w:r>
            <w:r>
              <w:rPr>
                <w:spacing w:val="7"/>
              </w:rPr>
              <w:t>目、</w:t>
            </w:r>
            <w:r>
              <w:rPr>
                <w:spacing w:val="-68"/>
              </w:rPr>
              <w:t xml:space="preserve"> </w:t>
            </w:r>
            <w:r>
              <w:rPr>
                <w:spacing w:val="7"/>
              </w:rPr>
              <w:t>±</w:t>
            </w:r>
            <w:r>
              <w:t xml:space="preserve"> </w:t>
            </w:r>
            <w:r>
              <w:rPr>
                <w:rFonts w:ascii="Times New Roman" w:hAnsi="Times New Roman" w:eastAsia="Times New Roman" w:cs="Times New Roman"/>
              </w:rPr>
              <w:t>100kV</w:t>
            </w:r>
            <w:r>
              <w:t>及以上电压等级的直流输电建设项目环境影</w:t>
            </w:r>
            <w:r>
              <w:rPr>
                <w:spacing w:val="-1"/>
              </w:rPr>
              <w:t>响评价工作。因此本项目</w:t>
            </w:r>
            <w:r>
              <w:t xml:space="preserve"> </w:t>
            </w:r>
            <w:r>
              <w:rPr>
                <w:spacing w:val="-1"/>
              </w:rPr>
              <w:t>设置</w:t>
            </w:r>
            <w:r>
              <w:rPr>
                <w:rFonts w:ascii="Times New Roman" w:hAnsi="Times New Roman" w:eastAsia="Times New Roman" w:cs="Times New Roman"/>
                <w:spacing w:val="-1"/>
              </w:rPr>
              <w:t>220kV</w:t>
            </w:r>
            <w:r>
              <w:rPr>
                <w:spacing w:val="-1"/>
              </w:rPr>
              <w:t>升压站电磁环境影响专项评价。</w:t>
            </w:r>
          </w:p>
        </w:tc>
      </w:tr>
      <w:tr w14:paraId="0EF29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98" w:hRule="atLeast"/>
        </w:trPr>
        <w:tc>
          <w:tcPr>
            <w:tcW w:w="999" w:type="dxa"/>
            <w:tcBorders>
              <w:top w:val="single" w:color="000000" w:sz="2" w:space="0"/>
              <w:right w:val="nil"/>
            </w:tcBorders>
            <w:vAlign w:val="top"/>
          </w:tcPr>
          <w:p w14:paraId="07F6F586">
            <w:pPr>
              <w:spacing w:line="302" w:lineRule="auto"/>
              <w:rPr>
                <w:rFonts w:ascii="Arial"/>
                <w:sz w:val="21"/>
              </w:rPr>
            </w:pPr>
          </w:p>
          <w:p w14:paraId="518024FE">
            <w:pPr>
              <w:spacing w:line="302" w:lineRule="auto"/>
              <w:rPr>
                <w:rFonts w:ascii="Arial"/>
                <w:sz w:val="21"/>
              </w:rPr>
            </w:pPr>
          </w:p>
          <w:p w14:paraId="6E501EE3">
            <w:pPr>
              <w:pStyle w:val="6"/>
              <w:spacing w:before="78" w:line="230" w:lineRule="auto"/>
              <w:ind w:left="387" w:right="133" w:hanging="240"/>
            </w:pPr>
            <w:r>
              <w:rPr>
                <w:spacing w:val="-4"/>
              </w:rPr>
              <w:t>规划情</w:t>
            </w:r>
            <w:r>
              <w:t xml:space="preserve"> 况</w:t>
            </w:r>
          </w:p>
        </w:tc>
        <w:tc>
          <w:tcPr>
            <w:tcW w:w="8077" w:type="dxa"/>
            <w:tcBorders>
              <w:top w:val="single" w:color="000000" w:sz="2" w:space="0"/>
              <w:left w:val="nil"/>
            </w:tcBorders>
            <w:vAlign w:val="top"/>
          </w:tcPr>
          <w:p w14:paraId="1DFB5827">
            <w:pPr>
              <w:pStyle w:val="6"/>
              <w:spacing w:before="63" w:line="345" w:lineRule="auto"/>
              <w:ind w:left="128" w:right="103" w:firstLine="5"/>
            </w:pPr>
            <w:r>
              <w:rPr>
                <w:rFonts w:ascii="Times New Roman" w:hAnsi="Times New Roman" w:eastAsia="Times New Roman" w:cs="Times New Roman"/>
                <w:b/>
                <w:bCs/>
                <w:spacing w:val="-5"/>
              </w:rPr>
              <w:t>1</w:t>
            </w:r>
            <w:r>
              <w:rPr>
                <w:rFonts w:ascii="Times New Roman" w:hAnsi="Times New Roman" w:eastAsia="Times New Roman" w:cs="Times New Roman"/>
                <w:b/>
                <w:bCs/>
                <w:spacing w:val="-34"/>
              </w:rPr>
              <w:t xml:space="preserve"> </w:t>
            </w:r>
            <w:r>
              <w:rPr>
                <w:b/>
                <w:bCs/>
                <w:spacing w:val="-5"/>
              </w:rPr>
              <w:t>、《云南省发展和改革委员会</w:t>
            </w:r>
            <w:r>
              <w:rPr>
                <w:spacing w:val="-5"/>
              </w:rPr>
              <w:t xml:space="preserve"> </w:t>
            </w:r>
            <w:r>
              <w:rPr>
                <w:b/>
                <w:bCs/>
                <w:spacing w:val="-5"/>
              </w:rPr>
              <w:t>云南省能源局关于印发</w:t>
            </w:r>
            <w:r>
              <w:rPr>
                <w:b/>
                <w:bCs/>
                <w:spacing w:val="-6"/>
              </w:rPr>
              <w:t>云南省</w:t>
            </w:r>
            <w:r>
              <w:rPr>
                <w:rFonts w:ascii="Times New Roman" w:hAnsi="Times New Roman" w:eastAsia="Times New Roman" w:cs="Times New Roman"/>
                <w:b/>
                <w:bCs/>
                <w:spacing w:val="-6"/>
              </w:rPr>
              <w:t>2023</w:t>
            </w:r>
            <w:r>
              <w:rPr>
                <w:b/>
                <w:bCs/>
                <w:spacing w:val="-6"/>
              </w:rPr>
              <w:t>年第一批</w:t>
            </w:r>
            <w:r>
              <w:t xml:space="preserve"> </w:t>
            </w:r>
            <w:r>
              <w:rPr>
                <w:b/>
                <w:bCs/>
                <w:spacing w:val="-2"/>
              </w:rPr>
              <w:t>新能源建设方案的通知》（云能源水电〔</w:t>
            </w:r>
            <w:r>
              <w:rPr>
                <w:rFonts w:ascii="Times New Roman" w:hAnsi="Times New Roman" w:eastAsia="Times New Roman" w:cs="Times New Roman"/>
                <w:b/>
                <w:bCs/>
                <w:spacing w:val="-2"/>
              </w:rPr>
              <w:t>2023</w:t>
            </w:r>
            <w:r>
              <w:rPr>
                <w:b/>
                <w:bCs/>
                <w:spacing w:val="-2"/>
              </w:rPr>
              <w:t>〕</w:t>
            </w:r>
            <w:r>
              <w:rPr>
                <w:rFonts w:ascii="Times New Roman" w:hAnsi="Times New Roman" w:eastAsia="Times New Roman" w:cs="Times New Roman"/>
                <w:b/>
                <w:bCs/>
                <w:spacing w:val="-2"/>
              </w:rPr>
              <w:t>170</w:t>
            </w:r>
            <w:r>
              <w:rPr>
                <w:b/>
                <w:bCs/>
                <w:spacing w:val="-2"/>
              </w:rPr>
              <w:t>号）</w:t>
            </w:r>
          </w:p>
          <w:p w14:paraId="5F0BA262">
            <w:pPr>
              <w:pStyle w:val="6"/>
              <w:spacing w:before="37" w:line="342" w:lineRule="auto"/>
              <w:ind w:left="123" w:right="391" w:firstLine="485"/>
            </w:pPr>
            <w:r>
              <w:rPr>
                <w:spacing w:val="-1"/>
              </w:rPr>
              <w:t>规划名称：云南省发展和改革委员会 云南省能源局关于印发云南省</w:t>
            </w:r>
            <w:r>
              <w:rPr>
                <w:spacing w:val="18"/>
              </w:rPr>
              <w:t xml:space="preserve"> </w:t>
            </w:r>
            <w:r>
              <w:rPr>
                <w:rFonts w:ascii="Times New Roman" w:hAnsi="Times New Roman" w:eastAsia="Times New Roman" w:cs="Times New Roman"/>
                <w:spacing w:val="-1"/>
              </w:rPr>
              <w:t>2023</w:t>
            </w:r>
            <w:r>
              <w:rPr>
                <w:spacing w:val="-1"/>
              </w:rPr>
              <w:t>年第一批新能源建设方案的通知</w:t>
            </w:r>
          </w:p>
        </w:tc>
      </w:tr>
    </w:tbl>
    <w:p w14:paraId="4A983BF0">
      <w:pPr>
        <w:rPr>
          <w:rFonts w:ascii="Arial"/>
          <w:sz w:val="21"/>
        </w:rPr>
      </w:pPr>
    </w:p>
    <w:p w14:paraId="74AA9C5A">
      <w:pPr>
        <w:rPr>
          <w:rFonts w:ascii="Arial" w:hAnsi="Arial" w:eastAsia="Arial" w:cs="Arial"/>
          <w:sz w:val="21"/>
          <w:szCs w:val="21"/>
        </w:rPr>
        <w:sectPr>
          <w:footerReference r:id="rId10" w:type="default"/>
          <w:pgSz w:w="11906" w:h="16839"/>
          <w:pgMar w:top="1431" w:right="1407" w:bottom="1278" w:left="1407" w:header="0" w:footer="1116" w:gutter="0"/>
          <w:cols w:space="720" w:num="1"/>
        </w:sectPr>
      </w:pPr>
    </w:p>
    <w:p w14:paraId="2990F2A2">
      <w:pPr>
        <w:spacing w:line="99" w:lineRule="exact"/>
      </w:pPr>
      <w:r>
        <w:pict>
          <v:shape id="_x0000_s1027" o:spid="_x0000_s1027" style="position:absolute;left:0pt;margin-left:120.9pt;margin-top:77.5pt;height:673.05pt;width:0.5pt;mso-position-horizontal-relative:page;mso-position-vertical-relative:page;z-index:251662336;mso-width-relative:page;mso-height-relative:page;" filled="f" stroked="t" coordsize="10,13460" o:allowincell="f" path="m4,0l4,13460e">
            <v:fill on="f" focussize="0,0"/>
            <v:stroke weight="0.48pt" color="#000000" miterlimit="2" joinstyle="bevel"/>
            <v:imagedata o:title=""/>
            <o:lock v:ext="edit"/>
          </v:shape>
        </w:pict>
      </w: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1"/>
        <w:gridCol w:w="8075"/>
      </w:tblGrid>
      <w:tr w14:paraId="11EB3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0" w:hRule="atLeast"/>
        </w:trPr>
        <w:tc>
          <w:tcPr>
            <w:tcW w:w="9076" w:type="dxa"/>
            <w:gridSpan w:val="2"/>
            <w:tcBorders>
              <w:bottom w:val="single" w:color="000000" w:sz="2" w:space="0"/>
            </w:tcBorders>
            <w:vAlign w:val="top"/>
          </w:tcPr>
          <w:p w14:paraId="217D1FBA">
            <w:pPr>
              <w:pStyle w:val="6"/>
              <w:spacing w:before="45" w:line="219" w:lineRule="auto"/>
              <w:ind w:left="1611"/>
            </w:pPr>
            <w:r>
              <w:rPr>
                <w:spacing w:val="-1"/>
              </w:rPr>
              <w:t>审批机关：云南省发展和改革委员会、云南省能源局</w:t>
            </w:r>
          </w:p>
          <w:p w14:paraId="13AF0B2D">
            <w:pPr>
              <w:pStyle w:val="6"/>
              <w:spacing w:before="181" w:line="219" w:lineRule="auto"/>
              <w:ind w:left="1600"/>
            </w:pPr>
            <w:r>
              <w:rPr>
                <w:spacing w:val="-1"/>
              </w:rPr>
              <w:t>文号：云能源水电〔</w:t>
            </w:r>
            <w:r>
              <w:rPr>
                <w:rFonts w:ascii="Times New Roman" w:hAnsi="Times New Roman" w:eastAsia="Times New Roman" w:cs="Times New Roman"/>
                <w:spacing w:val="-1"/>
              </w:rPr>
              <w:t>2023</w:t>
            </w:r>
            <w:r>
              <w:rPr>
                <w:spacing w:val="-1"/>
              </w:rPr>
              <w:t>〕</w:t>
            </w:r>
            <w:r>
              <w:rPr>
                <w:rFonts w:ascii="Times New Roman" w:hAnsi="Times New Roman" w:eastAsia="Times New Roman" w:cs="Times New Roman"/>
                <w:spacing w:val="-1"/>
              </w:rPr>
              <w:t>170</w:t>
            </w:r>
            <w:r>
              <w:rPr>
                <w:spacing w:val="-1"/>
              </w:rPr>
              <w:t>号</w:t>
            </w:r>
          </w:p>
          <w:p w14:paraId="31D116F6">
            <w:pPr>
              <w:pStyle w:val="6"/>
              <w:spacing w:before="183" w:line="219" w:lineRule="auto"/>
              <w:ind w:left="1115"/>
            </w:pPr>
            <w:r>
              <w:rPr>
                <w:rFonts w:ascii="Times New Roman" w:hAnsi="Times New Roman" w:eastAsia="Times New Roman" w:cs="Times New Roman"/>
                <w:b/>
                <w:bCs/>
                <w:spacing w:val="-3"/>
              </w:rPr>
              <w:t>2</w:t>
            </w:r>
            <w:r>
              <w:rPr>
                <w:rFonts w:ascii="Times New Roman" w:hAnsi="Times New Roman" w:eastAsia="Times New Roman" w:cs="Times New Roman"/>
                <w:b/>
                <w:bCs/>
                <w:spacing w:val="-34"/>
              </w:rPr>
              <w:t xml:space="preserve"> </w:t>
            </w:r>
            <w:r>
              <w:rPr>
                <w:b/>
                <w:bCs/>
                <w:spacing w:val="-3"/>
              </w:rPr>
              <w:t>、《云南省在适宜地区适度开发利用新能源</w:t>
            </w:r>
            <w:r>
              <w:rPr>
                <w:b/>
                <w:bCs/>
                <w:spacing w:val="-4"/>
              </w:rPr>
              <w:t>规划》</w:t>
            </w:r>
          </w:p>
          <w:p w14:paraId="55B04B0E">
            <w:pPr>
              <w:pStyle w:val="6"/>
              <w:spacing w:before="180" w:line="219" w:lineRule="auto"/>
              <w:ind w:left="1599"/>
            </w:pPr>
            <w:r>
              <w:rPr>
                <w:spacing w:val="-3"/>
              </w:rPr>
              <w:t>规划名称：《云南省发展和改革委员会云南省能源局关于印发云南省在</w:t>
            </w:r>
          </w:p>
          <w:p w14:paraId="44AF0780">
            <w:pPr>
              <w:pStyle w:val="6"/>
              <w:spacing w:before="184" w:line="219" w:lineRule="auto"/>
              <w:ind w:left="1118"/>
            </w:pPr>
            <w:r>
              <w:rPr>
                <w:spacing w:val="-1"/>
              </w:rPr>
              <w:t>适宜地区适度开发利用新能源规划及配套文件的通知》</w:t>
            </w:r>
          </w:p>
          <w:p w14:paraId="3212AAF5">
            <w:pPr>
              <w:pStyle w:val="6"/>
              <w:spacing w:before="182" w:line="342" w:lineRule="auto"/>
              <w:ind w:left="1600" w:right="1951" w:firstLine="10"/>
            </w:pPr>
            <w:r>
              <w:rPr>
                <w:spacing w:val="-1"/>
              </w:rPr>
              <w:t>审批机关：云南省发展和改革委员会、云南省能源局</w:t>
            </w:r>
            <w:r>
              <w:t xml:space="preserve"> </w:t>
            </w:r>
            <w:r>
              <w:rPr>
                <w:spacing w:val="-1"/>
              </w:rPr>
              <w:t>文号：云能源水电〔</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153</w:t>
            </w:r>
            <w:r>
              <w:rPr>
                <w:spacing w:val="-1"/>
              </w:rPr>
              <w:t>号</w:t>
            </w:r>
          </w:p>
        </w:tc>
      </w:tr>
      <w:tr w14:paraId="5746C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0" w:hRule="atLeast"/>
        </w:trPr>
        <w:tc>
          <w:tcPr>
            <w:tcW w:w="1001" w:type="dxa"/>
            <w:tcBorders>
              <w:top w:val="single" w:color="000000" w:sz="2" w:space="0"/>
              <w:bottom w:val="single" w:color="000000" w:sz="2" w:space="0"/>
              <w:right w:val="nil"/>
            </w:tcBorders>
            <w:vAlign w:val="top"/>
          </w:tcPr>
          <w:p w14:paraId="2BAE4F98">
            <w:pPr>
              <w:pStyle w:val="6"/>
              <w:spacing w:before="134" w:line="221" w:lineRule="auto"/>
              <w:ind w:left="147"/>
            </w:pPr>
            <w:r>
              <w:rPr>
                <w:spacing w:val="-4"/>
              </w:rPr>
              <w:t>规划环</w:t>
            </w:r>
          </w:p>
          <w:p w14:paraId="1748A680">
            <w:pPr>
              <w:pStyle w:val="6"/>
              <w:spacing w:before="21" w:line="220" w:lineRule="auto"/>
              <w:ind w:left="147"/>
            </w:pPr>
            <w:r>
              <w:rPr>
                <w:spacing w:val="-4"/>
              </w:rPr>
              <w:t>境影响</w:t>
            </w:r>
          </w:p>
          <w:p w14:paraId="665FF026">
            <w:pPr>
              <w:pStyle w:val="6"/>
              <w:spacing w:before="25" w:line="218" w:lineRule="auto"/>
              <w:ind w:left="145"/>
            </w:pPr>
            <w:r>
              <w:rPr>
                <w:spacing w:val="-3"/>
              </w:rPr>
              <w:t>评价情</w:t>
            </w:r>
          </w:p>
          <w:p w14:paraId="6B44364E">
            <w:pPr>
              <w:pStyle w:val="6"/>
              <w:spacing w:before="26" w:line="220" w:lineRule="auto"/>
              <w:ind w:left="388"/>
            </w:pPr>
            <w:r>
              <w:t>况</w:t>
            </w:r>
          </w:p>
        </w:tc>
        <w:tc>
          <w:tcPr>
            <w:tcW w:w="8075" w:type="dxa"/>
            <w:tcBorders>
              <w:top w:val="single" w:color="000000" w:sz="2" w:space="0"/>
              <w:left w:val="nil"/>
              <w:bottom w:val="single" w:color="000000" w:sz="2" w:space="0"/>
            </w:tcBorders>
            <w:vAlign w:val="top"/>
          </w:tcPr>
          <w:p w14:paraId="77547DA7">
            <w:pPr>
              <w:pStyle w:val="6"/>
              <w:spacing w:before="56" w:line="347" w:lineRule="auto"/>
              <w:ind w:left="124" w:right="103" w:firstLine="476"/>
              <w:jc w:val="both"/>
            </w:pPr>
            <w:r>
              <w:rPr>
                <w:rFonts w:ascii="Times New Roman" w:hAnsi="Times New Roman" w:eastAsia="Times New Roman" w:cs="Times New Roman"/>
                <w:spacing w:val="-1"/>
              </w:rPr>
              <w:t xml:space="preserve">2020 </w:t>
            </w:r>
            <w:r>
              <w:rPr>
                <w:spacing w:val="-1"/>
              </w:rPr>
              <w:t>年</w:t>
            </w:r>
            <w:r>
              <w:rPr>
                <w:spacing w:val="-49"/>
              </w:rPr>
              <w:t xml:space="preserve"> </w:t>
            </w:r>
            <w:r>
              <w:rPr>
                <w:rFonts w:ascii="Times New Roman" w:hAnsi="Times New Roman" w:eastAsia="Times New Roman" w:cs="Times New Roman"/>
                <w:spacing w:val="-1"/>
              </w:rPr>
              <w:t>9</w:t>
            </w:r>
            <w:r>
              <w:rPr>
                <w:rFonts w:ascii="Times New Roman" w:hAnsi="Times New Roman" w:eastAsia="Times New Roman" w:cs="Times New Roman"/>
                <w:spacing w:val="15"/>
                <w:w w:val="101"/>
              </w:rPr>
              <w:t xml:space="preserve"> </w:t>
            </w:r>
            <w:r>
              <w:rPr>
                <w:spacing w:val="-1"/>
              </w:rPr>
              <w:t>月，中国电建集团昆明勘测设计研究院有限公司、云南省生</w:t>
            </w:r>
            <w:r>
              <w:t xml:space="preserve">  </w:t>
            </w:r>
            <w:r>
              <w:rPr>
                <w:spacing w:val="-3"/>
              </w:rPr>
              <w:t>态环境工程评估中心联合编制完成了《云南省在适宜地区适度开发利用新能</w:t>
            </w:r>
            <w:r>
              <w:rPr>
                <w:spacing w:val="17"/>
              </w:rPr>
              <w:t xml:space="preserve"> </w:t>
            </w:r>
            <w:r>
              <w:rPr>
                <w:spacing w:val="-1"/>
              </w:rPr>
              <w:t>源规划环境影响篇章》。</w:t>
            </w:r>
          </w:p>
        </w:tc>
      </w:tr>
      <w:tr w14:paraId="6CB5C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59" w:hRule="atLeast"/>
        </w:trPr>
        <w:tc>
          <w:tcPr>
            <w:tcW w:w="1001" w:type="dxa"/>
            <w:tcBorders>
              <w:top w:val="single" w:color="000000" w:sz="2" w:space="0"/>
              <w:right w:val="nil"/>
            </w:tcBorders>
            <w:vAlign w:val="top"/>
          </w:tcPr>
          <w:p w14:paraId="4EB2AA4D">
            <w:pPr>
              <w:spacing w:line="242" w:lineRule="auto"/>
              <w:rPr>
                <w:rFonts w:ascii="Arial"/>
                <w:sz w:val="21"/>
              </w:rPr>
            </w:pPr>
          </w:p>
          <w:p w14:paraId="353782DC">
            <w:pPr>
              <w:spacing w:line="242" w:lineRule="auto"/>
              <w:rPr>
                <w:rFonts w:ascii="Arial"/>
                <w:sz w:val="21"/>
              </w:rPr>
            </w:pPr>
          </w:p>
          <w:p w14:paraId="693E4331">
            <w:pPr>
              <w:spacing w:line="242" w:lineRule="auto"/>
              <w:rPr>
                <w:rFonts w:ascii="Arial"/>
                <w:sz w:val="21"/>
              </w:rPr>
            </w:pPr>
          </w:p>
          <w:p w14:paraId="332FD531">
            <w:pPr>
              <w:spacing w:line="242" w:lineRule="auto"/>
              <w:rPr>
                <w:rFonts w:ascii="Arial"/>
                <w:sz w:val="21"/>
              </w:rPr>
            </w:pPr>
          </w:p>
          <w:p w14:paraId="79A29DCE">
            <w:pPr>
              <w:spacing w:line="242" w:lineRule="auto"/>
              <w:rPr>
                <w:rFonts w:ascii="Arial"/>
                <w:sz w:val="21"/>
              </w:rPr>
            </w:pPr>
          </w:p>
          <w:p w14:paraId="6605EF98">
            <w:pPr>
              <w:spacing w:line="242" w:lineRule="auto"/>
              <w:rPr>
                <w:rFonts w:ascii="Arial"/>
                <w:sz w:val="21"/>
              </w:rPr>
            </w:pPr>
          </w:p>
          <w:p w14:paraId="4B77D2E7">
            <w:pPr>
              <w:spacing w:line="242" w:lineRule="auto"/>
              <w:rPr>
                <w:rFonts w:ascii="Arial"/>
                <w:sz w:val="21"/>
              </w:rPr>
            </w:pPr>
          </w:p>
          <w:p w14:paraId="7D8DEDD2">
            <w:pPr>
              <w:spacing w:line="242" w:lineRule="auto"/>
              <w:rPr>
                <w:rFonts w:ascii="Arial"/>
                <w:sz w:val="21"/>
              </w:rPr>
            </w:pPr>
          </w:p>
          <w:p w14:paraId="035632C5">
            <w:pPr>
              <w:spacing w:line="242" w:lineRule="auto"/>
              <w:rPr>
                <w:rFonts w:ascii="Arial"/>
                <w:sz w:val="21"/>
              </w:rPr>
            </w:pPr>
          </w:p>
          <w:p w14:paraId="5DF3168D">
            <w:pPr>
              <w:spacing w:line="242" w:lineRule="auto"/>
              <w:rPr>
                <w:rFonts w:ascii="Arial"/>
                <w:sz w:val="21"/>
              </w:rPr>
            </w:pPr>
          </w:p>
          <w:p w14:paraId="5F4F97C1">
            <w:pPr>
              <w:spacing w:line="242" w:lineRule="auto"/>
              <w:rPr>
                <w:rFonts w:ascii="Arial"/>
                <w:sz w:val="21"/>
              </w:rPr>
            </w:pPr>
          </w:p>
          <w:p w14:paraId="03FB1437">
            <w:pPr>
              <w:spacing w:line="242" w:lineRule="auto"/>
              <w:rPr>
                <w:rFonts w:ascii="Arial"/>
                <w:sz w:val="21"/>
              </w:rPr>
            </w:pPr>
          </w:p>
          <w:p w14:paraId="414BC873">
            <w:pPr>
              <w:spacing w:line="243" w:lineRule="auto"/>
              <w:rPr>
                <w:rFonts w:ascii="Arial"/>
                <w:sz w:val="21"/>
              </w:rPr>
            </w:pPr>
          </w:p>
          <w:p w14:paraId="6A0B8D67">
            <w:pPr>
              <w:spacing w:line="243" w:lineRule="auto"/>
              <w:rPr>
                <w:rFonts w:ascii="Arial"/>
                <w:sz w:val="21"/>
              </w:rPr>
            </w:pPr>
          </w:p>
          <w:p w14:paraId="630116F1">
            <w:pPr>
              <w:pStyle w:val="6"/>
              <w:spacing w:before="78" w:line="221" w:lineRule="auto"/>
              <w:ind w:left="147"/>
            </w:pPr>
            <w:r>
              <w:rPr>
                <w:spacing w:val="-4"/>
              </w:rPr>
              <w:t>规划及</w:t>
            </w:r>
          </w:p>
          <w:p w14:paraId="59541ADA">
            <w:pPr>
              <w:pStyle w:val="6"/>
              <w:spacing w:before="24" w:line="221" w:lineRule="auto"/>
              <w:ind w:left="147"/>
            </w:pPr>
            <w:r>
              <w:rPr>
                <w:spacing w:val="-4"/>
              </w:rPr>
              <w:t>规划环</w:t>
            </w:r>
          </w:p>
          <w:p w14:paraId="31D0D1D0">
            <w:pPr>
              <w:pStyle w:val="6"/>
              <w:spacing w:before="21" w:line="220" w:lineRule="auto"/>
              <w:ind w:left="147"/>
            </w:pPr>
            <w:r>
              <w:rPr>
                <w:spacing w:val="-4"/>
              </w:rPr>
              <w:t>境影响</w:t>
            </w:r>
          </w:p>
          <w:p w14:paraId="5A2D1CEE">
            <w:pPr>
              <w:pStyle w:val="6"/>
              <w:spacing w:before="26" w:line="218" w:lineRule="auto"/>
              <w:ind w:left="145"/>
            </w:pPr>
            <w:r>
              <w:rPr>
                <w:spacing w:val="-3"/>
              </w:rPr>
              <w:t>评价符</w:t>
            </w:r>
          </w:p>
          <w:p w14:paraId="77EA9C63">
            <w:pPr>
              <w:pStyle w:val="6"/>
              <w:spacing w:before="29" w:line="220" w:lineRule="auto"/>
              <w:ind w:left="147"/>
            </w:pPr>
            <w:r>
              <w:rPr>
                <w:spacing w:val="-4"/>
              </w:rPr>
              <w:t>合性分</w:t>
            </w:r>
          </w:p>
          <w:p w14:paraId="770A5A5D">
            <w:pPr>
              <w:pStyle w:val="6"/>
              <w:spacing w:before="26" w:line="220" w:lineRule="auto"/>
              <w:ind w:left="388"/>
            </w:pPr>
            <w:r>
              <w:t>析</w:t>
            </w:r>
          </w:p>
        </w:tc>
        <w:tc>
          <w:tcPr>
            <w:tcW w:w="8075" w:type="dxa"/>
            <w:tcBorders>
              <w:top w:val="single" w:color="000000" w:sz="2" w:space="0"/>
              <w:left w:val="nil"/>
            </w:tcBorders>
            <w:vAlign w:val="top"/>
          </w:tcPr>
          <w:p w14:paraId="66C64374">
            <w:pPr>
              <w:pStyle w:val="6"/>
              <w:spacing w:before="58" w:line="355" w:lineRule="auto"/>
              <w:ind w:left="125" w:right="103" w:firstLine="486"/>
              <w:jc w:val="both"/>
            </w:pPr>
            <w:r>
              <w:rPr>
                <w:rFonts w:ascii="Times New Roman" w:hAnsi="Times New Roman" w:eastAsia="Times New Roman" w:cs="Times New Roman"/>
                <w:b/>
                <w:bCs/>
                <w:spacing w:val="-3"/>
              </w:rPr>
              <w:t>1</w:t>
            </w:r>
            <w:r>
              <w:rPr>
                <w:b/>
                <w:bCs/>
                <w:spacing w:val="-3"/>
              </w:rPr>
              <w:t>、</w:t>
            </w:r>
            <w:r>
              <w:rPr>
                <w:rFonts w:ascii="Times New Roman" w:hAnsi="Times New Roman" w:eastAsia="Times New Roman" w:cs="Times New Roman"/>
                <w:spacing w:val="-3"/>
              </w:rPr>
              <w:t>2023</w:t>
            </w:r>
            <w:r>
              <w:rPr>
                <w:spacing w:val="-3"/>
              </w:rPr>
              <w:t>年</w:t>
            </w:r>
            <w:r>
              <w:rPr>
                <w:rFonts w:ascii="Times New Roman" w:hAnsi="Times New Roman" w:eastAsia="Times New Roman" w:cs="Times New Roman"/>
                <w:spacing w:val="-3"/>
              </w:rPr>
              <w:t>6</w:t>
            </w:r>
            <w:r>
              <w:rPr>
                <w:spacing w:val="-3"/>
              </w:rPr>
              <w:t>月</w:t>
            </w:r>
            <w:r>
              <w:rPr>
                <w:rFonts w:ascii="Times New Roman" w:hAnsi="Times New Roman" w:eastAsia="Times New Roman" w:cs="Times New Roman"/>
                <w:spacing w:val="-3"/>
              </w:rPr>
              <w:t>21</w:t>
            </w:r>
            <w:r>
              <w:rPr>
                <w:spacing w:val="-3"/>
              </w:rPr>
              <w:t>日，云南省发展和改革委员会、云南省能源局以云能源</w:t>
            </w:r>
            <w:r>
              <w:rPr>
                <w:spacing w:val="13"/>
              </w:rPr>
              <w:t xml:space="preserve"> </w:t>
            </w:r>
            <w:r>
              <w:rPr>
                <w:spacing w:val="-2"/>
              </w:rPr>
              <w:t>水电〔</w:t>
            </w:r>
            <w:r>
              <w:rPr>
                <w:rFonts w:ascii="Times New Roman" w:hAnsi="Times New Roman" w:eastAsia="Times New Roman" w:cs="Times New Roman"/>
                <w:spacing w:val="-2"/>
              </w:rPr>
              <w:t>2023</w:t>
            </w:r>
            <w:r>
              <w:rPr>
                <w:spacing w:val="-2"/>
              </w:rPr>
              <w:t>〕</w:t>
            </w:r>
            <w:r>
              <w:rPr>
                <w:rFonts w:ascii="Times New Roman" w:hAnsi="Times New Roman" w:eastAsia="Times New Roman" w:cs="Times New Roman"/>
                <w:spacing w:val="-2"/>
              </w:rPr>
              <w:t>170</w:t>
            </w:r>
            <w:r>
              <w:rPr>
                <w:spacing w:val="-2"/>
              </w:rPr>
              <w:t xml:space="preserve">号印发了《云南省发展和改革委员会 </w:t>
            </w:r>
            <w:r>
              <w:rPr>
                <w:spacing w:val="-3"/>
              </w:rPr>
              <w:t>云南省能源局关于印</w:t>
            </w:r>
            <w:r>
              <w:t xml:space="preserve"> </w:t>
            </w:r>
            <w:r>
              <w:rPr>
                <w:spacing w:val="-3"/>
              </w:rPr>
              <w:t>发云南省</w:t>
            </w:r>
            <w:r>
              <w:rPr>
                <w:rFonts w:ascii="Times New Roman" w:hAnsi="Times New Roman" w:eastAsia="Times New Roman" w:cs="Times New Roman"/>
                <w:spacing w:val="-3"/>
              </w:rPr>
              <w:t>2023</w:t>
            </w:r>
            <w:r>
              <w:rPr>
                <w:spacing w:val="-3"/>
              </w:rPr>
              <w:t>年第一批新能源建设方案的通知》（以</w:t>
            </w:r>
            <w:r>
              <w:rPr>
                <w:spacing w:val="-4"/>
              </w:rPr>
              <w:t>下简称“通知</w:t>
            </w:r>
            <w:r>
              <w:rPr>
                <w:spacing w:val="-88"/>
              </w:rPr>
              <w:t xml:space="preserve"> </w:t>
            </w:r>
            <w:r>
              <w:rPr>
                <w:spacing w:val="-4"/>
              </w:rPr>
              <w:t>”）。化</w:t>
            </w:r>
            <w:r>
              <w:t xml:space="preserve"> </w:t>
            </w:r>
            <w:r>
              <w:rPr>
                <w:spacing w:val="-3"/>
              </w:rPr>
              <w:t>桃箐光伏发电项目属于“通知</w:t>
            </w:r>
            <w:r>
              <w:rPr>
                <w:spacing w:val="-88"/>
              </w:rPr>
              <w:t xml:space="preserve"> </w:t>
            </w:r>
            <w:r>
              <w:rPr>
                <w:spacing w:val="-3"/>
              </w:rPr>
              <w:t>”的附件《云南省</w:t>
            </w:r>
            <w:r>
              <w:rPr>
                <w:rFonts w:ascii="Times New Roman" w:hAnsi="Times New Roman" w:eastAsia="Times New Roman" w:cs="Times New Roman"/>
                <w:spacing w:val="-3"/>
              </w:rPr>
              <w:t>2023</w:t>
            </w:r>
            <w:r>
              <w:rPr>
                <w:spacing w:val="-4"/>
              </w:rPr>
              <w:t>年第一批新能源项目建</w:t>
            </w:r>
            <w:r>
              <w:t xml:space="preserve"> </w:t>
            </w:r>
            <w:r>
              <w:rPr>
                <w:spacing w:val="-2"/>
              </w:rPr>
              <w:t>设清单》中昆明市寻甸县</w:t>
            </w:r>
            <w:r>
              <w:rPr>
                <w:rFonts w:ascii="Times New Roman" w:hAnsi="Times New Roman" w:eastAsia="Times New Roman" w:cs="Times New Roman"/>
                <w:spacing w:val="-2"/>
              </w:rPr>
              <w:t>2023</w:t>
            </w:r>
            <w:r>
              <w:rPr>
                <w:spacing w:val="-2"/>
              </w:rPr>
              <w:t>年规划实施项目，装机</w:t>
            </w:r>
            <w:r>
              <w:rPr>
                <w:spacing w:val="-3"/>
              </w:rPr>
              <w:t>容量为1</w:t>
            </w:r>
            <w:r>
              <w:rPr>
                <w:rFonts w:ascii="Times New Roman" w:hAnsi="Times New Roman" w:eastAsia="Times New Roman" w:cs="Times New Roman"/>
                <w:spacing w:val="-3"/>
              </w:rPr>
              <w:t>0</w:t>
            </w:r>
            <w:r>
              <w:rPr>
                <w:spacing w:val="-3"/>
              </w:rPr>
              <w:t>万千瓦。根据</w:t>
            </w:r>
            <w:r>
              <w:t xml:space="preserve"> </w:t>
            </w:r>
            <w:r>
              <w:rPr>
                <w:spacing w:val="1"/>
              </w:rPr>
              <w:t>主体设计，化桃箐光伏发电项目装机容量</w:t>
            </w:r>
            <w:r>
              <w:rPr>
                <w:rFonts w:ascii="Times New Roman" w:hAnsi="Times New Roman" w:eastAsia="Times New Roman" w:cs="Times New Roman"/>
                <w:spacing w:val="1"/>
              </w:rPr>
              <w:t>100</w:t>
            </w:r>
            <w:r>
              <w:rPr>
                <w:rFonts w:ascii="Times New Roman" w:hAnsi="Times New Roman" w:eastAsia="Times New Roman" w:cs="Times New Roman"/>
              </w:rPr>
              <w:t>MW</w:t>
            </w:r>
            <w:r>
              <w:rPr>
                <w:rFonts w:ascii="Times New Roman" w:hAnsi="Times New Roman" w:eastAsia="Times New Roman" w:cs="Times New Roman"/>
                <w:spacing w:val="-17"/>
              </w:rPr>
              <w:t xml:space="preserve"> </w:t>
            </w:r>
            <w:r>
              <w:rPr>
                <w:spacing w:val="1"/>
              </w:rPr>
              <w:t>，与云南省</w:t>
            </w:r>
            <w:r>
              <w:rPr>
                <w:rFonts w:ascii="Times New Roman" w:hAnsi="Times New Roman" w:eastAsia="Times New Roman" w:cs="Times New Roman"/>
                <w:spacing w:val="1"/>
              </w:rPr>
              <w:t>2023</w:t>
            </w:r>
            <w:r>
              <w:rPr>
                <w:spacing w:val="1"/>
              </w:rPr>
              <w:t>年第一批</w:t>
            </w:r>
            <w:r>
              <w:t xml:space="preserve"> </w:t>
            </w:r>
            <w:r>
              <w:rPr>
                <w:spacing w:val="-1"/>
              </w:rPr>
              <w:t>新能源项目建设清单中化桃箐光伏发电项目情况一致。</w:t>
            </w:r>
          </w:p>
          <w:p w14:paraId="73BB5566">
            <w:pPr>
              <w:pStyle w:val="6"/>
              <w:spacing w:before="34" w:line="219" w:lineRule="auto"/>
              <w:ind w:left="601"/>
            </w:pPr>
            <w:r>
              <w:rPr>
                <w:rFonts w:ascii="Times New Roman" w:hAnsi="Times New Roman" w:eastAsia="Times New Roman" w:cs="Times New Roman"/>
                <w:b/>
                <w:bCs/>
                <w:spacing w:val="-3"/>
              </w:rPr>
              <w:t>2</w:t>
            </w:r>
            <w:r>
              <w:rPr>
                <w:rFonts w:ascii="Times New Roman" w:hAnsi="Times New Roman" w:eastAsia="Times New Roman" w:cs="Times New Roman"/>
                <w:b/>
                <w:bCs/>
                <w:spacing w:val="-25"/>
              </w:rPr>
              <w:t xml:space="preserve"> </w:t>
            </w:r>
            <w:r>
              <w:rPr>
                <w:b/>
                <w:bCs/>
                <w:spacing w:val="-3"/>
              </w:rPr>
              <w:t>、与《云南省在适宜地区适度开发利用新能源规划》符合性分析</w:t>
            </w:r>
          </w:p>
          <w:p w14:paraId="237BF705">
            <w:pPr>
              <w:pStyle w:val="6"/>
              <w:spacing w:before="181" w:line="355" w:lineRule="auto"/>
              <w:ind w:left="124" w:right="23" w:firstLine="476"/>
              <w:jc w:val="both"/>
            </w:pPr>
            <w:r>
              <w:rPr>
                <w:rFonts w:ascii="Times New Roman" w:hAnsi="Times New Roman" w:eastAsia="Times New Roman" w:cs="Times New Roman"/>
                <w:spacing w:val="-3"/>
              </w:rPr>
              <w:t xml:space="preserve">2020 </w:t>
            </w:r>
            <w:r>
              <w:rPr>
                <w:spacing w:val="-3"/>
              </w:rPr>
              <w:t>年</w:t>
            </w:r>
            <w:r>
              <w:rPr>
                <w:spacing w:val="-44"/>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6"/>
              </w:rPr>
              <w:t xml:space="preserve"> </w:t>
            </w:r>
            <w:r>
              <w:rPr>
                <w:spacing w:val="-3"/>
              </w:rPr>
              <w:t>月</w:t>
            </w:r>
            <w:r>
              <w:rPr>
                <w:spacing w:val="-51"/>
              </w:rPr>
              <w:t xml:space="preserve"> </w:t>
            </w:r>
            <w:r>
              <w:rPr>
                <w:rFonts w:ascii="Times New Roman" w:hAnsi="Times New Roman" w:eastAsia="Times New Roman" w:cs="Times New Roman"/>
                <w:spacing w:val="-3"/>
              </w:rPr>
              <w:t xml:space="preserve">30  </w:t>
            </w:r>
            <w:r>
              <w:rPr>
                <w:spacing w:val="-3"/>
              </w:rPr>
              <w:t>日，云南省发展和改革委员会 云南省能源局发布《关</w:t>
            </w:r>
            <w:r>
              <w:t xml:space="preserve">  </w:t>
            </w:r>
            <w:r>
              <w:rPr>
                <w:spacing w:val="-3"/>
              </w:rPr>
              <w:t>于印发云南省在适宜地区适度开发利用新能源规划及配套文件的通知》（云</w:t>
            </w:r>
            <w:r>
              <w:rPr>
                <w:spacing w:val="17"/>
              </w:rPr>
              <w:t xml:space="preserve"> </w:t>
            </w:r>
            <w:r>
              <w:rPr>
                <w:spacing w:val="-1"/>
              </w:rPr>
              <w:t>能源水电〔</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153</w:t>
            </w:r>
            <w:r>
              <w:rPr>
                <w:rFonts w:ascii="Times New Roman" w:hAnsi="Times New Roman" w:eastAsia="Times New Roman" w:cs="Times New Roman"/>
                <w:spacing w:val="16"/>
              </w:rPr>
              <w:t xml:space="preserve"> </w:t>
            </w:r>
            <w:r>
              <w:rPr>
                <w:spacing w:val="-1"/>
              </w:rPr>
              <w:t>号</w:t>
            </w:r>
            <w:r>
              <w:rPr>
                <w:spacing w:val="2"/>
              </w:rPr>
              <w:t>），</w:t>
            </w:r>
            <w:r>
              <w:rPr>
                <w:spacing w:val="-1"/>
              </w:rPr>
              <w:t>通知中指出在适宜地区适度</w:t>
            </w:r>
            <w:r>
              <w:rPr>
                <w:spacing w:val="-2"/>
              </w:rPr>
              <w:t>开发利用新能源规</w:t>
            </w:r>
            <w:r>
              <w:t xml:space="preserve"> </w:t>
            </w:r>
            <w:r>
              <w:rPr>
                <w:spacing w:val="-7"/>
              </w:rPr>
              <w:t>划区域包括昆明、曲靖、昭通、红河、文山、楚雄</w:t>
            </w:r>
            <w:r>
              <w:rPr>
                <w:spacing w:val="-50"/>
              </w:rPr>
              <w:t xml:space="preserve"> </w:t>
            </w:r>
            <w:r>
              <w:rPr>
                <w:rFonts w:ascii="Times New Roman" w:hAnsi="Times New Roman" w:eastAsia="Times New Roman" w:cs="Times New Roman"/>
                <w:spacing w:val="-7"/>
              </w:rPr>
              <w:t xml:space="preserve">6 </w:t>
            </w:r>
            <w:r>
              <w:rPr>
                <w:spacing w:val="-7"/>
              </w:rPr>
              <w:t>个州（市</w:t>
            </w:r>
            <w:r>
              <w:rPr>
                <w:spacing w:val="-8"/>
              </w:rPr>
              <w:t>）的部分区域。</w:t>
            </w:r>
            <w:r>
              <w:t xml:space="preserve"> </w:t>
            </w:r>
            <w:r>
              <w:rPr>
                <w:spacing w:val="-3"/>
              </w:rPr>
              <w:t>本项目选址位于云南省云南省昆明市寻甸回族彝族自治县河口镇境内，项目</w:t>
            </w:r>
            <w:r>
              <w:rPr>
                <w:spacing w:val="17"/>
              </w:rPr>
              <w:t xml:space="preserve"> </w:t>
            </w:r>
            <w:r>
              <w:rPr>
                <w:spacing w:val="-5"/>
              </w:rPr>
              <w:t>与《云南省在适宜地区适度开发利用新能源规划》的符合性分析见下表</w:t>
            </w:r>
            <w:r>
              <w:rPr>
                <w:spacing w:val="-27"/>
              </w:rPr>
              <w:t xml:space="preserve"> </w:t>
            </w:r>
            <w:r>
              <w:rPr>
                <w:rFonts w:ascii="Times New Roman" w:hAnsi="Times New Roman" w:eastAsia="Times New Roman" w:cs="Times New Roman"/>
                <w:spacing w:val="-5"/>
              </w:rPr>
              <w:t>1-2</w:t>
            </w:r>
            <w:r>
              <w:rPr>
                <w:spacing w:val="-5"/>
              </w:rPr>
              <w:t>。</w:t>
            </w:r>
          </w:p>
          <w:p w14:paraId="3ADBEBCA">
            <w:pPr>
              <w:pStyle w:val="6"/>
              <w:spacing w:before="28" w:line="224" w:lineRule="auto"/>
              <w:ind w:left="824"/>
              <w:rPr>
                <w:sz w:val="20"/>
                <w:szCs w:val="20"/>
              </w:rPr>
            </w:pPr>
            <w:r>
              <w:rPr>
                <w:b/>
                <w:bCs/>
                <w:spacing w:val="7"/>
                <w:sz w:val="20"/>
                <w:szCs w:val="20"/>
              </w:rPr>
              <w:t>表</w:t>
            </w:r>
            <w:r>
              <w:rPr>
                <w:spacing w:val="-31"/>
                <w:sz w:val="20"/>
                <w:szCs w:val="20"/>
              </w:rPr>
              <w:t xml:space="preserve"> </w:t>
            </w:r>
            <w:r>
              <w:rPr>
                <w:rFonts w:ascii="Times New Roman" w:hAnsi="Times New Roman" w:eastAsia="Times New Roman" w:cs="Times New Roman"/>
                <w:b/>
                <w:bCs/>
                <w:spacing w:val="7"/>
                <w:sz w:val="20"/>
                <w:szCs w:val="20"/>
              </w:rPr>
              <w:t xml:space="preserve">1-2    </w:t>
            </w:r>
            <w:r>
              <w:rPr>
                <w:b/>
                <w:bCs/>
                <w:spacing w:val="7"/>
                <w:sz w:val="20"/>
                <w:szCs w:val="20"/>
              </w:rPr>
              <w:t>与《云南省在适宜地区适度开发利用新能源规划》符</w:t>
            </w:r>
            <w:r>
              <w:rPr>
                <w:b/>
                <w:bCs/>
                <w:spacing w:val="6"/>
                <w:sz w:val="20"/>
                <w:szCs w:val="20"/>
              </w:rPr>
              <w:t>合性分析</w:t>
            </w:r>
          </w:p>
          <w:tbl>
            <w:tblPr>
              <w:tblStyle w:val="5"/>
              <w:tblW w:w="7844"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45"/>
              <w:gridCol w:w="3768"/>
              <w:gridCol w:w="931"/>
            </w:tblGrid>
            <w:tr w14:paraId="01405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3145" w:type="dxa"/>
                  <w:vAlign w:val="top"/>
                </w:tcPr>
                <w:p w14:paraId="20BD007D">
                  <w:pPr>
                    <w:pStyle w:val="6"/>
                    <w:spacing w:before="35" w:line="217" w:lineRule="auto"/>
                    <w:ind w:left="1155"/>
                    <w:rPr>
                      <w:sz w:val="20"/>
                      <w:szCs w:val="20"/>
                    </w:rPr>
                  </w:pPr>
                  <w:r>
                    <w:rPr>
                      <w:b/>
                      <w:bCs/>
                      <w:spacing w:val="6"/>
                      <w:sz w:val="20"/>
                      <w:szCs w:val="20"/>
                    </w:rPr>
                    <w:t>相关内容</w:t>
                  </w:r>
                </w:p>
              </w:tc>
              <w:tc>
                <w:tcPr>
                  <w:tcW w:w="3768" w:type="dxa"/>
                  <w:vAlign w:val="top"/>
                </w:tcPr>
                <w:p w14:paraId="48E7FDF5">
                  <w:pPr>
                    <w:pStyle w:val="6"/>
                    <w:spacing w:before="35" w:line="217" w:lineRule="auto"/>
                    <w:ind w:left="1364"/>
                    <w:rPr>
                      <w:sz w:val="20"/>
                      <w:szCs w:val="20"/>
                    </w:rPr>
                  </w:pPr>
                  <w:r>
                    <w:rPr>
                      <w:b/>
                      <w:bCs/>
                      <w:spacing w:val="6"/>
                      <w:sz w:val="20"/>
                      <w:szCs w:val="20"/>
                    </w:rPr>
                    <w:t>本项目情况</w:t>
                  </w:r>
                </w:p>
              </w:tc>
              <w:tc>
                <w:tcPr>
                  <w:tcW w:w="931" w:type="dxa"/>
                  <w:vAlign w:val="top"/>
                </w:tcPr>
                <w:p w14:paraId="74D937E0">
                  <w:pPr>
                    <w:pStyle w:val="6"/>
                    <w:spacing w:before="35" w:line="217" w:lineRule="auto"/>
                    <w:ind w:left="155"/>
                    <w:rPr>
                      <w:sz w:val="20"/>
                      <w:szCs w:val="20"/>
                    </w:rPr>
                  </w:pPr>
                  <w:r>
                    <w:rPr>
                      <w:b/>
                      <w:bCs/>
                      <w:spacing w:val="5"/>
                      <w:sz w:val="20"/>
                      <w:szCs w:val="20"/>
                    </w:rPr>
                    <w:t>符合性</w:t>
                  </w:r>
                </w:p>
              </w:tc>
            </w:tr>
            <w:tr w14:paraId="6797D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6" w:hRule="atLeast"/>
              </w:trPr>
              <w:tc>
                <w:tcPr>
                  <w:tcW w:w="3145" w:type="dxa"/>
                  <w:tcBorders>
                    <w:bottom w:val="nil"/>
                  </w:tcBorders>
                  <w:vAlign w:val="top"/>
                </w:tcPr>
                <w:p w14:paraId="68BD6DBE">
                  <w:pPr>
                    <w:pStyle w:val="6"/>
                    <w:spacing w:before="30" w:line="244" w:lineRule="auto"/>
                    <w:ind w:left="115" w:right="108" w:firstLine="100"/>
                    <w:rPr>
                      <w:sz w:val="20"/>
                      <w:szCs w:val="20"/>
                    </w:rPr>
                  </w:pPr>
                  <w:r>
                    <w:rPr>
                      <w:spacing w:val="9"/>
                      <w:sz w:val="20"/>
                      <w:szCs w:val="20"/>
                    </w:rPr>
                    <w:t>项目选址应符合生态环境保护</w:t>
                  </w:r>
                  <w:r>
                    <w:rPr>
                      <w:sz w:val="20"/>
                      <w:szCs w:val="20"/>
                    </w:rPr>
                    <w:t xml:space="preserve">  </w:t>
                  </w:r>
                  <w:r>
                    <w:rPr>
                      <w:spacing w:val="8"/>
                      <w:sz w:val="20"/>
                      <w:szCs w:val="20"/>
                    </w:rPr>
                    <w:t>政策。应避让自然保护区、国家</w:t>
                  </w:r>
                  <w:r>
                    <w:rPr>
                      <w:spacing w:val="3"/>
                      <w:sz w:val="20"/>
                      <w:szCs w:val="20"/>
                    </w:rPr>
                    <w:t xml:space="preserve"> </w:t>
                  </w:r>
                  <w:r>
                    <w:rPr>
                      <w:spacing w:val="8"/>
                      <w:sz w:val="20"/>
                      <w:szCs w:val="20"/>
                    </w:rPr>
                    <w:t>公园、风景名胜区、文物古迹、</w:t>
                  </w:r>
                  <w:r>
                    <w:rPr>
                      <w:spacing w:val="3"/>
                      <w:sz w:val="20"/>
                      <w:szCs w:val="20"/>
                    </w:rPr>
                    <w:t xml:space="preserve"> </w:t>
                  </w:r>
                  <w:r>
                    <w:rPr>
                      <w:spacing w:val="16"/>
                      <w:sz w:val="20"/>
                      <w:szCs w:val="20"/>
                    </w:rPr>
                    <w:t>湿地保护区、饮用水水源保护</w:t>
                  </w:r>
                  <w:r>
                    <w:rPr>
                      <w:spacing w:val="4"/>
                      <w:sz w:val="20"/>
                      <w:szCs w:val="20"/>
                    </w:rPr>
                    <w:t xml:space="preserve">  </w:t>
                  </w:r>
                  <w:r>
                    <w:rPr>
                      <w:spacing w:val="8"/>
                      <w:sz w:val="20"/>
                      <w:szCs w:val="20"/>
                    </w:rPr>
                    <w:t>区、集中式饮用水水源地、生物</w:t>
                  </w:r>
                  <w:r>
                    <w:rPr>
                      <w:spacing w:val="3"/>
                      <w:sz w:val="20"/>
                      <w:szCs w:val="20"/>
                    </w:rPr>
                    <w:t xml:space="preserve"> </w:t>
                  </w:r>
                  <w:r>
                    <w:rPr>
                      <w:spacing w:val="8"/>
                      <w:sz w:val="20"/>
                      <w:szCs w:val="20"/>
                    </w:rPr>
                    <w:t>多样性保护区域、特殊生态环境</w:t>
                  </w:r>
                </w:p>
              </w:tc>
              <w:tc>
                <w:tcPr>
                  <w:tcW w:w="3768" w:type="dxa"/>
                  <w:tcBorders>
                    <w:bottom w:val="nil"/>
                  </w:tcBorders>
                  <w:vAlign w:val="top"/>
                </w:tcPr>
                <w:p w14:paraId="49E056BB">
                  <w:pPr>
                    <w:pStyle w:val="6"/>
                    <w:spacing w:before="30" w:line="244" w:lineRule="auto"/>
                    <w:ind w:left="113" w:right="103"/>
                    <w:jc w:val="both"/>
                    <w:rPr>
                      <w:sz w:val="20"/>
                      <w:szCs w:val="20"/>
                    </w:rPr>
                  </w:pPr>
                  <w:r>
                    <w:rPr>
                      <w:spacing w:val="8"/>
                      <w:sz w:val="20"/>
                      <w:szCs w:val="20"/>
                    </w:rPr>
                    <w:t>本项目选址不涉及自然保护区、国家公 园、风景名胜区、文物古迹、湿地保护</w:t>
                  </w:r>
                  <w:r>
                    <w:rPr>
                      <w:spacing w:val="7"/>
                      <w:sz w:val="20"/>
                      <w:szCs w:val="20"/>
                    </w:rPr>
                    <w:t xml:space="preserve"> </w:t>
                  </w:r>
                  <w:r>
                    <w:rPr>
                      <w:spacing w:val="8"/>
                      <w:sz w:val="20"/>
                      <w:szCs w:val="20"/>
                    </w:rPr>
                    <w:t>区、饮用水水源保护区、集中式饮用水</w:t>
                  </w:r>
                  <w:r>
                    <w:rPr>
                      <w:spacing w:val="7"/>
                      <w:sz w:val="20"/>
                      <w:szCs w:val="20"/>
                    </w:rPr>
                    <w:t xml:space="preserve"> </w:t>
                  </w:r>
                  <w:r>
                    <w:rPr>
                      <w:spacing w:val="8"/>
                      <w:sz w:val="20"/>
                      <w:szCs w:val="20"/>
                    </w:rPr>
                    <w:t>水源地、生物多样性保护区域、特殊生</w:t>
                  </w:r>
                  <w:r>
                    <w:rPr>
                      <w:spacing w:val="9"/>
                      <w:sz w:val="20"/>
                      <w:szCs w:val="20"/>
                    </w:rPr>
                    <w:t xml:space="preserve"> </w:t>
                  </w:r>
                  <w:r>
                    <w:rPr>
                      <w:spacing w:val="8"/>
                      <w:sz w:val="20"/>
                      <w:szCs w:val="20"/>
                    </w:rPr>
                    <w:t>态环境及特有物种保护区域、鸟类迁徙</w:t>
                  </w:r>
                  <w:r>
                    <w:rPr>
                      <w:spacing w:val="7"/>
                      <w:sz w:val="20"/>
                      <w:szCs w:val="20"/>
                    </w:rPr>
                    <w:t xml:space="preserve"> </w:t>
                  </w:r>
                  <w:r>
                    <w:rPr>
                      <w:spacing w:val="15"/>
                      <w:sz w:val="20"/>
                      <w:szCs w:val="20"/>
                    </w:rPr>
                    <w:t>重要通道及其栖息地等生态保护红线</w:t>
                  </w:r>
                </w:p>
              </w:tc>
              <w:tc>
                <w:tcPr>
                  <w:tcW w:w="931" w:type="dxa"/>
                  <w:tcBorders>
                    <w:bottom w:val="nil"/>
                  </w:tcBorders>
                  <w:vAlign w:val="top"/>
                </w:tcPr>
                <w:p w14:paraId="18DE6F1E">
                  <w:pPr>
                    <w:spacing w:line="320" w:lineRule="auto"/>
                    <w:rPr>
                      <w:rFonts w:ascii="Arial"/>
                      <w:sz w:val="21"/>
                    </w:rPr>
                  </w:pPr>
                </w:p>
                <w:p w14:paraId="54433219">
                  <w:pPr>
                    <w:spacing w:line="320" w:lineRule="auto"/>
                    <w:rPr>
                      <w:rFonts w:ascii="Arial"/>
                      <w:sz w:val="21"/>
                    </w:rPr>
                  </w:pPr>
                </w:p>
                <w:p w14:paraId="2EBBA7A8">
                  <w:pPr>
                    <w:pStyle w:val="6"/>
                    <w:spacing w:before="65" w:line="227" w:lineRule="auto"/>
                    <w:ind w:left="261"/>
                    <w:rPr>
                      <w:sz w:val="20"/>
                      <w:szCs w:val="20"/>
                    </w:rPr>
                  </w:pPr>
                  <w:r>
                    <w:rPr>
                      <w:spacing w:val="3"/>
                      <w:sz w:val="20"/>
                      <w:szCs w:val="20"/>
                    </w:rPr>
                    <w:t>符合</w:t>
                  </w:r>
                </w:p>
              </w:tc>
            </w:tr>
          </w:tbl>
          <w:p w14:paraId="467ADCB3">
            <w:pPr>
              <w:spacing w:line="14" w:lineRule="auto"/>
              <w:rPr>
                <w:rFonts w:ascii="Arial"/>
                <w:sz w:val="2"/>
              </w:rPr>
            </w:pPr>
          </w:p>
        </w:tc>
      </w:tr>
    </w:tbl>
    <w:p w14:paraId="3F44358C">
      <w:pPr>
        <w:rPr>
          <w:rFonts w:ascii="Arial"/>
          <w:sz w:val="21"/>
        </w:rPr>
      </w:pPr>
    </w:p>
    <w:p w14:paraId="7D7755C1">
      <w:pPr>
        <w:rPr>
          <w:rFonts w:ascii="Arial" w:hAnsi="Arial" w:eastAsia="Arial" w:cs="Arial"/>
          <w:sz w:val="21"/>
          <w:szCs w:val="21"/>
        </w:rPr>
        <w:sectPr>
          <w:footerReference r:id="rId11" w:type="default"/>
          <w:pgSz w:w="11906" w:h="16839"/>
          <w:pgMar w:top="1431" w:right="1407" w:bottom="1276" w:left="1407" w:header="0" w:footer="1116" w:gutter="0"/>
          <w:cols w:space="720" w:num="1"/>
        </w:sectPr>
      </w:pPr>
    </w:p>
    <w:p w14:paraId="32DF4E44">
      <w:pPr>
        <w:spacing w:line="99" w:lineRule="exact"/>
      </w:pPr>
    </w:p>
    <w:tbl>
      <w:tblPr>
        <w:tblStyle w:val="5"/>
        <w:tblW w:w="9076"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407217F4">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413" w:hRule="atLeast"/>
        </w:trPr>
        <w:tc>
          <w:tcPr>
            <w:tcW w:w="9076" w:type="dxa"/>
            <w:vAlign w:val="top"/>
          </w:tcPr>
          <w:p w14:paraId="7FDFDB8B">
            <w:pPr>
              <w:spacing w:line="96" w:lineRule="auto"/>
              <w:rPr>
                <w:rFonts w:ascii="Arial"/>
                <w:sz w:val="2"/>
              </w:rPr>
            </w:pPr>
            <w:r>
              <w:pict>
                <v:shape id="_x0000_s1028" o:spid="_x0000_s1028" style="position:absolute;left:0pt;margin-left:55.85pt;margin-top:1.25pt;height:505.9pt;width:0.5pt;mso-position-horizontal-relative:page;mso-position-vertical-relative:page;z-index:251663360;mso-width-relative:page;mso-height-relative:page;" filled="f" stroked="t" coordsize="10,10117" path="m4,0l4,10117e">
                  <v:fill on="f" focussize="0,0"/>
                  <v:stroke weight="0.48pt" color="#000000" miterlimit="2" joinstyle="bevel"/>
                  <v:imagedata o:title=""/>
                  <o:lock v:ext="edit"/>
                </v:shape>
              </w:pict>
            </w:r>
          </w:p>
          <w:tbl>
            <w:tblPr>
              <w:tblStyle w:val="5"/>
              <w:tblW w:w="7957"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58"/>
              <w:gridCol w:w="3768"/>
              <w:gridCol w:w="931"/>
            </w:tblGrid>
            <w:tr w14:paraId="2A273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3258" w:type="dxa"/>
                  <w:tcBorders>
                    <w:top w:val="nil"/>
                  </w:tcBorders>
                  <w:vAlign w:val="top"/>
                </w:tcPr>
                <w:p w14:paraId="62F85C8A">
                  <w:pPr>
                    <w:pStyle w:val="6"/>
                    <w:spacing w:before="46" w:line="228" w:lineRule="auto"/>
                    <w:ind w:left="228"/>
                    <w:rPr>
                      <w:sz w:val="20"/>
                      <w:szCs w:val="20"/>
                    </w:rPr>
                  </w:pPr>
                  <w:r>
                    <w:rPr>
                      <w:spacing w:val="8"/>
                      <w:sz w:val="20"/>
                      <w:szCs w:val="20"/>
                    </w:rPr>
                    <w:t>及特有物种保护区域、鸟类迁徙</w:t>
                  </w:r>
                </w:p>
                <w:p w14:paraId="35F7CB99">
                  <w:pPr>
                    <w:pStyle w:val="6"/>
                    <w:spacing w:before="27" w:line="228" w:lineRule="auto"/>
                    <w:ind w:left="230"/>
                    <w:rPr>
                      <w:sz w:val="20"/>
                      <w:szCs w:val="20"/>
                    </w:rPr>
                  </w:pPr>
                  <w:r>
                    <w:rPr>
                      <w:spacing w:val="8"/>
                      <w:sz w:val="20"/>
                      <w:szCs w:val="20"/>
                    </w:rPr>
                    <w:t>重要通道及其栖息地、民俗保护</w:t>
                  </w:r>
                </w:p>
                <w:p w14:paraId="5487D2DB">
                  <w:pPr>
                    <w:pStyle w:val="6"/>
                    <w:spacing w:before="23" w:line="228" w:lineRule="auto"/>
                    <w:ind w:left="341"/>
                    <w:rPr>
                      <w:sz w:val="20"/>
                      <w:szCs w:val="20"/>
                    </w:rPr>
                  </w:pPr>
                  <w:r>
                    <w:rPr>
                      <w:spacing w:val="8"/>
                      <w:sz w:val="20"/>
                      <w:szCs w:val="20"/>
                    </w:rPr>
                    <w:t>区等生态保护红线和生态敏感</w:t>
                  </w:r>
                </w:p>
                <w:p w14:paraId="544A8A70">
                  <w:pPr>
                    <w:pStyle w:val="6"/>
                    <w:spacing w:before="26" w:line="217" w:lineRule="auto"/>
                    <w:ind w:left="1392"/>
                    <w:rPr>
                      <w:sz w:val="20"/>
                      <w:szCs w:val="20"/>
                    </w:rPr>
                  </w:pPr>
                  <w:r>
                    <w:rPr>
                      <w:spacing w:val="-2"/>
                      <w:sz w:val="20"/>
                      <w:szCs w:val="20"/>
                    </w:rPr>
                    <w:t>区域。</w:t>
                  </w:r>
                </w:p>
              </w:tc>
              <w:tc>
                <w:tcPr>
                  <w:tcW w:w="3768" w:type="dxa"/>
                  <w:tcBorders>
                    <w:top w:val="nil"/>
                  </w:tcBorders>
                  <w:vAlign w:val="top"/>
                </w:tcPr>
                <w:p w14:paraId="5A8BB7D0">
                  <w:pPr>
                    <w:pStyle w:val="6"/>
                    <w:spacing w:before="47"/>
                    <w:ind w:left="1261" w:right="103" w:hanging="1147"/>
                    <w:rPr>
                      <w:sz w:val="20"/>
                      <w:szCs w:val="20"/>
                    </w:rPr>
                  </w:pPr>
                  <w:r>
                    <w:rPr>
                      <w:spacing w:val="8"/>
                      <w:sz w:val="20"/>
                      <w:szCs w:val="20"/>
                    </w:rPr>
                    <w:t xml:space="preserve">和生态敏感区域。项目选址符合生态环 </w:t>
                  </w:r>
                  <w:r>
                    <w:rPr>
                      <w:spacing w:val="6"/>
                      <w:sz w:val="20"/>
                      <w:szCs w:val="20"/>
                    </w:rPr>
                    <w:t>境保护政策。</w:t>
                  </w:r>
                </w:p>
              </w:tc>
              <w:tc>
                <w:tcPr>
                  <w:tcW w:w="931" w:type="dxa"/>
                  <w:tcBorders>
                    <w:top w:val="nil"/>
                  </w:tcBorders>
                  <w:vAlign w:val="top"/>
                </w:tcPr>
                <w:p w14:paraId="4D190840">
                  <w:pPr>
                    <w:rPr>
                      <w:rFonts w:ascii="Arial"/>
                      <w:sz w:val="21"/>
                    </w:rPr>
                  </w:pPr>
                </w:p>
              </w:tc>
            </w:tr>
            <w:tr w14:paraId="3269F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4" w:hRule="atLeast"/>
              </w:trPr>
              <w:tc>
                <w:tcPr>
                  <w:tcW w:w="3258" w:type="dxa"/>
                  <w:vAlign w:val="top"/>
                </w:tcPr>
                <w:p w14:paraId="6D24CEEF">
                  <w:pPr>
                    <w:spacing w:line="258" w:lineRule="auto"/>
                    <w:rPr>
                      <w:rFonts w:ascii="Arial"/>
                      <w:sz w:val="21"/>
                    </w:rPr>
                  </w:pPr>
                </w:p>
                <w:p w14:paraId="37A74013">
                  <w:pPr>
                    <w:spacing w:line="259" w:lineRule="auto"/>
                    <w:rPr>
                      <w:rFonts w:ascii="Arial"/>
                      <w:sz w:val="21"/>
                    </w:rPr>
                  </w:pPr>
                </w:p>
                <w:p w14:paraId="446AB71A">
                  <w:pPr>
                    <w:spacing w:line="259" w:lineRule="auto"/>
                    <w:rPr>
                      <w:rFonts w:ascii="Arial"/>
                      <w:sz w:val="21"/>
                    </w:rPr>
                  </w:pPr>
                </w:p>
                <w:p w14:paraId="479765AE">
                  <w:pPr>
                    <w:pStyle w:val="6"/>
                    <w:spacing w:before="65" w:line="247" w:lineRule="auto"/>
                    <w:ind w:left="229" w:right="108" w:firstLine="3"/>
                    <w:rPr>
                      <w:sz w:val="20"/>
                      <w:szCs w:val="20"/>
                    </w:rPr>
                  </w:pPr>
                  <w:r>
                    <w:rPr>
                      <w:spacing w:val="7"/>
                      <w:sz w:val="20"/>
                      <w:szCs w:val="20"/>
                    </w:rPr>
                    <w:t>项目选址应符合国土用地政策。</w:t>
                  </w:r>
                  <w:r>
                    <w:rPr>
                      <w:spacing w:val="12"/>
                      <w:sz w:val="20"/>
                      <w:szCs w:val="20"/>
                    </w:rPr>
                    <w:t xml:space="preserve"> </w:t>
                  </w:r>
                  <w:r>
                    <w:rPr>
                      <w:spacing w:val="16"/>
                      <w:sz w:val="20"/>
                      <w:szCs w:val="20"/>
                    </w:rPr>
                    <w:t>禁止占用基本农田，应避让坝</w:t>
                  </w:r>
                  <w:r>
                    <w:rPr>
                      <w:spacing w:val="3"/>
                      <w:sz w:val="20"/>
                      <w:szCs w:val="20"/>
                    </w:rPr>
                    <w:t xml:space="preserve">  </w:t>
                  </w:r>
                  <w:r>
                    <w:rPr>
                      <w:spacing w:val="8"/>
                      <w:sz w:val="20"/>
                      <w:szCs w:val="20"/>
                    </w:rPr>
                    <w:t>区，应优先使用石漠化、荒漠化</w:t>
                  </w:r>
                  <w:r>
                    <w:rPr>
                      <w:spacing w:val="2"/>
                      <w:sz w:val="20"/>
                      <w:szCs w:val="20"/>
                    </w:rPr>
                    <w:t xml:space="preserve"> </w:t>
                  </w:r>
                  <w:r>
                    <w:rPr>
                      <w:spacing w:val="8"/>
                      <w:sz w:val="20"/>
                      <w:szCs w:val="20"/>
                    </w:rPr>
                    <w:t>土地和未利用土地。占用一般耕</w:t>
                  </w:r>
                  <w:r>
                    <w:rPr>
                      <w:spacing w:val="2"/>
                      <w:sz w:val="20"/>
                      <w:szCs w:val="20"/>
                    </w:rPr>
                    <w:t xml:space="preserve"> </w:t>
                  </w:r>
                  <w:r>
                    <w:rPr>
                      <w:spacing w:val="8"/>
                      <w:sz w:val="20"/>
                      <w:szCs w:val="20"/>
                    </w:rPr>
                    <w:t>地的农光互补光伏发电项目，应</w:t>
                  </w:r>
                  <w:r>
                    <w:rPr>
                      <w:spacing w:val="2"/>
                      <w:sz w:val="20"/>
                      <w:szCs w:val="20"/>
                    </w:rPr>
                    <w:t xml:space="preserve"> </w:t>
                  </w:r>
                  <w:r>
                    <w:rPr>
                      <w:spacing w:val="8"/>
                      <w:sz w:val="20"/>
                      <w:szCs w:val="20"/>
                    </w:rPr>
                    <w:t>抬高光伏组件安装高度，不改变</w:t>
                  </w:r>
                </w:p>
                <w:p w14:paraId="57D7062B">
                  <w:pPr>
                    <w:pStyle w:val="6"/>
                    <w:spacing w:before="27" w:line="228" w:lineRule="auto"/>
                    <w:ind w:left="957"/>
                    <w:rPr>
                      <w:sz w:val="20"/>
                      <w:szCs w:val="20"/>
                    </w:rPr>
                  </w:pPr>
                  <w:r>
                    <w:rPr>
                      <w:spacing w:val="6"/>
                      <w:sz w:val="20"/>
                      <w:szCs w:val="20"/>
                    </w:rPr>
                    <w:t>土地使用性质。</w:t>
                  </w:r>
                </w:p>
              </w:tc>
              <w:tc>
                <w:tcPr>
                  <w:tcW w:w="3768" w:type="dxa"/>
                  <w:vAlign w:val="top"/>
                </w:tcPr>
                <w:p w14:paraId="207EF148">
                  <w:pPr>
                    <w:pStyle w:val="6"/>
                    <w:spacing w:before="32" w:line="249" w:lineRule="auto"/>
                    <w:ind w:left="111" w:right="101" w:firstLine="97"/>
                    <w:rPr>
                      <w:sz w:val="20"/>
                      <w:szCs w:val="20"/>
                    </w:rPr>
                  </w:pPr>
                  <w:r>
                    <w:rPr>
                      <w:spacing w:val="9"/>
                      <w:sz w:val="20"/>
                      <w:szCs w:val="20"/>
                    </w:rPr>
                    <w:t>根据寻甸回族彝族自治县自然资源局</w:t>
                  </w:r>
                  <w:r>
                    <w:rPr>
                      <w:spacing w:val="2"/>
                      <w:sz w:val="20"/>
                      <w:szCs w:val="20"/>
                    </w:rPr>
                    <w:t xml:space="preserve">  </w:t>
                  </w:r>
                  <w:r>
                    <w:rPr>
                      <w:spacing w:val="15"/>
                      <w:sz w:val="20"/>
                      <w:szCs w:val="20"/>
                    </w:rPr>
                    <w:t>关于化桃箐光伏发电项目用地范围是</w:t>
                  </w:r>
                  <w:r>
                    <w:rPr>
                      <w:spacing w:val="3"/>
                      <w:sz w:val="20"/>
                      <w:szCs w:val="20"/>
                    </w:rPr>
                    <w:t xml:space="preserve">  </w:t>
                  </w:r>
                  <w:r>
                    <w:rPr>
                      <w:spacing w:val="8"/>
                      <w:sz w:val="20"/>
                      <w:szCs w:val="20"/>
                    </w:rPr>
                    <w:t>否涉及寻甸县永久基本农田的说明，该</w:t>
                  </w:r>
                  <w:r>
                    <w:rPr>
                      <w:spacing w:val="11"/>
                      <w:sz w:val="20"/>
                      <w:szCs w:val="20"/>
                    </w:rPr>
                    <w:t xml:space="preserve"> </w:t>
                  </w:r>
                  <w:r>
                    <w:rPr>
                      <w:spacing w:val="15"/>
                      <w:sz w:val="20"/>
                      <w:szCs w:val="20"/>
                    </w:rPr>
                    <w:t>项目用地范围不占用寻甸县永久基本</w:t>
                  </w:r>
                  <w:r>
                    <w:rPr>
                      <w:spacing w:val="4"/>
                      <w:sz w:val="20"/>
                      <w:szCs w:val="20"/>
                    </w:rPr>
                    <w:t xml:space="preserve">  </w:t>
                  </w:r>
                  <w:r>
                    <w:rPr>
                      <w:spacing w:val="8"/>
                      <w:sz w:val="20"/>
                      <w:szCs w:val="20"/>
                    </w:rPr>
                    <w:t xml:space="preserve">农田。项目光伏组件安装高度严格按照 </w:t>
                  </w:r>
                  <w:r>
                    <w:rPr>
                      <w:spacing w:val="15"/>
                      <w:sz w:val="20"/>
                      <w:szCs w:val="20"/>
                    </w:rPr>
                    <w:t>《云南省能源局关于进一步支持光伏</w:t>
                  </w:r>
                  <w:r>
                    <w:rPr>
                      <w:spacing w:val="3"/>
                      <w:sz w:val="20"/>
                      <w:szCs w:val="20"/>
                    </w:rPr>
                    <w:t xml:space="preserve">  </w:t>
                  </w:r>
                  <w:r>
                    <w:rPr>
                      <w:spacing w:val="8"/>
                      <w:sz w:val="20"/>
                      <w:szCs w:val="20"/>
                    </w:rPr>
                    <w:t>扶贫和规范光伏发电产业用地的通知》</w:t>
                  </w:r>
                  <w:r>
                    <w:rPr>
                      <w:spacing w:val="12"/>
                      <w:sz w:val="20"/>
                      <w:szCs w:val="20"/>
                    </w:rPr>
                    <w:t xml:space="preserve"> </w:t>
                  </w:r>
                  <w:r>
                    <w:rPr>
                      <w:spacing w:val="8"/>
                      <w:sz w:val="20"/>
                      <w:szCs w:val="20"/>
                    </w:rPr>
                    <w:t>（云自然资〔</w:t>
                  </w:r>
                  <w:r>
                    <w:rPr>
                      <w:rFonts w:ascii="Times New Roman" w:hAnsi="Times New Roman" w:eastAsia="Times New Roman" w:cs="Times New Roman"/>
                      <w:spacing w:val="8"/>
                      <w:sz w:val="20"/>
                      <w:szCs w:val="20"/>
                    </w:rPr>
                    <w:t>2019</w:t>
                  </w:r>
                  <w:r>
                    <w:rPr>
                      <w:spacing w:val="8"/>
                      <w:sz w:val="20"/>
                      <w:szCs w:val="20"/>
                    </w:rPr>
                    <w:t>〕</w:t>
                  </w:r>
                  <w:r>
                    <w:rPr>
                      <w:rFonts w:ascii="Times New Roman" w:hAnsi="Times New Roman" w:eastAsia="Times New Roman" w:cs="Times New Roman"/>
                      <w:spacing w:val="8"/>
                      <w:sz w:val="20"/>
                      <w:szCs w:val="20"/>
                    </w:rPr>
                    <w:t xml:space="preserve">196 </w:t>
                  </w:r>
                  <w:r>
                    <w:rPr>
                      <w:spacing w:val="8"/>
                      <w:sz w:val="20"/>
                      <w:szCs w:val="20"/>
                    </w:rPr>
                    <w:t>号）中最低离</w:t>
                  </w:r>
                  <w:r>
                    <w:rPr>
                      <w:spacing w:val="7"/>
                      <w:sz w:val="20"/>
                      <w:szCs w:val="20"/>
                    </w:rPr>
                    <w:t xml:space="preserve"> </w:t>
                  </w:r>
                  <w:r>
                    <w:rPr>
                      <w:spacing w:val="5"/>
                      <w:sz w:val="20"/>
                      <w:szCs w:val="20"/>
                    </w:rPr>
                    <w:t>地</w:t>
                  </w:r>
                  <w:r>
                    <w:rPr>
                      <w:spacing w:val="-27"/>
                      <w:sz w:val="20"/>
                      <w:szCs w:val="20"/>
                    </w:rPr>
                    <w:t xml:space="preserve"> </w:t>
                  </w:r>
                  <w:r>
                    <w:rPr>
                      <w:rFonts w:ascii="Times New Roman" w:hAnsi="Times New Roman" w:eastAsia="Times New Roman" w:cs="Times New Roman"/>
                      <w:spacing w:val="5"/>
                      <w:sz w:val="20"/>
                      <w:szCs w:val="20"/>
                    </w:rPr>
                    <w:t>2.5m</w:t>
                  </w:r>
                  <w:r>
                    <w:rPr>
                      <w:rFonts w:ascii="Times New Roman" w:hAnsi="Times New Roman" w:eastAsia="Times New Roman" w:cs="Times New Roman"/>
                      <w:spacing w:val="-27"/>
                      <w:sz w:val="20"/>
                      <w:szCs w:val="20"/>
                    </w:rPr>
                    <w:t xml:space="preserve"> </w:t>
                  </w:r>
                  <w:r>
                    <w:rPr>
                      <w:spacing w:val="5"/>
                      <w:sz w:val="20"/>
                      <w:szCs w:val="20"/>
                    </w:rPr>
                    <w:t>、桩基间列间距大于</w:t>
                  </w:r>
                  <w:r>
                    <w:rPr>
                      <w:spacing w:val="-44"/>
                      <w:sz w:val="20"/>
                      <w:szCs w:val="20"/>
                    </w:rPr>
                    <w:t xml:space="preserve"> </w:t>
                  </w:r>
                  <w:r>
                    <w:rPr>
                      <w:rFonts w:ascii="Times New Roman" w:hAnsi="Times New Roman" w:eastAsia="Times New Roman" w:cs="Times New Roman"/>
                      <w:spacing w:val="5"/>
                      <w:sz w:val="20"/>
                      <w:szCs w:val="20"/>
                    </w:rPr>
                    <w:t>4m</w:t>
                  </w:r>
                  <w:r>
                    <w:rPr>
                      <w:rFonts w:ascii="Times New Roman" w:hAnsi="Times New Roman" w:eastAsia="Times New Roman" w:cs="Times New Roman"/>
                      <w:spacing w:val="-26"/>
                      <w:sz w:val="20"/>
                      <w:szCs w:val="20"/>
                    </w:rPr>
                    <w:t xml:space="preserve"> </w:t>
                  </w:r>
                  <w:r>
                    <w:rPr>
                      <w:spacing w:val="5"/>
                      <w:sz w:val="20"/>
                      <w:szCs w:val="20"/>
                    </w:rPr>
                    <w:t>、行间</w:t>
                  </w:r>
                  <w:r>
                    <w:rPr>
                      <w:sz w:val="20"/>
                      <w:szCs w:val="20"/>
                    </w:rPr>
                    <w:t xml:space="preserve"> </w:t>
                  </w:r>
                  <w:r>
                    <w:rPr>
                      <w:spacing w:val="8"/>
                      <w:sz w:val="20"/>
                      <w:szCs w:val="20"/>
                    </w:rPr>
                    <w:t>距大于</w:t>
                  </w:r>
                  <w:r>
                    <w:rPr>
                      <w:spacing w:val="-36"/>
                      <w:sz w:val="20"/>
                      <w:szCs w:val="20"/>
                    </w:rPr>
                    <w:t xml:space="preserve"> </w:t>
                  </w:r>
                  <w:r>
                    <w:rPr>
                      <w:rFonts w:ascii="Times New Roman" w:hAnsi="Times New Roman" w:eastAsia="Times New Roman" w:cs="Times New Roman"/>
                      <w:spacing w:val="8"/>
                      <w:sz w:val="20"/>
                      <w:szCs w:val="20"/>
                    </w:rPr>
                    <w:t>6.5m</w:t>
                  </w:r>
                  <w:r>
                    <w:rPr>
                      <w:rFonts w:ascii="Times New Roman" w:hAnsi="Times New Roman" w:eastAsia="Times New Roman" w:cs="Times New Roman"/>
                      <w:spacing w:val="29"/>
                      <w:sz w:val="20"/>
                      <w:szCs w:val="20"/>
                    </w:rPr>
                    <w:t xml:space="preserve"> </w:t>
                  </w:r>
                  <w:r>
                    <w:rPr>
                      <w:spacing w:val="8"/>
                      <w:sz w:val="20"/>
                      <w:szCs w:val="20"/>
                    </w:rPr>
                    <w:t>的架设的要求进行建设，</w:t>
                  </w:r>
                </w:p>
                <w:p w14:paraId="7E1C8865">
                  <w:pPr>
                    <w:pStyle w:val="6"/>
                    <w:spacing w:before="23" w:line="239" w:lineRule="auto"/>
                    <w:ind w:left="152" w:right="103" w:hanging="36"/>
                    <w:rPr>
                      <w:sz w:val="20"/>
                      <w:szCs w:val="20"/>
                    </w:rPr>
                  </w:pPr>
                  <w:r>
                    <w:rPr>
                      <w:spacing w:val="8"/>
                      <w:sz w:val="20"/>
                      <w:szCs w:val="20"/>
                    </w:rPr>
                    <w:t>项目通过租赁方式使用河口镇土地，项</w:t>
                  </w:r>
                  <w:r>
                    <w:rPr>
                      <w:spacing w:val="6"/>
                      <w:sz w:val="20"/>
                      <w:szCs w:val="20"/>
                    </w:rPr>
                    <w:t xml:space="preserve"> 目建设不改变现有土地使用性质。项目</w:t>
                  </w:r>
                </w:p>
                <w:p w14:paraId="1082DD49">
                  <w:pPr>
                    <w:pStyle w:val="6"/>
                    <w:spacing w:before="26" w:line="218" w:lineRule="auto"/>
                    <w:ind w:left="734"/>
                    <w:rPr>
                      <w:sz w:val="20"/>
                      <w:szCs w:val="20"/>
                    </w:rPr>
                  </w:pPr>
                  <w:r>
                    <w:rPr>
                      <w:spacing w:val="8"/>
                      <w:sz w:val="20"/>
                      <w:szCs w:val="20"/>
                    </w:rPr>
                    <w:t>选址符合国土用地政策。</w:t>
                  </w:r>
                </w:p>
              </w:tc>
              <w:tc>
                <w:tcPr>
                  <w:tcW w:w="931" w:type="dxa"/>
                  <w:vAlign w:val="top"/>
                </w:tcPr>
                <w:p w14:paraId="073EB237">
                  <w:pPr>
                    <w:spacing w:line="253" w:lineRule="auto"/>
                    <w:rPr>
                      <w:rFonts w:ascii="Arial"/>
                      <w:sz w:val="21"/>
                    </w:rPr>
                  </w:pPr>
                </w:p>
                <w:p w14:paraId="39537910">
                  <w:pPr>
                    <w:spacing w:line="253" w:lineRule="auto"/>
                    <w:rPr>
                      <w:rFonts w:ascii="Arial"/>
                      <w:sz w:val="21"/>
                    </w:rPr>
                  </w:pPr>
                </w:p>
                <w:p w14:paraId="73577BB8">
                  <w:pPr>
                    <w:spacing w:line="253" w:lineRule="auto"/>
                    <w:rPr>
                      <w:rFonts w:ascii="Arial"/>
                      <w:sz w:val="21"/>
                    </w:rPr>
                  </w:pPr>
                </w:p>
                <w:p w14:paraId="29491DB8">
                  <w:pPr>
                    <w:spacing w:line="253" w:lineRule="auto"/>
                    <w:rPr>
                      <w:rFonts w:ascii="Arial"/>
                      <w:sz w:val="21"/>
                    </w:rPr>
                  </w:pPr>
                </w:p>
                <w:p w14:paraId="7DCB12B7">
                  <w:pPr>
                    <w:spacing w:line="253" w:lineRule="auto"/>
                    <w:rPr>
                      <w:rFonts w:ascii="Arial"/>
                      <w:sz w:val="21"/>
                    </w:rPr>
                  </w:pPr>
                </w:p>
                <w:p w14:paraId="00A683C2">
                  <w:pPr>
                    <w:spacing w:line="254" w:lineRule="auto"/>
                    <w:rPr>
                      <w:rFonts w:ascii="Arial"/>
                      <w:sz w:val="21"/>
                    </w:rPr>
                  </w:pPr>
                </w:p>
                <w:p w14:paraId="6029AA55">
                  <w:pPr>
                    <w:pStyle w:val="6"/>
                    <w:spacing w:before="65" w:line="228" w:lineRule="auto"/>
                    <w:ind w:left="261"/>
                    <w:rPr>
                      <w:sz w:val="20"/>
                      <w:szCs w:val="20"/>
                    </w:rPr>
                  </w:pPr>
                  <w:r>
                    <w:rPr>
                      <w:spacing w:val="3"/>
                      <w:sz w:val="20"/>
                      <w:szCs w:val="20"/>
                    </w:rPr>
                    <w:t>符合</w:t>
                  </w:r>
                </w:p>
              </w:tc>
            </w:tr>
            <w:tr w14:paraId="6E3C6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3258" w:type="dxa"/>
                  <w:vAlign w:val="top"/>
                </w:tcPr>
                <w:p w14:paraId="15381CD9">
                  <w:pPr>
                    <w:pStyle w:val="6"/>
                    <w:spacing w:before="165" w:line="248" w:lineRule="auto"/>
                    <w:ind w:left="228" w:right="108" w:firstLine="4"/>
                    <w:rPr>
                      <w:sz w:val="20"/>
                      <w:szCs w:val="20"/>
                    </w:rPr>
                  </w:pPr>
                  <w:r>
                    <w:rPr>
                      <w:spacing w:val="7"/>
                      <w:sz w:val="20"/>
                      <w:szCs w:val="20"/>
                    </w:rPr>
                    <w:t>项目选址应符合林业用地政策。</w:t>
                  </w:r>
                  <w:r>
                    <w:rPr>
                      <w:spacing w:val="12"/>
                      <w:sz w:val="20"/>
                      <w:szCs w:val="20"/>
                    </w:rPr>
                    <w:t xml:space="preserve"> </w:t>
                  </w:r>
                  <w:r>
                    <w:rPr>
                      <w:spacing w:val="16"/>
                      <w:sz w:val="20"/>
                      <w:szCs w:val="20"/>
                    </w:rPr>
                    <w:t>光伏项目应避让天然林保护工</w:t>
                  </w:r>
                  <w:r>
                    <w:rPr>
                      <w:spacing w:val="4"/>
                      <w:sz w:val="20"/>
                      <w:szCs w:val="20"/>
                    </w:rPr>
                    <w:t xml:space="preserve">  </w:t>
                  </w:r>
                  <w:r>
                    <w:rPr>
                      <w:spacing w:val="8"/>
                      <w:sz w:val="20"/>
                      <w:szCs w:val="20"/>
                    </w:rPr>
                    <w:t>程区和天然林地，光伏电池组件</w:t>
                  </w:r>
                  <w:r>
                    <w:rPr>
                      <w:spacing w:val="3"/>
                      <w:sz w:val="20"/>
                      <w:szCs w:val="20"/>
                    </w:rPr>
                    <w:t xml:space="preserve"> </w:t>
                  </w:r>
                  <w:r>
                    <w:rPr>
                      <w:spacing w:val="8"/>
                      <w:sz w:val="20"/>
                      <w:szCs w:val="20"/>
                    </w:rPr>
                    <w:t>阵列应避让有林地、疏林地、未</w:t>
                  </w:r>
                  <w:r>
                    <w:rPr>
                      <w:spacing w:val="3"/>
                      <w:sz w:val="20"/>
                      <w:szCs w:val="20"/>
                    </w:rPr>
                    <w:t xml:space="preserve"> </w:t>
                  </w:r>
                  <w:r>
                    <w:rPr>
                      <w:spacing w:val="8"/>
                      <w:sz w:val="20"/>
                      <w:szCs w:val="20"/>
                    </w:rPr>
                    <w:t>成林造林地、采伐迹地、火烧迹</w:t>
                  </w:r>
                  <w:r>
                    <w:rPr>
                      <w:spacing w:val="3"/>
                      <w:sz w:val="20"/>
                      <w:szCs w:val="20"/>
                    </w:rPr>
                    <w:t xml:space="preserve"> </w:t>
                  </w:r>
                  <w:r>
                    <w:rPr>
                      <w:spacing w:val="6"/>
                      <w:sz w:val="20"/>
                      <w:szCs w:val="20"/>
                    </w:rPr>
                    <w:t>地，以及年降雨</w:t>
                  </w:r>
                  <w:r>
                    <w:rPr>
                      <w:spacing w:val="-31"/>
                      <w:sz w:val="20"/>
                      <w:szCs w:val="20"/>
                    </w:rPr>
                    <w:t xml:space="preserve"> </w:t>
                  </w:r>
                  <w:r>
                    <w:rPr>
                      <w:rFonts w:ascii="Times New Roman" w:hAnsi="Times New Roman" w:eastAsia="Times New Roman" w:cs="Times New Roman"/>
                      <w:spacing w:val="6"/>
                      <w:sz w:val="20"/>
                      <w:szCs w:val="20"/>
                    </w:rPr>
                    <w:t xml:space="preserve">400 </w:t>
                  </w:r>
                  <w:r>
                    <w:rPr>
                      <w:spacing w:val="6"/>
                      <w:sz w:val="20"/>
                      <w:szCs w:val="20"/>
                    </w:rPr>
                    <w:t>毫米以下区</w:t>
                  </w:r>
                  <w:r>
                    <w:rPr>
                      <w:sz w:val="20"/>
                      <w:szCs w:val="20"/>
                    </w:rPr>
                    <w:t xml:space="preserve"> </w:t>
                  </w:r>
                  <w:r>
                    <w:rPr>
                      <w:spacing w:val="14"/>
                      <w:sz w:val="20"/>
                      <w:szCs w:val="20"/>
                    </w:rPr>
                    <w:t>域覆盖度高于</w:t>
                  </w:r>
                  <w:r>
                    <w:rPr>
                      <w:spacing w:val="-37"/>
                      <w:sz w:val="20"/>
                      <w:szCs w:val="20"/>
                    </w:rPr>
                    <w:t xml:space="preserve"> </w:t>
                  </w:r>
                  <w:r>
                    <w:rPr>
                      <w:rFonts w:ascii="Times New Roman" w:hAnsi="Times New Roman" w:eastAsia="Times New Roman" w:cs="Times New Roman"/>
                      <w:spacing w:val="14"/>
                      <w:sz w:val="20"/>
                      <w:szCs w:val="20"/>
                    </w:rPr>
                    <w:t>30%</w:t>
                  </w:r>
                  <w:r>
                    <w:rPr>
                      <w:spacing w:val="14"/>
                      <w:sz w:val="20"/>
                      <w:szCs w:val="20"/>
                    </w:rPr>
                    <w:t>和年降雨量</w:t>
                  </w:r>
                </w:p>
                <w:p w14:paraId="1585DB53">
                  <w:pPr>
                    <w:pStyle w:val="6"/>
                    <w:spacing w:before="24" w:line="239" w:lineRule="auto"/>
                    <w:ind w:left="869" w:right="232" w:hanging="522"/>
                    <w:rPr>
                      <w:sz w:val="20"/>
                      <w:szCs w:val="20"/>
                    </w:rPr>
                  </w:pPr>
                  <w:r>
                    <w:rPr>
                      <w:rFonts w:ascii="Times New Roman" w:hAnsi="Times New Roman" w:eastAsia="Times New Roman" w:cs="Times New Roman"/>
                      <w:spacing w:val="8"/>
                      <w:sz w:val="20"/>
                      <w:szCs w:val="20"/>
                    </w:rPr>
                    <w:t xml:space="preserve">400 </w:t>
                  </w:r>
                  <w:r>
                    <w:rPr>
                      <w:spacing w:val="8"/>
                      <w:sz w:val="20"/>
                      <w:szCs w:val="20"/>
                    </w:rPr>
                    <w:t>毫米以上区域覆盖度高于</w:t>
                  </w:r>
                  <w:r>
                    <w:rPr>
                      <w:spacing w:val="1"/>
                      <w:sz w:val="20"/>
                      <w:szCs w:val="20"/>
                    </w:rPr>
                    <w:t xml:space="preserve"> </w:t>
                  </w:r>
                  <w:r>
                    <w:rPr>
                      <w:rFonts w:ascii="Times New Roman" w:hAnsi="Times New Roman" w:eastAsia="Times New Roman" w:cs="Times New Roman"/>
                      <w:spacing w:val="6"/>
                      <w:sz w:val="20"/>
                      <w:szCs w:val="20"/>
                    </w:rPr>
                    <w:t>50%</w:t>
                  </w:r>
                  <w:r>
                    <w:rPr>
                      <w:spacing w:val="6"/>
                      <w:sz w:val="20"/>
                      <w:szCs w:val="20"/>
                    </w:rPr>
                    <w:t>的灌木林地。</w:t>
                  </w:r>
                </w:p>
              </w:tc>
              <w:tc>
                <w:tcPr>
                  <w:tcW w:w="3768" w:type="dxa"/>
                  <w:vAlign w:val="top"/>
                </w:tcPr>
                <w:p w14:paraId="70DB07F9">
                  <w:pPr>
                    <w:pStyle w:val="6"/>
                    <w:spacing w:before="29"/>
                    <w:ind w:left="115" w:right="103" w:hanging="2"/>
                    <w:rPr>
                      <w:sz w:val="20"/>
                      <w:szCs w:val="20"/>
                    </w:rPr>
                  </w:pPr>
                  <w:r>
                    <w:rPr>
                      <w:spacing w:val="8"/>
                      <w:sz w:val="20"/>
                      <w:szCs w:val="20"/>
                    </w:rPr>
                    <w:t>根据项目使用林地可行性报告，本工程</w:t>
                  </w:r>
                  <w:r>
                    <w:rPr>
                      <w:spacing w:val="9"/>
                      <w:sz w:val="20"/>
                      <w:szCs w:val="20"/>
                    </w:rPr>
                    <w:t xml:space="preserve"> </w:t>
                  </w:r>
                  <w:r>
                    <w:rPr>
                      <w:spacing w:val="7"/>
                      <w:sz w:val="20"/>
                      <w:szCs w:val="20"/>
                    </w:rPr>
                    <w:t>建设涉及占用林地情况为防护林林地、</w:t>
                  </w:r>
                </w:p>
                <w:p w14:paraId="5E8C49AD">
                  <w:pPr>
                    <w:pStyle w:val="6"/>
                    <w:spacing w:before="23" w:line="248" w:lineRule="auto"/>
                    <w:ind w:left="112" w:right="34"/>
                    <w:jc w:val="right"/>
                    <w:rPr>
                      <w:sz w:val="20"/>
                      <w:szCs w:val="20"/>
                    </w:rPr>
                  </w:pPr>
                  <w:r>
                    <w:rPr>
                      <w:spacing w:val="-2"/>
                      <w:sz w:val="20"/>
                      <w:szCs w:val="20"/>
                    </w:rPr>
                    <w:t>材林林地、其他林地，保护等级</w:t>
                  </w:r>
                  <w:r>
                    <w:rPr>
                      <w:rFonts w:ascii="Times New Roman" w:hAnsi="Times New Roman" w:eastAsia="Times New Roman" w:cs="Times New Roman"/>
                      <w:spacing w:val="-2"/>
                      <w:sz w:val="20"/>
                      <w:szCs w:val="20"/>
                    </w:rPr>
                    <w:t>Ⅱ~Ⅳ</w:t>
                  </w:r>
                  <w:r>
                    <w:rPr>
                      <w:spacing w:val="-2"/>
                      <w:sz w:val="20"/>
                      <w:szCs w:val="20"/>
                    </w:rPr>
                    <w:t>级，</w:t>
                  </w:r>
                  <w:r>
                    <w:rPr>
                      <w:spacing w:val="4"/>
                      <w:sz w:val="20"/>
                      <w:szCs w:val="20"/>
                    </w:rPr>
                    <w:t xml:space="preserve"> </w:t>
                  </w:r>
                  <w:r>
                    <w:rPr>
                      <w:spacing w:val="15"/>
                      <w:sz w:val="20"/>
                      <w:szCs w:val="20"/>
                    </w:rPr>
                    <w:t>同时已避让天然林保护工程区和天然</w:t>
                  </w:r>
                  <w:r>
                    <w:rPr>
                      <w:spacing w:val="3"/>
                      <w:sz w:val="20"/>
                      <w:szCs w:val="20"/>
                    </w:rPr>
                    <w:t xml:space="preserve">  </w:t>
                  </w:r>
                  <w:r>
                    <w:rPr>
                      <w:sz w:val="20"/>
                      <w:szCs w:val="20"/>
                    </w:rPr>
                    <w:t>林地；有林地、疏林地、未成林造林地、</w:t>
                  </w:r>
                  <w:r>
                    <w:rPr>
                      <w:spacing w:val="14"/>
                      <w:sz w:val="20"/>
                      <w:szCs w:val="20"/>
                    </w:rPr>
                    <w:t xml:space="preserve"> </w:t>
                  </w:r>
                  <w:r>
                    <w:rPr>
                      <w:spacing w:val="8"/>
                      <w:sz w:val="20"/>
                      <w:szCs w:val="20"/>
                    </w:rPr>
                    <w:t>采伐迹地、火烧迹地。根据查阅气象资</w:t>
                  </w:r>
                  <w:r>
                    <w:rPr>
                      <w:spacing w:val="10"/>
                      <w:sz w:val="20"/>
                      <w:szCs w:val="20"/>
                    </w:rPr>
                    <w:t xml:space="preserve"> </w:t>
                  </w:r>
                  <w:r>
                    <w:rPr>
                      <w:spacing w:val="15"/>
                      <w:sz w:val="20"/>
                      <w:szCs w:val="20"/>
                    </w:rPr>
                    <w:t>料，项目所在区域多年平均降雨量为</w:t>
                  </w:r>
                  <w:r>
                    <w:rPr>
                      <w:spacing w:val="3"/>
                      <w:sz w:val="20"/>
                      <w:szCs w:val="20"/>
                    </w:rPr>
                    <w:t xml:space="preserve">  </w:t>
                  </w:r>
                  <w:r>
                    <w:rPr>
                      <w:rFonts w:ascii="Times New Roman" w:hAnsi="Times New Roman" w:eastAsia="Times New Roman" w:cs="Times New Roman"/>
                      <w:spacing w:val="10"/>
                      <w:sz w:val="20"/>
                      <w:szCs w:val="20"/>
                    </w:rPr>
                    <w:t>1045</w:t>
                  </w:r>
                  <w:r>
                    <w:rPr>
                      <w:rFonts w:ascii="Times New Roman" w:hAnsi="Times New Roman" w:eastAsia="Times New Roman" w:cs="Times New Roman"/>
                      <w:sz w:val="20"/>
                      <w:szCs w:val="20"/>
                    </w:rPr>
                    <w:t>mm</w:t>
                  </w:r>
                  <w:r>
                    <w:rPr>
                      <w:rFonts w:ascii="Times New Roman" w:hAnsi="Times New Roman" w:eastAsia="Times New Roman" w:cs="Times New Roman"/>
                      <w:spacing w:val="-17"/>
                      <w:sz w:val="20"/>
                      <w:szCs w:val="20"/>
                    </w:rPr>
                    <w:t xml:space="preserve"> </w:t>
                  </w:r>
                  <w:r>
                    <w:rPr>
                      <w:spacing w:val="10"/>
                      <w:sz w:val="20"/>
                      <w:szCs w:val="20"/>
                    </w:rPr>
                    <w:t>，因此项目不使用降雨量</w:t>
                  </w:r>
                  <w:r>
                    <w:rPr>
                      <w:spacing w:val="-44"/>
                      <w:sz w:val="20"/>
                      <w:szCs w:val="20"/>
                    </w:rPr>
                    <w:t xml:space="preserve"> </w:t>
                  </w:r>
                  <w:r>
                    <w:rPr>
                      <w:rFonts w:ascii="Times New Roman" w:hAnsi="Times New Roman" w:eastAsia="Times New Roman" w:cs="Times New Roman"/>
                      <w:spacing w:val="10"/>
                      <w:sz w:val="20"/>
                      <w:szCs w:val="20"/>
                    </w:rPr>
                    <w:t>400</w:t>
                  </w:r>
                  <w:r>
                    <w:rPr>
                      <w:rFonts w:ascii="Times New Roman" w:hAnsi="Times New Roman" w:eastAsia="Times New Roman" w:cs="Times New Roman"/>
                      <w:sz w:val="20"/>
                      <w:szCs w:val="20"/>
                    </w:rPr>
                    <w:t xml:space="preserve">    </w:t>
                  </w:r>
                  <w:r>
                    <w:rPr>
                      <w:spacing w:val="7"/>
                      <w:sz w:val="20"/>
                      <w:szCs w:val="20"/>
                    </w:rPr>
                    <w:t>毫米以上区域覆盖度高于</w:t>
                  </w:r>
                  <w:r>
                    <w:rPr>
                      <w:spacing w:val="-23"/>
                      <w:sz w:val="20"/>
                      <w:szCs w:val="20"/>
                    </w:rPr>
                    <w:t xml:space="preserve"> </w:t>
                  </w:r>
                  <w:r>
                    <w:rPr>
                      <w:rFonts w:ascii="Times New Roman" w:hAnsi="Times New Roman" w:eastAsia="Times New Roman" w:cs="Times New Roman"/>
                      <w:spacing w:val="7"/>
                      <w:sz w:val="20"/>
                      <w:szCs w:val="20"/>
                    </w:rPr>
                    <w:t>50%</w:t>
                  </w:r>
                  <w:r>
                    <w:rPr>
                      <w:spacing w:val="7"/>
                      <w:sz w:val="20"/>
                      <w:szCs w:val="20"/>
                    </w:rPr>
                    <w:t>的灌木</w:t>
                  </w:r>
                </w:p>
                <w:p w14:paraId="45382C3D">
                  <w:pPr>
                    <w:pStyle w:val="6"/>
                    <w:spacing w:before="26" w:line="218" w:lineRule="auto"/>
                    <w:ind w:left="1575"/>
                    <w:rPr>
                      <w:sz w:val="20"/>
                      <w:szCs w:val="20"/>
                    </w:rPr>
                  </w:pPr>
                  <w:r>
                    <w:rPr>
                      <w:spacing w:val="2"/>
                      <w:sz w:val="20"/>
                      <w:szCs w:val="20"/>
                    </w:rPr>
                    <w:t>林地。</w:t>
                  </w:r>
                </w:p>
              </w:tc>
              <w:tc>
                <w:tcPr>
                  <w:tcW w:w="931" w:type="dxa"/>
                  <w:vAlign w:val="top"/>
                </w:tcPr>
                <w:p w14:paraId="3B5B1895">
                  <w:pPr>
                    <w:spacing w:line="295" w:lineRule="auto"/>
                    <w:rPr>
                      <w:rFonts w:ascii="Arial"/>
                      <w:sz w:val="21"/>
                    </w:rPr>
                  </w:pPr>
                </w:p>
                <w:p w14:paraId="552853A3">
                  <w:pPr>
                    <w:spacing w:line="295" w:lineRule="auto"/>
                    <w:rPr>
                      <w:rFonts w:ascii="Arial"/>
                      <w:sz w:val="21"/>
                    </w:rPr>
                  </w:pPr>
                </w:p>
                <w:p w14:paraId="15B27B66">
                  <w:pPr>
                    <w:spacing w:line="296" w:lineRule="auto"/>
                    <w:rPr>
                      <w:rFonts w:ascii="Arial"/>
                      <w:sz w:val="21"/>
                    </w:rPr>
                  </w:pPr>
                </w:p>
                <w:p w14:paraId="650E7CE0">
                  <w:pPr>
                    <w:spacing w:line="296" w:lineRule="auto"/>
                    <w:rPr>
                      <w:rFonts w:ascii="Arial"/>
                      <w:sz w:val="21"/>
                    </w:rPr>
                  </w:pPr>
                </w:p>
                <w:p w14:paraId="3E322CFE">
                  <w:pPr>
                    <w:pStyle w:val="6"/>
                    <w:spacing w:before="65" w:line="228" w:lineRule="auto"/>
                    <w:ind w:left="261"/>
                    <w:rPr>
                      <w:sz w:val="20"/>
                      <w:szCs w:val="20"/>
                    </w:rPr>
                  </w:pPr>
                  <w:r>
                    <w:rPr>
                      <w:spacing w:val="3"/>
                      <w:sz w:val="20"/>
                      <w:szCs w:val="20"/>
                    </w:rPr>
                    <w:t>符合</w:t>
                  </w:r>
                </w:p>
              </w:tc>
            </w:tr>
            <w:tr w14:paraId="78411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3258" w:type="dxa"/>
                  <w:vAlign w:val="top"/>
                </w:tcPr>
                <w:p w14:paraId="29A56CA0">
                  <w:pPr>
                    <w:spacing w:line="252" w:lineRule="auto"/>
                    <w:rPr>
                      <w:rFonts w:ascii="Arial"/>
                      <w:sz w:val="21"/>
                    </w:rPr>
                  </w:pPr>
                </w:p>
                <w:p w14:paraId="264682BD">
                  <w:pPr>
                    <w:spacing w:line="252" w:lineRule="auto"/>
                    <w:rPr>
                      <w:rFonts w:ascii="Arial"/>
                      <w:sz w:val="21"/>
                    </w:rPr>
                  </w:pPr>
                </w:p>
                <w:p w14:paraId="7E25B226">
                  <w:pPr>
                    <w:pStyle w:val="6"/>
                    <w:spacing w:before="65" w:line="247" w:lineRule="auto"/>
                    <w:ind w:left="229" w:right="108" w:firstLine="3"/>
                    <w:rPr>
                      <w:sz w:val="20"/>
                      <w:szCs w:val="20"/>
                    </w:rPr>
                  </w:pPr>
                  <w:r>
                    <w:rPr>
                      <w:spacing w:val="7"/>
                      <w:sz w:val="20"/>
                      <w:szCs w:val="20"/>
                    </w:rPr>
                    <w:t>项目选址应符合国土空间规划、</w:t>
                  </w:r>
                  <w:r>
                    <w:rPr>
                      <w:spacing w:val="12"/>
                      <w:sz w:val="20"/>
                      <w:szCs w:val="20"/>
                    </w:rPr>
                    <w:t xml:space="preserve"> </w:t>
                  </w:r>
                  <w:r>
                    <w:rPr>
                      <w:spacing w:val="8"/>
                      <w:sz w:val="20"/>
                      <w:szCs w:val="20"/>
                    </w:rPr>
                    <w:t>实现景观保护。应远离滇中城市</w:t>
                  </w:r>
                  <w:r>
                    <w:rPr>
                      <w:spacing w:val="2"/>
                      <w:sz w:val="20"/>
                      <w:szCs w:val="20"/>
                    </w:rPr>
                    <w:t xml:space="preserve"> </w:t>
                  </w:r>
                  <w:r>
                    <w:rPr>
                      <w:spacing w:val="8"/>
                      <w:sz w:val="20"/>
                      <w:szCs w:val="20"/>
                    </w:rPr>
                    <w:t>群规划的主体城市、一般城市和</w:t>
                  </w:r>
                  <w:r>
                    <w:rPr>
                      <w:spacing w:val="2"/>
                      <w:sz w:val="20"/>
                      <w:szCs w:val="20"/>
                    </w:rPr>
                    <w:t xml:space="preserve"> </w:t>
                  </w:r>
                  <w:r>
                    <w:rPr>
                      <w:spacing w:val="8"/>
                      <w:sz w:val="20"/>
                      <w:szCs w:val="20"/>
                    </w:rPr>
                    <w:t>新兴城镇，远离城市及城镇的面</w:t>
                  </w:r>
                  <w:r>
                    <w:rPr>
                      <w:spacing w:val="2"/>
                      <w:sz w:val="20"/>
                      <w:szCs w:val="20"/>
                    </w:rPr>
                    <w:t xml:space="preserve"> </w:t>
                  </w:r>
                  <w:r>
                    <w:rPr>
                      <w:spacing w:val="8"/>
                      <w:sz w:val="20"/>
                      <w:szCs w:val="20"/>
                    </w:rPr>
                    <w:t>山区域。应远离金沙江及长江一</w:t>
                  </w:r>
                </w:p>
                <w:p w14:paraId="0D340FB2">
                  <w:pPr>
                    <w:pStyle w:val="6"/>
                    <w:spacing w:before="24" w:line="228" w:lineRule="auto"/>
                    <w:ind w:left="645"/>
                    <w:rPr>
                      <w:sz w:val="20"/>
                      <w:szCs w:val="20"/>
                    </w:rPr>
                  </w:pPr>
                  <w:r>
                    <w:rPr>
                      <w:spacing w:val="7"/>
                      <w:sz w:val="20"/>
                      <w:szCs w:val="20"/>
                    </w:rPr>
                    <w:t>级支流岸线保护范围。</w:t>
                  </w:r>
                </w:p>
              </w:tc>
              <w:tc>
                <w:tcPr>
                  <w:tcW w:w="3768" w:type="dxa"/>
                  <w:vAlign w:val="top"/>
                </w:tcPr>
                <w:p w14:paraId="7168AF50">
                  <w:pPr>
                    <w:pStyle w:val="6"/>
                    <w:spacing w:before="33" w:line="248" w:lineRule="auto"/>
                    <w:ind w:left="112" w:right="103" w:firstLine="97"/>
                    <w:jc w:val="both"/>
                    <w:rPr>
                      <w:sz w:val="20"/>
                      <w:szCs w:val="20"/>
                    </w:rPr>
                  </w:pPr>
                  <w:r>
                    <w:rPr>
                      <w:spacing w:val="9"/>
                      <w:sz w:val="20"/>
                      <w:szCs w:val="20"/>
                    </w:rPr>
                    <w:t>本项目选址位于云南省昆明市寻甸回</w:t>
                  </w:r>
                  <w:r>
                    <w:rPr>
                      <w:spacing w:val="3"/>
                      <w:sz w:val="20"/>
                      <w:szCs w:val="20"/>
                    </w:rPr>
                    <w:t xml:space="preserve">  </w:t>
                  </w:r>
                  <w:r>
                    <w:rPr>
                      <w:spacing w:val="8"/>
                      <w:sz w:val="20"/>
                      <w:szCs w:val="20"/>
                    </w:rPr>
                    <w:t>族彝族自治县河口镇境内，根据寻甸回</w:t>
                  </w:r>
                  <w:r>
                    <w:rPr>
                      <w:spacing w:val="10"/>
                      <w:sz w:val="20"/>
                      <w:szCs w:val="20"/>
                    </w:rPr>
                    <w:t xml:space="preserve"> </w:t>
                  </w:r>
                  <w:r>
                    <w:rPr>
                      <w:spacing w:val="4"/>
                      <w:sz w:val="20"/>
                      <w:szCs w:val="20"/>
                    </w:rPr>
                    <w:t>族彝族自治县自然资源局</w:t>
                  </w:r>
                  <w:r>
                    <w:rPr>
                      <w:spacing w:val="-37"/>
                      <w:sz w:val="20"/>
                      <w:szCs w:val="20"/>
                    </w:rPr>
                    <w:t xml:space="preserve"> </w:t>
                  </w:r>
                  <w:r>
                    <w:rPr>
                      <w:rFonts w:ascii="Times New Roman" w:hAnsi="Times New Roman" w:eastAsia="Times New Roman" w:cs="Times New Roman"/>
                      <w:spacing w:val="4"/>
                      <w:sz w:val="20"/>
                      <w:szCs w:val="20"/>
                    </w:rPr>
                    <w:t xml:space="preserve">2024 </w:t>
                  </w:r>
                  <w:r>
                    <w:rPr>
                      <w:spacing w:val="4"/>
                      <w:sz w:val="20"/>
                      <w:szCs w:val="20"/>
                    </w:rPr>
                    <w:t>年</w:t>
                  </w:r>
                  <w:r>
                    <w:rPr>
                      <w:spacing w:val="-51"/>
                      <w:sz w:val="20"/>
                      <w:szCs w:val="20"/>
                    </w:rPr>
                    <w:t xml:space="preserve"> </w:t>
                  </w:r>
                  <w:r>
                    <w:rPr>
                      <w:rFonts w:ascii="Times New Roman" w:hAnsi="Times New Roman" w:eastAsia="Times New Roman" w:cs="Times New Roman"/>
                      <w:spacing w:val="4"/>
                      <w:sz w:val="20"/>
                      <w:szCs w:val="20"/>
                    </w:rPr>
                    <w:t xml:space="preserve">6 </w:t>
                  </w:r>
                  <w:r>
                    <w:rPr>
                      <w:spacing w:val="4"/>
                      <w:sz w:val="20"/>
                      <w:szCs w:val="20"/>
                    </w:rPr>
                    <w:t>月</w:t>
                  </w:r>
                  <w:r>
                    <w:rPr>
                      <w:spacing w:val="-52"/>
                      <w:sz w:val="20"/>
                      <w:szCs w:val="20"/>
                    </w:rPr>
                    <w:t xml:space="preserve"> </w:t>
                  </w: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 xml:space="preserve"> </w:t>
                  </w:r>
                  <w:r>
                    <w:rPr>
                      <w:spacing w:val="8"/>
                      <w:sz w:val="20"/>
                      <w:szCs w:val="20"/>
                    </w:rPr>
                    <w:t>日出具的选址意见，项目用地范围未与</w:t>
                  </w:r>
                  <w:r>
                    <w:rPr>
                      <w:spacing w:val="7"/>
                      <w:sz w:val="20"/>
                      <w:szCs w:val="20"/>
                    </w:rPr>
                    <w:t xml:space="preserve"> </w:t>
                  </w:r>
                  <w:r>
                    <w:rPr>
                      <w:spacing w:val="8"/>
                      <w:sz w:val="20"/>
                      <w:szCs w:val="20"/>
                    </w:rPr>
                    <w:t>寻甸县生态保护红线重叠，项目用地范</w:t>
                  </w:r>
                  <w:r>
                    <w:rPr>
                      <w:spacing w:val="10"/>
                      <w:sz w:val="20"/>
                      <w:szCs w:val="20"/>
                    </w:rPr>
                    <w:t xml:space="preserve"> </w:t>
                  </w:r>
                  <w:r>
                    <w:rPr>
                      <w:spacing w:val="8"/>
                      <w:sz w:val="20"/>
                      <w:szCs w:val="20"/>
                    </w:rPr>
                    <w:t>围不在城镇开发边界内。项目远离滇中</w:t>
                  </w:r>
                  <w:r>
                    <w:rPr>
                      <w:spacing w:val="7"/>
                      <w:sz w:val="20"/>
                      <w:szCs w:val="20"/>
                    </w:rPr>
                    <w:t xml:space="preserve"> </w:t>
                  </w:r>
                  <w:r>
                    <w:rPr>
                      <w:spacing w:val="8"/>
                      <w:sz w:val="20"/>
                      <w:szCs w:val="20"/>
                    </w:rPr>
                    <w:t>城市群规划的主体城市、一般城市和新</w:t>
                  </w:r>
                  <w:r>
                    <w:rPr>
                      <w:spacing w:val="7"/>
                      <w:sz w:val="20"/>
                      <w:szCs w:val="20"/>
                    </w:rPr>
                    <w:t xml:space="preserve"> 兴城镇，远离城市及城镇的面山区域。</w:t>
                  </w:r>
                </w:p>
                <w:p w14:paraId="4C7B74C0">
                  <w:pPr>
                    <w:pStyle w:val="6"/>
                    <w:spacing w:before="24" w:line="235" w:lineRule="auto"/>
                    <w:ind w:left="1473" w:right="204" w:hanging="1261"/>
                    <w:rPr>
                      <w:sz w:val="20"/>
                      <w:szCs w:val="20"/>
                    </w:rPr>
                  </w:pPr>
                  <w:r>
                    <w:rPr>
                      <w:spacing w:val="9"/>
                      <w:sz w:val="20"/>
                      <w:szCs w:val="20"/>
                    </w:rPr>
                    <w:t>不在金沙江及长江一级支流岸线保护</w:t>
                  </w:r>
                  <w:r>
                    <w:rPr>
                      <w:spacing w:val="1"/>
                      <w:sz w:val="20"/>
                      <w:szCs w:val="20"/>
                    </w:rPr>
                    <w:t xml:space="preserve"> </w:t>
                  </w:r>
                  <w:r>
                    <w:rPr>
                      <w:spacing w:val="3"/>
                      <w:sz w:val="20"/>
                      <w:szCs w:val="20"/>
                    </w:rPr>
                    <w:t>范围内。</w:t>
                  </w:r>
                </w:p>
              </w:tc>
              <w:tc>
                <w:tcPr>
                  <w:tcW w:w="931" w:type="dxa"/>
                  <w:vAlign w:val="top"/>
                </w:tcPr>
                <w:p w14:paraId="1941FF24">
                  <w:pPr>
                    <w:spacing w:line="278" w:lineRule="auto"/>
                    <w:rPr>
                      <w:rFonts w:ascii="Arial"/>
                      <w:sz w:val="21"/>
                    </w:rPr>
                  </w:pPr>
                </w:p>
                <w:p w14:paraId="65360769">
                  <w:pPr>
                    <w:spacing w:line="279" w:lineRule="auto"/>
                    <w:rPr>
                      <w:rFonts w:ascii="Arial"/>
                      <w:sz w:val="21"/>
                    </w:rPr>
                  </w:pPr>
                </w:p>
                <w:p w14:paraId="0E1657DD">
                  <w:pPr>
                    <w:spacing w:line="279" w:lineRule="auto"/>
                    <w:rPr>
                      <w:rFonts w:ascii="Arial"/>
                      <w:sz w:val="21"/>
                    </w:rPr>
                  </w:pPr>
                </w:p>
                <w:p w14:paraId="652B8CE5">
                  <w:pPr>
                    <w:spacing w:line="279" w:lineRule="auto"/>
                    <w:rPr>
                      <w:rFonts w:ascii="Arial"/>
                      <w:sz w:val="21"/>
                    </w:rPr>
                  </w:pPr>
                </w:p>
                <w:p w14:paraId="6C9AF071">
                  <w:pPr>
                    <w:pStyle w:val="6"/>
                    <w:spacing w:before="65" w:line="228" w:lineRule="auto"/>
                    <w:ind w:left="261"/>
                    <w:rPr>
                      <w:sz w:val="20"/>
                      <w:szCs w:val="20"/>
                    </w:rPr>
                  </w:pPr>
                  <w:r>
                    <w:rPr>
                      <w:spacing w:val="3"/>
                      <w:sz w:val="20"/>
                      <w:szCs w:val="20"/>
                    </w:rPr>
                    <w:t>符合</w:t>
                  </w:r>
                </w:p>
              </w:tc>
            </w:tr>
            <w:tr w14:paraId="0BDBA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4" w:hRule="atLeast"/>
              </w:trPr>
              <w:tc>
                <w:tcPr>
                  <w:tcW w:w="7957" w:type="dxa"/>
                  <w:gridSpan w:val="3"/>
                  <w:tcBorders>
                    <w:bottom w:val="nil"/>
                    <w:right w:val="nil"/>
                  </w:tcBorders>
                  <w:vAlign w:val="top"/>
                </w:tcPr>
                <w:p w14:paraId="09390773">
                  <w:pPr>
                    <w:pStyle w:val="6"/>
                    <w:spacing w:before="35" w:line="354" w:lineRule="auto"/>
                    <w:ind w:left="118" w:firstLine="479"/>
                    <w:jc w:val="both"/>
                  </w:pPr>
                  <w:r>
                    <w:rPr>
                      <w:spacing w:val="-3"/>
                    </w:rPr>
                    <w:t>根据分析，项目选址不占用基本农田，选址避让了生态红线</w:t>
                  </w:r>
                  <w:r>
                    <w:rPr>
                      <w:spacing w:val="-4"/>
                    </w:rPr>
                    <w:t>、自然保护</w:t>
                  </w:r>
                  <w:r>
                    <w:t xml:space="preserve"> </w:t>
                  </w:r>
                  <w:r>
                    <w:rPr>
                      <w:spacing w:val="-3"/>
                    </w:rPr>
                    <w:t>区、饮用水源地等敏感区，避让了滇中城市群主城范围，避让了旅游地区，</w:t>
                  </w:r>
                  <w:r>
                    <w:rPr>
                      <w:spacing w:val="14"/>
                    </w:rPr>
                    <w:t xml:space="preserve"> </w:t>
                  </w:r>
                  <w:r>
                    <w:rPr>
                      <w:spacing w:val="-3"/>
                    </w:rPr>
                    <w:t>远离长江经济带规划发展区，没有布局在城市（城镇）面山区域，对滇中城</w:t>
                  </w:r>
                  <w:r>
                    <w:t xml:space="preserve"> </w:t>
                  </w:r>
                  <w:r>
                    <w:rPr>
                      <w:spacing w:val="-3"/>
                    </w:rPr>
                    <w:t>市群及长江经济带未来发展无明显直接影响，项目建设符合《云南省在适宜</w:t>
                  </w:r>
                  <w:r>
                    <w:t xml:space="preserve"> </w:t>
                  </w:r>
                  <w:r>
                    <w:rPr>
                      <w:spacing w:val="-1"/>
                    </w:rPr>
                    <w:t>地区适度开发利用新能源规划》的相关要求。</w:t>
                  </w:r>
                </w:p>
                <w:p w14:paraId="03C6D388">
                  <w:pPr>
                    <w:pStyle w:val="6"/>
                    <w:spacing w:before="31" w:line="341" w:lineRule="auto"/>
                    <w:ind w:left="120" w:right="19" w:firstLine="472"/>
                  </w:pPr>
                  <w:r>
                    <w:rPr>
                      <w:rFonts w:ascii="Times New Roman" w:hAnsi="Times New Roman" w:eastAsia="Times New Roman" w:cs="Times New Roman"/>
                      <w:b/>
                      <w:bCs/>
                      <w:spacing w:val="-3"/>
                    </w:rPr>
                    <w:t>3</w:t>
                  </w:r>
                  <w:r>
                    <w:rPr>
                      <w:rFonts w:ascii="Times New Roman" w:hAnsi="Times New Roman" w:eastAsia="Times New Roman" w:cs="Times New Roman"/>
                      <w:b/>
                      <w:bCs/>
                      <w:spacing w:val="-22"/>
                    </w:rPr>
                    <w:t xml:space="preserve"> </w:t>
                  </w:r>
                  <w:r>
                    <w:rPr>
                      <w:b/>
                      <w:bCs/>
                      <w:spacing w:val="-3"/>
                    </w:rPr>
                    <w:t>、与《云南省在适宜地区适度开发利用新能源规划环境影响篇章》的</w:t>
                  </w:r>
                  <w:r>
                    <w:t xml:space="preserve"> </w:t>
                  </w:r>
                  <w:r>
                    <w:rPr>
                      <w:b/>
                      <w:bCs/>
                      <w:spacing w:val="-4"/>
                    </w:rPr>
                    <w:t>符合性分析</w:t>
                  </w:r>
                </w:p>
              </w:tc>
            </w:tr>
          </w:tbl>
          <w:p w14:paraId="7EF6DD23">
            <w:pPr>
              <w:spacing w:line="14" w:lineRule="auto"/>
              <w:rPr>
                <w:rFonts w:ascii="Arial"/>
                <w:sz w:val="2"/>
              </w:rPr>
            </w:pPr>
          </w:p>
        </w:tc>
      </w:tr>
    </w:tbl>
    <w:p w14:paraId="1869DECF">
      <w:pPr>
        <w:rPr>
          <w:rFonts w:ascii="Arial"/>
          <w:sz w:val="21"/>
        </w:rPr>
      </w:pPr>
    </w:p>
    <w:p w14:paraId="297F5386">
      <w:pPr>
        <w:rPr>
          <w:rFonts w:ascii="Arial" w:hAnsi="Arial" w:eastAsia="Arial" w:cs="Arial"/>
          <w:sz w:val="21"/>
          <w:szCs w:val="21"/>
        </w:rPr>
        <w:sectPr>
          <w:footerReference r:id="rId12" w:type="default"/>
          <w:pgSz w:w="11906" w:h="16839"/>
          <w:pgMar w:top="1431" w:right="1407" w:bottom="1278" w:left="1407" w:header="0" w:footer="1116" w:gutter="0"/>
          <w:cols w:space="720" w:num="1"/>
        </w:sectPr>
      </w:pPr>
    </w:p>
    <w:p w14:paraId="693BD5DE">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4F320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77" w:hRule="atLeast"/>
        </w:trPr>
        <w:tc>
          <w:tcPr>
            <w:tcW w:w="1014" w:type="dxa"/>
            <w:tcBorders>
              <w:bottom w:val="single" w:color="000000" w:sz="2" w:space="0"/>
              <w:right w:val="single" w:color="000000" w:sz="2" w:space="0"/>
            </w:tcBorders>
            <w:vAlign w:val="top"/>
          </w:tcPr>
          <w:p w14:paraId="3910F69B">
            <w:pPr>
              <w:rPr>
                <w:rFonts w:ascii="Arial"/>
                <w:sz w:val="21"/>
              </w:rPr>
            </w:pPr>
          </w:p>
        </w:tc>
        <w:tc>
          <w:tcPr>
            <w:tcW w:w="8062" w:type="dxa"/>
            <w:tcBorders>
              <w:left w:val="single" w:color="000000" w:sz="2" w:space="0"/>
              <w:bottom w:val="single" w:color="000000" w:sz="2" w:space="0"/>
            </w:tcBorders>
            <w:vAlign w:val="top"/>
          </w:tcPr>
          <w:p w14:paraId="11D20C9B">
            <w:pPr>
              <w:pStyle w:val="6"/>
              <w:spacing w:before="44" w:line="354" w:lineRule="auto"/>
              <w:ind w:left="108" w:right="23" w:firstLine="492"/>
              <w:jc w:val="both"/>
            </w:pPr>
            <w:r>
              <w:rPr>
                <w:spacing w:val="-4"/>
              </w:rPr>
              <w:t>（</w:t>
            </w:r>
            <w:r>
              <w:rPr>
                <w:rFonts w:ascii="Times New Roman" w:hAnsi="Times New Roman" w:eastAsia="Times New Roman" w:cs="Times New Roman"/>
                <w:spacing w:val="-4"/>
              </w:rPr>
              <w:t>1</w:t>
            </w:r>
            <w:r>
              <w:rPr>
                <w:spacing w:val="-4"/>
              </w:rPr>
              <w:t>）重视项目对敏感环境保护目标的影响评价尽量避让生</w:t>
            </w:r>
            <w:r>
              <w:rPr>
                <w:spacing w:val="-5"/>
              </w:rPr>
              <w:t>态保护红线、</w:t>
            </w:r>
            <w:r>
              <w:t xml:space="preserve"> </w:t>
            </w:r>
            <w:r>
              <w:rPr>
                <w:spacing w:val="-3"/>
              </w:rPr>
              <w:t>《云南省主体功能区规划》中确定的禁止开发区域（自然保护区、风景名胜</w:t>
            </w:r>
            <w:r>
              <w:rPr>
                <w:spacing w:val="17"/>
              </w:rPr>
              <w:t xml:space="preserve"> </w:t>
            </w:r>
            <w:r>
              <w:rPr>
                <w:spacing w:val="-3"/>
              </w:rPr>
              <w:t>区、世界遗产地、国家森林公园、国家地质公园、文物古迹、集中式饮用水</w:t>
            </w:r>
            <w:r>
              <w:rPr>
                <w:spacing w:val="17"/>
              </w:rPr>
              <w:t xml:space="preserve"> </w:t>
            </w:r>
            <w:r>
              <w:t>源地等）及原始天然林、候鸟迁徙通道、保护鸟类重要生境等环境敏感</w:t>
            </w:r>
            <w:r>
              <w:rPr>
                <w:spacing w:val="-1"/>
              </w:rPr>
              <w:t>区，</w:t>
            </w:r>
            <w:r>
              <w:t xml:space="preserve"> </w:t>
            </w:r>
            <w:r>
              <w:rPr>
                <w:spacing w:val="-1"/>
              </w:rPr>
              <w:t>尽量减少对敏感区域的扰动，避免造成重大影响。</w:t>
            </w:r>
          </w:p>
          <w:p w14:paraId="15E87D68">
            <w:pPr>
              <w:pStyle w:val="6"/>
              <w:spacing w:before="40" w:line="355" w:lineRule="auto"/>
              <w:ind w:left="108" w:right="103" w:firstLine="480"/>
            </w:pPr>
            <w:r>
              <w:rPr>
                <w:spacing w:val="-3"/>
              </w:rPr>
              <w:t>根据寻甸回族彝族自治县自然资源局、寻甸回族彝族自治县林业和草原</w:t>
            </w:r>
            <w:r>
              <w:rPr>
                <w:spacing w:val="10"/>
              </w:rPr>
              <w:t xml:space="preserve"> </w:t>
            </w:r>
            <w:r>
              <w:rPr>
                <w:spacing w:val="-3"/>
              </w:rPr>
              <w:t>局、寻甸回族彝族自治县水务局、昆明市生态环境局寻甸分局、寻甸回族彝</w:t>
            </w:r>
            <w:r>
              <w:rPr>
                <w:spacing w:val="17"/>
              </w:rPr>
              <w:t xml:space="preserve"> </w:t>
            </w:r>
            <w:r>
              <w:rPr>
                <w:spacing w:val="-3"/>
              </w:rPr>
              <w:t>族自治县人民武装部等有关单位对项目区域制约性因素查询结果，化桃箐光</w:t>
            </w:r>
            <w:r>
              <w:rPr>
                <w:spacing w:val="17"/>
              </w:rPr>
              <w:t xml:space="preserve"> </w:t>
            </w:r>
            <w:r>
              <w:rPr>
                <w:spacing w:val="-3"/>
              </w:rPr>
              <w:t>伏发电项目不涉及基本农田、生态保护红线、自然保护区、风景名胜区、世</w:t>
            </w:r>
            <w:r>
              <w:rPr>
                <w:spacing w:val="17"/>
              </w:rPr>
              <w:t xml:space="preserve"> </w:t>
            </w:r>
            <w:r>
              <w:rPr>
                <w:spacing w:val="-3"/>
              </w:rPr>
              <w:t>界遗产地、国家森林公园、国家地质公园、文物古迹、集中式饮用水源地及</w:t>
            </w:r>
            <w:r>
              <w:rPr>
                <w:spacing w:val="17"/>
              </w:rPr>
              <w:t xml:space="preserve"> </w:t>
            </w:r>
            <w:r>
              <w:rPr>
                <w:spacing w:val="-3"/>
              </w:rPr>
              <w:t>原始天然林、候鸟迁徙通道、保护鸟类重要生境等环境敏感区，项目符合要</w:t>
            </w:r>
            <w:r>
              <w:rPr>
                <w:spacing w:val="17"/>
              </w:rPr>
              <w:t xml:space="preserve"> </w:t>
            </w:r>
            <w:r>
              <w:rPr>
                <w:spacing w:val="-5"/>
              </w:rPr>
              <w:t>求。</w:t>
            </w:r>
          </w:p>
          <w:p w14:paraId="60F047E6">
            <w:pPr>
              <w:pStyle w:val="6"/>
              <w:spacing w:before="31" w:line="219" w:lineRule="auto"/>
              <w:ind w:left="601"/>
            </w:pPr>
            <w:r>
              <w:rPr>
                <w:spacing w:val="-2"/>
              </w:rPr>
              <w:t>（</w:t>
            </w:r>
            <w:r>
              <w:rPr>
                <w:rFonts w:ascii="Times New Roman" w:hAnsi="Times New Roman" w:eastAsia="Times New Roman" w:cs="Times New Roman"/>
                <w:spacing w:val="-2"/>
              </w:rPr>
              <w:t>2</w:t>
            </w:r>
            <w:r>
              <w:rPr>
                <w:spacing w:val="-2"/>
              </w:rPr>
              <w:t>）重视项目区生态环境现状调查</w:t>
            </w:r>
          </w:p>
          <w:p w14:paraId="2E17BEE8">
            <w:pPr>
              <w:pStyle w:val="6"/>
              <w:spacing w:before="183" w:line="350" w:lineRule="auto"/>
              <w:ind w:left="112" w:right="41" w:firstLine="478"/>
            </w:pPr>
            <w:r>
              <w:rPr>
                <w:spacing w:val="-3"/>
              </w:rPr>
              <w:t>开展规划项目土地利用和植被植物影响的详细调查，邀请植物专家调查</w:t>
            </w:r>
            <w:r>
              <w:rPr>
                <w:spacing w:val="9"/>
              </w:rPr>
              <w:t xml:space="preserve"> </w:t>
            </w:r>
            <w:r>
              <w:rPr>
                <w:spacing w:val="-8"/>
              </w:rPr>
              <w:t>建设区是否存在极小种群、重点保护野生植物以及特殊（珍稀）植物群落等，</w:t>
            </w:r>
            <w:r>
              <w:rPr>
                <w:spacing w:val="8"/>
              </w:rPr>
              <w:t xml:space="preserve"> </w:t>
            </w:r>
            <w:r>
              <w:rPr>
                <w:spacing w:val="-1"/>
              </w:rPr>
              <w:t>并需特别关注环境敏感区域的调查，在项目环评中给予足够的重视。</w:t>
            </w:r>
          </w:p>
          <w:p w14:paraId="6D0FA8BB">
            <w:pPr>
              <w:pStyle w:val="6"/>
              <w:spacing w:before="36" w:line="346" w:lineRule="auto"/>
              <w:ind w:left="113" w:right="103" w:firstLine="475"/>
            </w:pPr>
            <w:r>
              <w:rPr>
                <w:spacing w:val="-3"/>
              </w:rPr>
              <w:t>在本次环评过程中，已由公司技术人员对项目生态影响区生态环境进行</w:t>
            </w:r>
            <w:r>
              <w:rPr>
                <w:spacing w:val="11"/>
              </w:rPr>
              <w:t xml:space="preserve"> </w:t>
            </w:r>
            <w:r>
              <w:rPr>
                <w:spacing w:val="-3"/>
              </w:rPr>
              <w:t>了详细的调查，项目区不存在极小种群以及特殊（珍稀）植物群落等，因此</w:t>
            </w:r>
            <w:r>
              <w:rPr>
                <w:spacing w:val="12"/>
              </w:rPr>
              <w:t xml:space="preserve"> </w:t>
            </w:r>
            <w:r>
              <w:rPr>
                <w:spacing w:val="-2"/>
              </w:rPr>
              <w:t>项目符合要求。</w:t>
            </w:r>
          </w:p>
        </w:tc>
      </w:tr>
      <w:tr w14:paraId="05B9E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6" w:hRule="atLeast"/>
        </w:trPr>
        <w:tc>
          <w:tcPr>
            <w:tcW w:w="1014" w:type="dxa"/>
            <w:tcBorders>
              <w:top w:val="single" w:color="000000" w:sz="2" w:space="0"/>
              <w:right w:val="single" w:color="000000" w:sz="2" w:space="0"/>
            </w:tcBorders>
            <w:vAlign w:val="top"/>
          </w:tcPr>
          <w:p w14:paraId="26A90186">
            <w:pPr>
              <w:spacing w:line="262" w:lineRule="auto"/>
              <w:rPr>
                <w:rFonts w:ascii="Arial"/>
                <w:sz w:val="21"/>
              </w:rPr>
            </w:pPr>
          </w:p>
          <w:p w14:paraId="46F82339">
            <w:pPr>
              <w:spacing w:line="262" w:lineRule="auto"/>
              <w:rPr>
                <w:rFonts w:ascii="Arial"/>
                <w:sz w:val="21"/>
              </w:rPr>
            </w:pPr>
          </w:p>
          <w:p w14:paraId="7F12A336">
            <w:pPr>
              <w:spacing w:line="263" w:lineRule="auto"/>
              <w:rPr>
                <w:rFonts w:ascii="Arial"/>
                <w:sz w:val="21"/>
              </w:rPr>
            </w:pPr>
          </w:p>
          <w:p w14:paraId="455200D9">
            <w:pPr>
              <w:spacing w:line="263" w:lineRule="auto"/>
              <w:rPr>
                <w:rFonts w:ascii="Arial"/>
                <w:sz w:val="21"/>
              </w:rPr>
            </w:pPr>
          </w:p>
          <w:p w14:paraId="25A754C0">
            <w:pPr>
              <w:spacing w:line="263" w:lineRule="auto"/>
              <w:rPr>
                <w:rFonts w:ascii="Arial"/>
                <w:sz w:val="21"/>
              </w:rPr>
            </w:pPr>
          </w:p>
          <w:p w14:paraId="5B6B0F43">
            <w:pPr>
              <w:spacing w:line="263" w:lineRule="auto"/>
              <w:rPr>
                <w:rFonts w:ascii="Arial"/>
                <w:sz w:val="21"/>
              </w:rPr>
            </w:pPr>
          </w:p>
          <w:p w14:paraId="241543D3">
            <w:pPr>
              <w:spacing w:line="263" w:lineRule="auto"/>
              <w:rPr>
                <w:rFonts w:ascii="Arial"/>
                <w:sz w:val="21"/>
              </w:rPr>
            </w:pPr>
          </w:p>
          <w:p w14:paraId="050B8305">
            <w:pPr>
              <w:pStyle w:val="6"/>
              <w:spacing w:before="78" w:line="219" w:lineRule="auto"/>
              <w:ind w:left="147"/>
            </w:pPr>
            <w:r>
              <w:rPr>
                <w:spacing w:val="-4"/>
              </w:rPr>
              <w:t>其他符</w:t>
            </w:r>
          </w:p>
          <w:p w14:paraId="7E167530">
            <w:pPr>
              <w:pStyle w:val="6"/>
              <w:spacing w:before="24" w:line="220" w:lineRule="auto"/>
              <w:ind w:left="147"/>
            </w:pPr>
            <w:r>
              <w:rPr>
                <w:spacing w:val="-4"/>
              </w:rPr>
              <w:t>合性分</w:t>
            </w:r>
          </w:p>
          <w:p w14:paraId="3B9FEDFC">
            <w:pPr>
              <w:pStyle w:val="6"/>
              <w:spacing w:before="26" w:line="220" w:lineRule="auto"/>
              <w:ind w:left="388"/>
            </w:pPr>
            <w:r>
              <w:t>析</w:t>
            </w:r>
          </w:p>
        </w:tc>
        <w:tc>
          <w:tcPr>
            <w:tcW w:w="8062" w:type="dxa"/>
            <w:tcBorders>
              <w:top w:val="single" w:color="000000" w:sz="2" w:space="0"/>
              <w:left w:val="single" w:color="000000" w:sz="2" w:space="0"/>
            </w:tcBorders>
            <w:vAlign w:val="top"/>
          </w:tcPr>
          <w:p w14:paraId="0D8B8C82">
            <w:pPr>
              <w:pStyle w:val="6"/>
              <w:spacing w:before="61" w:line="219" w:lineRule="auto"/>
              <w:ind w:left="596"/>
            </w:pPr>
            <w:r>
              <w:rPr>
                <w:rFonts w:ascii="Times New Roman" w:hAnsi="Times New Roman" w:eastAsia="Times New Roman" w:cs="Times New Roman"/>
                <w:b/>
                <w:bCs/>
                <w:spacing w:val="-6"/>
              </w:rPr>
              <w:t>1</w:t>
            </w:r>
            <w:r>
              <w:rPr>
                <w:rFonts w:ascii="Times New Roman" w:hAnsi="Times New Roman" w:eastAsia="Times New Roman" w:cs="Times New Roman"/>
                <w:b/>
                <w:bCs/>
                <w:spacing w:val="-23"/>
              </w:rPr>
              <w:t xml:space="preserve"> </w:t>
            </w:r>
            <w:r>
              <w:rPr>
                <w:b/>
                <w:bCs/>
                <w:spacing w:val="-6"/>
              </w:rPr>
              <w:t>、与产业政策符合性分析</w:t>
            </w:r>
          </w:p>
          <w:p w14:paraId="615A38D3">
            <w:pPr>
              <w:pStyle w:val="6"/>
              <w:spacing w:before="179" w:line="356" w:lineRule="auto"/>
              <w:ind w:left="105" w:right="41" w:firstLine="484"/>
            </w:pPr>
            <w:r>
              <w:rPr>
                <w:spacing w:val="-2"/>
              </w:rPr>
              <w:t>根据国家发展和改革委员会《产业结构调整指导</w:t>
            </w:r>
            <w:r>
              <w:rPr>
                <w:spacing w:val="-3"/>
              </w:rPr>
              <w:t>目录（</w:t>
            </w:r>
            <w:r>
              <w:rPr>
                <w:rFonts w:ascii="Times New Roman" w:hAnsi="Times New Roman" w:eastAsia="Times New Roman" w:cs="Times New Roman"/>
                <w:spacing w:val="-3"/>
              </w:rPr>
              <w:t xml:space="preserve">2024 </w:t>
            </w:r>
            <w:r>
              <w:rPr>
                <w:spacing w:val="-3"/>
              </w:rPr>
              <w:t>年本）》，</w:t>
            </w:r>
            <w:r>
              <w:t xml:space="preserve"> </w:t>
            </w:r>
            <w:r>
              <w:rPr>
                <w:spacing w:val="-3"/>
              </w:rPr>
              <w:t>该项目属于鼓励类中“第五项，新能源</w:t>
            </w:r>
            <w:r>
              <w:rPr>
                <w:spacing w:val="-88"/>
              </w:rPr>
              <w:t xml:space="preserve"> </w:t>
            </w:r>
            <w:r>
              <w:rPr>
                <w:spacing w:val="-3"/>
              </w:rPr>
              <w:t>”中第</w:t>
            </w:r>
            <w:r>
              <w:rPr>
                <w:spacing w:val="-55"/>
              </w:rPr>
              <w:t xml:space="preserve"> </w:t>
            </w:r>
            <w:r>
              <w:rPr>
                <w:rFonts w:ascii="Times New Roman" w:hAnsi="Times New Roman" w:eastAsia="Times New Roman" w:cs="Times New Roman"/>
                <w:spacing w:val="-4"/>
              </w:rPr>
              <w:t xml:space="preserve">2 </w:t>
            </w:r>
            <w:r>
              <w:rPr>
                <w:spacing w:val="-4"/>
              </w:rPr>
              <w:t>条，“可再生能源利用技术</w:t>
            </w:r>
            <w:r>
              <w:t xml:space="preserve"> </w:t>
            </w:r>
            <w:r>
              <w:rPr>
                <w:spacing w:val="-2"/>
              </w:rPr>
              <w:t>与应用：太阳能热发电集热系统、高效率低成</w:t>
            </w:r>
            <w:r>
              <w:rPr>
                <w:spacing w:val="-3"/>
              </w:rPr>
              <w:t>本太阳能光伏发电技术研发与</w:t>
            </w:r>
            <w:r>
              <w:t xml:space="preserve"> </w:t>
            </w:r>
            <w:r>
              <w:rPr>
                <w:spacing w:val="-10"/>
              </w:rPr>
              <w:t>产业化、系统集成技术开发应用</w:t>
            </w:r>
            <w:r>
              <w:rPr>
                <w:spacing w:val="-79"/>
              </w:rPr>
              <w:t xml:space="preserve"> </w:t>
            </w:r>
            <w:r>
              <w:rPr>
                <w:spacing w:val="-10"/>
              </w:rPr>
              <w:t>”。属于《西部地区鼓励类产业目录》（</w:t>
            </w:r>
            <w:r>
              <w:rPr>
                <w:rFonts w:ascii="Times New Roman" w:hAnsi="Times New Roman" w:eastAsia="Times New Roman" w:cs="Times New Roman"/>
                <w:spacing w:val="-10"/>
              </w:rPr>
              <w:t>2025</w:t>
            </w:r>
            <w:r>
              <w:rPr>
                <w:rFonts w:ascii="Times New Roman" w:hAnsi="Times New Roman" w:eastAsia="Times New Roman" w:cs="Times New Roman"/>
              </w:rPr>
              <w:t xml:space="preserve">  </w:t>
            </w:r>
            <w:r>
              <w:rPr>
                <w:spacing w:val="-3"/>
              </w:rPr>
              <w:t>年）中云南地区鼓励类产业“</w:t>
            </w:r>
            <w:r>
              <w:rPr>
                <w:rFonts w:ascii="Times New Roman" w:hAnsi="Times New Roman" w:eastAsia="Times New Roman" w:cs="Times New Roman"/>
                <w:spacing w:val="-3"/>
              </w:rPr>
              <w:t>38</w:t>
            </w:r>
            <w:r>
              <w:rPr>
                <w:rFonts w:ascii="Times New Roman" w:hAnsi="Times New Roman" w:eastAsia="Times New Roman" w:cs="Times New Roman"/>
                <w:spacing w:val="-34"/>
              </w:rPr>
              <w:t xml:space="preserve"> </w:t>
            </w:r>
            <w:r>
              <w:rPr>
                <w:spacing w:val="-3"/>
              </w:rPr>
              <w:t>、风力、太阳能发电场建设及运营，</w:t>
            </w:r>
            <w:r>
              <w:rPr>
                <w:spacing w:val="-4"/>
              </w:rPr>
              <w:t>退役风</w:t>
            </w:r>
            <w:r>
              <w:t xml:space="preserve"> </w:t>
            </w:r>
            <w:r>
              <w:rPr>
                <w:spacing w:val="-3"/>
              </w:rPr>
              <w:t>电、光伏、光热、储能设备的回收利用</w:t>
            </w:r>
            <w:r>
              <w:rPr>
                <w:spacing w:val="-69"/>
              </w:rPr>
              <w:t xml:space="preserve"> </w:t>
            </w:r>
            <w:r>
              <w:rPr>
                <w:spacing w:val="-3"/>
              </w:rPr>
              <w:t>”。项目于</w:t>
            </w:r>
            <w:r>
              <w:rPr>
                <w:spacing w:val="-53"/>
              </w:rPr>
              <w:t xml:space="preserve"> </w:t>
            </w:r>
            <w:r>
              <w:rPr>
                <w:rFonts w:ascii="Times New Roman" w:hAnsi="Times New Roman" w:eastAsia="Times New Roman" w:cs="Times New Roman"/>
                <w:spacing w:val="-3"/>
              </w:rPr>
              <w:t xml:space="preserve">2022 </w:t>
            </w:r>
            <w:r>
              <w:rPr>
                <w:spacing w:val="-3"/>
              </w:rPr>
              <w:t>年</w:t>
            </w:r>
            <w:r>
              <w:rPr>
                <w:spacing w:val="-49"/>
              </w:rPr>
              <w:t xml:space="preserve"> </w:t>
            </w:r>
            <w:r>
              <w:rPr>
                <w:rFonts w:ascii="Times New Roman" w:hAnsi="Times New Roman" w:eastAsia="Times New Roman" w:cs="Times New Roman"/>
                <w:spacing w:val="-3"/>
              </w:rPr>
              <w:t>07</w:t>
            </w:r>
            <w:r>
              <w:rPr>
                <w:rFonts w:ascii="Times New Roman" w:hAnsi="Times New Roman" w:eastAsia="Times New Roman" w:cs="Times New Roman"/>
                <w:spacing w:val="15"/>
                <w:w w:val="101"/>
              </w:rPr>
              <w:t xml:space="preserve"> </w:t>
            </w:r>
            <w:r>
              <w:rPr>
                <w:spacing w:val="-3"/>
              </w:rPr>
              <w:t>月</w:t>
            </w:r>
            <w:r>
              <w:rPr>
                <w:spacing w:val="-49"/>
              </w:rPr>
              <w:t xml:space="preserve"> </w:t>
            </w:r>
            <w:r>
              <w:rPr>
                <w:rFonts w:ascii="Times New Roman" w:hAnsi="Times New Roman" w:eastAsia="Times New Roman" w:cs="Times New Roman"/>
                <w:spacing w:val="-3"/>
              </w:rPr>
              <w:t xml:space="preserve">06  </w:t>
            </w:r>
            <w:r>
              <w:rPr>
                <w:spacing w:val="-3"/>
              </w:rPr>
              <w:t>日经寻</w:t>
            </w:r>
            <w:r>
              <w:t xml:space="preserve"> </w:t>
            </w:r>
            <w:r>
              <w:rPr>
                <w:spacing w:val="-12"/>
              </w:rPr>
              <w:t>甸</w:t>
            </w:r>
            <w:r>
              <w:rPr>
                <w:spacing w:val="-25"/>
              </w:rPr>
              <w:t xml:space="preserve"> </w:t>
            </w:r>
            <w:r>
              <w:rPr>
                <w:spacing w:val="-12"/>
              </w:rPr>
              <w:t>回</w:t>
            </w:r>
            <w:r>
              <w:rPr>
                <w:spacing w:val="-58"/>
              </w:rPr>
              <w:t xml:space="preserve"> </w:t>
            </w:r>
            <w:r>
              <w:rPr>
                <w:spacing w:val="-12"/>
              </w:rPr>
              <w:t>族</w:t>
            </w:r>
            <w:r>
              <w:rPr>
                <w:spacing w:val="-51"/>
              </w:rPr>
              <w:t xml:space="preserve"> </w:t>
            </w:r>
            <w:r>
              <w:rPr>
                <w:spacing w:val="-12"/>
              </w:rPr>
              <w:t>彝</w:t>
            </w:r>
            <w:r>
              <w:rPr>
                <w:spacing w:val="-59"/>
              </w:rPr>
              <w:t xml:space="preserve"> </w:t>
            </w:r>
            <w:r>
              <w:rPr>
                <w:spacing w:val="-12"/>
              </w:rPr>
              <w:t>族 自</w:t>
            </w:r>
            <w:r>
              <w:rPr>
                <w:spacing w:val="-52"/>
              </w:rPr>
              <w:t xml:space="preserve"> </w:t>
            </w:r>
            <w:r>
              <w:rPr>
                <w:spacing w:val="-12"/>
              </w:rPr>
              <w:t>治</w:t>
            </w:r>
            <w:r>
              <w:rPr>
                <w:spacing w:val="-57"/>
              </w:rPr>
              <w:t xml:space="preserve"> </w:t>
            </w:r>
            <w:r>
              <w:rPr>
                <w:spacing w:val="-12"/>
              </w:rPr>
              <w:t>县</w:t>
            </w:r>
            <w:r>
              <w:rPr>
                <w:spacing w:val="-54"/>
              </w:rPr>
              <w:t xml:space="preserve"> </w:t>
            </w:r>
            <w:r>
              <w:rPr>
                <w:spacing w:val="-12"/>
              </w:rPr>
              <w:t>发</w:t>
            </w:r>
            <w:r>
              <w:rPr>
                <w:spacing w:val="-56"/>
              </w:rPr>
              <w:t xml:space="preserve"> </w:t>
            </w:r>
            <w:r>
              <w:rPr>
                <w:spacing w:val="-12"/>
              </w:rPr>
              <w:t>展</w:t>
            </w:r>
            <w:r>
              <w:rPr>
                <w:spacing w:val="-56"/>
              </w:rPr>
              <w:t xml:space="preserve"> </w:t>
            </w:r>
            <w:r>
              <w:rPr>
                <w:spacing w:val="-12"/>
              </w:rPr>
              <w:t>和改</w:t>
            </w:r>
            <w:r>
              <w:rPr>
                <w:spacing w:val="-60"/>
              </w:rPr>
              <w:t xml:space="preserve"> </w:t>
            </w:r>
            <w:r>
              <w:rPr>
                <w:spacing w:val="-12"/>
              </w:rPr>
              <w:t>革</w:t>
            </w:r>
            <w:r>
              <w:rPr>
                <w:spacing w:val="-55"/>
              </w:rPr>
              <w:t xml:space="preserve"> </w:t>
            </w:r>
            <w:r>
              <w:rPr>
                <w:spacing w:val="-12"/>
              </w:rPr>
              <w:t>局</w:t>
            </w:r>
            <w:r>
              <w:rPr>
                <w:spacing w:val="-58"/>
              </w:rPr>
              <w:t xml:space="preserve"> </w:t>
            </w:r>
            <w:r>
              <w:rPr>
                <w:spacing w:val="-12"/>
              </w:rPr>
              <w:t>批</w:t>
            </w:r>
            <w:r>
              <w:rPr>
                <w:spacing w:val="-56"/>
              </w:rPr>
              <w:t xml:space="preserve"> </w:t>
            </w:r>
            <w:r>
              <w:rPr>
                <w:spacing w:val="-12"/>
              </w:rPr>
              <w:t>准</w:t>
            </w:r>
            <w:r>
              <w:rPr>
                <w:spacing w:val="-53"/>
              </w:rPr>
              <w:t xml:space="preserve"> </w:t>
            </w:r>
            <w:r>
              <w:rPr>
                <w:spacing w:val="-12"/>
              </w:rPr>
              <w:t>登</w:t>
            </w:r>
            <w:r>
              <w:rPr>
                <w:spacing w:val="-59"/>
              </w:rPr>
              <w:t xml:space="preserve"> </w:t>
            </w:r>
            <w:r>
              <w:rPr>
                <w:spacing w:val="-12"/>
              </w:rPr>
              <w:t>记</w:t>
            </w:r>
            <w:r>
              <w:rPr>
                <w:spacing w:val="-55"/>
              </w:rPr>
              <w:t xml:space="preserve"> </w:t>
            </w:r>
            <w:r>
              <w:rPr>
                <w:spacing w:val="-12"/>
              </w:rPr>
              <w:t>备</w:t>
            </w:r>
            <w:r>
              <w:rPr>
                <w:spacing w:val="-56"/>
              </w:rPr>
              <w:t xml:space="preserve"> </w:t>
            </w:r>
            <w:r>
              <w:rPr>
                <w:spacing w:val="-12"/>
              </w:rPr>
              <w:t>案</w:t>
            </w:r>
            <w:r>
              <w:rPr>
                <w:spacing w:val="-38"/>
              </w:rPr>
              <w:t xml:space="preserve"> </w:t>
            </w:r>
            <w:r>
              <w:rPr>
                <w:spacing w:val="-12"/>
              </w:rPr>
              <w:t>，</w:t>
            </w:r>
            <w:r>
              <w:rPr>
                <w:spacing w:val="-53"/>
              </w:rPr>
              <w:t xml:space="preserve"> </w:t>
            </w:r>
            <w:r>
              <w:rPr>
                <w:spacing w:val="-12"/>
              </w:rPr>
              <w:t>登</w:t>
            </w:r>
            <w:r>
              <w:rPr>
                <w:spacing w:val="-59"/>
              </w:rPr>
              <w:t xml:space="preserve"> </w:t>
            </w:r>
            <w:r>
              <w:rPr>
                <w:spacing w:val="-12"/>
              </w:rPr>
              <w:t>记</w:t>
            </w:r>
            <w:r>
              <w:rPr>
                <w:spacing w:val="-55"/>
              </w:rPr>
              <w:t xml:space="preserve"> </w:t>
            </w:r>
            <w:r>
              <w:rPr>
                <w:spacing w:val="-12"/>
              </w:rPr>
              <w:t>备</w:t>
            </w:r>
            <w:r>
              <w:rPr>
                <w:spacing w:val="-56"/>
              </w:rPr>
              <w:t xml:space="preserve"> </w:t>
            </w:r>
            <w:r>
              <w:rPr>
                <w:spacing w:val="-12"/>
              </w:rPr>
              <w:t>案</w:t>
            </w:r>
            <w:r>
              <w:rPr>
                <w:spacing w:val="-52"/>
              </w:rPr>
              <w:t xml:space="preserve"> </w:t>
            </w:r>
            <w:r>
              <w:rPr>
                <w:spacing w:val="-12"/>
              </w:rPr>
              <w:t>号</w:t>
            </w:r>
            <w:r>
              <w:rPr>
                <w:spacing w:val="-40"/>
              </w:rPr>
              <w:t xml:space="preserve"> </w:t>
            </w:r>
            <w:r>
              <w:rPr>
                <w:spacing w:val="-12"/>
              </w:rPr>
              <w:t>：</w:t>
            </w:r>
            <w:r>
              <w:t xml:space="preserve"> </w:t>
            </w:r>
            <w:r>
              <w:rPr>
                <w:rFonts w:ascii="Times New Roman" w:hAnsi="Times New Roman" w:eastAsia="Times New Roman" w:cs="Times New Roman"/>
                <w:spacing w:val="-1"/>
              </w:rPr>
              <w:t>2207-530129-04-01-42912</w:t>
            </w:r>
            <w:r>
              <w:rPr>
                <w:rFonts w:ascii="Times New Roman" w:hAnsi="Times New Roman" w:eastAsia="Times New Roman" w:cs="Times New Roman"/>
                <w:spacing w:val="-27"/>
              </w:rPr>
              <w:t xml:space="preserve"> </w:t>
            </w:r>
            <w:r>
              <w:rPr>
                <w:spacing w:val="-1"/>
              </w:rPr>
              <w:t>。因此，该项目符合国家产业</w:t>
            </w:r>
            <w:r>
              <w:rPr>
                <w:spacing w:val="-2"/>
              </w:rPr>
              <w:t>政策。</w:t>
            </w:r>
          </w:p>
          <w:p w14:paraId="23038585">
            <w:pPr>
              <w:pStyle w:val="6"/>
              <w:spacing w:before="33" w:line="219" w:lineRule="auto"/>
              <w:ind w:left="586"/>
            </w:pPr>
            <w:r>
              <w:rPr>
                <w:rFonts w:ascii="Times New Roman" w:hAnsi="Times New Roman" w:eastAsia="Times New Roman" w:cs="Times New Roman"/>
                <w:b/>
                <w:bCs/>
                <w:spacing w:val="-4"/>
              </w:rPr>
              <w:t>2</w:t>
            </w:r>
            <w:r>
              <w:rPr>
                <w:rFonts w:ascii="Times New Roman" w:hAnsi="Times New Roman" w:eastAsia="Times New Roman" w:cs="Times New Roman"/>
                <w:b/>
                <w:bCs/>
                <w:spacing w:val="-24"/>
              </w:rPr>
              <w:t xml:space="preserve"> </w:t>
            </w:r>
            <w:r>
              <w:rPr>
                <w:b/>
                <w:bCs/>
                <w:spacing w:val="-4"/>
              </w:rPr>
              <w:t>、与昆明市分区管控要求的符合性分析</w:t>
            </w:r>
          </w:p>
        </w:tc>
      </w:tr>
    </w:tbl>
    <w:p w14:paraId="5E14EC02">
      <w:pPr>
        <w:rPr>
          <w:rFonts w:ascii="Arial"/>
          <w:sz w:val="21"/>
        </w:rPr>
      </w:pPr>
    </w:p>
    <w:p w14:paraId="7F8A1CAA">
      <w:pPr>
        <w:rPr>
          <w:rFonts w:ascii="Arial" w:hAnsi="Arial" w:eastAsia="Arial" w:cs="Arial"/>
          <w:sz w:val="21"/>
          <w:szCs w:val="21"/>
        </w:rPr>
        <w:sectPr>
          <w:footerReference r:id="rId13" w:type="default"/>
          <w:pgSz w:w="11906" w:h="16839"/>
          <w:pgMar w:top="1431" w:right="1407" w:bottom="1276" w:left="1407" w:header="0" w:footer="1116" w:gutter="0"/>
          <w:cols w:space="720" w:num="1"/>
        </w:sectPr>
      </w:pPr>
    </w:p>
    <w:p w14:paraId="7EB1991A">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13024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34" w:hRule="atLeast"/>
        </w:trPr>
        <w:tc>
          <w:tcPr>
            <w:tcW w:w="1014" w:type="dxa"/>
            <w:tcBorders>
              <w:bottom w:val="single" w:color="000000" w:sz="4" w:space="0"/>
              <w:right w:val="single" w:color="000000" w:sz="2" w:space="0"/>
            </w:tcBorders>
            <w:vAlign w:val="top"/>
          </w:tcPr>
          <w:p w14:paraId="2F4BEE81">
            <w:pPr>
              <w:rPr>
                <w:rFonts w:ascii="Arial"/>
                <w:sz w:val="21"/>
              </w:rPr>
            </w:pPr>
          </w:p>
        </w:tc>
        <w:tc>
          <w:tcPr>
            <w:tcW w:w="8062" w:type="dxa"/>
            <w:tcBorders>
              <w:left w:val="single" w:color="000000" w:sz="2" w:space="0"/>
              <w:bottom w:val="single" w:color="000000" w:sz="4" w:space="0"/>
            </w:tcBorders>
            <w:vAlign w:val="top"/>
          </w:tcPr>
          <w:p w14:paraId="58B58603">
            <w:pPr>
              <w:pStyle w:val="6"/>
              <w:spacing w:before="183" w:line="402" w:lineRule="auto"/>
              <w:ind w:left="108" w:firstLine="470"/>
              <w:rPr>
                <w:sz w:val="20"/>
                <w:szCs w:val="20"/>
              </w:rPr>
            </w:pPr>
            <w:r>
              <w:rPr>
                <w:rFonts w:ascii="Times New Roman" w:hAnsi="Times New Roman" w:eastAsia="Times New Roman" w:cs="Times New Roman"/>
                <w:spacing w:val="3"/>
                <w:sz w:val="20"/>
                <w:szCs w:val="20"/>
              </w:rPr>
              <w:t xml:space="preserve">2024 </w:t>
            </w:r>
            <w:r>
              <w:rPr>
                <w:spacing w:val="3"/>
                <w:sz w:val="20"/>
                <w:szCs w:val="20"/>
              </w:rPr>
              <w:t>年</w:t>
            </w:r>
            <w:r>
              <w:rPr>
                <w:spacing w:val="-22"/>
                <w:sz w:val="20"/>
                <w:szCs w:val="20"/>
              </w:rPr>
              <w:t xml:space="preserve"> </w:t>
            </w:r>
            <w:r>
              <w:rPr>
                <w:rFonts w:ascii="Times New Roman" w:hAnsi="Times New Roman" w:eastAsia="Times New Roman" w:cs="Times New Roman"/>
                <w:spacing w:val="3"/>
                <w:sz w:val="20"/>
                <w:szCs w:val="20"/>
              </w:rPr>
              <w:t xml:space="preserve">11 </w:t>
            </w:r>
            <w:r>
              <w:rPr>
                <w:spacing w:val="3"/>
                <w:sz w:val="20"/>
                <w:szCs w:val="20"/>
              </w:rPr>
              <w:t>月</w:t>
            </w:r>
            <w:r>
              <w:rPr>
                <w:spacing w:val="-24"/>
                <w:sz w:val="20"/>
                <w:szCs w:val="20"/>
              </w:rPr>
              <w:t xml:space="preserve"> </w:t>
            </w:r>
            <w:r>
              <w:rPr>
                <w:rFonts w:ascii="Times New Roman" w:hAnsi="Times New Roman" w:eastAsia="Times New Roman" w:cs="Times New Roman"/>
                <w:spacing w:val="3"/>
                <w:sz w:val="20"/>
                <w:szCs w:val="20"/>
              </w:rPr>
              <w:t xml:space="preserve">12  </w:t>
            </w:r>
            <w:r>
              <w:rPr>
                <w:spacing w:val="3"/>
                <w:sz w:val="20"/>
                <w:szCs w:val="20"/>
              </w:rPr>
              <w:t>日，昆明市生态环境局发布关于</w:t>
            </w:r>
            <w:r>
              <w:rPr>
                <w:spacing w:val="2"/>
                <w:sz w:val="20"/>
                <w:szCs w:val="20"/>
              </w:rPr>
              <w:t>印发《昆明市生态环境分区管控</w:t>
            </w:r>
            <w:r>
              <w:rPr>
                <w:sz w:val="20"/>
                <w:szCs w:val="20"/>
              </w:rPr>
              <w:t xml:space="preserve">   </w:t>
            </w:r>
            <w:r>
              <w:rPr>
                <w:spacing w:val="8"/>
                <w:sz w:val="20"/>
                <w:szCs w:val="20"/>
              </w:rPr>
              <w:t>动态更新方案（</w:t>
            </w:r>
            <w:r>
              <w:rPr>
                <w:rFonts w:ascii="Times New Roman" w:hAnsi="Times New Roman" w:eastAsia="Times New Roman" w:cs="Times New Roman"/>
                <w:spacing w:val="8"/>
                <w:sz w:val="20"/>
                <w:szCs w:val="20"/>
              </w:rPr>
              <w:t>2023</w:t>
            </w:r>
            <w:r>
              <w:rPr>
                <w:spacing w:val="8"/>
                <w:sz w:val="20"/>
                <w:szCs w:val="20"/>
              </w:rPr>
              <w:t>年）》通知，本次动态更新重点内容为充分衔接</w:t>
            </w:r>
            <w:r>
              <w:rPr>
                <w:spacing w:val="7"/>
                <w:sz w:val="20"/>
                <w:szCs w:val="20"/>
              </w:rPr>
              <w:t>昆明市“十四五</w:t>
            </w:r>
            <w:r>
              <w:rPr>
                <w:spacing w:val="-70"/>
                <w:sz w:val="20"/>
                <w:szCs w:val="20"/>
              </w:rPr>
              <w:t xml:space="preserve"> </w:t>
            </w:r>
            <w:r>
              <w:rPr>
                <w:spacing w:val="7"/>
                <w:sz w:val="20"/>
                <w:szCs w:val="20"/>
              </w:rPr>
              <w:t>”</w:t>
            </w:r>
            <w:r>
              <w:rPr>
                <w:sz w:val="20"/>
                <w:szCs w:val="20"/>
              </w:rPr>
              <w:t xml:space="preserve"> </w:t>
            </w:r>
            <w:r>
              <w:rPr>
                <w:spacing w:val="6"/>
                <w:sz w:val="20"/>
                <w:szCs w:val="20"/>
              </w:rPr>
              <w:t>相关规划要求、</w:t>
            </w:r>
            <w:r>
              <w:rPr>
                <w:spacing w:val="-58"/>
                <w:sz w:val="20"/>
                <w:szCs w:val="20"/>
              </w:rPr>
              <w:t xml:space="preserve"> </w:t>
            </w:r>
            <w:r>
              <w:rPr>
                <w:spacing w:val="6"/>
                <w:sz w:val="20"/>
                <w:szCs w:val="20"/>
              </w:rPr>
              <w:t>昆明市国土空间总体规划（</w:t>
            </w:r>
            <w:r>
              <w:rPr>
                <w:rFonts w:ascii="Times New Roman" w:hAnsi="Times New Roman" w:eastAsia="Times New Roman" w:cs="Times New Roman"/>
                <w:spacing w:val="6"/>
                <w:sz w:val="20"/>
                <w:szCs w:val="20"/>
              </w:rPr>
              <w:t>20</w:t>
            </w:r>
            <w:r>
              <w:rPr>
                <w:rFonts w:ascii="Times New Roman" w:hAnsi="Times New Roman" w:eastAsia="Times New Roman" w:cs="Times New Roman"/>
                <w:spacing w:val="5"/>
                <w:sz w:val="20"/>
                <w:szCs w:val="20"/>
              </w:rPr>
              <w:t xml:space="preserve">21-2035 </w:t>
            </w:r>
            <w:r>
              <w:rPr>
                <w:spacing w:val="5"/>
                <w:sz w:val="20"/>
                <w:szCs w:val="20"/>
              </w:rPr>
              <w:t>年</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3"/>
                <w:sz w:val="20"/>
                <w:szCs w:val="20"/>
              </w:rPr>
              <w:t xml:space="preserve"> </w:t>
            </w:r>
            <w:r>
              <w:rPr>
                <w:spacing w:val="5"/>
                <w:sz w:val="20"/>
                <w:szCs w:val="20"/>
              </w:rPr>
              <w:t>、</w:t>
            </w:r>
            <w:r>
              <w:rPr>
                <w:spacing w:val="-50"/>
                <w:sz w:val="20"/>
                <w:szCs w:val="20"/>
              </w:rPr>
              <w:t xml:space="preserve"> </w:t>
            </w:r>
            <w:r>
              <w:rPr>
                <w:spacing w:val="5"/>
                <w:sz w:val="20"/>
                <w:szCs w:val="20"/>
              </w:rPr>
              <w:t>自然保护地优化整合优化</w:t>
            </w:r>
            <w:r>
              <w:rPr>
                <w:sz w:val="20"/>
                <w:szCs w:val="20"/>
              </w:rPr>
              <w:t xml:space="preserve">   </w:t>
            </w:r>
            <w:r>
              <w:rPr>
                <w:spacing w:val="1"/>
                <w:sz w:val="20"/>
                <w:szCs w:val="20"/>
              </w:rPr>
              <w:t>方案、滇池及阳宗海“两线三区</w:t>
            </w:r>
            <w:r>
              <w:rPr>
                <w:spacing w:val="-71"/>
                <w:sz w:val="20"/>
                <w:szCs w:val="20"/>
              </w:rPr>
              <w:t xml:space="preserve"> </w:t>
            </w:r>
            <w:r>
              <w:rPr>
                <w:spacing w:val="1"/>
                <w:sz w:val="20"/>
                <w:szCs w:val="20"/>
              </w:rPr>
              <w:t>”划定成果等及“十四五</w:t>
            </w:r>
            <w:r>
              <w:rPr>
                <w:spacing w:val="-72"/>
                <w:sz w:val="20"/>
                <w:szCs w:val="20"/>
              </w:rPr>
              <w:t xml:space="preserve"> </w:t>
            </w:r>
            <w:r>
              <w:rPr>
                <w:spacing w:val="1"/>
                <w:sz w:val="20"/>
                <w:szCs w:val="20"/>
              </w:rPr>
              <w:t>”以</w:t>
            </w:r>
            <w:r>
              <w:rPr>
                <w:sz w:val="20"/>
                <w:szCs w:val="20"/>
              </w:rPr>
              <w:t>来相关管控要求，以</w:t>
            </w:r>
            <w:r>
              <w:rPr>
                <w:spacing w:val="-44"/>
                <w:sz w:val="20"/>
                <w:szCs w:val="20"/>
              </w:rPr>
              <w:t xml:space="preserve"> </w:t>
            </w:r>
            <w:r>
              <w:rPr>
                <w:rFonts w:ascii="Times New Roman" w:hAnsi="Times New Roman" w:eastAsia="Times New Roman" w:cs="Times New Roman"/>
                <w:sz w:val="20"/>
                <w:szCs w:val="20"/>
              </w:rPr>
              <w:t xml:space="preserve">2022     </w:t>
            </w:r>
            <w:r>
              <w:rPr>
                <w:spacing w:val="9"/>
                <w:sz w:val="20"/>
                <w:szCs w:val="20"/>
              </w:rPr>
              <w:t>年数据为基础，按照生态功能不降低、环境质量不下降、资源环境承载能力不突破的</w:t>
            </w:r>
            <w:r>
              <w:rPr>
                <w:spacing w:val="1"/>
                <w:sz w:val="20"/>
                <w:szCs w:val="20"/>
              </w:rPr>
              <w:t xml:space="preserve">   </w:t>
            </w:r>
            <w:r>
              <w:rPr>
                <w:spacing w:val="8"/>
                <w:sz w:val="20"/>
                <w:szCs w:val="20"/>
              </w:rPr>
              <w:t>原则编制完成。整体上，</w:t>
            </w:r>
            <w:r>
              <w:rPr>
                <w:spacing w:val="-58"/>
                <w:sz w:val="20"/>
                <w:szCs w:val="20"/>
              </w:rPr>
              <w:t xml:space="preserve"> </w:t>
            </w:r>
            <w:r>
              <w:rPr>
                <w:spacing w:val="8"/>
                <w:sz w:val="20"/>
                <w:szCs w:val="20"/>
              </w:rPr>
              <w:t>昆明市优先保护单元的空间格局保持基本稳定，重点管控单</w:t>
            </w:r>
            <w:r>
              <w:rPr>
                <w:sz w:val="20"/>
                <w:szCs w:val="20"/>
              </w:rPr>
              <w:t xml:space="preserve">   </w:t>
            </w:r>
            <w:r>
              <w:rPr>
                <w:spacing w:val="9"/>
                <w:sz w:val="20"/>
                <w:szCs w:val="20"/>
              </w:rPr>
              <w:t>元的空间格局与环境治理格局匹配，生态环境准入清单管理要求在保持延续性的基础</w:t>
            </w:r>
            <w:r>
              <w:rPr>
                <w:spacing w:val="1"/>
                <w:sz w:val="20"/>
                <w:szCs w:val="20"/>
              </w:rPr>
              <w:t xml:space="preserve">   </w:t>
            </w:r>
            <w:r>
              <w:rPr>
                <w:spacing w:val="5"/>
                <w:sz w:val="20"/>
                <w:szCs w:val="20"/>
              </w:rPr>
              <w:t>上进行补充调整。</w:t>
            </w:r>
          </w:p>
          <w:p w14:paraId="4A69EB79">
            <w:pPr>
              <w:pStyle w:val="6"/>
              <w:spacing w:before="36" w:line="399" w:lineRule="auto"/>
              <w:ind w:left="109" w:right="102" w:firstLine="479"/>
              <w:jc w:val="both"/>
              <w:rPr>
                <w:sz w:val="20"/>
                <w:szCs w:val="20"/>
              </w:rPr>
            </w:pPr>
            <w:r>
              <w:rPr>
                <w:spacing w:val="10"/>
                <w:sz w:val="20"/>
                <w:szCs w:val="20"/>
              </w:rPr>
              <w:t>根据使用建设单位提供的项目用地范围矢量文件在云南省分区管控单元查询网站</w:t>
            </w:r>
            <w:r>
              <w:rPr>
                <w:spacing w:val="8"/>
                <w:sz w:val="20"/>
                <w:szCs w:val="20"/>
              </w:rPr>
              <w:t xml:space="preserve"> </w:t>
            </w:r>
            <w:r>
              <w:rPr>
                <w:spacing w:val="6"/>
                <w:sz w:val="20"/>
                <w:szCs w:val="20"/>
              </w:rPr>
              <w:t>（</w:t>
            </w:r>
            <w:r>
              <w:rPr>
                <w:rFonts w:ascii="Times New Roman" w:hAnsi="Times New Roman" w:eastAsia="Times New Roman" w:cs="Times New Roman"/>
                <w:sz w:val="20"/>
                <w:szCs w:val="20"/>
              </w:rPr>
              <w:t>http</w:t>
            </w:r>
            <w:r>
              <w:rPr>
                <w:rFonts w:ascii="Times New Roman" w:hAnsi="Times New Roman" w:eastAsia="Times New Roman" w:cs="Times New Roman"/>
                <w:spacing w:val="6"/>
                <w:sz w:val="20"/>
                <w:szCs w:val="20"/>
              </w:rPr>
              <w:t>://</w:t>
            </w:r>
            <w:r>
              <w:fldChar w:fldCharType="begin"/>
            </w:r>
            <w:r>
              <w:instrText xml:space="preserve"> HYPERLINK "183.224.17.39" </w:instrText>
            </w:r>
            <w:r>
              <w:fldChar w:fldCharType="separate"/>
            </w:r>
            <w:r>
              <w:rPr>
                <w:rFonts w:ascii="Times New Roman" w:hAnsi="Times New Roman" w:eastAsia="Times New Roman" w:cs="Times New Roman"/>
                <w:spacing w:val="6"/>
                <w:sz w:val="20"/>
                <w:szCs w:val="20"/>
              </w:rPr>
              <w:t>183.224.17.39</w:t>
            </w:r>
            <w:r>
              <w:rPr>
                <w:rFonts w:ascii="Times New Roman" w:hAnsi="Times New Roman" w:eastAsia="Times New Roman" w:cs="Times New Roman"/>
                <w:spacing w:val="6"/>
                <w:sz w:val="20"/>
                <w:szCs w:val="20"/>
              </w:rPr>
              <w:fldChar w:fldCharType="end"/>
            </w:r>
            <w:r>
              <w:rPr>
                <w:rFonts w:ascii="Times New Roman" w:hAnsi="Times New Roman" w:eastAsia="Times New Roman" w:cs="Times New Roman"/>
                <w:spacing w:val="6"/>
                <w:sz w:val="20"/>
                <w:szCs w:val="20"/>
              </w:rPr>
              <w:t>:19</w:t>
            </w:r>
            <w:r>
              <w:rPr>
                <w:rFonts w:ascii="Times New Roman" w:hAnsi="Times New Roman" w:eastAsia="Times New Roman" w:cs="Times New Roman"/>
                <w:spacing w:val="5"/>
                <w:sz w:val="20"/>
                <w:szCs w:val="20"/>
              </w:rPr>
              <w:t>272/</w:t>
            </w:r>
            <w:r>
              <w:rPr>
                <w:rFonts w:ascii="Times New Roman" w:hAnsi="Times New Roman" w:eastAsia="Times New Roman" w:cs="Times New Roman"/>
                <w:sz w:val="20"/>
                <w:szCs w:val="20"/>
              </w:rPr>
              <w:t>sxydyn</w:t>
            </w:r>
            <w:r>
              <w:rPr>
                <w:rFonts w:ascii="Times New Roman" w:hAnsi="Times New Roman" w:eastAsia="Times New Roman" w:cs="Times New Roman"/>
                <w:spacing w:val="5"/>
                <w:sz w:val="20"/>
                <w:szCs w:val="20"/>
              </w:rPr>
              <w:t>#</w:t>
            </w:r>
            <w:r>
              <w:rPr>
                <w:spacing w:val="5"/>
                <w:sz w:val="20"/>
                <w:szCs w:val="20"/>
              </w:rPr>
              <w:t>）上的查询结果及昆明市生态环境局寻甸分局</w:t>
            </w:r>
            <w:r>
              <w:rPr>
                <w:spacing w:val="-43"/>
                <w:sz w:val="20"/>
                <w:szCs w:val="20"/>
              </w:rPr>
              <w:t xml:space="preserve"> </w:t>
            </w:r>
            <w:r>
              <w:rPr>
                <w:rFonts w:ascii="Times New Roman" w:hAnsi="Times New Roman" w:eastAsia="Times New Roman" w:cs="Times New Roman"/>
                <w:spacing w:val="5"/>
                <w:sz w:val="20"/>
                <w:szCs w:val="20"/>
              </w:rPr>
              <w:t>2025</w:t>
            </w:r>
            <w:r>
              <w:rPr>
                <w:rFonts w:ascii="Times New Roman" w:hAnsi="Times New Roman" w:eastAsia="Times New Roman" w:cs="Times New Roman"/>
                <w:sz w:val="20"/>
                <w:szCs w:val="20"/>
              </w:rPr>
              <w:t xml:space="preserve"> </w:t>
            </w:r>
            <w:r>
              <w:rPr>
                <w:spacing w:val="7"/>
                <w:sz w:val="20"/>
                <w:szCs w:val="20"/>
              </w:rPr>
              <w:t>年</w:t>
            </w:r>
            <w:r>
              <w:rPr>
                <w:spacing w:val="-43"/>
                <w:sz w:val="20"/>
                <w:szCs w:val="20"/>
              </w:rPr>
              <w:t xml:space="preserve">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8"/>
                <w:sz w:val="20"/>
                <w:szCs w:val="20"/>
              </w:rPr>
              <w:t xml:space="preserve"> </w:t>
            </w:r>
            <w:r>
              <w:rPr>
                <w:spacing w:val="7"/>
                <w:sz w:val="20"/>
                <w:szCs w:val="20"/>
              </w:rPr>
              <w:t>月</w:t>
            </w:r>
            <w:r>
              <w:rPr>
                <w:spacing w:val="-43"/>
                <w:sz w:val="20"/>
                <w:szCs w:val="20"/>
              </w:rPr>
              <w:t xml:space="preserve"> </w:t>
            </w:r>
            <w:r>
              <w:rPr>
                <w:rFonts w:ascii="Times New Roman" w:hAnsi="Times New Roman" w:eastAsia="Times New Roman" w:cs="Times New Roman"/>
                <w:spacing w:val="7"/>
                <w:sz w:val="20"/>
                <w:szCs w:val="20"/>
              </w:rPr>
              <w:t>20</w:t>
            </w:r>
            <w:r>
              <w:rPr>
                <w:rFonts w:ascii="Times New Roman" w:hAnsi="Times New Roman" w:eastAsia="Times New Roman" w:cs="Times New Roman"/>
                <w:spacing w:val="45"/>
                <w:w w:val="101"/>
                <w:sz w:val="20"/>
                <w:szCs w:val="20"/>
              </w:rPr>
              <w:t xml:space="preserve"> </w:t>
            </w:r>
            <w:r>
              <w:rPr>
                <w:spacing w:val="7"/>
                <w:sz w:val="20"/>
                <w:szCs w:val="20"/>
              </w:rPr>
              <w:t>日出具的“关于化桃箐光伏发电项目初步选址涉及生态环</w:t>
            </w:r>
            <w:r>
              <w:rPr>
                <w:spacing w:val="6"/>
                <w:sz w:val="20"/>
                <w:szCs w:val="20"/>
              </w:rPr>
              <w:t>境分区管控单元的</w:t>
            </w:r>
            <w:r>
              <w:rPr>
                <w:sz w:val="20"/>
                <w:szCs w:val="20"/>
              </w:rPr>
              <w:t xml:space="preserve"> </w:t>
            </w:r>
            <w:r>
              <w:rPr>
                <w:spacing w:val="11"/>
                <w:sz w:val="20"/>
                <w:szCs w:val="20"/>
              </w:rPr>
              <w:t>意见</w:t>
            </w:r>
            <w:r>
              <w:rPr>
                <w:spacing w:val="-70"/>
                <w:sz w:val="20"/>
                <w:szCs w:val="20"/>
              </w:rPr>
              <w:t xml:space="preserve"> </w:t>
            </w:r>
            <w:r>
              <w:rPr>
                <w:spacing w:val="11"/>
                <w:sz w:val="20"/>
                <w:szCs w:val="20"/>
              </w:rPr>
              <w:t>”，项目用地涉及寻甸回族彝族自治县一般管控单元及一般生态空间优先保护单</w:t>
            </w:r>
            <w:r>
              <w:rPr>
                <w:sz w:val="20"/>
                <w:szCs w:val="20"/>
              </w:rPr>
              <w:t xml:space="preserve"> 元。</w:t>
            </w:r>
          </w:p>
          <w:p w14:paraId="0BB06BAE">
            <w:pPr>
              <w:pStyle w:val="6"/>
              <w:spacing w:before="38" w:line="393" w:lineRule="auto"/>
              <w:ind w:left="110" w:right="103" w:firstLine="481"/>
              <w:rPr>
                <w:sz w:val="20"/>
                <w:szCs w:val="20"/>
              </w:rPr>
            </w:pPr>
            <w:r>
              <w:rPr>
                <w:spacing w:val="8"/>
                <w:sz w:val="20"/>
                <w:szCs w:val="20"/>
              </w:rPr>
              <w:t>项目与《昆明市生态环境分区管控动态更新方案（</w:t>
            </w:r>
            <w:r>
              <w:rPr>
                <w:rFonts w:ascii="Times New Roman" w:hAnsi="Times New Roman" w:eastAsia="Times New Roman" w:cs="Times New Roman"/>
                <w:spacing w:val="8"/>
                <w:sz w:val="20"/>
                <w:szCs w:val="20"/>
              </w:rPr>
              <w:t xml:space="preserve">2023 </w:t>
            </w:r>
            <w:r>
              <w:rPr>
                <w:spacing w:val="8"/>
                <w:sz w:val="20"/>
                <w:szCs w:val="20"/>
              </w:rPr>
              <w:t>年）》总体意见符合性分</w:t>
            </w:r>
            <w:r>
              <w:rPr>
                <w:sz w:val="20"/>
                <w:szCs w:val="20"/>
              </w:rPr>
              <w:t xml:space="preserve"> </w:t>
            </w:r>
            <w:r>
              <w:rPr>
                <w:spacing w:val="6"/>
                <w:sz w:val="20"/>
                <w:szCs w:val="20"/>
              </w:rPr>
              <w:t>析见</w:t>
            </w:r>
            <w:r>
              <w:rPr>
                <w:spacing w:val="-23"/>
                <w:sz w:val="20"/>
                <w:szCs w:val="20"/>
              </w:rPr>
              <w:t xml:space="preserve"> </w:t>
            </w:r>
            <w:r>
              <w:rPr>
                <w:rFonts w:ascii="Times New Roman" w:hAnsi="Times New Roman" w:eastAsia="Times New Roman" w:cs="Times New Roman"/>
                <w:spacing w:val="6"/>
                <w:sz w:val="20"/>
                <w:szCs w:val="20"/>
              </w:rPr>
              <w:t xml:space="preserve">1-3 </w:t>
            </w:r>
            <w:r>
              <w:rPr>
                <w:spacing w:val="6"/>
                <w:sz w:val="20"/>
                <w:szCs w:val="20"/>
              </w:rPr>
              <w:t>所示，与寻甸县一般管控单元管控要求符合性分析见表</w:t>
            </w:r>
            <w:r>
              <w:rPr>
                <w:spacing w:val="-22"/>
                <w:sz w:val="20"/>
                <w:szCs w:val="20"/>
              </w:rPr>
              <w:t xml:space="preserve"> </w:t>
            </w:r>
            <w:r>
              <w:rPr>
                <w:rFonts w:ascii="Times New Roman" w:hAnsi="Times New Roman" w:eastAsia="Times New Roman" w:cs="Times New Roman"/>
                <w:spacing w:val="6"/>
                <w:sz w:val="20"/>
                <w:szCs w:val="20"/>
              </w:rPr>
              <w:t xml:space="preserve">1-4 </w:t>
            </w:r>
            <w:r>
              <w:rPr>
                <w:spacing w:val="6"/>
                <w:sz w:val="20"/>
                <w:szCs w:val="20"/>
              </w:rPr>
              <w:t>所示，与寻</w:t>
            </w:r>
            <w:r>
              <w:rPr>
                <w:spacing w:val="5"/>
                <w:sz w:val="20"/>
                <w:szCs w:val="20"/>
              </w:rPr>
              <w:t>甸县一</w:t>
            </w:r>
          </w:p>
          <w:p w14:paraId="021F8445">
            <w:pPr>
              <w:pStyle w:val="6"/>
              <w:spacing w:before="28" w:line="228" w:lineRule="auto"/>
              <w:ind w:left="107"/>
              <w:rPr>
                <w:sz w:val="20"/>
                <w:szCs w:val="20"/>
              </w:rPr>
            </w:pPr>
            <w:r>
              <w:rPr>
                <w:spacing w:val="8"/>
                <w:sz w:val="20"/>
                <w:szCs w:val="20"/>
              </w:rPr>
              <w:t>般生态空间有限保护单元相关管控要求符合性分析</w:t>
            </w:r>
            <w:r>
              <w:rPr>
                <w:spacing w:val="7"/>
                <w:sz w:val="20"/>
                <w:szCs w:val="20"/>
              </w:rPr>
              <w:t>见表</w:t>
            </w:r>
            <w:r>
              <w:rPr>
                <w:spacing w:val="-23"/>
                <w:sz w:val="20"/>
                <w:szCs w:val="20"/>
              </w:rPr>
              <w:t xml:space="preserve"> </w:t>
            </w:r>
            <w:r>
              <w:rPr>
                <w:rFonts w:ascii="Times New Roman" w:hAnsi="Times New Roman" w:eastAsia="Times New Roman" w:cs="Times New Roman"/>
                <w:spacing w:val="7"/>
                <w:sz w:val="20"/>
                <w:szCs w:val="20"/>
              </w:rPr>
              <w:t xml:space="preserve">1-5 </w:t>
            </w:r>
            <w:r>
              <w:rPr>
                <w:spacing w:val="7"/>
                <w:sz w:val="20"/>
                <w:szCs w:val="20"/>
              </w:rPr>
              <w:t>所示。</w:t>
            </w:r>
          </w:p>
          <w:p w14:paraId="349133EC">
            <w:pPr>
              <w:pStyle w:val="6"/>
              <w:spacing w:before="53" w:line="228" w:lineRule="auto"/>
              <w:ind w:left="573"/>
              <w:rPr>
                <w:sz w:val="20"/>
                <w:szCs w:val="20"/>
              </w:rPr>
            </w:pPr>
            <w:r>
              <w:rPr>
                <w:b/>
                <w:bCs/>
                <w:spacing w:val="7"/>
                <w:sz w:val="20"/>
                <w:szCs w:val="20"/>
              </w:rPr>
              <w:t>表</w:t>
            </w:r>
            <w:r>
              <w:rPr>
                <w:spacing w:val="-33"/>
                <w:sz w:val="20"/>
                <w:szCs w:val="20"/>
              </w:rPr>
              <w:t xml:space="preserve"> </w:t>
            </w:r>
            <w:r>
              <w:rPr>
                <w:rFonts w:ascii="Times New Roman" w:hAnsi="Times New Roman" w:eastAsia="Times New Roman" w:cs="Times New Roman"/>
                <w:b/>
                <w:bCs/>
                <w:spacing w:val="7"/>
                <w:sz w:val="20"/>
                <w:szCs w:val="20"/>
              </w:rPr>
              <w:t xml:space="preserve">1-3    </w:t>
            </w:r>
            <w:r>
              <w:rPr>
                <w:b/>
                <w:bCs/>
                <w:spacing w:val="7"/>
                <w:sz w:val="20"/>
                <w:szCs w:val="20"/>
              </w:rPr>
              <w:t>项目与《昆明市生态环境分区管控动态更新方案（</w:t>
            </w:r>
            <w:r>
              <w:rPr>
                <w:rFonts w:ascii="Times New Roman" w:hAnsi="Times New Roman" w:eastAsia="Times New Roman" w:cs="Times New Roman"/>
                <w:b/>
                <w:bCs/>
                <w:spacing w:val="6"/>
                <w:sz w:val="20"/>
                <w:szCs w:val="20"/>
              </w:rPr>
              <w:t xml:space="preserve">2023 </w:t>
            </w:r>
            <w:r>
              <w:rPr>
                <w:b/>
                <w:bCs/>
                <w:spacing w:val="6"/>
                <w:sz w:val="20"/>
                <w:szCs w:val="20"/>
              </w:rPr>
              <w:t>年）》实施意见</w:t>
            </w:r>
          </w:p>
          <w:p w14:paraId="4592D3CF">
            <w:pPr>
              <w:pStyle w:val="6"/>
              <w:spacing w:before="24" w:line="223" w:lineRule="auto"/>
              <w:ind w:left="3506"/>
              <w:rPr>
                <w:sz w:val="20"/>
                <w:szCs w:val="20"/>
              </w:rPr>
            </w:pPr>
            <w:r>
              <w:rPr>
                <w:b/>
                <w:bCs/>
                <w:spacing w:val="6"/>
                <w:sz w:val="20"/>
                <w:szCs w:val="20"/>
              </w:rPr>
              <w:t>符合性分析</w:t>
            </w:r>
          </w:p>
          <w:tbl>
            <w:tblPr>
              <w:tblStyle w:val="5"/>
              <w:tblW w:w="7839"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7"/>
              <w:gridCol w:w="4027"/>
              <w:gridCol w:w="2621"/>
              <w:gridCol w:w="574"/>
            </w:tblGrid>
            <w:tr w14:paraId="16BE6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617" w:type="dxa"/>
                  <w:textDirection w:val="tbRlV"/>
                  <w:vAlign w:val="top"/>
                </w:tcPr>
                <w:p w14:paraId="770C8F8C">
                  <w:pPr>
                    <w:pStyle w:val="6"/>
                    <w:spacing w:before="203" w:line="216" w:lineRule="auto"/>
                    <w:ind w:left="34"/>
                    <w:rPr>
                      <w:sz w:val="20"/>
                      <w:szCs w:val="20"/>
                    </w:rPr>
                  </w:pPr>
                  <w:r>
                    <w:rPr>
                      <w:spacing w:val="8"/>
                      <w:sz w:val="20"/>
                      <w:szCs w:val="20"/>
                    </w:rPr>
                    <w:t>管</w:t>
                  </w:r>
                  <w:r>
                    <w:rPr>
                      <w:spacing w:val="-34"/>
                      <w:sz w:val="20"/>
                      <w:szCs w:val="20"/>
                    </w:rPr>
                    <w:t xml:space="preserve"> </w:t>
                  </w:r>
                  <w:r>
                    <w:rPr>
                      <w:spacing w:val="8"/>
                      <w:sz w:val="20"/>
                      <w:szCs w:val="20"/>
                    </w:rPr>
                    <w:t>控</w:t>
                  </w:r>
                  <w:r>
                    <w:rPr>
                      <w:spacing w:val="-37"/>
                      <w:sz w:val="20"/>
                      <w:szCs w:val="20"/>
                    </w:rPr>
                    <w:t xml:space="preserve"> </w:t>
                  </w:r>
                  <w:r>
                    <w:rPr>
                      <w:spacing w:val="8"/>
                      <w:sz w:val="20"/>
                      <w:szCs w:val="20"/>
                    </w:rPr>
                    <w:t>要</w:t>
                  </w:r>
                  <w:r>
                    <w:rPr>
                      <w:spacing w:val="-35"/>
                      <w:sz w:val="20"/>
                      <w:szCs w:val="20"/>
                    </w:rPr>
                    <w:t xml:space="preserve"> </w:t>
                  </w:r>
                  <w:r>
                    <w:rPr>
                      <w:spacing w:val="8"/>
                      <w:sz w:val="20"/>
                      <w:szCs w:val="20"/>
                    </w:rPr>
                    <w:t>求</w:t>
                  </w:r>
                </w:p>
              </w:tc>
              <w:tc>
                <w:tcPr>
                  <w:tcW w:w="4027" w:type="dxa"/>
                  <w:vAlign w:val="top"/>
                </w:tcPr>
                <w:p w14:paraId="062895BE">
                  <w:pPr>
                    <w:spacing w:line="241" w:lineRule="auto"/>
                    <w:rPr>
                      <w:rFonts w:ascii="Arial"/>
                      <w:sz w:val="21"/>
                    </w:rPr>
                  </w:pPr>
                </w:p>
                <w:p w14:paraId="2A75C0A7">
                  <w:pPr>
                    <w:pStyle w:val="6"/>
                    <w:spacing w:before="65" w:line="239" w:lineRule="auto"/>
                    <w:ind w:left="757" w:right="135" w:hanging="591"/>
                    <w:rPr>
                      <w:sz w:val="20"/>
                      <w:szCs w:val="20"/>
                    </w:rPr>
                  </w:pPr>
                  <w:r>
                    <w:rPr>
                      <w:spacing w:val="7"/>
                      <w:sz w:val="20"/>
                      <w:szCs w:val="20"/>
                    </w:rPr>
                    <w:t>昆明市人民政府关于昆明市</w:t>
                  </w:r>
                  <w:r>
                    <w:rPr>
                      <w:rFonts w:ascii="Times New Roman" w:hAnsi="Times New Roman" w:eastAsia="Times New Roman" w:cs="Times New Roman"/>
                      <w:spacing w:val="7"/>
                      <w:sz w:val="20"/>
                      <w:szCs w:val="20"/>
                    </w:rPr>
                    <w:t>“</w:t>
                  </w:r>
                  <w:r>
                    <w:rPr>
                      <w:spacing w:val="7"/>
                      <w:sz w:val="20"/>
                      <w:szCs w:val="20"/>
                    </w:rPr>
                    <w:t>三线一单</w:t>
                  </w:r>
                  <w:r>
                    <w:rPr>
                      <w:rFonts w:ascii="Times New Roman" w:hAnsi="Times New Roman" w:eastAsia="Times New Roman" w:cs="Times New Roman"/>
                      <w:spacing w:val="7"/>
                      <w:sz w:val="20"/>
                      <w:szCs w:val="20"/>
                    </w:rPr>
                    <w:t>”</w:t>
                  </w:r>
                  <w:r>
                    <w:rPr>
                      <w:spacing w:val="7"/>
                      <w:sz w:val="20"/>
                      <w:szCs w:val="20"/>
                    </w:rPr>
                    <w:t>生</w:t>
                  </w:r>
                  <w:r>
                    <w:rPr>
                      <w:spacing w:val="8"/>
                      <w:sz w:val="20"/>
                      <w:szCs w:val="20"/>
                    </w:rPr>
                    <w:t xml:space="preserve"> </w:t>
                  </w:r>
                  <w:r>
                    <w:rPr>
                      <w:spacing w:val="9"/>
                      <w:sz w:val="20"/>
                      <w:szCs w:val="20"/>
                    </w:rPr>
                    <w:t>态环境分区管控的实施意见</w:t>
                  </w:r>
                </w:p>
              </w:tc>
              <w:tc>
                <w:tcPr>
                  <w:tcW w:w="2621" w:type="dxa"/>
                  <w:vAlign w:val="top"/>
                </w:tcPr>
                <w:p w14:paraId="72B61F57">
                  <w:pPr>
                    <w:spacing w:line="375" w:lineRule="auto"/>
                    <w:rPr>
                      <w:rFonts w:ascii="Arial"/>
                      <w:sz w:val="21"/>
                    </w:rPr>
                  </w:pPr>
                </w:p>
                <w:p w14:paraId="76D2EE88">
                  <w:pPr>
                    <w:pStyle w:val="6"/>
                    <w:spacing w:before="65" w:line="228" w:lineRule="auto"/>
                    <w:ind w:left="900"/>
                    <w:rPr>
                      <w:sz w:val="20"/>
                      <w:szCs w:val="20"/>
                    </w:rPr>
                  </w:pPr>
                  <w:r>
                    <w:rPr>
                      <w:spacing w:val="6"/>
                      <w:sz w:val="20"/>
                      <w:szCs w:val="20"/>
                    </w:rPr>
                    <w:t>项目情况</w:t>
                  </w:r>
                </w:p>
              </w:tc>
              <w:tc>
                <w:tcPr>
                  <w:tcW w:w="574" w:type="dxa"/>
                  <w:textDirection w:val="tbRlV"/>
                  <w:vAlign w:val="top"/>
                </w:tcPr>
                <w:p w14:paraId="44AD3541">
                  <w:pPr>
                    <w:pStyle w:val="6"/>
                    <w:spacing w:before="178" w:line="216" w:lineRule="auto"/>
                    <w:ind w:left="171"/>
                    <w:rPr>
                      <w:sz w:val="20"/>
                      <w:szCs w:val="20"/>
                    </w:rPr>
                  </w:pPr>
                  <w:r>
                    <w:rPr>
                      <w:spacing w:val="8"/>
                      <w:sz w:val="20"/>
                      <w:szCs w:val="20"/>
                    </w:rPr>
                    <w:t>相</w:t>
                  </w:r>
                  <w:r>
                    <w:rPr>
                      <w:spacing w:val="-37"/>
                      <w:sz w:val="20"/>
                      <w:szCs w:val="20"/>
                    </w:rPr>
                    <w:t xml:space="preserve"> </w:t>
                  </w:r>
                  <w:r>
                    <w:rPr>
                      <w:spacing w:val="8"/>
                      <w:sz w:val="20"/>
                      <w:szCs w:val="20"/>
                    </w:rPr>
                    <w:t>符</w:t>
                  </w:r>
                  <w:r>
                    <w:rPr>
                      <w:spacing w:val="-37"/>
                      <w:sz w:val="20"/>
                      <w:szCs w:val="20"/>
                    </w:rPr>
                    <w:t xml:space="preserve"> </w:t>
                  </w:r>
                  <w:r>
                    <w:rPr>
                      <w:spacing w:val="8"/>
                      <w:sz w:val="20"/>
                      <w:szCs w:val="20"/>
                    </w:rPr>
                    <w:t>性</w:t>
                  </w:r>
                </w:p>
              </w:tc>
            </w:tr>
            <w:tr w14:paraId="17037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0" w:hRule="atLeast"/>
              </w:trPr>
              <w:tc>
                <w:tcPr>
                  <w:tcW w:w="617" w:type="dxa"/>
                  <w:tcBorders>
                    <w:bottom w:val="nil"/>
                  </w:tcBorders>
                  <w:textDirection w:val="tbRlV"/>
                  <w:vAlign w:val="top"/>
                </w:tcPr>
                <w:p w14:paraId="0F764C4A">
                  <w:pPr>
                    <w:pStyle w:val="6"/>
                    <w:spacing w:before="202" w:line="217" w:lineRule="auto"/>
                    <w:ind w:left="712"/>
                    <w:rPr>
                      <w:sz w:val="20"/>
                      <w:szCs w:val="20"/>
                    </w:rPr>
                  </w:pPr>
                  <w:r>
                    <w:rPr>
                      <w:spacing w:val="8"/>
                      <w:sz w:val="20"/>
                      <w:szCs w:val="20"/>
                    </w:rPr>
                    <w:t>生</w:t>
                  </w:r>
                  <w:r>
                    <w:rPr>
                      <w:spacing w:val="-29"/>
                      <w:sz w:val="20"/>
                      <w:szCs w:val="20"/>
                    </w:rPr>
                    <w:t xml:space="preserve"> </w:t>
                  </w:r>
                  <w:r>
                    <w:rPr>
                      <w:spacing w:val="8"/>
                      <w:sz w:val="20"/>
                      <w:szCs w:val="20"/>
                    </w:rPr>
                    <w:t>态</w:t>
                  </w:r>
                  <w:r>
                    <w:rPr>
                      <w:spacing w:val="-35"/>
                      <w:sz w:val="20"/>
                      <w:szCs w:val="20"/>
                    </w:rPr>
                    <w:t xml:space="preserve"> </w:t>
                  </w:r>
                  <w:r>
                    <w:rPr>
                      <w:spacing w:val="8"/>
                      <w:sz w:val="20"/>
                      <w:szCs w:val="20"/>
                    </w:rPr>
                    <w:t>保</w:t>
                  </w:r>
                  <w:r>
                    <w:rPr>
                      <w:spacing w:val="-37"/>
                      <w:sz w:val="20"/>
                      <w:szCs w:val="20"/>
                    </w:rPr>
                    <w:t xml:space="preserve"> </w:t>
                  </w:r>
                  <w:r>
                    <w:rPr>
                      <w:spacing w:val="8"/>
                      <w:sz w:val="20"/>
                      <w:szCs w:val="20"/>
                    </w:rPr>
                    <w:t>护</w:t>
                  </w:r>
                  <w:r>
                    <w:rPr>
                      <w:spacing w:val="-36"/>
                      <w:sz w:val="20"/>
                      <w:szCs w:val="20"/>
                    </w:rPr>
                    <w:t xml:space="preserve"> </w:t>
                  </w:r>
                  <w:r>
                    <w:rPr>
                      <w:spacing w:val="8"/>
                      <w:sz w:val="20"/>
                      <w:szCs w:val="20"/>
                    </w:rPr>
                    <w:t>红</w:t>
                  </w:r>
                  <w:r>
                    <w:rPr>
                      <w:spacing w:val="-37"/>
                      <w:sz w:val="20"/>
                      <w:szCs w:val="20"/>
                    </w:rPr>
                    <w:t xml:space="preserve"> </w:t>
                  </w:r>
                  <w:r>
                    <w:rPr>
                      <w:spacing w:val="8"/>
                      <w:sz w:val="20"/>
                      <w:szCs w:val="20"/>
                    </w:rPr>
                    <w:t>线</w:t>
                  </w:r>
                  <w:r>
                    <w:rPr>
                      <w:spacing w:val="-35"/>
                      <w:sz w:val="20"/>
                      <w:szCs w:val="20"/>
                    </w:rPr>
                    <w:t xml:space="preserve"> </w:t>
                  </w:r>
                  <w:r>
                    <w:rPr>
                      <w:spacing w:val="8"/>
                      <w:sz w:val="20"/>
                      <w:szCs w:val="20"/>
                    </w:rPr>
                    <w:t>和</w:t>
                  </w:r>
                  <w:r>
                    <w:rPr>
                      <w:spacing w:val="40"/>
                      <w:sz w:val="20"/>
                      <w:szCs w:val="20"/>
                    </w:rPr>
                    <w:t xml:space="preserve"> </w:t>
                  </w:r>
                  <w:r>
                    <w:rPr>
                      <w:spacing w:val="-71"/>
                      <w:w w:val="46"/>
                      <w:sz w:val="20"/>
                      <w:szCs w:val="20"/>
                    </w:rPr>
                    <w:t>一</w:t>
                  </w:r>
                  <w:r>
                    <w:rPr>
                      <w:spacing w:val="74"/>
                      <w:sz w:val="20"/>
                      <w:szCs w:val="20"/>
                    </w:rPr>
                    <w:t xml:space="preserve"> </w:t>
                  </w:r>
                  <w:r>
                    <w:rPr>
                      <w:spacing w:val="8"/>
                      <w:sz w:val="20"/>
                      <w:szCs w:val="20"/>
                    </w:rPr>
                    <w:t>般</w:t>
                  </w:r>
                  <w:r>
                    <w:rPr>
                      <w:spacing w:val="-38"/>
                      <w:sz w:val="20"/>
                      <w:szCs w:val="20"/>
                    </w:rPr>
                    <w:t xml:space="preserve"> </w:t>
                  </w:r>
                  <w:r>
                    <w:rPr>
                      <w:spacing w:val="8"/>
                      <w:sz w:val="20"/>
                      <w:szCs w:val="20"/>
                    </w:rPr>
                    <w:t>生</w:t>
                  </w:r>
                  <w:r>
                    <w:rPr>
                      <w:spacing w:val="-35"/>
                      <w:sz w:val="20"/>
                      <w:szCs w:val="20"/>
                    </w:rPr>
                    <w:t xml:space="preserve"> </w:t>
                  </w:r>
                  <w:r>
                    <w:rPr>
                      <w:spacing w:val="8"/>
                      <w:sz w:val="20"/>
                      <w:szCs w:val="20"/>
                    </w:rPr>
                    <w:t>态</w:t>
                  </w:r>
                  <w:r>
                    <w:rPr>
                      <w:spacing w:val="-38"/>
                      <w:sz w:val="20"/>
                      <w:szCs w:val="20"/>
                    </w:rPr>
                    <w:t xml:space="preserve"> </w:t>
                  </w:r>
                  <w:r>
                    <w:rPr>
                      <w:spacing w:val="8"/>
                      <w:sz w:val="20"/>
                      <w:szCs w:val="20"/>
                    </w:rPr>
                    <w:t>空</w:t>
                  </w:r>
                  <w:r>
                    <w:rPr>
                      <w:spacing w:val="-35"/>
                      <w:sz w:val="20"/>
                      <w:szCs w:val="20"/>
                    </w:rPr>
                    <w:t xml:space="preserve"> </w:t>
                  </w:r>
                  <w:r>
                    <w:rPr>
                      <w:spacing w:val="8"/>
                      <w:sz w:val="20"/>
                      <w:szCs w:val="20"/>
                    </w:rPr>
                    <w:t>间</w:t>
                  </w:r>
                </w:p>
              </w:tc>
              <w:tc>
                <w:tcPr>
                  <w:tcW w:w="4027" w:type="dxa"/>
                  <w:tcBorders>
                    <w:bottom w:val="nil"/>
                  </w:tcBorders>
                  <w:vAlign w:val="top"/>
                </w:tcPr>
                <w:p w14:paraId="036EF6B1">
                  <w:pPr>
                    <w:pStyle w:val="6"/>
                    <w:spacing w:before="161" w:line="250" w:lineRule="auto"/>
                    <w:ind w:left="113" w:right="35" w:firstLine="16"/>
                    <w:rPr>
                      <w:sz w:val="20"/>
                      <w:szCs w:val="20"/>
                    </w:rPr>
                  </w:pPr>
                  <w:r>
                    <w:rPr>
                      <w:spacing w:val="9"/>
                      <w:sz w:val="20"/>
                      <w:szCs w:val="20"/>
                    </w:rPr>
                    <w:t>生态保护红线区严格执行云南省人民政府</w:t>
                  </w:r>
                  <w:r>
                    <w:rPr>
                      <w:spacing w:val="2"/>
                      <w:sz w:val="20"/>
                      <w:szCs w:val="20"/>
                    </w:rPr>
                    <w:t xml:space="preserve">  </w:t>
                  </w:r>
                  <w:r>
                    <w:rPr>
                      <w:spacing w:val="10"/>
                      <w:sz w:val="20"/>
                      <w:szCs w:val="20"/>
                    </w:rPr>
                    <w:t>发布的《云南省生态保护红线》，全市生</w:t>
                  </w:r>
                  <w:r>
                    <w:rPr>
                      <w:spacing w:val="1"/>
                      <w:sz w:val="20"/>
                      <w:szCs w:val="20"/>
                    </w:rPr>
                    <w:t xml:space="preserve">  </w:t>
                  </w:r>
                  <w:r>
                    <w:rPr>
                      <w:spacing w:val="8"/>
                      <w:sz w:val="20"/>
                      <w:szCs w:val="20"/>
                    </w:rPr>
                    <w:t>态保护红线总面积为</w:t>
                  </w:r>
                  <w:r>
                    <w:rPr>
                      <w:spacing w:val="-34"/>
                      <w:sz w:val="20"/>
                      <w:szCs w:val="20"/>
                    </w:rPr>
                    <w:t xml:space="preserve"> </w:t>
                  </w:r>
                  <w:r>
                    <w:rPr>
                      <w:rFonts w:ascii="Times New Roman" w:hAnsi="Times New Roman" w:eastAsia="Times New Roman" w:cs="Times New Roman"/>
                      <w:spacing w:val="8"/>
                      <w:sz w:val="20"/>
                      <w:szCs w:val="20"/>
                    </w:rPr>
                    <w:t xml:space="preserve">4662.53  </w:t>
                  </w:r>
                  <w:r>
                    <w:rPr>
                      <w:spacing w:val="8"/>
                      <w:sz w:val="20"/>
                      <w:szCs w:val="20"/>
                    </w:rPr>
                    <w:t>平方公里，</w:t>
                  </w:r>
                  <w:r>
                    <w:rPr>
                      <w:sz w:val="20"/>
                      <w:szCs w:val="20"/>
                    </w:rPr>
                    <w:t xml:space="preserve"> </w:t>
                  </w:r>
                  <w:r>
                    <w:rPr>
                      <w:spacing w:val="4"/>
                      <w:sz w:val="20"/>
                      <w:szCs w:val="20"/>
                    </w:rPr>
                    <w:t>占全市国土面积的</w:t>
                  </w:r>
                  <w:r>
                    <w:rPr>
                      <w:spacing w:val="-23"/>
                      <w:sz w:val="20"/>
                      <w:szCs w:val="20"/>
                    </w:rPr>
                    <w:t xml:space="preserve"> </w:t>
                  </w:r>
                  <w:r>
                    <w:rPr>
                      <w:rFonts w:ascii="Times New Roman" w:hAnsi="Times New Roman" w:eastAsia="Times New Roman" w:cs="Times New Roman"/>
                      <w:spacing w:val="4"/>
                      <w:sz w:val="20"/>
                      <w:szCs w:val="20"/>
                    </w:rPr>
                    <w:t>22.</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4"/>
                      <w:sz w:val="20"/>
                      <w:szCs w:val="20"/>
                    </w:rPr>
                    <w:t>19%</w:t>
                  </w:r>
                  <w:r>
                    <w:rPr>
                      <w:spacing w:val="4"/>
                      <w:sz w:val="20"/>
                      <w:szCs w:val="20"/>
                    </w:rPr>
                    <w:t>。生态保护红线</w:t>
                  </w:r>
                  <w:r>
                    <w:rPr>
                      <w:sz w:val="20"/>
                      <w:szCs w:val="20"/>
                    </w:rPr>
                    <w:t xml:space="preserve"> </w:t>
                  </w:r>
                  <w:r>
                    <w:rPr>
                      <w:spacing w:val="10"/>
                      <w:sz w:val="20"/>
                      <w:szCs w:val="20"/>
                    </w:rPr>
                    <w:t>区按照国家和云南省颁布的生态保护红线</w:t>
                  </w:r>
                  <w:r>
                    <w:rPr>
                      <w:spacing w:val="1"/>
                      <w:sz w:val="20"/>
                      <w:szCs w:val="20"/>
                    </w:rPr>
                    <w:t xml:space="preserve">  </w:t>
                  </w:r>
                  <w:r>
                    <w:rPr>
                      <w:spacing w:val="10"/>
                      <w:sz w:val="20"/>
                      <w:szCs w:val="20"/>
                    </w:rPr>
                    <w:t>有关管控政策办法执行，原则上按禁止开</w:t>
                  </w:r>
                  <w:r>
                    <w:rPr>
                      <w:spacing w:val="1"/>
                      <w:sz w:val="20"/>
                      <w:szCs w:val="20"/>
                    </w:rPr>
                    <w:t xml:space="preserve">  </w:t>
                  </w:r>
                  <w:r>
                    <w:rPr>
                      <w:spacing w:val="10"/>
                      <w:sz w:val="20"/>
                      <w:szCs w:val="20"/>
                    </w:rPr>
                    <w:t>发区域的要求进行管理，严禁不符合主体</w:t>
                  </w:r>
                  <w:r>
                    <w:rPr>
                      <w:spacing w:val="1"/>
                      <w:sz w:val="20"/>
                      <w:szCs w:val="20"/>
                    </w:rPr>
                    <w:t xml:space="preserve">  </w:t>
                  </w:r>
                  <w:r>
                    <w:rPr>
                      <w:spacing w:val="10"/>
                      <w:sz w:val="20"/>
                      <w:szCs w:val="20"/>
                    </w:rPr>
                    <w:t>功能定位的各类开发活动，严禁任意改变</w:t>
                  </w:r>
                  <w:r>
                    <w:rPr>
                      <w:spacing w:val="1"/>
                      <w:sz w:val="20"/>
                      <w:szCs w:val="20"/>
                    </w:rPr>
                    <w:t xml:space="preserve">  </w:t>
                  </w:r>
                  <w:r>
                    <w:rPr>
                      <w:spacing w:val="3"/>
                      <w:sz w:val="20"/>
                      <w:szCs w:val="20"/>
                    </w:rPr>
                    <w:t>用途，确保生态保护红线生态功能不降低、</w:t>
                  </w:r>
                  <w:r>
                    <w:rPr>
                      <w:spacing w:val="14"/>
                      <w:sz w:val="20"/>
                      <w:szCs w:val="20"/>
                    </w:rPr>
                    <w:t xml:space="preserve"> </w:t>
                  </w:r>
                  <w:r>
                    <w:rPr>
                      <w:spacing w:val="10"/>
                      <w:sz w:val="20"/>
                      <w:szCs w:val="20"/>
                    </w:rPr>
                    <w:t>面积不减少、性质不改变。立足已形成的</w:t>
                  </w:r>
                  <w:r>
                    <w:rPr>
                      <w:spacing w:val="1"/>
                      <w:sz w:val="20"/>
                      <w:szCs w:val="20"/>
                    </w:rPr>
                    <w:t xml:space="preserve">  </w:t>
                  </w:r>
                  <w:r>
                    <w:rPr>
                      <w:spacing w:val="10"/>
                      <w:sz w:val="20"/>
                      <w:szCs w:val="20"/>
                    </w:rPr>
                    <w:t>生态保护红线划定工作成果，遵循生态优</w:t>
                  </w:r>
                  <w:r>
                    <w:rPr>
                      <w:spacing w:val="1"/>
                      <w:sz w:val="20"/>
                      <w:szCs w:val="20"/>
                    </w:rPr>
                    <w:t xml:space="preserve">  </w:t>
                  </w:r>
                  <w:r>
                    <w:rPr>
                      <w:spacing w:val="10"/>
                      <w:sz w:val="20"/>
                      <w:szCs w:val="20"/>
                    </w:rPr>
                    <w:t>先原则，将未划入生态保护红线的自然保</w:t>
                  </w:r>
                  <w:r>
                    <w:rPr>
                      <w:spacing w:val="1"/>
                      <w:sz w:val="20"/>
                      <w:szCs w:val="20"/>
                    </w:rPr>
                    <w:t xml:space="preserve">  </w:t>
                  </w:r>
                  <w:r>
                    <w:rPr>
                      <w:spacing w:val="10"/>
                      <w:sz w:val="20"/>
                      <w:szCs w:val="20"/>
                    </w:rPr>
                    <w:t>护地、饮用水水源保护区、重要湿地、基</w:t>
                  </w:r>
                  <w:r>
                    <w:rPr>
                      <w:spacing w:val="1"/>
                      <w:sz w:val="20"/>
                      <w:szCs w:val="20"/>
                    </w:rPr>
                    <w:t xml:space="preserve">  </w:t>
                  </w:r>
                  <w:r>
                    <w:rPr>
                      <w:spacing w:val="10"/>
                      <w:sz w:val="20"/>
                      <w:szCs w:val="20"/>
                    </w:rPr>
                    <w:t>本草原生态公益林、天然林等生态功能重</w:t>
                  </w:r>
                </w:p>
                <w:p w14:paraId="5DCD5FA1">
                  <w:pPr>
                    <w:pStyle w:val="6"/>
                    <w:spacing w:before="27" w:line="228" w:lineRule="auto"/>
                    <w:ind w:right="12"/>
                    <w:jc w:val="right"/>
                    <w:rPr>
                      <w:sz w:val="20"/>
                      <w:szCs w:val="20"/>
                    </w:rPr>
                  </w:pPr>
                  <w:r>
                    <w:rPr>
                      <w:spacing w:val="5"/>
                      <w:sz w:val="20"/>
                      <w:szCs w:val="20"/>
                    </w:rPr>
                    <w:t>要、生态环境敏感区域划为一般生态空间，</w:t>
                  </w:r>
                </w:p>
                <w:p w14:paraId="3788CC9F">
                  <w:pPr>
                    <w:pStyle w:val="6"/>
                    <w:spacing w:before="24" w:line="228" w:lineRule="auto"/>
                    <w:ind w:left="155"/>
                    <w:rPr>
                      <w:sz w:val="20"/>
                      <w:szCs w:val="20"/>
                    </w:rPr>
                  </w:pPr>
                  <w:r>
                    <w:rPr>
                      <w:spacing w:val="7"/>
                      <w:sz w:val="20"/>
                      <w:szCs w:val="20"/>
                    </w:rPr>
                    <w:t>全市一般生态空间面积为</w:t>
                  </w:r>
                  <w:r>
                    <w:rPr>
                      <w:spacing w:val="-39"/>
                      <w:sz w:val="20"/>
                      <w:szCs w:val="20"/>
                    </w:rPr>
                    <w:t xml:space="preserve"> </w:t>
                  </w:r>
                  <w:r>
                    <w:rPr>
                      <w:rFonts w:ascii="Times New Roman" w:hAnsi="Times New Roman" w:eastAsia="Times New Roman" w:cs="Times New Roman"/>
                      <w:spacing w:val="7"/>
                      <w:sz w:val="20"/>
                      <w:szCs w:val="20"/>
                    </w:rPr>
                    <w:t xml:space="preserve">4606.43 </w:t>
                  </w:r>
                  <w:r>
                    <w:rPr>
                      <w:spacing w:val="7"/>
                      <w:sz w:val="20"/>
                      <w:szCs w:val="20"/>
                    </w:rPr>
                    <w:t>平方公</w:t>
                  </w:r>
                </w:p>
                <w:p w14:paraId="7746D600">
                  <w:pPr>
                    <w:pStyle w:val="6"/>
                    <w:spacing w:before="26" w:line="228" w:lineRule="auto"/>
                    <w:ind w:left="515"/>
                    <w:rPr>
                      <w:sz w:val="20"/>
                      <w:szCs w:val="20"/>
                    </w:rPr>
                  </w:pPr>
                  <w:r>
                    <w:rPr>
                      <w:spacing w:val="3"/>
                      <w:sz w:val="20"/>
                      <w:szCs w:val="20"/>
                    </w:rPr>
                    <w:t>里，</w:t>
                  </w:r>
                  <w:r>
                    <w:rPr>
                      <w:spacing w:val="-40"/>
                      <w:sz w:val="20"/>
                      <w:szCs w:val="20"/>
                    </w:rPr>
                    <w:t xml:space="preserve"> </w:t>
                  </w:r>
                  <w:r>
                    <w:rPr>
                      <w:spacing w:val="3"/>
                      <w:sz w:val="20"/>
                      <w:szCs w:val="20"/>
                    </w:rPr>
                    <w:t>占全市国土面积的</w:t>
                  </w:r>
                  <w:r>
                    <w:rPr>
                      <w:spacing w:val="-40"/>
                      <w:sz w:val="20"/>
                      <w:szCs w:val="20"/>
                    </w:rPr>
                    <w:t xml:space="preserve"> </w:t>
                  </w:r>
                  <w:r>
                    <w:rPr>
                      <w:rFonts w:ascii="Times New Roman" w:hAnsi="Times New Roman" w:eastAsia="Times New Roman" w:cs="Times New Roman"/>
                      <w:spacing w:val="3"/>
                      <w:sz w:val="20"/>
                      <w:szCs w:val="20"/>
                    </w:rPr>
                    <w:t>21.92%</w:t>
                  </w:r>
                  <w:r>
                    <w:rPr>
                      <w:spacing w:val="3"/>
                      <w:sz w:val="20"/>
                      <w:szCs w:val="20"/>
                    </w:rPr>
                    <w:t>。</w:t>
                  </w:r>
                </w:p>
              </w:tc>
              <w:tc>
                <w:tcPr>
                  <w:tcW w:w="2621" w:type="dxa"/>
                  <w:tcBorders>
                    <w:bottom w:val="nil"/>
                  </w:tcBorders>
                  <w:vAlign w:val="top"/>
                </w:tcPr>
                <w:p w14:paraId="5D0B6C9F">
                  <w:pPr>
                    <w:pStyle w:val="6"/>
                    <w:spacing w:before="28" w:line="249" w:lineRule="auto"/>
                    <w:ind w:left="149" w:right="148" w:firstLine="17"/>
                    <w:rPr>
                      <w:sz w:val="20"/>
                      <w:szCs w:val="20"/>
                    </w:rPr>
                  </w:pPr>
                  <w:r>
                    <w:rPr>
                      <w:spacing w:val="8"/>
                      <w:sz w:val="20"/>
                      <w:szCs w:val="20"/>
                    </w:rPr>
                    <w:t xml:space="preserve">项目位于寻甸县河口镇化 </w:t>
                  </w:r>
                  <w:r>
                    <w:rPr>
                      <w:spacing w:val="10"/>
                      <w:sz w:val="20"/>
                      <w:szCs w:val="20"/>
                    </w:rPr>
                    <w:t>桃箐，根据寻甸回族彝族</w:t>
                  </w:r>
                  <w:r>
                    <w:rPr>
                      <w:spacing w:val="3"/>
                      <w:sz w:val="20"/>
                      <w:szCs w:val="20"/>
                    </w:rPr>
                    <w:t xml:space="preserve"> 自治县自然资源</w:t>
                  </w:r>
                  <w:r>
                    <w:rPr>
                      <w:spacing w:val="-37"/>
                      <w:sz w:val="20"/>
                      <w:szCs w:val="20"/>
                    </w:rPr>
                    <w:t xml:space="preserve"> </w:t>
                  </w:r>
                  <w:r>
                    <w:rPr>
                      <w:rFonts w:ascii="Times New Roman" w:hAnsi="Times New Roman" w:eastAsia="Times New Roman" w:cs="Times New Roman"/>
                      <w:spacing w:val="3"/>
                      <w:sz w:val="20"/>
                      <w:szCs w:val="20"/>
                    </w:rPr>
                    <w:t xml:space="preserve">2024 </w:t>
                  </w:r>
                  <w:r>
                    <w:rPr>
                      <w:spacing w:val="3"/>
                      <w:sz w:val="20"/>
                      <w:szCs w:val="20"/>
                    </w:rPr>
                    <w:t>年</w:t>
                  </w:r>
                  <w:r>
                    <w:rPr>
                      <w:spacing w:val="-38"/>
                      <w:sz w:val="20"/>
                      <w:szCs w:val="20"/>
                    </w:rPr>
                    <w:t xml:space="preserve"> </w:t>
                  </w:r>
                  <w:r>
                    <w:rPr>
                      <w:rFonts w:ascii="Times New Roman" w:hAnsi="Times New Roman" w:eastAsia="Times New Roman" w:cs="Times New Roman"/>
                      <w:spacing w:val="3"/>
                      <w:sz w:val="20"/>
                      <w:szCs w:val="20"/>
                    </w:rPr>
                    <w:t>6</w:t>
                  </w:r>
                  <w:r>
                    <w:rPr>
                      <w:rFonts w:ascii="Times New Roman" w:hAnsi="Times New Roman" w:eastAsia="Times New Roman" w:cs="Times New Roman"/>
                      <w:sz w:val="20"/>
                      <w:szCs w:val="20"/>
                    </w:rPr>
                    <w:t xml:space="preserve"> </w:t>
                  </w:r>
                  <w:r>
                    <w:rPr>
                      <w:spacing w:val="4"/>
                      <w:sz w:val="20"/>
                      <w:szCs w:val="20"/>
                    </w:rPr>
                    <w:t>月</w:t>
                  </w:r>
                  <w:r>
                    <w:rPr>
                      <w:spacing w:val="-29"/>
                      <w:sz w:val="20"/>
                      <w:szCs w:val="20"/>
                    </w:rPr>
                    <w:t xml:space="preserve"> </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48"/>
                      <w:w w:val="101"/>
                      <w:sz w:val="20"/>
                      <w:szCs w:val="20"/>
                    </w:rPr>
                    <w:t xml:space="preserve"> </w:t>
                  </w:r>
                  <w:r>
                    <w:rPr>
                      <w:spacing w:val="4"/>
                      <w:sz w:val="20"/>
                      <w:szCs w:val="20"/>
                    </w:rPr>
                    <w:t>日出具的关于寻甸化</w:t>
                  </w:r>
                  <w:r>
                    <w:rPr>
                      <w:sz w:val="20"/>
                      <w:szCs w:val="20"/>
                    </w:rPr>
                    <w:t xml:space="preserve"> </w:t>
                  </w:r>
                  <w:r>
                    <w:rPr>
                      <w:spacing w:val="10"/>
                      <w:sz w:val="20"/>
                      <w:szCs w:val="20"/>
                    </w:rPr>
                    <w:t>桃箐光伏发电项目用地范</w:t>
                  </w:r>
                  <w:r>
                    <w:rPr>
                      <w:spacing w:val="3"/>
                      <w:sz w:val="20"/>
                      <w:szCs w:val="20"/>
                    </w:rPr>
                    <w:t xml:space="preserve"> </w:t>
                  </w:r>
                  <w:r>
                    <w:rPr>
                      <w:spacing w:val="10"/>
                      <w:sz w:val="20"/>
                      <w:szCs w:val="20"/>
                    </w:rPr>
                    <w:t>围是否涉及生态保护红线</w:t>
                  </w:r>
                  <w:r>
                    <w:rPr>
                      <w:spacing w:val="3"/>
                      <w:sz w:val="20"/>
                      <w:szCs w:val="20"/>
                    </w:rPr>
                    <w:t xml:space="preserve"> </w:t>
                  </w:r>
                  <w:r>
                    <w:rPr>
                      <w:spacing w:val="10"/>
                      <w:sz w:val="20"/>
                      <w:szCs w:val="20"/>
                    </w:rPr>
                    <w:t>及城镇开发边界的情况说</w:t>
                  </w:r>
                  <w:r>
                    <w:rPr>
                      <w:spacing w:val="3"/>
                      <w:sz w:val="20"/>
                      <w:szCs w:val="20"/>
                    </w:rPr>
                    <w:t xml:space="preserve"> </w:t>
                  </w:r>
                  <w:r>
                    <w:rPr>
                      <w:spacing w:val="10"/>
                      <w:sz w:val="20"/>
                      <w:szCs w:val="20"/>
                    </w:rPr>
                    <w:t>明，项目用地范围未与寻</w:t>
                  </w:r>
                  <w:r>
                    <w:rPr>
                      <w:spacing w:val="3"/>
                      <w:sz w:val="20"/>
                      <w:szCs w:val="20"/>
                    </w:rPr>
                    <w:t xml:space="preserve"> </w:t>
                  </w:r>
                  <w:r>
                    <w:rPr>
                      <w:spacing w:val="9"/>
                      <w:sz w:val="20"/>
                      <w:szCs w:val="20"/>
                    </w:rPr>
                    <w:t>甸县生态保护红线重叠，</w:t>
                  </w:r>
                </w:p>
                <w:p w14:paraId="0AC76422">
                  <w:pPr>
                    <w:pStyle w:val="6"/>
                    <w:spacing w:before="25" w:line="247" w:lineRule="auto"/>
                    <w:ind w:left="113" w:right="33" w:firstLine="52"/>
                    <w:rPr>
                      <w:sz w:val="20"/>
                      <w:szCs w:val="20"/>
                    </w:rPr>
                  </w:pPr>
                  <w:r>
                    <w:rPr>
                      <w:spacing w:val="8"/>
                      <w:sz w:val="20"/>
                      <w:szCs w:val="20"/>
                    </w:rPr>
                    <w:t>不在城镇开发边界内。根</w:t>
                  </w:r>
                  <w:r>
                    <w:rPr>
                      <w:spacing w:val="4"/>
                      <w:sz w:val="20"/>
                      <w:szCs w:val="20"/>
                    </w:rPr>
                    <w:t xml:space="preserve">  </w:t>
                  </w:r>
                  <w:r>
                    <w:rPr>
                      <w:sz w:val="20"/>
                      <w:szCs w:val="20"/>
                    </w:rPr>
                    <w:t>据</w:t>
                  </w:r>
                  <w:r>
                    <w:rPr>
                      <w:spacing w:val="-43"/>
                      <w:sz w:val="20"/>
                      <w:szCs w:val="20"/>
                    </w:rPr>
                    <w:t xml:space="preserve"> </w:t>
                  </w:r>
                  <w:r>
                    <w:rPr>
                      <w:rFonts w:ascii="Times New Roman" w:hAnsi="Times New Roman" w:eastAsia="Times New Roman" w:cs="Times New Roman"/>
                      <w:sz w:val="20"/>
                      <w:szCs w:val="20"/>
                    </w:rPr>
                    <w:t xml:space="preserve">2024 </w:t>
                  </w:r>
                  <w:r>
                    <w:rPr>
                      <w:sz w:val="20"/>
                      <w:szCs w:val="20"/>
                    </w:rPr>
                    <w:t>年</w:t>
                  </w:r>
                  <w:r>
                    <w:rPr>
                      <w:spacing w:val="-38"/>
                      <w:sz w:val="20"/>
                      <w:szCs w:val="20"/>
                    </w:rPr>
                    <w:t xml:space="preserve"> </w:t>
                  </w:r>
                  <w:r>
                    <w:rPr>
                      <w:rFonts w:ascii="Times New Roman" w:hAnsi="Times New Roman" w:eastAsia="Times New Roman" w:cs="Times New Roman"/>
                      <w:sz w:val="20"/>
                      <w:szCs w:val="20"/>
                    </w:rPr>
                    <w:t>6</w:t>
                  </w:r>
                  <w:r>
                    <w:rPr>
                      <w:rFonts w:ascii="Times New Roman" w:hAnsi="Times New Roman" w:eastAsia="Times New Roman" w:cs="Times New Roman"/>
                      <w:spacing w:val="15"/>
                      <w:sz w:val="20"/>
                      <w:szCs w:val="20"/>
                    </w:rPr>
                    <w:t xml:space="preserve"> </w:t>
                  </w:r>
                  <w:r>
                    <w:rPr>
                      <w:sz w:val="20"/>
                      <w:szCs w:val="20"/>
                    </w:rPr>
                    <w:t>月</w:t>
                  </w:r>
                  <w:r>
                    <w:rPr>
                      <w:spacing w:val="-38"/>
                      <w:sz w:val="20"/>
                      <w:szCs w:val="20"/>
                    </w:rPr>
                    <w:t xml:space="preserve"> </w:t>
                  </w:r>
                  <w:r>
                    <w:rPr>
                      <w:rFonts w:ascii="Times New Roman" w:hAnsi="Times New Roman" w:eastAsia="Times New Roman" w:cs="Times New Roman"/>
                      <w:sz w:val="20"/>
                      <w:szCs w:val="20"/>
                    </w:rPr>
                    <w:t xml:space="preserve">5  </w:t>
                  </w:r>
                  <w:r>
                    <w:rPr>
                      <w:sz w:val="20"/>
                      <w:szCs w:val="20"/>
                    </w:rPr>
                    <w:t xml:space="preserve">日寻甸回 </w:t>
                  </w:r>
                  <w:r>
                    <w:rPr>
                      <w:spacing w:val="13"/>
                      <w:sz w:val="20"/>
                      <w:szCs w:val="20"/>
                    </w:rPr>
                    <w:t>族彝族自治县林业和草原</w:t>
                  </w:r>
                  <w:r>
                    <w:rPr>
                      <w:spacing w:val="2"/>
                      <w:sz w:val="20"/>
                      <w:szCs w:val="20"/>
                    </w:rPr>
                    <w:t xml:space="preserve">  </w:t>
                  </w:r>
                  <w:r>
                    <w:rPr>
                      <w:spacing w:val="13"/>
                      <w:sz w:val="20"/>
                      <w:szCs w:val="20"/>
                    </w:rPr>
                    <w:t>局对项目出具的选址意见</w:t>
                  </w:r>
                  <w:r>
                    <w:rPr>
                      <w:spacing w:val="2"/>
                      <w:sz w:val="20"/>
                      <w:szCs w:val="20"/>
                    </w:rPr>
                    <w:t xml:space="preserve">  </w:t>
                  </w:r>
                  <w:r>
                    <w:rPr>
                      <w:spacing w:val="13"/>
                      <w:sz w:val="20"/>
                      <w:szCs w:val="20"/>
                    </w:rPr>
                    <w:t>复函，项目用地不涉及国</w:t>
                  </w:r>
                  <w:r>
                    <w:rPr>
                      <w:spacing w:val="2"/>
                      <w:sz w:val="20"/>
                      <w:szCs w:val="20"/>
                    </w:rPr>
                    <w:t xml:space="preserve">  </w:t>
                  </w:r>
                  <w:r>
                    <w:rPr>
                      <w:spacing w:val="5"/>
                      <w:sz w:val="20"/>
                      <w:szCs w:val="20"/>
                    </w:rPr>
                    <w:t>家公园、各级自然保护区、</w:t>
                  </w:r>
                  <w:r>
                    <w:rPr>
                      <w:spacing w:val="7"/>
                      <w:sz w:val="20"/>
                      <w:szCs w:val="20"/>
                    </w:rPr>
                    <w:t xml:space="preserve"> </w:t>
                  </w:r>
                  <w:r>
                    <w:rPr>
                      <w:spacing w:val="14"/>
                      <w:sz w:val="20"/>
                      <w:szCs w:val="20"/>
                    </w:rPr>
                    <w:t>森林公园、风景名胜区、</w:t>
                  </w:r>
                  <w:r>
                    <w:rPr>
                      <w:spacing w:val="4"/>
                      <w:sz w:val="20"/>
                      <w:szCs w:val="20"/>
                    </w:rPr>
                    <w:t xml:space="preserve">  </w:t>
                  </w:r>
                  <w:r>
                    <w:rPr>
                      <w:spacing w:val="10"/>
                      <w:sz w:val="20"/>
                      <w:szCs w:val="20"/>
                    </w:rPr>
                    <w:t>草原公园、</w:t>
                  </w:r>
                  <w:r>
                    <w:rPr>
                      <w:spacing w:val="-48"/>
                      <w:sz w:val="20"/>
                      <w:szCs w:val="20"/>
                    </w:rPr>
                    <w:t xml:space="preserve"> </w:t>
                  </w:r>
                  <w:r>
                    <w:rPr>
                      <w:spacing w:val="10"/>
                      <w:sz w:val="20"/>
                      <w:szCs w:val="20"/>
                    </w:rPr>
                    <w:t>自然保护区、</w:t>
                  </w:r>
                  <w:r>
                    <w:rPr>
                      <w:sz w:val="20"/>
                      <w:szCs w:val="20"/>
                    </w:rPr>
                    <w:t xml:space="preserve">  </w:t>
                  </w:r>
                  <w:r>
                    <w:rPr>
                      <w:spacing w:val="13"/>
                      <w:sz w:val="20"/>
                      <w:szCs w:val="20"/>
                    </w:rPr>
                    <w:t>基本草原，不涉及禁用的</w:t>
                  </w:r>
                </w:p>
              </w:tc>
              <w:tc>
                <w:tcPr>
                  <w:tcW w:w="574" w:type="dxa"/>
                  <w:tcBorders>
                    <w:bottom w:val="nil"/>
                  </w:tcBorders>
                  <w:textDirection w:val="tbRlV"/>
                  <w:vAlign w:val="top"/>
                </w:tcPr>
                <w:p w14:paraId="19DAA323">
                  <w:pPr>
                    <w:pStyle w:val="6"/>
                    <w:spacing w:before="178" w:line="215" w:lineRule="auto"/>
                    <w:ind w:left="2209"/>
                    <w:rPr>
                      <w:sz w:val="20"/>
                      <w:szCs w:val="20"/>
                    </w:rPr>
                  </w:pPr>
                  <w:r>
                    <w:rPr>
                      <w:spacing w:val="8"/>
                      <w:sz w:val="20"/>
                      <w:szCs w:val="20"/>
                    </w:rPr>
                    <w:t>符</w:t>
                  </w:r>
                  <w:r>
                    <w:rPr>
                      <w:spacing w:val="-35"/>
                      <w:sz w:val="20"/>
                      <w:szCs w:val="20"/>
                    </w:rPr>
                    <w:t xml:space="preserve"> </w:t>
                  </w:r>
                  <w:r>
                    <w:rPr>
                      <w:spacing w:val="8"/>
                      <w:sz w:val="20"/>
                      <w:szCs w:val="20"/>
                    </w:rPr>
                    <w:t>合</w:t>
                  </w:r>
                </w:p>
              </w:tc>
            </w:tr>
          </w:tbl>
          <w:p w14:paraId="67FC0991">
            <w:pPr>
              <w:spacing w:line="19" w:lineRule="exact"/>
              <w:rPr>
                <w:rFonts w:ascii="Arial"/>
                <w:sz w:val="2"/>
              </w:rPr>
            </w:pPr>
          </w:p>
        </w:tc>
      </w:tr>
    </w:tbl>
    <w:p w14:paraId="7A26654F">
      <w:pPr>
        <w:rPr>
          <w:rFonts w:ascii="Arial"/>
          <w:sz w:val="21"/>
        </w:rPr>
      </w:pPr>
    </w:p>
    <w:p w14:paraId="3F8030A9">
      <w:pPr>
        <w:rPr>
          <w:rFonts w:ascii="Arial" w:hAnsi="Arial" w:eastAsia="Arial" w:cs="Arial"/>
          <w:sz w:val="21"/>
          <w:szCs w:val="21"/>
        </w:rPr>
        <w:sectPr>
          <w:footerReference r:id="rId14" w:type="default"/>
          <w:pgSz w:w="11906" w:h="16839"/>
          <w:pgMar w:top="1431" w:right="1407" w:bottom="1278" w:left="1407" w:header="0" w:footer="1116" w:gutter="0"/>
          <w:cols w:space="720" w:num="1"/>
        </w:sectPr>
      </w:pPr>
    </w:p>
    <w:p w14:paraId="20BB6F55">
      <w:pPr>
        <w:spacing w:line="99" w:lineRule="exact"/>
      </w:pPr>
      <w:r>
        <w:pict>
          <v:shape id="_x0000_s1029" o:spid="_x0000_s1029" style="position:absolute;left:0pt;margin-left:518.4pt;margin-top:78.3pt;height:683.25pt;width:0.5pt;mso-position-horizontal-relative:page;mso-position-vertical-relative:page;z-index:251665408;mso-width-relative:page;mso-height-relative:page;" filled="f" stroked="t" coordsize="10,13665" o:allowincell="f" path="m4,0l4,13665e">
            <v:fill on="f" focussize="0,0"/>
            <v:stroke weight="0.48pt" color="#000000" miterlimit="2" joinstyle="bevel"/>
            <v:imagedata o:title=""/>
            <o:lock v:ext="edit"/>
          </v:shape>
        </w:pict>
      </w:r>
    </w:p>
    <w:tbl>
      <w:tblPr>
        <w:tblStyle w:val="5"/>
        <w:tblW w:w="90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9"/>
        <w:gridCol w:w="612"/>
        <w:gridCol w:w="4023"/>
        <w:gridCol w:w="2619"/>
        <w:gridCol w:w="693"/>
      </w:tblGrid>
      <w:tr w14:paraId="3E37A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129" w:type="dxa"/>
            <w:vMerge w:val="restart"/>
            <w:tcBorders>
              <w:top w:val="single" w:color="000000" w:sz="6" w:space="0"/>
              <w:left w:val="single" w:color="000000" w:sz="6" w:space="0"/>
              <w:bottom w:val="nil"/>
            </w:tcBorders>
            <w:vAlign w:val="top"/>
          </w:tcPr>
          <w:p w14:paraId="2757CBDB">
            <w:pPr>
              <w:rPr>
                <w:rFonts w:ascii="Arial"/>
                <w:sz w:val="21"/>
              </w:rPr>
            </w:pPr>
            <w:r>
              <w:pict>
                <v:shape id="_x0000_s1030" o:spid="_x0000_s1030" style="position:absolute;left:0pt;margin-left:50.2pt;margin-top:0.95pt;height:684.6pt;width:0.5pt;mso-position-horizontal-relative:page;mso-position-vertical-relative:page;z-index:251664384;mso-width-relative:page;mso-height-relative:page;" filled="f" stroked="t" coordsize="10,13691" path="m4,0l4,13691e">
                  <v:fill on="f" focussize="0,0"/>
                  <v:stroke weight="0.48pt" color="#000000" miterlimit="2" joinstyle="bevel"/>
                  <v:imagedata o:title=""/>
                  <o:lock v:ext="edit"/>
                </v:shape>
              </w:pict>
            </w:r>
          </w:p>
        </w:tc>
        <w:tc>
          <w:tcPr>
            <w:tcW w:w="612" w:type="dxa"/>
            <w:tcBorders>
              <w:top w:val="single" w:color="000000" w:sz="6" w:space="0"/>
            </w:tcBorders>
            <w:vAlign w:val="top"/>
          </w:tcPr>
          <w:p w14:paraId="006A9F45">
            <w:pPr>
              <w:rPr>
                <w:rFonts w:ascii="Arial"/>
                <w:sz w:val="21"/>
              </w:rPr>
            </w:pPr>
          </w:p>
        </w:tc>
        <w:tc>
          <w:tcPr>
            <w:tcW w:w="4023" w:type="dxa"/>
            <w:tcBorders>
              <w:top w:val="single" w:color="000000" w:sz="6" w:space="0"/>
            </w:tcBorders>
            <w:vAlign w:val="top"/>
          </w:tcPr>
          <w:p w14:paraId="5CB0768A">
            <w:pPr>
              <w:rPr>
                <w:rFonts w:ascii="Arial"/>
                <w:sz w:val="21"/>
              </w:rPr>
            </w:pPr>
          </w:p>
        </w:tc>
        <w:tc>
          <w:tcPr>
            <w:tcW w:w="2619" w:type="dxa"/>
            <w:tcBorders>
              <w:top w:val="single" w:color="000000" w:sz="6" w:space="0"/>
            </w:tcBorders>
            <w:vAlign w:val="top"/>
          </w:tcPr>
          <w:p w14:paraId="61F73B18">
            <w:pPr>
              <w:pStyle w:val="6"/>
              <w:spacing w:before="51" w:line="217" w:lineRule="auto"/>
              <w:ind w:left="689"/>
              <w:rPr>
                <w:sz w:val="20"/>
                <w:szCs w:val="20"/>
              </w:rPr>
            </w:pPr>
            <w:r>
              <w:rPr>
                <w:spacing w:val="6"/>
                <w:sz w:val="20"/>
                <w:szCs w:val="20"/>
              </w:rPr>
              <w:t>林草地地类。</w:t>
            </w:r>
          </w:p>
        </w:tc>
        <w:tc>
          <w:tcPr>
            <w:tcW w:w="693" w:type="dxa"/>
            <w:tcBorders>
              <w:top w:val="single" w:color="000000" w:sz="6" w:space="0"/>
              <w:right w:val="single" w:color="000000" w:sz="6" w:space="0"/>
            </w:tcBorders>
            <w:vAlign w:val="top"/>
          </w:tcPr>
          <w:p w14:paraId="0E92E54A">
            <w:pPr>
              <w:rPr>
                <w:rFonts w:ascii="Arial"/>
                <w:sz w:val="21"/>
              </w:rPr>
            </w:pPr>
          </w:p>
        </w:tc>
      </w:tr>
      <w:tr w14:paraId="07941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9" w:hRule="atLeast"/>
        </w:trPr>
        <w:tc>
          <w:tcPr>
            <w:tcW w:w="1129" w:type="dxa"/>
            <w:vMerge w:val="continue"/>
            <w:tcBorders>
              <w:top w:val="nil"/>
              <w:left w:val="single" w:color="000000" w:sz="6" w:space="0"/>
              <w:bottom w:val="nil"/>
            </w:tcBorders>
            <w:vAlign w:val="top"/>
          </w:tcPr>
          <w:p w14:paraId="61C67AB6">
            <w:pPr>
              <w:rPr>
                <w:rFonts w:ascii="Arial"/>
                <w:sz w:val="21"/>
              </w:rPr>
            </w:pPr>
          </w:p>
        </w:tc>
        <w:tc>
          <w:tcPr>
            <w:tcW w:w="612" w:type="dxa"/>
            <w:textDirection w:val="tbRlV"/>
            <w:vAlign w:val="top"/>
          </w:tcPr>
          <w:p w14:paraId="2A499F18">
            <w:pPr>
              <w:pStyle w:val="6"/>
              <w:spacing w:before="206" w:line="217" w:lineRule="auto"/>
              <w:ind w:left="2075"/>
              <w:rPr>
                <w:sz w:val="20"/>
                <w:szCs w:val="20"/>
              </w:rPr>
            </w:pPr>
            <w:r>
              <w:rPr>
                <w:spacing w:val="8"/>
                <w:sz w:val="20"/>
                <w:szCs w:val="20"/>
              </w:rPr>
              <w:t>环</w:t>
            </w:r>
            <w:r>
              <w:rPr>
                <w:spacing w:val="-34"/>
                <w:sz w:val="20"/>
                <w:szCs w:val="20"/>
              </w:rPr>
              <w:t xml:space="preserve"> </w:t>
            </w:r>
            <w:r>
              <w:rPr>
                <w:spacing w:val="8"/>
                <w:sz w:val="20"/>
                <w:szCs w:val="20"/>
              </w:rPr>
              <w:t>境</w:t>
            </w:r>
            <w:r>
              <w:rPr>
                <w:spacing w:val="-38"/>
                <w:sz w:val="20"/>
                <w:szCs w:val="20"/>
              </w:rPr>
              <w:t xml:space="preserve"> </w:t>
            </w:r>
            <w:r>
              <w:rPr>
                <w:spacing w:val="8"/>
                <w:sz w:val="20"/>
                <w:szCs w:val="20"/>
              </w:rPr>
              <w:t>质</w:t>
            </w:r>
            <w:r>
              <w:rPr>
                <w:spacing w:val="-35"/>
                <w:sz w:val="20"/>
                <w:szCs w:val="20"/>
              </w:rPr>
              <w:t xml:space="preserve"> </w:t>
            </w:r>
            <w:r>
              <w:rPr>
                <w:spacing w:val="8"/>
                <w:sz w:val="20"/>
                <w:szCs w:val="20"/>
              </w:rPr>
              <w:t>量</w:t>
            </w:r>
            <w:r>
              <w:rPr>
                <w:spacing w:val="-38"/>
                <w:sz w:val="20"/>
                <w:szCs w:val="20"/>
              </w:rPr>
              <w:t xml:space="preserve"> </w:t>
            </w:r>
            <w:r>
              <w:rPr>
                <w:spacing w:val="8"/>
                <w:sz w:val="20"/>
                <w:szCs w:val="20"/>
              </w:rPr>
              <w:t>底</w:t>
            </w:r>
            <w:r>
              <w:rPr>
                <w:spacing w:val="-35"/>
                <w:sz w:val="20"/>
                <w:szCs w:val="20"/>
              </w:rPr>
              <w:t xml:space="preserve"> </w:t>
            </w:r>
            <w:r>
              <w:rPr>
                <w:spacing w:val="8"/>
                <w:sz w:val="20"/>
                <w:szCs w:val="20"/>
              </w:rPr>
              <w:t>线</w:t>
            </w:r>
          </w:p>
        </w:tc>
        <w:tc>
          <w:tcPr>
            <w:tcW w:w="4023" w:type="dxa"/>
            <w:vAlign w:val="top"/>
          </w:tcPr>
          <w:p w14:paraId="77DD3440">
            <w:pPr>
              <w:pStyle w:val="6"/>
              <w:spacing w:before="36" w:line="250" w:lineRule="auto"/>
              <w:ind w:left="104" w:right="35" w:firstLine="10"/>
              <w:jc w:val="both"/>
              <w:rPr>
                <w:sz w:val="20"/>
                <w:szCs w:val="20"/>
              </w:rPr>
            </w:pPr>
            <w:r>
              <w:rPr>
                <w:spacing w:val="7"/>
                <w:sz w:val="20"/>
                <w:szCs w:val="20"/>
              </w:rPr>
              <w:t>到</w:t>
            </w:r>
            <w:r>
              <w:rPr>
                <w:spacing w:val="-30"/>
                <w:sz w:val="20"/>
                <w:szCs w:val="20"/>
              </w:rPr>
              <w:t xml:space="preserve"> </w:t>
            </w:r>
            <w:r>
              <w:rPr>
                <w:rFonts w:ascii="Times New Roman" w:hAnsi="Times New Roman" w:eastAsia="Times New Roman" w:cs="Times New Roman"/>
                <w:spacing w:val="7"/>
                <w:sz w:val="20"/>
                <w:szCs w:val="20"/>
              </w:rPr>
              <w:t xml:space="preserve">2025 </w:t>
            </w:r>
            <w:r>
              <w:rPr>
                <w:spacing w:val="7"/>
                <w:sz w:val="20"/>
                <w:szCs w:val="20"/>
              </w:rPr>
              <w:t>年，全市生态环境质量持续改善，</w:t>
            </w:r>
            <w:r>
              <w:rPr>
                <w:sz w:val="20"/>
                <w:szCs w:val="20"/>
              </w:rPr>
              <w:t xml:space="preserve"> </w:t>
            </w:r>
            <w:r>
              <w:rPr>
                <w:spacing w:val="10"/>
                <w:sz w:val="20"/>
                <w:szCs w:val="20"/>
              </w:rPr>
              <w:t>生态空间得到优化和有效保护，区域生态</w:t>
            </w:r>
            <w:r>
              <w:rPr>
                <w:spacing w:val="4"/>
                <w:sz w:val="20"/>
                <w:szCs w:val="20"/>
              </w:rPr>
              <w:t xml:space="preserve">  </w:t>
            </w:r>
            <w:r>
              <w:rPr>
                <w:spacing w:val="10"/>
                <w:sz w:val="20"/>
                <w:szCs w:val="20"/>
              </w:rPr>
              <w:t>安全屏障更加牢固。全市环境空气质量总</w:t>
            </w:r>
            <w:r>
              <w:rPr>
                <w:spacing w:val="4"/>
                <w:sz w:val="20"/>
                <w:szCs w:val="20"/>
              </w:rPr>
              <w:t xml:space="preserve">  </w:t>
            </w:r>
            <w:r>
              <w:rPr>
                <w:spacing w:val="10"/>
                <w:sz w:val="20"/>
                <w:szCs w:val="20"/>
              </w:rPr>
              <w:t>体保持优良，主城建成区空气质量优良天</w:t>
            </w:r>
            <w:r>
              <w:rPr>
                <w:spacing w:val="4"/>
                <w:sz w:val="20"/>
                <w:szCs w:val="20"/>
              </w:rPr>
              <w:t xml:space="preserve">  </w:t>
            </w:r>
            <w:r>
              <w:rPr>
                <w:spacing w:val="9"/>
                <w:sz w:val="20"/>
                <w:szCs w:val="20"/>
              </w:rPr>
              <w:t>数占比达</w:t>
            </w:r>
            <w:r>
              <w:rPr>
                <w:spacing w:val="-35"/>
                <w:sz w:val="20"/>
                <w:szCs w:val="20"/>
              </w:rPr>
              <w:t xml:space="preserve"> </w:t>
            </w:r>
            <w:r>
              <w:rPr>
                <w:rFonts w:ascii="Times New Roman" w:hAnsi="Times New Roman" w:eastAsia="Times New Roman" w:cs="Times New Roman"/>
                <w:spacing w:val="9"/>
                <w:sz w:val="20"/>
                <w:szCs w:val="20"/>
              </w:rPr>
              <w:t>99%</w:t>
            </w:r>
            <w:r>
              <w:rPr>
                <w:spacing w:val="9"/>
                <w:sz w:val="20"/>
                <w:szCs w:val="20"/>
              </w:rPr>
              <w:t>以上，二氧化硫（</w:t>
            </w:r>
            <w:r>
              <w:rPr>
                <w:rFonts w:ascii="Times New Roman" w:hAnsi="Times New Roman" w:eastAsia="Times New Roman" w:cs="Times New Roman"/>
                <w:sz w:val="20"/>
                <w:szCs w:val="20"/>
              </w:rPr>
              <w:t>SO</w:t>
            </w:r>
            <w:r>
              <w:rPr>
                <w:rFonts w:ascii="Times New Roman" w:hAnsi="Times New Roman" w:eastAsia="Times New Roman" w:cs="Times New Roman"/>
                <w:spacing w:val="9"/>
                <w:position w:val="-1"/>
                <w:sz w:val="13"/>
                <w:szCs w:val="13"/>
              </w:rPr>
              <w:t xml:space="preserve">2 </w:t>
            </w:r>
            <w:r>
              <w:rPr>
                <w:spacing w:val="9"/>
                <w:sz w:val="20"/>
                <w:szCs w:val="20"/>
              </w:rPr>
              <w:t>）和</w:t>
            </w:r>
            <w:r>
              <w:rPr>
                <w:sz w:val="20"/>
                <w:szCs w:val="20"/>
              </w:rPr>
              <w:t xml:space="preserve">  </w:t>
            </w:r>
            <w:r>
              <w:rPr>
                <w:spacing w:val="12"/>
                <w:sz w:val="20"/>
                <w:szCs w:val="20"/>
              </w:rPr>
              <w:t>氮氧化物（</w:t>
            </w:r>
            <w:r>
              <w:rPr>
                <w:rFonts w:ascii="Times New Roman" w:hAnsi="Times New Roman" w:eastAsia="Times New Roman" w:cs="Times New Roman"/>
                <w:sz w:val="20"/>
                <w:szCs w:val="20"/>
              </w:rPr>
              <w:t>NOx</w:t>
            </w:r>
            <w:r>
              <w:rPr>
                <w:spacing w:val="12"/>
                <w:sz w:val="20"/>
                <w:szCs w:val="20"/>
              </w:rPr>
              <w:t>）排放总量控制在省下达</w:t>
            </w:r>
            <w:r>
              <w:rPr>
                <w:spacing w:val="2"/>
                <w:sz w:val="20"/>
                <w:szCs w:val="20"/>
              </w:rPr>
              <w:t xml:space="preserve">  </w:t>
            </w:r>
            <w:r>
              <w:rPr>
                <w:spacing w:val="3"/>
                <w:sz w:val="20"/>
                <w:szCs w:val="20"/>
              </w:rPr>
              <w:t>的目标以内，主城区空气中颗粒物（</w:t>
            </w:r>
            <w:r>
              <w:rPr>
                <w:rFonts w:ascii="Times New Roman" w:hAnsi="Times New Roman" w:eastAsia="Times New Roman" w:cs="Times New Roman"/>
                <w:sz w:val="20"/>
                <w:szCs w:val="20"/>
              </w:rPr>
              <w:t>PM</w:t>
            </w:r>
            <w:r>
              <w:rPr>
                <w:rFonts w:ascii="Times New Roman" w:hAnsi="Times New Roman" w:eastAsia="Times New Roman" w:cs="Times New Roman"/>
                <w:spacing w:val="3"/>
                <w:position w:val="-1"/>
                <w:sz w:val="13"/>
                <w:szCs w:val="13"/>
              </w:rPr>
              <w:t>10</w:t>
            </w:r>
            <w:r>
              <w:rPr>
                <w:spacing w:val="3"/>
                <w:sz w:val="20"/>
                <w:szCs w:val="20"/>
              </w:rPr>
              <w:t>、</w:t>
            </w:r>
            <w:r>
              <w:rPr>
                <w:spacing w:val="1"/>
                <w:sz w:val="20"/>
                <w:szCs w:val="20"/>
              </w:rPr>
              <w:t xml:space="preserve"> </w:t>
            </w: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 xml:space="preserve">2.5 </w:t>
            </w:r>
            <w:r>
              <w:rPr>
                <w:spacing w:val="6"/>
                <w:sz w:val="20"/>
                <w:szCs w:val="20"/>
              </w:rPr>
              <w:t>）稳定达《环境空气质量标准》二级</w:t>
            </w:r>
            <w:r>
              <w:rPr>
                <w:spacing w:val="2"/>
                <w:sz w:val="20"/>
                <w:szCs w:val="20"/>
              </w:rPr>
              <w:t xml:space="preserve"> </w:t>
            </w:r>
            <w:r>
              <w:rPr>
                <w:spacing w:val="10"/>
                <w:sz w:val="20"/>
                <w:szCs w:val="20"/>
              </w:rPr>
              <w:t>标准以上。纳入国家和省级考核的地表水</w:t>
            </w:r>
            <w:r>
              <w:rPr>
                <w:spacing w:val="4"/>
                <w:sz w:val="20"/>
                <w:szCs w:val="20"/>
              </w:rPr>
              <w:t xml:space="preserve">  监测断面水质优良率稳步提升，滇池流域、</w:t>
            </w:r>
            <w:r>
              <w:rPr>
                <w:spacing w:val="1"/>
                <w:sz w:val="20"/>
                <w:szCs w:val="20"/>
              </w:rPr>
              <w:t xml:space="preserve"> </w:t>
            </w:r>
            <w:r>
              <w:rPr>
                <w:spacing w:val="10"/>
                <w:sz w:val="20"/>
                <w:szCs w:val="20"/>
              </w:rPr>
              <w:t>阳宗海流域水环境质量明显改善，水生态</w:t>
            </w:r>
            <w:r>
              <w:rPr>
                <w:spacing w:val="4"/>
                <w:sz w:val="20"/>
                <w:szCs w:val="20"/>
              </w:rPr>
              <w:t xml:space="preserve">  </w:t>
            </w:r>
            <w:r>
              <w:rPr>
                <w:spacing w:val="3"/>
                <w:sz w:val="20"/>
                <w:szCs w:val="20"/>
              </w:rPr>
              <w:t>系统功能逐步恢复，滇池草海水质达</w:t>
            </w:r>
            <w:r>
              <w:rPr>
                <w:rFonts w:ascii="Times New Roman" w:hAnsi="Times New Roman" w:eastAsia="Times New Roman" w:cs="Times New Roman"/>
                <w:spacing w:val="3"/>
                <w:sz w:val="20"/>
                <w:szCs w:val="20"/>
              </w:rPr>
              <w:t>Ⅳ</w:t>
            </w:r>
            <w:r>
              <w:rPr>
                <w:spacing w:val="3"/>
                <w:sz w:val="20"/>
                <w:szCs w:val="20"/>
              </w:rPr>
              <w:t>类，</w:t>
            </w:r>
            <w:r>
              <w:rPr>
                <w:spacing w:val="10"/>
                <w:sz w:val="20"/>
                <w:szCs w:val="20"/>
              </w:rPr>
              <w:t xml:space="preserve"> </w:t>
            </w:r>
            <w:r>
              <w:rPr>
                <w:spacing w:val="7"/>
                <w:sz w:val="20"/>
                <w:szCs w:val="20"/>
              </w:rPr>
              <w:t>滇池外海水质达</w:t>
            </w:r>
            <w:r>
              <w:rPr>
                <w:rFonts w:ascii="Times New Roman" w:hAnsi="Times New Roman" w:eastAsia="Times New Roman" w:cs="Times New Roman"/>
                <w:spacing w:val="7"/>
                <w:sz w:val="20"/>
                <w:szCs w:val="20"/>
              </w:rPr>
              <w:t>Ⅳ</w:t>
            </w:r>
            <w:r>
              <w:rPr>
                <w:spacing w:val="7"/>
                <w:sz w:val="20"/>
                <w:szCs w:val="20"/>
              </w:rPr>
              <w:t>类（化学需氧量≤</w:t>
            </w:r>
            <w:r>
              <w:rPr>
                <w:rFonts w:ascii="Times New Roman" w:hAnsi="Times New Roman" w:eastAsia="Times New Roman" w:cs="Times New Roman"/>
                <w:spacing w:val="7"/>
                <w:sz w:val="20"/>
                <w:szCs w:val="20"/>
              </w:rPr>
              <w:t xml:space="preserve">40 </w:t>
            </w:r>
            <w:r>
              <w:rPr>
                <w:spacing w:val="7"/>
                <w:sz w:val="20"/>
                <w:szCs w:val="20"/>
              </w:rPr>
              <w:t>毫</w:t>
            </w:r>
            <w:r>
              <w:rPr>
                <w:spacing w:val="9"/>
                <w:sz w:val="20"/>
                <w:szCs w:val="20"/>
              </w:rPr>
              <w:t xml:space="preserve"> </w:t>
            </w:r>
            <w:r>
              <w:rPr>
                <w:spacing w:val="7"/>
                <w:sz w:val="20"/>
                <w:szCs w:val="20"/>
              </w:rPr>
              <w:t>克</w:t>
            </w:r>
            <w:r>
              <w:rPr>
                <w:rFonts w:ascii="Times New Roman" w:hAnsi="Times New Roman" w:eastAsia="Times New Roman" w:cs="Times New Roman"/>
                <w:spacing w:val="7"/>
                <w:sz w:val="20"/>
                <w:szCs w:val="20"/>
              </w:rPr>
              <w:t>/</w:t>
            </w:r>
            <w:r>
              <w:rPr>
                <w:spacing w:val="7"/>
                <w:sz w:val="20"/>
                <w:szCs w:val="20"/>
              </w:rPr>
              <w:t>升</w:t>
            </w:r>
            <w:r>
              <w:rPr>
                <w:spacing w:val="21"/>
                <w:sz w:val="20"/>
                <w:szCs w:val="20"/>
              </w:rPr>
              <w:t>），</w:t>
            </w:r>
            <w:r>
              <w:rPr>
                <w:spacing w:val="7"/>
                <w:sz w:val="20"/>
                <w:szCs w:val="20"/>
              </w:rPr>
              <w:t>阳宗海水质达</w:t>
            </w:r>
            <w:r>
              <w:rPr>
                <w:rFonts w:ascii="Times New Roman" w:hAnsi="Times New Roman" w:eastAsia="Times New Roman" w:cs="Times New Roman"/>
                <w:spacing w:val="7"/>
                <w:sz w:val="20"/>
                <w:szCs w:val="20"/>
              </w:rPr>
              <w:t>Ⅲ</w:t>
            </w:r>
            <w:r>
              <w:rPr>
                <w:spacing w:val="7"/>
                <w:sz w:val="20"/>
                <w:szCs w:val="20"/>
              </w:rPr>
              <w:t>类，集中式饮用</w:t>
            </w:r>
            <w:r>
              <w:rPr>
                <w:sz w:val="20"/>
                <w:szCs w:val="20"/>
              </w:rPr>
              <w:t xml:space="preserve"> </w:t>
            </w:r>
            <w:r>
              <w:rPr>
                <w:spacing w:val="10"/>
                <w:sz w:val="20"/>
                <w:szCs w:val="20"/>
              </w:rPr>
              <w:t>水源水质巩固改善。土壤环境风险防范体</w:t>
            </w:r>
            <w:r>
              <w:rPr>
                <w:spacing w:val="4"/>
                <w:sz w:val="20"/>
                <w:szCs w:val="20"/>
              </w:rPr>
              <w:t xml:space="preserve">  </w:t>
            </w:r>
            <w:r>
              <w:rPr>
                <w:spacing w:val="10"/>
                <w:sz w:val="20"/>
                <w:szCs w:val="20"/>
              </w:rPr>
              <w:t>系进一步完善，受污染耕地安全利用率和</w:t>
            </w:r>
            <w:r>
              <w:rPr>
                <w:spacing w:val="4"/>
                <w:sz w:val="20"/>
                <w:szCs w:val="20"/>
              </w:rPr>
              <w:t xml:space="preserve">  </w:t>
            </w:r>
            <w:r>
              <w:rPr>
                <w:spacing w:val="10"/>
                <w:sz w:val="20"/>
                <w:szCs w:val="20"/>
              </w:rPr>
              <w:t>污染地块安全利用率进一步提高，逐步改</w:t>
            </w:r>
            <w:r>
              <w:rPr>
                <w:spacing w:val="4"/>
                <w:sz w:val="20"/>
                <w:szCs w:val="20"/>
              </w:rPr>
              <w:t xml:space="preserve">  </w:t>
            </w:r>
            <w:r>
              <w:rPr>
                <w:spacing w:val="10"/>
                <w:sz w:val="20"/>
                <w:szCs w:val="20"/>
              </w:rPr>
              <w:t>善全市土壤环境质量，遏制土壤污染恶化</w:t>
            </w:r>
            <w:r>
              <w:rPr>
                <w:spacing w:val="4"/>
                <w:sz w:val="20"/>
                <w:szCs w:val="20"/>
              </w:rPr>
              <w:t xml:space="preserve">  </w:t>
            </w:r>
            <w:r>
              <w:rPr>
                <w:spacing w:val="10"/>
                <w:sz w:val="20"/>
                <w:szCs w:val="20"/>
              </w:rPr>
              <w:t>趋势，土壤环境风险得到基本管控。污染</w:t>
            </w:r>
            <w:r>
              <w:rPr>
                <w:spacing w:val="4"/>
                <w:sz w:val="20"/>
                <w:szCs w:val="20"/>
              </w:rPr>
              <w:t xml:space="preserve">  </w:t>
            </w:r>
            <w:r>
              <w:rPr>
                <w:spacing w:val="10"/>
                <w:sz w:val="20"/>
                <w:szCs w:val="20"/>
              </w:rPr>
              <w:t>地块安全利用率、耕地土壤环境质量达到</w:t>
            </w:r>
          </w:p>
          <w:p w14:paraId="0C398F29">
            <w:pPr>
              <w:pStyle w:val="6"/>
              <w:spacing w:before="25" w:line="213" w:lineRule="auto"/>
              <w:ind w:left="880"/>
              <w:rPr>
                <w:sz w:val="20"/>
                <w:szCs w:val="20"/>
              </w:rPr>
            </w:pPr>
            <w:r>
              <w:rPr>
                <w:spacing w:val="6"/>
                <w:sz w:val="20"/>
                <w:szCs w:val="20"/>
              </w:rPr>
              <w:t>国家和云南省考核要求。</w:t>
            </w:r>
          </w:p>
        </w:tc>
        <w:tc>
          <w:tcPr>
            <w:tcW w:w="2619" w:type="dxa"/>
            <w:vAlign w:val="top"/>
          </w:tcPr>
          <w:p w14:paraId="42AFCC81">
            <w:pPr>
              <w:pStyle w:val="6"/>
              <w:spacing w:before="32" w:line="249" w:lineRule="auto"/>
              <w:ind w:left="115" w:right="30"/>
              <w:rPr>
                <w:sz w:val="20"/>
                <w:szCs w:val="20"/>
              </w:rPr>
            </w:pPr>
            <w:r>
              <w:rPr>
                <w:spacing w:val="9"/>
                <w:sz w:val="20"/>
                <w:szCs w:val="20"/>
              </w:rPr>
              <w:t>根据生态环境质量公报及</w:t>
            </w:r>
            <w:r>
              <w:rPr>
                <w:sz w:val="20"/>
                <w:szCs w:val="20"/>
              </w:rPr>
              <w:t xml:space="preserve">  </w:t>
            </w:r>
            <w:r>
              <w:rPr>
                <w:spacing w:val="9"/>
                <w:sz w:val="20"/>
                <w:szCs w:val="20"/>
              </w:rPr>
              <w:t>现状监测结果可知，工程</w:t>
            </w:r>
            <w:r>
              <w:rPr>
                <w:sz w:val="20"/>
                <w:szCs w:val="20"/>
              </w:rPr>
              <w:t xml:space="preserve">  </w:t>
            </w:r>
            <w:r>
              <w:rPr>
                <w:spacing w:val="5"/>
                <w:sz w:val="20"/>
                <w:szCs w:val="20"/>
              </w:rPr>
              <w:t>区域的声环境、大气环境、</w:t>
            </w:r>
            <w:r>
              <w:rPr>
                <w:spacing w:val="6"/>
                <w:sz w:val="20"/>
                <w:szCs w:val="20"/>
              </w:rPr>
              <w:t xml:space="preserve"> </w:t>
            </w:r>
            <w:r>
              <w:rPr>
                <w:spacing w:val="9"/>
                <w:sz w:val="20"/>
                <w:szCs w:val="20"/>
              </w:rPr>
              <w:t>地表水环境均能够满足相</w:t>
            </w:r>
            <w:r>
              <w:rPr>
                <w:sz w:val="20"/>
                <w:szCs w:val="20"/>
              </w:rPr>
              <w:t xml:space="preserve">  </w:t>
            </w:r>
            <w:r>
              <w:rPr>
                <w:spacing w:val="9"/>
                <w:sz w:val="20"/>
                <w:szCs w:val="20"/>
              </w:rPr>
              <w:t>应的标准要求。工程运营</w:t>
            </w:r>
            <w:r>
              <w:rPr>
                <w:sz w:val="20"/>
                <w:szCs w:val="20"/>
              </w:rPr>
              <w:t xml:space="preserve">  </w:t>
            </w:r>
            <w:r>
              <w:rPr>
                <w:spacing w:val="9"/>
                <w:sz w:val="20"/>
                <w:szCs w:val="20"/>
              </w:rPr>
              <w:t>期排放的污染因素主要为</w:t>
            </w:r>
            <w:r>
              <w:rPr>
                <w:sz w:val="20"/>
                <w:szCs w:val="20"/>
              </w:rPr>
              <w:t xml:space="preserve">  </w:t>
            </w:r>
            <w:r>
              <w:rPr>
                <w:spacing w:val="9"/>
                <w:sz w:val="20"/>
                <w:szCs w:val="20"/>
              </w:rPr>
              <w:t>固废、噪声等，废铅酸蓄</w:t>
            </w:r>
            <w:r>
              <w:rPr>
                <w:sz w:val="20"/>
                <w:szCs w:val="20"/>
              </w:rPr>
              <w:t xml:space="preserve">  </w:t>
            </w:r>
            <w:r>
              <w:rPr>
                <w:spacing w:val="9"/>
                <w:sz w:val="20"/>
                <w:szCs w:val="20"/>
              </w:rPr>
              <w:t>电池、事故废油经集中收</w:t>
            </w:r>
            <w:r>
              <w:rPr>
                <w:sz w:val="20"/>
                <w:szCs w:val="20"/>
              </w:rPr>
              <w:t xml:space="preserve">  </w:t>
            </w:r>
            <w:r>
              <w:rPr>
                <w:spacing w:val="5"/>
                <w:sz w:val="20"/>
                <w:szCs w:val="20"/>
              </w:rPr>
              <w:t>集后，暂存于危废贮存库，</w:t>
            </w:r>
            <w:r>
              <w:rPr>
                <w:spacing w:val="6"/>
                <w:sz w:val="20"/>
                <w:szCs w:val="20"/>
              </w:rPr>
              <w:t xml:space="preserve"> </w:t>
            </w:r>
            <w:r>
              <w:rPr>
                <w:spacing w:val="8"/>
                <w:sz w:val="20"/>
                <w:szCs w:val="20"/>
              </w:rPr>
              <w:t>并委托有资质单位处置；</w:t>
            </w:r>
          </w:p>
          <w:p w14:paraId="777FAE8C">
            <w:pPr>
              <w:pStyle w:val="6"/>
              <w:spacing w:before="23" w:line="246" w:lineRule="auto"/>
              <w:ind w:left="116" w:right="197" w:hanging="1"/>
              <w:rPr>
                <w:sz w:val="20"/>
                <w:szCs w:val="20"/>
              </w:rPr>
            </w:pPr>
            <w:r>
              <w:rPr>
                <w:spacing w:val="9"/>
                <w:sz w:val="20"/>
                <w:szCs w:val="20"/>
              </w:rPr>
              <w:t>变压器油不合格需全部更</w:t>
            </w:r>
            <w:r>
              <w:rPr>
                <w:sz w:val="20"/>
                <w:szCs w:val="20"/>
              </w:rPr>
              <w:t xml:space="preserve"> </w:t>
            </w:r>
            <w:r>
              <w:rPr>
                <w:spacing w:val="9"/>
                <w:sz w:val="20"/>
                <w:szCs w:val="20"/>
              </w:rPr>
              <w:t>换时委托有资质单位在更</w:t>
            </w:r>
            <w:r>
              <w:rPr>
                <w:sz w:val="20"/>
                <w:szCs w:val="20"/>
              </w:rPr>
              <w:t xml:space="preserve"> </w:t>
            </w:r>
            <w:r>
              <w:rPr>
                <w:spacing w:val="9"/>
                <w:sz w:val="20"/>
                <w:szCs w:val="20"/>
              </w:rPr>
              <w:t>换后即时转移处置，不在</w:t>
            </w:r>
            <w:r>
              <w:rPr>
                <w:sz w:val="20"/>
                <w:szCs w:val="20"/>
              </w:rPr>
              <w:t xml:space="preserve"> </w:t>
            </w:r>
            <w:r>
              <w:rPr>
                <w:spacing w:val="5"/>
                <w:sz w:val="20"/>
                <w:szCs w:val="20"/>
              </w:rPr>
              <w:t>厂区贮存。</w:t>
            </w:r>
          </w:p>
          <w:p w14:paraId="3EE9B578">
            <w:pPr>
              <w:pStyle w:val="6"/>
              <w:spacing w:before="24" w:line="246" w:lineRule="auto"/>
              <w:ind w:left="115" w:right="197"/>
              <w:rPr>
                <w:sz w:val="20"/>
                <w:szCs w:val="20"/>
              </w:rPr>
            </w:pPr>
            <w:r>
              <w:rPr>
                <w:spacing w:val="9"/>
                <w:sz w:val="20"/>
                <w:szCs w:val="20"/>
              </w:rPr>
              <w:t>本工程属非生产性建设项</w:t>
            </w:r>
            <w:r>
              <w:rPr>
                <w:sz w:val="20"/>
                <w:szCs w:val="20"/>
              </w:rPr>
              <w:t xml:space="preserve"> </w:t>
            </w:r>
            <w:r>
              <w:rPr>
                <w:spacing w:val="9"/>
                <w:sz w:val="20"/>
                <w:szCs w:val="20"/>
              </w:rPr>
              <w:t>目，运营后对周边环境质</w:t>
            </w:r>
            <w:r>
              <w:rPr>
                <w:sz w:val="20"/>
                <w:szCs w:val="20"/>
              </w:rPr>
              <w:t xml:space="preserve"> </w:t>
            </w:r>
            <w:r>
              <w:rPr>
                <w:spacing w:val="9"/>
                <w:sz w:val="20"/>
                <w:szCs w:val="20"/>
              </w:rPr>
              <w:t>量现状影响较小，所在区</w:t>
            </w:r>
            <w:r>
              <w:rPr>
                <w:sz w:val="20"/>
                <w:szCs w:val="20"/>
              </w:rPr>
              <w:t xml:space="preserve"> </w:t>
            </w:r>
            <w:r>
              <w:rPr>
                <w:spacing w:val="9"/>
                <w:sz w:val="20"/>
                <w:szCs w:val="20"/>
              </w:rPr>
              <w:t>域各环境要素环境质量现</w:t>
            </w:r>
            <w:r>
              <w:rPr>
                <w:sz w:val="20"/>
                <w:szCs w:val="20"/>
              </w:rPr>
              <w:t xml:space="preserve"> </w:t>
            </w:r>
            <w:r>
              <w:rPr>
                <w:spacing w:val="9"/>
                <w:sz w:val="20"/>
                <w:szCs w:val="20"/>
              </w:rPr>
              <w:t>状可维持现有水平，不会</w:t>
            </w:r>
            <w:r>
              <w:rPr>
                <w:sz w:val="20"/>
                <w:szCs w:val="20"/>
              </w:rPr>
              <w:t xml:space="preserve"> </w:t>
            </w:r>
            <w:r>
              <w:rPr>
                <w:spacing w:val="9"/>
                <w:sz w:val="20"/>
                <w:szCs w:val="20"/>
              </w:rPr>
              <w:t>降低工程区域环境质量，</w:t>
            </w:r>
            <w:r>
              <w:rPr>
                <w:sz w:val="20"/>
                <w:szCs w:val="20"/>
              </w:rPr>
              <w:t xml:space="preserve"> </w:t>
            </w:r>
            <w:r>
              <w:rPr>
                <w:spacing w:val="8"/>
                <w:sz w:val="20"/>
                <w:szCs w:val="20"/>
              </w:rPr>
              <w:t>符合环境质量底线要求。</w:t>
            </w:r>
          </w:p>
        </w:tc>
        <w:tc>
          <w:tcPr>
            <w:tcW w:w="693" w:type="dxa"/>
            <w:tcBorders>
              <w:right w:val="single" w:color="000000" w:sz="6" w:space="0"/>
            </w:tcBorders>
            <w:textDirection w:val="tbRlV"/>
            <w:vAlign w:val="top"/>
          </w:tcPr>
          <w:p w14:paraId="7249F5B7">
            <w:pPr>
              <w:pStyle w:val="6"/>
              <w:spacing w:before="290" w:line="215" w:lineRule="auto"/>
              <w:ind w:left="2619"/>
              <w:rPr>
                <w:sz w:val="20"/>
                <w:szCs w:val="20"/>
              </w:rPr>
            </w:pPr>
            <w:r>
              <w:rPr>
                <w:spacing w:val="8"/>
                <w:sz w:val="20"/>
                <w:szCs w:val="20"/>
              </w:rPr>
              <w:t>符</w:t>
            </w:r>
            <w:r>
              <w:rPr>
                <w:spacing w:val="-38"/>
                <w:sz w:val="20"/>
                <w:szCs w:val="20"/>
              </w:rPr>
              <w:t xml:space="preserve"> </w:t>
            </w:r>
            <w:r>
              <w:rPr>
                <w:spacing w:val="8"/>
                <w:sz w:val="20"/>
                <w:szCs w:val="20"/>
              </w:rPr>
              <w:t>合</w:t>
            </w:r>
          </w:p>
        </w:tc>
      </w:tr>
      <w:tr w14:paraId="07D1C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2" w:hRule="atLeast"/>
        </w:trPr>
        <w:tc>
          <w:tcPr>
            <w:tcW w:w="1129" w:type="dxa"/>
            <w:vMerge w:val="continue"/>
            <w:tcBorders>
              <w:top w:val="nil"/>
              <w:left w:val="single" w:color="000000" w:sz="6" w:space="0"/>
              <w:bottom w:val="nil"/>
            </w:tcBorders>
            <w:vAlign w:val="top"/>
          </w:tcPr>
          <w:p w14:paraId="0D14E639">
            <w:pPr>
              <w:rPr>
                <w:rFonts w:ascii="Arial"/>
                <w:sz w:val="21"/>
              </w:rPr>
            </w:pPr>
          </w:p>
        </w:tc>
        <w:tc>
          <w:tcPr>
            <w:tcW w:w="612" w:type="dxa"/>
            <w:textDirection w:val="tbRlV"/>
            <w:vAlign w:val="top"/>
          </w:tcPr>
          <w:p w14:paraId="3FB6B34A">
            <w:pPr>
              <w:pStyle w:val="6"/>
              <w:spacing w:before="206" w:line="217" w:lineRule="auto"/>
              <w:ind w:left="1669"/>
              <w:rPr>
                <w:sz w:val="20"/>
                <w:szCs w:val="20"/>
              </w:rPr>
            </w:pPr>
            <w:r>
              <w:rPr>
                <w:spacing w:val="8"/>
                <w:sz w:val="20"/>
                <w:szCs w:val="20"/>
              </w:rPr>
              <w:t>资</w:t>
            </w:r>
            <w:r>
              <w:rPr>
                <w:spacing w:val="-32"/>
                <w:sz w:val="20"/>
                <w:szCs w:val="20"/>
              </w:rPr>
              <w:t xml:space="preserve"> </w:t>
            </w:r>
            <w:r>
              <w:rPr>
                <w:spacing w:val="8"/>
                <w:sz w:val="20"/>
                <w:szCs w:val="20"/>
              </w:rPr>
              <w:t>源</w:t>
            </w:r>
            <w:r>
              <w:rPr>
                <w:spacing w:val="-38"/>
                <w:sz w:val="20"/>
                <w:szCs w:val="20"/>
              </w:rPr>
              <w:t xml:space="preserve"> </w:t>
            </w:r>
            <w:r>
              <w:rPr>
                <w:spacing w:val="8"/>
                <w:sz w:val="20"/>
                <w:szCs w:val="20"/>
              </w:rPr>
              <w:t>利</w:t>
            </w:r>
            <w:r>
              <w:rPr>
                <w:spacing w:val="-35"/>
                <w:sz w:val="20"/>
                <w:szCs w:val="20"/>
              </w:rPr>
              <w:t xml:space="preserve"> </w:t>
            </w:r>
            <w:r>
              <w:rPr>
                <w:spacing w:val="8"/>
                <w:sz w:val="20"/>
                <w:szCs w:val="20"/>
              </w:rPr>
              <w:t>用</w:t>
            </w:r>
            <w:r>
              <w:rPr>
                <w:spacing w:val="-37"/>
                <w:sz w:val="20"/>
                <w:szCs w:val="20"/>
              </w:rPr>
              <w:t xml:space="preserve"> </w:t>
            </w:r>
            <w:r>
              <w:rPr>
                <w:spacing w:val="8"/>
                <w:sz w:val="20"/>
                <w:szCs w:val="20"/>
              </w:rPr>
              <w:t>上</w:t>
            </w:r>
            <w:r>
              <w:rPr>
                <w:spacing w:val="-38"/>
                <w:sz w:val="20"/>
                <w:szCs w:val="20"/>
              </w:rPr>
              <w:t xml:space="preserve"> </w:t>
            </w:r>
            <w:r>
              <w:rPr>
                <w:spacing w:val="8"/>
                <w:sz w:val="20"/>
                <w:szCs w:val="20"/>
              </w:rPr>
              <w:t>线</w:t>
            </w:r>
          </w:p>
        </w:tc>
        <w:tc>
          <w:tcPr>
            <w:tcW w:w="4023" w:type="dxa"/>
            <w:vAlign w:val="top"/>
          </w:tcPr>
          <w:p w14:paraId="258C81BA">
            <w:pPr>
              <w:spacing w:line="243" w:lineRule="auto"/>
              <w:rPr>
                <w:rFonts w:ascii="Arial"/>
                <w:sz w:val="21"/>
              </w:rPr>
            </w:pPr>
          </w:p>
          <w:p w14:paraId="41B85B59">
            <w:pPr>
              <w:spacing w:line="243" w:lineRule="auto"/>
              <w:rPr>
                <w:rFonts w:ascii="Arial"/>
                <w:sz w:val="21"/>
              </w:rPr>
            </w:pPr>
          </w:p>
          <w:p w14:paraId="56F05715">
            <w:pPr>
              <w:spacing w:line="243" w:lineRule="auto"/>
              <w:rPr>
                <w:rFonts w:ascii="Arial"/>
                <w:sz w:val="21"/>
              </w:rPr>
            </w:pPr>
          </w:p>
          <w:p w14:paraId="43B5841A">
            <w:pPr>
              <w:spacing w:line="243" w:lineRule="auto"/>
              <w:rPr>
                <w:rFonts w:ascii="Arial"/>
                <w:sz w:val="21"/>
              </w:rPr>
            </w:pPr>
          </w:p>
          <w:p w14:paraId="5CDDE87B">
            <w:pPr>
              <w:spacing w:line="244" w:lineRule="auto"/>
              <w:rPr>
                <w:rFonts w:ascii="Arial"/>
                <w:sz w:val="21"/>
              </w:rPr>
            </w:pPr>
          </w:p>
          <w:p w14:paraId="58697F25">
            <w:pPr>
              <w:spacing w:line="244" w:lineRule="auto"/>
              <w:rPr>
                <w:rFonts w:ascii="Arial"/>
                <w:sz w:val="21"/>
              </w:rPr>
            </w:pPr>
          </w:p>
          <w:p w14:paraId="5F2BBE41">
            <w:pPr>
              <w:pStyle w:val="6"/>
              <w:spacing w:before="65" w:line="228" w:lineRule="auto"/>
              <w:ind w:left="127"/>
              <w:rPr>
                <w:sz w:val="20"/>
                <w:szCs w:val="20"/>
              </w:rPr>
            </w:pPr>
            <w:r>
              <w:rPr>
                <w:spacing w:val="9"/>
                <w:sz w:val="20"/>
                <w:szCs w:val="20"/>
              </w:rPr>
              <w:t>按照国家、省、市有关要求和规划，按时</w:t>
            </w:r>
          </w:p>
          <w:p w14:paraId="77D77461">
            <w:pPr>
              <w:pStyle w:val="6"/>
              <w:spacing w:before="24" w:line="228" w:lineRule="auto"/>
              <w:ind w:left="127"/>
              <w:rPr>
                <w:sz w:val="20"/>
                <w:szCs w:val="20"/>
              </w:rPr>
            </w:pPr>
            <w:r>
              <w:rPr>
                <w:spacing w:val="9"/>
                <w:sz w:val="20"/>
                <w:szCs w:val="20"/>
              </w:rPr>
              <w:t>完成全市用水总量、用水效率、限制纳污</w:t>
            </w:r>
          </w:p>
          <w:p w14:paraId="5BBF786D">
            <w:pPr>
              <w:pStyle w:val="6"/>
              <w:spacing w:before="24" w:line="228" w:lineRule="auto"/>
              <w:ind w:left="92"/>
              <w:rPr>
                <w:sz w:val="20"/>
                <w:szCs w:val="20"/>
              </w:rPr>
            </w:pPr>
            <w:r>
              <w:rPr>
                <w:rFonts w:ascii="Times New Roman" w:hAnsi="Times New Roman" w:eastAsia="Times New Roman" w:cs="Times New Roman"/>
                <w:spacing w:val="11"/>
                <w:sz w:val="20"/>
                <w:szCs w:val="20"/>
              </w:rPr>
              <w:t>“</w:t>
            </w:r>
            <w:r>
              <w:rPr>
                <w:spacing w:val="11"/>
                <w:sz w:val="20"/>
                <w:szCs w:val="20"/>
              </w:rPr>
              <w:t>三条红线</w:t>
            </w:r>
            <w:r>
              <w:rPr>
                <w:rFonts w:ascii="Times New Roman" w:hAnsi="Times New Roman" w:eastAsia="Times New Roman" w:cs="Times New Roman"/>
                <w:spacing w:val="11"/>
                <w:sz w:val="20"/>
                <w:szCs w:val="20"/>
              </w:rPr>
              <w:t>”</w:t>
            </w:r>
            <w:r>
              <w:rPr>
                <w:spacing w:val="11"/>
                <w:sz w:val="20"/>
                <w:szCs w:val="20"/>
              </w:rPr>
              <w:t>水资源上限控制指标；按时完</w:t>
            </w:r>
          </w:p>
          <w:p w14:paraId="5620597D">
            <w:pPr>
              <w:pStyle w:val="6"/>
              <w:spacing w:before="26" w:line="227" w:lineRule="auto"/>
              <w:ind w:left="127"/>
              <w:rPr>
                <w:sz w:val="20"/>
                <w:szCs w:val="20"/>
              </w:rPr>
            </w:pPr>
            <w:r>
              <w:rPr>
                <w:spacing w:val="9"/>
                <w:sz w:val="20"/>
                <w:szCs w:val="20"/>
              </w:rPr>
              <w:t>成耕地保有量、基本农田保护面积、建设</w:t>
            </w:r>
          </w:p>
          <w:p w14:paraId="33F5BAB6">
            <w:pPr>
              <w:pStyle w:val="6"/>
              <w:spacing w:before="24" w:line="228" w:lineRule="auto"/>
              <w:ind w:left="233"/>
              <w:rPr>
                <w:sz w:val="20"/>
                <w:szCs w:val="20"/>
              </w:rPr>
            </w:pPr>
            <w:r>
              <w:rPr>
                <w:spacing w:val="9"/>
                <w:sz w:val="20"/>
                <w:szCs w:val="20"/>
              </w:rPr>
              <w:t>用地总规模等土地资源利用上限控制指</w:t>
            </w:r>
          </w:p>
          <w:p w14:paraId="3EB0F099">
            <w:pPr>
              <w:pStyle w:val="6"/>
              <w:spacing w:before="27" w:line="228" w:lineRule="auto"/>
              <w:ind w:left="109"/>
              <w:rPr>
                <w:sz w:val="20"/>
                <w:szCs w:val="20"/>
              </w:rPr>
            </w:pPr>
            <w:r>
              <w:rPr>
                <w:spacing w:val="4"/>
                <w:sz w:val="20"/>
                <w:szCs w:val="20"/>
              </w:rPr>
              <w:t>标；按时完成单位</w:t>
            </w:r>
            <w:r>
              <w:rPr>
                <w:spacing w:val="-34"/>
                <w:sz w:val="20"/>
                <w:szCs w:val="20"/>
              </w:rPr>
              <w:t xml:space="preserve"> </w:t>
            </w:r>
            <w:r>
              <w:rPr>
                <w:rFonts w:ascii="Times New Roman" w:hAnsi="Times New Roman" w:eastAsia="Times New Roman" w:cs="Times New Roman"/>
                <w:sz w:val="20"/>
                <w:szCs w:val="20"/>
              </w:rPr>
              <w:t>GDP</w:t>
            </w:r>
            <w:r>
              <w:rPr>
                <w:rFonts w:ascii="Times New Roman" w:hAnsi="Times New Roman" w:eastAsia="Times New Roman" w:cs="Times New Roman"/>
                <w:spacing w:val="21"/>
                <w:sz w:val="20"/>
                <w:szCs w:val="20"/>
              </w:rPr>
              <w:t xml:space="preserve"> </w:t>
            </w:r>
            <w:r>
              <w:rPr>
                <w:spacing w:val="4"/>
                <w:sz w:val="20"/>
                <w:szCs w:val="20"/>
              </w:rPr>
              <w:t>能耗下降率、能源</w:t>
            </w:r>
          </w:p>
          <w:p w14:paraId="661C03F3">
            <w:pPr>
              <w:pStyle w:val="6"/>
              <w:spacing w:before="27" w:line="228" w:lineRule="auto"/>
              <w:ind w:left="758"/>
              <w:rPr>
                <w:sz w:val="20"/>
                <w:szCs w:val="20"/>
              </w:rPr>
            </w:pPr>
            <w:r>
              <w:rPr>
                <w:spacing w:val="8"/>
                <w:sz w:val="20"/>
                <w:szCs w:val="20"/>
              </w:rPr>
              <w:t>消费总量等能源控制指标。</w:t>
            </w:r>
          </w:p>
        </w:tc>
        <w:tc>
          <w:tcPr>
            <w:tcW w:w="2619" w:type="dxa"/>
            <w:vAlign w:val="top"/>
          </w:tcPr>
          <w:p w14:paraId="0186F665">
            <w:pPr>
              <w:pStyle w:val="6"/>
              <w:spacing w:before="34" w:line="247" w:lineRule="auto"/>
              <w:ind w:left="114" w:right="197" w:firstLine="1"/>
              <w:rPr>
                <w:sz w:val="20"/>
                <w:szCs w:val="20"/>
              </w:rPr>
            </w:pPr>
            <w:r>
              <w:rPr>
                <w:spacing w:val="9"/>
                <w:sz w:val="20"/>
                <w:szCs w:val="20"/>
              </w:rPr>
              <w:t>本项目为光伏发电项目，</w:t>
            </w:r>
            <w:r>
              <w:rPr>
                <w:sz w:val="20"/>
                <w:szCs w:val="20"/>
              </w:rPr>
              <w:t xml:space="preserve"> </w:t>
            </w:r>
            <w:r>
              <w:rPr>
                <w:spacing w:val="9"/>
                <w:sz w:val="20"/>
                <w:szCs w:val="20"/>
              </w:rPr>
              <w:t>占地类型主要为草地、林</w:t>
            </w:r>
            <w:r>
              <w:rPr>
                <w:spacing w:val="1"/>
                <w:sz w:val="20"/>
                <w:szCs w:val="20"/>
              </w:rPr>
              <w:t xml:space="preserve"> </w:t>
            </w:r>
            <w:r>
              <w:rPr>
                <w:spacing w:val="9"/>
                <w:sz w:val="20"/>
                <w:szCs w:val="20"/>
              </w:rPr>
              <w:t>地、设施农用地、裸岩石</w:t>
            </w:r>
            <w:r>
              <w:rPr>
                <w:spacing w:val="1"/>
                <w:sz w:val="20"/>
                <w:szCs w:val="20"/>
              </w:rPr>
              <w:t xml:space="preserve"> </w:t>
            </w:r>
            <w:r>
              <w:rPr>
                <w:spacing w:val="9"/>
                <w:sz w:val="20"/>
                <w:szCs w:val="20"/>
              </w:rPr>
              <w:t>砾地，不占用基本农田、</w:t>
            </w:r>
            <w:r>
              <w:rPr>
                <w:spacing w:val="1"/>
                <w:sz w:val="20"/>
                <w:szCs w:val="20"/>
              </w:rPr>
              <w:t xml:space="preserve"> </w:t>
            </w:r>
            <w:r>
              <w:rPr>
                <w:spacing w:val="6"/>
                <w:sz w:val="20"/>
                <w:szCs w:val="20"/>
              </w:rPr>
              <w:t>稳定耕地。</w:t>
            </w:r>
          </w:p>
          <w:p w14:paraId="2B3B3D09">
            <w:pPr>
              <w:pStyle w:val="6"/>
              <w:spacing w:before="27" w:line="249" w:lineRule="auto"/>
              <w:ind w:left="115" w:right="101" w:firstLine="48"/>
              <w:jc w:val="both"/>
              <w:rPr>
                <w:sz w:val="20"/>
                <w:szCs w:val="20"/>
              </w:rPr>
            </w:pPr>
            <w:r>
              <w:rPr>
                <w:spacing w:val="9"/>
                <w:sz w:val="20"/>
                <w:szCs w:val="20"/>
              </w:rPr>
              <w:t>本项目施工过程中消耗一</w:t>
            </w:r>
            <w:r>
              <w:rPr>
                <w:sz w:val="20"/>
                <w:szCs w:val="20"/>
              </w:rPr>
              <w:t xml:space="preserve"> </w:t>
            </w:r>
            <w:r>
              <w:rPr>
                <w:spacing w:val="9"/>
                <w:sz w:val="20"/>
                <w:szCs w:val="20"/>
              </w:rPr>
              <w:t>定的水、</w:t>
            </w:r>
            <w:r>
              <w:rPr>
                <w:spacing w:val="-52"/>
                <w:sz w:val="20"/>
                <w:szCs w:val="20"/>
              </w:rPr>
              <w:t xml:space="preserve"> </w:t>
            </w:r>
            <w:r>
              <w:rPr>
                <w:spacing w:val="9"/>
                <w:sz w:val="20"/>
                <w:szCs w:val="20"/>
              </w:rPr>
              <w:t>电，不开采地下</w:t>
            </w:r>
            <w:r>
              <w:rPr>
                <w:sz w:val="20"/>
                <w:szCs w:val="20"/>
              </w:rPr>
              <w:t xml:space="preserve"> </w:t>
            </w:r>
            <w:r>
              <w:rPr>
                <w:spacing w:val="13"/>
                <w:sz w:val="20"/>
                <w:szCs w:val="20"/>
              </w:rPr>
              <w:t>水，仅占用寻甸县国土面</w:t>
            </w:r>
            <w:r>
              <w:rPr>
                <w:spacing w:val="4"/>
                <w:sz w:val="20"/>
                <w:szCs w:val="20"/>
              </w:rPr>
              <w:t xml:space="preserve"> </w:t>
            </w:r>
            <w:r>
              <w:rPr>
                <w:spacing w:val="1"/>
                <w:sz w:val="20"/>
                <w:szCs w:val="20"/>
              </w:rPr>
              <w:t>积</w:t>
            </w:r>
            <w:r>
              <w:rPr>
                <w:spacing w:val="-15"/>
                <w:sz w:val="20"/>
                <w:szCs w:val="20"/>
              </w:rPr>
              <w:t xml:space="preserve"> </w:t>
            </w:r>
            <w:r>
              <w:rPr>
                <w:rFonts w:ascii="Times New Roman" w:hAnsi="Times New Roman" w:eastAsia="Times New Roman" w:cs="Times New Roman"/>
                <w:spacing w:val="1"/>
                <w:sz w:val="20"/>
                <w:szCs w:val="20"/>
              </w:rPr>
              <w:t>140.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1304</w:t>
            </w:r>
            <w:r>
              <w:rPr>
                <w:rFonts w:ascii="Times New Roman" w:hAnsi="Times New Roman" w:eastAsia="Times New Roman" w:cs="Times New Roman"/>
                <w:sz w:val="20"/>
                <w:szCs w:val="20"/>
              </w:rPr>
              <w:t>hm</w:t>
            </w:r>
            <w:r>
              <w:rPr>
                <w:rFonts w:ascii="Times New Roman" w:hAnsi="Times New Roman" w:eastAsia="Times New Roman" w:cs="Times New Roman"/>
                <w:spacing w:val="1"/>
                <w:position w:val="6"/>
                <w:sz w:val="13"/>
                <w:szCs w:val="13"/>
              </w:rPr>
              <w:t>2</w:t>
            </w:r>
            <w:r>
              <w:rPr>
                <w:spacing w:val="1"/>
                <w:sz w:val="20"/>
                <w:szCs w:val="20"/>
              </w:rPr>
              <w:t>，其中永久</w:t>
            </w:r>
            <w:r>
              <w:rPr>
                <w:sz w:val="20"/>
                <w:szCs w:val="20"/>
              </w:rPr>
              <w:t xml:space="preserve"> </w:t>
            </w:r>
            <w:r>
              <w:rPr>
                <w:spacing w:val="4"/>
                <w:sz w:val="20"/>
                <w:szCs w:val="20"/>
              </w:rPr>
              <w:t>用地仅为</w:t>
            </w:r>
            <w:r>
              <w:rPr>
                <w:spacing w:val="-31"/>
                <w:sz w:val="20"/>
                <w:szCs w:val="20"/>
              </w:rPr>
              <w:t xml:space="preserve"> </w:t>
            </w:r>
            <w:r>
              <w:rPr>
                <w:rFonts w:ascii="Times New Roman" w:hAnsi="Times New Roman" w:eastAsia="Times New Roman" w:cs="Times New Roman"/>
                <w:spacing w:val="4"/>
                <w:sz w:val="20"/>
                <w:szCs w:val="20"/>
              </w:rPr>
              <w:t>3.4547</w:t>
            </w:r>
            <w:r>
              <w:rPr>
                <w:rFonts w:ascii="Times New Roman" w:hAnsi="Times New Roman" w:eastAsia="Times New Roman" w:cs="Times New Roman"/>
                <w:sz w:val="20"/>
                <w:szCs w:val="20"/>
              </w:rPr>
              <w:t>hm</w:t>
            </w:r>
            <w:r>
              <w:rPr>
                <w:rFonts w:ascii="Times New Roman" w:hAnsi="Times New Roman" w:eastAsia="Times New Roman" w:cs="Times New Roman"/>
                <w:spacing w:val="4"/>
                <w:position w:val="6"/>
                <w:sz w:val="13"/>
                <w:szCs w:val="13"/>
              </w:rPr>
              <w:t>2</w:t>
            </w:r>
            <w:r>
              <w:rPr>
                <w:spacing w:val="4"/>
                <w:sz w:val="20"/>
                <w:szCs w:val="20"/>
              </w:rPr>
              <w:t>，项目</w:t>
            </w:r>
            <w:r>
              <w:rPr>
                <w:sz w:val="20"/>
                <w:szCs w:val="20"/>
              </w:rPr>
              <w:t xml:space="preserve"> </w:t>
            </w:r>
            <w:r>
              <w:rPr>
                <w:spacing w:val="13"/>
                <w:sz w:val="20"/>
                <w:szCs w:val="20"/>
              </w:rPr>
              <w:t>资源消耗量占区域资源利</w:t>
            </w:r>
            <w:r>
              <w:rPr>
                <w:spacing w:val="4"/>
                <w:sz w:val="20"/>
                <w:szCs w:val="20"/>
              </w:rPr>
              <w:t xml:space="preserve"> </w:t>
            </w:r>
            <w:r>
              <w:rPr>
                <w:spacing w:val="13"/>
                <w:sz w:val="20"/>
                <w:szCs w:val="20"/>
              </w:rPr>
              <w:t>用总量较少；项目为复合</w:t>
            </w:r>
            <w:r>
              <w:rPr>
                <w:spacing w:val="4"/>
                <w:sz w:val="20"/>
                <w:szCs w:val="20"/>
              </w:rPr>
              <w:t xml:space="preserve"> </w:t>
            </w:r>
            <w:r>
              <w:rPr>
                <w:spacing w:val="13"/>
                <w:sz w:val="20"/>
                <w:szCs w:val="20"/>
              </w:rPr>
              <w:t>型光伏发电项目，建成后</w:t>
            </w:r>
            <w:r>
              <w:rPr>
                <w:spacing w:val="4"/>
                <w:sz w:val="20"/>
                <w:szCs w:val="20"/>
              </w:rPr>
              <w:t xml:space="preserve"> </w:t>
            </w:r>
            <w:r>
              <w:rPr>
                <w:spacing w:val="13"/>
                <w:sz w:val="20"/>
                <w:szCs w:val="20"/>
              </w:rPr>
              <w:t>可减少供电区域依赖不可</w:t>
            </w:r>
            <w:r>
              <w:rPr>
                <w:spacing w:val="4"/>
                <w:sz w:val="20"/>
                <w:szCs w:val="20"/>
              </w:rPr>
              <w:t xml:space="preserve"> </w:t>
            </w:r>
            <w:r>
              <w:rPr>
                <w:spacing w:val="13"/>
                <w:sz w:val="20"/>
                <w:szCs w:val="20"/>
              </w:rPr>
              <w:t>再生能源发电的程度，维</w:t>
            </w:r>
            <w:r>
              <w:rPr>
                <w:spacing w:val="4"/>
                <w:sz w:val="20"/>
                <w:szCs w:val="20"/>
              </w:rPr>
              <w:t xml:space="preserve"> </w:t>
            </w:r>
            <w:r>
              <w:rPr>
                <w:spacing w:val="13"/>
                <w:sz w:val="20"/>
                <w:szCs w:val="20"/>
              </w:rPr>
              <w:t>持或减少供电区域不可再</w:t>
            </w:r>
          </w:p>
          <w:p w14:paraId="63E85317">
            <w:pPr>
              <w:pStyle w:val="6"/>
              <w:spacing w:before="25" w:line="230" w:lineRule="auto"/>
              <w:ind w:left="383" w:right="149" w:hanging="218"/>
              <w:rPr>
                <w:sz w:val="20"/>
                <w:szCs w:val="20"/>
              </w:rPr>
            </w:pPr>
            <w:r>
              <w:rPr>
                <w:spacing w:val="9"/>
                <w:sz w:val="20"/>
                <w:szCs w:val="20"/>
              </w:rPr>
              <w:t>生能源利用的比例，符合</w:t>
            </w:r>
            <w:r>
              <w:rPr>
                <w:sz w:val="20"/>
                <w:szCs w:val="20"/>
              </w:rPr>
              <w:t xml:space="preserve"> </w:t>
            </w:r>
            <w:r>
              <w:rPr>
                <w:spacing w:val="6"/>
                <w:sz w:val="20"/>
                <w:szCs w:val="20"/>
              </w:rPr>
              <w:t>资源利用上线要求。</w:t>
            </w:r>
          </w:p>
        </w:tc>
        <w:tc>
          <w:tcPr>
            <w:tcW w:w="693" w:type="dxa"/>
            <w:tcBorders>
              <w:right w:val="single" w:color="000000" w:sz="6" w:space="0"/>
            </w:tcBorders>
            <w:textDirection w:val="tbRlV"/>
            <w:vAlign w:val="top"/>
          </w:tcPr>
          <w:p w14:paraId="3C0CEF80">
            <w:pPr>
              <w:pStyle w:val="6"/>
              <w:spacing w:before="290" w:line="215" w:lineRule="auto"/>
              <w:ind w:left="2214"/>
              <w:rPr>
                <w:sz w:val="20"/>
                <w:szCs w:val="20"/>
              </w:rPr>
            </w:pPr>
            <w:r>
              <w:rPr>
                <w:spacing w:val="8"/>
                <w:sz w:val="20"/>
                <w:szCs w:val="20"/>
              </w:rPr>
              <w:t>符</w:t>
            </w:r>
            <w:r>
              <w:rPr>
                <w:spacing w:val="-35"/>
                <w:sz w:val="20"/>
                <w:szCs w:val="20"/>
              </w:rPr>
              <w:t xml:space="preserve"> </w:t>
            </w:r>
            <w:r>
              <w:rPr>
                <w:spacing w:val="8"/>
                <w:sz w:val="20"/>
                <w:szCs w:val="20"/>
              </w:rPr>
              <w:t>合</w:t>
            </w:r>
          </w:p>
        </w:tc>
      </w:tr>
      <w:tr w14:paraId="7AACE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129" w:type="dxa"/>
            <w:vMerge w:val="continue"/>
            <w:tcBorders>
              <w:top w:val="nil"/>
              <w:left w:val="single" w:color="000000" w:sz="6" w:space="0"/>
              <w:bottom w:val="nil"/>
            </w:tcBorders>
            <w:vAlign w:val="top"/>
          </w:tcPr>
          <w:p w14:paraId="7F252F17">
            <w:pPr>
              <w:rPr>
                <w:rFonts w:ascii="Arial"/>
                <w:sz w:val="21"/>
              </w:rPr>
            </w:pPr>
          </w:p>
        </w:tc>
        <w:tc>
          <w:tcPr>
            <w:tcW w:w="612" w:type="dxa"/>
            <w:vMerge w:val="restart"/>
            <w:tcBorders>
              <w:bottom w:val="nil"/>
            </w:tcBorders>
            <w:textDirection w:val="tbRlV"/>
            <w:vAlign w:val="top"/>
          </w:tcPr>
          <w:p w14:paraId="3BDBCFF8">
            <w:pPr>
              <w:pStyle w:val="6"/>
              <w:spacing w:before="206" w:line="216" w:lineRule="auto"/>
              <w:ind w:left="45"/>
              <w:rPr>
                <w:sz w:val="20"/>
                <w:szCs w:val="20"/>
              </w:rPr>
            </w:pPr>
            <w:r>
              <w:rPr>
                <w:spacing w:val="8"/>
                <w:sz w:val="20"/>
                <w:szCs w:val="20"/>
              </w:rPr>
              <w:t>昆</w:t>
            </w:r>
            <w:r>
              <w:rPr>
                <w:spacing w:val="-29"/>
                <w:sz w:val="20"/>
                <w:szCs w:val="20"/>
              </w:rPr>
              <w:t xml:space="preserve"> </w:t>
            </w:r>
            <w:r>
              <w:rPr>
                <w:spacing w:val="8"/>
                <w:sz w:val="20"/>
                <w:szCs w:val="20"/>
              </w:rPr>
              <w:t>明</w:t>
            </w:r>
            <w:r>
              <w:rPr>
                <w:spacing w:val="-37"/>
                <w:sz w:val="20"/>
                <w:szCs w:val="20"/>
              </w:rPr>
              <w:t xml:space="preserve"> </w:t>
            </w:r>
            <w:r>
              <w:rPr>
                <w:spacing w:val="8"/>
                <w:sz w:val="20"/>
                <w:szCs w:val="20"/>
              </w:rPr>
              <w:t>市</w:t>
            </w:r>
            <w:r>
              <w:rPr>
                <w:spacing w:val="-36"/>
                <w:sz w:val="20"/>
                <w:szCs w:val="20"/>
              </w:rPr>
              <w:t xml:space="preserve"> </w:t>
            </w:r>
            <w:r>
              <w:rPr>
                <w:spacing w:val="8"/>
                <w:sz w:val="20"/>
                <w:szCs w:val="20"/>
              </w:rPr>
              <w:t>环</w:t>
            </w:r>
            <w:r>
              <w:rPr>
                <w:spacing w:val="-37"/>
                <w:sz w:val="20"/>
                <w:szCs w:val="20"/>
              </w:rPr>
              <w:t xml:space="preserve"> </w:t>
            </w:r>
            <w:r>
              <w:rPr>
                <w:spacing w:val="8"/>
                <w:sz w:val="20"/>
                <w:szCs w:val="20"/>
              </w:rPr>
              <w:t>境</w:t>
            </w:r>
            <w:r>
              <w:rPr>
                <w:spacing w:val="-38"/>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8"/>
                <w:sz w:val="20"/>
                <w:szCs w:val="20"/>
              </w:rPr>
              <w:t xml:space="preserve"> </w:t>
            </w:r>
            <w:r>
              <w:rPr>
                <w:spacing w:val="8"/>
                <w:sz w:val="20"/>
                <w:szCs w:val="20"/>
              </w:rPr>
              <w:t>单</w:t>
            </w:r>
            <w:r>
              <w:rPr>
                <w:spacing w:val="-35"/>
                <w:sz w:val="20"/>
                <w:szCs w:val="20"/>
              </w:rPr>
              <w:t xml:space="preserve"> </w:t>
            </w:r>
            <w:r>
              <w:rPr>
                <w:spacing w:val="8"/>
                <w:sz w:val="20"/>
                <w:szCs w:val="20"/>
              </w:rPr>
              <w:t>元</w:t>
            </w:r>
            <w:r>
              <w:rPr>
                <w:spacing w:val="-35"/>
                <w:sz w:val="20"/>
                <w:szCs w:val="20"/>
              </w:rPr>
              <w:t xml:space="preserve"> </w:t>
            </w:r>
            <w:r>
              <w:rPr>
                <w:spacing w:val="8"/>
                <w:sz w:val="20"/>
                <w:szCs w:val="20"/>
              </w:rPr>
              <w:t>生</w:t>
            </w:r>
          </w:p>
        </w:tc>
        <w:tc>
          <w:tcPr>
            <w:tcW w:w="4023" w:type="dxa"/>
            <w:vAlign w:val="top"/>
          </w:tcPr>
          <w:p w14:paraId="6F74E372">
            <w:pPr>
              <w:pStyle w:val="6"/>
              <w:spacing w:before="44" w:line="245" w:lineRule="auto"/>
              <w:ind w:left="112" w:right="103" w:firstLine="3"/>
              <w:jc w:val="both"/>
              <w:rPr>
                <w:sz w:val="20"/>
                <w:szCs w:val="20"/>
              </w:rPr>
            </w:pPr>
            <w:r>
              <w:rPr>
                <w:b/>
                <w:bCs/>
                <w:spacing w:val="7"/>
                <w:sz w:val="20"/>
                <w:szCs w:val="20"/>
              </w:rPr>
              <w:t>空间布局约束</w:t>
            </w:r>
            <w:r>
              <w:rPr>
                <w:b/>
                <w:bCs/>
                <w:spacing w:val="-19"/>
                <w:sz w:val="20"/>
                <w:szCs w:val="20"/>
              </w:rPr>
              <w:t>：</w:t>
            </w:r>
            <w:r>
              <w:rPr>
                <w:spacing w:val="-19"/>
                <w:sz w:val="20"/>
                <w:szCs w:val="20"/>
              </w:rPr>
              <w:t>（</w:t>
            </w:r>
            <w:r>
              <w:rPr>
                <w:rFonts w:ascii="Times New Roman" w:hAnsi="Times New Roman" w:eastAsia="Times New Roman" w:cs="Times New Roman"/>
                <w:spacing w:val="7"/>
                <w:sz w:val="20"/>
                <w:szCs w:val="20"/>
              </w:rPr>
              <w:t>1</w:t>
            </w:r>
            <w:r>
              <w:rPr>
                <w:spacing w:val="7"/>
                <w:sz w:val="20"/>
                <w:szCs w:val="20"/>
              </w:rPr>
              <w:t>）严格控制滇池、螳螂</w:t>
            </w:r>
            <w:r>
              <w:rPr>
                <w:sz w:val="20"/>
                <w:szCs w:val="20"/>
              </w:rPr>
              <w:t xml:space="preserve"> </w:t>
            </w:r>
            <w:r>
              <w:rPr>
                <w:spacing w:val="11"/>
                <w:sz w:val="20"/>
                <w:szCs w:val="20"/>
              </w:rPr>
              <w:t>川等水污染严重地区高耗水、高污染行业</w:t>
            </w:r>
            <w:r>
              <w:rPr>
                <w:spacing w:val="3"/>
                <w:sz w:val="20"/>
                <w:szCs w:val="20"/>
              </w:rPr>
              <w:t xml:space="preserve"> </w:t>
            </w:r>
            <w:r>
              <w:rPr>
                <w:spacing w:val="11"/>
                <w:sz w:val="20"/>
                <w:szCs w:val="20"/>
              </w:rPr>
              <w:t>发展，新建、改建、扩建重点行业建设项</w:t>
            </w:r>
            <w:r>
              <w:rPr>
                <w:spacing w:val="3"/>
                <w:sz w:val="20"/>
                <w:szCs w:val="20"/>
              </w:rPr>
              <w:t xml:space="preserve"> </w:t>
            </w:r>
            <w:r>
              <w:rPr>
                <w:spacing w:val="8"/>
                <w:sz w:val="20"/>
                <w:szCs w:val="20"/>
              </w:rPr>
              <w:t>目实行主要水污染物排放减量置换。</w:t>
            </w:r>
          </w:p>
          <w:p w14:paraId="6CE7AB9A">
            <w:pPr>
              <w:pStyle w:val="6"/>
              <w:spacing w:before="26" w:line="236" w:lineRule="auto"/>
              <w:ind w:left="108" w:right="103" w:firstLine="10"/>
              <w:jc w:val="both"/>
              <w:rPr>
                <w:sz w:val="20"/>
                <w:szCs w:val="20"/>
              </w:rPr>
            </w:pPr>
            <w:r>
              <w:rPr>
                <w:spacing w:val="4"/>
                <w:sz w:val="20"/>
                <w:szCs w:val="20"/>
              </w:rPr>
              <w:t>（</w:t>
            </w:r>
            <w:r>
              <w:rPr>
                <w:rFonts w:ascii="Times New Roman" w:hAnsi="Times New Roman" w:eastAsia="Times New Roman" w:cs="Times New Roman"/>
                <w:spacing w:val="4"/>
                <w:sz w:val="20"/>
                <w:szCs w:val="20"/>
              </w:rPr>
              <w:t>2</w:t>
            </w:r>
            <w:r>
              <w:rPr>
                <w:spacing w:val="4"/>
                <w:sz w:val="20"/>
                <w:szCs w:val="20"/>
              </w:rPr>
              <w:t>）牛栏江流域内，严格按照《云南省牛</w:t>
            </w:r>
            <w:r>
              <w:rPr>
                <w:spacing w:val="16"/>
                <w:sz w:val="20"/>
                <w:szCs w:val="20"/>
              </w:rPr>
              <w:t xml:space="preserve"> </w:t>
            </w:r>
            <w:r>
              <w:rPr>
                <w:spacing w:val="11"/>
                <w:sz w:val="20"/>
                <w:szCs w:val="20"/>
              </w:rPr>
              <w:t>栏江保护条例》相关要求对水环境区进行</w:t>
            </w:r>
            <w:r>
              <w:rPr>
                <w:spacing w:val="6"/>
                <w:sz w:val="20"/>
                <w:szCs w:val="20"/>
              </w:rPr>
              <w:t xml:space="preserve"> </w:t>
            </w:r>
            <w:r>
              <w:rPr>
                <w:spacing w:val="5"/>
                <w:sz w:val="20"/>
                <w:szCs w:val="20"/>
              </w:rPr>
              <w:t>分区管控。</w:t>
            </w:r>
          </w:p>
        </w:tc>
        <w:tc>
          <w:tcPr>
            <w:tcW w:w="2619" w:type="dxa"/>
            <w:vMerge w:val="restart"/>
            <w:tcBorders>
              <w:bottom w:val="nil"/>
            </w:tcBorders>
            <w:vAlign w:val="top"/>
          </w:tcPr>
          <w:p w14:paraId="645196D4">
            <w:pPr>
              <w:spacing w:line="260" w:lineRule="auto"/>
              <w:rPr>
                <w:rFonts w:ascii="Arial"/>
                <w:sz w:val="21"/>
              </w:rPr>
            </w:pPr>
          </w:p>
          <w:p w14:paraId="69D20C2C">
            <w:pPr>
              <w:spacing w:line="260" w:lineRule="auto"/>
              <w:rPr>
                <w:rFonts w:ascii="Arial"/>
                <w:sz w:val="21"/>
              </w:rPr>
            </w:pPr>
          </w:p>
          <w:p w14:paraId="5B07A9E9">
            <w:pPr>
              <w:pStyle w:val="6"/>
              <w:spacing w:before="65" w:line="247" w:lineRule="auto"/>
              <w:ind w:left="164" w:right="149" w:firstLine="2"/>
              <w:jc w:val="both"/>
              <w:rPr>
                <w:sz w:val="20"/>
                <w:szCs w:val="20"/>
              </w:rPr>
            </w:pPr>
            <w:r>
              <w:rPr>
                <w:spacing w:val="8"/>
                <w:sz w:val="20"/>
                <w:szCs w:val="20"/>
              </w:rPr>
              <w:t xml:space="preserve">项目区地表水属于牛栏江 </w:t>
            </w:r>
            <w:r>
              <w:rPr>
                <w:spacing w:val="9"/>
                <w:sz w:val="20"/>
                <w:szCs w:val="20"/>
              </w:rPr>
              <w:t>流域，根据后文分析，项</w:t>
            </w:r>
            <w:r>
              <w:rPr>
                <w:sz w:val="20"/>
                <w:szCs w:val="20"/>
              </w:rPr>
              <w:t xml:space="preserve"> </w:t>
            </w:r>
            <w:r>
              <w:rPr>
                <w:spacing w:val="9"/>
                <w:sz w:val="20"/>
                <w:szCs w:val="20"/>
              </w:rPr>
              <w:t>目与《云南省牛栏江保护</w:t>
            </w:r>
            <w:r>
              <w:rPr>
                <w:sz w:val="20"/>
                <w:szCs w:val="20"/>
              </w:rPr>
              <w:t xml:space="preserve"> </w:t>
            </w:r>
            <w:r>
              <w:rPr>
                <w:spacing w:val="9"/>
                <w:sz w:val="20"/>
                <w:szCs w:val="20"/>
              </w:rPr>
              <w:t>条例》相符，项目运营期</w:t>
            </w:r>
            <w:r>
              <w:rPr>
                <w:sz w:val="20"/>
                <w:szCs w:val="20"/>
              </w:rPr>
              <w:t xml:space="preserve"> </w:t>
            </w:r>
            <w:r>
              <w:rPr>
                <w:spacing w:val="9"/>
                <w:sz w:val="20"/>
                <w:szCs w:val="20"/>
              </w:rPr>
              <w:t>无废水外排，废气经处理</w:t>
            </w:r>
          </w:p>
          <w:p w14:paraId="64C5825D">
            <w:pPr>
              <w:pStyle w:val="6"/>
              <w:spacing w:before="24" w:line="228" w:lineRule="auto"/>
              <w:ind w:left="688"/>
              <w:rPr>
                <w:sz w:val="20"/>
                <w:szCs w:val="20"/>
              </w:rPr>
            </w:pPr>
            <w:r>
              <w:rPr>
                <w:spacing w:val="6"/>
                <w:sz w:val="20"/>
                <w:szCs w:val="20"/>
              </w:rPr>
              <w:t>达标后排放。</w:t>
            </w:r>
          </w:p>
        </w:tc>
        <w:tc>
          <w:tcPr>
            <w:tcW w:w="693" w:type="dxa"/>
            <w:tcBorders>
              <w:right w:val="single" w:color="000000" w:sz="6" w:space="0"/>
            </w:tcBorders>
            <w:textDirection w:val="tbRlV"/>
            <w:vAlign w:val="top"/>
          </w:tcPr>
          <w:p w14:paraId="3A3CD1E8">
            <w:pPr>
              <w:pStyle w:val="6"/>
              <w:spacing w:before="290" w:line="215" w:lineRule="auto"/>
              <w:ind w:left="722"/>
              <w:rPr>
                <w:sz w:val="20"/>
                <w:szCs w:val="20"/>
              </w:rPr>
            </w:pPr>
            <w:r>
              <w:rPr>
                <w:spacing w:val="8"/>
                <w:sz w:val="20"/>
                <w:szCs w:val="20"/>
              </w:rPr>
              <w:t>符</w:t>
            </w:r>
            <w:r>
              <w:rPr>
                <w:spacing w:val="-38"/>
                <w:sz w:val="20"/>
                <w:szCs w:val="20"/>
              </w:rPr>
              <w:t xml:space="preserve"> </w:t>
            </w:r>
            <w:r>
              <w:rPr>
                <w:spacing w:val="8"/>
                <w:sz w:val="20"/>
                <w:szCs w:val="20"/>
              </w:rPr>
              <w:t>合</w:t>
            </w:r>
          </w:p>
        </w:tc>
      </w:tr>
      <w:tr w14:paraId="34529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1129" w:type="dxa"/>
            <w:vMerge w:val="continue"/>
            <w:tcBorders>
              <w:top w:val="nil"/>
              <w:left w:val="single" w:color="000000" w:sz="6" w:space="0"/>
              <w:bottom w:val="single" w:color="000000" w:sz="6" w:space="0"/>
            </w:tcBorders>
            <w:vAlign w:val="top"/>
          </w:tcPr>
          <w:p w14:paraId="166610DD">
            <w:pPr>
              <w:rPr>
                <w:rFonts w:ascii="Arial"/>
                <w:sz w:val="21"/>
              </w:rPr>
            </w:pPr>
          </w:p>
        </w:tc>
        <w:tc>
          <w:tcPr>
            <w:tcW w:w="612" w:type="dxa"/>
            <w:vMerge w:val="continue"/>
            <w:tcBorders>
              <w:top w:val="nil"/>
              <w:bottom w:val="single" w:color="000000" w:sz="6" w:space="0"/>
            </w:tcBorders>
            <w:textDirection w:val="tbRlV"/>
            <w:vAlign w:val="top"/>
          </w:tcPr>
          <w:p w14:paraId="09E64041">
            <w:pPr>
              <w:rPr>
                <w:rFonts w:ascii="Arial"/>
                <w:sz w:val="21"/>
              </w:rPr>
            </w:pPr>
          </w:p>
        </w:tc>
        <w:tc>
          <w:tcPr>
            <w:tcW w:w="4023" w:type="dxa"/>
            <w:tcBorders>
              <w:bottom w:val="single" w:color="000000" w:sz="6" w:space="0"/>
            </w:tcBorders>
            <w:vAlign w:val="top"/>
          </w:tcPr>
          <w:p w14:paraId="2E0CA289">
            <w:pPr>
              <w:pStyle w:val="6"/>
              <w:spacing w:before="42" w:line="244" w:lineRule="auto"/>
              <w:ind w:left="108" w:right="103" w:firstLine="1"/>
              <w:jc w:val="both"/>
              <w:rPr>
                <w:sz w:val="20"/>
                <w:szCs w:val="20"/>
              </w:rPr>
            </w:pPr>
            <w:r>
              <w:rPr>
                <w:b/>
                <w:bCs/>
                <w:spacing w:val="10"/>
                <w:sz w:val="20"/>
                <w:szCs w:val="20"/>
              </w:rPr>
              <w:t>污染物排放管控</w:t>
            </w:r>
            <w:r>
              <w:rPr>
                <w:b/>
                <w:bCs/>
                <w:spacing w:val="-4"/>
                <w:sz w:val="20"/>
                <w:szCs w:val="20"/>
              </w:rPr>
              <w:t>：</w:t>
            </w:r>
            <w:r>
              <w:rPr>
                <w:spacing w:val="-4"/>
                <w:sz w:val="20"/>
                <w:szCs w:val="20"/>
              </w:rPr>
              <w:t>（</w:t>
            </w:r>
            <w:r>
              <w:rPr>
                <w:rFonts w:ascii="Times New Roman" w:hAnsi="Times New Roman" w:eastAsia="Times New Roman" w:cs="Times New Roman"/>
                <w:spacing w:val="10"/>
                <w:sz w:val="20"/>
                <w:szCs w:val="20"/>
              </w:rPr>
              <w:t>1</w:t>
            </w:r>
            <w:r>
              <w:rPr>
                <w:spacing w:val="10"/>
                <w:sz w:val="20"/>
                <w:szCs w:val="20"/>
              </w:rPr>
              <w:t>）区域内</w:t>
            </w:r>
            <w:r>
              <w:rPr>
                <w:spacing w:val="-40"/>
                <w:sz w:val="20"/>
                <w:szCs w:val="20"/>
              </w:rPr>
              <w:t xml:space="preserve"> </w:t>
            </w:r>
            <w:r>
              <w:rPr>
                <w:rFonts w:ascii="Times New Roman" w:hAnsi="Times New Roman" w:eastAsia="Times New Roman" w:cs="Times New Roman"/>
                <w:sz w:val="20"/>
                <w:szCs w:val="20"/>
              </w:rPr>
              <w:t>COD</w:t>
            </w:r>
            <w:r>
              <w:rPr>
                <w:rFonts w:ascii="Times New Roman" w:hAnsi="Times New Roman" w:eastAsia="Times New Roman" w:cs="Times New Roman"/>
                <w:spacing w:val="21"/>
                <w:w w:val="101"/>
                <w:sz w:val="20"/>
                <w:szCs w:val="20"/>
              </w:rPr>
              <w:t xml:space="preserve"> </w:t>
            </w:r>
            <w:r>
              <w:rPr>
                <w:spacing w:val="10"/>
                <w:sz w:val="20"/>
                <w:szCs w:val="20"/>
              </w:rPr>
              <w:t>允许</w:t>
            </w:r>
            <w:r>
              <w:rPr>
                <w:sz w:val="20"/>
                <w:szCs w:val="20"/>
              </w:rPr>
              <w:t xml:space="preserve"> </w:t>
            </w:r>
            <w:r>
              <w:rPr>
                <w:spacing w:val="6"/>
                <w:sz w:val="20"/>
                <w:szCs w:val="20"/>
              </w:rPr>
              <w:t>排放量不得超过</w:t>
            </w:r>
            <w:r>
              <w:rPr>
                <w:spacing w:val="-23"/>
                <w:sz w:val="20"/>
                <w:szCs w:val="20"/>
              </w:rPr>
              <w:t xml:space="preserve"> </w:t>
            </w:r>
            <w:r>
              <w:rPr>
                <w:rFonts w:ascii="Times New Roman" w:hAnsi="Times New Roman" w:eastAsia="Times New Roman" w:cs="Times New Roman"/>
                <w:spacing w:val="6"/>
                <w:sz w:val="20"/>
                <w:szCs w:val="20"/>
              </w:rPr>
              <w:t xml:space="preserve">1.44 </w:t>
            </w:r>
            <w:r>
              <w:rPr>
                <w:spacing w:val="6"/>
                <w:sz w:val="20"/>
                <w:szCs w:val="20"/>
              </w:rPr>
              <w:t>万吨，氨氮允许排放</w:t>
            </w:r>
            <w:r>
              <w:rPr>
                <w:sz w:val="20"/>
                <w:szCs w:val="20"/>
              </w:rPr>
              <w:t xml:space="preserve"> </w:t>
            </w:r>
            <w:r>
              <w:rPr>
                <w:spacing w:val="10"/>
                <w:sz w:val="20"/>
                <w:szCs w:val="20"/>
              </w:rPr>
              <w:t>量不得超过</w:t>
            </w:r>
            <w:r>
              <w:rPr>
                <w:spacing w:val="-18"/>
                <w:sz w:val="20"/>
                <w:szCs w:val="20"/>
              </w:rPr>
              <w:t xml:space="preserve"> </w:t>
            </w:r>
            <w:r>
              <w:rPr>
                <w:rFonts w:ascii="Times New Roman" w:hAnsi="Times New Roman" w:eastAsia="Times New Roman" w:cs="Times New Roman"/>
                <w:spacing w:val="10"/>
                <w:sz w:val="20"/>
                <w:szCs w:val="20"/>
              </w:rPr>
              <w:t>0.50</w:t>
            </w:r>
            <w:r>
              <w:rPr>
                <w:rFonts w:ascii="Times New Roman" w:hAnsi="Times New Roman" w:eastAsia="Times New Roman" w:cs="Times New Roman"/>
                <w:spacing w:val="20"/>
                <w:sz w:val="20"/>
                <w:szCs w:val="20"/>
              </w:rPr>
              <w:t xml:space="preserve"> </w:t>
            </w:r>
            <w:r>
              <w:rPr>
                <w:spacing w:val="10"/>
                <w:sz w:val="20"/>
                <w:szCs w:val="20"/>
              </w:rPr>
              <w:t>万吨。（</w:t>
            </w:r>
            <w:r>
              <w:rPr>
                <w:rFonts w:ascii="Times New Roman" w:hAnsi="Times New Roman" w:eastAsia="Times New Roman" w:cs="Times New Roman"/>
                <w:spacing w:val="10"/>
                <w:sz w:val="20"/>
                <w:szCs w:val="20"/>
              </w:rPr>
              <w:t>2</w:t>
            </w:r>
            <w:r>
              <w:rPr>
                <w:spacing w:val="10"/>
                <w:sz w:val="20"/>
                <w:szCs w:val="20"/>
              </w:rPr>
              <w:t>）环境空气质</w:t>
            </w:r>
          </w:p>
        </w:tc>
        <w:tc>
          <w:tcPr>
            <w:tcW w:w="2619" w:type="dxa"/>
            <w:vMerge w:val="continue"/>
            <w:tcBorders>
              <w:top w:val="nil"/>
              <w:bottom w:val="single" w:color="000000" w:sz="6" w:space="0"/>
            </w:tcBorders>
            <w:vAlign w:val="top"/>
          </w:tcPr>
          <w:p w14:paraId="2EB6EF90">
            <w:pPr>
              <w:rPr>
                <w:rFonts w:ascii="Arial"/>
                <w:sz w:val="21"/>
              </w:rPr>
            </w:pPr>
          </w:p>
        </w:tc>
        <w:tc>
          <w:tcPr>
            <w:tcW w:w="693" w:type="dxa"/>
            <w:tcBorders>
              <w:bottom w:val="single" w:color="000000" w:sz="6" w:space="0"/>
              <w:right w:val="single" w:color="000000" w:sz="6" w:space="0"/>
            </w:tcBorders>
            <w:textDirection w:val="tbRlV"/>
            <w:vAlign w:val="top"/>
          </w:tcPr>
          <w:p w14:paraId="1154DECC">
            <w:pPr>
              <w:pStyle w:val="6"/>
              <w:spacing w:before="290" w:line="215" w:lineRule="auto"/>
              <w:ind w:left="181"/>
              <w:rPr>
                <w:sz w:val="20"/>
                <w:szCs w:val="20"/>
              </w:rPr>
            </w:pPr>
            <w:r>
              <w:rPr>
                <w:spacing w:val="8"/>
                <w:sz w:val="20"/>
                <w:szCs w:val="20"/>
              </w:rPr>
              <w:t>符</w:t>
            </w:r>
            <w:r>
              <w:rPr>
                <w:spacing w:val="-38"/>
                <w:sz w:val="20"/>
                <w:szCs w:val="20"/>
              </w:rPr>
              <w:t xml:space="preserve"> </w:t>
            </w:r>
            <w:r>
              <w:rPr>
                <w:spacing w:val="8"/>
                <w:sz w:val="20"/>
                <w:szCs w:val="20"/>
              </w:rPr>
              <w:t>合</w:t>
            </w:r>
          </w:p>
        </w:tc>
      </w:tr>
    </w:tbl>
    <w:p w14:paraId="719B935C">
      <w:pPr>
        <w:rPr>
          <w:rFonts w:ascii="Arial"/>
          <w:sz w:val="21"/>
        </w:rPr>
      </w:pPr>
    </w:p>
    <w:p w14:paraId="7CE312A3">
      <w:pPr>
        <w:rPr>
          <w:rFonts w:ascii="Arial" w:hAnsi="Arial" w:eastAsia="Arial" w:cs="Arial"/>
          <w:sz w:val="21"/>
          <w:szCs w:val="21"/>
        </w:rPr>
        <w:sectPr>
          <w:footerReference r:id="rId15" w:type="default"/>
          <w:pgSz w:w="11906" w:h="16839"/>
          <w:pgMar w:top="1431" w:right="1407" w:bottom="1278" w:left="1407" w:header="0" w:footer="1116" w:gutter="0"/>
          <w:cols w:space="720" w:num="1"/>
        </w:sectPr>
      </w:pPr>
    </w:p>
    <w:p w14:paraId="061913D1">
      <w:pPr>
        <w:spacing w:line="99" w:lineRule="exact"/>
      </w:pPr>
    </w:p>
    <w:tbl>
      <w:tblPr>
        <w:tblStyle w:val="5"/>
        <w:tblW w:w="907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8062"/>
      </w:tblGrid>
      <w:tr w14:paraId="2ADB3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8" w:hRule="atLeast"/>
        </w:trPr>
        <w:tc>
          <w:tcPr>
            <w:tcW w:w="1014" w:type="dxa"/>
            <w:tcBorders>
              <w:left w:val="single" w:color="000000" w:sz="6" w:space="0"/>
              <w:right w:val="single" w:color="000000" w:sz="2" w:space="0"/>
            </w:tcBorders>
            <w:vAlign w:val="top"/>
          </w:tcPr>
          <w:p w14:paraId="77C43494">
            <w:pPr>
              <w:rPr>
                <w:rFonts w:ascii="Arial"/>
                <w:sz w:val="21"/>
              </w:rPr>
            </w:pPr>
          </w:p>
        </w:tc>
        <w:tc>
          <w:tcPr>
            <w:tcW w:w="8062" w:type="dxa"/>
            <w:tcBorders>
              <w:left w:val="single" w:color="000000" w:sz="2" w:space="0"/>
              <w:right w:val="single" w:color="000000" w:sz="6" w:space="0"/>
            </w:tcBorders>
            <w:vAlign w:val="top"/>
          </w:tcPr>
          <w:p w14:paraId="715D5713">
            <w:pPr>
              <w:spacing w:line="15" w:lineRule="exact"/>
            </w:pPr>
          </w:p>
          <w:tbl>
            <w:tblPr>
              <w:tblStyle w:val="5"/>
              <w:tblW w:w="7839"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7"/>
              <w:gridCol w:w="4027"/>
              <w:gridCol w:w="2621"/>
              <w:gridCol w:w="574"/>
            </w:tblGrid>
            <w:tr w14:paraId="183FC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617" w:type="dxa"/>
                  <w:vMerge w:val="restart"/>
                  <w:tcBorders>
                    <w:top w:val="nil"/>
                    <w:bottom w:val="nil"/>
                  </w:tcBorders>
                  <w:textDirection w:val="tbRlV"/>
                  <w:vAlign w:val="top"/>
                </w:tcPr>
                <w:p w14:paraId="31AB8D67">
                  <w:pPr>
                    <w:pStyle w:val="6"/>
                    <w:spacing w:before="202" w:line="217" w:lineRule="auto"/>
                    <w:ind w:left="40"/>
                    <w:rPr>
                      <w:sz w:val="20"/>
                      <w:szCs w:val="20"/>
                    </w:rPr>
                  </w:pPr>
                  <w:r>
                    <w:rPr>
                      <w:spacing w:val="8"/>
                      <w:sz w:val="20"/>
                      <w:szCs w:val="20"/>
                    </w:rPr>
                    <w:t>态</w:t>
                  </w:r>
                  <w:r>
                    <w:rPr>
                      <w:spacing w:val="-30"/>
                      <w:sz w:val="20"/>
                      <w:szCs w:val="20"/>
                    </w:rPr>
                    <w:t xml:space="preserve"> </w:t>
                  </w:r>
                  <w:r>
                    <w:rPr>
                      <w:spacing w:val="8"/>
                      <w:sz w:val="20"/>
                      <w:szCs w:val="20"/>
                    </w:rPr>
                    <w:t>环</w:t>
                  </w:r>
                  <w:r>
                    <w:rPr>
                      <w:spacing w:val="-37"/>
                      <w:sz w:val="20"/>
                      <w:szCs w:val="20"/>
                    </w:rPr>
                    <w:t xml:space="preserve"> </w:t>
                  </w:r>
                  <w:r>
                    <w:rPr>
                      <w:spacing w:val="8"/>
                      <w:sz w:val="20"/>
                      <w:szCs w:val="20"/>
                    </w:rPr>
                    <w:t>境</w:t>
                  </w:r>
                  <w:r>
                    <w:rPr>
                      <w:spacing w:val="-35"/>
                      <w:sz w:val="20"/>
                      <w:szCs w:val="20"/>
                    </w:rPr>
                    <w:t xml:space="preserve"> </w:t>
                  </w:r>
                  <w:r>
                    <w:rPr>
                      <w:spacing w:val="8"/>
                      <w:sz w:val="20"/>
                      <w:szCs w:val="20"/>
                    </w:rPr>
                    <w:t>总</w:t>
                  </w:r>
                  <w:r>
                    <w:rPr>
                      <w:spacing w:val="-38"/>
                      <w:sz w:val="20"/>
                      <w:szCs w:val="20"/>
                    </w:rPr>
                    <w:t xml:space="preserve"> </w:t>
                  </w:r>
                  <w:r>
                    <w:rPr>
                      <w:spacing w:val="8"/>
                      <w:sz w:val="20"/>
                      <w:szCs w:val="20"/>
                    </w:rPr>
                    <w:t>体</w:t>
                  </w:r>
                  <w:r>
                    <w:rPr>
                      <w:spacing w:val="-38"/>
                      <w:sz w:val="20"/>
                      <w:szCs w:val="20"/>
                    </w:rPr>
                    <w:t xml:space="preserve"> </w:t>
                  </w:r>
                  <w:r>
                    <w:rPr>
                      <w:spacing w:val="8"/>
                      <w:sz w:val="20"/>
                      <w:szCs w:val="20"/>
                    </w:rPr>
                    <w:t>准</w:t>
                  </w:r>
                  <w:r>
                    <w:rPr>
                      <w:spacing w:val="-35"/>
                      <w:sz w:val="20"/>
                      <w:szCs w:val="20"/>
                    </w:rPr>
                    <w:t xml:space="preserve"> </w:t>
                  </w:r>
                  <w:r>
                    <w:rPr>
                      <w:spacing w:val="8"/>
                      <w:sz w:val="20"/>
                      <w:szCs w:val="20"/>
                    </w:rPr>
                    <w:t>入</w:t>
                  </w:r>
                  <w:r>
                    <w:rPr>
                      <w:spacing w:val="-35"/>
                      <w:sz w:val="20"/>
                      <w:szCs w:val="20"/>
                    </w:rPr>
                    <w:t xml:space="preserve"> </w:t>
                  </w:r>
                  <w:r>
                    <w:rPr>
                      <w:spacing w:val="8"/>
                      <w:sz w:val="20"/>
                      <w:szCs w:val="20"/>
                    </w:rPr>
                    <w:t>要</w:t>
                  </w:r>
                  <w:r>
                    <w:rPr>
                      <w:spacing w:val="-38"/>
                      <w:sz w:val="20"/>
                      <w:szCs w:val="20"/>
                    </w:rPr>
                    <w:t xml:space="preserve"> </w:t>
                  </w:r>
                  <w:r>
                    <w:rPr>
                      <w:spacing w:val="8"/>
                      <w:sz w:val="20"/>
                      <w:szCs w:val="20"/>
                    </w:rPr>
                    <w:t>求</w:t>
                  </w:r>
                </w:p>
              </w:tc>
              <w:tc>
                <w:tcPr>
                  <w:tcW w:w="4027" w:type="dxa"/>
                  <w:tcBorders>
                    <w:top w:val="nil"/>
                  </w:tcBorders>
                  <w:vAlign w:val="top"/>
                </w:tcPr>
                <w:p w14:paraId="3FAAF6BE">
                  <w:pPr>
                    <w:pStyle w:val="6"/>
                    <w:spacing w:before="40"/>
                    <w:ind w:left="111" w:right="104"/>
                    <w:jc w:val="both"/>
                    <w:rPr>
                      <w:sz w:val="20"/>
                      <w:szCs w:val="20"/>
                    </w:rPr>
                  </w:pPr>
                  <w:r>
                    <w:rPr>
                      <w:spacing w:val="11"/>
                      <w:sz w:val="20"/>
                      <w:szCs w:val="20"/>
                    </w:rPr>
                    <w:t>量总体保持优良，区域内二氧化硫排放量</w:t>
                  </w:r>
                  <w:r>
                    <w:rPr>
                      <w:spacing w:val="6"/>
                      <w:sz w:val="20"/>
                      <w:szCs w:val="20"/>
                    </w:rPr>
                    <w:t xml:space="preserve"> </w:t>
                  </w:r>
                  <w:r>
                    <w:rPr>
                      <w:spacing w:val="7"/>
                      <w:sz w:val="20"/>
                      <w:szCs w:val="20"/>
                    </w:rPr>
                    <w:t>控制在</w:t>
                  </w:r>
                  <w:r>
                    <w:rPr>
                      <w:spacing w:val="-17"/>
                      <w:sz w:val="20"/>
                      <w:szCs w:val="20"/>
                    </w:rPr>
                    <w:t xml:space="preserve"> </w:t>
                  </w:r>
                  <w:r>
                    <w:rPr>
                      <w:rFonts w:ascii="Times New Roman" w:hAnsi="Times New Roman" w:eastAsia="Times New Roman" w:cs="Times New Roman"/>
                      <w:spacing w:val="7"/>
                      <w:sz w:val="20"/>
                      <w:szCs w:val="20"/>
                    </w:rPr>
                    <w:t>10.06</w:t>
                  </w:r>
                  <w:r>
                    <w:rPr>
                      <w:rFonts w:ascii="Times New Roman" w:hAnsi="Times New Roman" w:eastAsia="Times New Roman" w:cs="Times New Roman"/>
                      <w:spacing w:val="17"/>
                      <w:sz w:val="20"/>
                      <w:szCs w:val="20"/>
                    </w:rPr>
                    <w:t xml:space="preserve"> </w:t>
                  </w:r>
                  <w:r>
                    <w:rPr>
                      <w:spacing w:val="7"/>
                      <w:sz w:val="20"/>
                      <w:szCs w:val="20"/>
                    </w:rPr>
                    <w:t>万吨</w:t>
                  </w:r>
                  <w:r>
                    <w:rPr>
                      <w:rFonts w:ascii="Times New Roman" w:hAnsi="Times New Roman" w:eastAsia="Times New Roman" w:cs="Times New Roman"/>
                      <w:spacing w:val="7"/>
                      <w:sz w:val="20"/>
                      <w:szCs w:val="20"/>
                    </w:rPr>
                    <w:t>/</w:t>
                  </w:r>
                  <w:r>
                    <w:rPr>
                      <w:spacing w:val="7"/>
                      <w:sz w:val="20"/>
                      <w:szCs w:val="20"/>
                    </w:rPr>
                    <w:t>年以下、氮氧化物排放</w:t>
                  </w:r>
                  <w:r>
                    <w:rPr>
                      <w:sz w:val="20"/>
                      <w:szCs w:val="20"/>
                    </w:rPr>
                    <w:t xml:space="preserve"> </w:t>
                  </w:r>
                  <w:r>
                    <w:rPr>
                      <w:spacing w:val="5"/>
                      <w:sz w:val="20"/>
                      <w:szCs w:val="20"/>
                    </w:rPr>
                    <w:t>量控制在</w:t>
                  </w:r>
                  <w:r>
                    <w:rPr>
                      <w:spacing w:val="-37"/>
                      <w:sz w:val="20"/>
                      <w:szCs w:val="20"/>
                    </w:rPr>
                    <w:t xml:space="preserve"> </w:t>
                  </w:r>
                  <w:r>
                    <w:rPr>
                      <w:rFonts w:ascii="Times New Roman" w:hAnsi="Times New Roman" w:eastAsia="Times New Roman" w:cs="Times New Roman"/>
                      <w:spacing w:val="5"/>
                      <w:sz w:val="20"/>
                      <w:szCs w:val="20"/>
                    </w:rPr>
                    <w:t>9.32</w:t>
                  </w:r>
                  <w:r>
                    <w:rPr>
                      <w:rFonts w:ascii="Times New Roman" w:hAnsi="Times New Roman" w:eastAsia="Times New Roman" w:cs="Times New Roman"/>
                      <w:spacing w:val="17"/>
                      <w:w w:val="101"/>
                      <w:sz w:val="20"/>
                      <w:szCs w:val="20"/>
                    </w:rPr>
                    <w:t xml:space="preserve"> </w:t>
                  </w:r>
                  <w:r>
                    <w:rPr>
                      <w:spacing w:val="5"/>
                      <w:sz w:val="20"/>
                      <w:szCs w:val="20"/>
                    </w:rPr>
                    <w:t>万吨</w:t>
                  </w:r>
                  <w:r>
                    <w:rPr>
                      <w:rFonts w:ascii="Times New Roman" w:hAnsi="Times New Roman" w:eastAsia="Times New Roman" w:cs="Times New Roman"/>
                      <w:spacing w:val="5"/>
                      <w:sz w:val="20"/>
                      <w:szCs w:val="20"/>
                    </w:rPr>
                    <w:t>/</w:t>
                  </w:r>
                  <w:r>
                    <w:rPr>
                      <w:spacing w:val="5"/>
                      <w:sz w:val="20"/>
                      <w:szCs w:val="20"/>
                    </w:rPr>
                    <w:t>年以下。</w:t>
                  </w:r>
                </w:p>
              </w:tc>
              <w:tc>
                <w:tcPr>
                  <w:tcW w:w="2621" w:type="dxa"/>
                  <w:tcBorders>
                    <w:top w:val="nil"/>
                  </w:tcBorders>
                  <w:vAlign w:val="top"/>
                </w:tcPr>
                <w:p w14:paraId="35051788">
                  <w:pPr>
                    <w:rPr>
                      <w:rFonts w:ascii="Arial"/>
                      <w:sz w:val="21"/>
                    </w:rPr>
                  </w:pPr>
                </w:p>
              </w:tc>
              <w:tc>
                <w:tcPr>
                  <w:tcW w:w="574" w:type="dxa"/>
                  <w:tcBorders>
                    <w:top w:val="nil"/>
                  </w:tcBorders>
                  <w:vAlign w:val="top"/>
                </w:tcPr>
                <w:p w14:paraId="5F531278">
                  <w:pPr>
                    <w:rPr>
                      <w:rFonts w:ascii="Arial"/>
                      <w:sz w:val="21"/>
                    </w:rPr>
                  </w:pPr>
                </w:p>
              </w:tc>
            </w:tr>
            <w:tr w14:paraId="4D9FC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17" w:type="dxa"/>
                  <w:vMerge w:val="continue"/>
                  <w:tcBorders>
                    <w:top w:val="nil"/>
                    <w:bottom w:val="nil"/>
                  </w:tcBorders>
                  <w:textDirection w:val="tbRlV"/>
                  <w:vAlign w:val="top"/>
                </w:tcPr>
                <w:p w14:paraId="18C4EC20">
                  <w:pPr>
                    <w:rPr>
                      <w:rFonts w:ascii="Arial"/>
                      <w:sz w:val="21"/>
                    </w:rPr>
                  </w:pPr>
                </w:p>
              </w:tc>
              <w:tc>
                <w:tcPr>
                  <w:tcW w:w="4027" w:type="dxa"/>
                  <w:vAlign w:val="top"/>
                </w:tcPr>
                <w:p w14:paraId="22B08BD9">
                  <w:pPr>
                    <w:pStyle w:val="6"/>
                    <w:spacing w:before="33" w:line="246" w:lineRule="auto"/>
                    <w:ind w:left="112" w:right="104"/>
                    <w:jc w:val="both"/>
                    <w:rPr>
                      <w:sz w:val="20"/>
                      <w:szCs w:val="20"/>
                    </w:rPr>
                  </w:pPr>
                  <w:r>
                    <w:rPr>
                      <w:b/>
                      <w:bCs/>
                      <w:spacing w:val="8"/>
                      <w:sz w:val="20"/>
                      <w:szCs w:val="20"/>
                    </w:rPr>
                    <w:t>环境风险防控</w:t>
                  </w:r>
                  <w:r>
                    <w:rPr>
                      <w:b/>
                      <w:bCs/>
                      <w:spacing w:val="-25"/>
                      <w:sz w:val="20"/>
                      <w:szCs w:val="20"/>
                    </w:rPr>
                    <w:t>：</w:t>
                  </w:r>
                  <w:r>
                    <w:rPr>
                      <w:spacing w:val="-25"/>
                      <w:sz w:val="20"/>
                      <w:szCs w:val="20"/>
                    </w:rPr>
                    <w:t>（</w:t>
                  </w:r>
                  <w:r>
                    <w:rPr>
                      <w:rFonts w:ascii="Times New Roman" w:hAnsi="Times New Roman" w:eastAsia="Times New Roman" w:cs="Times New Roman"/>
                      <w:spacing w:val="8"/>
                      <w:sz w:val="20"/>
                      <w:szCs w:val="20"/>
                    </w:rPr>
                    <w:t>1</w:t>
                  </w:r>
                  <w:r>
                    <w:rPr>
                      <w:spacing w:val="8"/>
                      <w:sz w:val="20"/>
                      <w:szCs w:val="20"/>
                    </w:rPr>
                    <w:t>）严格控制长江、珠江</w:t>
                  </w:r>
                  <w:r>
                    <w:rPr>
                      <w:spacing w:val="1"/>
                      <w:sz w:val="20"/>
                      <w:szCs w:val="20"/>
                    </w:rPr>
                    <w:t xml:space="preserve"> </w:t>
                  </w:r>
                  <w:r>
                    <w:rPr>
                      <w:spacing w:val="11"/>
                      <w:sz w:val="20"/>
                      <w:szCs w:val="20"/>
                    </w:rPr>
                    <w:t>两大水系干流沿岸和滇池、阳宗海流域的</w:t>
                  </w:r>
                  <w:r>
                    <w:rPr>
                      <w:spacing w:val="5"/>
                      <w:sz w:val="20"/>
                      <w:szCs w:val="20"/>
                    </w:rPr>
                    <w:t xml:space="preserve"> </w:t>
                  </w:r>
                  <w:r>
                    <w:rPr>
                      <w:spacing w:val="11"/>
                      <w:sz w:val="20"/>
                      <w:szCs w:val="20"/>
                    </w:rPr>
                    <w:t>石化、化工、有色金属冶炼等项目环境风</w:t>
                  </w:r>
                  <w:r>
                    <w:rPr>
                      <w:spacing w:val="5"/>
                      <w:sz w:val="20"/>
                      <w:szCs w:val="20"/>
                    </w:rPr>
                    <w:t xml:space="preserve"> </w:t>
                  </w:r>
                  <w:r>
                    <w:rPr>
                      <w:spacing w:val="11"/>
                      <w:sz w:val="20"/>
                      <w:szCs w:val="20"/>
                    </w:rPr>
                    <w:t>险，合理布局生产装置及危险化学品仓储</w:t>
                  </w:r>
                  <w:r>
                    <w:rPr>
                      <w:spacing w:val="5"/>
                      <w:sz w:val="20"/>
                      <w:szCs w:val="20"/>
                    </w:rPr>
                    <w:t xml:space="preserve"> 等设施。（</w:t>
                  </w:r>
                  <w:r>
                    <w:rPr>
                      <w:rFonts w:ascii="Times New Roman" w:hAnsi="Times New Roman" w:eastAsia="Times New Roman" w:cs="Times New Roman"/>
                      <w:spacing w:val="5"/>
                      <w:sz w:val="20"/>
                      <w:szCs w:val="20"/>
                    </w:rPr>
                    <w:t>2</w:t>
                  </w:r>
                  <w:r>
                    <w:rPr>
                      <w:spacing w:val="5"/>
                      <w:sz w:val="20"/>
                      <w:szCs w:val="20"/>
                    </w:rPr>
                    <w:t>）强化与其他滇中城市的大气</w:t>
                  </w:r>
                  <w:r>
                    <w:rPr>
                      <w:spacing w:val="6"/>
                      <w:sz w:val="20"/>
                      <w:szCs w:val="20"/>
                    </w:rPr>
                    <w:t xml:space="preserve"> </w:t>
                  </w:r>
                  <w:r>
                    <w:rPr>
                      <w:spacing w:val="11"/>
                      <w:sz w:val="20"/>
                      <w:szCs w:val="20"/>
                    </w:rPr>
                    <w:t>污染防治联防联控协作机制，加强区域内</w:t>
                  </w:r>
                  <w:r>
                    <w:rPr>
                      <w:spacing w:val="5"/>
                      <w:sz w:val="20"/>
                      <w:szCs w:val="20"/>
                    </w:rPr>
                    <w:t xml:space="preserve"> </w:t>
                  </w:r>
                  <w:r>
                    <w:rPr>
                      <w:spacing w:val="7"/>
                      <w:sz w:val="20"/>
                      <w:szCs w:val="20"/>
                    </w:rPr>
                    <w:t>重污染天气应急联动。</w:t>
                  </w:r>
                </w:p>
              </w:tc>
              <w:tc>
                <w:tcPr>
                  <w:tcW w:w="2621" w:type="dxa"/>
                  <w:vAlign w:val="top"/>
                </w:tcPr>
                <w:p w14:paraId="56619F3D">
                  <w:pPr>
                    <w:pStyle w:val="6"/>
                    <w:spacing w:before="166" w:line="227" w:lineRule="auto"/>
                    <w:ind w:left="269"/>
                    <w:rPr>
                      <w:sz w:val="20"/>
                      <w:szCs w:val="20"/>
                    </w:rPr>
                  </w:pPr>
                  <w:r>
                    <w:rPr>
                      <w:spacing w:val="8"/>
                      <w:sz w:val="20"/>
                      <w:szCs w:val="20"/>
                    </w:rPr>
                    <w:t>本项目属于光伏发电项</w:t>
                  </w:r>
                </w:p>
                <w:p w14:paraId="288EFC3D">
                  <w:pPr>
                    <w:pStyle w:val="6"/>
                    <w:spacing w:before="27" w:line="229" w:lineRule="auto"/>
                    <w:ind w:left="202"/>
                    <w:rPr>
                      <w:sz w:val="20"/>
                      <w:szCs w:val="20"/>
                    </w:rPr>
                  </w:pPr>
                  <w:r>
                    <w:rPr>
                      <w:spacing w:val="4"/>
                      <w:sz w:val="20"/>
                      <w:szCs w:val="20"/>
                    </w:rPr>
                    <w:t>目，不涉及石化、化工、</w:t>
                  </w:r>
                </w:p>
                <w:p w14:paraId="6DD412AC">
                  <w:pPr>
                    <w:pStyle w:val="6"/>
                    <w:spacing w:before="22" w:line="228" w:lineRule="auto"/>
                    <w:ind w:left="163"/>
                    <w:rPr>
                      <w:sz w:val="20"/>
                      <w:szCs w:val="20"/>
                    </w:rPr>
                  </w:pPr>
                  <w:r>
                    <w:rPr>
                      <w:spacing w:val="9"/>
                      <w:sz w:val="20"/>
                      <w:szCs w:val="20"/>
                    </w:rPr>
                    <w:t>有色金属冶炼等。项目位</w:t>
                  </w:r>
                </w:p>
                <w:p w14:paraId="1F0E5B76">
                  <w:pPr>
                    <w:pStyle w:val="6"/>
                    <w:spacing w:before="26" w:line="228" w:lineRule="auto"/>
                    <w:ind w:left="166"/>
                    <w:rPr>
                      <w:sz w:val="20"/>
                      <w:szCs w:val="20"/>
                    </w:rPr>
                  </w:pPr>
                  <w:r>
                    <w:rPr>
                      <w:spacing w:val="8"/>
                      <w:sz w:val="20"/>
                      <w:szCs w:val="20"/>
                    </w:rPr>
                    <w:t>于长江流域，项目建设符</w:t>
                  </w:r>
                </w:p>
                <w:p w14:paraId="57E76C15">
                  <w:pPr>
                    <w:pStyle w:val="6"/>
                    <w:spacing w:before="25" w:line="228" w:lineRule="auto"/>
                    <w:ind w:left="269"/>
                    <w:rPr>
                      <w:sz w:val="20"/>
                      <w:szCs w:val="20"/>
                    </w:rPr>
                  </w:pPr>
                  <w:r>
                    <w:rPr>
                      <w:spacing w:val="8"/>
                      <w:sz w:val="20"/>
                      <w:szCs w:val="20"/>
                    </w:rPr>
                    <w:t>合长江流域相关政策要</w:t>
                  </w:r>
                </w:p>
                <w:p w14:paraId="32DC2E44">
                  <w:pPr>
                    <w:pStyle w:val="6"/>
                    <w:spacing w:before="24" w:line="229" w:lineRule="auto"/>
                    <w:ind w:left="1110"/>
                    <w:rPr>
                      <w:sz w:val="20"/>
                      <w:szCs w:val="20"/>
                    </w:rPr>
                  </w:pPr>
                  <w:r>
                    <w:rPr>
                      <w:spacing w:val="-1"/>
                      <w:sz w:val="20"/>
                      <w:szCs w:val="20"/>
                    </w:rPr>
                    <w:t>求。</w:t>
                  </w:r>
                </w:p>
              </w:tc>
              <w:tc>
                <w:tcPr>
                  <w:tcW w:w="574" w:type="dxa"/>
                  <w:textDirection w:val="tbRlV"/>
                  <w:vAlign w:val="top"/>
                </w:tcPr>
                <w:p w14:paraId="317D62D8">
                  <w:pPr>
                    <w:pStyle w:val="6"/>
                    <w:spacing w:before="178" w:line="215" w:lineRule="auto"/>
                    <w:ind w:left="711"/>
                    <w:rPr>
                      <w:sz w:val="20"/>
                      <w:szCs w:val="20"/>
                    </w:rPr>
                  </w:pPr>
                  <w:r>
                    <w:rPr>
                      <w:spacing w:val="8"/>
                      <w:sz w:val="20"/>
                      <w:szCs w:val="20"/>
                    </w:rPr>
                    <w:t>符</w:t>
                  </w:r>
                  <w:r>
                    <w:rPr>
                      <w:spacing w:val="-35"/>
                      <w:sz w:val="20"/>
                      <w:szCs w:val="20"/>
                    </w:rPr>
                    <w:t xml:space="preserve"> </w:t>
                  </w:r>
                  <w:r>
                    <w:rPr>
                      <w:spacing w:val="8"/>
                      <w:sz w:val="20"/>
                      <w:szCs w:val="20"/>
                    </w:rPr>
                    <w:t>合</w:t>
                  </w:r>
                </w:p>
              </w:tc>
            </w:tr>
            <w:tr w14:paraId="5C7C1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1" w:hRule="atLeast"/>
              </w:trPr>
              <w:tc>
                <w:tcPr>
                  <w:tcW w:w="617" w:type="dxa"/>
                  <w:vMerge w:val="continue"/>
                  <w:tcBorders>
                    <w:top w:val="nil"/>
                  </w:tcBorders>
                  <w:textDirection w:val="tbRlV"/>
                  <w:vAlign w:val="top"/>
                </w:tcPr>
                <w:p w14:paraId="0A0D8471">
                  <w:pPr>
                    <w:rPr>
                      <w:rFonts w:ascii="Arial"/>
                      <w:sz w:val="21"/>
                    </w:rPr>
                  </w:pPr>
                </w:p>
              </w:tc>
              <w:tc>
                <w:tcPr>
                  <w:tcW w:w="4027" w:type="dxa"/>
                  <w:vAlign w:val="top"/>
                </w:tcPr>
                <w:p w14:paraId="3C4C52FF">
                  <w:pPr>
                    <w:pStyle w:val="6"/>
                    <w:spacing w:before="32" w:line="244" w:lineRule="auto"/>
                    <w:ind w:left="114" w:right="104" w:firstLine="6"/>
                    <w:rPr>
                      <w:sz w:val="20"/>
                      <w:szCs w:val="20"/>
                    </w:rPr>
                  </w:pPr>
                  <w:r>
                    <w:rPr>
                      <w:b/>
                      <w:bCs/>
                      <w:spacing w:val="9"/>
                      <w:sz w:val="20"/>
                      <w:szCs w:val="20"/>
                    </w:rPr>
                    <w:t>资源利用效率：</w:t>
                  </w:r>
                  <w:r>
                    <w:rPr>
                      <w:spacing w:val="9"/>
                      <w:sz w:val="20"/>
                      <w:szCs w:val="20"/>
                    </w:rPr>
                    <w:t>水资源利用效率要求：水</w:t>
                  </w:r>
                  <w:r>
                    <w:rPr>
                      <w:spacing w:val="16"/>
                      <w:sz w:val="20"/>
                      <w:szCs w:val="20"/>
                    </w:rPr>
                    <w:t xml:space="preserve"> </w:t>
                  </w:r>
                  <w:r>
                    <w:rPr>
                      <w:spacing w:val="11"/>
                      <w:sz w:val="20"/>
                      <w:szCs w:val="20"/>
                    </w:rPr>
                    <w:t>资源利用效率持续提高，完成省级下达的</w:t>
                  </w:r>
                  <w:r>
                    <w:rPr>
                      <w:spacing w:val="3"/>
                      <w:sz w:val="20"/>
                      <w:szCs w:val="20"/>
                    </w:rPr>
                    <w:t xml:space="preserve"> </w:t>
                  </w:r>
                  <w:r>
                    <w:rPr>
                      <w:spacing w:val="11"/>
                      <w:sz w:val="20"/>
                      <w:szCs w:val="20"/>
                    </w:rPr>
                    <w:t>水资源利用效率目标要求。能源利用效率</w:t>
                  </w:r>
                </w:p>
                <w:p w14:paraId="4C66B400">
                  <w:pPr>
                    <w:pStyle w:val="6"/>
                    <w:spacing w:before="26" w:line="239" w:lineRule="auto"/>
                    <w:ind w:left="117" w:right="104" w:hanging="5"/>
                    <w:rPr>
                      <w:sz w:val="20"/>
                      <w:szCs w:val="20"/>
                    </w:rPr>
                  </w:pPr>
                  <w:r>
                    <w:rPr>
                      <w:spacing w:val="11"/>
                      <w:sz w:val="20"/>
                      <w:szCs w:val="20"/>
                    </w:rPr>
                    <w:t>要求：能源利用效率持续提高，完成省级</w:t>
                  </w:r>
                  <w:r>
                    <w:rPr>
                      <w:spacing w:val="5"/>
                      <w:sz w:val="20"/>
                      <w:szCs w:val="20"/>
                    </w:rPr>
                    <w:t xml:space="preserve"> </w:t>
                  </w:r>
                  <w:r>
                    <w:rPr>
                      <w:spacing w:val="11"/>
                      <w:sz w:val="20"/>
                      <w:szCs w:val="20"/>
                    </w:rPr>
                    <w:t>下达的能源利用效率目标。碳排放强度控</w:t>
                  </w:r>
                </w:p>
                <w:p w14:paraId="59A9D936">
                  <w:pPr>
                    <w:pStyle w:val="6"/>
                    <w:spacing w:before="24" w:line="245" w:lineRule="auto"/>
                    <w:ind w:left="111" w:right="104" w:firstLine="1"/>
                    <w:rPr>
                      <w:sz w:val="20"/>
                      <w:szCs w:val="20"/>
                    </w:rPr>
                  </w:pPr>
                  <w:r>
                    <w:rPr>
                      <w:spacing w:val="9"/>
                      <w:sz w:val="20"/>
                      <w:szCs w:val="20"/>
                    </w:rPr>
                    <w:t>制要求</w:t>
                  </w:r>
                  <w:r>
                    <w:rPr>
                      <w:spacing w:val="-26"/>
                      <w:sz w:val="20"/>
                      <w:szCs w:val="20"/>
                    </w:rPr>
                    <w:t>：（</w:t>
                  </w:r>
                  <w:r>
                    <w:rPr>
                      <w:rFonts w:ascii="Times New Roman" w:hAnsi="Times New Roman" w:eastAsia="Times New Roman" w:cs="Times New Roman"/>
                      <w:spacing w:val="9"/>
                      <w:sz w:val="20"/>
                      <w:szCs w:val="20"/>
                    </w:rPr>
                    <w:t>1</w:t>
                  </w:r>
                  <w:r>
                    <w:rPr>
                      <w:spacing w:val="9"/>
                      <w:sz w:val="20"/>
                      <w:szCs w:val="20"/>
                    </w:rPr>
                    <w:t>）全市绿色低碳产业结构基本</w:t>
                  </w:r>
                  <w:r>
                    <w:rPr>
                      <w:sz w:val="20"/>
                      <w:szCs w:val="20"/>
                    </w:rPr>
                    <w:t xml:space="preserve"> </w:t>
                  </w:r>
                  <w:r>
                    <w:rPr>
                      <w:spacing w:val="11"/>
                      <w:sz w:val="20"/>
                      <w:szCs w:val="20"/>
                    </w:rPr>
                    <w:t>形成，能源生产和消费结构进一步优化，</w:t>
                  </w:r>
                  <w:r>
                    <w:rPr>
                      <w:spacing w:val="7"/>
                      <w:sz w:val="20"/>
                      <w:szCs w:val="20"/>
                    </w:rPr>
                    <w:t xml:space="preserve"> </w:t>
                  </w:r>
                  <w:r>
                    <w:rPr>
                      <w:spacing w:val="11"/>
                      <w:sz w:val="20"/>
                      <w:szCs w:val="20"/>
                    </w:rPr>
                    <w:t>实现单位地区生产总值二氧化碳排放量完</w:t>
                  </w:r>
                  <w:r>
                    <w:rPr>
                      <w:spacing w:val="7"/>
                      <w:sz w:val="20"/>
                      <w:szCs w:val="20"/>
                    </w:rPr>
                    <w:t xml:space="preserve"> </w:t>
                  </w:r>
                  <w:r>
                    <w:rPr>
                      <w:spacing w:val="5"/>
                      <w:sz w:val="20"/>
                      <w:szCs w:val="20"/>
                    </w:rPr>
                    <w:t>成省下达任务。（</w:t>
                  </w:r>
                  <w:r>
                    <w:rPr>
                      <w:rFonts w:ascii="Times New Roman" w:hAnsi="Times New Roman" w:eastAsia="Times New Roman" w:cs="Times New Roman"/>
                      <w:spacing w:val="5"/>
                      <w:sz w:val="20"/>
                      <w:szCs w:val="20"/>
                    </w:rPr>
                    <w:t>2</w:t>
                  </w:r>
                  <w:r>
                    <w:rPr>
                      <w:spacing w:val="5"/>
                      <w:sz w:val="20"/>
                      <w:szCs w:val="20"/>
                    </w:rPr>
                    <w:t>）非化石能源消费占能</w:t>
                  </w:r>
                  <w:r>
                    <w:rPr>
                      <w:spacing w:val="10"/>
                      <w:sz w:val="20"/>
                      <w:szCs w:val="20"/>
                    </w:rPr>
                    <w:t xml:space="preserve"> </w:t>
                  </w:r>
                  <w:r>
                    <w:rPr>
                      <w:spacing w:val="7"/>
                      <w:sz w:val="20"/>
                      <w:szCs w:val="20"/>
                    </w:rPr>
                    <w:t>源消费总量比重达到</w:t>
                  </w:r>
                  <w:r>
                    <w:rPr>
                      <w:spacing w:val="-40"/>
                      <w:sz w:val="20"/>
                      <w:szCs w:val="20"/>
                    </w:rPr>
                    <w:t xml:space="preserve"> </w:t>
                  </w:r>
                  <w:r>
                    <w:rPr>
                      <w:rFonts w:ascii="Times New Roman" w:hAnsi="Times New Roman" w:eastAsia="Times New Roman" w:cs="Times New Roman"/>
                      <w:spacing w:val="7"/>
                      <w:sz w:val="20"/>
                      <w:szCs w:val="20"/>
                    </w:rPr>
                    <w:t>20%</w:t>
                  </w:r>
                  <w:r>
                    <w:rPr>
                      <w:spacing w:val="7"/>
                      <w:sz w:val="20"/>
                      <w:szCs w:val="20"/>
                    </w:rPr>
                    <w:t>。</w:t>
                  </w:r>
                </w:p>
              </w:tc>
              <w:tc>
                <w:tcPr>
                  <w:tcW w:w="2621" w:type="dxa"/>
                  <w:vAlign w:val="top"/>
                </w:tcPr>
                <w:p w14:paraId="79BBFE9B">
                  <w:pPr>
                    <w:spacing w:line="322" w:lineRule="auto"/>
                    <w:rPr>
                      <w:rFonts w:ascii="Arial"/>
                      <w:sz w:val="21"/>
                    </w:rPr>
                  </w:pPr>
                </w:p>
                <w:p w14:paraId="2B00735D">
                  <w:pPr>
                    <w:spacing w:line="323" w:lineRule="auto"/>
                    <w:rPr>
                      <w:rFonts w:ascii="Arial"/>
                      <w:sz w:val="21"/>
                    </w:rPr>
                  </w:pPr>
                </w:p>
                <w:p w14:paraId="696A3E31">
                  <w:pPr>
                    <w:pStyle w:val="6"/>
                    <w:spacing w:before="65" w:line="228" w:lineRule="auto"/>
                    <w:ind w:left="166"/>
                    <w:rPr>
                      <w:sz w:val="20"/>
                      <w:szCs w:val="20"/>
                    </w:rPr>
                  </w:pPr>
                  <w:r>
                    <w:rPr>
                      <w:spacing w:val="8"/>
                      <w:sz w:val="20"/>
                      <w:szCs w:val="20"/>
                    </w:rPr>
                    <w:t>项目无外排废水，生活废</w:t>
                  </w:r>
                </w:p>
                <w:p w14:paraId="4993D3A6">
                  <w:pPr>
                    <w:pStyle w:val="6"/>
                    <w:spacing w:before="24" w:line="228" w:lineRule="auto"/>
                    <w:ind w:left="270"/>
                    <w:rPr>
                      <w:sz w:val="20"/>
                      <w:szCs w:val="20"/>
                    </w:rPr>
                  </w:pPr>
                  <w:r>
                    <w:rPr>
                      <w:spacing w:val="8"/>
                      <w:sz w:val="20"/>
                      <w:szCs w:val="20"/>
                    </w:rPr>
                    <w:t>水全部处理后回用于绿</w:t>
                  </w:r>
                </w:p>
                <w:p w14:paraId="744F9018">
                  <w:pPr>
                    <w:pStyle w:val="6"/>
                    <w:spacing w:before="24" w:line="227" w:lineRule="auto"/>
                    <w:ind w:left="163"/>
                    <w:rPr>
                      <w:sz w:val="20"/>
                      <w:szCs w:val="20"/>
                    </w:rPr>
                  </w:pPr>
                  <w:r>
                    <w:rPr>
                      <w:spacing w:val="9"/>
                      <w:sz w:val="20"/>
                      <w:szCs w:val="20"/>
                    </w:rPr>
                    <w:t>化；项目本身属于可再生</w:t>
                  </w:r>
                </w:p>
                <w:p w14:paraId="48813BBE">
                  <w:pPr>
                    <w:pStyle w:val="6"/>
                    <w:spacing w:before="28" w:line="228" w:lineRule="auto"/>
                    <w:ind w:left="171"/>
                    <w:rPr>
                      <w:sz w:val="20"/>
                      <w:szCs w:val="20"/>
                    </w:rPr>
                  </w:pPr>
                  <w:r>
                    <w:rPr>
                      <w:spacing w:val="8"/>
                      <w:sz w:val="20"/>
                      <w:szCs w:val="20"/>
                    </w:rPr>
                    <w:t>资源资开发利用项目，属</w:t>
                  </w:r>
                </w:p>
                <w:p w14:paraId="74363737">
                  <w:pPr>
                    <w:pStyle w:val="6"/>
                    <w:spacing w:before="23" w:line="228" w:lineRule="auto"/>
                    <w:ind w:left="480"/>
                    <w:rPr>
                      <w:sz w:val="20"/>
                      <w:szCs w:val="20"/>
                    </w:rPr>
                  </w:pPr>
                  <w:r>
                    <w:rPr>
                      <w:spacing w:val="7"/>
                      <w:sz w:val="20"/>
                      <w:szCs w:val="20"/>
                    </w:rPr>
                    <w:t>于绿色低碳产业。</w:t>
                  </w:r>
                </w:p>
              </w:tc>
              <w:tc>
                <w:tcPr>
                  <w:tcW w:w="574" w:type="dxa"/>
                  <w:textDirection w:val="tbRlV"/>
                  <w:vAlign w:val="top"/>
                </w:tcPr>
                <w:p w14:paraId="5539AF76">
                  <w:pPr>
                    <w:pStyle w:val="6"/>
                    <w:spacing w:before="178" w:line="215" w:lineRule="auto"/>
                    <w:ind w:left="1123"/>
                    <w:rPr>
                      <w:sz w:val="20"/>
                      <w:szCs w:val="20"/>
                    </w:rPr>
                  </w:pPr>
                  <w:r>
                    <w:rPr>
                      <w:spacing w:val="8"/>
                      <w:sz w:val="20"/>
                      <w:szCs w:val="20"/>
                    </w:rPr>
                    <w:t>符</w:t>
                  </w:r>
                  <w:r>
                    <w:rPr>
                      <w:spacing w:val="-38"/>
                      <w:sz w:val="20"/>
                      <w:szCs w:val="20"/>
                    </w:rPr>
                    <w:t xml:space="preserve"> </w:t>
                  </w:r>
                  <w:r>
                    <w:rPr>
                      <w:spacing w:val="8"/>
                      <w:sz w:val="20"/>
                      <w:szCs w:val="20"/>
                    </w:rPr>
                    <w:t>合</w:t>
                  </w:r>
                </w:p>
              </w:tc>
            </w:tr>
          </w:tbl>
          <w:p w14:paraId="07032645">
            <w:pPr>
              <w:pStyle w:val="6"/>
              <w:spacing w:before="146" w:line="296" w:lineRule="auto"/>
              <w:ind w:left="116" w:right="117" w:firstLine="476"/>
            </w:pPr>
            <w:r>
              <w:rPr>
                <w:spacing w:val="2"/>
              </w:rPr>
              <w:t>综上，项目与《昆明市生态环境分区管控动态更新方案（</w:t>
            </w:r>
            <w:r>
              <w:rPr>
                <w:rFonts w:ascii="Times New Roman" w:hAnsi="Times New Roman" w:eastAsia="Times New Roman" w:cs="Times New Roman"/>
                <w:spacing w:val="2"/>
              </w:rPr>
              <w:t xml:space="preserve">2023 </w:t>
            </w:r>
            <w:r>
              <w:rPr>
                <w:spacing w:val="2"/>
              </w:rPr>
              <w:t>年）》</w:t>
            </w:r>
            <w:r>
              <w:rPr>
                <w:spacing w:val="14"/>
              </w:rPr>
              <w:t xml:space="preserve"> </w:t>
            </w:r>
            <w:r>
              <w:rPr>
                <w:spacing w:val="-2"/>
              </w:rPr>
              <w:t>总体实施意见相符。</w:t>
            </w:r>
          </w:p>
          <w:p w14:paraId="0265C68A">
            <w:pPr>
              <w:pStyle w:val="6"/>
              <w:spacing w:before="2" w:line="344" w:lineRule="auto"/>
              <w:ind w:left="110" w:right="103" w:firstLine="480"/>
            </w:pPr>
            <w:r>
              <w:rPr>
                <w:spacing w:val="-3"/>
              </w:rPr>
              <w:t>本项目涉及昆明市生态环境管控单元中的“寻甸县一般生态空间优先保</w:t>
            </w:r>
            <w:r>
              <w:rPr>
                <w:spacing w:val="9"/>
              </w:rPr>
              <w:t xml:space="preserve"> </w:t>
            </w:r>
            <w:r>
              <w:rPr>
                <w:spacing w:val="-3"/>
              </w:rPr>
              <w:t>护单元</w:t>
            </w:r>
            <w:r>
              <w:rPr>
                <w:spacing w:val="-80"/>
              </w:rPr>
              <w:t xml:space="preserve"> </w:t>
            </w:r>
            <w:r>
              <w:rPr>
                <w:spacing w:val="-3"/>
              </w:rPr>
              <w:t>”和“寻甸县一般管控单元</w:t>
            </w:r>
            <w:r>
              <w:rPr>
                <w:spacing w:val="-88"/>
              </w:rPr>
              <w:t xml:space="preserve"> </w:t>
            </w:r>
            <w:r>
              <w:rPr>
                <w:spacing w:val="-3"/>
              </w:rPr>
              <w:t>”。</w:t>
            </w:r>
          </w:p>
          <w:p w14:paraId="445B7940">
            <w:pPr>
              <w:pStyle w:val="6"/>
              <w:spacing w:before="32" w:line="223" w:lineRule="auto"/>
              <w:ind w:left="914"/>
              <w:rPr>
                <w:sz w:val="20"/>
                <w:szCs w:val="20"/>
              </w:rPr>
            </w:pPr>
            <w:r>
              <w:rPr>
                <w:b/>
                <w:bCs/>
                <w:spacing w:val="7"/>
                <w:sz w:val="20"/>
                <w:szCs w:val="20"/>
              </w:rPr>
              <w:t>表</w:t>
            </w:r>
            <w:r>
              <w:rPr>
                <w:spacing w:val="-33"/>
                <w:sz w:val="20"/>
                <w:szCs w:val="20"/>
              </w:rPr>
              <w:t xml:space="preserve"> </w:t>
            </w:r>
            <w:r>
              <w:rPr>
                <w:rFonts w:ascii="Times New Roman" w:hAnsi="Times New Roman" w:eastAsia="Times New Roman" w:cs="Times New Roman"/>
                <w:b/>
                <w:bCs/>
                <w:spacing w:val="7"/>
                <w:sz w:val="20"/>
                <w:szCs w:val="20"/>
              </w:rPr>
              <w:t xml:space="preserve">1-4    </w:t>
            </w:r>
            <w:r>
              <w:rPr>
                <w:b/>
                <w:bCs/>
                <w:spacing w:val="7"/>
                <w:sz w:val="20"/>
                <w:szCs w:val="20"/>
              </w:rPr>
              <w:t>项目与昆明市环境管控单元生态环境总体准入要求</w:t>
            </w:r>
            <w:r>
              <w:rPr>
                <w:b/>
                <w:bCs/>
                <w:spacing w:val="6"/>
                <w:sz w:val="20"/>
                <w:szCs w:val="20"/>
              </w:rPr>
              <w:t>的符合性</w:t>
            </w:r>
          </w:p>
          <w:tbl>
            <w:tblPr>
              <w:tblStyle w:val="5"/>
              <w:tblW w:w="783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686"/>
              <w:gridCol w:w="2638"/>
              <w:gridCol w:w="843"/>
            </w:tblGrid>
            <w:tr w14:paraId="68AC1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672" w:type="dxa"/>
                  <w:vAlign w:val="top"/>
                </w:tcPr>
                <w:p w14:paraId="79832EAC">
                  <w:pPr>
                    <w:pStyle w:val="6"/>
                    <w:spacing w:before="170" w:line="228" w:lineRule="auto"/>
                    <w:ind w:left="156"/>
                    <w:rPr>
                      <w:sz w:val="20"/>
                      <w:szCs w:val="20"/>
                    </w:rPr>
                  </w:pPr>
                  <w:r>
                    <w:rPr>
                      <w:b/>
                      <w:bCs/>
                      <w:spacing w:val="-9"/>
                      <w:sz w:val="20"/>
                      <w:szCs w:val="20"/>
                    </w:rPr>
                    <w:t>内容</w:t>
                  </w:r>
                </w:p>
              </w:tc>
              <w:tc>
                <w:tcPr>
                  <w:tcW w:w="3686" w:type="dxa"/>
                  <w:vAlign w:val="top"/>
                </w:tcPr>
                <w:p w14:paraId="2FDF3DC3">
                  <w:pPr>
                    <w:pStyle w:val="6"/>
                    <w:spacing w:before="171" w:line="229" w:lineRule="auto"/>
                    <w:ind w:left="1636"/>
                    <w:rPr>
                      <w:sz w:val="20"/>
                      <w:szCs w:val="20"/>
                    </w:rPr>
                  </w:pPr>
                  <w:r>
                    <w:rPr>
                      <w:b/>
                      <w:bCs/>
                      <w:spacing w:val="3"/>
                      <w:sz w:val="20"/>
                      <w:szCs w:val="20"/>
                    </w:rPr>
                    <w:t>要求</w:t>
                  </w:r>
                </w:p>
              </w:tc>
              <w:tc>
                <w:tcPr>
                  <w:tcW w:w="2638" w:type="dxa"/>
                  <w:vAlign w:val="top"/>
                </w:tcPr>
                <w:p w14:paraId="667CA58A">
                  <w:pPr>
                    <w:pStyle w:val="6"/>
                    <w:spacing w:before="171" w:line="228" w:lineRule="auto"/>
                    <w:ind w:left="907"/>
                    <w:rPr>
                      <w:sz w:val="20"/>
                      <w:szCs w:val="20"/>
                    </w:rPr>
                  </w:pPr>
                  <w:r>
                    <w:rPr>
                      <w:b/>
                      <w:bCs/>
                      <w:spacing w:val="5"/>
                      <w:sz w:val="20"/>
                      <w:szCs w:val="20"/>
                    </w:rPr>
                    <w:t>项目情况</w:t>
                  </w:r>
                </w:p>
              </w:tc>
              <w:tc>
                <w:tcPr>
                  <w:tcW w:w="843" w:type="dxa"/>
                  <w:vAlign w:val="top"/>
                </w:tcPr>
                <w:p w14:paraId="036873D8">
                  <w:pPr>
                    <w:pStyle w:val="6"/>
                    <w:spacing w:before="33" w:line="236" w:lineRule="auto"/>
                    <w:ind w:left="322" w:right="210" w:hanging="106"/>
                    <w:rPr>
                      <w:sz w:val="20"/>
                      <w:szCs w:val="20"/>
                    </w:rPr>
                  </w:pPr>
                  <w:r>
                    <w:rPr>
                      <w:b/>
                      <w:bCs/>
                      <w:spacing w:val="3"/>
                      <w:sz w:val="20"/>
                      <w:szCs w:val="20"/>
                    </w:rPr>
                    <w:t>符合</w:t>
                  </w:r>
                  <w:r>
                    <w:rPr>
                      <w:sz w:val="20"/>
                      <w:szCs w:val="20"/>
                    </w:rPr>
                    <w:t xml:space="preserve"> </w:t>
                  </w:r>
                  <w:r>
                    <w:rPr>
                      <w:b/>
                      <w:bCs/>
                      <w:spacing w:val="-3"/>
                      <w:sz w:val="20"/>
                      <w:szCs w:val="20"/>
                    </w:rPr>
                    <w:t>性</w:t>
                  </w:r>
                </w:p>
              </w:tc>
            </w:tr>
            <w:tr w14:paraId="4AC04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3" w:hRule="atLeast"/>
              </w:trPr>
              <w:tc>
                <w:tcPr>
                  <w:tcW w:w="672" w:type="dxa"/>
                  <w:vAlign w:val="top"/>
                </w:tcPr>
                <w:p w14:paraId="6282111A">
                  <w:pPr>
                    <w:spacing w:line="295" w:lineRule="auto"/>
                    <w:rPr>
                      <w:rFonts w:ascii="Arial"/>
                      <w:sz w:val="21"/>
                    </w:rPr>
                  </w:pPr>
                </w:p>
                <w:p w14:paraId="62811EA6">
                  <w:pPr>
                    <w:spacing w:line="295" w:lineRule="auto"/>
                    <w:rPr>
                      <w:rFonts w:ascii="Arial"/>
                      <w:sz w:val="21"/>
                    </w:rPr>
                  </w:pPr>
                </w:p>
                <w:p w14:paraId="34B56C0A">
                  <w:pPr>
                    <w:spacing w:line="295" w:lineRule="auto"/>
                    <w:rPr>
                      <w:rFonts w:ascii="Arial"/>
                      <w:sz w:val="21"/>
                    </w:rPr>
                  </w:pPr>
                </w:p>
                <w:p w14:paraId="66C06E3C">
                  <w:pPr>
                    <w:spacing w:line="296" w:lineRule="auto"/>
                    <w:rPr>
                      <w:rFonts w:ascii="Arial"/>
                      <w:sz w:val="21"/>
                    </w:rPr>
                  </w:pPr>
                </w:p>
                <w:p w14:paraId="69927C27">
                  <w:pPr>
                    <w:pStyle w:val="6"/>
                    <w:spacing w:before="65" w:line="244" w:lineRule="auto"/>
                    <w:ind w:left="131" w:right="126" w:firstLine="6"/>
                    <w:jc w:val="both"/>
                    <w:rPr>
                      <w:sz w:val="20"/>
                      <w:szCs w:val="20"/>
                    </w:rPr>
                  </w:pPr>
                  <w:r>
                    <w:rPr>
                      <w:spacing w:val="1"/>
                      <w:sz w:val="20"/>
                      <w:szCs w:val="20"/>
                    </w:rPr>
                    <w:t>空间</w:t>
                  </w:r>
                  <w:r>
                    <w:rPr>
                      <w:sz w:val="20"/>
                      <w:szCs w:val="20"/>
                    </w:rPr>
                    <w:t xml:space="preserve"> </w:t>
                  </w:r>
                  <w:r>
                    <w:rPr>
                      <w:spacing w:val="4"/>
                      <w:sz w:val="20"/>
                      <w:szCs w:val="20"/>
                    </w:rPr>
                    <w:t>布局</w:t>
                  </w:r>
                  <w:r>
                    <w:rPr>
                      <w:sz w:val="20"/>
                      <w:szCs w:val="20"/>
                    </w:rPr>
                    <w:t xml:space="preserve"> </w:t>
                  </w:r>
                  <w:r>
                    <w:rPr>
                      <w:spacing w:val="4"/>
                      <w:sz w:val="20"/>
                      <w:szCs w:val="20"/>
                    </w:rPr>
                    <w:t>约束</w:t>
                  </w:r>
                </w:p>
              </w:tc>
              <w:tc>
                <w:tcPr>
                  <w:tcW w:w="3686" w:type="dxa"/>
                  <w:vAlign w:val="top"/>
                </w:tcPr>
                <w:p w14:paraId="436723FF">
                  <w:pPr>
                    <w:pStyle w:val="6"/>
                    <w:spacing w:before="31" w:line="239" w:lineRule="auto"/>
                    <w:ind w:left="122" w:right="106"/>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）根据《昆明市国土空间总体规划</w:t>
                  </w:r>
                  <w:r>
                    <w:rPr>
                      <w:spacing w:val="15"/>
                      <w:sz w:val="20"/>
                      <w:szCs w:val="20"/>
                    </w:rPr>
                    <w:t xml:space="preserve"> </w:t>
                  </w:r>
                  <w:r>
                    <w:rPr>
                      <w:spacing w:val="6"/>
                      <w:sz w:val="20"/>
                      <w:szCs w:val="20"/>
                    </w:rPr>
                    <w:t>（</w:t>
                  </w:r>
                  <w:r>
                    <w:rPr>
                      <w:rFonts w:ascii="Times New Roman" w:hAnsi="Times New Roman" w:eastAsia="Times New Roman" w:cs="Times New Roman"/>
                      <w:spacing w:val="6"/>
                      <w:sz w:val="20"/>
                      <w:szCs w:val="20"/>
                    </w:rPr>
                    <w:t xml:space="preserve">2021-2035 </w:t>
                  </w:r>
                  <w:r>
                    <w:rPr>
                      <w:spacing w:val="6"/>
                      <w:sz w:val="20"/>
                      <w:szCs w:val="20"/>
                    </w:rPr>
                    <w:t>年）》进行空间管</w:t>
                  </w:r>
                  <w:r>
                    <w:rPr>
                      <w:spacing w:val="5"/>
                      <w:sz w:val="20"/>
                      <w:szCs w:val="20"/>
                    </w:rPr>
                    <w:t>控。</w:t>
                  </w:r>
                </w:p>
                <w:p w14:paraId="2BA04778">
                  <w:pPr>
                    <w:pStyle w:val="6"/>
                    <w:spacing w:before="22" w:line="244" w:lineRule="auto"/>
                    <w:ind w:left="110" w:right="106" w:firstLine="11"/>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）牛栏江流域内，严格按照《云南</w:t>
                  </w:r>
                  <w:r>
                    <w:rPr>
                      <w:spacing w:val="15"/>
                      <w:sz w:val="20"/>
                      <w:szCs w:val="20"/>
                    </w:rPr>
                    <w:t xml:space="preserve"> </w:t>
                  </w:r>
                  <w:r>
                    <w:rPr>
                      <w:spacing w:val="3"/>
                      <w:sz w:val="20"/>
                      <w:szCs w:val="20"/>
                    </w:rPr>
                    <w:t>省牛栏江保护条例》相关要求对水环境</w:t>
                  </w:r>
                  <w:r>
                    <w:rPr>
                      <w:spacing w:val="12"/>
                      <w:sz w:val="20"/>
                      <w:szCs w:val="20"/>
                    </w:rPr>
                    <w:t xml:space="preserve"> </w:t>
                  </w:r>
                  <w:r>
                    <w:rPr>
                      <w:spacing w:val="7"/>
                      <w:sz w:val="20"/>
                      <w:szCs w:val="20"/>
                    </w:rPr>
                    <w:t>进行分区管控。</w:t>
                  </w:r>
                </w:p>
                <w:p w14:paraId="17B1EE3F">
                  <w:pPr>
                    <w:pStyle w:val="6"/>
                    <w:spacing w:before="25" w:line="244" w:lineRule="auto"/>
                    <w:ind w:left="111" w:right="35" w:firstLine="10"/>
                    <w:rPr>
                      <w:sz w:val="20"/>
                      <w:szCs w:val="20"/>
                    </w:rPr>
                  </w:pPr>
                  <w:r>
                    <w:rPr>
                      <w:spacing w:val="8"/>
                      <w:sz w:val="20"/>
                      <w:szCs w:val="20"/>
                    </w:rPr>
                    <w:t>（</w:t>
                  </w:r>
                  <w:r>
                    <w:rPr>
                      <w:rFonts w:ascii="Times New Roman" w:hAnsi="Times New Roman" w:eastAsia="Times New Roman" w:cs="Times New Roman"/>
                      <w:spacing w:val="8"/>
                      <w:sz w:val="20"/>
                      <w:szCs w:val="20"/>
                    </w:rPr>
                    <w:t>3</w:t>
                  </w:r>
                  <w:r>
                    <w:rPr>
                      <w:spacing w:val="8"/>
                      <w:sz w:val="20"/>
                      <w:szCs w:val="20"/>
                    </w:rPr>
                    <w:t>）滇池流域内，严格按照《云南省</w:t>
                  </w:r>
                  <w:r>
                    <w:rPr>
                      <w:spacing w:val="15"/>
                      <w:sz w:val="20"/>
                      <w:szCs w:val="20"/>
                    </w:rPr>
                    <w:t xml:space="preserve"> </w:t>
                  </w:r>
                  <w:r>
                    <w:rPr>
                      <w:spacing w:val="3"/>
                      <w:sz w:val="20"/>
                      <w:szCs w:val="20"/>
                    </w:rPr>
                    <w:t>滇池湖滨生态红线及湖泊生态黄线“两</w:t>
                  </w:r>
                  <w:r>
                    <w:rPr>
                      <w:spacing w:val="10"/>
                      <w:sz w:val="20"/>
                      <w:szCs w:val="20"/>
                    </w:rPr>
                    <w:t xml:space="preserve"> </w:t>
                  </w:r>
                  <w:r>
                    <w:rPr>
                      <w:spacing w:val="-6"/>
                      <w:sz w:val="20"/>
                      <w:szCs w:val="20"/>
                    </w:rPr>
                    <w:t>线</w:t>
                  </w:r>
                  <w:r>
                    <w:rPr>
                      <w:spacing w:val="-60"/>
                      <w:sz w:val="20"/>
                      <w:szCs w:val="20"/>
                    </w:rPr>
                    <w:t xml:space="preserve"> </w:t>
                  </w:r>
                  <w:r>
                    <w:rPr>
                      <w:spacing w:val="-6"/>
                      <w:sz w:val="20"/>
                      <w:szCs w:val="20"/>
                    </w:rPr>
                    <w:t>”划定方案》相关要求进行分区管控。</w:t>
                  </w:r>
                </w:p>
                <w:p w14:paraId="05F2F512">
                  <w:pPr>
                    <w:pStyle w:val="6"/>
                    <w:spacing w:before="26" w:line="243" w:lineRule="auto"/>
                    <w:ind w:left="114" w:right="106" w:firstLine="7"/>
                    <w:rPr>
                      <w:sz w:val="20"/>
                      <w:szCs w:val="20"/>
                    </w:rPr>
                  </w:pPr>
                  <w:r>
                    <w:rPr>
                      <w:spacing w:val="8"/>
                      <w:sz w:val="20"/>
                      <w:szCs w:val="20"/>
                    </w:rPr>
                    <w:t>（</w:t>
                  </w:r>
                  <w:r>
                    <w:rPr>
                      <w:rFonts w:ascii="Times New Roman" w:hAnsi="Times New Roman" w:eastAsia="Times New Roman" w:cs="Times New Roman"/>
                      <w:spacing w:val="8"/>
                      <w:sz w:val="20"/>
                      <w:szCs w:val="20"/>
                    </w:rPr>
                    <w:t>4</w:t>
                  </w:r>
                  <w:r>
                    <w:rPr>
                      <w:spacing w:val="8"/>
                      <w:sz w:val="20"/>
                      <w:szCs w:val="20"/>
                    </w:rPr>
                    <w:t xml:space="preserve">）阳宗海流域内，严格按照《云南 </w:t>
                  </w:r>
                  <w:r>
                    <w:rPr>
                      <w:spacing w:val="9"/>
                      <w:sz w:val="20"/>
                      <w:szCs w:val="20"/>
                    </w:rPr>
                    <w:t>省阳宗海湖滨生态红线及湖泊生态黄</w:t>
                  </w:r>
                  <w:r>
                    <w:rPr>
                      <w:spacing w:val="1"/>
                      <w:sz w:val="20"/>
                      <w:szCs w:val="20"/>
                    </w:rPr>
                    <w:t xml:space="preserve">  </w:t>
                  </w:r>
                  <w:r>
                    <w:rPr>
                      <w:spacing w:val="4"/>
                      <w:sz w:val="20"/>
                      <w:szCs w:val="20"/>
                    </w:rPr>
                    <w:t>线</w:t>
                  </w:r>
                  <w:r>
                    <w:rPr>
                      <w:rFonts w:ascii="Times New Roman" w:hAnsi="Times New Roman" w:eastAsia="Times New Roman" w:cs="Times New Roman"/>
                      <w:spacing w:val="4"/>
                      <w:sz w:val="20"/>
                      <w:szCs w:val="20"/>
                    </w:rPr>
                    <w:t>“</w:t>
                  </w:r>
                  <w:r>
                    <w:rPr>
                      <w:spacing w:val="4"/>
                      <w:sz w:val="20"/>
                      <w:szCs w:val="20"/>
                    </w:rPr>
                    <w:t>两线</w:t>
                  </w:r>
                  <w:r>
                    <w:rPr>
                      <w:rFonts w:ascii="Times New Roman" w:hAnsi="Times New Roman" w:eastAsia="Times New Roman" w:cs="Times New Roman"/>
                      <w:spacing w:val="4"/>
                      <w:sz w:val="20"/>
                      <w:szCs w:val="20"/>
                    </w:rPr>
                    <w:t>”</w:t>
                  </w:r>
                  <w:r>
                    <w:rPr>
                      <w:spacing w:val="4"/>
                      <w:sz w:val="20"/>
                      <w:szCs w:val="20"/>
                    </w:rPr>
                    <w:t>划定方案》相关要求进行分区</w:t>
                  </w:r>
                  <w:r>
                    <w:rPr>
                      <w:spacing w:val="9"/>
                      <w:sz w:val="20"/>
                      <w:szCs w:val="20"/>
                    </w:rPr>
                    <w:t xml:space="preserve"> </w:t>
                  </w:r>
                  <w:r>
                    <w:rPr>
                      <w:spacing w:val="2"/>
                      <w:sz w:val="20"/>
                      <w:szCs w:val="20"/>
                    </w:rPr>
                    <w:t>管控。</w:t>
                  </w:r>
                </w:p>
              </w:tc>
              <w:tc>
                <w:tcPr>
                  <w:tcW w:w="2638" w:type="dxa"/>
                  <w:vAlign w:val="top"/>
                </w:tcPr>
                <w:p w14:paraId="7D882DA5">
                  <w:pPr>
                    <w:pStyle w:val="6"/>
                    <w:spacing w:before="165"/>
                    <w:ind w:left="120" w:right="114" w:firstLine="4"/>
                    <w:rPr>
                      <w:sz w:val="20"/>
                      <w:szCs w:val="20"/>
                    </w:rPr>
                  </w:pPr>
                  <w:r>
                    <w:rPr>
                      <w:spacing w:val="7"/>
                      <w:sz w:val="20"/>
                      <w:szCs w:val="20"/>
                    </w:rPr>
                    <w:t>（</w:t>
                  </w:r>
                  <w:r>
                    <w:rPr>
                      <w:rFonts w:ascii="Times New Roman" w:hAnsi="Times New Roman" w:eastAsia="Times New Roman" w:cs="Times New Roman"/>
                      <w:spacing w:val="7"/>
                      <w:sz w:val="20"/>
                      <w:szCs w:val="20"/>
                    </w:rPr>
                    <w:t>1</w:t>
                  </w:r>
                  <w:r>
                    <w:rPr>
                      <w:spacing w:val="7"/>
                      <w:sz w:val="20"/>
                      <w:szCs w:val="20"/>
                    </w:rPr>
                    <w:t>）项目建设根据《昆明</w:t>
                  </w:r>
                  <w:r>
                    <w:rPr>
                      <w:spacing w:val="8"/>
                      <w:sz w:val="20"/>
                      <w:szCs w:val="20"/>
                    </w:rPr>
                    <w:t xml:space="preserve"> 市国土空间总体规划</w:t>
                  </w:r>
                </w:p>
                <w:p w14:paraId="282EE85C">
                  <w:pPr>
                    <w:pStyle w:val="6"/>
                    <w:spacing w:before="24"/>
                    <w:ind w:left="130" w:right="104" w:hanging="6"/>
                    <w:rPr>
                      <w:sz w:val="20"/>
                      <w:szCs w:val="20"/>
                    </w:rPr>
                  </w:pPr>
                  <w:r>
                    <w:rPr>
                      <w:spacing w:val="5"/>
                      <w:sz w:val="20"/>
                      <w:szCs w:val="20"/>
                    </w:rPr>
                    <w:t>（</w:t>
                  </w:r>
                  <w:r>
                    <w:rPr>
                      <w:rFonts w:ascii="Times New Roman" w:hAnsi="Times New Roman" w:eastAsia="Times New Roman" w:cs="Times New Roman"/>
                      <w:spacing w:val="5"/>
                      <w:sz w:val="20"/>
                      <w:szCs w:val="20"/>
                    </w:rPr>
                    <w:t xml:space="preserve">2021-2035 </w:t>
                  </w:r>
                  <w:r>
                    <w:rPr>
                      <w:spacing w:val="5"/>
                      <w:sz w:val="20"/>
                      <w:szCs w:val="20"/>
                    </w:rPr>
                    <w:t>年）》进行空</w:t>
                  </w:r>
                  <w:r>
                    <w:rPr>
                      <w:sz w:val="20"/>
                      <w:szCs w:val="20"/>
                    </w:rPr>
                    <w:t xml:space="preserve"> </w:t>
                  </w:r>
                  <w:r>
                    <w:rPr>
                      <w:spacing w:val="1"/>
                      <w:sz w:val="20"/>
                      <w:szCs w:val="20"/>
                    </w:rPr>
                    <w:t>间管控。</w:t>
                  </w:r>
                </w:p>
                <w:p w14:paraId="2073DF59">
                  <w:pPr>
                    <w:pStyle w:val="6"/>
                    <w:spacing w:before="22" w:line="247" w:lineRule="auto"/>
                    <w:ind w:left="114" w:right="21" w:firstLine="10"/>
                    <w:rPr>
                      <w:sz w:val="20"/>
                      <w:szCs w:val="20"/>
                    </w:rPr>
                  </w:pPr>
                  <w:r>
                    <w:rPr>
                      <w:spacing w:val="-2"/>
                      <w:sz w:val="20"/>
                      <w:szCs w:val="20"/>
                    </w:rPr>
                    <w:t>（</w:t>
                  </w:r>
                  <w:r>
                    <w:rPr>
                      <w:rFonts w:ascii="Times New Roman" w:hAnsi="Times New Roman" w:eastAsia="Times New Roman" w:cs="Times New Roman"/>
                      <w:spacing w:val="-2"/>
                      <w:sz w:val="20"/>
                      <w:szCs w:val="20"/>
                    </w:rPr>
                    <w:t>2</w:t>
                  </w:r>
                  <w:r>
                    <w:rPr>
                      <w:spacing w:val="-2"/>
                      <w:sz w:val="20"/>
                      <w:szCs w:val="20"/>
                    </w:rPr>
                    <w:t>）项目位于牛栏江流域，</w:t>
                  </w:r>
                  <w:r>
                    <w:rPr>
                      <w:spacing w:val="11"/>
                      <w:sz w:val="20"/>
                      <w:szCs w:val="20"/>
                    </w:rPr>
                    <w:t xml:space="preserve"> </w:t>
                  </w:r>
                  <w:r>
                    <w:rPr>
                      <w:spacing w:val="8"/>
                      <w:sz w:val="20"/>
                      <w:szCs w:val="20"/>
                    </w:rPr>
                    <w:t>建设运营过程将严格按照</w:t>
                  </w:r>
                  <w:r>
                    <w:rPr>
                      <w:spacing w:val="3"/>
                      <w:sz w:val="20"/>
                      <w:szCs w:val="20"/>
                    </w:rPr>
                    <w:t xml:space="preserve">   </w:t>
                  </w:r>
                  <w:r>
                    <w:rPr>
                      <w:spacing w:val="8"/>
                      <w:sz w:val="20"/>
                      <w:szCs w:val="20"/>
                    </w:rPr>
                    <w:t>《云南省牛栏江保护条例》</w:t>
                  </w:r>
                  <w:r>
                    <w:rPr>
                      <w:sz w:val="20"/>
                      <w:szCs w:val="20"/>
                    </w:rPr>
                    <w:t xml:space="preserve"> </w:t>
                  </w:r>
                  <w:r>
                    <w:rPr>
                      <w:spacing w:val="9"/>
                      <w:sz w:val="20"/>
                      <w:szCs w:val="20"/>
                    </w:rPr>
                    <w:t>相关要求对水环境区进行</w:t>
                  </w:r>
                  <w:r>
                    <w:rPr>
                      <w:sz w:val="20"/>
                      <w:szCs w:val="20"/>
                    </w:rPr>
                    <w:t xml:space="preserve">   </w:t>
                  </w:r>
                  <w:r>
                    <w:rPr>
                      <w:spacing w:val="5"/>
                      <w:sz w:val="20"/>
                      <w:szCs w:val="20"/>
                    </w:rPr>
                    <w:t>分区管控。</w:t>
                  </w:r>
                </w:p>
                <w:p w14:paraId="2C4E9C01">
                  <w:pPr>
                    <w:pStyle w:val="6"/>
                    <w:spacing w:before="27" w:line="239" w:lineRule="auto"/>
                    <w:ind w:left="118" w:right="104"/>
                    <w:rPr>
                      <w:sz w:val="20"/>
                      <w:szCs w:val="20"/>
                    </w:rPr>
                  </w:pPr>
                  <w:r>
                    <w:rPr>
                      <w:sz w:val="20"/>
                      <w:szCs w:val="20"/>
                    </w:rPr>
                    <w:t>项目位于牛栏江流域，不属</w:t>
                  </w:r>
                  <w:r>
                    <w:rPr>
                      <w:spacing w:val="9"/>
                      <w:sz w:val="20"/>
                      <w:szCs w:val="20"/>
                    </w:rPr>
                    <w:t xml:space="preserve"> </w:t>
                  </w:r>
                  <w:r>
                    <w:rPr>
                      <w:spacing w:val="7"/>
                      <w:sz w:val="20"/>
                      <w:szCs w:val="20"/>
                    </w:rPr>
                    <w:t>于滇池和阳宗海流域。</w:t>
                  </w:r>
                </w:p>
              </w:tc>
              <w:tc>
                <w:tcPr>
                  <w:tcW w:w="843" w:type="dxa"/>
                  <w:vAlign w:val="top"/>
                </w:tcPr>
                <w:p w14:paraId="370AA8D8">
                  <w:pPr>
                    <w:spacing w:line="242" w:lineRule="auto"/>
                    <w:rPr>
                      <w:rFonts w:ascii="Arial"/>
                      <w:sz w:val="21"/>
                    </w:rPr>
                  </w:pPr>
                </w:p>
                <w:p w14:paraId="2B1955B6">
                  <w:pPr>
                    <w:spacing w:line="242" w:lineRule="auto"/>
                    <w:rPr>
                      <w:rFonts w:ascii="Arial"/>
                      <w:sz w:val="21"/>
                    </w:rPr>
                  </w:pPr>
                </w:p>
                <w:p w14:paraId="74B1D428">
                  <w:pPr>
                    <w:spacing w:line="242" w:lineRule="auto"/>
                    <w:rPr>
                      <w:rFonts w:ascii="Arial"/>
                      <w:sz w:val="21"/>
                    </w:rPr>
                  </w:pPr>
                </w:p>
                <w:p w14:paraId="501C2031">
                  <w:pPr>
                    <w:spacing w:line="242" w:lineRule="auto"/>
                    <w:rPr>
                      <w:rFonts w:ascii="Arial"/>
                      <w:sz w:val="21"/>
                    </w:rPr>
                  </w:pPr>
                </w:p>
                <w:p w14:paraId="6C74E267">
                  <w:pPr>
                    <w:spacing w:line="242" w:lineRule="auto"/>
                    <w:rPr>
                      <w:rFonts w:ascii="Arial"/>
                      <w:sz w:val="21"/>
                    </w:rPr>
                  </w:pPr>
                </w:p>
                <w:p w14:paraId="289A0573">
                  <w:pPr>
                    <w:spacing w:line="242" w:lineRule="auto"/>
                    <w:rPr>
                      <w:rFonts w:ascii="Arial"/>
                      <w:sz w:val="21"/>
                    </w:rPr>
                  </w:pPr>
                </w:p>
                <w:p w14:paraId="46EA585A">
                  <w:pPr>
                    <w:pStyle w:val="6"/>
                    <w:spacing w:before="65" w:line="228" w:lineRule="auto"/>
                    <w:ind w:left="219"/>
                    <w:rPr>
                      <w:sz w:val="20"/>
                      <w:szCs w:val="20"/>
                    </w:rPr>
                  </w:pPr>
                  <w:r>
                    <w:rPr>
                      <w:spacing w:val="3"/>
                      <w:sz w:val="20"/>
                      <w:szCs w:val="20"/>
                    </w:rPr>
                    <w:t>符合</w:t>
                  </w:r>
                </w:p>
              </w:tc>
            </w:tr>
            <w:tr w14:paraId="5156B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672" w:type="dxa"/>
                  <w:tcBorders>
                    <w:bottom w:val="nil"/>
                  </w:tcBorders>
                  <w:vAlign w:val="top"/>
                </w:tcPr>
                <w:p w14:paraId="11D8C37B">
                  <w:pPr>
                    <w:spacing w:line="253" w:lineRule="auto"/>
                    <w:rPr>
                      <w:rFonts w:ascii="Arial"/>
                      <w:sz w:val="21"/>
                    </w:rPr>
                  </w:pPr>
                </w:p>
                <w:p w14:paraId="463A5980">
                  <w:pPr>
                    <w:spacing w:line="253" w:lineRule="auto"/>
                    <w:rPr>
                      <w:rFonts w:ascii="Arial"/>
                      <w:sz w:val="21"/>
                    </w:rPr>
                  </w:pPr>
                </w:p>
                <w:p w14:paraId="1CFE349A">
                  <w:pPr>
                    <w:pStyle w:val="6"/>
                    <w:spacing w:before="65" w:line="228" w:lineRule="auto"/>
                    <w:ind w:left="132"/>
                    <w:rPr>
                      <w:sz w:val="20"/>
                      <w:szCs w:val="20"/>
                    </w:rPr>
                  </w:pPr>
                  <w:r>
                    <w:rPr>
                      <w:spacing w:val="3"/>
                      <w:sz w:val="20"/>
                      <w:szCs w:val="20"/>
                    </w:rPr>
                    <w:t>污染</w:t>
                  </w:r>
                </w:p>
                <w:p w14:paraId="5A287515">
                  <w:pPr>
                    <w:pStyle w:val="6"/>
                    <w:spacing w:before="23" w:line="229" w:lineRule="auto"/>
                    <w:ind w:left="131"/>
                    <w:rPr>
                      <w:sz w:val="20"/>
                      <w:szCs w:val="20"/>
                    </w:rPr>
                  </w:pPr>
                  <w:r>
                    <w:rPr>
                      <w:spacing w:val="4"/>
                      <w:sz w:val="20"/>
                      <w:szCs w:val="20"/>
                    </w:rPr>
                    <w:t>物排</w:t>
                  </w:r>
                </w:p>
                <w:p w14:paraId="544EACDC">
                  <w:pPr>
                    <w:pStyle w:val="6"/>
                    <w:spacing w:before="25" w:line="228" w:lineRule="auto"/>
                    <w:ind w:left="131"/>
                    <w:rPr>
                      <w:sz w:val="20"/>
                      <w:szCs w:val="20"/>
                    </w:rPr>
                  </w:pPr>
                  <w:r>
                    <w:rPr>
                      <w:spacing w:val="4"/>
                      <w:sz w:val="20"/>
                      <w:szCs w:val="20"/>
                    </w:rPr>
                    <w:t>放管</w:t>
                  </w:r>
                </w:p>
                <w:p w14:paraId="7C1F0075">
                  <w:pPr>
                    <w:pStyle w:val="6"/>
                    <w:spacing w:before="27" w:line="228" w:lineRule="auto"/>
                    <w:ind w:left="235"/>
                    <w:rPr>
                      <w:sz w:val="20"/>
                      <w:szCs w:val="20"/>
                    </w:rPr>
                  </w:pPr>
                  <w:r>
                    <w:rPr>
                      <w:spacing w:val="1"/>
                      <w:sz w:val="20"/>
                      <w:szCs w:val="20"/>
                    </w:rPr>
                    <w:t>控</w:t>
                  </w:r>
                </w:p>
              </w:tc>
              <w:tc>
                <w:tcPr>
                  <w:tcW w:w="3686" w:type="dxa"/>
                  <w:tcBorders>
                    <w:bottom w:val="nil"/>
                  </w:tcBorders>
                  <w:vAlign w:val="top"/>
                </w:tcPr>
                <w:p w14:paraId="7B6FC8FF">
                  <w:pPr>
                    <w:pStyle w:val="6"/>
                    <w:spacing w:before="26" w:line="247" w:lineRule="auto"/>
                    <w:ind w:left="111" w:right="106" w:firstLine="10"/>
                    <w:jc w:val="both"/>
                    <w:rPr>
                      <w:sz w:val="20"/>
                      <w:szCs w:val="20"/>
                    </w:rPr>
                  </w:pPr>
                  <w:r>
                    <w:rPr>
                      <w:spacing w:val="2"/>
                      <w:sz w:val="20"/>
                      <w:szCs w:val="20"/>
                    </w:rPr>
                    <w:t>（</w:t>
                  </w:r>
                  <w:r>
                    <w:rPr>
                      <w:rFonts w:ascii="Times New Roman" w:hAnsi="Times New Roman" w:eastAsia="Times New Roman" w:cs="Times New Roman"/>
                      <w:spacing w:val="2"/>
                      <w:sz w:val="20"/>
                      <w:szCs w:val="20"/>
                    </w:rPr>
                    <w:t>1</w:t>
                  </w:r>
                  <w:r>
                    <w:rPr>
                      <w:spacing w:val="2"/>
                      <w:sz w:val="20"/>
                      <w:szCs w:val="20"/>
                    </w:rPr>
                    <w:t>）到</w:t>
                  </w:r>
                  <w:r>
                    <w:rPr>
                      <w:spacing w:val="-39"/>
                      <w:sz w:val="20"/>
                      <w:szCs w:val="20"/>
                    </w:rPr>
                    <w:t xml:space="preserve"> </w:t>
                  </w:r>
                  <w:r>
                    <w:rPr>
                      <w:rFonts w:ascii="Times New Roman" w:hAnsi="Times New Roman" w:eastAsia="Times New Roman" w:cs="Times New Roman"/>
                      <w:spacing w:val="2"/>
                      <w:sz w:val="20"/>
                      <w:szCs w:val="20"/>
                    </w:rPr>
                    <w:t xml:space="preserve">2025 </w:t>
                  </w:r>
                  <w:r>
                    <w:rPr>
                      <w:spacing w:val="2"/>
                      <w:sz w:val="20"/>
                      <w:szCs w:val="20"/>
                    </w:rPr>
                    <w:t>年，昆明市地表水国、省</w:t>
                  </w:r>
                  <w:r>
                    <w:rPr>
                      <w:sz w:val="20"/>
                      <w:szCs w:val="20"/>
                    </w:rPr>
                    <w:t xml:space="preserve"> </w:t>
                  </w:r>
                  <w:r>
                    <w:rPr>
                      <w:spacing w:val="9"/>
                      <w:sz w:val="20"/>
                      <w:szCs w:val="20"/>
                    </w:rPr>
                    <w:t>控断面达到或好于</w:t>
                  </w:r>
                  <w:r>
                    <w:rPr>
                      <w:spacing w:val="-34"/>
                      <w:sz w:val="20"/>
                      <w:szCs w:val="20"/>
                    </w:rPr>
                    <w:t xml:space="preserve"> </w:t>
                  </w:r>
                  <w:r>
                    <w:rPr>
                      <w:rFonts w:ascii="Times New Roman" w:hAnsi="Times New Roman" w:eastAsia="Times New Roman" w:cs="Times New Roman"/>
                      <w:sz w:val="20"/>
                      <w:szCs w:val="20"/>
                    </w:rPr>
                    <w:t>III</w:t>
                  </w:r>
                  <w:r>
                    <w:rPr>
                      <w:rFonts w:ascii="Times New Roman" w:hAnsi="Times New Roman" w:eastAsia="Times New Roman" w:cs="Times New Roman"/>
                      <w:spacing w:val="9"/>
                      <w:sz w:val="20"/>
                      <w:szCs w:val="20"/>
                    </w:rPr>
                    <w:t xml:space="preserve"> </w:t>
                  </w:r>
                  <w:r>
                    <w:rPr>
                      <w:spacing w:val="9"/>
                      <w:sz w:val="20"/>
                      <w:szCs w:val="20"/>
                    </w:rPr>
                    <w:t>类水体比例应达</w:t>
                  </w:r>
                  <w:r>
                    <w:rPr>
                      <w:sz w:val="20"/>
                      <w:szCs w:val="20"/>
                    </w:rPr>
                    <w:t xml:space="preserve"> </w:t>
                  </w:r>
                  <w:r>
                    <w:rPr>
                      <w:spacing w:val="11"/>
                      <w:sz w:val="20"/>
                      <w:szCs w:val="20"/>
                    </w:rPr>
                    <w:t>到</w:t>
                  </w:r>
                  <w:r>
                    <w:rPr>
                      <w:spacing w:val="-18"/>
                      <w:sz w:val="20"/>
                      <w:szCs w:val="20"/>
                    </w:rPr>
                    <w:t xml:space="preserve"> </w:t>
                  </w:r>
                  <w:r>
                    <w:rPr>
                      <w:rFonts w:ascii="Times New Roman" w:hAnsi="Times New Roman" w:eastAsia="Times New Roman" w:cs="Times New Roman"/>
                      <w:spacing w:val="11"/>
                      <w:sz w:val="20"/>
                      <w:szCs w:val="20"/>
                    </w:rPr>
                    <w:t>81.5%</w:t>
                  </w:r>
                  <w:r>
                    <w:rPr>
                      <w:spacing w:val="11"/>
                      <w:sz w:val="20"/>
                      <w:szCs w:val="20"/>
                    </w:rPr>
                    <w:t>；滇池草海水质稳定达到</w:t>
                  </w:r>
                  <w:r>
                    <w:rPr>
                      <w:spacing w:val="-35"/>
                      <w:sz w:val="20"/>
                      <w:szCs w:val="20"/>
                    </w:rPr>
                    <w:t xml:space="preserve"> </w:t>
                  </w:r>
                  <w:r>
                    <w:rPr>
                      <w:rFonts w:ascii="Times New Roman" w:hAnsi="Times New Roman" w:eastAsia="Times New Roman" w:cs="Times New Roman"/>
                      <w:sz w:val="20"/>
                      <w:szCs w:val="20"/>
                    </w:rPr>
                    <w:t xml:space="preserve">IV </w:t>
                  </w:r>
                  <w:r>
                    <w:rPr>
                      <w:spacing w:val="-2"/>
                      <w:sz w:val="20"/>
                      <w:szCs w:val="20"/>
                    </w:rPr>
                    <w:t>类</w:t>
                  </w:r>
                  <w:r>
                    <w:rPr>
                      <w:spacing w:val="77"/>
                      <w:sz w:val="20"/>
                      <w:szCs w:val="20"/>
                    </w:rPr>
                    <w:t xml:space="preserve"> </w:t>
                  </w:r>
                  <w:r>
                    <w:rPr>
                      <w:spacing w:val="-2"/>
                      <w:sz w:val="20"/>
                      <w:szCs w:val="20"/>
                    </w:rPr>
                    <w:t>、</w:t>
                  </w:r>
                  <w:r>
                    <w:rPr>
                      <w:spacing w:val="58"/>
                      <w:sz w:val="20"/>
                      <w:szCs w:val="20"/>
                    </w:rPr>
                    <w:t xml:space="preserve"> </w:t>
                  </w:r>
                  <w:r>
                    <w:rPr>
                      <w:spacing w:val="-2"/>
                      <w:sz w:val="20"/>
                      <w:szCs w:val="20"/>
                    </w:rPr>
                    <w:t>外</w:t>
                  </w:r>
                  <w:r>
                    <w:rPr>
                      <w:spacing w:val="48"/>
                      <w:sz w:val="20"/>
                      <w:szCs w:val="20"/>
                    </w:rPr>
                    <w:t xml:space="preserve"> </w:t>
                  </w:r>
                  <w:r>
                    <w:rPr>
                      <w:spacing w:val="-2"/>
                      <w:sz w:val="20"/>
                      <w:szCs w:val="20"/>
                    </w:rPr>
                    <w:t>海</w:t>
                  </w:r>
                  <w:r>
                    <w:rPr>
                      <w:spacing w:val="50"/>
                      <w:sz w:val="20"/>
                      <w:szCs w:val="20"/>
                    </w:rPr>
                    <w:t xml:space="preserve"> </w:t>
                  </w:r>
                  <w:r>
                    <w:rPr>
                      <w:spacing w:val="-2"/>
                      <w:sz w:val="20"/>
                      <w:szCs w:val="20"/>
                    </w:rPr>
                    <w:t>水</w:t>
                  </w:r>
                  <w:r>
                    <w:rPr>
                      <w:spacing w:val="50"/>
                      <w:sz w:val="20"/>
                      <w:szCs w:val="20"/>
                    </w:rPr>
                    <w:t xml:space="preserve"> </w:t>
                  </w:r>
                  <w:r>
                    <w:rPr>
                      <w:spacing w:val="-2"/>
                      <w:sz w:val="20"/>
                      <w:szCs w:val="20"/>
                    </w:rPr>
                    <w:t>质</w:t>
                  </w:r>
                  <w:r>
                    <w:rPr>
                      <w:spacing w:val="49"/>
                      <w:sz w:val="20"/>
                      <w:szCs w:val="20"/>
                    </w:rPr>
                    <w:t xml:space="preserve"> </w:t>
                  </w:r>
                  <w:r>
                    <w:rPr>
                      <w:spacing w:val="-2"/>
                      <w:sz w:val="20"/>
                      <w:szCs w:val="20"/>
                    </w:rPr>
                    <w:t>达</w:t>
                  </w:r>
                  <w:r>
                    <w:rPr>
                      <w:spacing w:val="53"/>
                      <w:sz w:val="20"/>
                      <w:szCs w:val="20"/>
                    </w:rPr>
                    <w:t xml:space="preserve"> </w:t>
                  </w:r>
                  <w:r>
                    <w:rPr>
                      <w:spacing w:val="-2"/>
                      <w:sz w:val="20"/>
                      <w:szCs w:val="20"/>
                    </w:rPr>
                    <w:t xml:space="preserve">到  </w:t>
                  </w:r>
                  <w:r>
                    <w:rPr>
                      <w:rFonts w:ascii="Times New Roman" w:hAnsi="Times New Roman" w:eastAsia="Times New Roman" w:cs="Times New Roman"/>
                      <w:spacing w:val="-2"/>
                      <w:sz w:val="20"/>
                      <w:szCs w:val="20"/>
                    </w:rPr>
                    <w:t xml:space="preserve">IV    </w:t>
                  </w:r>
                  <w:r>
                    <w:rPr>
                      <w:spacing w:val="-2"/>
                      <w:sz w:val="20"/>
                      <w:szCs w:val="20"/>
                    </w:rPr>
                    <w:t>类</w:t>
                  </w:r>
                  <w:r>
                    <w:rPr>
                      <w:sz w:val="20"/>
                      <w:szCs w:val="20"/>
                    </w:rPr>
                    <w:t xml:space="preserve"> </w:t>
                  </w:r>
                  <w:r>
                    <w:rPr>
                      <w:spacing w:val="8"/>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8"/>
                      <w:sz w:val="20"/>
                      <w:szCs w:val="20"/>
                    </w:rPr>
                    <w:t>≤40</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r>
                    <w:rPr>
                      <w:spacing w:val="-8"/>
                      <w:sz w:val="20"/>
                      <w:szCs w:val="20"/>
                    </w:rPr>
                    <w:t>），</w:t>
                  </w:r>
                  <w:r>
                    <w:rPr>
                      <w:spacing w:val="8"/>
                      <w:sz w:val="20"/>
                      <w:szCs w:val="20"/>
                    </w:rPr>
                    <w:t>阳宗海水质稳定达</w:t>
                  </w:r>
                  <w:r>
                    <w:rPr>
                      <w:sz w:val="20"/>
                      <w:szCs w:val="20"/>
                    </w:rPr>
                    <w:t xml:space="preserve"> </w:t>
                  </w:r>
                  <w:r>
                    <w:rPr>
                      <w:spacing w:val="4"/>
                      <w:sz w:val="20"/>
                      <w:szCs w:val="20"/>
                    </w:rPr>
                    <w:t>到</w:t>
                  </w:r>
                  <w:r>
                    <w:rPr>
                      <w:rFonts w:ascii="Times New Roman" w:hAnsi="Times New Roman" w:eastAsia="Times New Roman" w:cs="Times New Roman"/>
                      <w:spacing w:val="4"/>
                      <w:sz w:val="20"/>
                      <w:szCs w:val="20"/>
                    </w:rPr>
                    <w:t>Ⅲ</w:t>
                  </w:r>
                  <w:r>
                    <w:rPr>
                      <w:spacing w:val="4"/>
                      <w:sz w:val="20"/>
                      <w:szCs w:val="20"/>
                    </w:rPr>
                    <w:t>类水标准，县级及以上集中式饮用</w:t>
                  </w:r>
                  <w:r>
                    <w:rPr>
                      <w:spacing w:val="2"/>
                      <w:sz w:val="20"/>
                      <w:szCs w:val="20"/>
                    </w:rPr>
                    <w:t xml:space="preserve"> </w:t>
                  </w:r>
                  <w:r>
                    <w:rPr>
                      <w:spacing w:val="5"/>
                      <w:sz w:val="20"/>
                      <w:szCs w:val="20"/>
                    </w:rPr>
                    <w:t>水水源地水质达标率</w:t>
                  </w:r>
                  <w:r>
                    <w:rPr>
                      <w:spacing w:val="-22"/>
                      <w:sz w:val="20"/>
                      <w:szCs w:val="20"/>
                    </w:rPr>
                    <w:t xml:space="preserve"> </w:t>
                  </w:r>
                  <w:r>
                    <w:rPr>
                      <w:rFonts w:ascii="Times New Roman" w:hAnsi="Times New Roman" w:eastAsia="Times New Roman" w:cs="Times New Roman"/>
                      <w:spacing w:val="5"/>
                      <w:sz w:val="20"/>
                      <w:szCs w:val="20"/>
                    </w:rPr>
                    <w:t>100%</w:t>
                  </w:r>
                  <w:r>
                    <w:rPr>
                      <w:rFonts w:ascii="Times New Roman" w:hAnsi="Times New Roman" w:eastAsia="Times New Roman" w:cs="Times New Roman"/>
                      <w:spacing w:val="-23"/>
                      <w:sz w:val="20"/>
                      <w:szCs w:val="20"/>
                    </w:rPr>
                    <w:t xml:space="preserve"> </w:t>
                  </w:r>
                  <w:r>
                    <w:rPr>
                      <w:spacing w:val="5"/>
                      <w:sz w:val="20"/>
                      <w:szCs w:val="20"/>
                    </w:rPr>
                    <w:t>。化学需氧</w:t>
                  </w:r>
                  <w:r>
                    <w:rPr>
                      <w:sz w:val="20"/>
                      <w:szCs w:val="20"/>
                    </w:rPr>
                    <w:t xml:space="preserve"> </w:t>
                  </w:r>
                  <w:r>
                    <w:rPr>
                      <w:spacing w:val="1"/>
                      <w:sz w:val="20"/>
                      <w:szCs w:val="20"/>
                    </w:rPr>
                    <w:t>量重点工程减排量</w:t>
                  </w:r>
                  <w:r>
                    <w:rPr>
                      <w:spacing w:val="-14"/>
                      <w:sz w:val="20"/>
                      <w:szCs w:val="20"/>
                    </w:rPr>
                    <w:t xml:space="preserve"> </w:t>
                  </w:r>
                  <w:r>
                    <w:rPr>
                      <w:rFonts w:ascii="Times New Roman" w:hAnsi="Times New Roman" w:eastAsia="Times New Roman" w:cs="Times New Roman"/>
                      <w:spacing w:val="1"/>
                      <w:sz w:val="20"/>
                      <w:szCs w:val="20"/>
                    </w:rPr>
                    <w:t>10243t</w:t>
                  </w:r>
                  <w:r>
                    <w:rPr>
                      <w:spacing w:val="1"/>
                      <w:sz w:val="20"/>
                      <w:szCs w:val="20"/>
                    </w:rPr>
                    <w:t>，氨氮重点工</w:t>
                  </w:r>
                </w:p>
              </w:tc>
              <w:tc>
                <w:tcPr>
                  <w:tcW w:w="2638" w:type="dxa"/>
                  <w:tcBorders>
                    <w:bottom w:val="nil"/>
                  </w:tcBorders>
                  <w:vAlign w:val="top"/>
                </w:tcPr>
                <w:p w14:paraId="58E5DEB1">
                  <w:pPr>
                    <w:pStyle w:val="6"/>
                    <w:spacing w:before="26" w:line="247" w:lineRule="auto"/>
                    <w:ind w:left="113" w:firstLine="10"/>
                    <w:rPr>
                      <w:sz w:val="20"/>
                      <w:szCs w:val="20"/>
                    </w:rPr>
                  </w:pPr>
                  <w:r>
                    <w:rPr>
                      <w:spacing w:val="4"/>
                      <w:sz w:val="20"/>
                      <w:szCs w:val="20"/>
                    </w:rPr>
                    <w:t>（</w:t>
                  </w:r>
                  <w:r>
                    <w:rPr>
                      <w:rFonts w:ascii="Times New Roman" w:hAnsi="Times New Roman" w:eastAsia="Times New Roman" w:cs="Times New Roman"/>
                      <w:spacing w:val="4"/>
                      <w:sz w:val="20"/>
                      <w:szCs w:val="20"/>
                    </w:rPr>
                    <w:t>1</w:t>
                  </w:r>
                  <w:r>
                    <w:rPr>
                      <w:spacing w:val="4"/>
                      <w:sz w:val="20"/>
                      <w:szCs w:val="20"/>
                    </w:rPr>
                    <w:t>）项目周围水域主要为</w:t>
                  </w:r>
                  <w:r>
                    <w:rPr>
                      <w:spacing w:val="1"/>
                      <w:sz w:val="20"/>
                      <w:szCs w:val="20"/>
                    </w:rPr>
                    <w:t xml:space="preserve">  </w:t>
                  </w:r>
                  <w:r>
                    <w:rPr>
                      <w:spacing w:val="-7"/>
                      <w:sz w:val="20"/>
                      <w:szCs w:val="20"/>
                    </w:rPr>
                    <w:t>牛栏江，根据《寻甸县</w:t>
                  </w:r>
                  <w:r>
                    <w:rPr>
                      <w:spacing w:val="-31"/>
                      <w:sz w:val="20"/>
                      <w:szCs w:val="20"/>
                    </w:rPr>
                    <w:t xml:space="preserve"> </w:t>
                  </w:r>
                  <w:r>
                    <w:rPr>
                      <w:rFonts w:ascii="Times New Roman" w:hAnsi="Times New Roman" w:eastAsia="Times New Roman" w:cs="Times New Roman"/>
                      <w:spacing w:val="-7"/>
                      <w:sz w:val="20"/>
                      <w:szCs w:val="20"/>
                    </w:rPr>
                    <w:t>2024</w:t>
                  </w:r>
                  <w:r>
                    <w:rPr>
                      <w:rFonts w:ascii="Times New Roman" w:hAnsi="Times New Roman" w:eastAsia="Times New Roman" w:cs="Times New Roman"/>
                      <w:sz w:val="20"/>
                      <w:szCs w:val="20"/>
                    </w:rPr>
                    <w:t xml:space="preserve">    </w:t>
                  </w:r>
                  <w:r>
                    <w:rPr>
                      <w:spacing w:val="-7"/>
                      <w:sz w:val="20"/>
                      <w:szCs w:val="20"/>
                    </w:rPr>
                    <w:t>年第四季度环境质量公报》，</w:t>
                  </w:r>
                  <w:r>
                    <w:rPr>
                      <w:spacing w:val="9"/>
                      <w:sz w:val="20"/>
                      <w:szCs w:val="20"/>
                    </w:rPr>
                    <w:t xml:space="preserve"> </w:t>
                  </w:r>
                  <w:r>
                    <w:rPr>
                      <w:spacing w:val="5"/>
                      <w:sz w:val="20"/>
                      <w:szCs w:val="20"/>
                    </w:rPr>
                    <w:t>牛栏江河口糯基桥断面水</w:t>
                  </w:r>
                  <w:r>
                    <w:rPr>
                      <w:sz w:val="20"/>
                      <w:szCs w:val="20"/>
                    </w:rPr>
                    <w:t xml:space="preserve">   </w:t>
                  </w:r>
                  <w:r>
                    <w:rPr>
                      <w:spacing w:val="-3"/>
                      <w:sz w:val="20"/>
                      <w:szCs w:val="20"/>
                    </w:rPr>
                    <w:t>质类别为Ⅲ类，达到水质考</w:t>
                  </w:r>
                  <w:r>
                    <w:rPr>
                      <w:spacing w:val="3"/>
                      <w:sz w:val="20"/>
                      <w:szCs w:val="20"/>
                    </w:rPr>
                    <w:t xml:space="preserve">  </w:t>
                  </w:r>
                  <w:r>
                    <w:rPr>
                      <w:spacing w:val="-3"/>
                      <w:sz w:val="20"/>
                      <w:szCs w:val="20"/>
                    </w:rPr>
                    <w:t>核目标要求和《地表水环境</w:t>
                  </w:r>
                  <w:r>
                    <w:rPr>
                      <w:spacing w:val="3"/>
                      <w:sz w:val="20"/>
                      <w:szCs w:val="20"/>
                    </w:rPr>
                    <w:t xml:space="preserve">  </w:t>
                  </w:r>
                  <w:r>
                    <w:rPr>
                      <w:spacing w:val="-5"/>
                      <w:sz w:val="20"/>
                      <w:szCs w:val="20"/>
                    </w:rPr>
                    <w:t>质量标准》（</w:t>
                  </w:r>
                  <w:r>
                    <w:rPr>
                      <w:rFonts w:ascii="Times New Roman" w:hAnsi="Times New Roman" w:eastAsia="Times New Roman" w:cs="Times New Roman"/>
                      <w:spacing w:val="-5"/>
                      <w:sz w:val="20"/>
                      <w:szCs w:val="20"/>
                    </w:rPr>
                    <w:t>GB3838-2002</w:t>
                  </w:r>
                  <w:r>
                    <w:rPr>
                      <w:spacing w:val="-5"/>
                      <w:sz w:val="20"/>
                      <w:szCs w:val="20"/>
                    </w:rPr>
                    <w:t>）</w:t>
                  </w:r>
                  <w:r>
                    <w:rPr>
                      <w:spacing w:val="13"/>
                      <w:sz w:val="20"/>
                      <w:szCs w:val="20"/>
                    </w:rPr>
                    <w:t xml:space="preserve"> </w:t>
                  </w:r>
                  <w:r>
                    <w:rPr>
                      <w:spacing w:val="-2"/>
                      <w:sz w:val="20"/>
                      <w:szCs w:val="20"/>
                    </w:rPr>
                    <w:t>Ⅲ类水标准。项目为光伏发</w:t>
                  </w:r>
                </w:p>
              </w:tc>
              <w:tc>
                <w:tcPr>
                  <w:tcW w:w="843" w:type="dxa"/>
                  <w:tcBorders>
                    <w:bottom w:val="nil"/>
                  </w:tcBorders>
                  <w:vAlign w:val="top"/>
                </w:tcPr>
                <w:p w14:paraId="2FE66F96">
                  <w:pPr>
                    <w:spacing w:line="303" w:lineRule="auto"/>
                    <w:rPr>
                      <w:rFonts w:ascii="Arial"/>
                      <w:sz w:val="21"/>
                    </w:rPr>
                  </w:pPr>
                </w:p>
                <w:p w14:paraId="4F82CDFB">
                  <w:pPr>
                    <w:spacing w:line="304" w:lineRule="auto"/>
                    <w:rPr>
                      <w:rFonts w:ascii="Arial"/>
                      <w:sz w:val="21"/>
                    </w:rPr>
                  </w:pPr>
                </w:p>
                <w:p w14:paraId="7F53A878">
                  <w:pPr>
                    <w:spacing w:line="304" w:lineRule="auto"/>
                    <w:rPr>
                      <w:rFonts w:ascii="Arial"/>
                      <w:sz w:val="21"/>
                    </w:rPr>
                  </w:pPr>
                </w:p>
                <w:p w14:paraId="66416052">
                  <w:pPr>
                    <w:pStyle w:val="6"/>
                    <w:spacing w:before="65" w:line="228" w:lineRule="auto"/>
                    <w:ind w:left="219"/>
                    <w:rPr>
                      <w:sz w:val="20"/>
                      <w:szCs w:val="20"/>
                    </w:rPr>
                  </w:pPr>
                  <w:r>
                    <w:rPr>
                      <w:spacing w:val="3"/>
                      <w:sz w:val="20"/>
                      <w:szCs w:val="20"/>
                    </w:rPr>
                    <w:t>符合</w:t>
                  </w:r>
                </w:p>
              </w:tc>
            </w:tr>
          </w:tbl>
          <w:p w14:paraId="1CCAA005">
            <w:pPr>
              <w:spacing w:line="19" w:lineRule="exact"/>
              <w:rPr>
                <w:rFonts w:ascii="Arial"/>
                <w:sz w:val="2"/>
              </w:rPr>
            </w:pPr>
          </w:p>
        </w:tc>
      </w:tr>
    </w:tbl>
    <w:p w14:paraId="788A08A4">
      <w:pPr>
        <w:rPr>
          <w:rFonts w:ascii="Arial"/>
          <w:sz w:val="21"/>
        </w:rPr>
      </w:pPr>
    </w:p>
    <w:p w14:paraId="5F790B30">
      <w:pPr>
        <w:rPr>
          <w:rFonts w:ascii="Arial" w:hAnsi="Arial" w:eastAsia="Arial" w:cs="Arial"/>
          <w:sz w:val="21"/>
          <w:szCs w:val="21"/>
        </w:rPr>
        <w:sectPr>
          <w:footerReference r:id="rId16" w:type="default"/>
          <w:pgSz w:w="11906" w:h="16839"/>
          <w:pgMar w:top="1431" w:right="1407" w:bottom="1278" w:left="1407" w:header="0" w:footer="1116" w:gutter="0"/>
          <w:cols w:space="720" w:num="1"/>
        </w:sectPr>
      </w:pPr>
    </w:p>
    <w:p w14:paraId="6F440E4B">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649E3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60" w:hRule="atLeast"/>
        </w:trPr>
        <w:tc>
          <w:tcPr>
            <w:tcW w:w="1014" w:type="dxa"/>
            <w:tcBorders>
              <w:right w:val="single" w:color="000000" w:sz="2" w:space="0"/>
            </w:tcBorders>
            <w:vAlign w:val="top"/>
          </w:tcPr>
          <w:p w14:paraId="36884432">
            <w:pPr>
              <w:rPr>
                <w:rFonts w:ascii="Arial"/>
                <w:sz w:val="21"/>
              </w:rPr>
            </w:pPr>
          </w:p>
        </w:tc>
        <w:tc>
          <w:tcPr>
            <w:tcW w:w="8062" w:type="dxa"/>
            <w:tcBorders>
              <w:left w:val="single" w:color="000000" w:sz="2" w:space="0"/>
            </w:tcBorders>
            <w:vAlign w:val="top"/>
          </w:tcPr>
          <w:p w14:paraId="38FC3FEF">
            <w:pPr>
              <w:spacing w:line="114" w:lineRule="auto"/>
              <w:rPr>
                <w:rFonts w:ascii="Arial"/>
                <w:sz w:val="2"/>
              </w:rPr>
            </w:pPr>
          </w:p>
          <w:tbl>
            <w:tblPr>
              <w:tblStyle w:val="5"/>
              <w:tblW w:w="783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686"/>
              <w:gridCol w:w="2638"/>
              <w:gridCol w:w="843"/>
            </w:tblGrid>
            <w:tr w14:paraId="01B42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4" w:hRule="atLeast"/>
              </w:trPr>
              <w:tc>
                <w:tcPr>
                  <w:tcW w:w="672" w:type="dxa"/>
                  <w:vAlign w:val="top"/>
                </w:tcPr>
                <w:p w14:paraId="7FBD65E6">
                  <w:pPr>
                    <w:rPr>
                      <w:rFonts w:ascii="Arial"/>
                      <w:sz w:val="21"/>
                    </w:rPr>
                  </w:pPr>
                </w:p>
              </w:tc>
              <w:tc>
                <w:tcPr>
                  <w:tcW w:w="3686" w:type="dxa"/>
                  <w:vAlign w:val="top"/>
                </w:tcPr>
                <w:p w14:paraId="322CF963">
                  <w:pPr>
                    <w:pStyle w:val="6"/>
                    <w:spacing w:before="35" w:line="228" w:lineRule="auto"/>
                    <w:ind w:left="111"/>
                    <w:rPr>
                      <w:sz w:val="20"/>
                      <w:szCs w:val="20"/>
                    </w:rPr>
                  </w:pPr>
                  <w:r>
                    <w:rPr>
                      <w:spacing w:val="2"/>
                      <w:sz w:val="20"/>
                      <w:szCs w:val="20"/>
                    </w:rPr>
                    <w:t>程减排量</w:t>
                  </w:r>
                  <w:r>
                    <w:rPr>
                      <w:spacing w:val="-13"/>
                      <w:sz w:val="20"/>
                      <w:szCs w:val="20"/>
                    </w:rPr>
                    <w:t xml:space="preserve"> </w:t>
                  </w:r>
                  <w:r>
                    <w:rPr>
                      <w:rFonts w:ascii="Times New Roman" w:hAnsi="Times New Roman" w:eastAsia="Times New Roman" w:cs="Times New Roman"/>
                      <w:spacing w:val="2"/>
                      <w:sz w:val="20"/>
                      <w:szCs w:val="20"/>
                    </w:rPr>
                    <w:t>1009t</w:t>
                  </w:r>
                  <w:r>
                    <w:rPr>
                      <w:spacing w:val="2"/>
                      <w:sz w:val="20"/>
                      <w:szCs w:val="20"/>
                    </w:rPr>
                    <w:t>。</w:t>
                  </w:r>
                </w:p>
                <w:p w14:paraId="69FAD1A4">
                  <w:pPr>
                    <w:pStyle w:val="6"/>
                    <w:spacing w:before="26" w:line="246" w:lineRule="auto"/>
                    <w:ind w:left="110" w:right="106" w:firstLine="11"/>
                    <w:rPr>
                      <w:sz w:val="20"/>
                      <w:szCs w:val="20"/>
                    </w:rPr>
                  </w:pPr>
                  <w:r>
                    <w:rPr>
                      <w:spacing w:val="2"/>
                      <w:sz w:val="20"/>
                      <w:szCs w:val="20"/>
                    </w:rPr>
                    <w:t>（</w:t>
                  </w:r>
                  <w:r>
                    <w:rPr>
                      <w:rFonts w:ascii="Times New Roman" w:hAnsi="Times New Roman" w:eastAsia="Times New Roman" w:cs="Times New Roman"/>
                      <w:spacing w:val="2"/>
                      <w:sz w:val="20"/>
                      <w:szCs w:val="20"/>
                    </w:rPr>
                    <w:t>2</w:t>
                  </w:r>
                  <w:r>
                    <w:rPr>
                      <w:spacing w:val="2"/>
                      <w:sz w:val="20"/>
                      <w:szCs w:val="20"/>
                    </w:rPr>
                    <w:t>）到</w:t>
                  </w:r>
                  <w:r>
                    <w:rPr>
                      <w:spacing w:val="-39"/>
                      <w:sz w:val="20"/>
                      <w:szCs w:val="20"/>
                    </w:rPr>
                    <w:t xml:space="preserve"> </w:t>
                  </w:r>
                  <w:r>
                    <w:rPr>
                      <w:rFonts w:ascii="Times New Roman" w:hAnsi="Times New Roman" w:eastAsia="Times New Roman" w:cs="Times New Roman"/>
                      <w:spacing w:val="2"/>
                      <w:sz w:val="20"/>
                      <w:szCs w:val="20"/>
                    </w:rPr>
                    <w:t xml:space="preserve">2025 </w:t>
                  </w:r>
                  <w:r>
                    <w:rPr>
                      <w:spacing w:val="2"/>
                      <w:sz w:val="20"/>
                      <w:szCs w:val="20"/>
                    </w:rPr>
                    <w:t>年，昆明市环境空气质量</w:t>
                  </w:r>
                  <w:r>
                    <w:rPr>
                      <w:sz w:val="20"/>
                      <w:szCs w:val="20"/>
                    </w:rPr>
                    <w:t xml:space="preserve"> </w:t>
                  </w:r>
                  <w:r>
                    <w:rPr>
                      <w:spacing w:val="3"/>
                      <w:sz w:val="20"/>
                      <w:szCs w:val="20"/>
                    </w:rPr>
                    <w:t>优良天数比例应达到</w:t>
                  </w:r>
                  <w:r>
                    <w:rPr>
                      <w:spacing w:val="-36"/>
                      <w:sz w:val="20"/>
                      <w:szCs w:val="20"/>
                    </w:rPr>
                    <w:t xml:space="preserve"> </w:t>
                  </w:r>
                  <w:r>
                    <w:rPr>
                      <w:rFonts w:ascii="Times New Roman" w:hAnsi="Times New Roman" w:eastAsia="Times New Roman" w:cs="Times New Roman"/>
                      <w:spacing w:val="3"/>
                      <w:sz w:val="20"/>
                      <w:szCs w:val="20"/>
                    </w:rPr>
                    <w:t>99.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r>
                    <w:rPr>
                      <w:spacing w:val="3"/>
                      <w:sz w:val="20"/>
                      <w:szCs w:val="20"/>
                    </w:rPr>
                    <w:t>，城市细颗</w:t>
                  </w:r>
                  <w:r>
                    <w:rPr>
                      <w:sz w:val="20"/>
                      <w:szCs w:val="20"/>
                    </w:rPr>
                    <w:t xml:space="preserve"> </w:t>
                  </w:r>
                  <w:r>
                    <w:rPr>
                      <w:spacing w:val="-4"/>
                      <w:sz w:val="20"/>
                      <w:szCs w:val="20"/>
                    </w:rPr>
                    <w:t>粒物（</w:t>
                  </w:r>
                  <w:r>
                    <w:rPr>
                      <w:rFonts w:ascii="Times New Roman" w:hAnsi="Times New Roman" w:eastAsia="Times New Roman" w:cs="Times New Roman"/>
                      <w:spacing w:val="-4"/>
                      <w:sz w:val="20"/>
                      <w:szCs w:val="20"/>
                    </w:rPr>
                    <w:t>PM</w:t>
                  </w:r>
                  <w:r>
                    <w:rPr>
                      <w:rFonts w:ascii="Times New Roman" w:hAnsi="Times New Roman" w:eastAsia="Times New Roman" w:cs="Times New Roman"/>
                      <w:spacing w:val="-4"/>
                      <w:position w:val="-1"/>
                      <w:sz w:val="13"/>
                      <w:szCs w:val="13"/>
                    </w:rPr>
                    <w:t>2.5</w:t>
                  </w:r>
                  <w:r>
                    <w:rPr>
                      <w:spacing w:val="-4"/>
                      <w:sz w:val="20"/>
                      <w:szCs w:val="20"/>
                    </w:rPr>
                    <w:t>）平均浓度应达到</w:t>
                  </w:r>
                  <w:r>
                    <w:rPr>
                      <w:spacing w:val="-43"/>
                      <w:sz w:val="20"/>
                      <w:szCs w:val="20"/>
                    </w:rPr>
                    <w:t xml:space="preserve"> </w:t>
                  </w:r>
                  <w:r>
                    <w:rPr>
                      <w:rFonts w:ascii="Times New Roman" w:hAnsi="Times New Roman" w:eastAsia="Times New Roman" w:cs="Times New Roman"/>
                      <w:spacing w:val="-4"/>
                      <w:sz w:val="20"/>
                      <w:szCs w:val="20"/>
                    </w:rPr>
                    <w:t>24μg/m</w:t>
                  </w:r>
                  <w:r>
                    <w:rPr>
                      <w:rFonts w:ascii="Times New Roman" w:hAnsi="Times New Roman" w:eastAsia="Times New Roman" w:cs="Times New Roman"/>
                      <w:spacing w:val="-5"/>
                      <w:sz w:val="20"/>
                      <w:szCs w:val="20"/>
                    </w:rPr>
                    <w:t>³</w:t>
                  </w:r>
                  <w:r>
                    <w:rPr>
                      <w:rFonts w:ascii="Times New Roman" w:hAnsi="Times New Roman" w:eastAsia="Times New Roman" w:cs="Times New Roman"/>
                      <w:spacing w:val="-24"/>
                      <w:sz w:val="20"/>
                      <w:szCs w:val="20"/>
                    </w:rPr>
                    <w:t xml:space="preserve"> </w:t>
                  </w:r>
                  <w:r>
                    <w:rPr>
                      <w:spacing w:val="-5"/>
                      <w:sz w:val="20"/>
                      <w:szCs w:val="20"/>
                    </w:rPr>
                    <w:t>;</w:t>
                  </w:r>
                  <w:r>
                    <w:rPr>
                      <w:sz w:val="20"/>
                      <w:szCs w:val="20"/>
                    </w:rPr>
                    <w:t xml:space="preserve"> </w:t>
                  </w:r>
                  <w:r>
                    <w:rPr>
                      <w:spacing w:val="6"/>
                      <w:sz w:val="20"/>
                      <w:szCs w:val="20"/>
                    </w:rPr>
                    <w:t>氮氧化物重点工程减排量</w:t>
                  </w:r>
                  <w:r>
                    <w:rPr>
                      <w:spacing w:val="-32"/>
                      <w:sz w:val="20"/>
                      <w:szCs w:val="20"/>
                    </w:rPr>
                    <w:t xml:space="preserve"> </w:t>
                  </w:r>
                  <w:r>
                    <w:rPr>
                      <w:rFonts w:ascii="Times New Roman" w:hAnsi="Times New Roman" w:eastAsia="Times New Roman" w:cs="Times New Roman"/>
                      <w:spacing w:val="6"/>
                      <w:sz w:val="20"/>
                      <w:szCs w:val="20"/>
                    </w:rPr>
                    <w:t>2237t</w:t>
                  </w:r>
                  <w:r>
                    <w:rPr>
                      <w:rFonts w:ascii="Times New Roman" w:hAnsi="Times New Roman" w:eastAsia="Times New Roman" w:cs="Times New Roman"/>
                      <w:spacing w:val="-25"/>
                      <w:sz w:val="20"/>
                      <w:szCs w:val="20"/>
                    </w:rPr>
                    <w:t xml:space="preserve"> </w:t>
                  </w:r>
                  <w:r>
                    <w:rPr>
                      <w:spacing w:val="6"/>
                      <w:sz w:val="20"/>
                      <w:szCs w:val="20"/>
                    </w:rPr>
                    <w:t>，挥发</w:t>
                  </w:r>
                  <w:r>
                    <w:rPr>
                      <w:sz w:val="20"/>
                      <w:szCs w:val="20"/>
                    </w:rPr>
                    <w:t xml:space="preserve"> </w:t>
                  </w:r>
                  <w:r>
                    <w:rPr>
                      <w:spacing w:val="5"/>
                      <w:sz w:val="20"/>
                      <w:szCs w:val="20"/>
                    </w:rPr>
                    <w:t>性有机物重点工程减排量</w:t>
                  </w:r>
                  <w:r>
                    <w:rPr>
                      <w:spacing w:val="-9"/>
                      <w:sz w:val="20"/>
                      <w:szCs w:val="20"/>
                    </w:rPr>
                    <w:t xml:space="preserve"> </w:t>
                  </w:r>
                  <w:r>
                    <w:rPr>
                      <w:rFonts w:ascii="Times New Roman" w:hAnsi="Times New Roman" w:eastAsia="Times New Roman" w:cs="Times New Roman"/>
                      <w:spacing w:val="5"/>
                      <w:sz w:val="20"/>
                      <w:szCs w:val="20"/>
                    </w:rPr>
                    <w:t>1684t</w:t>
                  </w:r>
                  <w:r>
                    <w:rPr>
                      <w:spacing w:val="5"/>
                      <w:sz w:val="20"/>
                      <w:szCs w:val="20"/>
                    </w:rPr>
                    <w:t>。</w:t>
                  </w:r>
                </w:p>
                <w:p w14:paraId="5C491CAA">
                  <w:pPr>
                    <w:pStyle w:val="6"/>
                    <w:spacing w:before="30" w:line="248" w:lineRule="auto"/>
                    <w:ind w:left="111" w:right="105" w:firstLine="10"/>
                    <w:rPr>
                      <w:sz w:val="20"/>
                      <w:szCs w:val="20"/>
                    </w:rPr>
                  </w:pPr>
                  <w:r>
                    <w:rPr>
                      <w:spacing w:val="5"/>
                      <w:sz w:val="20"/>
                      <w:szCs w:val="20"/>
                    </w:rPr>
                    <w:t>（</w:t>
                  </w:r>
                  <w:r>
                    <w:rPr>
                      <w:rFonts w:ascii="Times New Roman" w:hAnsi="Times New Roman" w:eastAsia="Times New Roman" w:cs="Times New Roman"/>
                      <w:spacing w:val="5"/>
                      <w:sz w:val="20"/>
                      <w:szCs w:val="20"/>
                    </w:rPr>
                    <w:t>3</w:t>
                  </w:r>
                  <w:r>
                    <w:rPr>
                      <w:spacing w:val="5"/>
                      <w:sz w:val="20"/>
                      <w:szCs w:val="20"/>
                    </w:rPr>
                    <w:t>）</w:t>
                  </w:r>
                  <w:r>
                    <w:rPr>
                      <w:rFonts w:ascii="Times New Roman" w:hAnsi="Times New Roman" w:eastAsia="Times New Roman" w:cs="Times New Roman"/>
                      <w:spacing w:val="5"/>
                      <w:sz w:val="20"/>
                      <w:szCs w:val="20"/>
                    </w:rPr>
                    <w:t xml:space="preserve">2025 </w:t>
                  </w:r>
                  <w:r>
                    <w:rPr>
                      <w:spacing w:val="5"/>
                      <w:sz w:val="20"/>
                      <w:szCs w:val="20"/>
                    </w:rPr>
                    <w:t>年底前，全面完成钢铁企业</w:t>
                  </w:r>
                  <w:r>
                    <w:rPr>
                      <w:spacing w:val="1"/>
                      <w:sz w:val="20"/>
                      <w:szCs w:val="20"/>
                    </w:rPr>
                    <w:t xml:space="preserve"> </w:t>
                  </w:r>
                  <w:r>
                    <w:rPr>
                      <w:spacing w:val="16"/>
                      <w:sz w:val="20"/>
                      <w:szCs w:val="20"/>
                    </w:rPr>
                    <w:t>超低排放改造。持续开展燃煤锅炉整</w:t>
                  </w:r>
                  <w:r>
                    <w:rPr>
                      <w:spacing w:val="6"/>
                      <w:sz w:val="20"/>
                      <w:szCs w:val="20"/>
                    </w:rPr>
                    <w:t xml:space="preserve"> </w:t>
                  </w:r>
                  <w:r>
                    <w:rPr>
                      <w:spacing w:val="8"/>
                      <w:sz w:val="20"/>
                      <w:szCs w:val="20"/>
                    </w:rPr>
                    <w:t>治，推进每小时</w:t>
                  </w:r>
                  <w:r>
                    <w:rPr>
                      <w:spacing w:val="-32"/>
                      <w:sz w:val="20"/>
                      <w:szCs w:val="20"/>
                    </w:rPr>
                    <w:t xml:space="preserve"> </w:t>
                  </w:r>
                  <w:r>
                    <w:rPr>
                      <w:rFonts w:ascii="Times New Roman" w:hAnsi="Times New Roman" w:eastAsia="Times New Roman" w:cs="Times New Roman"/>
                      <w:spacing w:val="8"/>
                      <w:sz w:val="20"/>
                      <w:szCs w:val="20"/>
                    </w:rPr>
                    <w:t xml:space="preserve">65 </w:t>
                  </w:r>
                  <w:r>
                    <w:rPr>
                      <w:spacing w:val="8"/>
                      <w:sz w:val="20"/>
                      <w:szCs w:val="20"/>
                    </w:rPr>
                    <w:t>蒸吨以上的燃煤锅</w:t>
                  </w:r>
                  <w:r>
                    <w:rPr>
                      <w:sz w:val="20"/>
                      <w:szCs w:val="20"/>
                    </w:rPr>
                    <w:t xml:space="preserve"> </w:t>
                  </w:r>
                  <w:r>
                    <w:rPr>
                      <w:spacing w:val="3"/>
                      <w:sz w:val="20"/>
                      <w:szCs w:val="20"/>
                    </w:rPr>
                    <w:t>炉超低排放改造。燃气锅炉推行低氮燃</w:t>
                  </w:r>
                  <w:r>
                    <w:rPr>
                      <w:spacing w:val="11"/>
                      <w:sz w:val="20"/>
                      <w:szCs w:val="20"/>
                    </w:rPr>
                    <w:t xml:space="preserve"> </w:t>
                  </w:r>
                  <w:r>
                    <w:rPr>
                      <w:spacing w:val="4"/>
                      <w:sz w:val="20"/>
                      <w:szCs w:val="20"/>
                    </w:rPr>
                    <w:t>烧，氮氧化物排放浓度不高于</w:t>
                  </w:r>
                  <w:r>
                    <w:rPr>
                      <w:spacing w:val="-19"/>
                      <w:sz w:val="20"/>
                      <w:szCs w:val="20"/>
                    </w:rPr>
                    <w:t xml:space="preserve"> </w:t>
                  </w:r>
                  <w:r>
                    <w:rPr>
                      <w:rFonts w:ascii="Times New Roman" w:hAnsi="Times New Roman" w:eastAsia="Times New Roman" w:cs="Times New Roman"/>
                      <w:spacing w:val="4"/>
                      <w:sz w:val="20"/>
                      <w:szCs w:val="20"/>
                    </w:rPr>
                    <w:t xml:space="preserve">50 </w:t>
                  </w:r>
                  <w:r>
                    <w:rPr>
                      <w:spacing w:val="4"/>
                      <w:sz w:val="20"/>
                      <w:szCs w:val="20"/>
                    </w:rPr>
                    <w:t>毫克</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spacing w:val="3"/>
                      <w:sz w:val="20"/>
                      <w:szCs w:val="20"/>
                    </w:rPr>
                    <w:t>立方米。重点涉气排放企业逐步取消烟</w:t>
                  </w:r>
                  <w:r>
                    <w:rPr>
                      <w:spacing w:val="11"/>
                      <w:sz w:val="20"/>
                      <w:szCs w:val="20"/>
                    </w:rPr>
                    <w:t xml:space="preserve"> </w:t>
                  </w:r>
                  <w:r>
                    <w:rPr>
                      <w:spacing w:val="3"/>
                      <w:sz w:val="20"/>
                      <w:szCs w:val="20"/>
                    </w:rPr>
                    <w:t>气旁路，因安全生产无法取消的，安装</w:t>
                  </w:r>
                  <w:r>
                    <w:rPr>
                      <w:spacing w:val="11"/>
                      <w:sz w:val="20"/>
                      <w:szCs w:val="20"/>
                    </w:rPr>
                    <w:t xml:space="preserve"> </w:t>
                  </w:r>
                  <w:r>
                    <w:rPr>
                      <w:spacing w:val="7"/>
                      <w:sz w:val="20"/>
                      <w:szCs w:val="20"/>
                    </w:rPr>
                    <w:t>在线监管系统。</w:t>
                  </w:r>
                </w:p>
                <w:p w14:paraId="0EAB32CE">
                  <w:pPr>
                    <w:pStyle w:val="6"/>
                    <w:spacing w:before="26" w:line="244" w:lineRule="auto"/>
                    <w:ind w:left="105" w:right="106" w:firstLine="16"/>
                    <w:rPr>
                      <w:sz w:val="20"/>
                      <w:szCs w:val="20"/>
                    </w:rPr>
                  </w:pPr>
                  <w:r>
                    <w:rPr>
                      <w:spacing w:val="18"/>
                      <w:sz w:val="20"/>
                      <w:szCs w:val="20"/>
                    </w:rPr>
                    <w:t>（</w:t>
                  </w:r>
                  <w:r>
                    <w:rPr>
                      <w:rFonts w:ascii="Times New Roman" w:hAnsi="Times New Roman" w:eastAsia="Times New Roman" w:cs="Times New Roman"/>
                      <w:spacing w:val="18"/>
                      <w:sz w:val="20"/>
                      <w:szCs w:val="20"/>
                    </w:rPr>
                    <w:t>4</w:t>
                  </w:r>
                  <w:r>
                    <w:rPr>
                      <w:spacing w:val="18"/>
                      <w:sz w:val="20"/>
                      <w:szCs w:val="20"/>
                    </w:rPr>
                    <w:t>）</w:t>
                  </w:r>
                  <w:r>
                    <w:rPr>
                      <w:spacing w:val="-37"/>
                      <w:sz w:val="20"/>
                      <w:szCs w:val="20"/>
                    </w:rPr>
                    <w:t xml:space="preserve"> </w:t>
                  </w:r>
                  <w:r>
                    <w:rPr>
                      <w:spacing w:val="18"/>
                      <w:sz w:val="20"/>
                      <w:szCs w:val="20"/>
                    </w:rPr>
                    <w:t>建立完善源头、过程和末端的</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全过程控制体系，实施</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排</w:t>
                  </w:r>
                  <w:r>
                    <w:rPr>
                      <w:sz w:val="20"/>
                      <w:szCs w:val="20"/>
                    </w:rPr>
                    <w:t xml:space="preserve"> </w:t>
                  </w:r>
                  <w:r>
                    <w:rPr>
                      <w:spacing w:val="7"/>
                      <w:sz w:val="20"/>
                      <w:szCs w:val="20"/>
                    </w:rPr>
                    <w:t>放总量控制。</w:t>
                  </w:r>
                </w:p>
                <w:p w14:paraId="2F79899F">
                  <w:pPr>
                    <w:pStyle w:val="6"/>
                    <w:spacing w:before="24"/>
                    <w:ind w:left="112" w:right="112" w:firstLine="9"/>
                    <w:rPr>
                      <w:sz w:val="20"/>
                      <w:szCs w:val="20"/>
                    </w:rPr>
                  </w:pPr>
                  <w:r>
                    <w:rPr>
                      <w:spacing w:val="7"/>
                      <w:sz w:val="20"/>
                      <w:szCs w:val="20"/>
                    </w:rPr>
                    <w:t>（</w:t>
                  </w:r>
                  <w:r>
                    <w:rPr>
                      <w:rFonts w:ascii="Times New Roman" w:hAnsi="Times New Roman" w:eastAsia="Times New Roman" w:cs="Times New Roman"/>
                      <w:spacing w:val="7"/>
                      <w:sz w:val="20"/>
                      <w:szCs w:val="20"/>
                    </w:rPr>
                    <w:t>5</w:t>
                  </w:r>
                  <w:r>
                    <w:rPr>
                      <w:spacing w:val="7"/>
                      <w:sz w:val="20"/>
                      <w:szCs w:val="20"/>
                    </w:rPr>
                    <w:t>）推进农业废弃物综合利用，</w:t>
                  </w:r>
                  <w:r>
                    <w:rPr>
                      <w:rFonts w:ascii="Times New Roman" w:hAnsi="Times New Roman" w:eastAsia="Times New Roman" w:cs="Times New Roman"/>
                      <w:spacing w:val="7"/>
                      <w:sz w:val="20"/>
                      <w:szCs w:val="20"/>
                    </w:rPr>
                    <w:t>2025</w:t>
                  </w:r>
                  <w:r>
                    <w:rPr>
                      <w:rFonts w:ascii="Times New Roman" w:hAnsi="Times New Roman" w:eastAsia="Times New Roman" w:cs="Times New Roman"/>
                      <w:spacing w:val="12"/>
                      <w:sz w:val="20"/>
                      <w:szCs w:val="20"/>
                    </w:rPr>
                    <w:t xml:space="preserve"> </w:t>
                  </w:r>
                  <w:r>
                    <w:rPr>
                      <w:spacing w:val="7"/>
                      <w:sz w:val="20"/>
                      <w:szCs w:val="20"/>
                    </w:rPr>
                    <w:t>年底前综合利用率达</w:t>
                  </w:r>
                  <w:r>
                    <w:rPr>
                      <w:spacing w:val="-36"/>
                      <w:sz w:val="20"/>
                      <w:szCs w:val="20"/>
                    </w:rPr>
                    <w:t xml:space="preserve"> </w:t>
                  </w:r>
                  <w:r>
                    <w:rPr>
                      <w:rFonts w:ascii="Times New Roman" w:hAnsi="Times New Roman" w:eastAsia="Times New Roman" w:cs="Times New Roman"/>
                      <w:spacing w:val="7"/>
                      <w:sz w:val="20"/>
                      <w:szCs w:val="20"/>
                    </w:rPr>
                    <w:t>90%</w:t>
                  </w:r>
                  <w:r>
                    <w:rPr>
                      <w:spacing w:val="7"/>
                      <w:sz w:val="20"/>
                      <w:szCs w:val="20"/>
                    </w:rPr>
                    <w:t>以上。</w:t>
                  </w:r>
                </w:p>
                <w:p w14:paraId="673A858D">
                  <w:pPr>
                    <w:pStyle w:val="6"/>
                    <w:spacing w:before="25" w:line="248" w:lineRule="auto"/>
                    <w:ind w:left="111" w:right="106" w:firstLine="10"/>
                    <w:rPr>
                      <w:sz w:val="20"/>
                      <w:szCs w:val="20"/>
                    </w:rPr>
                  </w:pPr>
                  <w:r>
                    <w:rPr>
                      <w:spacing w:val="5"/>
                      <w:sz w:val="20"/>
                      <w:szCs w:val="20"/>
                    </w:rPr>
                    <w:t>（</w:t>
                  </w:r>
                  <w:r>
                    <w:rPr>
                      <w:rFonts w:ascii="Times New Roman" w:hAnsi="Times New Roman" w:eastAsia="Times New Roman" w:cs="Times New Roman"/>
                      <w:spacing w:val="5"/>
                      <w:sz w:val="20"/>
                      <w:szCs w:val="20"/>
                    </w:rPr>
                    <w:t>6</w:t>
                  </w:r>
                  <w:r>
                    <w:rPr>
                      <w:spacing w:val="5"/>
                      <w:sz w:val="20"/>
                      <w:szCs w:val="20"/>
                    </w:rPr>
                    <w:t>）滇池流域：</w:t>
                  </w:r>
                  <w:r>
                    <w:rPr>
                      <w:rFonts w:ascii="Times New Roman" w:hAnsi="Times New Roman" w:eastAsia="Times New Roman" w:cs="Times New Roman"/>
                      <w:spacing w:val="5"/>
                      <w:sz w:val="20"/>
                      <w:szCs w:val="20"/>
                    </w:rPr>
                    <w:t xml:space="preserve">2025 </w:t>
                  </w:r>
                  <w:r>
                    <w:rPr>
                      <w:spacing w:val="5"/>
                      <w:sz w:val="20"/>
                      <w:szCs w:val="20"/>
                    </w:rPr>
                    <w:t>年底前，完成流</w:t>
                  </w:r>
                  <w:r>
                    <w:rPr>
                      <w:spacing w:val="1"/>
                      <w:sz w:val="20"/>
                      <w:szCs w:val="20"/>
                    </w:rPr>
                    <w:t xml:space="preserve"> </w:t>
                  </w:r>
                  <w:r>
                    <w:rPr>
                      <w:spacing w:val="3"/>
                      <w:sz w:val="20"/>
                      <w:szCs w:val="20"/>
                    </w:rPr>
                    <w:t>域内城镇雨污分流改造，城镇污水收集</w:t>
                  </w:r>
                  <w:r>
                    <w:rPr>
                      <w:spacing w:val="11"/>
                      <w:sz w:val="20"/>
                      <w:szCs w:val="20"/>
                    </w:rPr>
                    <w:t xml:space="preserve"> 率达</w:t>
                  </w:r>
                  <w:r>
                    <w:rPr>
                      <w:spacing w:val="-25"/>
                      <w:sz w:val="20"/>
                      <w:szCs w:val="20"/>
                    </w:rPr>
                    <w:t xml:space="preserve"> </w:t>
                  </w:r>
                  <w:r>
                    <w:rPr>
                      <w:rFonts w:ascii="Times New Roman" w:hAnsi="Times New Roman" w:eastAsia="Times New Roman" w:cs="Times New Roman"/>
                      <w:spacing w:val="11"/>
                      <w:sz w:val="20"/>
                      <w:szCs w:val="20"/>
                    </w:rPr>
                    <w:t>95</w:t>
                  </w:r>
                  <w:r>
                    <w:rPr>
                      <w:spacing w:val="11"/>
                      <w:sz w:val="20"/>
                      <w:szCs w:val="20"/>
                    </w:rPr>
                    <w:t>％以上，农村生活污水收集处</w:t>
                  </w:r>
                  <w:r>
                    <w:rPr>
                      <w:sz w:val="20"/>
                      <w:szCs w:val="20"/>
                    </w:rPr>
                    <w:t xml:space="preserve"> </w:t>
                  </w:r>
                  <w:r>
                    <w:rPr>
                      <w:spacing w:val="11"/>
                      <w:sz w:val="20"/>
                      <w:szCs w:val="20"/>
                    </w:rPr>
                    <w:t>理率达</w:t>
                  </w:r>
                  <w:r>
                    <w:rPr>
                      <w:spacing w:val="-25"/>
                      <w:sz w:val="20"/>
                      <w:szCs w:val="20"/>
                    </w:rPr>
                    <w:t xml:space="preserve"> </w:t>
                  </w:r>
                  <w:r>
                    <w:rPr>
                      <w:rFonts w:ascii="Times New Roman" w:hAnsi="Times New Roman" w:eastAsia="Times New Roman" w:cs="Times New Roman"/>
                      <w:spacing w:val="11"/>
                      <w:sz w:val="20"/>
                      <w:szCs w:val="20"/>
                    </w:rPr>
                    <w:t>75</w:t>
                  </w:r>
                  <w:r>
                    <w:rPr>
                      <w:spacing w:val="11"/>
                      <w:sz w:val="20"/>
                      <w:szCs w:val="20"/>
                    </w:rPr>
                    <w:t>％以上，畜禽粪污综合利用</w:t>
                  </w:r>
                  <w:r>
                    <w:rPr>
                      <w:sz w:val="20"/>
                      <w:szCs w:val="20"/>
                    </w:rPr>
                    <w:t xml:space="preserve"> </w:t>
                  </w:r>
                  <w:r>
                    <w:rPr>
                      <w:spacing w:val="11"/>
                      <w:sz w:val="20"/>
                      <w:szCs w:val="20"/>
                    </w:rPr>
                    <w:t>率达</w:t>
                  </w:r>
                  <w:r>
                    <w:rPr>
                      <w:spacing w:val="-25"/>
                      <w:sz w:val="20"/>
                      <w:szCs w:val="20"/>
                    </w:rPr>
                    <w:t xml:space="preserve"> </w:t>
                  </w:r>
                  <w:r>
                    <w:rPr>
                      <w:rFonts w:ascii="Times New Roman" w:hAnsi="Times New Roman" w:eastAsia="Times New Roman" w:cs="Times New Roman"/>
                      <w:spacing w:val="11"/>
                      <w:sz w:val="20"/>
                      <w:szCs w:val="20"/>
                    </w:rPr>
                    <w:t>90</w:t>
                  </w:r>
                  <w:r>
                    <w:rPr>
                      <w:spacing w:val="11"/>
                      <w:sz w:val="20"/>
                      <w:szCs w:val="20"/>
                    </w:rPr>
                    <w:t>％以上，城市生活垃圾处理率</w:t>
                  </w:r>
                  <w:r>
                    <w:rPr>
                      <w:sz w:val="20"/>
                      <w:szCs w:val="20"/>
                    </w:rPr>
                    <w:t xml:space="preserve"> </w:t>
                  </w:r>
                  <w:r>
                    <w:rPr>
                      <w:spacing w:val="11"/>
                      <w:sz w:val="20"/>
                      <w:szCs w:val="20"/>
                    </w:rPr>
                    <w:t>达</w:t>
                  </w:r>
                  <w:r>
                    <w:rPr>
                      <w:spacing w:val="-25"/>
                      <w:sz w:val="20"/>
                      <w:szCs w:val="20"/>
                    </w:rPr>
                    <w:t xml:space="preserve"> </w:t>
                  </w:r>
                  <w:r>
                    <w:rPr>
                      <w:rFonts w:ascii="Times New Roman" w:hAnsi="Times New Roman" w:eastAsia="Times New Roman" w:cs="Times New Roman"/>
                      <w:spacing w:val="11"/>
                      <w:sz w:val="20"/>
                      <w:szCs w:val="20"/>
                    </w:rPr>
                    <w:t>97</w:t>
                  </w:r>
                  <w:r>
                    <w:rPr>
                      <w:spacing w:val="11"/>
                      <w:sz w:val="20"/>
                      <w:szCs w:val="20"/>
                    </w:rPr>
                    <w:t>％以上，实现农村生活垃圾分类</w:t>
                  </w:r>
                  <w:r>
                    <w:rPr>
                      <w:sz w:val="20"/>
                      <w:szCs w:val="20"/>
                    </w:rPr>
                    <w:t xml:space="preserve"> </w:t>
                  </w:r>
                  <w:r>
                    <w:rPr>
                      <w:spacing w:val="8"/>
                      <w:sz w:val="20"/>
                      <w:szCs w:val="20"/>
                    </w:rPr>
                    <w:t>投放、统一运输、集中处理。</w:t>
                  </w:r>
                </w:p>
                <w:p w14:paraId="19B2D74E">
                  <w:pPr>
                    <w:pStyle w:val="6"/>
                    <w:spacing w:before="28" w:line="249" w:lineRule="auto"/>
                    <w:ind w:left="111" w:right="52" w:firstLine="10"/>
                    <w:rPr>
                      <w:sz w:val="20"/>
                      <w:szCs w:val="20"/>
                    </w:rPr>
                  </w:pPr>
                  <w:r>
                    <w:rPr>
                      <w:spacing w:val="8"/>
                      <w:sz w:val="20"/>
                      <w:szCs w:val="20"/>
                    </w:rPr>
                    <w:t>（</w:t>
                  </w:r>
                  <w:r>
                    <w:rPr>
                      <w:rFonts w:ascii="Times New Roman" w:hAnsi="Times New Roman" w:eastAsia="Times New Roman" w:cs="Times New Roman"/>
                      <w:spacing w:val="8"/>
                      <w:sz w:val="20"/>
                      <w:szCs w:val="20"/>
                    </w:rPr>
                    <w:t>7</w:t>
                  </w:r>
                  <w:r>
                    <w:rPr>
                      <w:spacing w:val="8"/>
                      <w:sz w:val="20"/>
                      <w:szCs w:val="20"/>
                    </w:rPr>
                    <w:t>）阳宗海流域：推进农业废弃物综</w:t>
                  </w:r>
                  <w:r>
                    <w:rPr>
                      <w:spacing w:val="15"/>
                      <w:sz w:val="20"/>
                      <w:szCs w:val="20"/>
                    </w:rPr>
                    <w:t xml:space="preserve"> </w:t>
                  </w:r>
                  <w:r>
                    <w:rPr>
                      <w:spacing w:val="11"/>
                      <w:sz w:val="20"/>
                      <w:szCs w:val="20"/>
                    </w:rPr>
                    <w:t>合利用，</w:t>
                  </w:r>
                  <w:r>
                    <w:rPr>
                      <w:rFonts w:ascii="Times New Roman" w:hAnsi="Times New Roman" w:eastAsia="Times New Roman" w:cs="Times New Roman"/>
                      <w:spacing w:val="11"/>
                      <w:sz w:val="20"/>
                      <w:szCs w:val="20"/>
                    </w:rPr>
                    <w:t xml:space="preserve">2025 </w:t>
                  </w:r>
                  <w:r>
                    <w:rPr>
                      <w:spacing w:val="11"/>
                      <w:sz w:val="20"/>
                      <w:szCs w:val="20"/>
                    </w:rPr>
                    <w:t>年底前农作物综合利用</w:t>
                  </w:r>
                  <w:r>
                    <w:rPr>
                      <w:sz w:val="20"/>
                      <w:szCs w:val="20"/>
                    </w:rPr>
                    <w:t xml:space="preserve"> </w:t>
                  </w:r>
                  <w:r>
                    <w:rPr>
                      <w:spacing w:val="13"/>
                      <w:sz w:val="20"/>
                      <w:szCs w:val="20"/>
                    </w:rPr>
                    <w:t>率达</w:t>
                  </w:r>
                  <w:r>
                    <w:rPr>
                      <w:spacing w:val="-26"/>
                      <w:sz w:val="20"/>
                      <w:szCs w:val="20"/>
                    </w:rPr>
                    <w:t xml:space="preserve"> </w:t>
                  </w:r>
                  <w:r>
                    <w:rPr>
                      <w:rFonts w:ascii="Times New Roman" w:hAnsi="Times New Roman" w:eastAsia="Times New Roman" w:cs="Times New Roman"/>
                      <w:spacing w:val="13"/>
                      <w:sz w:val="20"/>
                      <w:szCs w:val="20"/>
                    </w:rPr>
                    <w:t>90%</w:t>
                  </w:r>
                  <w:r>
                    <w:rPr>
                      <w:spacing w:val="13"/>
                      <w:sz w:val="20"/>
                      <w:szCs w:val="20"/>
                    </w:rPr>
                    <w:t>以上，畜禽粪污综合利用率</w:t>
                  </w:r>
                  <w:r>
                    <w:rPr>
                      <w:sz w:val="20"/>
                      <w:szCs w:val="20"/>
                    </w:rPr>
                    <w:t xml:space="preserve"> </w:t>
                  </w:r>
                  <w:r>
                    <w:rPr>
                      <w:spacing w:val="10"/>
                      <w:sz w:val="20"/>
                      <w:szCs w:val="20"/>
                    </w:rPr>
                    <w:t>达</w:t>
                  </w:r>
                  <w:r>
                    <w:rPr>
                      <w:spacing w:val="-20"/>
                      <w:sz w:val="20"/>
                      <w:szCs w:val="20"/>
                    </w:rPr>
                    <w:t xml:space="preserve"> </w:t>
                  </w:r>
                  <w:r>
                    <w:rPr>
                      <w:rFonts w:ascii="Times New Roman" w:hAnsi="Times New Roman" w:eastAsia="Times New Roman" w:cs="Times New Roman"/>
                      <w:spacing w:val="10"/>
                      <w:sz w:val="20"/>
                      <w:szCs w:val="20"/>
                    </w:rPr>
                    <w:t>96%</w:t>
                  </w:r>
                  <w:r>
                    <w:rPr>
                      <w:spacing w:val="10"/>
                      <w:sz w:val="20"/>
                      <w:szCs w:val="20"/>
                    </w:rPr>
                    <w:t>以上，农膜回收利用率达</w:t>
                  </w:r>
                  <w:r>
                    <w:rPr>
                      <w:spacing w:val="-30"/>
                      <w:sz w:val="20"/>
                      <w:szCs w:val="20"/>
                    </w:rPr>
                    <w:t xml:space="preserve"> </w:t>
                  </w:r>
                  <w:r>
                    <w:rPr>
                      <w:rFonts w:ascii="Times New Roman" w:hAnsi="Times New Roman" w:eastAsia="Times New Roman" w:cs="Times New Roman"/>
                      <w:spacing w:val="10"/>
                      <w:sz w:val="20"/>
                      <w:szCs w:val="20"/>
                    </w:rPr>
                    <w:t>85%</w:t>
                  </w:r>
                  <w:r>
                    <w:rPr>
                      <w:rFonts w:ascii="Times New Roman" w:hAnsi="Times New Roman" w:eastAsia="Times New Roman" w:cs="Times New Roman"/>
                      <w:sz w:val="20"/>
                      <w:szCs w:val="20"/>
                    </w:rPr>
                    <w:t xml:space="preserve">  </w:t>
                  </w:r>
                  <w:r>
                    <w:rPr>
                      <w:spacing w:val="11"/>
                      <w:sz w:val="20"/>
                      <w:szCs w:val="20"/>
                    </w:rPr>
                    <w:t>以上。</w:t>
                  </w:r>
                  <w:r>
                    <w:rPr>
                      <w:rFonts w:ascii="Times New Roman" w:hAnsi="Times New Roman" w:eastAsia="Times New Roman" w:cs="Times New Roman"/>
                      <w:spacing w:val="11"/>
                      <w:sz w:val="20"/>
                      <w:szCs w:val="20"/>
                    </w:rPr>
                    <w:t xml:space="preserve">2025 </w:t>
                  </w:r>
                  <w:r>
                    <w:rPr>
                      <w:spacing w:val="11"/>
                      <w:sz w:val="20"/>
                      <w:szCs w:val="20"/>
                    </w:rPr>
                    <w:t>年底前，完成流域内城镇</w:t>
                  </w:r>
                  <w:r>
                    <w:rPr>
                      <w:spacing w:val="3"/>
                      <w:sz w:val="20"/>
                      <w:szCs w:val="20"/>
                    </w:rPr>
                    <w:t xml:space="preserve"> </w:t>
                  </w:r>
                  <w:r>
                    <w:rPr>
                      <w:spacing w:val="2"/>
                      <w:sz w:val="20"/>
                      <w:szCs w:val="20"/>
                    </w:rPr>
                    <w:t>雨污分流改造，城镇污水收集率达</w:t>
                  </w:r>
                  <w:r>
                    <w:rPr>
                      <w:spacing w:val="-40"/>
                      <w:sz w:val="20"/>
                      <w:szCs w:val="20"/>
                    </w:rPr>
                    <w:t xml:space="preserve"> </w:t>
                  </w:r>
                  <w:r>
                    <w:rPr>
                      <w:rFonts w:ascii="Times New Roman" w:hAnsi="Times New Roman" w:eastAsia="Times New Roman" w:cs="Times New Roman"/>
                      <w:spacing w:val="2"/>
                      <w:sz w:val="20"/>
                      <w:szCs w:val="20"/>
                    </w:rPr>
                    <w:t>95%</w:t>
                  </w:r>
                  <w:r>
                    <w:rPr>
                      <w:rFonts w:ascii="Times New Roman" w:hAnsi="Times New Roman" w:eastAsia="Times New Roman" w:cs="Times New Roman"/>
                      <w:sz w:val="20"/>
                      <w:szCs w:val="20"/>
                    </w:rPr>
                    <w:t xml:space="preserve">  </w:t>
                  </w:r>
                  <w:r>
                    <w:rPr>
                      <w:spacing w:val="2"/>
                      <w:sz w:val="20"/>
                      <w:szCs w:val="20"/>
                    </w:rPr>
                    <w:t>以上，农村生活污水收集处理率达</w:t>
                  </w:r>
                  <w:r>
                    <w:rPr>
                      <w:spacing w:val="-40"/>
                      <w:sz w:val="20"/>
                      <w:szCs w:val="20"/>
                    </w:rPr>
                    <w:t xml:space="preserve"> </w:t>
                  </w:r>
                  <w:r>
                    <w:rPr>
                      <w:rFonts w:ascii="Times New Roman" w:hAnsi="Times New Roman" w:eastAsia="Times New Roman" w:cs="Times New Roman"/>
                      <w:spacing w:val="2"/>
                      <w:sz w:val="20"/>
                      <w:szCs w:val="20"/>
                    </w:rPr>
                    <w:t>75%</w:t>
                  </w:r>
                  <w:r>
                    <w:rPr>
                      <w:rFonts w:ascii="Times New Roman" w:hAnsi="Times New Roman" w:eastAsia="Times New Roman" w:cs="Times New Roman"/>
                      <w:sz w:val="20"/>
                      <w:szCs w:val="20"/>
                    </w:rPr>
                    <w:t xml:space="preserve">  </w:t>
                  </w:r>
                  <w:r>
                    <w:rPr>
                      <w:spacing w:val="13"/>
                      <w:sz w:val="20"/>
                      <w:szCs w:val="20"/>
                    </w:rPr>
                    <w:t>以上，畜禽粪污综合利用率达</w:t>
                  </w:r>
                  <w:r>
                    <w:rPr>
                      <w:spacing w:val="-26"/>
                      <w:sz w:val="20"/>
                      <w:szCs w:val="20"/>
                    </w:rPr>
                    <w:t xml:space="preserve"> </w:t>
                  </w:r>
                  <w:r>
                    <w:rPr>
                      <w:rFonts w:ascii="Times New Roman" w:hAnsi="Times New Roman" w:eastAsia="Times New Roman" w:cs="Times New Roman"/>
                      <w:spacing w:val="13"/>
                      <w:sz w:val="20"/>
                      <w:szCs w:val="20"/>
                    </w:rPr>
                    <w:t>90%</w:t>
                  </w:r>
                  <w:r>
                    <w:rPr>
                      <w:spacing w:val="13"/>
                      <w:sz w:val="20"/>
                      <w:szCs w:val="20"/>
                    </w:rPr>
                    <w:t>以</w:t>
                  </w:r>
                  <w:r>
                    <w:rPr>
                      <w:sz w:val="20"/>
                      <w:szCs w:val="20"/>
                    </w:rPr>
                    <w:t xml:space="preserve"> </w:t>
                  </w:r>
                  <w:r>
                    <w:rPr>
                      <w:spacing w:val="4"/>
                      <w:sz w:val="20"/>
                      <w:szCs w:val="20"/>
                    </w:rPr>
                    <w:t>上，城镇生活垃圾处理率达</w:t>
                  </w:r>
                  <w:r>
                    <w:rPr>
                      <w:spacing w:val="-22"/>
                      <w:sz w:val="20"/>
                      <w:szCs w:val="20"/>
                    </w:rPr>
                    <w:t xml:space="preserve"> </w:t>
                  </w:r>
                  <w:r>
                    <w:rPr>
                      <w:rFonts w:ascii="Times New Roman" w:hAnsi="Times New Roman" w:eastAsia="Times New Roman" w:cs="Times New Roman"/>
                      <w:spacing w:val="4"/>
                      <w:sz w:val="20"/>
                      <w:szCs w:val="20"/>
                    </w:rPr>
                    <w:t>97%</w:t>
                  </w:r>
                  <w:r>
                    <w:rPr>
                      <w:spacing w:val="4"/>
                      <w:sz w:val="20"/>
                      <w:szCs w:val="20"/>
                    </w:rPr>
                    <w:t>以上，</w:t>
                  </w:r>
                  <w:r>
                    <w:rPr>
                      <w:sz w:val="20"/>
                      <w:szCs w:val="20"/>
                    </w:rPr>
                    <w:t xml:space="preserve"> </w:t>
                  </w:r>
                  <w:r>
                    <w:rPr>
                      <w:spacing w:val="16"/>
                      <w:sz w:val="20"/>
                      <w:szCs w:val="20"/>
                    </w:rPr>
                    <w:t>实现农村生活垃圾分类投放、统一运</w:t>
                  </w:r>
                  <w:r>
                    <w:rPr>
                      <w:spacing w:val="6"/>
                      <w:sz w:val="20"/>
                      <w:szCs w:val="20"/>
                    </w:rPr>
                    <w:t xml:space="preserve"> </w:t>
                  </w:r>
                  <w:r>
                    <w:rPr>
                      <w:spacing w:val="7"/>
                      <w:sz w:val="20"/>
                      <w:szCs w:val="20"/>
                    </w:rPr>
                    <w:t>输、集中处理。</w:t>
                  </w:r>
                </w:p>
                <w:p w14:paraId="61B04E51">
                  <w:pPr>
                    <w:pStyle w:val="6"/>
                    <w:spacing w:before="24" w:line="249" w:lineRule="auto"/>
                    <w:ind w:left="111" w:right="35" w:firstLine="10"/>
                    <w:rPr>
                      <w:sz w:val="20"/>
                      <w:szCs w:val="20"/>
                    </w:rPr>
                  </w:pPr>
                  <w:r>
                    <w:rPr>
                      <w:spacing w:val="8"/>
                      <w:sz w:val="20"/>
                      <w:szCs w:val="20"/>
                    </w:rPr>
                    <w:t>（</w:t>
                  </w:r>
                  <w:r>
                    <w:rPr>
                      <w:rFonts w:ascii="Times New Roman" w:hAnsi="Times New Roman" w:eastAsia="Times New Roman" w:cs="Times New Roman"/>
                      <w:spacing w:val="8"/>
                      <w:sz w:val="20"/>
                      <w:szCs w:val="20"/>
                    </w:rPr>
                    <w:t>8</w:t>
                  </w:r>
                  <w:r>
                    <w:rPr>
                      <w:spacing w:val="8"/>
                      <w:sz w:val="20"/>
                      <w:szCs w:val="20"/>
                    </w:rPr>
                    <w:t>）督促指导磷石膏产生企业配套建</w:t>
                  </w:r>
                  <w:r>
                    <w:rPr>
                      <w:spacing w:val="15"/>
                      <w:sz w:val="20"/>
                      <w:szCs w:val="20"/>
                    </w:rPr>
                    <w:t xml:space="preserve"> </w:t>
                  </w:r>
                  <w:r>
                    <w:rPr>
                      <w:spacing w:val="3"/>
                      <w:sz w:val="20"/>
                      <w:szCs w:val="20"/>
                    </w:rPr>
                    <w:t>设（或委托建设）相应能力的磷石膏无</w:t>
                  </w:r>
                  <w:r>
                    <w:rPr>
                      <w:spacing w:val="10"/>
                      <w:sz w:val="20"/>
                      <w:szCs w:val="20"/>
                    </w:rPr>
                    <w:t xml:space="preserve"> </w:t>
                  </w:r>
                  <w:r>
                    <w:rPr>
                      <w:spacing w:val="-4"/>
                      <w:sz w:val="20"/>
                      <w:szCs w:val="20"/>
                    </w:rPr>
                    <w:t>害化处理设施，采用水洗、焙烧、浮选、</w:t>
                  </w:r>
                  <w:r>
                    <w:rPr>
                      <w:spacing w:val="4"/>
                      <w:sz w:val="20"/>
                      <w:szCs w:val="20"/>
                    </w:rPr>
                    <w:t xml:space="preserve"> </w:t>
                  </w:r>
                  <w:r>
                    <w:rPr>
                      <w:spacing w:val="7"/>
                      <w:sz w:val="20"/>
                      <w:szCs w:val="20"/>
                    </w:rPr>
                    <w:t>中和等技术对磷石膏进行无害化处理，</w:t>
                  </w:r>
                  <w:r>
                    <w:rPr>
                      <w:spacing w:val="13"/>
                      <w:sz w:val="20"/>
                      <w:szCs w:val="20"/>
                    </w:rPr>
                    <w:t xml:space="preserve"> </w:t>
                  </w:r>
                  <w:r>
                    <w:rPr>
                      <w:spacing w:val="-1"/>
                      <w:sz w:val="20"/>
                      <w:szCs w:val="20"/>
                    </w:rPr>
                    <w:t>确</w:t>
                  </w:r>
                  <w:r>
                    <w:rPr>
                      <w:spacing w:val="-41"/>
                      <w:sz w:val="20"/>
                      <w:szCs w:val="20"/>
                    </w:rPr>
                    <w:t xml:space="preserve"> </w:t>
                  </w:r>
                  <w:r>
                    <w:rPr>
                      <w:spacing w:val="-1"/>
                      <w:sz w:val="20"/>
                      <w:szCs w:val="20"/>
                    </w:rPr>
                    <w:t>保</w:t>
                  </w:r>
                  <w:r>
                    <w:rPr>
                      <w:spacing w:val="-55"/>
                      <w:sz w:val="20"/>
                      <w:szCs w:val="20"/>
                    </w:rPr>
                    <w:t xml:space="preserve"> </w:t>
                  </w:r>
                  <w:r>
                    <w:rPr>
                      <w:spacing w:val="-1"/>
                      <w:sz w:val="20"/>
                      <w:szCs w:val="20"/>
                    </w:rPr>
                    <w:t xml:space="preserve">在 </w:t>
                  </w:r>
                  <w:r>
                    <w:rPr>
                      <w:rFonts w:ascii="Times New Roman" w:hAnsi="Times New Roman" w:eastAsia="Times New Roman" w:cs="Times New Roman"/>
                      <w:spacing w:val="-1"/>
                      <w:sz w:val="20"/>
                      <w:szCs w:val="20"/>
                    </w:rPr>
                    <w:t>2025</w:t>
                  </w:r>
                  <w:r>
                    <w:rPr>
                      <w:rFonts w:ascii="Times New Roman" w:hAnsi="Times New Roman" w:eastAsia="Times New Roman" w:cs="Times New Roman"/>
                      <w:spacing w:val="47"/>
                      <w:sz w:val="20"/>
                      <w:szCs w:val="20"/>
                    </w:rPr>
                    <w:t xml:space="preserve"> </w:t>
                  </w:r>
                  <w:r>
                    <w:rPr>
                      <w:spacing w:val="-1"/>
                      <w:sz w:val="20"/>
                      <w:szCs w:val="20"/>
                    </w:rPr>
                    <w:t>年</w:t>
                  </w:r>
                  <w:r>
                    <w:rPr>
                      <w:spacing w:val="-55"/>
                      <w:sz w:val="20"/>
                      <w:szCs w:val="20"/>
                    </w:rPr>
                    <w:t xml:space="preserve"> </w:t>
                  </w:r>
                  <w:r>
                    <w:rPr>
                      <w:spacing w:val="-1"/>
                      <w:sz w:val="20"/>
                      <w:szCs w:val="20"/>
                    </w:rPr>
                    <w:t>新</w:t>
                  </w:r>
                  <w:r>
                    <w:rPr>
                      <w:spacing w:val="-54"/>
                      <w:sz w:val="20"/>
                      <w:szCs w:val="20"/>
                    </w:rPr>
                    <w:t xml:space="preserve"> </w:t>
                  </w:r>
                  <w:r>
                    <w:rPr>
                      <w:spacing w:val="-1"/>
                      <w:sz w:val="20"/>
                      <w:szCs w:val="20"/>
                    </w:rPr>
                    <w:t>产</w:t>
                  </w:r>
                  <w:r>
                    <w:rPr>
                      <w:spacing w:val="-54"/>
                      <w:sz w:val="20"/>
                      <w:szCs w:val="20"/>
                    </w:rPr>
                    <w:t xml:space="preserve"> </w:t>
                  </w:r>
                  <w:r>
                    <w:rPr>
                      <w:spacing w:val="-1"/>
                      <w:sz w:val="20"/>
                      <w:szCs w:val="20"/>
                    </w:rPr>
                    <w:t>生</w:t>
                  </w:r>
                  <w:r>
                    <w:rPr>
                      <w:spacing w:val="-56"/>
                      <w:sz w:val="20"/>
                      <w:szCs w:val="20"/>
                    </w:rPr>
                    <w:t xml:space="preserve"> </w:t>
                  </w:r>
                  <w:r>
                    <w:rPr>
                      <w:spacing w:val="-1"/>
                      <w:sz w:val="20"/>
                      <w:szCs w:val="20"/>
                    </w:rPr>
                    <w:t>磷</w:t>
                  </w:r>
                  <w:r>
                    <w:rPr>
                      <w:spacing w:val="-53"/>
                      <w:sz w:val="20"/>
                      <w:szCs w:val="20"/>
                    </w:rPr>
                    <w:t xml:space="preserve"> </w:t>
                  </w:r>
                  <w:r>
                    <w:rPr>
                      <w:spacing w:val="-1"/>
                      <w:sz w:val="20"/>
                      <w:szCs w:val="20"/>
                    </w:rPr>
                    <w:t>石</w:t>
                  </w:r>
                  <w:r>
                    <w:rPr>
                      <w:spacing w:val="-48"/>
                      <w:sz w:val="20"/>
                      <w:szCs w:val="20"/>
                    </w:rPr>
                    <w:t xml:space="preserve"> </w:t>
                  </w:r>
                  <w:r>
                    <w:rPr>
                      <w:spacing w:val="-1"/>
                      <w:sz w:val="20"/>
                      <w:szCs w:val="20"/>
                    </w:rPr>
                    <w:t>膏</w:t>
                  </w:r>
                  <w:r>
                    <w:rPr>
                      <w:spacing w:val="-51"/>
                      <w:sz w:val="20"/>
                      <w:szCs w:val="20"/>
                    </w:rPr>
                    <w:t xml:space="preserve"> </w:t>
                  </w:r>
                  <w:r>
                    <w:rPr>
                      <w:spacing w:val="-1"/>
                      <w:sz w:val="20"/>
                      <w:szCs w:val="20"/>
                    </w:rPr>
                    <w:t>实</w:t>
                  </w:r>
                  <w:r>
                    <w:rPr>
                      <w:spacing w:val="-52"/>
                      <w:sz w:val="20"/>
                      <w:szCs w:val="20"/>
                    </w:rPr>
                    <w:t xml:space="preserve"> </w:t>
                  </w:r>
                  <w:r>
                    <w:rPr>
                      <w:spacing w:val="-1"/>
                      <w:sz w:val="20"/>
                      <w:szCs w:val="20"/>
                    </w:rPr>
                    <w:t>现</w:t>
                  </w:r>
                  <w:r>
                    <w:rPr>
                      <w:sz w:val="20"/>
                      <w:szCs w:val="20"/>
                    </w:rPr>
                    <w:t xml:space="preserve"> </w:t>
                  </w:r>
                  <w:r>
                    <w:rPr>
                      <w:rFonts w:ascii="Times New Roman" w:hAnsi="Times New Roman" w:eastAsia="Times New Roman" w:cs="Times New Roman"/>
                      <w:spacing w:val="10"/>
                      <w:sz w:val="20"/>
                      <w:szCs w:val="20"/>
                    </w:rPr>
                    <w:t>100%</w:t>
                  </w:r>
                  <w:r>
                    <w:rPr>
                      <w:spacing w:val="10"/>
                      <w:sz w:val="20"/>
                      <w:szCs w:val="20"/>
                    </w:rPr>
                    <w:t>无害化处理，从根本上降低磷石</w:t>
                  </w:r>
                  <w:r>
                    <w:rPr>
                      <w:spacing w:val="14"/>
                      <w:sz w:val="20"/>
                      <w:szCs w:val="20"/>
                    </w:rPr>
                    <w:t xml:space="preserve"> </w:t>
                  </w:r>
                  <w:r>
                    <w:rPr>
                      <w:spacing w:val="3"/>
                      <w:sz w:val="20"/>
                      <w:szCs w:val="20"/>
                    </w:rPr>
                    <w:t>膏污染隐患。无害化处理后暂时不能利</w:t>
                  </w:r>
                  <w:r>
                    <w:rPr>
                      <w:spacing w:val="10"/>
                      <w:sz w:val="20"/>
                      <w:szCs w:val="20"/>
                    </w:rPr>
                    <w:t xml:space="preserve"> </w:t>
                  </w:r>
                  <w:r>
                    <w:rPr>
                      <w:spacing w:val="3"/>
                      <w:sz w:val="20"/>
                      <w:szCs w:val="20"/>
                    </w:rPr>
                    <w:t>用的磷石膏，应当按生态环境、应急管</w:t>
                  </w:r>
                  <w:r>
                    <w:rPr>
                      <w:spacing w:val="10"/>
                      <w:sz w:val="20"/>
                      <w:szCs w:val="20"/>
                    </w:rPr>
                    <w:t xml:space="preserve"> </w:t>
                  </w:r>
                  <w:r>
                    <w:rPr>
                      <w:spacing w:val="8"/>
                      <w:sz w:val="20"/>
                      <w:szCs w:val="20"/>
                    </w:rPr>
                    <w:t>理要求依法依规安全环保分类存放。</w:t>
                  </w:r>
                </w:p>
                <w:p w14:paraId="72A671CC">
                  <w:pPr>
                    <w:pStyle w:val="6"/>
                    <w:spacing w:before="25" w:line="227" w:lineRule="auto"/>
                    <w:ind w:left="122"/>
                    <w:rPr>
                      <w:sz w:val="20"/>
                      <w:szCs w:val="20"/>
                    </w:rPr>
                  </w:pPr>
                  <w:r>
                    <w:rPr>
                      <w:spacing w:val="8"/>
                      <w:sz w:val="20"/>
                      <w:szCs w:val="20"/>
                    </w:rPr>
                    <w:t>（</w:t>
                  </w:r>
                  <w:r>
                    <w:rPr>
                      <w:rFonts w:ascii="Times New Roman" w:hAnsi="Times New Roman" w:eastAsia="Times New Roman" w:cs="Times New Roman"/>
                      <w:spacing w:val="8"/>
                      <w:sz w:val="20"/>
                      <w:szCs w:val="20"/>
                    </w:rPr>
                    <w:t>9</w:t>
                  </w:r>
                  <w:r>
                    <w:rPr>
                      <w:spacing w:val="8"/>
                      <w:sz w:val="20"/>
                      <w:szCs w:val="20"/>
                    </w:rPr>
                    <w:t>）推动昆明市磷石膏综合利用率</w:t>
                  </w:r>
                </w:p>
                <w:p w14:paraId="21BBF4FA">
                  <w:pPr>
                    <w:pStyle w:val="6"/>
                    <w:spacing w:before="28" w:line="239" w:lineRule="auto"/>
                    <w:ind w:left="108" w:right="54"/>
                    <w:rPr>
                      <w:sz w:val="20"/>
                      <w:szCs w:val="20"/>
                    </w:rPr>
                  </w:pPr>
                  <w:r>
                    <w:rPr>
                      <w:rFonts w:ascii="Times New Roman" w:hAnsi="Times New Roman" w:eastAsia="Times New Roman" w:cs="Times New Roman"/>
                      <w:spacing w:val="4"/>
                      <w:sz w:val="20"/>
                      <w:szCs w:val="20"/>
                    </w:rPr>
                    <w:t xml:space="preserve">2023 </w:t>
                  </w:r>
                  <w:r>
                    <w:rPr>
                      <w:spacing w:val="4"/>
                      <w:sz w:val="20"/>
                      <w:szCs w:val="20"/>
                    </w:rPr>
                    <w:t>年达到</w:t>
                  </w:r>
                  <w:r>
                    <w:rPr>
                      <w:spacing w:val="-31"/>
                      <w:sz w:val="20"/>
                      <w:szCs w:val="20"/>
                    </w:rPr>
                    <w:t xml:space="preserve"> </w:t>
                  </w:r>
                  <w:r>
                    <w:rPr>
                      <w:rFonts w:ascii="Times New Roman" w:hAnsi="Times New Roman" w:eastAsia="Times New Roman" w:cs="Times New Roman"/>
                      <w:spacing w:val="4"/>
                      <w:sz w:val="20"/>
                      <w:szCs w:val="20"/>
                    </w:rPr>
                    <w:t>52%</w:t>
                  </w:r>
                  <w:r>
                    <w:rPr>
                      <w:rFonts w:ascii="Times New Roman" w:hAnsi="Times New Roman" w:eastAsia="Times New Roman" w:cs="Times New Roman"/>
                      <w:spacing w:val="-26"/>
                      <w:sz w:val="20"/>
                      <w:szCs w:val="20"/>
                    </w:rPr>
                    <w:t xml:space="preserve"> </w:t>
                  </w:r>
                  <w:r>
                    <w:rPr>
                      <w:spacing w:val="4"/>
                      <w:sz w:val="20"/>
                      <w:szCs w:val="20"/>
                    </w:rPr>
                    <w:t>，</w:t>
                  </w:r>
                  <w:r>
                    <w:rPr>
                      <w:rFonts w:ascii="Times New Roman" w:hAnsi="Times New Roman" w:eastAsia="Times New Roman" w:cs="Times New Roman"/>
                      <w:spacing w:val="4"/>
                      <w:sz w:val="20"/>
                      <w:szCs w:val="20"/>
                    </w:rPr>
                    <w:t xml:space="preserve">2024 </w:t>
                  </w:r>
                  <w:r>
                    <w:rPr>
                      <w:spacing w:val="4"/>
                      <w:sz w:val="20"/>
                      <w:szCs w:val="20"/>
                    </w:rPr>
                    <w:t>年达到</w:t>
                  </w:r>
                  <w:r>
                    <w:rPr>
                      <w:spacing w:val="-39"/>
                      <w:sz w:val="20"/>
                      <w:szCs w:val="20"/>
                    </w:rPr>
                    <w:t xml:space="preserve"> </w:t>
                  </w:r>
                  <w:r>
                    <w:rPr>
                      <w:rFonts w:ascii="Times New Roman" w:hAnsi="Times New Roman" w:eastAsia="Times New Roman" w:cs="Times New Roman"/>
                      <w:spacing w:val="4"/>
                      <w:sz w:val="20"/>
                      <w:szCs w:val="20"/>
                    </w:rPr>
                    <w:t>64%</w:t>
                  </w:r>
                  <w:r>
                    <w:rPr>
                      <w:rFonts w:ascii="Times New Roman" w:hAnsi="Times New Roman" w:eastAsia="Times New Roman" w:cs="Times New Roman"/>
                      <w:spacing w:val="-26"/>
                      <w:sz w:val="20"/>
                      <w:szCs w:val="20"/>
                    </w:rPr>
                    <w:t xml:space="preserve"> </w:t>
                  </w:r>
                  <w:r>
                    <w:rPr>
                      <w:spacing w:val="4"/>
                      <w:sz w:val="20"/>
                      <w:szCs w:val="20"/>
                    </w:rPr>
                    <w:t>，</w:t>
                  </w:r>
                  <w:r>
                    <w:rPr>
                      <w:sz w:val="20"/>
                      <w:szCs w:val="20"/>
                    </w:rPr>
                    <w:t xml:space="preserve"> </w:t>
                  </w:r>
                  <w:r>
                    <w:rPr>
                      <w:rFonts w:ascii="Times New Roman" w:hAnsi="Times New Roman" w:eastAsia="Times New Roman" w:cs="Times New Roman"/>
                      <w:sz w:val="20"/>
                      <w:szCs w:val="20"/>
                    </w:rPr>
                    <w:t xml:space="preserve">2025 </w:t>
                  </w:r>
                  <w:r>
                    <w:rPr>
                      <w:sz w:val="20"/>
                      <w:szCs w:val="20"/>
                    </w:rPr>
                    <w:t>年确保达到</w:t>
                  </w:r>
                  <w:r>
                    <w:rPr>
                      <w:spacing w:val="-29"/>
                      <w:sz w:val="20"/>
                      <w:szCs w:val="20"/>
                    </w:rPr>
                    <w:t xml:space="preserve"> </w:t>
                  </w:r>
                  <w:r>
                    <w:rPr>
                      <w:rFonts w:ascii="Times New Roman" w:hAnsi="Times New Roman" w:eastAsia="Times New Roman" w:cs="Times New Roman"/>
                      <w:sz w:val="20"/>
                      <w:szCs w:val="20"/>
                    </w:rPr>
                    <w:t>73%</w:t>
                  </w:r>
                  <w:r>
                    <w:rPr>
                      <w:sz w:val="20"/>
                      <w:szCs w:val="20"/>
                    </w:rPr>
                    <w:t>，力争达到</w:t>
                  </w:r>
                  <w:r>
                    <w:rPr>
                      <w:spacing w:val="-37"/>
                      <w:sz w:val="20"/>
                      <w:szCs w:val="20"/>
                    </w:rPr>
                    <w:t xml:space="preserve"> </w:t>
                  </w:r>
                  <w:r>
                    <w:rPr>
                      <w:rFonts w:ascii="Times New Roman" w:hAnsi="Times New Roman" w:eastAsia="Times New Roman" w:cs="Times New Roman"/>
                      <w:sz w:val="20"/>
                      <w:szCs w:val="20"/>
                    </w:rPr>
                    <w:t>75%</w:t>
                  </w:r>
                  <w:r>
                    <w:rPr>
                      <w:sz w:val="20"/>
                      <w:szCs w:val="20"/>
                    </w:rPr>
                    <w:t xml:space="preserve">； </w:t>
                  </w:r>
                  <w:r>
                    <w:rPr>
                      <w:spacing w:val="7"/>
                      <w:sz w:val="20"/>
                      <w:szCs w:val="20"/>
                    </w:rPr>
                    <w:t>到</w:t>
                  </w:r>
                  <w:r>
                    <w:rPr>
                      <w:spacing w:val="-26"/>
                      <w:sz w:val="20"/>
                      <w:szCs w:val="20"/>
                    </w:rPr>
                    <w:t xml:space="preserve"> </w:t>
                  </w:r>
                  <w:r>
                    <w:rPr>
                      <w:rFonts w:ascii="Times New Roman" w:hAnsi="Times New Roman" w:eastAsia="Times New Roman" w:cs="Times New Roman"/>
                      <w:spacing w:val="7"/>
                      <w:sz w:val="20"/>
                      <w:szCs w:val="20"/>
                    </w:rPr>
                    <w:t xml:space="preserve">2025 </w:t>
                  </w:r>
                  <w:r>
                    <w:rPr>
                      <w:spacing w:val="7"/>
                      <w:sz w:val="20"/>
                      <w:szCs w:val="20"/>
                    </w:rPr>
                    <w:t>年底，中心城区污泥无害化处</w:t>
                  </w:r>
                </w:p>
              </w:tc>
              <w:tc>
                <w:tcPr>
                  <w:tcW w:w="2638" w:type="dxa"/>
                  <w:vAlign w:val="top"/>
                </w:tcPr>
                <w:p w14:paraId="798D08A3">
                  <w:pPr>
                    <w:pStyle w:val="6"/>
                    <w:spacing w:before="34"/>
                    <w:ind w:left="113" w:right="104" w:firstLine="25"/>
                    <w:rPr>
                      <w:sz w:val="20"/>
                      <w:szCs w:val="20"/>
                    </w:rPr>
                  </w:pPr>
                  <w:r>
                    <w:rPr>
                      <w:spacing w:val="-1"/>
                      <w:sz w:val="20"/>
                      <w:szCs w:val="20"/>
                    </w:rPr>
                    <w:t>电项目，不属于氮氧化物和</w:t>
                  </w:r>
                  <w:r>
                    <w:rPr>
                      <w:sz w:val="20"/>
                      <w:szCs w:val="20"/>
                    </w:rPr>
                    <w:t xml:space="preserve"> </w:t>
                  </w:r>
                  <w:r>
                    <w:rPr>
                      <w:spacing w:val="8"/>
                      <w:sz w:val="20"/>
                      <w:szCs w:val="20"/>
                    </w:rPr>
                    <w:t>挥发性有机物重点工程。</w:t>
                  </w:r>
                </w:p>
                <w:p w14:paraId="54C0FD0E">
                  <w:pPr>
                    <w:pStyle w:val="6"/>
                    <w:spacing w:before="24" w:line="228" w:lineRule="auto"/>
                    <w:ind w:left="124"/>
                    <w:rPr>
                      <w:rFonts w:ascii="Times New Roman" w:hAnsi="Times New Roman" w:eastAsia="Times New Roman" w:cs="Times New Roman"/>
                      <w:sz w:val="20"/>
                      <w:szCs w:val="20"/>
                    </w:rPr>
                  </w:pPr>
                  <w:r>
                    <w:rPr>
                      <w:spacing w:val="6"/>
                      <w:sz w:val="20"/>
                      <w:szCs w:val="20"/>
                    </w:rPr>
                    <w:t>（</w:t>
                  </w:r>
                  <w:r>
                    <w:rPr>
                      <w:rFonts w:ascii="Times New Roman" w:hAnsi="Times New Roman" w:eastAsia="Times New Roman" w:cs="Times New Roman"/>
                      <w:spacing w:val="6"/>
                      <w:sz w:val="20"/>
                      <w:szCs w:val="20"/>
                    </w:rPr>
                    <w:t>2</w:t>
                  </w:r>
                  <w:r>
                    <w:rPr>
                      <w:spacing w:val="6"/>
                      <w:sz w:val="20"/>
                      <w:szCs w:val="20"/>
                    </w:rPr>
                    <w:t>）根据《寻甸县</w:t>
                  </w:r>
                  <w:r>
                    <w:rPr>
                      <w:spacing w:val="-43"/>
                      <w:sz w:val="20"/>
                      <w:szCs w:val="20"/>
                    </w:rPr>
                    <w:t xml:space="preserve"> </w:t>
                  </w:r>
                  <w:r>
                    <w:rPr>
                      <w:rFonts w:ascii="Times New Roman" w:hAnsi="Times New Roman" w:eastAsia="Times New Roman" w:cs="Times New Roman"/>
                      <w:spacing w:val="6"/>
                      <w:sz w:val="20"/>
                      <w:szCs w:val="20"/>
                    </w:rPr>
                    <w:t>2024</w:t>
                  </w:r>
                </w:p>
                <w:p w14:paraId="3FB43796">
                  <w:pPr>
                    <w:pStyle w:val="6"/>
                    <w:spacing w:before="29" w:line="248" w:lineRule="auto"/>
                    <w:ind w:left="113" w:firstLine="1"/>
                    <w:rPr>
                      <w:sz w:val="20"/>
                      <w:szCs w:val="20"/>
                    </w:rPr>
                  </w:pPr>
                  <w:r>
                    <w:rPr>
                      <w:spacing w:val="-7"/>
                      <w:sz w:val="20"/>
                      <w:szCs w:val="20"/>
                    </w:rPr>
                    <w:t>年第四季度环境质量公报》，</w:t>
                  </w:r>
                  <w:r>
                    <w:rPr>
                      <w:spacing w:val="7"/>
                      <w:sz w:val="20"/>
                      <w:szCs w:val="20"/>
                    </w:rPr>
                    <w:t xml:space="preserve"> </w:t>
                  </w:r>
                  <w:r>
                    <w:rPr>
                      <w:spacing w:val="4"/>
                      <w:sz w:val="20"/>
                      <w:szCs w:val="20"/>
                    </w:rPr>
                    <w:t>四季度空气质量共监测</w:t>
                  </w:r>
                  <w:r>
                    <w:rPr>
                      <w:spacing w:val="-38"/>
                      <w:sz w:val="20"/>
                      <w:szCs w:val="20"/>
                    </w:rPr>
                    <w:t xml:space="preserve"> </w:t>
                  </w:r>
                  <w:r>
                    <w:rPr>
                      <w:rFonts w:ascii="Times New Roman" w:hAnsi="Times New Roman" w:eastAsia="Times New Roman" w:cs="Times New Roman"/>
                      <w:spacing w:val="4"/>
                      <w:sz w:val="20"/>
                      <w:szCs w:val="20"/>
                    </w:rPr>
                    <w:t>92</w:t>
                  </w:r>
                  <w:r>
                    <w:rPr>
                      <w:rFonts w:ascii="Times New Roman" w:hAnsi="Times New Roman" w:eastAsia="Times New Roman" w:cs="Times New Roman"/>
                      <w:sz w:val="20"/>
                      <w:szCs w:val="20"/>
                    </w:rPr>
                    <w:t xml:space="preserve">     </w:t>
                  </w:r>
                  <w:r>
                    <w:rPr>
                      <w:spacing w:val="3"/>
                      <w:sz w:val="20"/>
                      <w:szCs w:val="20"/>
                    </w:rPr>
                    <w:t>天，有效天数</w:t>
                  </w:r>
                  <w:r>
                    <w:rPr>
                      <w:spacing w:val="-41"/>
                      <w:sz w:val="20"/>
                      <w:szCs w:val="20"/>
                    </w:rPr>
                    <w:t xml:space="preserve"> </w:t>
                  </w:r>
                  <w:r>
                    <w:rPr>
                      <w:rFonts w:ascii="Times New Roman" w:hAnsi="Times New Roman" w:eastAsia="Times New Roman" w:cs="Times New Roman"/>
                      <w:spacing w:val="3"/>
                      <w:sz w:val="20"/>
                      <w:szCs w:val="20"/>
                    </w:rPr>
                    <w:t>90</w:t>
                  </w:r>
                  <w:r>
                    <w:rPr>
                      <w:rFonts w:ascii="Times New Roman" w:hAnsi="Times New Roman" w:eastAsia="Times New Roman" w:cs="Times New Roman"/>
                      <w:spacing w:val="15"/>
                      <w:w w:val="101"/>
                      <w:sz w:val="20"/>
                      <w:szCs w:val="20"/>
                    </w:rPr>
                    <w:t xml:space="preserve"> </w:t>
                  </w:r>
                  <w:r>
                    <w:rPr>
                      <w:spacing w:val="3"/>
                      <w:sz w:val="20"/>
                      <w:szCs w:val="20"/>
                    </w:rPr>
                    <w:t>天，其中</w:t>
                  </w:r>
                  <w:r>
                    <w:rPr>
                      <w:sz w:val="20"/>
                      <w:szCs w:val="20"/>
                    </w:rPr>
                    <w:t xml:space="preserve">  </w:t>
                  </w:r>
                  <w:r>
                    <w:rPr>
                      <w:spacing w:val="-3"/>
                      <w:sz w:val="20"/>
                      <w:szCs w:val="20"/>
                    </w:rPr>
                    <w:t>空气质量优</w:t>
                  </w:r>
                  <w:r>
                    <w:rPr>
                      <w:spacing w:val="-31"/>
                      <w:sz w:val="20"/>
                      <w:szCs w:val="20"/>
                    </w:rPr>
                    <w:t xml:space="preserve"> </w:t>
                  </w:r>
                  <w:r>
                    <w:rPr>
                      <w:rFonts w:ascii="Times New Roman" w:hAnsi="Times New Roman" w:eastAsia="Times New Roman" w:cs="Times New Roman"/>
                      <w:spacing w:val="-3"/>
                      <w:sz w:val="20"/>
                      <w:szCs w:val="20"/>
                    </w:rPr>
                    <w:t>73</w:t>
                  </w:r>
                  <w:r>
                    <w:rPr>
                      <w:rFonts w:ascii="Times New Roman" w:hAnsi="Times New Roman" w:eastAsia="Times New Roman" w:cs="Times New Roman"/>
                      <w:spacing w:val="13"/>
                      <w:sz w:val="20"/>
                      <w:szCs w:val="20"/>
                    </w:rPr>
                    <w:t xml:space="preserve"> </w:t>
                  </w:r>
                  <w:r>
                    <w:rPr>
                      <w:spacing w:val="-3"/>
                      <w:sz w:val="20"/>
                      <w:szCs w:val="20"/>
                    </w:rPr>
                    <w:t>天，良好</w:t>
                  </w:r>
                  <w:r>
                    <w:rPr>
                      <w:spacing w:val="-22"/>
                      <w:sz w:val="20"/>
                      <w:szCs w:val="20"/>
                    </w:rPr>
                    <w:t xml:space="preserve"> </w:t>
                  </w:r>
                  <w:r>
                    <w:rPr>
                      <w:rFonts w:ascii="Times New Roman" w:hAnsi="Times New Roman" w:eastAsia="Times New Roman" w:cs="Times New Roman"/>
                      <w:spacing w:val="-3"/>
                      <w:sz w:val="20"/>
                      <w:szCs w:val="20"/>
                    </w:rPr>
                    <w:t>17</w:t>
                  </w:r>
                  <w:r>
                    <w:rPr>
                      <w:rFonts w:ascii="Times New Roman" w:hAnsi="Times New Roman" w:eastAsia="Times New Roman" w:cs="Times New Roman"/>
                      <w:sz w:val="20"/>
                      <w:szCs w:val="20"/>
                    </w:rPr>
                    <w:t xml:space="preserve">    </w:t>
                  </w:r>
                  <w:r>
                    <w:rPr>
                      <w:spacing w:val="-5"/>
                      <w:sz w:val="20"/>
                      <w:szCs w:val="20"/>
                    </w:rPr>
                    <w:t>天，空气质量优良率</w:t>
                  </w:r>
                  <w:r>
                    <w:rPr>
                      <w:spacing w:val="-29"/>
                      <w:sz w:val="20"/>
                      <w:szCs w:val="20"/>
                    </w:rPr>
                    <w:t xml:space="preserve"> </w:t>
                  </w:r>
                  <w:r>
                    <w:rPr>
                      <w:rFonts w:ascii="Times New Roman" w:hAnsi="Times New Roman" w:eastAsia="Times New Roman" w:cs="Times New Roman"/>
                      <w:spacing w:val="-5"/>
                      <w:sz w:val="20"/>
                      <w:szCs w:val="20"/>
                    </w:rPr>
                    <w:t>100%</w:t>
                  </w:r>
                  <w:r>
                    <w:rPr>
                      <w:rFonts w:ascii="Times New Roman" w:hAnsi="Times New Roman" w:eastAsia="Times New Roman" w:cs="Times New Roman"/>
                      <w:spacing w:val="-25"/>
                      <w:sz w:val="20"/>
                      <w:szCs w:val="20"/>
                    </w:rPr>
                    <w:t xml:space="preserve"> </w:t>
                  </w:r>
                  <w:r>
                    <w:rPr>
                      <w:spacing w:val="-5"/>
                      <w:sz w:val="20"/>
                      <w:szCs w:val="20"/>
                    </w:rPr>
                    <w:t>，</w:t>
                  </w:r>
                  <w:r>
                    <w:rPr>
                      <w:sz w:val="20"/>
                      <w:szCs w:val="20"/>
                    </w:rPr>
                    <w:t xml:space="preserve"> </w:t>
                  </w:r>
                  <w:r>
                    <w:rPr>
                      <w:spacing w:val="-2"/>
                      <w:sz w:val="20"/>
                      <w:szCs w:val="20"/>
                    </w:rPr>
                    <w:t>满足要求；本项目为光伏发</w:t>
                  </w:r>
                  <w:r>
                    <w:rPr>
                      <w:sz w:val="20"/>
                      <w:szCs w:val="20"/>
                    </w:rPr>
                    <w:t xml:space="preserve">  </w:t>
                  </w:r>
                  <w:r>
                    <w:rPr>
                      <w:spacing w:val="-3"/>
                      <w:sz w:val="20"/>
                      <w:szCs w:val="20"/>
                    </w:rPr>
                    <w:t>电项目，不属于氮氧化物和</w:t>
                  </w:r>
                  <w:r>
                    <w:rPr>
                      <w:spacing w:val="3"/>
                      <w:sz w:val="20"/>
                      <w:szCs w:val="20"/>
                    </w:rPr>
                    <w:t xml:space="preserve">  </w:t>
                  </w:r>
                  <w:r>
                    <w:rPr>
                      <w:spacing w:val="4"/>
                      <w:sz w:val="20"/>
                      <w:szCs w:val="20"/>
                    </w:rPr>
                    <w:t>挥发性有机物重点工程。</w:t>
                  </w:r>
                </w:p>
                <w:p w14:paraId="5E52E8E1">
                  <w:pPr>
                    <w:pStyle w:val="6"/>
                    <w:spacing w:before="25" w:line="228" w:lineRule="auto"/>
                    <w:ind w:left="124"/>
                    <w:rPr>
                      <w:sz w:val="20"/>
                      <w:szCs w:val="20"/>
                    </w:rPr>
                  </w:pPr>
                  <w:r>
                    <w:rPr>
                      <w:spacing w:val="6"/>
                      <w:sz w:val="20"/>
                      <w:szCs w:val="20"/>
                    </w:rPr>
                    <w:t>（</w:t>
                  </w:r>
                  <w:r>
                    <w:rPr>
                      <w:rFonts w:ascii="Times New Roman" w:hAnsi="Times New Roman" w:eastAsia="Times New Roman" w:cs="Times New Roman"/>
                      <w:spacing w:val="6"/>
                      <w:sz w:val="20"/>
                      <w:szCs w:val="20"/>
                    </w:rPr>
                    <w:t>3</w:t>
                  </w:r>
                  <w:r>
                    <w:rPr>
                      <w:spacing w:val="6"/>
                      <w:sz w:val="20"/>
                      <w:szCs w:val="20"/>
                    </w:rPr>
                    <w:t>）</w:t>
                  </w:r>
                  <w:r>
                    <w:rPr>
                      <w:rFonts w:ascii="Times New Roman" w:hAnsi="Times New Roman" w:eastAsia="Times New Roman" w:cs="Times New Roman"/>
                      <w:spacing w:val="6"/>
                      <w:sz w:val="20"/>
                      <w:szCs w:val="20"/>
                    </w:rPr>
                    <w:t>~</w:t>
                  </w:r>
                  <w:r>
                    <w:rPr>
                      <w:spacing w:val="6"/>
                      <w:sz w:val="20"/>
                      <w:szCs w:val="20"/>
                    </w:rPr>
                    <w:t>（</w:t>
                  </w:r>
                  <w:r>
                    <w:rPr>
                      <w:rFonts w:ascii="Times New Roman" w:hAnsi="Times New Roman" w:eastAsia="Times New Roman" w:cs="Times New Roman"/>
                      <w:spacing w:val="6"/>
                      <w:sz w:val="20"/>
                      <w:szCs w:val="20"/>
                    </w:rPr>
                    <w:t>9</w:t>
                  </w:r>
                  <w:r>
                    <w:rPr>
                      <w:spacing w:val="6"/>
                      <w:sz w:val="20"/>
                      <w:szCs w:val="20"/>
                    </w:rPr>
                    <w:t>）项目不涉及。</w:t>
                  </w:r>
                </w:p>
              </w:tc>
              <w:tc>
                <w:tcPr>
                  <w:tcW w:w="843" w:type="dxa"/>
                  <w:vAlign w:val="top"/>
                </w:tcPr>
                <w:p w14:paraId="73BA190C">
                  <w:pPr>
                    <w:rPr>
                      <w:rFonts w:ascii="Arial"/>
                      <w:sz w:val="21"/>
                    </w:rPr>
                  </w:pPr>
                </w:p>
              </w:tc>
            </w:tr>
          </w:tbl>
          <w:p w14:paraId="7C6A4F3A">
            <w:pPr>
              <w:spacing w:line="46" w:lineRule="auto"/>
              <w:rPr>
                <w:rFonts w:ascii="Arial"/>
                <w:sz w:val="2"/>
              </w:rPr>
            </w:pPr>
          </w:p>
        </w:tc>
      </w:tr>
    </w:tbl>
    <w:p w14:paraId="57A25CE6">
      <w:pPr>
        <w:rPr>
          <w:rFonts w:ascii="Arial"/>
          <w:sz w:val="21"/>
        </w:rPr>
      </w:pPr>
    </w:p>
    <w:p w14:paraId="7F6AD0DC">
      <w:pPr>
        <w:rPr>
          <w:rFonts w:ascii="Arial" w:hAnsi="Arial" w:eastAsia="Arial" w:cs="Arial"/>
          <w:sz w:val="21"/>
          <w:szCs w:val="21"/>
        </w:rPr>
        <w:sectPr>
          <w:footerReference r:id="rId17" w:type="default"/>
          <w:pgSz w:w="11906" w:h="16839"/>
          <w:pgMar w:top="1431" w:right="1407" w:bottom="1278" w:left="1407" w:header="0" w:footer="1116" w:gutter="0"/>
          <w:cols w:space="720" w:num="1"/>
        </w:sectPr>
      </w:pPr>
    </w:p>
    <w:p w14:paraId="0B8284B7">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10E1F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91" w:hRule="atLeast"/>
        </w:trPr>
        <w:tc>
          <w:tcPr>
            <w:tcW w:w="1014" w:type="dxa"/>
            <w:tcBorders>
              <w:right w:val="single" w:color="000000" w:sz="2" w:space="0"/>
            </w:tcBorders>
            <w:vAlign w:val="top"/>
          </w:tcPr>
          <w:p w14:paraId="668616B0">
            <w:pPr>
              <w:rPr>
                <w:rFonts w:ascii="Arial"/>
                <w:sz w:val="21"/>
              </w:rPr>
            </w:pPr>
          </w:p>
        </w:tc>
        <w:tc>
          <w:tcPr>
            <w:tcW w:w="8062" w:type="dxa"/>
            <w:tcBorders>
              <w:left w:val="single" w:color="000000" w:sz="2" w:space="0"/>
            </w:tcBorders>
            <w:vAlign w:val="top"/>
          </w:tcPr>
          <w:p w14:paraId="6D8E86D2">
            <w:pPr>
              <w:spacing w:line="114" w:lineRule="auto"/>
              <w:rPr>
                <w:rFonts w:ascii="Arial"/>
                <w:sz w:val="2"/>
              </w:rPr>
            </w:pPr>
          </w:p>
          <w:tbl>
            <w:tblPr>
              <w:tblStyle w:val="5"/>
              <w:tblW w:w="783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686"/>
              <w:gridCol w:w="2638"/>
              <w:gridCol w:w="843"/>
            </w:tblGrid>
            <w:tr w14:paraId="28067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672" w:type="dxa"/>
                  <w:vAlign w:val="top"/>
                </w:tcPr>
                <w:p w14:paraId="120F5339">
                  <w:pPr>
                    <w:rPr>
                      <w:rFonts w:ascii="Arial"/>
                      <w:sz w:val="21"/>
                    </w:rPr>
                  </w:pPr>
                </w:p>
              </w:tc>
              <w:tc>
                <w:tcPr>
                  <w:tcW w:w="3686" w:type="dxa"/>
                  <w:vAlign w:val="top"/>
                </w:tcPr>
                <w:p w14:paraId="43AC6CB8">
                  <w:pPr>
                    <w:pStyle w:val="6"/>
                    <w:spacing w:before="35"/>
                    <w:ind w:left="115" w:right="202" w:hanging="5"/>
                    <w:rPr>
                      <w:sz w:val="20"/>
                      <w:szCs w:val="20"/>
                    </w:rPr>
                  </w:pPr>
                  <w:r>
                    <w:rPr>
                      <w:spacing w:val="8"/>
                      <w:sz w:val="20"/>
                      <w:szCs w:val="20"/>
                    </w:rPr>
                    <w:t>置率达到</w:t>
                  </w:r>
                  <w:r>
                    <w:rPr>
                      <w:spacing w:val="-36"/>
                      <w:sz w:val="20"/>
                      <w:szCs w:val="20"/>
                    </w:rPr>
                    <w:t xml:space="preserve"> </w:t>
                  </w:r>
                  <w:r>
                    <w:rPr>
                      <w:rFonts w:ascii="Times New Roman" w:hAnsi="Times New Roman" w:eastAsia="Times New Roman" w:cs="Times New Roman"/>
                      <w:spacing w:val="8"/>
                      <w:sz w:val="20"/>
                      <w:szCs w:val="20"/>
                    </w:rPr>
                    <w:t>95%</w:t>
                  </w:r>
                  <w:r>
                    <w:rPr>
                      <w:spacing w:val="8"/>
                      <w:sz w:val="20"/>
                      <w:szCs w:val="20"/>
                    </w:rPr>
                    <w:t>以上，县城污泥无害化</w:t>
                  </w:r>
                  <w:r>
                    <w:rPr>
                      <w:sz w:val="20"/>
                      <w:szCs w:val="20"/>
                    </w:rPr>
                    <w:t xml:space="preserve"> </w:t>
                  </w:r>
                  <w:r>
                    <w:rPr>
                      <w:spacing w:val="11"/>
                      <w:sz w:val="20"/>
                      <w:szCs w:val="20"/>
                    </w:rPr>
                    <w:t>处置率达到</w:t>
                  </w:r>
                  <w:r>
                    <w:rPr>
                      <w:rFonts w:ascii="Times New Roman" w:hAnsi="Times New Roman" w:eastAsia="Times New Roman" w:cs="Times New Roman"/>
                      <w:spacing w:val="11"/>
                      <w:sz w:val="20"/>
                      <w:szCs w:val="20"/>
                    </w:rPr>
                    <w:t>90%</w:t>
                  </w:r>
                  <w:r>
                    <w:rPr>
                      <w:spacing w:val="11"/>
                      <w:sz w:val="20"/>
                      <w:szCs w:val="20"/>
                    </w:rPr>
                    <w:t>以上。</w:t>
                  </w:r>
                </w:p>
              </w:tc>
              <w:tc>
                <w:tcPr>
                  <w:tcW w:w="2638" w:type="dxa"/>
                  <w:vAlign w:val="top"/>
                </w:tcPr>
                <w:p w14:paraId="257DE5B7">
                  <w:pPr>
                    <w:rPr>
                      <w:rFonts w:ascii="Arial"/>
                      <w:sz w:val="21"/>
                    </w:rPr>
                  </w:pPr>
                </w:p>
              </w:tc>
              <w:tc>
                <w:tcPr>
                  <w:tcW w:w="843" w:type="dxa"/>
                  <w:vAlign w:val="top"/>
                </w:tcPr>
                <w:p w14:paraId="77921F88">
                  <w:pPr>
                    <w:rPr>
                      <w:rFonts w:ascii="Arial"/>
                      <w:sz w:val="21"/>
                    </w:rPr>
                  </w:pPr>
                </w:p>
              </w:tc>
            </w:tr>
            <w:tr w14:paraId="5E5C6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9" w:hRule="atLeast"/>
              </w:trPr>
              <w:tc>
                <w:tcPr>
                  <w:tcW w:w="672" w:type="dxa"/>
                  <w:vAlign w:val="top"/>
                </w:tcPr>
                <w:p w14:paraId="1F3EA225">
                  <w:pPr>
                    <w:spacing w:line="251" w:lineRule="auto"/>
                    <w:rPr>
                      <w:rFonts w:ascii="Arial"/>
                      <w:sz w:val="21"/>
                    </w:rPr>
                  </w:pPr>
                </w:p>
                <w:p w14:paraId="40DBEE09">
                  <w:pPr>
                    <w:spacing w:line="251" w:lineRule="auto"/>
                    <w:rPr>
                      <w:rFonts w:ascii="Arial"/>
                      <w:sz w:val="21"/>
                    </w:rPr>
                  </w:pPr>
                </w:p>
                <w:p w14:paraId="217CC977">
                  <w:pPr>
                    <w:spacing w:line="251" w:lineRule="auto"/>
                    <w:rPr>
                      <w:rFonts w:ascii="Arial"/>
                      <w:sz w:val="21"/>
                    </w:rPr>
                  </w:pPr>
                </w:p>
                <w:p w14:paraId="4E0BB5AB">
                  <w:pPr>
                    <w:spacing w:line="251" w:lineRule="auto"/>
                    <w:rPr>
                      <w:rFonts w:ascii="Arial"/>
                      <w:sz w:val="21"/>
                    </w:rPr>
                  </w:pPr>
                </w:p>
                <w:p w14:paraId="5B02A77D">
                  <w:pPr>
                    <w:spacing w:line="251" w:lineRule="auto"/>
                    <w:rPr>
                      <w:rFonts w:ascii="Arial"/>
                      <w:sz w:val="21"/>
                    </w:rPr>
                  </w:pPr>
                </w:p>
                <w:p w14:paraId="3993902F">
                  <w:pPr>
                    <w:spacing w:line="251" w:lineRule="auto"/>
                    <w:rPr>
                      <w:rFonts w:ascii="Arial"/>
                      <w:sz w:val="21"/>
                    </w:rPr>
                  </w:pPr>
                </w:p>
                <w:p w14:paraId="72AE8B0C">
                  <w:pPr>
                    <w:spacing w:line="251" w:lineRule="auto"/>
                    <w:rPr>
                      <w:rFonts w:ascii="Arial"/>
                      <w:sz w:val="21"/>
                    </w:rPr>
                  </w:pPr>
                </w:p>
                <w:p w14:paraId="024B28E7">
                  <w:pPr>
                    <w:spacing w:line="251" w:lineRule="auto"/>
                    <w:rPr>
                      <w:rFonts w:ascii="Arial"/>
                      <w:sz w:val="21"/>
                    </w:rPr>
                  </w:pPr>
                </w:p>
                <w:p w14:paraId="69B5DE25">
                  <w:pPr>
                    <w:spacing w:line="252" w:lineRule="auto"/>
                    <w:rPr>
                      <w:rFonts w:ascii="Arial"/>
                      <w:sz w:val="21"/>
                    </w:rPr>
                  </w:pPr>
                </w:p>
                <w:p w14:paraId="296EA708">
                  <w:pPr>
                    <w:spacing w:line="252" w:lineRule="auto"/>
                    <w:rPr>
                      <w:rFonts w:ascii="Arial"/>
                      <w:sz w:val="21"/>
                    </w:rPr>
                  </w:pPr>
                </w:p>
                <w:p w14:paraId="1716203D">
                  <w:pPr>
                    <w:spacing w:line="252" w:lineRule="auto"/>
                    <w:rPr>
                      <w:rFonts w:ascii="Arial"/>
                      <w:sz w:val="21"/>
                    </w:rPr>
                  </w:pPr>
                </w:p>
                <w:p w14:paraId="43A07C7E">
                  <w:pPr>
                    <w:spacing w:line="252" w:lineRule="auto"/>
                    <w:rPr>
                      <w:rFonts w:ascii="Arial"/>
                      <w:sz w:val="21"/>
                    </w:rPr>
                  </w:pPr>
                </w:p>
                <w:p w14:paraId="0790F369">
                  <w:pPr>
                    <w:spacing w:line="252" w:lineRule="auto"/>
                    <w:rPr>
                      <w:rFonts w:ascii="Arial"/>
                      <w:sz w:val="21"/>
                    </w:rPr>
                  </w:pPr>
                </w:p>
                <w:p w14:paraId="7072FBB6">
                  <w:pPr>
                    <w:spacing w:line="252" w:lineRule="auto"/>
                    <w:rPr>
                      <w:rFonts w:ascii="Arial"/>
                      <w:sz w:val="21"/>
                    </w:rPr>
                  </w:pPr>
                </w:p>
                <w:p w14:paraId="00A862D2">
                  <w:pPr>
                    <w:spacing w:line="252" w:lineRule="auto"/>
                    <w:rPr>
                      <w:rFonts w:ascii="Arial"/>
                      <w:sz w:val="21"/>
                    </w:rPr>
                  </w:pPr>
                </w:p>
                <w:p w14:paraId="06328394">
                  <w:pPr>
                    <w:spacing w:line="252" w:lineRule="auto"/>
                    <w:rPr>
                      <w:rFonts w:ascii="Arial"/>
                      <w:sz w:val="21"/>
                    </w:rPr>
                  </w:pPr>
                </w:p>
                <w:p w14:paraId="350BC224">
                  <w:pPr>
                    <w:pStyle w:val="6"/>
                    <w:spacing w:before="65" w:line="244" w:lineRule="auto"/>
                    <w:ind w:left="131" w:right="126"/>
                    <w:jc w:val="both"/>
                    <w:rPr>
                      <w:sz w:val="20"/>
                      <w:szCs w:val="20"/>
                    </w:rPr>
                  </w:pPr>
                  <w:r>
                    <w:rPr>
                      <w:spacing w:val="4"/>
                      <w:sz w:val="20"/>
                      <w:szCs w:val="20"/>
                    </w:rPr>
                    <w:t>环境</w:t>
                  </w:r>
                  <w:r>
                    <w:rPr>
                      <w:sz w:val="20"/>
                      <w:szCs w:val="20"/>
                    </w:rPr>
                    <w:t xml:space="preserve"> </w:t>
                  </w:r>
                  <w:r>
                    <w:rPr>
                      <w:spacing w:val="4"/>
                      <w:sz w:val="20"/>
                      <w:szCs w:val="20"/>
                    </w:rPr>
                    <w:t>风险</w:t>
                  </w:r>
                  <w:r>
                    <w:rPr>
                      <w:sz w:val="20"/>
                      <w:szCs w:val="20"/>
                    </w:rPr>
                    <w:t xml:space="preserve"> </w:t>
                  </w:r>
                  <w:r>
                    <w:rPr>
                      <w:spacing w:val="4"/>
                      <w:sz w:val="20"/>
                      <w:szCs w:val="20"/>
                    </w:rPr>
                    <w:t>防控</w:t>
                  </w:r>
                </w:p>
              </w:tc>
              <w:tc>
                <w:tcPr>
                  <w:tcW w:w="3686" w:type="dxa"/>
                  <w:vAlign w:val="top"/>
                </w:tcPr>
                <w:p w14:paraId="252729BF">
                  <w:pPr>
                    <w:pStyle w:val="6"/>
                    <w:spacing w:before="34" w:line="247" w:lineRule="auto"/>
                    <w:ind w:left="111" w:right="35" w:firstLine="10"/>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）加大放射性物质、电磁辐射、危</w:t>
                  </w:r>
                  <w:r>
                    <w:rPr>
                      <w:spacing w:val="15"/>
                      <w:sz w:val="20"/>
                      <w:szCs w:val="20"/>
                    </w:rPr>
                    <w:t xml:space="preserve"> </w:t>
                  </w:r>
                  <w:r>
                    <w:rPr>
                      <w:spacing w:val="3"/>
                      <w:sz w:val="20"/>
                      <w:szCs w:val="20"/>
                    </w:rPr>
                    <w:t>险废物、医疗废物、尾矿库渣场、危险</w:t>
                  </w:r>
                  <w:r>
                    <w:rPr>
                      <w:spacing w:val="10"/>
                      <w:sz w:val="20"/>
                      <w:szCs w:val="20"/>
                    </w:rPr>
                    <w:t xml:space="preserve"> </w:t>
                  </w:r>
                  <w:r>
                    <w:rPr>
                      <w:spacing w:val="7"/>
                      <w:sz w:val="20"/>
                      <w:szCs w:val="20"/>
                    </w:rPr>
                    <w:t>化学品、重金属等风险要素防控力度，</w:t>
                  </w:r>
                  <w:r>
                    <w:rPr>
                      <w:spacing w:val="13"/>
                      <w:sz w:val="20"/>
                      <w:szCs w:val="20"/>
                    </w:rPr>
                    <w:t xml:space="preserve"> </w:t>
                  </w:r>
                  <w:r>
                    <w:rPr>
                      <w:spacing w:val="-4"/>
                      <w:sz w:val="20"/>
                      <w:szCs w:val="20"/>
                    </w:rPr>
                    <w:t>全过程监控风险要素产生、使用、储存、</w:t>
                  </w:r>
                  <w:r>
                    <w:rPr>
                      <w:spacing w:val="4"/>
                      <w:sz w:val="20"/>
                      <w:szCs w:val="20"/>
                    </w:rPr>
                    <w:t xml:space="preserve"> </w:t>
                  </w:r>
                  <w:r>
                    <w:rPr>
                      <w:spacing w:val="3"/>
                      <w:sz w:val="20"/>
                      <w:szCs w:val="20"/>
                    </w:rPr>
                    <w:t>运输、处理处置，实现智能化预警与报</w:t>
                  </w:r>
                  <w:r>
                    <w:rPr>
                      <w:spacing w:val="10"/>
                      <w:sz w:val="20"/>
                      <w:szCs w:val="20"/>
                    </w:rPr>
                    <w:t xml:space="preserve"> </w:t>
                  </w:r>
                  <w:r>
                    <w:rPr>
                      <w:spacing w:val="8"/>
                      <w:sz w:val="20"/>
                      <w:szCs w:val="20"/>
                    </w:rPr>
                    <w:t>警，有效降低各类环境风险。</w:t>
                  </w:r>
                </w:p>
                <w:p w14:paraId="05486F9A">
                  <w:pPr>
                    <w:pStyle w:val="6"/>
                    <w:spacing w:before="27" w:line="247" w:lineRule="auto"/>
                    <w:ind w:left="111" w:right="106" w:firstLine="10"/>
                    <w:rPr>
                      <w:sz w:val="20"/>
                      <w:szCs w:val="20"/>
                    </w:rPr>
                  </w:pPr>
                  <w:r>
                    <w:rPr>
                      <w:spacing w:val="6"/>
                      <w:sz w:val="20"/>
                      <w:szCs w:val="20"/>
                    </w:rPr>
                    <w:t>（</w:t>
                  </w:r>
                  <w:r>
                    <w:rPr>
                      <w:rFonts w:ascii="Times New Roman" w:hAnsi="Times New Roman" w:eastAsia="Times New Roman" w:cs="Times New Roman"/>
                      <w:spacing w:val="6"/>
                      <w:sz w:val="20"/>
                      <w:szCs w:val="20"/>
                    </w:rPr>
                    <w:t>2</w:t>
                  </w:r>
                  <w:r>
                    <w:rPr>
                      <w:spacing w:val="6"/>
                      <w:sz w:val="20"/>
                      <w:szCs w:val="20"/>
                    </w:rPr>
                    <w:t>）针对持久性有机污染物、</w:t>
                  </w:r>
                  <w:r>
                    <w:rPr>
                      <w:spacing w:val="-51"/>
                      <w:sz w:val="20"/>
                      <w:szCs w:val="20"/>
                    </w:rPr>
                    <w:t xml:space="preserve"> </w:t>
                  </w:r>
                  <w:r>
                    <w:rPr>
                      <w:spacing w:val="6"/>
                      <w:sz w:val="20"/>
                      <w:szCs w:val="20"/>
                    </w:rPr>
                    <w:t>内分泌</w:t>
                  </w:r>
                  <w:r>
                    <w:rPr>
                      <w:sz w:val="20"/>
                      <w:szCs w:val="20"/>
                    </w:rPr>
                    <w:t xml:space="preserve"> </w:t>
                  </w:r>
                  <w:r>
                    <w:rPr>
                      <w:spacing w:val="3"/>
                      <w:sz w:val="20"/>
                      <w:szCs w:val="20"/>
                    </w:rPr>
                    <w:t>干扰物等新污染物，制定实施新污染物</w:t>
                  </w:r>
                  <w:r>
                    <w:rPr>
                      <w:spacing w:val="11"/>
                      <w:sz w:val="20"/>
                      <w:szCs w:val="20"/>
                    </w:rPr>
                    <w:t xml:space="preserve"> </w:t>
                  </w:r>
                  <w:r>
                    <w:rPr>
                      <w:spacing w:val="3"/>
                      <w:sz w:val="20"/>
                      <w:szCs w:val="20"/>
                    </w:rPr>
                    <w:t>治理行动方案，开展新污染物筛查与评</w:t>
                  </w:r>
                  <w:r>
                    <w:rPr>
                      <w:spacing w:val="11"/>
                      <w:sz w:val="20"/>
                      <w:szCs w:val="20"/>
                    </w:rPr>
                    <w:t xml:space="preserve"> </w:t>
                  </w:r>
                  <w:r>
                    <w:rPr>
                      <w:spacing w:val="3"/>
                      <w:sz w:val="20"/>
                      <w:szCs w:val="20"/>
                    </w:rPr>
                    <w:t>估，建立清单，开展化学物质生产使用</w:t>
                  </w:r>
                  <w:r>
                    <w:rPr>
                      <w:spacing w:val="11"/>
                      <w:sz w:val="20"/>
                      <w:szCs w:val="20"/>
                    </w:rPr>
                    <w:t xml:space="preserve"> </w:t>
                  </w:r>
                  <w:r>
                    <w:rPr>
                      <w:spacing w:val="3"/>
                      <w:sz w:val="20"/>
                      <w:szCs w:val="20"/>
                    </w:rPr>
                    <w:t>信息调查，实施调查监测和环境风险评</w:t>
                  </w:r>
                  <w:r>
                    <w:rPr>
                      <w:spacing w:val="11"/>
                      <w:sz w:val="20"/>
                      <w:szCs w:val="20"/>
                    </w:rPr>
                    <w:t xml:space="preserve"> </w:t>
                  </w:r>
                  <w:r>
                    <w:rPr>
                      <w:sz w:val="20"/>
                      <w:szCs w:val="20"/>
                    </w:rPr>
                    <w:t>估。</w:t>
                  </w:r>
                </w:p>
                <w:p w14:paraId="05F0AEF5">
                  <w:pPr>
                    <w:pStyle w:val="6"/>
                    <w:spacing w:before="28" w:line="247" w:lineRule="auto"/>
                    <w:ind w:left="111" w:right="35" w:firstLine="10"/>
                    <w:rPr>
                      <w:sz w:val="20"/>
                      <w:szCs w:val="20"/>
                    </w:rPr>
                  </w:pPr>
                  <w:r>
                    <w:rPr>
                      <w:spacing w:val="8"/>
                      <w:sz w:val="20"/>
                      <w:szCs w:val="20"/>
                    </w:rPr>
                    <w:t>（</w:t>
                  </w:r>
                  <w:r>
                    <w:rPr>
                      <w:rFonts w:ascii="Times New Roman" w:hAnsi="Times New Roman" w:eastAsia="Times New Roman" w:cs="Times New Roman"/>
                      <w:spacing w:val="8"/>
                      <w:sz w:val="20"/>
                      <w:szCs w:val="20"/>
                    </w:rPr>
                    <w:t>3</w:t>
                  </w:r>
                  <w:r>
                    <w:rPr>
                      <w:spacing w:val="8"/>
                      <w:sz w:val="20"/>
                      <w:szCs w:val="20"/>
                    </w:rPr>
                    <w:t>）开展重点区域、重点领域环境风</w:t>
                  </w:r>
                  <w:r>
                    <w:rPr>
                      <w:spacing w:val="15"/>
                      <w:sz w:val="20"/>
                      <w:szCs w:val="20"/>
                    </w:rPr>
                    <w:t xml:space="preserve"> </w:t>
                  </w:r>
                  <w:r>
                    <w:rPr>
                      <w:spacing w:val="-4"/>
                      <w:sz w:val="20"/>
                      <w:szCs w:val="20"/>
                    </w:rPr>
                    <w:t>险调查评估，加强源头预防、过程管控、</w:t>
                  </w:r>
                  <w:r>
                    <w:rPr>
                      <w:spacing w:val="4"/>
                      <w:sz w:val="20"/>
                      <w:szCs w:val="20"/>
                    </w:rPr>
                    <w:t xml:space="preserve"> </w:t>
                  </w:r>
                  <w:r>
                    <w:rPr>
                      <w:spacing w:val="3"/>
                      <w:sz w:val="20"/>
                      <w:szCs w:val="20"/>
                    </w:rPr>
                    <w:t>末端治理；建设环境应急技术库和物资</w:t>
                  </w:r>
                  <w:r>
                    <w:rPr>
                      <w:spacing w:val="10"/>
                      <w:sz w:val="20"/>
                      <w:szCs w:val="20"/>
                    </w:rPr>
                    <w:t xml:space="preserve"> </w:t>
                  </w:r>
                  <w:r>
                    <w:rPr>
                      <w:spacing w:val="3"/>
                      <w:sz w:val="20"/>
                      <w:szCs w:val="20"/>
                    </w:rPr>
                    <w:t>库，推动各地更新扩充应急物资和防护</w:t>
                  </w:r>
                  <w:r>
                    <w:rPr>
                      <w:spacing w:val="10"/>
                      <w:sz w:val="20"/>
                      <w:szCs w:val="20"/>
                    </w:rPr>
                    <w:t xml:space="preserve"> </w:t>
                  </w:r>
                  <w:r>
                    <w:rPr>
                      <w:spacing w:val="7"/>
                      <w:sz w:val="20"/>
                      <w:szCs w:val="20"/>
                    </w:rPr>
                    <w:t>装备，提升环境应急指挥信息化水平，</w:t>
                  </w:r>
                  <w:r>
                    <w:rPr>
                      <w:spacing w:val="13"/>
                      <w:sz w:val="20"/>
                      <w:szCs w:val="20"/>
                    </w:rPr>
                    <w:t xml:space="preserve"> </w:t>
                  </w:r>
                  <w:r>
                    <w:rPr>
                      <w:spacing w:val="8"/>
                      <w:sz w:val="20"/>
                      <w:szCs w:val="20"/>
                    </w:rPr>
                    <w:t>完善环境应急管理体系。</w:t>
                  </w:r>
                </w:p>
                <w:p w14:paraId="0BCCCE68">
                  <w:pPr>
                    <w:pStyle w:val="6"/>
                    <w:spacing w:before="25" w:line="244" w:lineRule="auto"/>
                    <w:ind w:left="111" w:right="104" w:firstLine="10"/>
                    <w:rPr>
                      <w:sz w:val="20"/>
                      <w:szCs w:val="20"/>
                    </w:rPr>
                  </w:pPr>
                  <w:r>
                    <w:rPr>
                      <w:spacing w:val="9"/>
                      <w:sz w:val="20"/>
                      <w:szCs w:val="20"/>
                    </w:rPr>
                    <w:t>（</w:t>
                  </w:r>
                  <w:r>
                    <w:rPr>
                      <w:rFonts w:ascii="Times New Roman" w:hAnsi="Times New Roman" w:eastAsia="Times New Roman" w:cs="Times New Roman"/>
                      <w:spacing w:val="9"/>
                      <w:sz w:val="20"/>
                      <w:szCs w:val="20"/>
                    </w:rPr>
                    <w:t>4</w:t>
                  </w:r>
                  <w:r>
                    <w:rPr>
                      <w:spacing w:val="9"/>
                      <w:sz w:val="20"/>
                      <w:szCs w:val="20"/>
                    </w:rPr>
                    <w:t>）开展</w:t>
                  </w:r>
                  <w:r>
                    <w:rPr>
                      <w:rFonts w:ascii="Times New Roman" w:hAnsi="Times New Roman" w:eastAsia="Times New Roman" w:cs="Times New Roman"/>
                      <w:spacing w:val="9"/>
                      <w:sz w:val="20"/>
                      <w:szCs w:val="20"/>
                    </w:rPr>
                    <w:t>“</w:t>
                  </w:r>
                  <w:r>
                    <w:rPr>
                      <w:spacing w:val="9"/>
                      <w:sz w:val="20"/>
                      <w:szCs w:val="20"/>
                    </w:rPr>
                    <w:t>千吨万人</w:t>
                  </w:r>
                  <w:r>
                    <w:rPr>
                      <w:rFonts w:ascii="Times New Roman" w:hAnsi="Times New Roman" w:eastAsia="Times New Roman" w:cs="Times New Roman"/>
                      <w:spacing w:val="9"/>
                      <w:sz w:val="20"/>
                      <w:szCs w:val="20"/>
                    </w:rPr>
                    <w:t>”</w:t>
                  </w:r>
                  <w:r>
                    <w:rPr>
                      <w:spacing w:val="9"/>
                      <w:sz w:val="20"/>
                      <w:szCs w:val="20"/>
                    </w:rPr>
                    <w:t>农村饮用水水源</w:t>
                  </w:r>
                  <w:r>
                    <w:rPr>
                      <w:spacing w:val="14"/>
                      <w:sz w:val="20"/>
                      <w:szCs w:val="20"/>
                    </w:rPr>
                    <w:t xml:space="preserve"> </w:t>
                  </w:r>
                  <w:r>
                    <w:rPr>
                      <w:spacing w:val="3"/>
                      <w:sz w:val="20"/>
                      <w:szCs w:val="20"/>
                    </w:rPr>
                    <w:t>保护区环境风险排查整治，加强农村水</w:t>
                  </w:r>
                  <w:r>
                    <w:rPr>
                      <w:spacing w:val="11"/>
                      <w:sz w:val="20"/>
                      <w:szCs w:val="20"/>
                    </w:rPr>
                    <w:t xml:space="preserve"> </w:t>
                  </w:r>
                  <w:r>
                    <w:rPr>
                      <w:spacing w:val="6"/>
                      <w:sz w:val="20"/>
                      <w:szCs w:val="20"/>
                    </w:rPr>
                    <w:t>源水质监测。</w:t>
                  </w:r>
                </w:p>
                <w:p w14:paraId="55240CE9">
                  <w:pPr>
                    <w:pStyle w:val="6"/>
                    <w:spacing w:before="24" w:line="248" w:lineRule="auto"/>
                    <w:ind w:left="111" w:right="106" w:firstLine="10"/>
                    <w:rPr>
                      <w:sz w:val="20"/>
                      <w:szCs w:val="20"/>
                    </w:rPr>
                  </w:pPr>
                  <w:r>
                    <w:rPr>
                      <w:spacing w:val="6"/>
                      <w:sz w:val="20"/>
                      <w:szCs w:val="20"/>
                    </w:rPr>
                    <w:t>（</w:t>
                  </w:r>
                  <w:r>
                    <w:rPr>
                      <w:rFonts w:ascii="Times New Roman" w:hAnsi="Times New Roman" w:eastAsia="Times New Roman" w:cs="Times New Roman"/>
                      <w:spacing w:val="6"/>
                      <w:sz w:val="20"/>
                      <w:szCs w:val="20"/>
                    </w:rPr>
                    <w:t>5</w:t>
                  </w:r>
                  <w:r>
                    <w:rPr>
                      <w:spacing w:val="6"/>
                      <w:sz w:val="20"/>
                      <w:szCs w:val="20"/>
                    </w:rPr>
                    <w:t>）</w:t>
                  </w:r>
                  <w:r>
                    <w:rPr>
                      <w:spacing w:val="-51"/>
                      <w:sz w:val="20"/>
                      <w:szCs w:val="20"/>
                    </w:rPr>
                    <w:t xml:space="preserve"> </w:t>
                  </w:r>
                  <w:r>
                    <w:rPr>
                      <w:spacing w:val="6"/>
                      <w:sz w:val="20"/>
                      <w:szCs w:val="20"/>
                    </w:rPr>
                    <w:t>以涉危险废物、涉重金属企业为</w:t>
                  </w:r>
                  <w:r>
                    <w:rPr>
                      <w:sz w:val="20"/>
                      <w:szCs w:val="20"/>
                    </w:rPr>
                    <w:t xml:space="preserve"> </w:t>
                  </w:r>
                  <w:r>
                    <w:rPr>
                      <w:spacing w:val="3"/>
                      <w:sz w:val="20"/>
                      <w:szCs w:val="20"/>
                    </w:rPr>
                    <w:t>重点，合理布设生产设施，强化应急导</w:t>
                  </w:r>
                  <w:r>
                    <w:rPr>
                      <w:spacing w:val="11"/>
                      <w:sz w:val="20"/>
                      <w:szCs w:val="20"/>
                    </w:rPr>
                    <w:t xml:space="preserve"> </w:t>
                  </w:r>
                  <w:r>
                    <w:rPr>
                      <w:spacing w:val="3"/>
                      <w:sz w:val="20"/>
                      <w:szCs w:val="20"/>
                    </w:rPr>
                    <w:t>流槽、事故调蓄池、雨污总排口应急闸</w:t>
                  </w:r>
                  <w:r>
                    <w:rPr>
                      <w:spacing w:val="11"/>
                      <w:sz w:val="20"/>
                      <w:szCs w:val="20"/>
                    </w:rPr>
                    <w:t xml:space="preserve"> </w:t>
                  </w:r>
                  <w:r>
                    <w:rPr>
                      <w:spacing w:val="3"/>
                      <w:sz w:val="20"/>
                      <w:szCs w:val="20"/>
                    </w:rPr>
                    <w:t>坝等事故排水收集截留设施，以及传输</w:t>
                  </w:r>
                  <w:r>
                    <w:rPr>
                      <w:spacing w:val="11"/>
                      <w:sz w:val="20"/>
                      <w:szCs w:val="20"/>
                    </w:rPr>
                    <w:t xml:space="preserve"> </w:t>
                  </w:r>
                  <w:r>
                    <w:rPr>
                      <w:spacing w:val="3"/>
                      <w:sz w:val="20"/>
                      <w:szCs w:val="20"/>
                    </w:rPr>
                    <w:t>泵、配套管线、应急发电等事故水输送</w:t>
                  </w:r>
                  <w:r>
                    <w:rPr>
                      <w:spacing w:val="11"/>
                      <w:sz w:val="20"/>
                      <w:szCs w:val="20"/>
                    </w:rPr>
                    <w:t xml:space="preserve"> </w:t>
                  </w:r>
                  <w:r>
                    <w:rPr>
                      <w:spacing w:val="3"/>
                      <w:sz w:val="20"/>
                      <w:szCs w:val="20"/>
                    </w:rPr>
                    <w:t>设施等建设，合理设置消防事故水池和</w:t>
                  </w:r>
                  <w:r>
                    <w:rPr>
                      <w:spacing w:val="11"/>
                      <w:sz w:val="20"/>
                      <w:szCs w:val="20"/>
                    </w:rPr>
                    <w:t xml:space="preserve"> </w:t>
                  </w:r>
                  <w:r>
                    <w:rPr>
                      <w:spacing w:val="6"/>
                      <w:sz w:val="20"/>
                      <w:szCs w:val="20"/>
                    </w:rPr>
                    <w:t>雨水监测池。</w:t>
                  </w:r>
                </w:p>
                <w:p w14:paraId="24740746">
                  <w:pPr>
                    <w:pStyle w:val="6"/>
                    <w:spacing w:before="27" w:line="244" w:lineRule="auto"/>
                    <w:ind w:left="111" w:right="106" w:firstLine="10"/>
                    <w:rPr>
                      <w:sz w:val="20"/>
                      <w:szCs w:val="20"/>
                    </w:rPr>
                  </w:pPr>
                  <w:r>
                    <w:rPr>
                      <w:spacing w:val="8"/>
                      <w:sz w:val="20"/>
                      <w:szCs w:val="20"/>
                    </w:rPr>
                    <w:t>（</w:t>
                  </w:r>
                  <w:r>
                    <w:rPr>
                      <w:rFonts w:ascii="Times New Roman" w:hAnsi="Times New Roman" w:eastAsia="Times New Roman" w:cs="Times New Roman"/>
                      <w:spacing w:val="8"/>
                      <w:sz w:val="20"/>
                      <w:szCs w:val="20"/>
                    </w:rPr>
                    <w:t>6</w:t>
                  </w:r>
                  <w:r>
                    <w:rPr>
                      <w:spacing w:val="8"/>
                      <w:sz w:val="20"/>
                      <w:szCs w:val="20"/>
                    </w:rPr>
                    <w:t xml:space="preserve">）严格新（改、扩）建尾矿库环境 </w:t>
                  </w:r>
                  <w:r>
                    <w:rPr>
                      <w:spacing w:val="3"/>
                      <w:sz w:val="20"/>
                      <w:szCs w:val="20"/>
                    </w:rPr>
                    <w:t>准入，健全尾矿库环境监管清单，加强</w:t>
                  </w:r>
                  <w:r>
                    <w:rPr>
                      <w:spacing w:val="10"/>
                      <w:sz w:val="20"/>
                      <w:szCs w:val="20"/>
                    </w:rPr>
                    <w:t xml:space="preserve"> </w:t>
                  </w:r>
                  <w:r>
                    <w:rPr>
                      <w:spacing w:val="9"/>
                      <w:sz w:val="20"/>
                      <w:szCs w:val="20"/>
                    </w:rPr>
                    <w:t>尾矿库分类分级环境监管。严格落实</w:t>
                  </w:r>
                  <w:r>
                    <w:rPr>
                      <w:spacing w:val="2"/>
                      <w:sz w:val="20"/>
                      <w:szCs w:val="20"/>
                    </w:rPr>
                    <w:t xml:space="preserve">  </w:t>
                  </w:r>
                  <w:r>
                    <w:rPr>
                      <w:spacing w:val="9"/>
                      <w:sz w:val="20"/>
                      <w:szCs w:val="20"/>
                    </w:rPr>
                    <w:t>《云南省尾矿库专项整治工作实施方</w:t>
                  </w:r>
                  <w:r>
                    <w:rPr>
                      <w:spacing w:val="2"/>
                      <w:sz w:val="20"/>
                      <w:szCs w:val="20"/>
                    </w:rPr>
                    <w:t xml:space="preserve">  </w:t>
                  </w:r>
                  <w:r>
                    <w:rPr>
                      <w:sz w:val="20"/>
                      <w:szCs w:val="20"/>
                    </w:rPr>
                    <w:t>案》。</w:t>
                  </w:r>
                </w:p>
              </w:tc>
              <w:tc>
                <w:tcPr>
                  <w:tcW w:w="2638" w:type="dxa"/>
                  <w:vAlign w:val="top"/>
                </w:tcPr>
                <w:p w14:paraId="0347AD6C">
                  <w:pPr>
                    <w:pStyle w:val="6"/>
                    <w:spacing w:before="171" w:line="249" w:lineRule="auto"/>
                    <w:ind w:left="113" w:right="59" w:firstLine="10"/>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）运营期产生的废铅酸</w:t>
                  </w:r>
                  <w:r>
                    <w:rPr>
                      <w:spacing w:val="6"/>
                      <w:sz w:val="20"/>
                      <w:szCs w:val="20"/>
                    </w:rPr>
                    <w:t xml:space="preserve"> </w:t>
                  </w:r>
                  <w:r>
                    <w:rPr>
                      <w:spacing w:val="19"/>
                      <w:sz w:val="20"/>
                      <w:szCs w:val="20"/>
                    </w:rPr>
                    <w:t>蓄电池和事故废油均属危</w:t>
                  </w:r>
                  <w:r>
                    <w:rPr>
                      <w:spacing w:val="4"/>
                      <w:sz w:val="20"/>
                      <w:szCs w:val="20"/>
                    </w:rPr>
                    <w:t xml:space="preserve"> </w:t>
                  </w:r>
                  <w:r>
                    <w:rPr>
                      <w:spacing w:val="1"/>
                      <w:sz w:val="20"/>
                      <w:szCs w:val="20"/>
                    </w:rPr>
                    <w:t xml:space="preserve">险废物，经集中收集后，暂 存于危废贮存库，并委托有 资质单位处置；变压器油不 </w:t>
                  </w:r>
                  <w:r>
                    <w:rPr>
                      <w:spacing w:val="19"/>
                      <w:sz w:val="20"/>
                      <w:szCs w:val="20"/>
                    </w:rPr>
                    <w:t>合格需全部更换时产生的</w:t>
                  </w:r>
                  <w:r>
                    <w:rPr>
                      <w:spacing w:val="4"/>
                      <w:sz w:val="20"/>
                      <w:szCs w:val="20"/>
                    </w:rPr>
                    <w:t xml:space="preserve"> </w:t>
                  </w:r>
                  <w:r>
                    <w:rPr>
                      <w:spacing w:val="1"/>
                      <w:sz w:val="20"/>
                      <w:szCs w:val="20"/>
                    </w:rPr>
                    <w:t xml:space="preserve">废变压器油，委托有资质单 </w:t>
                  </w:r>
                  <w:r>
                    <w:rPr>
                      <w:spacing w:val="4"/>
                      <w:sz w:val="20"/>
                      <w:szCs w:val="20"/>
                    </w:rPr>
                    <w:t>位在更换后即时转移处置，</w:t>
                  </w:r>
                  <w:r>
                    <w:rPr>
                      <w:spacing w:val="10"/>
                      <w:sz w:val="20"/>
                      <w:szCs w:val="20"/>
                    </w:rPr>
                    <w:t xml:space="preserve"> </w:t>
                  </w:r>
                  <w:r>
                    <w:rPr>
                      <w:spacing w:val="1"/>
                      <w:sz w:val="20"/>
                      <w:szCs w:val="20"/>
                    </w:rPr>
                    <w:t xml:space="preserve">不在厂区贮存。，通过采取 以上防控措施，可有效降低 </w:t>
                  </w:r>
                  <w:r>
                    <w:rPr>
                      <w:spacing w:val="6"/>
                      <w:sz w:val="20"/>
                      <w:szCs w:val="20"/>
                    </w:rPr>
                    <w:t>环境风险。</w:t>
                  </w:r>
                </w:p>
                <w:p w14:paraId="361E68FE">
                  <w:pPr>
                    <w:pStyle w:val="6"/>
                    <w:spacing w:before="24" w:line="228" w:lineRule="auto"/>
                    <w:ind w:left="124"/>
                    <w:rPr>
                      <w:sz w:val="20"/>
                      <w:szCs w:val="20"/>
                    </w:rPr>
                  </w:pPr>
                  <w:r>
                    <w:rPr>
                      <w:spacing w:val="5"/>
                      <w:sz w:val="20"/>
                      <w:szCs w:val="20"/>
                    </w:rPr>
                    <w:t>（</w:t>
                  </w:r>
                  <w:r>
                    <w:rPr>
                      <w:rFonts w:ascii="Times New Roman" w:hAnsi="Times New Roman" w:eastAsia="Times New Roman" w:cs="Times New Roman"/>
                      <w:spacing w:val="5"/>
                      <w:sz w:val="20"/>
                      <w:szCs w:val="20"/>
                    </w:rPr>
                    <w:t>2</w:t>
                  </w:r>
                  <w:r>
                    <w:rPr>
                      <w:spacing w:val="5"/>
                      <w:sz w:val="20"/>
                      <w:szCs w:val="20"/>
                    </w:rPr>
                    <w:t>）项目不涉及。</w:t>
                  </w:r>
                </w:p>
                <w:p w14:paraId="160962B9">
                  <w:pPr>
                    <w:pStyle w:val="6"/>
                    <w:spacing w:before="28" w:line="247" w:lineRule="auto"/>
                    <w:ind w:left="114" w:right="104" w:firstLine="10"/>
                    <w:rPr>
                      <w:sz w:val="20"/>
                      <w:szCs w:val="20"/>
                    </w:rPr>
                  </w:pPr>
                  <w:r>
                    <w:rPr>
                      <w:spacing w:val="7"/>
                      <w:sz w:val="20"/>
                      <w:szCs w:val="20"/>
                    </w:rPr>
                    <w:t>（</w:t>
                  </w:r>
                  <w:r>
                    <w:rPr>
                      <w:rFonts w:ascii="Times New Roman" w:hAnsi="Times New Roman" w:eastAsia="Times New Roman" w:cs="Times New Roman"/>
                      <w:spacing w:val="7"/>
                      <w:sz w:val="20"/>
                      <w:szCs w:val="20"/>
                    </w:rPr>
                    <w:t>3</w:t>
                  </w:r>
                  <w:r>
                    <w:rPr>
                      <w:spacing w:val="7"/>
                      <w:sz w:val="20"/>
                      <w:szCs w:val="20"/>
                    </w:rPr>
                    <w:t>）项目从施工期到运营</w:t>
                  </w:r>
                  <w:r>
                    <w:rPr>
                      <w:spacing w:val="8"/>
                      <w:sz w:val="20"/>
                      <w:szCs w:val="20"/>
                    </w:rPr>
                    <w:t xml:space="preserve"> </w:t>
                  </w:r>
                  <w:r>
                    <w:rPr>
                      <w:spacing w:val="9"/>
                      <w:sz w:val="20"/>
                      <w:szCs w:val="20"/>
                    </w:rPr>
                    <w:t>期制定了一系列的环境保</w:t>
                  </w:r>
                  <w:r>
                    <w:rPr>
                      <w:sz w:val="20"/>
                      <w:szCs w:val="20"/>
                    </w:rPr>
                    <w:t xml:space="preserve">  </w:t>
                  </w:r>
                  <w:r>
                    <w:rPr>
                      <w:spacing w:val="1"/>
                      <w:sz w:val="20"/>
                      <w:szCs w:val="20"/>
                    </w:rPr>
                    <w:t>护措施，项目后续将按要求</w:t>
                  </w:r>
                  <w:r>
                    <w:rPr>
                      <w:sz w:val="20"/>
                      <w:szCs w:val="20"/>
                    </w:rPr>
                    <w:t xml:space="preserve"> </w:t>
                  </w:r>
                  <w:r>
                    <w:rPr>
                      <w:spacing w:val="9"/>
                      <w:sz w:val="20"/>
                      <w:szCs w:val="20"/>
                    </w:rPr>
                    <w:t>编制突发环境事件应急预</w:t>
                  </w:r>
                  <w:r>
                    <w:rPr>
                      <w:sz w:val="20"/>
                      <w:szCs w:val="20"/>
                    </w:rPr>
                    <w:t xml:space="preserve">  </w:t>
                  </w:r>
                  <w:r>
                    <w:rPr>
                      <w:spacing w:val="1"/>
                      <w:sz w:val="20"/>
                      <w:szCs w:val="20"/>
                    </w:rPr>
                    <w:t>案，建立环境风险预测预警</w:t>
                  </w:r>
                  <w:r>
                    <w:rPr>
                      <w:sz w:val="20"/>
                      <w:szCs w:val="20"/>
                    </w:rPr>
                    <w:t xml:space="preserve"> </w:t>
                  </w:r>
                  <w:r>
                    <w:rPr>
                      <w:spacing w:val="8"/>
                      <w:sz w:val="20"/>
                      <w:szCs w:val="20"/>
                    </w:rPr>
                    <w:t>体系，提高预警能力。</w:t>
                  </w:r>
                </w:p>
                <w:p w14:paraId="4797A9A3">
                  <w:pPr>
                    <w:pStyle w:val="6"/>
                    <w:spacing w:before="27" w:line="244" w:lineRule="auto"/>
                    <w:ind w:left="114" w:right="114" w:firstLine="10"/>
                    <w:rPr>
                      <w:sz w:val="20"/>
                      <w:szCs w:val="20"/>
                    </w:rPr>
                  </w:pPr>
                  <w:r>
                    <w:rPr>
                      <w:spacing w:val="7"/>
                      <w:sz w:val="20"/>
                      <w:szCs w:val="20"/>
                    </w:rPr>
                    <w:t>（</w:t>
                  </w:r>
                  <w:r>
                    <w:rPr>
                      <w:rFonts w:ascii="Times New Roman" w:hAnsi="Times New Roman" w:eastAsia="Times New Roman" w:cs="Times New Roman"/>
                      <w:spacing w:val="7"/>
                      <w:sz w:val="20"/>
                      <w:szCs w:val="20"/>
                    </w:rPr>
                    <w:t>4</w:t>
                  </w:r>
                  <w:r>
                    <w:rPr>
                      <w:spacing w:val="7"/>
                      <w:sz w:val="20"/>
                      <w:szCs w:val="20"/>
                    </w:rPr>
                    <w:t>）本项目不涉及农村饮</w:t>
                  </w:r>
                  <w:r>
                    <w:rPr>
                      <w:spacing w:val="8"/>
                      <w:sz w:val="20"/>
                      <w:szCs w:val="20"/>
                    </w:rPr>
                    <w:t xml:space="preserve"> </w:t>
                  </w:r>
                  <w:r>
                    <w:rPr>
                      <w:spacing w:val="9"/>
                      <w:sz w:val="20"/>
                      <w:szCs w:val="20"/>
                    </w:rPr>
                    <w:t>用水水源保护区环境风险</w:t>
                  </w:r>
                  <w:r>
                    <w:rPr>
                      <w:sz w:val="20"/>
                      <w:szCs w:val="20"/>
                    </w:rPr>
                    <w:t xml:space="preserve">  </w:t>
                  </w:r>
                  <w:r>
                    <w:rPr>
                      <w:spacing w:val="5"/>
                      <w:sz w:val="20"/>
                      <w:szCs w:val="20"/>
                    </w:rPr>
                    <w:t>排查整治。</w:t>
                  </w:r>
                </w:p>
                <w:p w14:paraId="6D5F029D">
                  <w:pPr>
                    <w:pStyle w:val="6"/>
                    <w:spacing w:before="24" w:line="249" w:lineRule="auto"/>
                    <w:ind w:left="113" w:right="43" w:firstLine="10"/>
                    <w:rPr>
                      <w:sz w:val="20"/>
                      <w:szCs w:val="20"/>
                    </w:rPr>
                  </w:pPr>
                  <w:r>
                    <w:rPr>
                      <w:spacing w:val="7"/>
                      <w:sz w:val="20"/>
                      <w:szCs w:val="20"/>
                    </w:rPr>
                    <w:t>（</w:t>
                  </w:r>
                  <w:r>
                    <w:rPr>
                      <w:rFonts w:ascii="Times New Roman" w:hAnsi="Times New Roman" w:eastAsia="Times New Roman" w:cs="Times New Roman"/>
                      <w:spacing w:val="7"/>
                      <w:sz w:val="20"/>
                      <w:szCs w:val="20"/>
                    </w:rPr>
                    <w:t>5</w:t>
                  </w:r>
                  <w:r>
                    <w:rPr>
                      <w:spacing w:val="7"/>
                      <w:sz w:val="20"/>
                      <w:szCs w:val="20"/>
                    </w:rPr>
                    <w:t>）项目涉及的危险废物</w:t>
                  </w:r>
                  <w:r>
                    <w:rPr>
                      <w:spacing w:val="8"/>
                      <w:sz w:val="20"/>
                      <w:szCs w:val="20"/>
                    </w:rPr>
                    <w:t xml:space="preserve"> </w:t>
                  </w:r>
                  <w:r>
                    <w:rPr>
                      <w:spacing w:val="6"/>
                      <w:sz w:val="20"/>
                      <w:szCs w:val="20"/>
                    </w:rPr>
                    <w:t>为废变压器油、事故废油、</w:t>
                  </w:r>
                  <w:r>
                    <w:rPr>
                      <w:spacing w:val="2"/>
                      <w:sz w:val="20"/>
                      <w:szCs w:val="20"/>
                    </w:rPr>
                    <w:t xml:space="preserve"> </w:t>
                  </w:r>
                  <w:r>
                    <w:rPr>
                      <w:spacing w:val="1"/>
                      <w:sz w:val="20"/>
                      <w:szCs w:val="20"/>
                    </w:rPr>
                    <w:t xml:space="preserve">废铅酸蓄电池。废铅酸蓄电 </w:t>
                  </w:r>
                  <w:r>
                    <w:rPr>
                      <w:spacing w:val="9"/>
                      <w:sz w:val="20"/>
                      <w:szCs w:val="20"/>
                    </w:rPr>
                    <w:t>池和事故废油经集中收集</w:t>
                  </w:r>
                  <w:r>
                    <w:rPr>
                      <w:sz w:val="20"/>
                      <w:szCs w:val="20"/>
                    </w:rPr>
                    <w:t xml:space="preserve">  </w:t>
                  </w:r>
                  <w:r>
                    <w:rPr>
                      <w:spacing w:val="1"/>
                      <w:sz w:val="20"/>
                      <w:szCs w:val="20"/>
                    </w:rPr>
                    <w:t xml:space="preserve">后，暂存于危废贮存库，并 委托有资质单位处置；变压 </w:t>
                  </w:r>
                  <w:r>
                    <w:rPr>
                      <w:spacing w:val="9"/>
                      <w:sz w:val="20"/>
                      <w:szCs w:val="20"/>
                    </w:rPr>
                    <w:t>器油不合格需全部更换时</w:t>
                  </w:r>
                  <w:r>
                    <w:rPr>
                      <w:sz w:val="20"/>
                      <w:szCs w:val="20"/>
                    </w:rPr>
                    <w:t xml:space="preserve">  </w:t>
                  </w:r>
                  <w:r>
                    <w:rPr>
                      <w:spacing w:val="1"/>
                      <w:sz w:val="20"/>
                      <w:szCs w:val="20"/>
                    </w:rPr>
                    <w:t xml:space="preserve">产生的废变压器油，委托有 </w:t>
                  </w:r>
                  <w:r>
                    <w:rPr>
                      <w:spacing w:val="9"/>
                      <w:sz w:val="20"/>
                      <w:szCs w:val="20"/>
                    </w:rPr>
                    <w:t>资质单位在更换后即时转</w:t>
                  </w:r>
                  <w:r>
                    <w:rPr>
                      <w:sz w:val="20"/>
                      <w:szCs w:val="20"/>
                    </w:rPr>
                    <w:t xml:space="preserve">  </w:t>
                  </w:r>
                  <w:r>
                    <w:rPr>
                      <w:spacing w:val="8"/>
                      <w:sz w:val="20"/>
                      <w:szCs w:val="20"/>
                    </w:rPr>
                    <w:t>移处置，不在厂区贮存。</w:t>
                  </w:r>
                </w:p>
                <w:p w14:paraId="72555E89">
                  <w:pPr>
                    <w:pStyle w:val="6"/>
                    <w:spacing w:before="24" w:line="228" w:lineRule="auto"/>
                    <w:ind w:left="124"/>
                    <w:rPr>
                      <w:sz w:val="20"/>
                      <w:szCs w:val="20"/>
                    </w:rPr>
                  </w:pPr>
                  <w:r>
                    <w:rPr>
                      <w:spacing w:val="5"/>
                      <w:sz w:val="20"/>
                      <w:szCs w:val="20"/>
                    </w:rPr>
                    <w:t>（</w:t>
                  </w:r>
                  <w:r>
                    <w:rPr>
                      <w:rFonts w:ascii="Times New Roman" w:hAnsi="Times New Roman" w:eastAsia="Times New Roman" w:cs="Times New Roman"/>
                      <w:spacing w:val="5"/>
                      <w:sz w:val="20"/>
                      <w:szCs w:val="20"/>
                    </w:rPr>
                    <w:t>6</w:t>
                  </w:r>
                  <w:r>
                    <w:rPr>
                      <w:spacing w:val="5"/>
                      <w:sz w:val="20"/>
                      <w:szCs w:val="20"/>
                    </w:rPr>
                    <w:t>）项目不涉及。</w:t>
                  </w:r>
                </w:p>
              </w:tc>
              <w:tc>
                <w:tcPr>
                  <w:tcW w:w="843" w:type="dxa"/>
                  <w:vAlign w:val="top"/>
                </w:tcPr>
                <w:p w14:paraId="6E52357F">
                  <w:pPr>
                    <w:spacing w:line="252" w:lineRule="auto"/>
                    <w:rPr>
                      <w:rFonts w:ascii="Arial"/>
                      <w:sz w:val="21"/>
                    </w:rPr>
                  </w:pPr>
                </w:p>
                <w:p w14:paraId="36C86376">
                  <w:pPr>
                    <w:spacing w:line="252" w:lineRule="auto"/>
                    <w:rPr>
                      <w:rFonts w:ascii="Arial"/>
                      <w:sz w:val="21"/>
                    </w:rPr>
                  </w:pPr>
                </w:p>
                <w:p w14:paraId="17B1CC06">
                  <w:pPr>
                    <w:spacing w:line="252" w:lineRule="auto"/>
                    <w:rPr>
                      <w:rFonts w:ascii="Arial"/>
                      <w:sz w:val="21"/>
                    </w:rPr>
                  </w:pPr>
                </w:p>
                <w:p w14:paraId="7D2DA708">
                  <w:pPr>
                    <w:spacing w:line="252" w:lineRule="auto"/>
                    <w:rPr>
                      <w:rFonts w:ascii="Arial"/>
                      <w:sz w:val="21"/>
                    </w:rPr>
                  </w:pPr>
                </w:p>
                <w:p w14:paraId="3EC41DDA">
                  <w:pPr>
                    <w:spacing w:line="253" w:lineRule="auto"/>
                    <w:rPr>
                      <w:rFonts w:ascii="Arial"/>
                      <w:sz w:val="21"/>
                    </w:rPr>
                  </w:pPr>
                </w:p>
                <w:p w14:paraId="10C480E9">
                  <w:pPr>
                    <w:spacing w:line="253" w:lineRule="auto"/>
                    <w:rPr>
                      <w:rFonts w:ascii="Arial"/>
                      <w:sz w:val="21"/>
                    </w:rPr>
                  </w:pPr>
                </w:p>
                <w:p w14:paraId="312AB1D3">
                  <w:pPr>
                    <w:spacing w:line="253" w:lineRule="auto"/>
                    <w:rPr>
                      <w:rFonts w:ascii="Arial"/>
                      <w:sz w:val="21"/>
                    </w:rPr>
                  </w:pPr>
                </w:p>
                <w:p w14:paraId="1CD04E2D">
                  <w:pPr>
                    <w:spacing w:line="253" w:lineRule="auto"/>
                    <w:rPr>
                      <w:rFonts w:ascii="Arial"/>
                      <w:sz w:val="21"/>
                    </w:rPr>
                  </w:pPr>
                </w:p>
                <w:p w14:paraId="14FA2033">
                  <w:pPr>
                    <w:spacing w:line="253" w:lineRule="auto"/>
                    <w:rPr>
                      <w:rFonts w:ascii="Arial"/>
                      <w:sz w:val="21"/>
                    </w:rPr>
                  </w:pPr>
                </w:p>
                <w:p w14:paraId="4909FFF8">
                  <w:pPr>
                    <w:spacing w:line="253" w:lineRule="auto"/>
                    <w:rPr>
                      <w:rFonts w:ascii="Arial"/>
                      <w:sz w:val="21"/>
                    </w:rPr>
                  </w:pPr>
                </w:p>
                <w:p w14:paraId="1E9C405F">
                  <w:pPr>
                    <w:spacing w:line="253" w:lineRule="auto"/>
                    <w:rPr>
                      <w:rFonts w:ascii="Arial"/>
                      <w:sz w:val="21"/>
                    </w:rPr>
                  </w:pPr>
                </w:p>
                <w:p w14:paraId="7BCEDEF3">
                  <w:pPr>
                    <w:spacing w:line="253" w:lineRule="auto"/>
                    <w:rPr>
                      <w:rFonts w:ascii="Arial"/>
                      <w:sz w:val="21"/>
                    </w:rPr>
                  </w:pPr>
                </w:p>
                <w:p w14:paraId="203A0B48">
                  <w:pPr>
                    <w:spacing w:line="253" w:lineRule="auto"/>
                    <w:rPr>
                      <w:rFonts w:ascii="Arial"/>
                      <w:sz w:val="21"/>
                    </w:rPr>
                  </w:pPr>
                </w:p>
                <w:p w14:paraId="25F1EBDF">
                  <w:pPr>
                    <w:spacing w:line="253" w:lineRule="auto"/>
                    <w:rPr>
                      <w:rFonts w:ascii="Arial"/>
                      <w:sz w:val="21"/>
                    </w:rPr>
                  </w:pPr>
                </w:p>
                <w:p w14:paraId="3EF5B3A8">
                  <w:pPr>
                    <w:spacing w:line="253" w:lineRule="auto"/>
                    <w:rPr>
                      <w:rFonts w:ascii="Arial"/>
                      <w:sz w:val="21"/>
                    </w:rPr>
                  </w:pPr>
                </w:p>
                <w:p w14:paraId="6E5767E3">
                  <w:pPr>
                    <w:spacing w:line="253" w:lineRule="auto"/>
                    <w:rPr>
                      <w:rFonts w:ascii="Arial"/>
                      <w:sz w:val="21"/>
                    </w:rPr>
                  </w:pPr>
                </w:p>
                <w:p w14:paraId="6F1AD052">
                  <w:pPr>
                    <w:spacing w:line="253" w:lineRule="auto"/>
                    <w:rPr>
                      <w:rFonts w:ascii="Arial"/>
                      <w:sz w:val="21"/>
                    </w:rPr>
                  </w:pPr>
                </w:p>
                <w:p w14:paraId="682FC2FF">
                  <w:pPr>
                    <w:pStyle w:val="6"/>
                    <w:spacing w:before="65" w:line="228" w:lineRule="auto"/>
                    <w:ind w:left="219"/>
                    <w:rPr>
                      <w:sz w:val="20"/>
                      <w:szCs w:val="20"/>
                    </w:rPr>
                  </w:pPr>
                  <w:r>
                    <w:rPr>
                      <w:spacing w:val="3"/>
                      <w:sz w:val="20"/>
                      <w:szCs w:val="20"/>
                    </w:rPr>
                    <w:t>符合</w:t>
                  </w:r>
                </w:p>
              </w:tc>
            </w:tr>
            <w:tr w14:paraId="59CB1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9" w:hRule="atLeast"/>
              </w:trPr>
              <w:tc>
                <w:tcPr>
                  <w:tcW w:w="672" w:type="dxa"/>
                  <w:vAlign w:val="top"/>
                </w:tcPr>
                <w:p w14:paraId="7365543E">
                  <w:pPr>
                    <w:spacing w:line="242" w:lineRule="auto"/>
                    <w:rPr>
                      <w:rFonts w:ascii="Arial"/>
                      <w:sz w:val="21"/>
                    </w:rPr>
                  </w:pPr>
                </w:p>
                <w:p w14:paraId="3B686874">
                  <w:pPr>
                    <w:spacing w:line="242" w:lineRule="auto"/>
                    <w:rPr>
                      <w:rFonts w:ascii="Arial"/>
                      <w:sz w:val="21"/>
                    </w:rPr>
                  </w:pPr>
                </w:p>
                <w:p w14:paraId="58881314">
                  <w:pPr>
                    <w:spacing w:line="243" w:lineRule="auto"/>
                    <w:rPr>
                      <w:rFonts w:ascii="Arial"/>
                      <w:sz w:val="21"/>
                    </w:rPr>
                  </w:pPr>
                </w:p>
                <w:p w14:paraId="39DED09C">
                  <w:pPr>
                    <w:spacing w:line="243" w:lineRule="auto"/>
                    <w:rPr>
                      <w:rFonts w:ascii="Arial"/>
                      <w:sz w:val="21"/>
                    </w:rPr>
                  </w:pPr>
                </w:p>
                <w:p w14:paraId="71F9AAB8">
                  <w:pPr>
                    <w:spacing w:line="243" w:lineRule="auto"/>
                    <w:rPr>
                      <w:rFonts w:ascii="Arial"/>
                      <w:sz w:val="21"/>
                    </w:rPr>
                  </w:pPr>
                </w:p>
                <w:p w14:paraId="13F52215">
                  <w:pPr>
                    <w:spacing w:line="243" w:lineRule="auto"/>
                    <w:rPr>
                      <w:rFonts w:ascii="Arial"/>
                      <w:sz w:val="21"/>
                    </w:rPr>
                  </w:pPr>
                </w:p>
                <w:p w14:paraId="0CD24E38">
                  <w:pPr>
                    <w:pStyle w:val="6"/>
                    <w:spacing w:before="65" w:line="244" w:lineRule="auto"/>
                    <w:ind w:left="131" w:right="126" w:firstLine="8"/>
                    <w:jc w:val="both"/>
                    <w:rPr>
                      <w:sz w:val="20"/>
                      <w:szCs w:val="20"/>
                    </w:rPr>
                  </w:pPr>
                  <w:r>
                    <w:rPr>
                      <w:sz w:val="20"/>
                      <w:szCs w:val="20"/>
                    </w:rPr>
                    <w:t xml:space="preserve">资源 </w:t>
                  </w:r>
                  <w:r>
                    <w:rPr>
                      <w:spacing w:val="4"/>
                      <w:sz w:val="20"/>
                      <w:szCs w:val="20"/>
                    </w:rPr>
                    <w:t>利用</w:t>
                  </w:r>
                  <w:r>
                    <w:rPr>
                      <w:sz w:val="20"/>
                      <w:szCs w:val="20"/>
                    </w:rPr>
                    <w:t xml:space="preserve"> </w:t>
                  </w:r>
                  <w:r>
                    <w:rPr>
                      <w:spacing w:val="4"/>
                      <w:sz w:val="20"/>
                      <w:szCs w:val="20"/>
                    </w:rPr>
                    <w:t>效率</w:t>
                  </w:r>
                </w:p>
              </w:tc>
              <w:tc>
                <w:tcPr>
                  <w:tcW w:w="3686" w:type="dxa"/>
                  <w:vAlign w:val="top"/>
                </w:tcPr>
                <w:p w14:paraId="0FDE73C0">
                  <w:pPr>
                    <w:pStyle w:val="6"/>
                    <w:spacing w:before="32" w:line="247" w:lineRule="auto"/>
                    <w:ind w:left="111" w:right="106" w:firstLine="10"/>
                    <w:rPr>
                      <w:sz w:val="20"/>
                      <w:szCs w:val="20"/>
                    </w:rPr>
                  </w:pPr>
                  <w:r>
                    <w:rPr>
                      <w:spacing w:val="2"/>
                      <w:sz w:val="20"/>
                      <w:szCs w:val="20"/>
                    </w:rPr>
                    <w:t>（</w:t>
                  </w:r>
                  <w:r>
                    <w:rPr>
                      <w:rFonts w:ascii="Times New Roman" w:hAnsi="Times New Roman" w:eastAsia="Times New Roman" w:cs="Times New Roman"/>
                      <w:spacing w:val="2"/>
                      <w:sz w:val="20"/>
                      <w:szCs w:val="20"/>
                    </w:rPr>
                    <w:t>1</w:t>
                  </w:r>
                  <w:r>
                    <w:rPr>
                      <w:spacing w:val="2"/>
                      <w:sz w:val="20"/>
                      <w:szCs w:val="20"/>
                    </w:rPr>
                    <w:t>）到</w:t>
                  </w:r>
                  <w:r>
                    <w:rPr>
                      <w:spacing w:val="-39"/>
                      <w:sz w:val="20"/>
                      <w:szCs w:val="20"/>
                    </w:rPr>
                    <w:t xml:space="preserve"> </w:t>
                  </w:r>
                  <w:r>
                    <w:rPr>
                      <w:rFonts w:ascii="Times New Roman" w:hAnsi="Times New Roman" w:eastAsia="Times New Roman" w:cs="Times New Roman"/>
                      <w:spacing w:val="2"/>
                      <w:sz w:val="20"/>
                      <w:szCs w:val="20"/>
                    </w:rPr>
                    <w:t xml:space="preserve">2025 </w:t>
                  </w:r>
                  <w:r>
                    <w:rPr>
                      <w:spacing w:val="2"/>
                      <w:sz w:val="20"/>
                      <w:szCs w:val="20"/>
                    </w:rPr>
                    <w:t>年，基本建成与经济社会</w:t>
                  </w:r>
                  <w:r>
                    <w:rPr>
                      <w:sz w:val="20"/>
                      <w:szCs w:val="20"/>
                    </w:rPr>
                    <w:t xml:space="preserve"> </w:t>
                  </w:r>
                  <w:r>
                    <w:rPr>
                      <w:spacing w:val="16"/>
                      <w:sz w:val="20"/>
                      <w:szCs w:val="20"/>
                    </w:rPr>
                    <w:t>高质量发展和生态文明建设要求相适</w:t>
                  </w:r>
                  <w:r>
                    <w:rPr>
                      <w:spacing w:val="5"/>
                      <w:sz w:val="20"/>
                      <w:szCs w:val="20"/>
                    </w:rPr>
                    <w:t xml:space="preserve"> </w:t>
                  </w:r>
                  <w:r>
                    <w:rPr>
                      <w:spacing w:val="3"/>
                      <w:sz w:val="20"/>
                      <w:szCs w:val="20"/>
                    </w:rPr>
                    <w:t>应、与由全面建成小康社会向基本实现</w:t>
                  </w:r>
                  <w:r>
                    <w:rPr>
                      <w:spacing w:val="10"/>
                      <w:sz w:val="20"/>
                      <w:szCs w:val="20"/>
                    </w:rPr>
                    <w:t xml:space="preserve"> </w:t>
                  </w:r>
                  <w:r>
                    <w:rPr>
                      <w:spacing w:val="16"/>
                      <w:sz w:val="20"/>
                      <w:szCs w:val="20"/>
                    </w:rPr>
                    <w:t>现代化迈进起步期相协同的水安全保</w:t>
                  </w:r>
                  <w:r>
                    <w:rPr>
                      <w:spacing w:val="5"/>
                      <w:sz w:val="20"/>
                      <w:szCs w:val="20"/>
                    </w:rPr>
                    <w:t xml:space="preserve"> 障体系。</w:t>
                  </w:r>
                </w:p>
                <w:p w14:paraId="64B00EB3">
                  <w:pPr>
                    <w:pStyle w:val="6"/>
                    <w:spacing w:before="29" w:line="248" w:lineRule="auto"/>
                    <w:ind w:left="105" w:right="52" w:firstLine="16"/>
                    <w:rPr>
                      <w:sz w:val="20"/>
                      <w:szCs w:val="20"/>
                    </w:rPr>
                  </w:pPr>
                  <w:r>
                    <w:rPr>
                      <w:sz w:val="20"/>
                      <w:szCs w:val="20"/>
                    </w:rPr>
                    <w:t>（</w:t>
                  </w:r>
                  <w:r>
                    <w:rPr>
                      <w:rFonts w:ascii="Times New Roman" w:hAnsi="Times New Roman" w:eastAsia="Times New Roman" w:cs="Times New Roman"/>
                      <w:sz w:val="20"/>
                      <w:szCs w:val="20"/>
                    </w:rPr>
                    <w:t>2</w:t>
                  </w:r>
                  <w:r>
                    <w:rPr>
                      <w:sz w:val="20"/>
                      <w:szCs w:val="20"/>
                    </w:rPr>
                    <w:t>）节水型生产和生活方式初步建立，</w:t>
                  </w:r>
                  <w:r>
                    <w:rPr>
                      <w:spacing w:val="5"/>
                      <w:sz w:val="20"/>
                      <w:szCs w:val="20"/>
                    </w:rPr>
                    <w:t xml:space="preserve"> </w:t>
                  </w:r>
                  <w:r>
                    <w:rPr>
                      <w:spacing w:val="4"/>
                      <w:sz w:val="20"/>
                      <w:szCs w:val="20"/>
                    </w:rPr>
                    <w:t>用水效率和效益显著提高，全社会节水</w:t>
                  </w:r>
                  <w:r>
                    <w:rPr>
                      <w:sz w:val="20"/>
                      <w:szCs w:val="20"/>
                    </w:rPr>
                    <w:t xml:space="preserve"> </w:t>
                  </w:r>
                  <w:r>
                    <w:rPr>
                      <w:spacing w:val="4"/>
                      <w:sz w:val="20"/>
                      <w:szCs w:val="20"/>
                    </w:rPr>
                    <w:t>意识明显增强，新时代节水型社会基本</w:t>
                  </w:r>
                  <w:r>
                    <w:rPr>
                      <w:sz w:val="20"/>
                      <w:szCs w:val="20"/>
                    </w:rPr>
                    <w:t xml:space="preserve"> </w:t>
                  </w:r>
                  <w:r>
                    <w:rPr>
                      <w:spacing w:val="12"/>
                      <w:sz w:val="20"/>
                      <w:szCs w:val="20"/>
                    </w:rPr>
                    <w:t>建成</w:t>
                  </w:r>
                  <w:r>
                    <w:rPr>
                      <w:spacing w:val="-49"/>
                      <w:sz w:val="20"/>
                      <w:szCs w:val="20"/>
                    </w:rPr>
                    <w:t xml:space="preserve"> </w:t>
                  </w:r>
                  <w:r>
                    <w:rPr>
                      <w:spacing w:val="12"/>
                      <w:sz w:val="20"/>
                      <w:szCs w:val="20"/>
                    </w:rPr>
                    <w:t>。全市用水总量控制在</w:t>
                  </w:r>
                  <w:r>
                    <w:rPr>
                      <w:spacing w:val="-24"/>
                      <w:sz w:val="20"/>
                      <w:szCs w:val="20"/>
                    </w:rPr>
                    <w:t xml:space="preserve"> </w:t>
                  </w:r>
                  <w:r>
                    <w:rPr>
                      <w:rFonts w:ascii="Times New Roman" w:hAnsi="Times New Roman" w:eastAsia="Times New Roman" w:cs="Times New Roman"/>
                      <w:spacing w:val="12"/>
                      <w:sz w:val="20"/>
                      <w:szCs w:val="20"/>
                    </w:rPr>
                    <w:t>35.48</w:t>
                  </w:r>
                  <w:r>
                    <w:rPr>
                      <w:rFonts w:ascii="Times New Roman" w:hAnsi="Times New Roman" w:eastAsia="Times New Roman" w:cs="Times New Roman"/>
                      <w:spacing w:val="24"/>
                      <w:w w:val="101"/>
                      <w:sz w:val="20"/>
                      <w:szCs w:val="20"/>
                    </w:rPr>
                    <w:t xml:space="preserve"> </w:t>
                  </w:r>
                  <w:r>
                    <w:rPr>
                      <w:spacing w:val="12"/>
                      <w:sz w:val="20"/>
                      <w:szCs w:val="20"/>
                    </w:rPr>
                    <w:t>亿</w:t>
                  </w:r>
                  <w:r>
                    <w:rPr>
                      <w:sz w:val="20"/>
                      <w:szCs w:val="20"/>
                    </w:rPr>
                    <w:t xml:space="preserve"> </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 xml:space="preserve">3  </w:t>
                  </w:r>
                  <w:r>
                    <w:rPr>
                      <w:spacing w:val="6"/>
                      <w:sz w:val="20"/>
                      <w:szCs w:val="20"/>
                    </w:rPr>
                    <w:t>以内，万元</w:t>
                  </w:r>
                  <w:r>
                    <w:rPr>
                      <w:spacing w:val="-22"/>
                      <w:sz w:val="20"/>
                      <w:szCs w:val="20"/>
                    </w:rPr>
                    <w:t xml:space="preserve"> </w:t>
                  </w:r>
                  <w:r>
                    <w:rPr>
                      <w:rFonts w:ascii="Times New Roman" w:hAnsi="Times New Roman" w:eastAsia="Times New Roman" w:cs="Times New Roman"/>
                      <w:sz w:val="20"/>
                      <w:szCs w:val="20"/>
                    </w:rPr>
                    <w:t>GDP</w:t>
                  </w:r>
                  <w:r>
                    <w:rPr>
                      <w:rFonts w:ascii="Times New Roman" w:hAnsi="Times New Roman" w:eastAsia="Times New Roman" w:cs="Times New Roman"/>
                      <w:spacing w:val="16"/>
                      <w:w w:val="101"/>
                      <w:sz w:val="20"/>
                      <w:szCs w:val="20"/>
                    </w:rPr>
                    <w:t xml:space="preserve"> </w:t>
                  </w:r>
                  <w:r>
                    <w:rPr>
                      <w:spacing w:val="6"/>
                      <w:sz w:val="20"/>
                      <w:szCs w:val="20"/>
                    </w:rPr>
                    <w:t>用水量较</w:t>
                  </w:r>
                  <w:r>
                    <w:rPr>
                      <w:spacing w:val="-36"/>
                      <w:sz w:val="20"/>
                      <w:szCs w:val="20"/>
                    </w:rPr>
                    <w:t xml:space="preserve"> </w:t>
                  </w:r>
                  <w:r>
                    <w:rPr>
                      <w:rFonts w:ascii="Times New Roman" w:hAnsi="Times New Roman" w:eastAsia="Times New Roman" w:cs="Times New Roman"/>
                      <w:spacing w:val="6"/>
                      <w:sz w:val="20"/>
                      <w:szCs w:val="20"/>
                    </w:rPr>
                    <w:t>2020</w:t>
                  </w:r>
                  <w:r>
                    <w:rPr>
                      <w:rFonts w:ascii="Times New Roman" w:hAnsi="Times New Roman" w:eastAsia="Times New Roman" w:cs="Times New Roman"/>
                      <w:spacing w:val="15"/>
                      <w:w w:val="101"/>
                      <w:sz w:val="20"/>
                      <w:szCs w:val="20"/>
                    </w:rPr>
                    <w:t xml:space="preserve"> </w:t>
                  </w:r>
                  <w:r>
                    <w:rPr>
                      <w:spacing w:val="6"/>
                      <w:sz w:val="20"/>
                      <w:szCs w:val="20"/>
                    </w:rPr>
                    <w:t>年</w:t>
                  </w:r>
                  <w:r>
                    <w:rPr>
                      <w:sz w:val="20"/>
                      <w:szCs w:val="20"/>
                    </w:rPr>
                    <w:t xml:space="preserve"> </w:t>
                  </w:r>
                  <w:r>
                    <w:rPr>
                      <w:spacing w:val="10"/>
                      <w:sz w:val="20"/>
                      <w:szCs w:val="20"/>
                    </w:rPr>
                    <w:t>下降</w:t>
                  </w:r>
                  <w:r>
                    <w:rPr>
                      <w:sz w:val="20"/>
                      <w:szCs w:val="20"/>
                    </w:rPr>
                    <w:t xml:space="preserve"> </w:t>
                  </w:r>
                  <w:r>
                    <w:rPr>
                      <w:rFonts w:ascii="Times New Roman" w:hAnsi="Times New Roman" w:eastAsia="Times New Roman" w:cs="Times New Roman"/>
                      <w:spacing w:val="10"/>
                      <w:sz w:val="20"/>
                      <w:szCs w:val="20"/>
                    </w:rPr>
                    <w:t>10%</w:t>
                  </w:r>
                  <w:r>
                    <w:rPr>
                      <w:rFonts w:ascii="Times New Roman" w:hAnsi="Times New Roman" w:eastAsia="Times New Roman" w:cs="Times New Roman"/>
                      <w:spacing w:val="-19"/>
                      <w:sz w:val="20"/>
                      <w:szCs w:val="20"/>
                    </w:rPr>
                    <w:t xml:space="preserve"> </w:t>
                  </w:r>
                  <w:r>
                    <w:rPr>
                      <w:spacing w:val="10"/>
                      <w:sz w:val="20"/>
                      <w:szCs w:val="20"/>
                    </w:rPr>
                    <w:t>，万元工业增加值用水量较</w:t>
                  </w:r>
                  <w:r>
                    <w:rPr>
                      <w:sz w:val="20"/>
                      <w:szCs w:val="20"/>
                    </w:rPr>
                    <w:t xml:space="preserve"> </w:t>
                  </w:r>
                  <w:r>
                    <w:rPr>
                      <w:rFonts w:ascii="Times New Roman" w:hAnsi="Times New Roman" w:eastAsia="Times New Roman" w:cs="Times New Roman"/>
                      <w:spacing w:val="7"/>
                      <w:sz w:val="20"/>
                      <w:szCs w:val="20"/>
                    </w:rPr>
                    <w:t xml:space="preserve">2020 </w:t>
                  </w:r>
                  <w:r>
                    <w:rPr>
                      <w:spacing w:val="7"/>
                      <w:sz w:val="20"/>
                      <w:szCs w:val="20"/>
                    </w:rPr>
                    <w:t>年下降</w:t>
                  </w:r>
                  <w:r>
                    <w:rPr>
                      <w:spacing w:val="-18"/>
                      <w:sz w:val="20"/>
                      <w:szCs w:val="20"/>
                    </w:rPr>
                    <w:t xml:space="preserve"> </w:t>
                  </w:r>
                  <w:r>
                    <w:rPr>
                      <w:rFonts w:ascii="Times New Roman" w:hAnsi="Times New Roman" w:eastAsia="Times New Roman" w:cs="Times New Roman"/>
                      <w:spacing w:val="7"/>
                      <w:sz w:val="20"/>
                      <w:szCs w:val="20"/>
                    </w:rPr>
                    <w:t>10%</w:t>
                  </w:r>
                  <w:r>
                    <w:rPr>
                      <w:rFonts w:ascii="Times New Roman" w:hAnsi="Times New Roman" w:eastAsia="Times New Roman" w:cs="Times New Roman"/>
                      <w:spacing w:val="-21"/>
                      <w:sz w:val="20"/>
                      <w:szCs w:val="20"/>
                    </w:rPr>
                    <w:t xml:space="preserve"> </w:t>
                  </w:r>
                  <w:r>
                    <w:rPr>
                      <w:spacing w:val="7"/>
                      <w:sz w:val="20"/>
                      <w:szCs w:val="20"/>
                    </w:rPr>
                    <w:t>，农田灌溉水有效利</w:t>
                  </w:r>
                  <w:r>
                    <w:rPr>
                      <w:sz w:val="20"/>
                      <w:szCs w:val="20"/>
                    </w:rPr>
                    <w:t xml:space="preserve"> </w:t>
                  </w:r>
                  <w:r>
                    <w:rPr>
                      <w:spacing w:val="4"/>
                      <w:sz w:val="20"/>
                      <w:szCs w:val="20"/>
                    </w:rPr>
                    <w:t>用系数提高到</w:t>
                  </w:r>
                  <w:r>
                    <w:rPr>
                      <w:spacing w:val="-38"/>
                      <w:sz w:val="20"/>
                      <w:szCs w:val="20"/>
                    </w:rPr>
                    <w:t xml:space="preserve"> </w:t>
                  </w:r>
                  <w:r>
                    <w:rPr>
                      <w:rFonts w:ascii="Times New Roman" w:hAnsi="Times New Roman" w:eastAsia="Times New Roman" w:cs="Times New Roman"/>
                      <w:spacing w:val="4"/>
                      <w:sz w:val="20"/>
                      <w:szCs w:val="20"/>
                    </w:rPr>
                    <w:t>0.55</w:t>
                  </w:r>
                  <w:r>
                    <w:rPr>
                      <w:rFonts w:ascii="Times New Roman" w:hAnsi="Times New Roman" w:eastAsia="Times New Roman" w:cs="Times New Roman"/>
                      <w:spacing w:val="33"/>
                      <w:w w:val="101"/>
                      <w:sz w:val="20"/>
                      <w:szCs w:val="20"/>
                    </w:rPr>
                    <w:t xml:space="preserve"> </w:t>
                  </w:r>
                  <w:r>
                    <w:rPr>
                      <w:spacing w:val="4"/>
                      <w:sz w:val="20"/>
                      <w:szCs w:val="20"/>
                    </w:rPr>
                    <w:t>以上。</w:t>
                  </w:r>
                </w:p>
                <w:p w14:paraId="39FAA90B">
                  <w:pPr>
                    <w:pStyle w:val="6"/>
                    <w:spacing w:before="24" w:line="226" w:lineRule="auto"/>
                    <w:ind w:left="122"/>
                    <w:rPr>
                      <w:sz w:val="20"/>
                      <w:szCs w:val="20"/>
                    </w:rPr>
                  </w:pPr>
                  <w:r>
                    <w:rPr>
                      <w:spacing w:val="13"/>
                      <w:sz w:val="20"/>
                      <w:szCs w:val="20"/>
                    </w:rPr>
                    <w:t>（</w:t>
                  </w:r>
                  <w:r>
                    <w:rPr>
                      <w:rFonts w:ascii="Times New Roman" w:hAnsi="Times New Roman" w:eastAsia="Times New Roman" w:cs="Times New Roman"/>
                      <w:spacing w:val="13"/>
                      <w:sz w:val="20"/>
                      <w:szCs w:val="20"/>
                    </w:rPr>
                    <w:t>3</w:t>
                  </w:r>
                  <w:r>
                    <w:rPr>
                      <w:spacing w:val="13"/>
                      <w:sz w:val="20"/>
                      <w:szCs w:val="20"/>
                    </w:rPr>
                    <w:t>）万元工业增加值用水量</w:t>
                  </w:r>
                  <w:r>
                    <w:rPr>
                      <w:rFonts w:ascii="Times New Roman" w:hAnsi="Times New Roman" w:eastAsia="Times New Roman" w:cs="Times New Roman"/>
                      <w:spacing w:val="13"/>
                      <w:sz w:val="20"/>
                      <w:szCs w:val="20"/>
                    </w:rPr>
                    <w:t>≤30</w:t>
                  </w:r>
                  <w:r>
                    <w:rPr>
                      <w:spacing w:val="13"/>
                      <w:sz w:val="20"/>
                      <w:szCs w:val="20"/>
                    </w:rPr>
                    <w:t>（立</w:t>
                  </w:r>
                </w:p>
              </w:tc>
              <w:tc>
                <w:tcPr>
                  <w:tcW w:w="2638" w:type="dxa"/>
                  <w:vAlign w:val="top"/>
                </w:tcPr>
                <w:p w14:paraId="22205CA4">
                  <w:pPr>
                    <w:pStyle w:val="6"/>
                    <w:spacing w:before="34" w:line="228" w:lineRule="auto"/>
                    <w:ind w:left="124"/>
                    <w:rPr>
                      <w:sz w:val="20"/>
                      <w:szCs w:val="20"/>
                    </w:rPr>
                  </w:pPr>
                  <w:r>
                    <w:rPr>
                      <w:spacing w:val="5"/>
                      <w:sz w:val="20"/>
                      <w:szCs w:val="20"/>
                    </w:rPr>
                    <w:t>（</w:t>
                  </w:r>
                  <w:r>
                    <w:rPr>
                      <w:rFonts w:ascii="Times New Roman" w:hAnsi="Times New Roman" w:eastAsia="Times New Roman" w:cs="Times New Roman"/>
                      <w:spacing w:val="5"/>
                      <w:sz w:val="20"/>
                      <w:szCs w:val="20"/>
                    </w:rPr>
                    <w:t>1</w:t>
                  </w:r>
                  <w:r>
                    <w:rPr>
                      <w:spacing w:val="5"/>
                      <w:sz w:val="20"/>
                      <w:szCs w:val="20"/>
                    </w:rPr>
                    <w:t>）项目不涉及。</w:t>
                  </w:r>
                </w:p>
                <w:p w14:paraId="11D56097">
                  <w:pPr>
                    <w:pStyle w:val="6"/>
                    <w:spacing w:before="24" w:line="244" w:lineRule="auto"/>
                    <w:ind w:left="113" w:right="104" w:firstLine="10"/>
                    <w:rPr>
                      <w:sz w:val="20"/>
                      <w:szCs w:val="20"/>
                    </w:rPr>
                  </w:pPr>
                  <w:r>
                    <w:rPr>
                      <w:spacing w:val="7"/>
                      <w:sz w:val="20"/>
                      <w:szCs w:val="20"/>
                    </w:rPr>
                    <w:t>（</w:t>
                  </w:r>
                  <w:r>
                    <w:rPr>
                      <w:rFonts w:ascii="Times New Roman" w:hAnsi="Times New Roman" w:eastAsia="Times New Roman" w:cs="Times New Roman"/>
                      <w:spacing w:val="7"/>
                      <w:sz w:val="20"/>
                      <w:szCs w:val="20"/>
                    </w:rPr>
                    <w:t>2</w:t>
                  </w:r>
                  <w:r>
                    <w:rPr>
                      <w:spacing w:val="7"/>
                      <w:sz w:val="20"/>
                      <w:szCs w:val="20"/>
                    </w:rPr>
                    <w:t>）</w:t>
                  </w:r>
                  <w:r>
                    <w:rPr>
                      <w:rFonts w:ascii="Times New Roman" w:hAnsi="Times New Roman" w:eastAsia="Times New Roman" w:cs="Times New Roman"/>
                      <w:spacing w:val="7"/>
                      <w:sz w:val="20"/>
                      <w:szCs w:val="20"/>
                    </w:rPr>
                    <w:t>~</w:t>
                  </w:r>
                  <w:r>
                    <w:rPr>
                      <w:spacing w:val="7"/>
                      <w:sz w:val="20"/>
                      <w:szCs w:val="20"/>
                    </w:rPr>
                    <w:t>（</w:t>
                  </w:r>
                  <w:r>
                    <w:rPr>
                      <w:rFonts w:ascii="Times New Roman" w:hAnsi="Times New Roman" w:eastAsia="Times New Roman" w:cs="Times New Roman"/>
                      <w:spacing w:val="7"/>
                      <w:sz w:val="20"/>
                      <w:szCs w:val="20"/>
                    </w:rPr>
                    <w:t>3</w:t>
                  </w:r>
                  <w:r>
                    <w:rPr>
                      <w:spacing w:val="7"/>
                      <w:sz w:val="20"/>
                      <w:szCs w:val="20"/>
                    </w:rPr>
                    <w:t>）项目用水仅为</w:t>
                  </w:r>
                  <w:r>
                    <w:rPr>
                      <w:sz w:val="20"/>
                      <w:szCs w:val="20"/>
                    </w:rPr>
                    <w:t xml:space="preserve"> </w:t>
                  </w:r>
                  <w:r>
                    <w:rPr>
                      <w:spacing w:val="19"/>
                      <w:sz w:val="20"/>
                      <w:szCs w:val="20"/>
                    </w:rPr>
                    <w:t>施工期施工废水和运营期</w:t>
                  </w:r>
                  <w:r>
                    <w:rPr>
                      <w:spacing w:val="4"/>
                      <w:sz w:val="20"/>
                      <w:szCs w:val="20"/>
                    </w:rPr>
                    <w:t xml:space="preserve"> </w:t>
                  </w:r>
                  <w:r>
                    <w:rPr>
                      <w:spacing w:val="8"/>
                      <w:sz w:val="20"/>
                      <w:szCs w:val="20"/>
                    </w:rPr>
                    <w:t>生活用水，用水量较少。</w:t>
                  </w:r>
                </w:p>
                <w:p w14:paraId="44C84B67">
                  <w:pPr>
                    <w:pStyle w:val="6"/>
                    <w:spacing w:before="22" w:line="244" w:lineRule="auto"/>
                    <w:ind w:left="113" w:right="97" w:firstLine="10"/>
                    <w:rPr>
                      <w:sz w:val="20"/>
                      <w:szCs w:val="20"/>
                    </w:rPr>
                  </w:pPr>
                  <w:r>
                    <w:rPr>
                      <w:spacing w:val="7"/>
                      <w:sz w:val="20"/>
                      <w:szCs w:val="20"/>
                    </w:rPr>
                    <w:t>（</w:t>
                  </w:r>
                  <w:r>
                    <w:rPr>
                      <w:rFonts w:ascii="Times New Roman" w:hAnsi="Times New Roman" w:eastAsia="Times New Roman" w:cs="Times New Roman"/>
                      <w:spacing w:val="7"/>
                      <w:sz w:val="20"/>
                      <w:szCs w:val="20"/>
                    </w:rPr>
                    <w:t>4</w:t>
                  </w:r>
                  <w:r>
                    <w:rPr>
                      <w:spacing w:val="7"/>
                      <w:sz w:val="20"/>
                      <w:szCs w:val="20"/>
                    </w:rPr>
                    <w:t>）</w:t>
                  </w:r>
                  <w:r>
                    <w:rPr>
                      <w:rFonts w:ascii="Times New Roman" w:hAnsi="Times New Roman" w:eastAsia="Times New Roman" w:cs="Times New Roman"/>
                      <w:spacing w:val="7"/>
                      <w:sz w:val="20"/>
                      <w:szCs w:val="20"/>
                    </w:rPr>
                    <w:t>~</w:t>
                  </w:r>
                  <w:r>
                    <w:rPr>
                      <w:spacing w:val="7"/>
                      <w:sz w:val="20"/>
                      <w:szCs w:val="20"/>
                    </w:rPr>
                    <w:t>（</w:t>
                  </w:r>
                  <w:r>
                    <w:rPr>
                      <w:rFonts w:ascii="Times New Roman" w:hAnsi="Times New Roman" w:eastAsia="Times New Roman" w:cs="Times New Roman"/>
                      <w:spacing w:val="7"/>
                      <w:sz w:val="20"/>
                      <w:szCs w:val="20"/>
                    </w:rPr>
                    <w:t>5</w:t>
                  </w:r>
                  <w:r>
                    <w:rPr>
                      <w:spacing w:val="7"/>
                      <w:sz w:val="20"/>
                      <w:szCs w:val="20"/>
                    </w:rPr>
                    <w:t>）项目为光伏发</w:t>
                  </w:r>
                  <w:r>
                    <w:rPr>
                      <w:spacing w:val="10"/>
                      <w:sz w:val="20"/>
                      <w:szCs w:val="20"/>
                    </w:rPr>
                    <w:t xml:space="preserve"> </w:t>
                  </w:r>
                  <w:r>
                    <w:rPr>
                      <w:spacing w:val="1"/>
                      <w:sz w:val="20"/>
                      <w:szCs w:val="20"/>
                    </w:rPr>
                    <w:t xml:space="preserve">电项目，运营期输送电力能 </w:t>
                  </w:r>
                  <w:r>
                    <w:rPr>
                      <w:spacing w:val="8"/>
                      <w:sz w:val="20"/>
                      <w:szCs w:val="20"/>
                    </w:rPr>
                    <w:t>源，消耗的能源较少。</w:t>
                  </w:r>
                </w:p>
                <w:p w14:paraId="626C7166">
                  <w:pPr>
                    <w:pStyle w:val="6"/>
                    <w:spacing w:before="27" w:line="245" w:lineRule="auto"/>
                    <w:ind w:left="113" w:right="104" w:firstLine="10"/>
                    <w:rPr>
                      <w:sz w:val="20"/>
                      <w:szCs w:val="20"/>
                    </w:rPr>
                  </w:pPr>
                  <w:r>
                    <w:rPr>
                      <w:spacing w:val="8"/>
                      <w:sz w:val="20"/>
                      <w:szCs w:val="20"/>
                    </w:rPr>
                    <w:t>（</w:t>
                  </w:r>
                  <w:r>
                    <w:rPr>
                      <w:rFonts w:ascii="Times New Roman" w:hAnsi="Times New Roman" w:eastAsia="Times New Roman" w:cs="Times New Roman"/>
                      <w:spacing w:val="8"/>
                      <w:sz w:val="20"/>
                      <w:szCs w:val="20"/>
                    </w:rPr>
                    <w:t>6</w:t>
                  </w:r>
                  <w:r>
                    <w:rPr>
                      <w:spacing w:val="8"/>
                      <w:sz w:val="20"/>
                      <w:szCs w:val="20"/>
                    </w:rPr>
                    <w:t>）项目不属于高耗能行</w:t>
                  </w:r>
                  <w:r>
                    <w:rPr>
                      <w:spacing w:val="6"/>
                      <w:sz w:val="20"/>
                      <w:szCs w:val="20"/>
                    </w:rPr>
                    <w:t xml:space="preserve"> </w:t>
                  </w:r>
                  <w:r>
                    <w:rPr>
                      <w:sz w:val="20"/>
                      <w:szCs w:val="20"/>
                    </w:rPr>
                    <w:t>业。</w:t>
                  </w:r>
                </w:p>
                <w:p w14:paraId="368FA92A">
                  <w:pPr>
                    <w:pStyle w:val="6"/>
                    <w:spacing w:before="15" w:line="245" w:lineRule="auto"/>
                    <w:ind w:left="118" w:right="104" w:firstLine="6"/>
                    <w:rPr>
                      <w:sz w:val="20"/>
                      <w:szCs w:val="20"/>
                    </w:rPr>
                  </w:pPr>
                  <w:r>
                    <w:rPr>
                      <w:spacing w:val="8"/>
                      <w:sz w:val="20"/>
                      <w:szCs w:val="20"/>
                    </w:rPr>
                    <w:t>（</w:t>
                  </w:r>
                  <w:r>
                    <w:rPr>
                      <w:rFonts w:ascii="Times New Roman" w:hAnsi="Times New Roman" w:eastAsia="Times New Roman" w:cs="Times New Roman"/>
                      <w:spacing w:val="8"/>
                      <w:sz w:val="20"/>
                      <w:szCs w:val="20"/>
                    </w:rPr>
                    <w:t>7</w:t>
                  </w:r>
                  <w:r>
                    <w:rPr>
                      <w:spacing w:val="8"/>
                      <w:sz w:val="20"/>
                      <w:szCs w:val="20"/>
                    </w:rPr>
                    <w:t>）项目设计选用能效高</w:t>
                  </w:r>
                  <w:r>
                    <w:rPr>
                      <w:spacing w:val="6"/>
                      <w:sz w:val="20"/>
                      <w:szCs w:val="20"/>
                    </w:rPr>
                    <w:t xml:space="preserve"> </w:t>
                  </w:r>
                  <w:r>
                    <w:rPr>
                      <w:sz w:val="20"/>
                      <w:szCs w:val="20"/>
                    </w:rPr>
                    <w:t>级环保型设备，且项目输送</w:t>
                  </w:r>
                  <w:r>
                    <w:rPr>
                      <w:spacing w:val="9"/>
                      <w:sz w:val="20"/>
                      <w:szCs w:val="20"/>
                    </w:rPr>
                    <w:t xml:space="preserve"> </w:t>
                  </w:r>
                  <w:r>
                    <w:rPr>
                      <w:sz w:val="20"/>
                      <w:szCs w:val="20"/>
                    </w:rPr>
                    <w:t>电能，能为社会提供较好的</w:t>
                  </w:r>
                  <w:r>
                    <w:rPr>
                      <w:spacing w:val="9"/>
                      <w:sz w:val="20"/>
                      <w:szCs w:val="20"/>
                    </w:rPr>
                    <w:t xml:space="preserve"> </w:t>
                  </w:r>
                  <w:r>
                    <w:rPr>
                      <w:spacing w:val="5"/>
                      <w:sz w:val="20"/>
                      <w:szCs w:val="20"/>
                    </w:rPr>
                    <w:t>能源效益。</w:t>
                  </w:r>
                </w:p>
                <w:p w14:paraId="0ADA0C3E">
                  <w:pPr>
                    <w:pStyle w:val="6"/>
                    <w:spacing w:before="24" w:line="226" w:lineRule="auto"/>
                    <w:ind w:left="124"/>
                    <w:rPr>
                      <w:sz w:val="20"/>
                      <w:szCs w:val="20"/>
                    </w:rPr>
                  </w:pPr>
                  <w:r>
                    <w:rPr>
                      <w:spacing w:val="5"/>
                      <w:sz w:val="20"/>
                      <w:szCs w:val="20"/>
                    </w:rPr>
                    <w:t>（</w:t>
                  </w:r>
                  <w:r>
                    <w:rPr>
                      <w:rFonts w:ascii="Times New Roman" w:hAnsi="Times New Roman" w:eastAsia="Times New Roman" w:cs="Times New Roman"/>
                      <w:spacing w:val="5"/>
                      <w:sz w:val="20"/>
                      <w:szCs w:val="20"/>
                    </w:rPr>
                    <w:t>8</w:t>
                  </w:r>
                  <w:r>
                    <w:rPr>
                      <w:spacing w:val="5"/>
                      <w:sz w:val="20"/>
                      <w:szCs w:val="20"/>
                    </w:rPr>
                    <w:t>）项目不涉及。</w:t>
                  </w:r>
                </w:p>
              </w:tc>
              <w:tc>
                <w:tcPr>
                  <w:tcW w:w="843" w:type="dxa"/>
                  <w:vAlign w:val="top"/>
                </w:tcPr>
                <w:p w14:paraId="564B6218">
                  <w:pPr>
                    <w:spacing w:line="247" w:lineRule="auto"/>
                    <w:rPr>
                      <w:rFonts w:ascii="Arial"/>
                      <w:sz w:val="21"/>
                    </w:rPr>
                  </w:pPr>
                </w:p>
                <w:p w14:paraId="21886C94">
                  <w:pPr>
                    <w:spacing w:line="247" w:lineRule="auto"/>
                    <w:rPr>
                      <w:rFonts w:ascii="Arial"/>
                      <w:sz w:val="21"/>
                    </w:rPr>
                  </w:pPr>
                </w:p>
                <w:p w14:paraId="5F9AA82E">
                  <w:pPr>
                    <w:spacing w:line="247" w:lineRule="auto"/>
                    <w:rPr>
                      <w:rFonts w:ascii="Arial"/>
                      <w:sz w:val="21"/>
                    </w:rPr>
                  </w:pPr>
                </w:p>
                <w:p w14:paraId="54886660">
                  <w:pPr>
                    <w:spacing w:line="247" w:lineRule="auto"/>
                    <w:rPr>
                      <w:rFonts w:ascii="Arial"/>
                      <w:sz w:val="21"/>
                    </w:rPr>
                  </w:pPr>
                </w:p>
                <w:p w14:paraId="4C5974F6">
                  <w:pPr>
                    <w:spacing w:line="247" w:lineRule="auto"/>
                    <w:rPr>
                      <w:rFonts w:ascii="Arial"/>
                      <w:sz w:val="21"/>
                    </w:rPr>
                  </w:pPr>
                </w:p>
                <w:p w14:paraId="4B72BC84">
                  <w:pPr>
                    <w:spacing w:line="247" w:lineRule="auto"/>
                    <w:rPr>
                      <w:rFonts w:ascii="Arial"/>
                      <w:sz w:val="21"/>
                    </w:rPr>
                  </w:pPr>
                </w:p>
                <w:p w14:paraId="634F772C">
                  <w:pPr>
                    <w:spacing w:line="247" w:lineRule="auto"/>
                    <w:rPr>
                      <w:rFonts w:ascii="Arial"/>
                      <w:sz w:val="21"/>
                    </w:rPr>
                  </w:pPr>
                </w:p>
                <w:p w14:paraId="5521C81D">
                  <w:pPr>
                    <w:pStyle w:val="6"/>
                    <w:spacing w:before="65" w:line="228" w:lineRule="auto"/>
                    <w:ind w:left="219"/>
                    <w:rPr>
                      <w:sz w:val="20"/>
                      <w:szCs w:val="20"/>
                    </w:rPr>
                  </w:pPr>
                  <w:r>
                    <w:rPr>
                      <w:spacing w:val="3"/>
                      <w:sz w:val="20"/>
                      <w:szCs w:val="20"/>
                    </w:rPr>
                    <w:t>符合</w:t>
                  </w:r>
                </w:p>
              </w:tc>
            </w:tr>
          </w:tbl>
          <w:p w14:paraId="578FE925">
            <w:pPr>
              <w:spacing w:line="46" w:lineRule="auto"/>
              <w:rPr>
                <w:rFonts w:ascii="Arial"/>
                <w:sz w:val="2"/>
              </w:rPr>
            </w:pPr>
          </w:p>
        </w:tc>
      </w:tr>
    </w:tbl>
    <w:p w14:paraId="0EE2D22B">
      <w:pPr>
        <w:rPr>
          <w:rFonts w:ascii="Arial"/>
          <w:sz w:val="21"/>
        </w:rPr>
      </w:pPr>
    </w:p>
    <w:p w14:paraId="58D41AB2">
      <w:pPr>
        <w:rPr>
          <w:rFonts w:ascii="Arial" w:hAnsi="Arial" w:eastAsia="Arial" w:cs="Arial"/>
          <w:sz w:val="21"/>
          <w:szCs w:val="21"/>
        </w:rPr>
        <w:sectPr>
          <w:footerReference r:id="rId18" w:type="default"/>
          <w:pgSz w:w="11906" w:h="16839"/>
          <w:pgMar w:top="1431" w:right="1407" w:bottom="1278" w:left="1407" w:header="0" w:footer="1116" w:gutter="0"/>
          <w:cols w:space="720" w:num="1"/>
        </w:sectPr>
      </w:pPr>
    </w:p>
    <w:p w14:paraId="274C5D20">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07D62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0" w:hRule="atLeast"/>
        </w:trPr>
        <w:tc>
          <w:tcPr>
            <w:tcW w:w="1014" w:type="dxa"/>
            <w:tcBorders>
              <w:right w:val="single" w:color="000000" w:sz="2" w:space="0"/>
            </w:tcBorders>
            <w:vAlign w:val="top"/>
          </w:tcPr>
          <w:p w14:paraId="7E4F8F38">
            <w:pPr>
              <w:rPr>
                <w:rFonts w:ascii="Arial"/>
                <w:sz w:val="21"/>
              </w:rPr>
            </w:pPr>
          </w:p>
        </w:tc>
        <w:tc>
          <w:tcPr>
            <w:tcW w:w="8062" w:type="dxa"/>
            <w:tcBorders>
              <w:left w:val="single" w:color="000000" w:sz="2" w:space="0"/>
            </w:tcBorders>
            <w:vAlign w:val="top"/>
          </w:tcPr>
          <w:p w14:paraId="27B83D76">
            <w:pPr>
              <w:spacing w:line="114" w:lineRule="auto"/>
              <w:rPr>
                <w:rFonts w:ascii="Arial"/>
                <w:sz w:val="2"/>
              </w:rPr>
            </w:pPr>
          </w:p>
          <w:tbl>
            <w:tblPr>
              <w:tblStyle w:val="5"/>
              <w:tblW w:w="783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686"/>
              <w:gridCol w:w="2638"/>
              <w:gridCol w:w="843"/>
            </w:tblGrid>
            <w:tr w14:paraId="2FBA1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4" w:hRule="atLeast"/>
              </w:trPr>
              <w:tc>
                <w:tcPr>
                  <w:tcW w:w="672" w:type="dxa"/>
                  <w:vAlign w:val="top"/>
                </w:tcPr>
                <w:p w14:paraId="32582321">
                  <w:pPr>
                    <w:rPr>
                      <w:rFonts w:ascii="Arial"/>
                      <w:sz w:val="21"/>
                    </w:rPr>
                  </w:pPr>
                </w:p>
              </w:tc>
              <w:tc>
                <w:tcPr>
                  <w:tcW w:w="3686" w:type="dxa"/>
                  <w:vAlign w:val="top"/>
                </w:tcPr>
                <w:p w14:paraId="7F412F6C">
                  <w:pPr>
                    <w:pStyle w:val="6"/>
                    <w:spacing w:before="35" w:line="228" w:lineRule="auto"/>
                    <w:ind w:left="112"/>
                    <w:rPr>
                      <w:sz w:val="20"/>
                      <w:szCs w:val="20"/>
                    </w:rPr>
                  </w:pPr>
                  <w:r>
                    <w:rPr>
                      <w:spacing w:val="4"/>
                      <w:sz w:val="20"/>
                      <w:szCs w:val="20"/>
                    </w:rPr>
                    <w:t>方米</w:t>
                  </w:r>
                  <w:r>
                    <w:rPr>
                      <w:rFonts w:ascii="Times New Roman" w:hAnsi="Times New Roman" w:eastAsia="Times New Roman" w:cs="Times New Roman"/>
                      <w:spacing w:val="4"/>
                      <w:sz w:val="20"/>
                      <w:szCs w:val="20"/>
                    </w:rPr>
                    <w:t>/</w:t>
                  </w:r>
                  <w:r>
                    <w:rPr>
                      <w:spacing w:val="4"/>
                      <w:sz w:val="20"/>
                      <w:szCs w:val="20"/>
                    </w:rPr>
                    <w:t>万元）。</w:t>
                  </w:r>
                </w:p>
                <w:p w14:paraId="4555D520">
                  <w:pPr>
                    <w:pStyle w:val="6"/>
                    <w:spacing w:before="25" w:line="244" w:lineRule="auto"/>
                    <w:ind w:left="111" w:right="106" w:firstLine="10"/>
                    <w:rPr>
                      <w:sz w:val="20"/>
                      <w:szCs w:val="20"/>
                    </w:rPr>
                  </w:pPr>
                  <w:r>
                    <w:rPr>
                      <w:spacing w:val="5"/>
                      <w:sz w:val="20"/>
                      <w:szCs w:val="20"/>
                    </w:rPr>
                    <w:t>（</w:t>
                  </w:r>
                  <w:r>
                    <w:rPr>
                      <w:rFonts w:ascii="Times New Roman" w:hAnsi="Times New Roman" w:eastAsia="Times New Roman" w:cs="Times New Roman"/>
                      <w:spacing w:val="5"/>
                      <w:sz w:val="20"/>
                      <w:szCs w:val="20"/>
                    </w:rPr>
                    <w:t>4</w:t>
                  </w:r>
                  <w:r>
                    <w:rPr>
                      <w:spacing w:val="5"/>
                      <w:sz w:val="20"/>
                      <w:szCs w:val="20"/>
                    </w:rPr>
                    <w:t>）</w:t>
                  </w:r>
                  <w:r>
                    <w:rPr>
                      <w:rFonts w:ascii="Times New Roman" w:hAnsi="Times New Roman" w:eastAsia="Times New Roman" w:cs="Times New Roman"/>
                      <w:spacing w:val="5"/>
                      <w:sz w:val="20"/>
                      <w:szCs w:val="20"/>
                    </w:rPr>
                    <w:t xml:space="preserve">2025 </w:t>
                  </w:r>
                  <w:r>
                    <w:rPr>
                      <w:spacing w:val="5"/>
                      <w:sz w:val="20"/>
                      <w:szCs w:val="20"/>
                    </w:rPr>
                    <w:t>年底前，全市单位地区生产</w:t>
                  </w:r>
                  <w:r>
                    <w:rPr>
                      <w:spacing w:val="1"/>
                      <w:sz w:val="20"/>
                      <w:szCs w:val="20"/>
                    </w:rPr>
                    <w:t xml:space="preserve"> </w:t>
                  </w:r>
                  <w:r>
                    <w:rPr>
                      <w:spacing w:val="4"/>
                      <w:sz w:val="20"/>
                      <w:szCs w:val="20"/>
                    </w:rPr>
                    <w:t>总值能源消耗较</w:t>
                  </w:r>
                  <w:r>
                    <w:rPr>
                      <w:spacing w:val="-38"/>
                      <w:sz w:val="20"/>
                      <w:szCs w:val="20"/>
                    </w:rPr>
                    <w:t xml:space="preserve"> </w:t>
                  </w:r>
                  <w:r>
                    <w:rPr>
                      <w:rFonts w:ascii="Times New Roman" w:hAnsi="Times New Roman" w:eastAsia="Times New Roman" w:cs="Times New Roman"/>
                      <w:spacing w:val="4"/>
                      <w:sz w:val="20"/>
                      <w:szCs w:val="20"/>
                    </w:rPr>
                    <w:t xml:space="preserve">2020 </w:t>
                  </w:r>
                  <w:r>
                    <w:rPr>
                      <w:spacing w:val="4"/>
                      <w:sz w:val="20"/>
                      <w:szCs w:val="20"/>
                    </w:rPr>
                    <w:t>年下降</w:t>
                  </w:r>
                  <w:r>
                    <w:rPr>
                      <w:spacing w:val="-23"/>
                      <w:sz w:val="20"/>
                      <w:szCs w:val="20"/>
                    </w:rPr>
                    <w:t xml:space="preserve"> </w:t>
                  </w:r>
                  <w:r>
                    <w:rPr>
                      <w:rFonts w:ascii="Times New Roman" w:hAnsi="Times New Roman" w:eastAsia="Times New Roman" w:cs="Times New Roman"/>
                      <w:spacing w:val="4"/>
                      <w:sz w:val="20"/>
                      <w:szCs w:val="20"/>
                    </w:rPr>
                    <w:t>14%</w:t>
                  </w:r>
                  <w:r>
                    <w:rPr>
                      <w:rFonts w:ascii="Times New Roman" w:hAnsi="Times New Roman" w:eastAsia="Times New Roman" w:cs="Times New Roman"/>
                      <w:spacing w:val="-24"/>
                      <w:sz w:val="20"/>
                      <w:szCs w:val="20"/>
                    </w:rPr>
                    <w:t xml:space="preserve"> </w:t>
                  </w:r>
                  <w:r>
                    <w:rPr>
                      <w:spacing w:val="4"/>
                      <w:sz w:val="20"/>
                      <w:szCs w:val="20"/>
                    </w:rPr>
                    <w:t>，能</w:t>
                  </w:r>
                  <w:r>
                    <w:rPr>
                      <w:sz w:val="20"/>
                      <w:szCs w:val="20"/>
                    </w:rPr>
                    <w:t xml:space="preserve"> </w:t>
                  </w:r>
                  <w:r>
                    <w:rPr>
                      <w:spacing w:val="8"/>
                      <w:sz w:val="20"/>
                      <w:szCs w:val="20"/>
                    </w:rPr>
                    <w:t>源消费总量得到合理控制。</w:t>
                  </w:r>
                </w:p>
                <w:p w14:paraId="3B28BAEA">
                  <w:pPr>
                    <w:pStyle w:val="6"/>
                    <w:spacing w:before="24" w:line="239" w:lineRule="auto"/>
                    <w:ind w:left="108" w:right="106" w:firstLine="13"/>
                    <w:rPr>
                      <w:sz w:val="20"/>
                      <w:szCs w:val="20"/>
                    </w:rPr>
                  </w:pPr>
                  <w:r>
                    <w:rPr>
                      <w:spacing w:val="10"/>
                      <w:sz w:val="20"/>
                      <w:szCs w:val="20"/>
                    </w:rPr>
                    <w:t>（</w:t>
                  </w:r>
                  <w:r>
                    <w:rPr>
                      <w:rFonts w:ascii="Times New Roman" w:hAnsi="Times New Roman" w:eastAsia="Times New Roman" w:cs="Times New Roman"/>
                      <w:spacing w:val="10"/>
                      <w:sz w:val="20"/>
                      <w:szCs w:val="20"/>
                    </w:rPr>
                    <w:t xml:space="preserve">5 </w:t>
                  </w:r>
                  <w:r>
                    <w:rPr>
                      <w:spacing w:val="10"/>
                      <w:sz w:val="20"/>
                      <w:szCs w:val="20"/>
                    </w:rPr>
                    <w:t>）</w:t>
                  </w:r>
                  <w:r>
                    <w:rPr>
                      <w:spacing w:val="-52"/>
                      <w:sz w:val="20"/>
                      <w:szCs w:val="20"/>
                    </w:rPr>
                    <w:t xml:space="preserve"> </w:t>
                  </w:r>
                  <w:r>
                    <w:rPr>
                      <w:spacing w:val="10"/>
                      <w:sz w:val="20"/>
                      <w:szCs w:val="20"/>
                    </w:rPr>
                    <w:t>单位</w:t>
                  </w:r>
                  <w:r>
                    <w:rPr>
                      <w:spacing w:val="-16"/>
                      <w:sz w:val="20"/>
                      <w:szCs w:val="20"/>
                    </w:rPr>
                    <w:t xml:space="preserve"> </w:t>
                  </w:r>
                  <w:r>
                    <w:rPr>
                      <w:rFonts w:ascii="Times New Roman" w:hAnsi="Times New Roman" w:eastAsia="Times New Roman" w:cs="Times New Roman"/>
                      <w:sz w:val="20"/>
                      <w:szCs w:val="20"/>
                    </w:rPr>
                    <w:t>GDP</w:t>
                  </w:r>
                  <w:r>
                    <w:rPr>
                      <w:rFonts w:ascii="Times New Roman" w:hAnsi="Times New Roman" w:eastAsia="Times New Roman" w:cs="Times New Roman"/>
                      <w:spacing w:val="45"/>
                      <w:sz w:val="20"/>
                      <w:szCs w:val="20"/>
                    </w:rPr>
                    <w:t xml:space="preserve"> </w:t>
                  </w:r>
                  <w:r>
                    <w:rPr>
                      <w:spacing w:val="10"/>
                      <w:sz w:val="20"/>
                      <w:szCs w:val="20"/>
                    </w:rPr>
                    <w:t>能源消耗</w:t>
                  </w:r>
                  <w:r>
                    <w:rPr>
                      <w:spacing w:val="-58"/>
                      <w:sz w:val="20"/>
                      <w:szCs w:val="20"/>
                    </w:rPr>
                    <w:t xml:space="preserve"> </w:t>
                  </w:r>
                  <w:r>
                    <w:rPr>
                      <w:spacing w:val="10"/>
                      <w:sz w:val="20"/>
                      <w:szCs w:val="20"/>
                    </w:rPr>
                    <w:t>累计</w:t>
                  </w:r>
                  <w:r>
                    <w:rPr>
                      <w:spacing w:val="-59"/>
                      <w:sz w:val="20"/>
                      <w:szCs w:val="20"/>
                    </w:rPr>
                    <w:t xml:space="preserve"> </w:t>
                  </w:r>
                  <w:r>
                    <w:rPr>
                      <w:spacing w:val="10"/>
                      <w:sz w:val="20"/>
                      <w:szCs w:val="20"/>
                    </w:rPr>
                    <w:t>下</w:t>
                  </w:r>
                  <w:r>
                    <w:rPr>
                      <w:spacing w:val="-49"/>
                      <w:sz w:val="20"/>
                      <w:szCs w:val="20"/>
                    </w:rPr>
                    <w:t xml:space="preserve"> </w:t>
                  </w:r>
                  <w:r>
                    <w:rPr>
                      <w:spacing w:val="10"/>
                      <w:sz w:val="20"/>
                      <w:szCs w:val="20"/>
                    </w:rPr>
                    <w:t>降</w:t>
                  </w:r>
                  <w:r>
                    <w:rPr>
                      <w:sz w:val="20"/>
                      <w:szCs w:val="20"/>
                    </w:rPr>
                    <w:t xml:space="preserve"> </w:t>
                  </w:r>
                  <w:r>
                    <w:rPr>
                      <w:rFonts w:ascii="Times New Roman" w:hAnsi="Times New Roman" w:eastAsia="Times New Roman" w:cs="Times New Roman"/>
                      <w:spacing w:val="5"/>
                      <w:sz w:val="20"/>
                      <w:szCs w:val="20"/>
                    </w:rPr>
                    <w:t>23.6%</w:t>
                  </w:r>
                  <w:r>
                    <w:rPr>
                      <w:rFonts w:ascii="Times New Roman" w:hAnsi="Times New Roman" w:eastAsia="Times New Roman" w:cs="Times New Roman"/>
                      <w:spacing w:val="-12"/>
                      <w:sz w:val="20"/>
                      <w:szCs w:val="20"/>
                    </w:rPr>
                    <w:t xml:space="preserve"> </w:t>
                  </w:r>
                  <w:r>
                    <w:rPr>
                      <w:spacing w:val="5"/>
                      <w:sz w:val="20"/>
                      <w:szCs w:val="20"/>
                    </w:rPr>
                    <w:t>，不低于省级下达目标。</w:t>
                  </w:r>
                </w:p>
                <w:p w14:paraId="010013D5">
                  <w:pPr>
                    <w:pStyle w:val="6"/>
                    <w:spacing w:before="29" w:line="247" w:lineRule="auto"/>
                    <w:ind w:left="111" w:right="35" w:firstLine="10"/>
                    <w:rPr>
                      <w:sz w:val="20"/>
                      <w:szCs w:val="20"/>
                    </w:rPr>
                  </w:pPr>
                  <w:r>
                    <w:rPr>
                      <w:spacing w:val="8"/>
                      <w:sz w:val="20"/>
                      <w:szCs w:val="20"/>
                    </w:rPr>
                    <w:t>（</w:t>
                  </w:r>
                  <w:r>
                    <w:rPr>
                      <w:rFonts w:ascii="Times New Roman" w:hAnsi="Times New Roman" w:eastAsia="Times New Roman" w:cs="Times New Roman"/>
                      <w:spacing w:val="8"/>
                      <w:sz w:val="20"/>
                      <w:szCs w:val="20"/>
                    </w:rPr>
                    <w:t>6</w:t>
                  </w:r>
                  <w:r>
                    <w:rPr>
                      <w:spacing w:val="8"/>
                      <w:sz w:val="20"/>
                      <w:szCs w:val="20"/>
                    </w:rPr>
                    <w:t>）对照国家有关高耗能行业重点领</w:t>
                  </w:r>
                  <w:r>
                    <w:rPr>
                      <w:spacing w:val="15"/>
                      <w:sz w:val="20"/>
                      <w:szCs w:val="20"/>
                    </w:rPr>
                    <w:t xml:space="preserve"> </w:t>
                  </w:r>
                  <w:r>
                    <w:rPr>
                      <w:spacing w:val="-4"/>
                      <w:sz w:val="20"/>
                      <w:szCs w:val="20"/>
                    </w:rPr>
                    <w:t>域能效标杆水平，实施钢铁、有色金属、</w:t>
                  </w:r>
                  <w:r>
                    <w:rPr>
                      <w:spacing w:val="5"/>
                      <w:sz w:val="20"/>
                      <w:szCs w:val="20"/>
                    </w:rPr>
                    <w:t xml:space="preserve"> </w:t>
                  </w:r>
                  <w:r>
                    <w:rPr>
                      <w:spacing w:val="7"/>
                      <w:sz w:val="20"/>
                      <w:szCs w:val="20"/>
                    </w:rPr>
                    <w:t>冶炼等</w:t>
                  </w:r>
                  <w:r>
                    <w:rPr>
                      <w:spacing w:val="-14"/>
                      <w:sz w:val="20"/>
                      <w:szCs w:val="20"/>
                    </w:rPr>
                    <w:t xml:space="preserve"> </w:t>
                  </w:r>
                  <w:r>
                    <w:rPr>
                      <w:rFonts w:ascii="Times New Roman" w:hAnsi="Times New Roman" w:eastAsia="Times New Roman" w:cs="Times New Roman"/>
                      <w:spacing w:val="7"/>
                      <w:sz w:val="20"/>
                      <w:szCs w:val="20"/>
                    </w:rPr>
                    <w:t xml:space="preserve">17 </w:t>
                  </w:r>
                  <w:r>
                    <w:rPr>
                      <w:spacing w:val="7"/>
                      <w:sz w:val="20"/>
                      <w:szCs w:val="20"/>
                    </w:rPr>
                    <w:t>个高耗能行业节能降碳改造</w:t>
                  </w:r>
                  <w:r>
                    <w:rPr>
                      <w:sz w:val="20"/>
                      <w:szCs w:val="20"/>
                    </w:rPr>
                    <w:t xml:space="preserve"> </w:t>
                  </w:r>
                  <w:r>
                    <w:rPr>
                      <w:spacing w:val="3"/>
                      <w:sz w:val="20"/>
                      <w:szCs w:val="20"/>
                    </w:rPr>
                    <w:t>升级，加快提升重点行业、企业能效水</w:t>
                  </w:r>
                  <w:r>
                    <w:rPr>
                      <w:spacing w:val="11"/>
                      <w:sz w:val="20"/>
                      <w:szCs w:val="20"/>
                    </w:rPr>
                    <w:t xml:space="preserve"> </w:t>
                  </w:r>
                  <w:r>
                    <w:rPr>
                      <w:sz w:val="20"/>
                      <w:szCs w:val="20"/>
                    </w:rPr>
                    <w:t>平。</w:t>
                  </w:r>
                </w:p>
                <w:p w14:paraId="1DE3E9B8">
                  <w:pPr>
                    <w:pStyle w:val="6"/>
                    <w:spacing w:before="19" w:line="246" w:lineRule="auto"/>
                    <w:ind w:left="113" w:right="106" w:firstLine="8"/>
                    <w:rPr>
                      <w:sz w:val="20"/>
                      <w:szCs w:val="20"/>
                    </w:rPr>
                  </w:pPr>
                  <w:r>
                    <w:rPr>
                      <w:spacing w:val="8"/>
                      <w:sz w:val="20"/>
                      <w:szCs w:val="20"/>
                    </w:rPr>
                    <w:t>（</w:t>
                  </w:r>
                  <w:r>
                    <w:rPr>
                      <w:rFonts w:ascii="Times New Roman" w:hAnsi="Times New Roman" w:eastAsia="Times New Roman" w:cs="Times New Roman"/>
                      <w:spacing w:val="8"/>
                      <w:sz w:val="20"/>
                      <w:szCs w:val="20"/>
                    </w:rPr>
                    <w:t>7</w:t>
                  </w:r>
                  <w:r>
                    <w:rPr>
                      <w:spacing w:val="8"/>
                      <w:sz w:val="20"/>
                      <w:szCs w:val="20"/>
                    </w:rPr>
                    <w:t>）加强节能监察和探索用能预算管</w:t>
                  </w:r>
                  <w:r>
                    <w:rPr>
                      <w:spacing w:val="15"/>
                      <w:sz w:val="20"/>
                      <w:szCs w:val="20"/>
                    </w:rPr>
                    <w:t xml:space="preserve"> </w:t>
                  </w:r>
                  <w:r>
                    <w:rPr>
                      <w:spacing w:val="3"/>
                      <w:sz w:val="20"/>
                      <w:szCs w:val="20"/>
                    </w:rPr>
                    <w:t>理，实施电机、变压器等重点用能设备</w:t>
                  </w:r>
                  <w:r>
                    <w:rPr>
                      <w:spacing w:val="8"/>
                      <w:sz w:val="20"/>
                      <w:szCs w:val="20"/>
                    </w:rPr>
                    <w:t xml:space="preserve"> </w:t>
                  </w:r>
                  <w:r>
                    <w:rPr>
                      <w:spacing w:val="16"/>
                      <w:sz w:val="20"/>
                      <w:szCs w:val="20"/>
                    </w:rPr>
                    <w:t>能效提升三年行动，推广先进节能技</w:t>
                  </w:r>
                  <w:r>
                    <w:rPr>
                      <w:spacing w:val="3"/>
                      <w:sz w:val="20"/>
                      <w:szCs w:val="20"/>
                    </w:rPr>
                    <w:t xml:space="preserve"> </w:t>
                  </w:r>
                  <w:r>
                    <w:rPr>
                      <w:spacing w:val="-1"/>
                      <w:sz w:val="20"/>
                      <w:szCs w:val="20"/>
                    </w:rPr>
                    <w:t>术。</w:t>
                  </w:r>
                </w:p>
                <w:p w14:paraId="349675C0">
                  <w:pPr>
                    <w:pStyle w:val="6"/>
                    <w:spacing w:before="24"/>
                    <w:ind w:left="111" w:right="106" w:firstLine="10"/>
                    <w:rPr>
                      <w:sz w:val="20"/>
                      <w:szCs w:val="20"/>
                    </w:rPr>
                  </w:pPr>
                  <w:r>
                    <w:rPr>
                      <w:spacing w:val="2"/>
                      <w:sz w:val="20"/>
                      <w:szCs w:val="20"/>
                    </w:rPr>
                    <w:t>（</w:t>
                  </w:r>
                  <w:r>
                    <w:rPr>
                      <w:rFonts w:ascii="Times New Roman" w:hAnsi="Times New Roman" w:eastAsia="Times New Roman" w:cs="Times New Roman"/>
                      <w:spacing w:val="2"/>
                      <w:sz w:val="20"/>
                      <w:szCs w:val="20"/>
                    </w:rPr>
                    <w:t>8</w:t>
                  </w:r>
                  <w:r>
                    <w:rPr>
                      <w:spacing w:val="2"/>
                      <w:sz w:val="20"/>
                      <w:szCs w:val="20"/>
                    </w:rPr>
                    <w:t>）到</w:t>
                  </w:r>
                  <w:r>
                    <w:rPr>
                      <w:spacing w:val="-39"/>
                      <w:sz w:val="20"/>
                      <w:szCs w:val="20"/>
                    </w:rPr>
                    <w:t xml:space="preserve"> </w:t>
                  </w:r>
                  <w:r>
                    <w:rPr>
                      <w:rFonts w:ascii="Times New Roman" w:hAnsi="Times New Roman" w:eastAsia="Times New Roman" w:cs="Times New Roman"/>
                      <w:spacing w:val="2"/>
                      <w:sz w:val="20"/>
                      <w:szCs w:val="20"/>
                    </w:rPr>
                    <w:t xml:space="preserve">2025 </w:t>
                  </w:r>
                  <w:r>
                    <w:rPr>
                      <w:spacing w:val="2"/>
                      <w:sz w:val="20"/>
                      <w:szCs w:val="20"/>
                    </w:rPr>
                    <w:t>年，钢铁行业全面完成超</w:t>
                  </w:r>
                  <w:r>
                    <w:rPr>
                      <w:sz w:val="20"/>
                      <w:szCs w:val="20"/>
                    </w:rPr>
                    <w:t xml:space="preserve"> </w:t>
                  </w:r>
                  <w:r>
                    <w:rPr>
                      <w:spacing w:val="6"/>
                      <w:sz w:val="20"/>
                      <w:szCs w:val="20"/>
                    </w:rPr>
                    <w:t>低排放改造。</w:t>
                  </w:r>
                </w:p>
                <w:p w14:paraId="2FD2DED6">
                  <w:pPr>
                    <w:pStyle w:val="6"/>
                    <w:spacing w:before="25" w:line="244" w:lineRule="auto"/>
                    <w:ind w:left="112" w:right="106" w:firstLine="9"/>
                    <w:rPr>
                      <w:sz w:val="20"/>
                      <w:szCs w:val="20"/>
                    </w:rPr>
                  </w:pPr>
                  <w:r>
                    <w:rPr>
                      <w:spacing w:val="8"/>
                      <w:sz w:val="20"/>
                      <w:szCs w:val="20"/>
                    </w:rPr>
                    <w:t>（</w:t>
                  </w:r>
                  <w:r>
                    <w:rPr>
                      <w:rFonts w:ascii="Times New Roman" w:hAnsi="Times New Roman" w:eastAsia="Times New Roman" w:cs="Times New Roman"/>
                      <w:spacing w:val="8"/>
                      <w:sz w:val="20"/>
                      <w:szCs w:val="20"/>
                    </w:rPr>
                    <w:t>9</w:t>
                  </w:r>
                  <w:r>
                    <w:rPr>
                      <w:spacing w:val="8"/>
                      <w:sz w:val="20"/>
                      <w:szCs w:val="20"/>
                    </w:rPr>
                    <w:t>）加快推进有色、化工、印染、烟</w:t>
                  </w:r>
                  <w:r>
                    <w:rPr>
                      <w:spacing w:val="15"/>
                      <w:sz w:val="20"/>
                      <w:szCs w:val="20"/>
                    </w:rPr>
                    <w:t xml:space="preserve"> </w:t>
                  </w:r>
                  <w:r>
                    <w:rPr>
                      <w:spacing w:val="16"/>
                      <w:sz w:val="20"/>
                      <w:szCs w:val="20"/>
                    </w:rPr>
                    <w:t>草等行业清洁生产和工业废水资源化</w:t>
                  </w:r>
                  <w:r>
                    <w:rPr>
                      <w:spacing w:val="4"/>
                      <w:sz w:val="20"/>
                      <w:szCs w:val="20"/>
                    </w:rPr>
                    <w:t xml:space="preserve"> </w:t>
                  </w:r>
                  <w:r>
                    <w:rPr>
                      <w:spacing w:val="2"/>
                      <w:sz w:val="20"/>
                      <w:szCs w:val="20"/>
                    </w:rPr>
                    <w:t>利用。</w:t>
                  </w:r>
                </w:p>
                <w:p w14:paraId="33F20BAA">
                  <w:pPr>
                    <w:pStyle w:val="6"/>
                    <w:spacing w:before="24" w:line="247" w:lineRule="auto"/>
                    <w:ind w:left="113" w:right="106" w:firstLine="8"/>
                    <w:rPr>
                      <w:sz w:val="20"/>
                      <w:szCs w:val="20"/>
                    </w:rPr>
                  </w:pPr>
                  <w:r>
                    <w:rPr>
                      <w:spacing w:val="7"/>
                      <w:sz w:val="20"/>
                      <w:szCs w:val="20"/>
                    </w:rPr>
                    <w:t>（</w:t>
                  </w:r>
                  <w:r>
                    <w:rPr>
                      <w:rFonts w:ascii="Times New Roman" w:hAnsi="Times New Roman" w:eastAsia="Times New Roman" w:cs="Times New Roman"/>
                      <w:spacing w:val="7"/>
                      <w:sz w:val="20"/>
                      <w:szCs w:val="20"/>
                    </w:rPr>
                    <w:t>10</w:t>
                  </w:r>
                  <w:r>
                    <w:rPr>
                      <w:spacing w:val="7"/>
                      <w:sz w:val="20"/>
                      <w:szCs w:val="20"/>
                    </w:rPr>
                    <w:t>）到</w:t>
                  </w:r>
                  <w:r>
                    <w:rPr>
                      <w:spacing w:val="-39"/>
                      <w:sz w:val="20"/>
                      <w:szCs w:val="20"/>
                    </w:rPr>
                    <w:t xml:space="preserve"> </w:t>
                  </w:r>
                  <w:r>
                    <w:rPr>
                      <w:rFonts w:ascii="Times New Roman" w:hAnsi="Times New Roman" w:eastAsia="Times New Roman" w:cs="Times New Roman"/>
                      <w:spacing w:val="7"/>
                      <w:sz w:val="20"/>
                      <w:szCs w:val="20"/>
                    </w:rPr>
                    <w:t xml:space="preserve">2025 </w:t>
                  </w:r>
                  <w:r>
                    <w:rPr>
                      <w:spacing w:val="7"/>
                      <w:sz w:val="20"/>
                      <w:szCs w:val="20"/>
                    </w:rPr>
                    <w:t>年，全市新建大型及以</w:t>
                  </w:r>
                  <w:r>
                    <w:rPr>
                      <w:sz w:val="20"/>
                      <w:szCs w:val="20"/>
                    </w:rPr>
                    <w:t xml:space="preserve"> </w:t>
                  </w:r>
                  <w:r>
                    <w:rPr>
                      <w:spacing w:val="15"/>
                      <w:sz w:val="20"/>
                      <w:szCs w:val="20"/>
                    </w:rPr>
                    <w:t>上数据中心绿色低碳等级达到</w:t>
                  </w:r>
                  <w:r>
                    <w:rPr>
                      <w:spacing w:val="-22"/>
                      <w:sz w:val="20"/>
                      <w:szCs w:val="20"/>
                    </w:rPr>
                    <w:t xml:space="preserve"> </w:t>
                  </w:r>
                  <w:r>
                    <w:rPr>
                      <w:rFonts w:ascii="Times New Roman" w:hAnsi="Times New Roman" w:eastAsia="Times New Roman" w:cs="Times New Roman"/>
                      <w:spacing w:val="15"/>
                      <w:sz w:val="20"/>
                      <w:szCs w:val="20"/>
                    </w:rPr>
                    <w:t>4A</w:t>
                  </w:r>
                  <w:r>
                    <w:rPr>
                      <w:rFonts w:ascii="Times New Roman" w:hAnsi="Times New Roman" w:eastAsia="Times New Roman" w:cs="Times New Roman"/>
                      <w:spacing w:val="47"/>
                      <w:sz w:val="20"/>
                      <w:szCs w:val="20"/>
                    </w:rPr>
                    <w:t xml:space="preserve"> </w:t>
                  </w:r>
                  <w:r>
                    <w:rPr>
                      <w:spacing w:val="15"/>
                      <w:sz w:val="20"/>
                      <w:szCs w:val="20"/>
                    </w:rPr>
                    <w:t>以</w:t>
                  </w:r>
                  <w:r>
                    <w:rPr>
                      <w:sz w:val="20"/>
                      <w:szCs w:val="20"/>
                    </w:rPr>
                    <w:t xml:space="preserve"> </w:t>
                  </w:r>
                  <w:r>
                    <w:rPr>
                      <w:spacing w:val="4"/>
                      <w:sz w:val="20"/>
                      <w:szCs w:val="20"/>
                    </w:rPr>
                    <w:t>上，电源使用效率（</w:t>
                  </w:r>
                  <w:r>
                    <w:rPr>
                      <w:rFonts w:ascii="Times New Roman" w:hAnsi="Times New Roman" w:eastAsia="Times New Roman" w:cs="Times New Roman"/>
                      <w:sz w:val="20"/>
                      <w:szCs w:val="20"/>
                    </w:rPr>
                    <w:t>PUE</w:t>
                  </w:r>
                  <w:r>
                    <w:rPr>
                      <w:spacing w:val="4"/>
                      <w:sz w:val="20"/>
                      <w:szCs w:val="20"/>
                    </w:rPr>
                    <w:t>）达到</w:t>
                  </w:r>
                  <w:r>
                    <w:rPr>
                      <w:spacing w:val="-16"/>
                      <w:sz w:val="20"/>
                      <w:szCs w:val="20"/>
                    </w:rPr>
                    <w:t xml:space="preserve"> </w:t>
                  </w:r>
                  <w:r>
                    <w:rPr>
                      <w:rFonts w:ascii="Times New Roman" w:hAnsi="Times New Roman" w:eastAsia="Times New Roman" w:cs="Times New Roman"/>
                      <w:spacing w:val="4"/>
                      <w:sz w:val="20"/>
                      <w:szCs w:val="20"/>
                    </w:rPr>
                    <w:t>1.3</w:t>
                  </w:r>
                  <w:r>
                    <w:rPr>
                      <w:rFonts w:ascii="Times New Roman" w:hAnsi="Times New Roman" w:eastAsia="Times New Roman" w:cs="Times New Roman"/>
                      <w:spacing w:val="33"/>
                      <w:w w:val="101"/>
                      <w:sz w:val="20"/>
                      <w:szCs w:val="20"/>
                    </w:rPr>
                    <w:t xml:space="preserve"> </w:t>
                  </w:r>
                  <w:r>
                    <w:rPr>
                      <w:spacing w:val="4"/>
                      <w:sz w:val="20"/>
                      <w:szCs w:val="20"/>
                    </w:rPr>
                    <w:t>以</w:t>
                  </w:r>
                  <w:r>
                    <w:rPr>
                      <w:sz w:val="20"/>
                      <w:szCs w:val="20"/>
                    </w:rPr>
                    <w:t xml:space="preserve"> </w:t>
                  </w:r>
                  <w:r>
                    <w:rPr>
                      <w:spacing w:val="3"/>
                      <w:sz w:val="20"/>
                      <w:szCs w:val="20"/>
                    </w:rPr>
                    <w:t>下，逐步组织电源使用效率超过</w:t>
                  </w:r>
                  <w:r>
                    <w:rPr>
                      <w:spacing w:val="-21"/>
                      <w:sz w:val="20"/>
                      <w:szCs w:val="20"/>
                    </w:rPr>
                    <w:t xml:space="preserve"> </w:t>
                  </w:r>
                  <w:r>
                    <w:rPr>
                      <w:rFonts w:ascii="Times New Roman" w:hAnsi="Times New Roman" w:eastAsia="Times New Roman" w:cs="Times New Roman"/>
                      <w:spacing w:val="3"/>
                      <w:sz w:val="20"/>
                      <w:szCs w:val="20"/>
                    </w:rPr>
                    <w:t>1.5</w:t>
                  </w:r>
                  <w:r>
                    <w:rPr>
                      <w:rFonts w:ascii="Times New Roman" w:hAnsi="Times New Roman" w:eastAsia="Times New Roman" w:cs="Times New Roman"/>
                      <w:spacing w:val="26"/>
                      <w:w w:val="101"/>
                      <w:sz w:val="20"/>
                      <w:szCs w:val="20"/>
                    </w:rPr>
                    <w:t xml:space="preserve"> </w:t>
                  </w:r>
                  <w:r>
                    <w:rPr>
                      <w:spacing w:val="3"/>
                      <w:sz w:val="20"/>
                      <w:szCs w:val="20"/>
                    </w:rPr>
                    <w:t>的</w:t>
                  </w:r>
                  <w:r>
                    <w:rPr>
                      <w:sz w:val="20"/>
                      <w:szCs w:val="20"/>
                    </w:rPr>
                    <w:t xml:space="preserve"> </w:t>
                  </w:r>
                  <w:r>
                    <w:rPr>
                      <w:spacing w:val="8"/>
                      <w:sz w:val="20"/>
                      <w:szCs w:val="20"/>
                    </w:rPr>
                    <w:t>数据中心进行节能降碳改造。</w:t>
                  </w:r>
                </w:p>
                <w:p w14:paraId="329B81EE">
                  <w:pPr>
                    <w:pStyle w:val="6"/>
                    <w:spacing w:before="23" w:line="244" w:lineRule="auto"/>
                    <w:ind w:left="114" w:right="106" w:firstLine="7"/>
                    <w:rPr>
                      <w:sz w:val="20"/>
                      <w:szCs w:val="20"/>
                    </w:rPr>
                  </w:pPr>
                  <w:r>
                    <w:rPr>
                      <w:spacing w:val="1"/>
                      <w:sz w:val="20"/>
                      <w:szCs w:val="20"/>
                    </w:rPr>
                    <w:t>（</w:t>
                  </w:r>
                  <w:r>
                    <w:rPr>
                      <w:rFonts w:ascii="Times New Roman" w:hAnsi="Times New Roman" w:eastAsia="Times New Roman" w:cs="Times New Roman"/>
                      <w:spacing w:val="1"/>
                      <w:sz w:val="20"/>
                      <w:szCs w:val="20"/>
                    </w:rPr>
                    <w:t>11</w:t>
                  </w:r>
                  <w:r>
                    <w:rPr>
                      <w:spacing w:val="1"/>
                      <w:sz w:val="20"/>
                      <w:szCs w:val="20"/>
                    </w:rPr>
                    <w:t>）“十四五</w:t>
                  </w:r>
                  <w:r>
                    <w:rPr>
                      <w:spacing w:val="-67"/>
                      <w:sz w:val="20"/>
                      <w:szCs w:val="20"/>
                    </w:rPr>
                    <w:t xml:space="preserve"> </w:t>
                  </w:r>
                  <w:r>
                    <w:rPr>
                      <w:spacing w:val="1"/>
                      <w:sz w:val="20"/>
                      <w:szCs w:val="20"/>
                    </w:rPr>
                    <w:t>”期间，全市规模以上</w:t>
                  </w:r>
                  <w:r>
                    <w:rPr>
                      <w:sz w:val="20"/>
                      <w:szCs w:val="20"/>
                    </w:rPr>
                    <w:t xml:space="preserve"> </w:t>
                  </w:r>
                  <w:r>
                    <w:rPr>
                      <w:spacing w:val="3"/>
                      <w:sz w:val="20"/>
                      <w:szCs w:val="20"/>
                    </w:rPr>
                    <w:t>工业单位增加值能耗下降</w:t>
                  </w:r>
                  <w:r>
                    <w:rPr>
                      <w:spacing w:val="-15"/>
                      <w:sz w:val="20"/>
                      <w:szCs w:val="20"/>
                    </w:rPr>
                    <w:t xml:space="preserve"> </w:t>
                  </w:r>
                  <w:r>
                    <w:rPr>
                      <w:rFonts w:ascii="Times New Roman" w:hAnsi="Times New Roman" w:eastAsia="Times New Roman" w:cs="Times New Roman"/>
                      <w:spacing w:val="3"/>
                      <w:sz w:val="20"/>
                      <w:szCs w:val="20"/>
                    </w:rPr>
                    <w:t>14.5%</w:t>
                  </w:r>
                  <w:r>
                    <w:rPr>
                      <w:spacing w:val="3"/>
                      <w:sz w:val="20"/>
                      <w:szCs w:val="20"/>
                    </w:rPr>
                    <w:t>，万元</w:t>
                  </w:r>
                  <w:r>
                    <w:rPr>
                      <w:sz w:val="20"/>
                      <w:szCs w:val="20"/>
                    </w:rPr>
                    <w:t xml:space="preserve"> </w:t>
                  </w:r>
                  <w:r>
                    <w:rPr>
                      <w:spacing w:val="5"/>
                      <w:sz w:val="20"/>
                      <w:szCs w:val="20"/>
                    </w:rPr>
                    <w:t>工业增加值用水量下降</w:t>
                  </w:r>
                  <w:r>
                    <w:rPr>
                      <w:spacing w:val="-11"/>
                      <w:sz w:val="20"/>
                      <w:szCs w:val="20"/>
                    </w:rPr>
                    <w:t xml:space="preserve"> </w:t>
                  </w:r>
                  <w:r>
                    <w:rPr>
                      <w:rFonts w:ascii="Times New Roman" w:hAnsi="Times New Roman" w:eastAsia="Times New Roman" w:cs="Times New Roman"/>
                      <w:spacing w:val="5"/>
                      <w:sz w:val="20"/>
                      <w:szCs w:val="20"/>
                    </w:rPr>
                    <w:t>12%</w:t>
                  </w:r>
                  <w:r>
                    <w:rPr>
                      <w:spacing w:val="5"/>
                      <w:sz w:val="20"/>
                      <w:szCs w:val="20"/>
                    </w:rPr>
                    <w:t>。</w:t>
                  </w:r>
                </w:p>
                <w:p w14:paraId="03C29B63">
                  <w:pPr>
                    <w:pStyle w:val="6"/>
                    <w:spacing w:before="25" w:line="247" w:lineRule="auto"/>
                    <w:ind w:left="112" w:right="106" w:firstLine="9"/>
                    <w:rPr>
                      <w:sz w:val="20"/>
                      <w:szCs w:val="20"/>
                    </w:rPr>
                  </w:pPr>
                  <w:r>
                    <w:rPr>
                      <w:spacing w:val="7"/>
                      <w:sz w:val="20"/>
                      <w:szCs w:val="20"/>
                    </w:rPr>
                    <w:t>（</w:t>
                  </w:r>
                  <w:r>
                    <w:rPr>
                      <w:rFonts w:ascii="Times New Roman" w:hAnsi="Times New Roman" w:eastAsia="Times New Roman" w:cs="Times New Roman"/>
                      <w:spacing w:val="7"/>
                      <w:sz w:val="20"/>
                      <w:szCs w:val="20"/>
                    </w:rPr>
                    <w:t>12</w:t>
                  </w:r>
                  <w:r>
                    <w:rPr>
                      <w:spacing w:val="7"/>
                      <w:sz w:val="20"/>
                      <w:szCs w:val="20"/>
                    </w:rPr>
                    <w:t>）到</w:t>
                  </w:r>
                  <w:r>
                    <w:rPr>
                      <w:spacing w:val="-39"/>
                      <w:sz w:val="20"/>
                      <w:szCs w:val="20"/>
                    </w:rPr>
                    <w:t xml:space="preserve"> </w:t>
                  </w:r>
                  <w:r>
                    <w:rPr>
                      <w:rFonts w:ascii="Times New Roman" w:hAnsi="Times New Roman" w:eastAsia="Times New Roman" w:cs="Times New Roman"/>
                      <w:spacing w:val="7"/>
                      <w:sz w:val="20"/>
                      <w:szCs w:val="20"/>
                    </w:rPr>
                    <w:t xml:space="preserve">2025 </w:t>
                  </w:r>
                  <w:r>
                    <w:rPr>
                      <w:spacing w:val="7"/>
                      <w:sz w:val="20"/>
                      <w:szCs w:val="20"/>
                    </w:rPr>
                    <w:t>年，通过实施节能降碳</w:t>
                  </w:r>
                  <w:r>
                    <w:rPr>
                      <w:sz w:val="20"/>
                      <w:szCs w:val="20"/>
                    </w:rPr>
                    <w:t xml:space="preserve"> </w:t>
                  </w:r>
                  <w:r>
                    <w:rPr>
                      <w:spacing w:val="3"/>
                      <w:sz w:val="20"/>
                      <w:szCs w:val="20"/>
                    </w:rPr>
                    <w:t>提升工程，钢铁、电解铝、水泥、平板</w:t>
                  </w:r>
                  <w:r>
                    <w:rPr>
                      <w:spacing w:val="9"/>
                      <w:sz w:val="20"/>
                      <w:szCs w:val="20"/>
                    </w:rPr>
                    <w:t xml:space="preserve"> </w:t>
                  </w:r>
                  <w:r>
                    <w:rPr>
                      <w:spacing w:val="3"/>
                      <w:sz w:val="20"/>
                      <w:szCs w:val="20"/>
                    </w:rPr>
                    <w:t>玻璃、炼油、乙烯、合成氨、电石等重</w:t>
                  </w:r>
                  <w:r>
                    <w:rPr>
                      <w:spacing w:val="9"/>
                      <w:sz w:val="20"/>
                      <w:szCs w:val="20"/>
                    </w:rPr>
                    <w:t xml:space="preserve"> </w:t>
                  </w:r>
                  <w:r>
                    <w:rPr>
                      <w:spacing w:val="16"/>
                      <w:sz w:val="20"/>
                      <w:szCs w:val="20"/>
                    </w:rPr>
                    <w:t>点行业产能和数据中心达到能效标杆</w:t>
                  </w:r>
                  <w:r>
                    <w:rPr>
                      <w:spacing w:val="4"/>
                      <w:sz w:val="20"/>
                      <w:szCs w:val="20"/>
                    </w:rPr>
                    <w:t xml:space="preserve"> </w:t>
                  </w:r>
                  <w:r>
                    <w:rPr>
                      <w:spacing w:val="6"/>
                      <w:sz w:val="20"/>
                      <w:szCs w:val="20"/>
                    </w:rPr>
                    <w:t>水平的比例超过</w:t>
                  </w:r>
                  <w:r>
                    <w:rPr>
                      <w:spacing w:val="-36"/>
                      <w:sz w:val="20"/>
                      <w:szCs w:val="20"/>
                    </w:rPr>
                    <w:t xml:space="preserve"> </w:t>
                  </w:r>
                  <w:r>
                    <w:rPr>
                      <w:rFonts w:ascii="Times New Roman" w:hAnsi="Times New Roman" w:eastAsia="Times New Roman" w:cs="Times New Roman"/>
                      <w:spacing w:val="6"/>
                      <w:sz w:val="20"/>
                      <w:szCs w:val="20"/>
                    </w:rPr>
                    <w:t>30%</w:t>
                  </w:r>
                  <w:r>
                    <w:rPr>
                      <w:spacing w:val="6"/>
                      <w:sz w:val="20"/>
                      <w:szCs w:val="20"/>
                    </w:rPr>
                    <w:t>。</w:t>
                  </w:r>
                </w:p>
                <w:p w14:paraId="64EEF2FE">
                  <w:pPr>
                    <w:pStyle w:val="6"/>
                    <w:spacing w:before="24" w:line="239" w:lineRule="auto"/>
                    <w:ind w:left="134" w:right="106" w:hanging="12"/>
                    <w:rPr>
                      <w:sz w:val="20"/>
                      <w:szCs w:val="20"/>
                    </w:rPr>
                  </w:pPr>
                  <w:r>
                    <w:rPr>
                      <w:spacing w:val="2"/>
                      <w:sz w:val="20"/>
                      <w:szCs w:val="20"/>
                    </w:rPr>
                    <w:t>（</w:t>
                  </w:r>
                  <w:r>
                    <w:rPr>
                      <w:rFonts w:ascii="Times New Roman" w:hAnsi="Times New Roman" w:eastAsia="Times New Roman" w:cs="Times New Roman"/>
                      <w:spacing w:val="2"/>
                      <w:sz w:val="20"/>
                      <w:szCs w:val="20"/>
                    </w:rPr>
                    <w:t>13</w:t>
                  </w:r>
                  <w:r>
                    <w:rPr>
                      <w:spacing w:val="2"/>
                      <w:sz w:val="20"/>
                      <w:szCs w:val="20"/>
                    </w:rPr>
                    <w:t>）公共机构单位建筑面积碳排放量</w:t>
                  </w:r>
                  <w:r>
                    <w:rPr>
                      <w:spacing w:val="15"/>
                      <w:sz w:val="20"/>
                      <w:szCs w:val="20"/>
                    </w:rPr>
                    <w:t xml:space="preserve"> </w:t>
                  </w:r>
                  <w:r>
                    <w:rPr>
                      <w:spacing w:val="2"/>
                      <w:sz w:val="20"/>
                      <w:szCs w:val="20"/>
                    </w:rPr>
                    <w:t>比</w:t>
                  </w:r>
                  <w:r>
                    <w:rPr>
                      <w:spacing w:val="-38"/>
                      <w:sz w:val="20"/>
                      <w:szCs w:val="20"/>
                    </w:rPr>
                    <w:t xml:space="preserve"> </w:t>
                  </w:r>
                  <w:r>
                    <w:rPr>
                      <w:rFonts w:ascii="Times New Roman" w:hAnsi="Times New Roman" w:eastAsia="Times New Roman" w:cs="Times New Roman"/>
                      <w:spacing w:val="2"/>
                      <w:sz w:val="20"/>
                      <w:szCs w:val="20"/>
                    </w:rPr>
                    <w:t xml:space="preserve">2020 </w:t>
                  </w:r>
                  <w:r>
                    <w:rPr>
                      <w:spacing w:val="2"/>
                      <w:sz w:val="20"/>
                      <w:szCs w:val="20"/>
                    </w:rPr>
                    <w:t>年下降</w:t>
                  </w:r>
                  <w:r>
                    <w:rPr>
                      <w:spacing w:val="-39"/>
                      <w:sz w:val="20"/>
                      <w:szCs w:val="20"/>
                    </w:rPr>
                    <w:t xml:space="preserve"> </w:t>
                  </w:r>
                  <w:r>
                    <w:rPr>
                      <w:rFonts w:ascii="Times New Roman" w:hAnsi="Times New Roman" w:eastAsia="Times New Roman" w:cs="Times New Roman"/>
                      <w:spacing w:val="2"/>
                      <w:sz w:val="20"/>
                      <w:szCs w:val="20"/>
                    </w:rPr>
                    <w:t>7%</w:t>
                  </w:r>
                  <w:r>
                    <w:rPr>
                      <w:spacing w:val="2"/>
                      <w:sz w:val="20"/>
                      <w:szCs w:val="20"/>
                    </w:rPr>
                    <w:t>。</w:t>
                  </w:r>
                </w:p>
                <w:p w14:paraId="0E2CFD90">
                  <w:pPr>
                    <w:pStyle w:val="6"/>
                    <w:spacing w:before="27" w:line="244" w:lineRule="auto"/>
                    <w:ind w:left="112" w:right="106" w:firstLine="9"/>
                    <w:rPr>
                      <w:sz w:val="20"/>
                      <w:szCs w:val="20"/>
                    </w:rPr>
                  </w:pPr>
                  <w:r>
                    <w:rPr>
                      <w:spacing w:val="2"/>
                      <w:sz w:val="20"/>
                      <w:szCs w:val="20"/>
                    </w:rPr>
                    <w:t>（</w:t>
                  </w:r>
                  <w:r>
                    <w:rPr>
                      <w:rFonts w:ascii="Times New Roman" w:hAnsi="Times New Roman" w:eastAsia="Times New Roman" w:cs="Times New Roman"/>
                      <w:spacing w:val="2"/>
                      <w:sz w:val="20"/>
                      <w:szCs w:val="20"/>
                    </w:rPr>
                    <w:t>14</w:t>
                  </w:r>
                  <w:r>
                    <w:rPr>
                      <w:spacing w:val="2"/>
                      <w:sz w:val="20"/>
                      <w:szCs w:val="20"/>
                    </w:rPr>
                    <w:t>）非化石能源消费占一次能源消费</w:t>
                  </w:r>
                  <w:r>
                    <w:rPr>
                      <w:spacing w:val="15"/>
                      <w:sz w:val="20"/>
                      <w:szCs w:val="20"/>
                    </w:rPr>
                    <w:t xml:space="preserve"> </w:t>
                  </w:r>
                  <w:r>
                    <w:rPr>
                      <w:spacing w:val="13"/>
                      <w:sz w:val="20"/>
                      <w:szCs w:val="20"/>
                    </w:rPr>
                    <w:t>比重达到</w:t>
                  </w:r>
                  <w:r>
                    <w:rPr>
                      <w:spacing w:val="-28"/>
                      <w:sz w:val="20"/>
                      <w:szCs w:val="20"/>
                    </w:rPr>
                    <w:t xml:space="preserve"> </w:t>
                  </w:r>
                  <w:r>
                    <w:rPr>
                      <w:rFonts w:ascii="Times New Roman" w:hAnsi="Times New Roman" w:eastAsia="Times New Roman" w:cs="Times New Roman"/>
                      <w:spacing w:val="13"/>
                      <w:sz w:val="20"/>
                      <w:szCs w:val="20"/>
                    </w:rPr>
                    <w:t>40%</w:t>
                  </w:r>
                  <w:r>
                    <w:rPr>
                      <w:spacing w:val="13"/>
                      <w:sz w:val="20"/>
                      <w:szCs w:val="20"/>
                    </w:rPr>
                    <w:t>以上，完成省级下达目</w:t>
                  </w:r>
                  <w:r>
                    <w:rPr>
                      <w:sz w:val="20"/>
                      <w:szCs w:val="20"/>
                    </w:rPr>
                    <w:t xml:space="preserve"> 标。</w:t>
                  </w:r>
                </w:p>
                <w:p w14:paraId="0963B236">
                  <w:pPr>
                    <w:pStyle w:val="6"/>
                    <w:spacing w:before="24"/>
                    <w:ind w:left="128" w:right="106" w:hanging="6"/>
                    <w:rPr>
                      <w:sz w:val="20"/>
                      <w:szCs w:val="20"/>
                    </w:rPr>
                  </w:pPr>
                  <w:r>
                    <w:rPr>
                      <w:spacing w:val="8"/>
                      <w:sz w:val="20"/>
                      <w:szCs w:val="20"/>
                    </w:rPr>
                    <w:t>（</w:t>
                  </w:r>
                  <w:r>
                    <w:rPr>
                      <w:rFonts w:ascii="Times New Roman" w:hAnsi="Times New Roman" w:eastAsia="Times New Roman" w:cs="Times New Roman"/>
                      <w:spacing w:val="8"/>
                      <w:sz w:val="20"/>
                      <w:szCs w:val="20"/>
                    </w:rPr>
                    <w:t>15</w:t>
                  </w:r>
                  <w:r>
                    <w:rPr>
                      <w:spacing w:val="8"/>
                      <w:sz w:val="20"/>
                      <w:szCs w:val="20"/>
                    </w:rPr>
                    <w:t>）单位</w:t>
                  </w:r>
                  <w:r>
                    <w:rPr>
                      <w:spacing w:val="-35"/>
                      <w:sz w:val="20"/>
                      <w:szCs w:val="20"/>
                    </w:rPr>
                    <w:t xml:space="preserve"> </w:t>
                  </w:r>
                  <w:r>
                    <w:rPr>
                      <w:rFonts w:ascii="Times New Roman" w:hAnsi="Times New Roman" w:eastAsia="Times New Roman" w:cs="Times New Roman"/>
                      <w:sz w:val="20"/>
                      <w:szCs w:val="20"/>
                    </w:rPr>
                    <w:t>GDP</w:t>
                  </w:r>
                  <w:r>
                    <w:rPr>
                      <w:rFonts w:ascii="Times New Roman" w:hAnsi="Times New Roman" w:eastAsia="Times New Roman" w:cs="Times New Roman"/>
                      <w:spacing w:val="16"/>
                      <w:sz w:val="20"/>
                      <w:szCs w:val="20"/>
                    </w:rPr>
                    <w:t xml:space="preserve"> </w:t>
                  </w:r>
                  <w:r>
                    <w:rPr>
                      <w:spacing w:val="8"/>
                      <w:sz w:val="20"/>
                      <w:szCs w:val="20"/>
                    </w:rPr>
                    <w:t>二氧化碳排放累计下</w:t>
                  </w:r>
                  <w:r>
                    <w:rPr>
                      <w:sz w:val="20"/>
                      <w:szCs w:val="20"/>
                    </w:rPr>
                    <w:t xml:space="preserve"> </w:t>
                  </w:r>
                  <w:r>
                    <w:rPr>
                      <w:spacing w:val="4"/>
                      <w:sz w:val="20"/>
                      <w:szCs w:val="20"/>
                    </w:rPr>
                    <w:t>降</w:t>
                  </w:r>
                  <w:r>
                    <w:rPr>
                      <w:spacing w:val="-33"/>
                      <w:sz w:val="20"/>
                      <w:szCs w:val="20"/>
                    </w:rPr>
                    <w:t xml:space="preserve"> </w:t>
                  </w:r>
                  <w:r>
                    <w:rPr>
                      <w:rFonts w:ascii="Times New Roman" w:hAnsi="Times New Roman" w:eastAsia="Times New Roman" w:cs="Times New Roman"/>
                      <w:spacing w:val="4"/>
                      <w:sz w:val="20"/>
                      <w:szCs w:val="20"/>
                    </w:rPr>
                    <w:t>23%</w:t>
                  </w:r>
                  <w:r>
                    <w:rPr>
                      <w:rFonts w:ascii="Times New Roman" w:hAnsi="Times New Roman" w:eastAsia="Times New Roman" w:cs="Times New Roman"/>
                      <w:spacing w:val="-24"/>
                      <w:sz w:val="20"/>
                      <w:szCs w:val="20"/>
                    </w:rPr>
                    <w:t xml:space="preserve"> </w:t>
                  </w:r>
                  <w:r>
                    <w:rPr>
                      <w:spacing w:val="4"/>
                      <w:sz w:val="20"/>
                      <w:szCs w:val="20"/>
                    </w:rPr>
                    <w:t>，不低于省级下达目标。</w:t>
                  </w:r>
                </w:p>
                <w:p w14:paraId="112187DD">
                  <w:pPr>
                    <w:pStyle w:val="6"/>
                    <w:spacing w:before="23" w:line="246" w:lineRule="auto"/>
                    <w:ind w:left="111" w:right="61" w:firstLine="10"/>
                    <w:rPr>
                      <w:sz w:val="20"/>
                      <w:szCs w:val="20"/>
                    </w:rPr>
                  </w:pPr>
                  <w:r>
                    <w:rPr>
                      <w:spacing w:val="2"/>
                      <w:sz w:val="20"/>
                      <w:szCs w:val="20"/>
                    </w:rPr>
                    <w:t>（</w:t>
                  </w:r>
                  <w:r>
                    <w:rPr>
                      <w:rFonts w:ascii="Times New Roman" w:hAnsi="Times New Roman" w:eastAsia="Times New Roman" w:cs="Times New Roman"/>
                      <w:spacing w:val="2"/>
                      <w:sz w:val="20"/>
                      <w:szCs w:val="20"/>
                    </w:rPr>
                    <w:t>16</w:t>
                  </w:r>
                  <w:r>
                    <w:rPr>
                      <w:spacing w:val="2"/>
                      <w:sz w:val="20"/>
                      <w:szCs w:val="20"/>
                    </w:rPr>
                    <w:t>）严把新上项目的碳排放关，严格</w:t>
                  </w:r>
                  <w:r>
                    <w:rPr>
                      <w:spacing w:val="15"/>
                      <w:sz w:val="20"/>
                      <w:szCs w:val="20"/>
                    </w:rPr>
                    <w:t xml:space="preserve"> </w:t>
                  </w:r>
                  <w:r>
                    <w:rPr>
                      <w:spacing w:val="3"/>
                      <w:sz w:val="20"/>
                      <w:szCs w:val="20"/>
                    </w:rPr>
                    <w:t>环境影响评价审批，加强固定资产投资</w:t>
                  </w:r>
                  <w:r>
                    <w:rPr>
                      <w:spacing w:val="10"/>
                      <w:sz w:val="20"/>
                      <w:szCs w:val="20"/>
                    </w:rPr>
                    <w:t xml:space="preserve"> </w:t>
                  </w:r>
                  <w:r>
                    <w:rPr>
                      <w:spacing w:val="19"/>
                      <w:sz w:val="20"/>
                      <w:szCs w:val="20"/>
                    </w:rPr>
                    <w:t>项目节能审查，推动新建</w:t>
                  </w:r>
                  <w:r>
                    <w:rPr>
                      <w:rFonts w:ascii="Times New Roman" w:hAnsi="Times New Roman" w:eastAsia="Times New Roman" w:cs="Times New Roman"/>
                      <w:spacing w:val="19"/>
                      <w:sz w:val="20"/>
                      <w:szCs w:val="20"/>
                    </w:rPr>
                    <w:t>“</w:t>
                  </w:r>
                  <w:r>
                    <w:rPr>
                      <w:spacing w:val="19"/>
                      <w:sz w:val="20"/>
                      <w:szCs w:val="20"/>
                    </w:rPr>
                    <w:t>两高一低</w:t>
                  </w:r>
                  <w:r>
                    <w:rPr>
                      <w:rFonts w:ascii="Times New Roman" w:hAnsi="Times New Roman" w:eastAsia="Times New Roman" w:cs="Times New Roman"/>
                      <w:spacing w:val="19"/>
                      <w:sz w:val="20"/>
                      <w:szCs w:val="20"/>
                    </w:rPr>
                    <w:t>”</w:t>
                  </w:r>
                  <w:r>
                    <w:rPr>
                      <w:rFonts w:ascii="Times New Roman" w:hAnsi="Times New Roman" w:eastAsia="Times New Roman" w:cs="Times New Roman"/>
                      <w:spacing w:val="6"/>
                      <w:sz w:val="20"/>
                      <w:szCs w:val="20"/>
                    </w:rPr>
                    <w:t xml:space="preserve"> </w:t>
                  </w:r>
                  <w:r>
                    <w:rPr>
                      <w:spacing w:val="8"/>
                      <w:sz w:val="20"/>
                      <w:szCs w:val="20"/>
                    </w:rPr>
                    <w:t>项目能效水平应提尽提。</w:t>
                  </w:r>
                </w:p>
                <w:p w14:paraId="426375FE">
                  <w:pPr>
                    <w:pStyle w:val="6"/>
                    <w:spacing w:before="25" w:line="247" w:lineRule="auto"/>
                    <w:ind w:left="111" w:right="43" w:firstLine="10"/>
                    <w:rPr>
                      <w:sz w:val="20"/>
                      <w:szCs w:val="20"/>
                    </w:rPr>
                  </w:pPr>
                  <w:r>
                    <w:rPr>
                      <w:spacing w:val="2"/>
                      <w:sz w:val="20"/>
                      <w:szCs w:val="20"/>
                    </w:rPr>
                    <w:t>（</w:t>
                  </w:r>
                  <w:r>
                    <w:rPr>
                      <w:rFonts w:ascii="Times New Roman" w:hAnsi="Times New Roman" w:eastAsia="Times New Roman" w:cs="Times New Roman"/>
                      <w:spacing w:val="2"/>
                      <w:sz w:val="20"/>
                      <w:szCs w:val="20"/>
                    </w:rPr>
                    <w:t>17</w:t>
                  </w:r>
                  <w:r>
                    <w:rPr>
                      <w:spacing w:val="2"/>
                      <w:sz w:val="20"/>
                      <w:szCs w:val="20"/>
                    </w:rPr>
                    <w:t>）以六大高耗能行业为重点，全面</w:t>
                  </w:r>
                  <w:r>
                    <w:rPr>
                      <w:spacing w:val="15"/>
                      <w:sz w:val="20"/>
                      <w:szCs w:val="20"/>
                    </w:rPr>
                    <w:t xml:space="preserve"> </w:t>
                  </w:r>
                  <w:r>
                    <w:rPr>
                      <w:spacing w:val="7"/>
                      <w:sz w:val="20"/>
                      <w:szCs w:val="20"/>
                    </w:rPr>
                    <w:t>梳理形成拟建、在建、存量</w:t>
                  </w:r>
                  <w:r>
                    <w:rPr>
                      <w:rFonts w:ascii="Times New Roman" w:hAnsi="Times New Roman" w:eastAsia="Times New Roman" w:cs="Times New Roman"/>
                      <w:spacing w:val="7"/>
                      <w:sz w:val="20"/>
                      <w:szCs w:val="20"/>
                    </w:rPr>
                    <w:t>“</w:t>
                  </w:r>
                  <w:r>
                    <w:rPr>
                      <w:spacing w:val="7"/>
                      <w:sz w:val="20"/>
                      <w:szCs w:val="20"/>
                    </w:rPr>
                    <w:t>两高一低</w:t>
                  </w:r>
                  <w:r>
                    <w:rPr>
                      <w:rFonts w:ascii="Times New Roman" w:hAnsi="Times New Roman" w:eastAsia="Times New Roman" w:cs="Times New Roman"/>
                      <w:spacing w:val="7"/>
                      <w:sz w:val="20"/>
                      <w:szCs w:val="20"/>
                    </w:rPr>
                    <w:t>”</w:t>
                  </w:r>
                  <w:r>
                    <w:rPr>
                      <w:rFonts w:ascii="Times New Roman" w:hAnsi="Times New Roman" w:eastAsia="Times New Roman" w:cs="Times New Roman"/>
                      <w:spacing w:val="1"/>
                      <w:sz w:val="20"/>
                      <w:szCs w:val="20"/>
                    </w:rPr>
                    <w:t xml:space="preserve"> </w:t>
                  </w:r>
                  <w:r>
                    <w:rPr>
                      <w:spacing w:val="7"/>
                      <w:sz w:val="20"/>
                      <w:szCs w:val="20"/>
                    </w:rPr>
                    <w:t>项目清单，实行清单管理、分类处置、</w:t>
                  </w:r>
                  <w:r>
                    <w:rPr>
                      <w:spacing w:val="6"/>
                      <w:sz w:val="20"/>
                      <w:szCs w:val="20"/>
                    </w:rPr>
                    <w:t xml:space="preserve"> </w:t>
                  </w:r>
                  <w:r>
                    <w:rPr>
                      <w:spacing w:val="4"/>
                      <w:sz w:val="20"/>
                      <w:szCs w:val="20"/>
                    </w:rPr>
                    <w:t>动态监控。加强</w:t>
                  </w:r>
                  <w:r>
                    <w:rPr>
                      <w:rFonts w:ascii="Times New Roman" w:hAnsi="Times New Roman" w:eastAsia="Times New Roman" w:cs="Times New Roman"/>
                      <w:spacing w:val="4"/>
                      <w:sz w:val="20"/>
                      <w:szCs w:val="20"/>
                    </w:rPr>
                    <w:t>“</w:t>
                  </w:r>
                  <w:r>
                    <w:rPr>
                      <w:spacing w:val="4"/>
                      <w:sz w:val="20"/>
                      <w:szCs w:val="20"/>
                    </w:rPr>
                    <w:t>两高一低</w:t>
                  </w:r>
                  <w:r>
                    <w:rPr>
                      <w:rFonts w:ascii="Times New Roman" w:hAnsi="Times New Roman" w:eastAsia="Times New Roman" w:cs="Times New Roman"/>
                      <w:spacing w:val="4"/>
                      <w:sz w:val="20"/>
                      <w:szCs w:val="20"/>
                    </w:rPr>
                    <w:t>”</w:t>
                  </w:r>
                  <w:r>
                    <w:rPr>
                      <w:spacing w:val="4"/>
                      <w:sz w:val="20"/>
                      <w:szCs w:val="20"/>
                    </w:rPr>
                    <w:t>项目全过程</w:t>
                  </w:r>
                  <w:r>
                    <w:rPr>
                      <w:spacing w:val="12"/>
                      <w:sz w:val="20"/>
                      <w:szCs w:val="20"/>
                    </w:rPr>
                    <w:t xml:space="preserve"> </w:t>
                  </w:r>
                  <w:r>
                    <w:rPr>
                      <w:spacing w:val="3"/>
                      <w:sz w:val="20"/>
                      <w:szCs w:val="20"/>
                    </w:rPr>
                    <w:t>监管，严肃查处不符合政策要求、违规</w:t>
                  </w:r>
                  <w:r>
                    <w:rPr>
                      <w:spacing w:val="11"/>
                      <w:sz w:val="20"/>
                      <w:szCs w:val="20"/>
                    </w:rPr>
                    <w:t xml:space="preserve"> </w:t>
                  </w:r>
                  <w:r>
                    <w:rPr>
                      <w:spacing w:val="3"/>
                      <w:sz w:val="20"/>
                      <w:szCs w:val="20"/>
                    </w:rPr>
                    <w:t>审批、未批先建、批建不符、超标用能</w:t>
                  </w:r>
                </w:p>
              </w:tc>
              <w:tc>
                <w:tcPr>
                  <w:tcW w:w="2638" w:type="dxa"/>
                  <w:vAlign w:val="top"/>
                </w:tcPr>
                <w:p w14:paraId="5CAF0A46">
                  <w:pPr>
                    <w:pStyle w:val="6"/>
                    <w:spacing w:before="35" w:line="228" w:lineRule="auto"/>
                    <w:ind w:left="124"/>
                    <w:rPr>
                      <w:sz w:val="20"/>
                      <w:szCs w:val="20"/>
                    </w:rPr>
                  </w:pPr>
                  <w:r>
                    <w:rPr>
                      <w:spacing w:val="5"/>
                      <w:sz w:val="20"/>
                      <w:szCs w:val="20"/>
                    </w:rPr>
                    <w:t>（</w:t>
                  </w:r>
                  <w:r>
                    <w:rPr>
                      <w:rFonts w:ascii="Times New Roman" w:hAnsi="Times New Roman" w:eastAsia="Times New Roman" w:cs="Times New Roman"/>
                      <w:spacing w:val="5"/>
                      <w:sz w:val="20"/>
                      <w:szCs w:val="20"/>
                    </w:rPr>
                    <w:t>9</w:t>
                  </w:r>
                  <w:r>
                    <w:rPr>
                      <w:spacing w:val="5"/>
                      <w:sz w:val="20"/>
                      <w:szCs w:val="20"/>
                    </w:rPr>
                    <w:t>）项目不涉及。</w:t>
                  </w:r>
                </w:p>
                <w:p w14:paraId="05383FC6">
                  <w:pPr>
                    <w:pStyle w:val="6"/>
                    <w:spacing w:before="25" w:line="239" w:lineRule="auto"/>
                    <w:ind w:left="153" w:right="43" w:hanging="29"/>
                    <w:rPr>
                      <w:sz w:val="20"/>
                      <w:szCs w:val="20"/>
                    </w:rPr>
                  </w:pPr>
                  <w:r>
                    <w:rPr>
                      <w:spacing w:val="13"/>
                      <w:sz w:val="20"/>
                      <w:szCs w:val="20"/>
                    </w:rPr>
                    <w:t>（</w:t>
                  </w:r>
                  <w:r>
                    <w:rPr>
                      <w:rFonts w:ascii="Times New Roman" w:hAnsi="Times New Roman" w:eastAsia="Times New Roman" w:cs="Times New Roman"/>
                      <w:spacing w:val="13"/>
                      <w:sz w:val="20"/>
                      <w:szCs w:val="20"/>
                    </w:rPr>
                    <w:t>10</w:t>
                  </w:r>
                  <w:r>
                    <w:rPr>
                      <w:spacing w:val="13"/>
                      <w:sz w:val="20"/>
                      <w:szCs w:val="20"/>
                    </w:rPr>
                    <w:t>）</w:t>
                  </w:r>
                  <w:r>
                    <w:rPr>
                      <w:spacing w:val="-54"/>
                      <w:sz w:val="20"/>
                      <w:szCs w:val="20"/>
                    </w:rPr>
                    <w:t xml:space="preserve"> </w:t>
                  </w:r>
                  <w:r>
                    <w:rPr>
                      <w:spacing w:val="13"/>
                      <w:sz w:val="20"/>
                      <w:szCs w:val="20"/>
                    </w:rPr>
                    <w:t>项目为光伏发电项</w:t>
                  </w:r>
                  <w:r>
                    <w:rPr>
                      <w:sz w:val="20"/>
                      <w:szCs w:val="20"/>
                    </w:rPr>
                    <w:t xml:space="preserve"> </w:t>
                  </w:r>
                  <w:r>
                    <w:rPr>
                      <w:spacing w:val="2"/>
                      <w:sz w:val="20"/>
                      <w:szCs w:val="20"/>
                    </w:rPr>
                    <w:t>目，本身消耗的能源较少。</w:t>
                  </w:r>
                </w:p>
                <w:p w14:paraId="1F014E86">
                  <w:pPr>
                    <w:pStyle w:val="6"/>
                    <w:spacing w:before="28" w:line="243" w:lineRule="auto"/>
                    <w:ind w:left="113" w:right="104" w:firstLine="10"/>
                    <w:rPr>
                      <w:sz w:val="20"/>
                      <w:szCs w:val="20"/>
                    </w:rPr>
                  </w:pPr>
                  <w:r>
                    <w:rPr>
                      <w:sz w:val="20"/>
                      <w:szCs w:val="20"/>
                    </w:rPr>
                    <w:t>（</w:t>
                  </w:r>
                  <w:r>
                    <w:rPr>
                      <w:rFonts w:ascii="Times New Roman" w:hAnsi="Times New Roman" w:eastAsia="Times New Roman" w:cs="Times New Roman"/>
                      <w:sz w:val="20"/>
                      <w:szCs w:val="20"/>
                    </w:rPr>
                    <w:t>11</w:t>
                  </w:r>
                  <w:r>
                    <w:rPr>
                      <w:sz w:val="20"/>
                      <w:szCs w:val="20"/>
                    </w:rPr>
                    <w:t>）项目运营期消耗的能</w:t>
                  </w:r>
                  <w:r>
                    <w:rPr>
                      <w:spacing w:val="2"/>
                      <w:sz w:val="20"/>
                      <w:szCs w:val="20"/>
                    </w:rPr>
                    <w:t xml:space="preserve"> </w:t>
                  </w:r>
                  <w:r>
                    <w:rPr>
                      <w:spacing w:val="19"/>
                      <w:sz w:val="20"/>
                      <w:szCs w:val="20"/>
                    </w:rPr>
                    <w:t>源较少，且不属于工业单</w:t>
                  </w:r>
                  <w:r>
                    <w:rPr>
                      <w:spacing w:val="4"/>
                      <w:sz w:val="20"/>
                      <w:szCs w:val="20"/>
                    </w:rPr>
                    <w:t xml:space="preserve"> </w:t>
                  </w:r>
                  <w:r>
                    <w:rPr>
                      <w:sz w:val="20"/>
                      <w:szCs w:val="20"/>
                    </w:rPr>
                    <w:t>位。</w:t>
                  </w:r>
                </w:p>
                <w:p w14:paraId="4E8D827F">
                  <w:pPr>
                    <w:pStyle w:val="6"/>
                    <w:spacing w:before="25" w:line="228" w:lineRule="auto"/>
                    <w:ind w:right="10"/>
                    <w:jc w:val="right"/>
                    <w:rPr>
                      <w:sz w:val="20"/>
                      <w:szCs w:val="20"/>
                    </w:rPr>
                  </w:pPr>
                  <w:r>
                    <w:rPr>
                      <w:spacing w:val="-1"/>
                      <w:sz w:val="20"/>
                      <w:szCs w:val="20"/>
                    </w:rPr>
                    <w:t>（</w:t>
                  </w:r>
                  <w:r>
                    <w:rPr>
                      <w:rFonts w:ascii="Times New Roman" w:hAnsi="Times New Roman" w:eastAsia="Times New Roman" w:cs="Times New Roman"/>
                      <w:spacing w:val="-1"/>
                      <w:sz w:val="20"/>
                      <w:szCs w:val="20"/>
                    </w:rPr>
                    <w:t>12</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r>
                    <w:rPr>
                      <w:rFonts w:ascii="Times New Roman" w:hAnsi="Times New Roman" w:eastAsia="Times New Roman" w:cs="Times New Roman"/>
                      <w:spacing w:val="-1"/>
                      <w:sz w:val="20"/>
                      <w:szCs w:val="20"/>
                    </w:rPr>
                    <w:t>14</w:t>
                  </w:r>
                  <w:r>
                    <w:rPr>
                      <w:spacing w:val="-1"/>
                      <w:sz w:val="20"/>
                      <w:szCs w:val="20"/>
                    </w:rPr>
                    <w:t>）项目不涉及。</w:t>
                  </w:r>
                </w:p>
                <w:p w14:paraId="706E8626">
                  <w:pPr>
                    <w:pStyle w:val="6"/>
                    <w:spacing w:before="26"/>
                    <w:ind w:left="115" w:right="104" w:firstLine="9"/>
                    <w:rPr>
                      <w:sz w:val="20"/>
                      <w:szCs w:val="20"/>
                    </w:rPr>
                  </w:pPr>
                  <w:r>
                    <w:rPr>
                      <w:sz w:val="20"/>
                      <w:szCs w:val="20"/>
                    </w:rPr>
                    <w:t>（</w:t>
                  </w:r>
                  <w:r>
                    <w:rPr>
                      <w:rFonts w:ascii="Times New Roman" w:hAnsi="Times New Roman" w:eastAsia="Times New Roman" w:cs="Times New Roman"/>
                      <w:sz w:val="20"/>
                      <w:szCs w:val="20"/>
                    </w:rPr>
                    <w:t>15</w:t>
                  </w:r>
                  <w:r>
                    <w:rPr>
                      <w:sz w:val="20"/>
                      <w:szCs w:val="20"/>
                    </w:rPr>
                    <w:t>）项目运营期不产生废</w:t>
                  </w:r>
                  <w:r>
                    <w:rPr>
                      <w:spacing w:val="2"/>
                      <w:sz w:val="20"/>
                      <w:szCs w:val="20"/>
                    </w:rPr>
                    <w:t xml:space="preserve"> </w:t>
                  </w:r>
                  <w:r>
                    <w:rPr>
                      <w:sz w:val="20"/>
                      <w:szCs w:val="20"/>
                    </w:rPr>
                    <w:t>气。</w:t>
                  </w:r>
                </w:p>
                <w:p w14:paraId="4837DF01">
                  <w:pPr>
                    <w:pStyle w:val="6"/>
                    <w:spacing w:before="26" w:line="239" w:lineRule="auto"/>
                    <w:ind w:left="113" w:right="104" w:firstLine="10"/>
                    <w:rPr>
                      <w:sz w:val="20"/>
                      <w:szCs w:val="20"/>
                    </w:rPr>
                  </w:pPr>
                  <w:r>
                    <w:rPr>
                      <w:sz w:val="20"/>
                      <w:szCs w:val="20"/>
                    </w:rPr>
                    <w:t>（</w:t>
                  </w:r>
                  <w:r>
                    <w:rPr>
                      <w:rFonts w:ascii="Times New Roman" w:hAnsi="Times New Roman" w:eastAsia="Times New Roman" w:cs="Times New Roman"/>
                      <w:sz w:val="20"/>
                      <w:szCs w:val="20"/>
                    </w:rPr>
                    <w:t>16</w:t>
                  </w:r>
                  <w:r>
                    <w:rPr>
                      <w:sz w:val="20"/>
                      <w:szCs w:val="20"/>
                    </w:rPr>
                    <w:t>）项目不属于“两高一</w:t>
                  </w:r>
                  <w:r>
                    <w:rPr>
                      <w:spacing w:val="2"/>
                      <w:sz w:val="20"/>
                      <w:szCs w:val="20"/>
                    </w:rPr>
                    <w:t xml:space="preserve"> </w:t>
                  </w:r>
                  <w:r>
                    <w:rPr>
                      <w:sz w:val="20"/>
                      <w:szCs w:val="20"/>
                    </w:rPr>
                    <w:t>低</w:t>
                  </w:r>
                  <w:r>
                    <w:rPr>
                      <w:spacing w:val="-71"/>
                      <w:sz w:val="20"/>
                      <w:szCs w:val="20"/>
                    </w:rPr>
                    <w:t xml:space="preserve"> </w:t>
                  </w:r>
                  <w:r>
                    <w:rPr>
                      <w:sz w:val="20"/>
                      <w:szCs w:val="20"/>
                    </w:rPr>
                    <w:t>”项目。</w:t>
                  </w:r>
                </w:p>
                <w:p w14:paraId="4A4B0A4E">
                  <w:pPr>
                    <w:pStyle w:val="6"/>
                    <w:spacing w:before="23" w:line="246" w:lineRule="auto"/>
                    <w:ind w:left="113" w:right="104" w:firstLine="10"/>
                    <w:rPr>
                      <w:sz w:val="20"/>
                      <w:szCs w:val="20"/>
                    </w:rPr>
                  </w:pPr>
                  <w:r>
                    <w:rPr>
                      <w:sz w:val="20"/>
                      <w:szCs w:val="20"/>
                    </w:rPr>
                    <w:t>（</w:t>
                  </w:r>
                  <w:r>
                    <w:rPr>
                      <w:rFonts w:ascii="Times New Roman" w:hAnsi="Times New Roman" w:eastAsia="Times New Roman" w:cs="Times New Roman"/>
                      <w:sz w:val="20"/>
                      <w:szCs w:val="20"/>
                    </w:rPr>
                    <w:t>17</w:t>
                  </w:r>
                  <w:r>
                    <w:rPr>
                      <w:sz w:val="20"/>
                      <w:szCs w:val="20"/>
                    </w:rPr>
                    <w:t>）项目不属于“两高一</w:t>
                  </w:r>
                  <w:r>
                    <w:rPr>
                      <w:spacing w:val="2"/>
                      <w:sz w:val="20"/>
                      <w:szCs w:val="20"/>
                    </w:rPr>
                    <w:t xml:space="preserve"> </w:t>
                  </w:r>
                  <w:r>
                    <w:rPr>
                      <w:spacing w:val="-2"/>
                      <w:sz w:val="20"/>
                      <w:szCs w:val="20"/>
                    </w:rPr>
                    <w:t>低</w:t>
                  </w:r>
                  <w:r>
                    <w:rPr>
                      <w:spacing w:val="-63"/>
                      <w:sz w:val="20"/>
                      <w:szCs w:val="20"/>
                    </w:rPr>
                    <w:t xml:space="preserve"> </w:t>
                  </w:r>
                  <w:r>
                    <w:rPr>
                      <w:spacing w:val="-2"/>
                      <w:sz w:val="20"/>
                      <w:szCs w:val="20"/>
                    </w:rPr>
                    <w:t>”项目，项目的建设符合</w:t>
                  </w:r>
                  <w:r>
                    <w:rPr>
                      <w:sz w:val="20"/>
                      <w:szCs w:val="20"/>
                    </w:rPr>
                    <w:t xml:space="preserve"> </w:t>
                  </w:r>
                  <w:r>
                    <w:rPr>
                      <w:spacing w:val="1"/>
                      <w:sz w:val="20"/>
                      <w:szCs w:val="20"/>
                    </w:rPr>
                    <w:t xml:space="preserve">相关政策要求，不属于未批 </w:t>
                  </w:r>
                  <w:r>
                    <w:rPr>
                      <w:spacing w:val="6"/>
                      <w:sz w:val="20"/>
                      <w:szCs w:val="20"/>
                    </w:rPr>
                    <w:t>先建项目。</w:t>
                  </w:r>
                </w:p>
                <w:p w14:paraId="2E548968">
                  <w:pPr>
                    <w:pStyle w:val="6"/>
                    <w:spacing w:before="25" w:line="228" w:lineRule="auto"/>
                    <w:ind w:right="10"/>
                    <w:jc w:val="right"/>
                    <w:rPr>
                      <w:sz w:val="20"/>
                      <w:szCs w:val="20"/>
                    </w:rPr>
                  </w:pPr>
                  <w:r>
                    <w:rPr>
                      <w:spacing w:val="-1"/>
                      <w:sz w:val="20"/>
                      <w:szCs w:val="20"/>
                    </w:rPr>
                    <w:t>（</w:t>
                  </w:r>
                  <w:r>
                    <w:rPr>
                      <w:rFonts w:ascii="Times New Roman" w:hAnsi="Times New Roman" w:eastAsia="Times New Roman" w:cs="Times New Roman"/>
                      <w:spacing w:val="-1"/>
                      <w:sz w:val="20"/>
                      <w:szCs w:val="20"/>
                    </w:rPr>
                    <w:t>18</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r>
                    <w:rPr>
                      <w:rFonts w:ascii="Times New Roman" w:hAnsi="Times New Roman" w:eastAsia="Times New Roman" w:cs="Times New Roman"/>
                      <w:spacing w:val="-1"/>
                      <w:sz w:val="20"/>
                      <w:szCs w:val="20"/>
                    </w:rPr>
                    <w:t>19</w:t>
                  </w:r>
                  <w:r>
                    <w:rPr>
                      <w:spacing w:val="-1"/>
                      <w:sz w:val="20"/>
                      <w:szCs w:val="20"/>
                    </w:rPr>
                    <w:t>）项目不涉及。</w:t>
                  </w:r>
                </w:p>
              </w:tc>
              <w:tc>
                <w:tcPr>
                  <w:tcW w:w="843" w:type="dxa"/>
                  <w:vAlign w:val="top"/>
                </w:tcPr>
                <w:p w14:paraId="5192944B">
                  <w:pPr>
                    <w:rPr>
                      <w:rFonts w:ascii="Arial"/>
                      <w:sz w:val="21"/>
                    </w:rPr>
                  </w:pPr>
                </w:p>
              </w:tc>
            </w:tr>
          </w:tbl>
          <w:p w14:paraId="18C16AE7">
            <w:pPr>
              <w:spacing w:line="46" w:lineRule="auto"/>
              <w:rPr>
                <w:rFonts w:ascii="Arial"/>
                <w:sz w:val="2"/>
              </w:rPr>
            </w:pPr>
          </w:p>
        </w:tc>
      </w:tr>
    </w:tbl>
    <w:p w14:paraId="354B8886">
      <w:pPr>
        <w:rPr>
          <w:rFonts w:ascii="Arial"/>
          <w:sz w:val="21"/>
        </w:rPr>
      </w:pPr>
    </w:p>
    <w:p w14:paraId="31067915">
      <w:pPr>
        <w:rPr>
          <w:rFonts w:ascii="Arial" w:hAnsi="Arial" w:eastAsia="Arial" w:cs="Arial"/>
          <w:sz w:val="21"/>
          <w:szCs w:val="21"/>
        </w:rPr>
        <w:sectPr>
          <w:footerReference r:id="rId19" w:type="default"/>
          <w:pgSz w:w="11906" w:h="16839"/>
          <w:pgMar w:top="1431" w:right="1407" w:bottom="1278" w:left="1407" w:header="0" w:footer="1116" w:gutter="0"/>
          <w:cols w:space="720" w:num="1"/>
        </w:sectPr>
      </w:pPr>
    </w:p>
    <w:p w14:paraId="42A1A20E">
      <w:pPr>
        <w:spacing w:line="99" w:lineRule="exact"/>
      </w:pPr>
    </w:p>
    <w:tbl>
      <w:tblPr>
        <w:tblStyle w:val="5"/>
        <w:tblW w:w="9076"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58802588">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55" w:hRule="atLeast"/>
        </w:trPr>
        <w:tc>
          <w:tcPr>
            <w:tcW w:w="9076" w:type="dxa"/>
            <w:vAlign w:val="top"/>
          </w:tcPr>
          <w:p w14:paraId="7E195215">
            <w:pPr>
              <w:spacing w:line="96" w:lineRule="auto"/>
              <w:rPr>
                <w:rFonts w:ascii="Arial"/>
                <w:sz w:val="2"/>
              </w:rPr>
            </w:pPr>
            <w:r>
              <w:pict>
                <v:shape id="_x0000_s1031" o:spid="_x0000_s1031" style="position:absolute;left:0pt;margin-left:55.95pt;margin-top:91.7pt;height:595.6pt;width:0.5pt;mso-position-horizontal-relative:page;mso-position-vertical-relative:page;z-index:251666432;mso-width-relative:page;mso-height-relative:page;" filled="f" stroked="t" coordsize="10,11911" path="m4,0l4,11911e">
                  <v:fill on="f" focussize="0,0"/>
                  <v:stroke weight="0.48pt" color="#000000" miterlimit="2" joinstyle="bevel"/>
                  <v:imagedata o:title=""/>
                  <o:lock v:ext="edit"/>
                </v:shape>
              </w:pict>
            </w:r>
          </w:p>
          <w:tbl>
            <w:tblPr>
              <w:tblStyle w:val="5"/>
              <w:tblW w:w="7954"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652"/>
              <w:gridCol w:w="2757"/>
              <w:gridCol w:w="277"/>
              <w:gridCol w:w="2638"/>
              <w:gridCol w:w="154"/>
              <w:gridCol w:w="691"/>
            </w:tblGrid>
            <w:tr w14:paraId="4B19A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7" w:hRule="atLeast"/>
              </w:trPr>
              <w:tc>
                <w:tcPr>
                  <w:tcW w:w="785" w:type="dxa"/>
                  <w:tcBorders>
                    <w:top w:val="nil"/>
                  </w:tcBorders>
                  <w:vAlign w:val="top"/>
                </w:tcPr>
                <w:p w14:paraId="47D2F703">
                  <w:pPr>
                    <w:rPr>
                      <w:rFonts w:ascii="Arial"/>
                      <w:sz w:val="21"/>
                    </w:rPr>
                  </w:pPr>
                  <w:r>
                    <w:pict>
                      <v:shape id="_x0000_s1032" o:spid="_x0000_s1032" style="position:absolute;left:0pt;margin-left:5.55pt;margin-top:0.3pt;height:76.3pt;width:0.5pt;mso-position-horizontal-relative:page;mso-position-vertical-relative:page;z-index:251667456;mso-width-relative:page;mso-height-relative:page;" filled="f" stroked="t" coordsize="10,1526" path="m4,0l4,1525e">
                        <v:fill on="f" focussize="0,0"/>
                        <v:stroke weight="0.48pt" color="#000000" miterlimit="2" joinstyle="bevel"/>
                        <v:imagedata o:title=""/>
                        <o:lock v:ext="edit"/>
                      </v:shape>
                    </w:pict>
                  </w:r>
                </w:p>
              </w:tc>
              <w:tc>
                <w:tcPr>
                  <w:tcW w:w="3686" w:type="dxa"/>
                  <w:gridSpan w:val="3"/>
                  <w:tcBorders>
                    <w:top w:val="nil"/>
                  </w:tcBorders>
                  <w:vAlign w:val="top"/>
                </w:tcPr>
                <w:p w14:paraId="0F131621">
                  <w:pPr>
                    <w:pStyle w:val="6"/>
                    <w:spacing w:before="46" w:line="228" w:lineRule="auto"/>
                    <w:ind w:left="111"/>
                    <w:rPr>
                      <w:sz w:val="20"/>
                      <w:szCs w:val="20"/>
                    </w:rPr>
                  </w:pPr>
                  <w:r>
                    <w:rPr>
                      <w:spacing w:val="7"/>
                      <w:sz w:val="20"/>
                      <w:szCs w:val="20"/>
                    </w:rPr>
                    <w:t>排污的</w:t>
                  </w:r>
                  <w:r>
                    <w:rPr>
                      <w:rFonts w:ascii="Times New Roman" w:hAnsi="Times New Roman" w:eastAsia="Times New Roman" w:cs="Times New Roman"/>
                      <w:spacing w:val="7"/>
                      <w:sz w:val="20"/>
                      <w:szCs w:val="20"/>
                    </w:rPr>
                    <w:t>“</w:t>
                  </w:r>
                  <w:r>
                    <w:rPr>
                      <w:spacing w:val="7"/>
                      <w:sz w:val="20"/>
                      <w:szCs w:val="20"/>
                    </w:rPr>
                    <w:t>两高一低</w:t>
                  </w:r>
                  <w:r>
                    <w:rPr>
                      <w:rFonts w:ascii="Times New Roman" w:hAnsi="Times New Roman" w:eastAsia="Times New Roman" w:cs="Times New Roman"/>
                      <w:spacing w:val="7"/>
                      <w:sz w:val="20"/>
                      <w:szCs w:val="20"/>
                    </w:rPr>
                    <w:t>”</w:t>
                  </w:r>
                  <w:r>
                    <w:rPr>
                      <w:spacing w:val="7"/>
                      <w:sz w:val="20"/>
                      <w:szCs w:val="20"/>
                    </w:rPr>
                    <w:t>项目。</w:t>
                  </w:r>
                </w:p>
                <w:p w14:paraId="7C80A402">
                  <w:pPr>
                    <w:pStyle w:val="6"/>
                    <w:spacing w:before="26" w:line="241" w:lineRule="auto"/>
                    <w:ind w:left="129" w:right="106" w:hanging="7"/>
                    <w:rPr>
                      <w:sz w:val="20"/>
                      <w:szCs w:val="20"/>
                    </w:rPr>
                  </w:pPr>
                  <w:r>
                    <w:rPr>
                      <w:spacing w:val="2"/>
                      <w:sz w:val="20"/>
                      <w:szCs w:val="20"/>
                    </w:rPr>
                    <w:t>（</w:t>
                  </w:r>
                  <w:r>
                    <w:rPr>
                      <w:rFonts w:ascii="Times New Roman" w:hAnsi="Times New Roman" w:eastAsia="Times New Roman" w:cs="Times New Roman"/>
                      <w:spacing w:val="2"/>
                      <w:sz w:val="20"/>
                      <w:szCs w:val="20"/>
                    </w:rPr>
                    <w:t>18</w:t>
                  </w:r>
                  <w:r>
                    <w:rPr>
                      <w:spacing w:val="2"/>
                      <w:sz w:val="20"/>
                      <w:szCs w:val="20"/>
                    </w:rPr>
                    <w:t>）加快淘汰落后和低端低效产能退</w:t>
                  </w:r>
                  <w:r>
                    <w:rPr>
                      <w:spacing w:val="15"/>
                      <w:sz w:val="20"/>
                      <w:szCs w:val="20"/>
                    </w:rPr>
                    <w:t xml:space="preserve"> </w:t>
                  </w:r>
                  <w:r>
                    <w:rPr>
                      <w:spacing w:val="-9"/>
                      <w:sz w:val="20"/>
                      <w:szCs w:val="20"/>
                    </w:rPr>
                    <w:t>出。</w:t>
                  </w:r>
                </w:p>
                <w:p w14:paraId="3F0C3046">
                  <w:pPr>
                    <w:pStyle w:val="6"/>
                    <w:spacing w:before="22" w:line="239" w:lineRule="auto"/>
                    <w:ind w:left="115" w:right="197" w:firstLine="6"/>
                    <w:rPr>
                      <w:sz w:val="20"/>
                      <w:szCs w:val="20"/>
                    </w:rPr>
                  </w:pPr>
                  <w:r>
                    <w:rPr>
                      <w:spacing w:val="10"/>
                      <w:sz w:val="20"/>
                      <w:szCs w:val="20"/>
                    </w:rPr>
                    <w:t>（</w:t>
                  </w:r>
                  <w:r>
                    <w:rPr>
                      <w:rFonts w:ascii="Times New Roman" w:hAnsi="Times New Roman" w:eastAsia="Times New Roman" w:cs="Times New Roman"/>
                      <w:spacing w:val="10"/>
                      <w:sz w:val="20"/>
                      <w:szCs w:val="20"/>
                    </w:rPr>
                    <w:t>19</w:t>
                  </w:r>
                  <w:r>
                    <w:rPr>
                      <w:spacing w:val="10"/>
                      <w:sz w:val="20"/>
                      <w:szCs w:val="20"/>
                    </w:rPr>
                    <w:t>）指导金融机构加强</w:t>
                  </w:r>
                  <w:r>
                    <w:rPr>
                      <w:rFonts w:ascii="Times New Roman" w:hAnsi="Times New Roman" w:eastAsia="Times New Roman" w:cs="Times New Roman"/>
                      <w:spacing w:val="10"/>
                      <w:sz w:val="20"/>
                      <w:szCs w:val="20"/>
                    </w:rPr>
                    <w:t>“</w:t>
                  </w:r>
                  <w:r>
                    <w:rPr>
                      <w:spacing w:val="10"/>
                      <w:sz w:val="20"/>
                      <w:szCs w:val="20"/>
                    </w:rPr>
                    <w:t>两高一低</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2"/>
                      <w:sz w:val="20"/>
                      <w:szCs w:val="20"/>
                    </w:rPr>
                    <w:t xml:space="preserve"> </w:t>
                  </w:r>
                  <w:r>
                    <w:rPr>
                      <w:spacing w:val="6"/>
                      <w:sz w:val="20"/>
                      <w:szCs w:val="20"/>
                    </w:rPr>
                    <w:t>项目贷前审核。</w:t>
                  </w:r>
                </w:p>
              </w:tc>
              <w:tc>
                <w:tcPr>
                  <w:tcW w:w="2638" w:type="dxa"/>
                  <w:tcBorders>
                    <w:top w:val="nil"/>
                  </w:tcBorders>
                  <w:vAlign w:val="top"/>
                </w:tcPr>
                <w:p w14:paraId="7AFC45C4">
                  <w:pPr>
                    <w:rPr>
                      <w:rFonts w:ascii="Arial"/>
                      <w:sz w:val="21"/>
                    </w:rPr>
                  </w:pPr>
                </w:p>
              </w:tc>
              <w:tc>
                <w:tcPr>
                  <w:tcW w:w="845" w:type="dxa"/>
                  <w:gridSpan w:val="2"/>
                  <w:tcBorders>
                    <w:top w:val="nil"/>
                  </w:tcBorders>
                  <w:vAlign w:val="top"/>
                </w:tcPr>
                <w:p w14:paraId="05A2ABD1">
                  <w:pPr>
                    <w:rPr>
                      <w:rFonts w:ascii="Arial"/>
                      <w:sz w:val="21"/>
                    </w:rPr>
                  </w:pPr>
                </w:p>
              </w:tc>
            </w:tr>
            <w:tr w14:paraId="24C97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954" w:type="dxa"/>
                  <w:gridSpan w:val="7"/>
                  <w:tcBorders>
                    <w:right w:val="nil"/>
                  </w:tcBorders>
                  <w:vAlign w:val="top"/>
                </w:tcPr>
                <w:p w14:paraId="6BB8BB3B">
                  <w:pPr>
                    <w:pStyle w:val="6"/>
                    <w:spacing w:before="31" w:line="217" w:lineRule="auto"/>
                    <w:ind w:left="2504"/>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1-5    </w:t>
                  </w:r>
                  <w:r>
                    <w:rPr>
                      <w:b/>
                      <w:bCs/>
                      <w:spacing w:val="5"/>
                      <w:sz w:val="20"/>
                      <w:szCs w:val="20"/>
                    </w:rPr>
                    <w:t>寻甸县生态环境准入清单</w:t>
                  </w:r>
                </w:p>
              </w:tc>
            </w:tr>
            <w:tr w14:paraId="4F27E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437" w:type="dxa"/>
                  <w:gridSpan w:val="2"/>
                  <w:vAlign w:val="top"/>
                </w:tcPr>
                <w:p w14:paraId="33E81765">
                  <w:pPr>
                    <w:pStyle w:val="6"/>
                    <w:spacing w:before="80" w:line="230" w:lineRule="auto"/>
                    <w:ind w:left="573"/>
                    <w:rPr>
                      <w:sz w:val="20"/>
                      <w:szCs w:val="20"/>
                    </w:rPr>
                  </w:pPr>
                  <w:r>
                    <w:rPr>
                      <w:b/>
                      <w:bCs/>
                      <w:spacing w:val="2"/>
                      <w:sz w:val="20"/>
                      <w:szCs w:val="20"/>
                    </w:rPr>
                    <w:t>名称</w:t>
                  </w:r>
                </w:p>
              </w:tc>
              <w:tc>
                <w:tcPr>
                  <w:tcW w:w="2757" w:type="dxa"/>
                  <w:vAlign w:val="top"/>
                </w:tcPr>
                <w:p w14:paraId="2787A50F">
                  <w:pPr>
                    <w:pStyle w:val="6"/>
                    <w:spacing w:before="80" w:line="228" w:lineRule="auto"/>
                    <w:ind w:left="967"/>
                    <w:rPr>
                      <w:sz w:val="20"/>
                      <w:szCs w:val="20"/>
                    </w:rPr>
                  </w:pPr>
                  <w:r>
                    <w:rPr>
                      <w:b/>
                      <w:bCs/>
                      <w:spacing w:val="5"/>
                      <w:sz w:val="20"/>
                      <w:szCs w:val="20"/>
                    </w:rPr>
                    <w:t>管控要求</w:t>
                  </w:r>
                </w:p>
              </w:tc>
              <w:tc>
                <w:tcPr>
                  <w:tcW w:w="3069" w:type="dxa"/>
                  <w:gridSpan w:val="3"/>
                  <w:vAlign w:val="top"/>
                </w:tcPr>
                <w:p w14:paraId="4B06D6C7">
                  <w:pPr>
                    <w:pStyle w:val="6"/>
                    <w:spacing w:before="80" w:line="227" w:lineRule="auto"/>
                    <w:ind w:left="1225"/>
                    <w:rPr>
                      <w:sz w:val="20"/>
                      <w:szCs w:val="20"/>
                    </w:rPr>
                  </w:pPr>
                  <w:r>
                    <w:rPr>
                      <w:b/>
                      <w:bCs/>
                      <w:spacing w:val="5"/>
                      <w:sz w:val="20"/>
                      <w:szCs w:val="20"/>
                    </w:rPr>
                    <w:t>本项目</w:t>
                  </w:r>
                </w:p>
              </w:tc>
              <w:tc>
                <w:tcPr>
                  <w:tcW w:w="691" w:type="dxa"/>
                  <w:vAlign w:val="top"/>
                </w:tcPr>
                <w:p w14:paraId="5E3FFF9E">
                  <w:pPr>
                    <w:pStyle w:val="6"/>
                    <w:spacing w:before="80" w:line="228" w:lineRule="auto"/>
                    <w:ind w:left="36"/>
                    <w:rPr>
                      <w:sz w:val="20"/>
                      <w:szCs w:val="20"/>
                    </w:rPr>
                  </w:pPr>
                  <w:r>
                    <w:rPr>
                      <w:b/>
                      <w:bCs/>
                      <w:spacing w:val="5"/>
                      <w:sz w:val="20"/>
                      <w:szCs w:val="20"/>
                    </w:rPr>
                    <w:t>符合性</w:t>
                  </w:r>
                </w:p>
              </w:tc>
            </w:tr>
            <w:tr w14:paraId="345F6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8" w:hRule="atLeast"/>
              </w:trPr>
              <w:tc>
                <w:tcPr>
                  <w:tcW w:w="785" w:type="dxa"/>
                  <w:vMerge w:val="restart"/>
                  <w:tcBorders>
                    <w:bottom w:val="nil"/>
                  </w:tcBorders>
                  <w:vAlign w:val="top"/>
                </w:tcPr>
                <w:p w14:paraId="0E1038F6">
                  <w:pPr>
                    <w:spacing w:line="247" w:lineRule="auto"/>
                    <w:rPr>
                      <w:rFonts w:ascii="Arial"/>
                      <w:sz w:val="21"/>
                    </w:rPr>
                  </w:pPr>
                </w:p>
                <w:p w14:paraId="783D82F8">
                  <w:pPr>
                    <w:spacing w:line="247" w:lineRule="auto"/>
                    <w:rPr>
                      <w:rFonts w:ascii="Arial"/>
                      <w:sz w:val="21"/>
                    </w:rPr>
                  </w:pPr>
                </w:p>
                <w:p w14:paraId="55512E4E">
                  <w:pPr>
                    <w:spacing w:line="247" w:lineRule="auto"/>
                    <w:rPr>
                      <w:rFonts w:ascii="Arial"/>
                      <w:sz w:val="21"/>
                    </w:rPr>
                  </w:pPr>
                </w:p>
                <w:p w14:paraId="08E37855">
                  <w:pPr>
                    <w:spacing w:line="247" w:lineRule="auto"/>
                    <w:rPr>
                      <w:rFonts w:ascii="Arial"/>
                      <w:sz w:val="21"/>
                    </w:rPr>
                  </w:pPr>
                </w:p>
                <w:p w14:paraId="416350CA">
                  <w:pPr>
                    <w:spacing w:line="247" w:lineRule="auto"/>
                    <w:rPr>
                      <w:rFonts w:ascii="Arial"/>
                      <w:sz w:val="21"/>
                    </w:rPr>
                  </w:pPr>
                </w:p>
                <w:p w14:paraId="7C7A4E86">
                  <w:pPr>
                    <w:spacing w:line="247" w:lineRule="auto"/>
                    <w:rPr>
                      <w:rFonts w:ascii="Arial"/>
                      <w:sz w:val="21"/>
                    </w:rPr>
                  </w:pPr>
                </w:p>
                <w:p w14:paraId="4776BC26">
                  <w:pPr>
                    <w:spacing w:line="247" w:lineRule="auto"/>
                    <w:rPr>
                      <w:rFonts w:ascii="Arial"/>
                      <w:sz w:val="21"/>
                    </w:rPr>
                  </w:pPr>
                </w:p>
                <w:p w14:paraId="03EE652D">
                  <w:pPr>
                    <w:spacing w:line="247" w:lineRule="auto"/>
                    <w:rPr>
                      <w:rFonts w:ascii="Arial"/>
                      <w:sz w:val="21"/>
                    </w:rPr>
                  </w:pPr>
                </w:p>
                <w:p w14:paraId="0C18A94B">
                  <w:pPr>
                    <w:spacing w:line="247" w:lineRule="auto"/>
                    <w:rPr>
                      <w:rFonts w:ascii="Arial"/>
                      <w:sz w:val="21"/>
                    </w:rPr>
                  </w:pPr>
                </w:p>
                <w:p w14:paraId="5CC626AF">
                  <w:pPr>
                    <w:spacing w:line="247" w:lineRule="auto"/>
                    <w:rPr>
                      <w:rFonts w:ascii="Arial"/>
                      <w:sz w:val="21"/>
                    </w:rPr>
                  </w:pPr>
                </w:p>
                <w:p w14:paraId="6A65AF44">
                  <w:pPr>
                    <w:spacing w:line="247" w:lineRule="auto"/>
                    <w:rPr>
                      <w:rFonts w:ascii="Arial"/>
                      <w:sz w:val="21"/>
                    </w:rPr>
                  </w:pPr>
                </w:p>
                <w:p w14:paraId="5AC256A7">
                  <w:pPr>
                    <w:spacing w:line="247" w:lineRule="auto"/>
                    <w:rPr>
                      <w:rFonts w:ascii="Arial"/>
                      <w:sz w:val="21"/>
                    </w:rPr>
                  </w:pPr>
                </w:p>
                <w:p w14:paraId="47B83DB6">
                  <w:pPr>
                    <w:spacing w:line="247" w:lineRule="auto"/>
                    <w:rPr>
                      <w:rFonts w:ascii="Arial"/>
                      <w:sz w:val="21"/>
                    </w:rPr>
                  </w:pPr>
                </w:p>
                <w:p w14:paraId="2E8CBFA8">
                  <w:pPr>
                    <w:spacing w:line="247" w:lineRule="auto"/>
                    <w:rPr>
                      <w:rFonts w:ascii="Arial"/>
                      <w:sz w:val="21"/>
                    </w:rPr>
                  </w:pPr>
                </w:p>
                <w:p w14:paraId="42820FAC">
                  <w:pPr>
                    <w:spacing w:line="247" w:lineRule="auto"/>
                    <w:rPr>
                      <w:rFonts w:ascii="Arial"/>
                      <w:sz w:val="21"/>
                    </w:rPr>
                  </w:pPr>
                </w:p>
                <w:p w14:paraId="088A1223">
                  <w:pPr>
                    <w:spacing w:line="247" w:lineRule="auto"/>
                    <w:rPr>
                      <w:rFonts w:ascii="Arial"/>
                      <w:sz w:val="21"/>
                    </w:rPr>
                  </w:pPr>
                </w:p>
                <w:p w14:paraId="53E08AA8">
                  <w:pPr>
                    <w:spacing w:line="247" w:lineRule="auto"/>
                    <w:rPr>
                      <w:rFonts w:ascii="Arial"/>
                      <w:sz w:val="21"/>
                    </w:rPr>
                  </w:pPr>
                </w:p>
                <w:p w14:paraId="77DBAD10">
                  <w:pPr>
                    <w:pStyle w:val="6"/>
                    <w:spacing w:before="65" w:line="247" w:lineRule="auto"/>
                    <w:ind w:left="140" w:right="18" w:firstLine="5"/>
                    <w:jc w:val="both"/>
                    <w:rPr>
                      <w:sz w:val="20"/>
                      <w:szCs w:val="20"/>
                    </w:rPr>
                  </w:pPr>
                  <w:r>
                    <w:rPr>
                      <w:spacing w:val="5"/>
                      <w:sz w:val="20"/>
                      <w:szCs w:val="20"/>
                    </w:rPr>
                    <w:t>寻甸县</w:t>
                  </w:r>
                  <w:r>
                    <w:rPr>
                      <w:sz w:val="20"/>
                      <w:szCs w:val="20"/>
                    </w:rPr>
                    <w:t xml:space="preserve"> </w:t>
                  </w:r>
                  <w:r>
                    <w:rPr>
                      <w:spacing w:val="7"/>
                      <w:sz w:val="20"/>
                      <w:szCs w:val="20"/>
                    </w:rPr>
                    <w:t>一般生</w:t>
                  </w:r>
                  <w:r>
                    <w:rPr>
                      <w:sz w:val="20"/>
                      <w:szCs w:val="20"/>
                    </w:rPr>
                    <w:t xml:space="preserve"> </w:t>
                  </w:r>
                  <w:r>
                    <w:rPr>
                      <w:spacing w:val="7"/>
                      <w:sz w:val="20"/>
                      <w:szCs w:val="20"/>
                    </w:rPr>
                    <w:t>态空间</w:t>
                  </w:r>
                  <w:r>
                    <w:rPr>
                      <w:sz w:val="20"/>
                      <w:szCs w:val="20"/>
                    </w:rPr>
                    <w:t xml:space="preserve"> </w:t>
                  </w:r>
                  <w:r>
                    <w:rPr>
                      <w:spacing w:val="7"/>
                      <w:sz w:val="20"/>
                      <w:szCs w:val="20"/>
                    </w:rPr>
                    <w:t>优先保</w:t>
                  </w:r>
                  <w:r>
                    <w:rPr>
                      <w:sz w:val="20"/>
                      <w:szCs w:val="20"/>
                    </w:rPr>
                    <w:t xml:space="preserve"> </w:t>
                  </w:r>
                  <w:r>
                    <w:rPr>
                      <w:spacing w:val="7"/>
                      <w:sz w:val="20"/>
                      <w:szCs w:val="20"/>
                    </w:rPr>
                    <w:t>护单元</w:t>
                  </w:r>
                </w:p>
              </w:tc>
              <w:tc>
                <w:tcPr>
                  <w:tcW w:w="652" w:type="dxa"/>
                  <w:vAlign w:val="top"/>
                </w:tcPr>
                <w:p w14:paraId="1AD6E004">
                  <w:pPr>
                    <w:spacing w:line="246" w:lineRule="auto"/>
                    <w:rPr>
                      <w:rFonts w:ascii="Arial"/>
                      <w:sz w:val="21"/>
                    </w:rPr>
                  </w:pPr>
                </w:p>
                <w:p w14:paraId="3EBFB9C8">
                  <w:pPr>
                    <w:spacing w:line="246" w:lineRule="auto"/>
                    <w:rPr>
                      <w:rFonts w:ascii="Arial"/>
                      <w:sz w:val="21"/>
                    </w:rPr>
                  </w:pPr>
                </w:p>
                <w:p w14:paraId="6FA75F1E">
                  <w:pPr>
                    <w:spacing w:line="246" w:lineRule="auto"/>
                    <w:rPr>
                      <w:rFonts w:ascii="Arial"/>
                      <w:sz w:val="21"/>
                    </w:rPr>
                  </w:pPr>
                </w:p>
                <w:p w14:paraId="2EAC0EC4">
                  <w:pPr>
                    <w:spacing w:line="246" w:lineRule="auto"/>
                    <w:rPr>
                      <w:rFonts w:ascii="Arial"/>
                      <w:sz w:val="21"/>
                    </w:rPr>
                  </w:pPr>
                </w:p>
                <w:p w14:paraId="55CE5F26">
                  <w:pPr>
                    <w:spacing w:line="246" w:lineRule="auto"/>
                    <w:rPr>
                      <w:rFonts w:ascii="Arial"/>
                      <w:sz w:val="21"/>
                    </w:rPr>
                  </w:pPr>
                </w:p>
                <w:p w14:paraId="156688E3">
                  <w:pPr>
                    <w:spacing w:line="247" w:lineRule="auto"/>
                    <w:rPr>
                      <w:rFonts w:ascii="Arial"/>
                      <w:sz w:val="21"/>
                    </w:rPr>
                  </w:pPr>
                </w:p>
                <w:p w14:paraId="1A3FF748">
                  <w:pPr>
                    <w:spacing w:line="247" w:lineRule="auto"/>
                    <w:rPr>
                      <w:rFonts w:ascii="Arial"/>
                      <w:sz w:val="21"/>
                    </w:rPr>
                  </w:pPr>
                </w:p>
                <w:p w14:paraId="56B032F3">
                  <w:pPr>
                    <w:spacing w:line="247" w:lineRule="auto"/>
                    <w:rPr>
                      <w:rFonts w:ascii="Arial"/>
                      <w:sz w:val="21"/>
                    </w:rPr>
                  </w:pPr>
                </w:p>
                <w:p w14:paraId="43315C70">
                  <w:pPr>
                    <w:spacing w:line="247" w:lineRule="auto"/>
                    <w:rPr>
                      <w:rFonts w:ascii="Arial"/>
                      <w:sz w:val="21"/>
                    </w:rPr>
                  </w:pPr>
                </w:p>
                <w:p w14:paraId="2C1205E5">
                  <w:pPr>
                    <w:spacing w:line="247" w:lineRule="auto"/>
                    <w:rPr>
                      <w:rFonts w:ascii="Arial"/>
                      <w:sz w:val="21"/>
                    </w:rPr>
                  </w:pPr>
                </w:p>
                <w:p w14:paraId="3FC788E8">
                  <w:pPr>
                    <w:spacing w:line="247" w:lineRule="auto"/>
                    <w:rPr>
                      <w:rFonts w:ascii="Arial"/>
                      <w:sz w:val="21"/>
                    </w:rPr>
                  </w:pPr>
                </w:p>
                <w:p w14:paraId="08829795">
                  <w:pPr>
                    <w:spacing w:line="247" w:lineRule="auto"/>
                    <w:rPr>
                      <w:rFonts w:ascii="Arial"/>
                      <w:sz w:val="21"/>
                    </w:rPr>
                  </w:pPr>
                </w:p>
                <w:p w14:paraId="62125012">
                  <w:pPr>
                    <w:pStyle w:val="6"/>
                    <w:spacing w:before="65" w:line="243" w:lineRule="auto"/>
                    <w:ind w:left="119" w:right="118" w:firstLine="6"/>
                    <w:jc w:val="both"/>
                    <w:rPr>
                      <w:sz w:val="20"/>
                      <w:szCs w:val="20"/>
                    </w:rPr>
                  </w:pPr>
                  <w:r>
                    <w:rPr>
                      <w:spacing w:val="1"/>
                      <w:sz w:val="20"/>
                      <w:szCs w:val="20"/>
                    </w:rPr>
                    <w:t>空间</w:t>
                  </w:r>
                  <w:r>
                    <w:rPr>
                      <w:sz w:val="20"/>
                      <w:szCs w:val="20"/>
                    </w:rPr>
                    <w:t xml:space="preserve"> </w:t>
                  </w:r>
                  <w:r>
                    <w:rPr>
                      <w:spacing w:val="4"/>
                      <w:sz w:val="20"/>
                      <w:szCs w:val="20"/>
                    </w:rPr>
                    <w:t>布局</w:t>
                  </w:r>
                  <w:r>
                    <w:rPr>
                      <w:sz w:val="20"/>
                      <w:szCs w:val="20"/>
                    </w:rPr>
                    <w:t xml:space="preserve"> </w:t>
                  </w:r>
                  <w:r>
                    <w:rPr>
                      <w:spacing w:val="4"/>
                      <w:sz w:val="20"/>
                      <w:szCs w:val="20"/>
                    </w:rPr>
                    <w:t>约束</w:t>
                  </w:r>
                </w:p>
              </w:tc>
              <w:tc>
                <w:tcPr>
                  <w:tcW w:w="2757" w:type="dxa"/>
                  <w:vAlign w:val="top"/>
                </w:tcPr>
                <w:p w14:paraId="769852DB">
                  <w:pPr>
                    <w:pStyle w:val="6"/>
                    <w:spacing w:before="40" w:line="250" w:lineRule="auto"/>
                    <w:ind w:left="18" w:right="12" w:firstLine="17"/>
                    <w:rPr>
                      <w:sz w:val="20"/>
                      <w:szCs w:val="20"/>
                    </w:rPr>
                  </w:pPr>
                  <w:r>
                    <w:rPr>
                      <w:rFonts w:ascii="Times New Roman" w:hAnsi="Times New Roman" w:eastAsia="Times New Roman" w:cs="Times New Roman"/>
                      <w:spacing w:val="10"/>
                      <w:sz w:val="20"/>
                      <w:szCs w:val="20"/>
                    </w:rPr>
                    <w:t>1.</w:t>
                  </w:r>
                  <w:r>
                    <w:rPr>
                      <w:spacing w:val="10"/>
                      <w:sz w:val="20"/>
                      <w:szCs w:val="20"/>
                    </w:rPr>
                    <w:t>一般生态空间优先保护单元</w:t>
                  </w:r>
                  <w:r>
                    <w:rPr>
                      <w:spacing w:val="11"/>
                      <w:sz w:val="20"/>
                      <w:szCs w:val="20"/>
                    </w:rPr>
                    <w:t xml:space="preserve"> </w:t>
                  </w:r>
                  <w:r>
                    <w:rPr>
                      <w:spacing w:val="9"/>
                      <w:sz w:val="20"/>
                      <w:szCs w:val="20"/>
                    </w:rPr>
                    <w:t>以保护和修复生态环境、提供</w:t>
                  </w:r>
                  <w:r>
                    <w:rPr>
                      <w:spacing w:val="1"/>
                      <w:sz w:val="20"/>
                      <w:szCs w:val="20"/>
                    </w:rPr>
                    <w:t xml:space="preserve"> </w:t>
                  </w:r>
                  <w:r>
                    <w:rPr>
                      <w:spacing w:val="9"/>
                      <w:sz w:val="20"/>
                      <w:szCs w:val="20"/>
                    </w:rPr>
                    <w:t>生态产品为首要任务，参照主</w:t>
                  </w:r>
                  <w:r>
                    <w:rPr>
                      <w:spacing w:val="1"/>
                      <w:sz w:val="20"/>
                      <w:szCs w:val="20"/>
                    </w:rPr>
                    <w:t xml:space="preserve"> </w:t>
                  </w:r>
                  <w:r>
                    <w:rPr>
                      <w:spacing w:val="26"/>
                      <w:sz w:val="20"/>
                      <w:szCs w:val="20"/>
                    </w:rPr>
                    <w:t>体功能区中重点生态功能区</w:t>
                  </w:r>
                  <w:r>
                    <w:rPr>
                      <w:spacing w:val="8"/>
                      <w:sz w:val="20"/>
                      <w:szCs w:val="20"/>
                    </w:rPr>
                    <w:t xml:space="preserve"> </w:t>
                  </w:r>
                  <w:r>
                    <w:rPr>
                      <w:spacing w:val="9"/>
                      <w:sz w:val="20"/>
                      <w:szCs w:val="20"/>
                    </w:rPr>
                    <w:t>的开发和管制原则进行管控，</w:t>
                  </w:r>
                  <w:r>
                    <w:rPr>
                      <w:spacing w:val="3"/>
                      <w:sz w:val="20"/>
                      <w:szCs w:val="20"/>
                    </w:rPr>
                    <w:t xml:space="preserve"> </w:t>
                  </w:r>
                  <w:r>
                    <w:rPr>
                      <w:spacing w:val="9"/>
                      <w:sz w:val="20"/>
                      <w:szCs w:val="20"/>
                    </w:rPr>
                    <w:t>加强资源环境承载力控制，防</w:t>
                  </w:r>
                  <w:r>
                    <w:rPr>
                      <w:spacing w:val="1"/>
                      <w:sz w:val="20"/>
                      <w:szCs w:val="20"/>
                    </w:rPr>
                    <w:t xml:space="preserve"> </w:t>
                  </w:r>
                  <w:r>
                    <w:rPr>
                      <w:spacing w:val="9"/>
                      <w:sz w:val="20"/>
                      <w:szCs w:val="20"/>
                    </w:rPr>
                    <w:t>止过度垦殖、放牧、采伐、取</w:t>
                  </w:r>
                  <w:r>
                    <w:rPr>
                      <w:spacing w:val="1"/>
                      <w:sz w:val="20"/>
                      <w:szCs w:val="20"/>
                    </w:rPr>
                    <w:t xml:space="preserve"> </w:t>
                  </w:r>
                  <w:r>
                    <w:rPr>
                      <w:spacing w:val="9"/>
                      <w:sz w:val="20"/>
                      <w:szCs w:val="20"/>
                    </w:rPr>
                    <w:t>水、渔猎、旅游等对生态功能</w:t>
                  </w:r>
                  <w:r>
                    <w:rPr>
                      <w:spacing w:val="1"/>
                      <w:sz w:val="20"/>
                      <w:szCs w:val="20"/>
                    </w:rPr>
                    <w:t xml:space="preserve"> </w:t>
                  </w:r>
                  <w:r>
                    <w:rPr>
                      <w:spacing w:val="9"/>
                      <w:sz w:val="20"/>
                      <w:szCs w:val="20"/>
                    </w:rPr>
                    <w:t>造成损害，确保自然生态系统</w:t>
                  </w:r>
                  <w:r>
                    <w:rPr>
                      <w:spacing w:val="1"/>
                      <w:sz w:val="20"/>
                      <w:szCs w:val="20"/>
                    </w:rPr>
                    <w:t xml:space="preserve"> </w:t>
                  </w:r>
                  <w:r>
                    <w:rPr>
                      <w:spacing w:val="9"/>
                      <w:sz w:val="20"/>
                      <w:szCs w:val="20"/>
                    </w:rPr>
                    <w:t>稳定。涉及占用一般生态空间</w:t>
                  </w:r>
                  <w:r>
                    <w:rPr>
                      <w:spacing w:val="1"/>
                      <w:sz w:val="20"/>
                      <w:szCs w:val="20"/>
                    </w:rPr>
                    <w:t xml:space="preserve"> </w:t>
                  </w:r>
                  <w:r>
                    <w:rPr>
                      <w:spacing w:val="26"/>
                      <w:sz w:val="20"/>
                      <w:szCs w:val="20"/>
                    </w:rPr>
                    <w:t>的开发活动应符合相关法律</w:t>
                  </w:r>
                  <w:r>
                    <w:rPr>
                      <w:spacing w:val="8"/>
                      <w:sz w:val="20"/>
                      <w:szCs w:val="20"/>
                    </w:rPr>
                    <w:t xml:space="preserve"> </w:t>
                  </w:r>
                  <w:r>
                    <w:rPr>
                      <w:spacing w:val="9"/>
                      <w:sz w:val="20"/>
                      <w:szCs w:val="20"/>
                    </w:rPr>
                    <w:t>法规规定，没有明确规定的，</w:t>
                  </w:r>
                  <w:r>
                    <w:rPr>
                      <w:spacing w:val="3"/>
                      <w:sz w:val="20"/>
                      <w:szCs w:val="20"/>
                    </w:rPr>
                    <w:t xml:space="preserve"> </w:t>
                  </w:r>
                  <w:r>
                    <w:rPr>
                      <w:spacing w:val="7"/>
                      <w:sz w:val="20"/>
                      <w:szCs w:val="20"/>
                    </w:rPr>
                    <w:t>加强论证和管理。</w:t>
                  </w:r>
                </w:p>
                <w:p w14:paraId="6487CFD1">
                  <w:pPr>
                    <w:pStyle w:val="6"/>
                    <w:spacing w:before="19" w:line="249" w:lineRule="auto"/>
                    <w:ind w:left="17" w:hanging="2"/>
                    <w:rPr>
                      <w:sz w:val="20"/>
                      <w:szCs w:val="20"/>
                    </w:rPr>
                  </w:pPr>
                  <w:r>
                    <w:rPr>
                      <w:rFonts w:ascii="Times New Roman" w:hAnsi="Times New Roman" w:eastAsia="Times New Roman" w:cs="Times New Roman"/>
                      <w:spacing w:val="8"/>
                      <w:sz w:val="20"/>
                      <w:szCs w:val="20"/>
                    </w:rPr>
                    <w:t>2.</w:t>
                  </w:r>
                  <w:r>
                    <w:rPr>
                      <w:spacing w:val="8"/>
                      <w:sz w:val="20"/>
                      <w:szCs w:val="20"/>
                    </w:rPr>
                    <w:t>暂未纳入生态保护红线的自</w:t>
                  </w:r>
                  <w:r>
                    <w:rPr>
                      <w:spacing w:val="4"/>
                      <w:sz w:val="20"/>
                      <w:szCs w:val="20"/>
                    </w:rPr>
                    <w:t xml:space="preserve"> </w:t>
                  </w:r>
                  <w:r>
                    <w:rPr>
                      <w:spacing w:val="22"/>
                      <w:sz w:val="20"/>
                      <w:szCs w:val="20"/>
                    </w:rPr>
                    <w:t>然保护地按照相关保护地法</w:t>
                  </w:r>
                  <w:r>
                    <w:rPr>
                      <w:spacing w:val="1"/>
                      <w:sz w:val="20"/>
                      <w:szCs w:val="20"/>
                    </w:rPr>
                    <w:t xml:space="preserve"> </w:t>
                  </w:r>
                  <w:r>
                    <w:rPr>
                      <w:spacing w:val="4"/>
                      <w:sz w:val="20"/>
                      <w:szCs w:val="20"/>
                    </w:rPr>
                    <w:t>律法规进行管理；公益林依据</w:t>
                  </w:r>
                  <w:r>
                    <w:rPr>
                      <w:spacing w:val="11"/>
                      <w:sz w:val="20"/>
                      <w:szCs w:val="20"/>
                    </w:rPr>
                    <w:t xml:space="preserve"> </w:t>
                  </w:r>
                  <w:r>
                    <w:rPr>
                      <w:spacing w:val="21"/>
                      <w:sz w:val="20"/>
                      <w:szCs w:val="20"/>
                    </w:rPr>
                    <w:t>《国家级公益林管理办法》</w:t>
                  </w:r>
                  <w:r>
                    <w:rPr>
                      <w:spacing w:val="3"/>
                      <w:sz w:val="20"/>
                      <w:szCs w:val="20"/>
                    </w:rPr>
                    <w:t xml:space="preserve"> </w:t>
                  </w:r>
                  <w:r>
                    <w:rPr>
                      <w:spacing w:val="4"/>
                      <w:sz w:val="20"/>
                      <w:szCs w:val="20"/>
                    </w:rPr>
                    <w:t>《云南省公益林管理办法》进</w:t>
                  </w:r>
                  <w:r>
                    <w:rPr>
                      <w:spacing w:val="11"/>
                      <w:sz w:val="20"/>
                      <w:szCs w:val="20"/>
                    </w:rPr>
                    <w:t xml:space="preserve"> </w:t>
                  </w:r>
                  <w:r>
                    <w:rPr>
                      <w:spacing w:val="4"/>
                      <w:sz w:val="20"/>
                      <w:szCs w:val="20"/>
                    </w:rPr>
                    <w:t>行管理；天然林依据《国家林</w:t>
                  </w:r>
                  <w:r>
                    <w:rPr>
                      <w:spacing w:val="11"/>
                      <w:sz w:val="20"/>
                      <w:szCs w:val="20"/>
                    </w:rPr>
                    <w:t xml:space="preserve"> </w:t>
                  </w:r>
                  <w:r>
                    <w:rPr>
                      <w:spacing w:val="22"/>
                      <w:sz w:val="20"/>
                      <w:szCs w:val="20"/>
                    </w:rPr>
                    <w:t>业局关于严格保护天然林的</w:t>
                  </w:r>
                  <w:r>
                    <w:rPr>
                      <w:spacing w:val="1"/>
                      <w:sz w:val="20"/>
                      <w:szCs w:val="20"/>
                    </w:rPr>
                    <w:t xml:space="preserve"> </w:t>
                  </w:r>
                  <w:r>
                    <w:rPr>
                      <w:spacing w:val="5"/>
                      <w:sz w:val="20"/>
                      <w:szCs w:val="20"/>
                    </w:rPr>
                    <w:t>通知》</w:t>
                  </w:r>
                  <w:r>
                    <w:rPr>
                      <w:spacing w:val="-64"/>
                      <w:sz w:val="20"/>
                      <w:szCs w:val="20"/>
                    </w:rPr>
                    <w:t xml:space="preserve"> </w:t>
                  </w:r>
                  <w:r>
                    <w:rPr>
                      <w:spacing w:val="5"/>
                      <w:sz w:val="20"/>
                      <w:szCs w:val="20"/>
                    </w:rPr>
                    <w:t>（林资发〔</w:t>
                  </w:r>
                  <w:r>
                    <w:rPr>
                      <w:rFonts w:ascii="Times New Roman" w:hAnsi="Times New Roman" w:eastAsia="Times New Roman" w:cs="Times New Roman"/>
                      <w:spacing w:val="5"/>
                      <w:sz w:val="20"/>
                      <w:szCs w:val="20"/>
                    </w:rPr>
                    <w:t>2015</w:t>
                  </w:r>
                  <w:r>
                    <w:rPr>
                      <w:spacing w:val="5"/>
                      <w:sz w:val="20"/>
                      <w:szCs w:val="20"/>
                    </w:rPr>
                    <w:t>〕</w:t>
                  </w:r>
                  <w:r>
                    <w:rPr>
                      <w:spacing w:val="-52"/>
                      <w:sz w:val="20"/>
                      <w:szCs w:val="20"/>
                    </w:rPr>
                    <w:t xml:space="preserve"> </w:t>
                  </w:r>
                  <w:r>
                    <w:rPr>
                      <w:rFonts w:ascii="Times New Roman" w:hAnsi="Times New Roman" w:eastAsia="Times New Roman" w:cs="Times New Roman"/>
                      <w:spacing w:val="5"/>
                      <w:sz w:val="20"/>
                      <w:szCs w:val="20"/>
                    </w:rPr>
                    <w:t>181</w:t>
                  </w:r>
                  <w:r>
                    <w:rPr>
                      <w:rFonts w:ascii="Times New Roman" w:hAnsi="Times New Roman" w:eastAsia="Times New Roman" w:cs="Times New Roman"/>
                      <w:sz w:val="20"/>
                      <w:szCs w:val="20"/>
                    </w:rPr>
                    <w:t xml:space="preserve">  </w:t>
                  </w:r>
                  <w:r>
                    <w:rPr>
                      <w:spacing w:val="7"/>
                      <w:sz w:val="20"/>
                      <w:szCs w:val="20"/>
                    </w:rPr>
                    <w:t>号）</w:t>
                  </w:r>
                  <w:r>
                    <w:rPr>
                      <w:spacing w:val="-69"/>
                      <w:sz w:val="20"/>
                      <w:szCs w:val="20"/>
                    </w:rPr>
                    <w:t xml:space="preserve"> </w:t>
                  </w:r>
                  <w:r>
                    <w:rPr>
                      <w:spacing w:val="7"/>
                      <w:sz w:val="20"/>
                      <w:szCs w:val="20"/>
                    </w:rPr>
                    <w:t>《中共中央办公厅</w:t>
                  </w:r>
                  <w:r>
                    <w:rPr>
                      <w:spacing w:val="48"/>
                      <w:sz w:val="20"/>
                      <w:szCs w:val="20"/>
                    </w:rPr>
                    <w:t xml:space="preserve"> </w:t>
                  </w:r>
                  <w:r>
                    <w:rPr>
                      <w:spacing w:val="7"/>
                      <w:sz w:val="20"/>
                      <w:szCs w:val="20"/>
                    </w:rPr>
                    <w:t>国务</w:t>
                  </w:r>
                  <w:r>
                    <w:rPr>
                      <w:sz w:val="20"/>
                      <w:szCs w:val="20"/>
                    </w:rPr>
                    <w:t xml:space="preserve"> </w:t>
                  </w:r>
                  <w:r>
                    <w:rPr>
                      <w:spacing w:val="4"/>
                      <w:sz w:val="20"/>
                      <w:szCs w:val="20"/>
                    </w:rPr>
                    <w:t>院办公厅关于印发〈天然林保</w:t>
                  </w:r>
                  <w:r>
                    <w:rPr>
                      <w:spacing w:val="11"/>
                      <w:sz w:val="20"/>
                      <w:szCs w:val="20"/>
                    </w:rPr>
                    <w:t xml:space="preserve"> </w:t>
                  </w:r>
                  <w:r>
                    <w:rPr>
                      <w:spacing w:val="-10"/>
                      <w:sz w:val="20"/>
                      <w:szCs w:val="20"/>
                    </w:rPr>
                    <w:t>护修复制度方案〉的通知》（厅</w:t>
                  </w:r>
                  <w:r>
                    <w:rPr>
                      <w:spacing w:val="3"/>
                      <w:sz w:val="20"/>
                      <w:szCs w:val="20"/>
                    </w:rPr>
                    <w:t xml:space="preserve"> </w:t>
                  </w:r>
                  <w:r>
                    <w:rPr>
                      <w:spacing w:val="-8"/>
                      <w:sz w:val="20"/>
                      <w:szCs w:val="20"/>
                    </w:rPr>
                    <w:t>字〔</w:t>
                  </w:r>
                  <w:r>
                    <w:rPr>
                      <w:rFonts w:ascii="Times New Roman" w:hAnsi="Times New Roman" w:eastAsia="Times New Roman" w:cs="Times New Roman"/>
                      <w:spacing w:val="-8"/>
                      <w:sz w:val="20"/>
                      <w:szCs w:val="20"/>
                    </w:rPr>
                    <w:t>2019</w:t>
                  </w:r>
                  <w:r>
                    <w:rPr>
                      <w:spacing w:val="-8"/>
                      <w:sz w:val="20"/>
                      <w:szCs w:val="20"/>
                    </w:rPr>
                    <w:t>〕</w:t>
                  </w:r>
                  <w:r>
                    <w:rPr>
                      <w:rFonts w:ascii="Times New Roman" w:hAnsi="Times New Roman" w:eastAsia="Times New Roman" w:cs="Times New Roman"/>
                      <w:spacing w:val="-8"/>
                      <w:sz w:val="20"/>
                      <w:szCs w:val="20"/>
                    </w:rPr>
                    <w:t>39</w:t>
                  </w:r>
                  <w:r>
                    <w:rPr>
                      <w:rFonts w:ascii="Times New Roman" w:hAnsi="Times New Roman" w:eastAsia="Times New Roman" w:cs="Times New Roman"/>
                      <w:spacing w:val="18"/>
                      <w:w w:val="101"/>
                      <w:sz w:val="20"/>
                      <w:szCs w:val="20"/>
                    </w:rPr>
                    <w:t xml:space="preserve"> </w:t>
                  </w:r>
                  <w:r>
                    <w:rPr>
                      <w:spacing w:val="-8"/>
                      <w:sz w:val="20"/>
                      <w:szCs w:val="20"/>
                    </w:rPr>
                    <w:t>号）等进行管理。</w:t>
                  </w:r>
                </w:p>
              </w:tc>
              <w:tc>
                <w:tcPr>
                  <w:tcW w:w="3069" w:type="dxa"/>
                  <w:gridSpan w:val="3"/>
                  <w:vAlign w:val="top"/>
                </w:tcPr>
                <w:p w14:paraId="0BDB2ADC">
                  <w:pPr>
                    <w:spacing w:line="310" w:lineRule="auto"/>
                    <w:rPr>
                      <w:rFonts w:ascii="Arial"/>
                      <w:sz w:val="21"/>
                    </w:rPr>
                  </w:pPr>
                </w:p>
                <w:p w14:paraId="15386883">
                  <w:pPr>
                    <w:spacing w:line="310" w:lineRule="auto"/>
                    <w:rPr>
                      <w:rFonts w:ascii="Arial"/>
                      <w:sz w:val="21"/>
                    </w:rPr>
                  </w:pPr>
                </w:p>
                <w:p w14:paraId="35DC85D0">
                  <w:pPr>
                    <w:spacing w:line="310" w:lineRule="auto"/>
                    <w:rPr>
                      <w:rFonts w:ascii="Arial"/>
                      <w:sz w:val="21"/>
                    </w:rPr>
                  </w:pPr>
                </w:p>
                <w:p w14:paraId="655D77EC">
                  <w:pPr>
                    <w:pStyle w:val="6"/>
                    <w:spacing w:before="65" w:line="248" w:lineRule="auto"/>
                    <w:ind w:left="18" w:right="11" w:firstLine="17"/>
                    <w:rPr>
                      <w:sz w:val="20"/>
                      <w:szCs w:val="20"/>
                    </w:rPr>
                  </w:pPr>
                  <w:r>
                    <w:rPr>
                      <w:rFonts w:ascii="Times New Roman" w:hAnsi="Times New Roman" w:eastAsia="Times New Roman" w:cs="Times New Roman"/>
                      <w:spacing w:val="16"/>
                      <w:sz w:val="20"/>
                      <w:szCs w:val="20"/>
                    </w:rPr>
                    <w:t>1.</w:t>
                  </w:r>
                  <w:r>
                    <w:rPr>
                      <w:rFonts w:ascii="Times New Roman" w:hAnsi="Times New Roman" w:eastAsia="Times New Roman" w:cs="Times New Roman"/>
                      <w:spacing w:val="-25"/>
                      <w:sz w:val="20"/>
                      <w:szCs w:val="20"/>
                    </w:rPr>
                    <w:t xml:space="preserve"> </w:t>
                  </w:r>
                  <w:r>
                    <w:rPr>
                      <w:spacing w:val="16"/>
                      <w:sz w:val="20"/>
                      <w:szCs w:val="20"/>
                    </w:rPr>
                    <w:t>项目位于云南省昆明市寻甸回</w:t>
                  </w:r>
                  <w:r>
                    <w:rPr>
                      <w:sz w:val="20"/>
                      <w:szCs w:val="20"/>
                    </w:rPr>
                    <w:t xml:space="preserve"> </w:t>
                  </w:r>
                  <w:r>
                    <w:rPr>
                      <w:spacing w:val="16"/>
                      <w:sz w:val="20"/>
                      <w:szCs w:val="20"/>
                    </w:rPr>
                    <w:t>族彝族自治县河口镇境内，根据</w:t>
                  </w:r>
                  <w:r>
                    <w:rPr>
                      <w:spacing w:val="8"/>
                      <w:sz w:val="20"/>
                      <w:szCs w:val="20"/>
                    </w:rPr>
                    <w:t xml:space="preserve"> </w:t>
                  </w:r>
                  <w:r>
                    <w:rPr>
                      <w:spacing w:val="12"/>
                      <w:sz w:val="20"/>
                      <w:szCs w:val="20"/>
                    </w:rPr>
                    <w:t>《云南省主体功能区规划》</w:t>
                  </w:r>
                  <w:r>
                    <w:rPr>
                      <w:spacing w:val="-36"/>
                      <w:sz w:val="20"/>
                      <w:szCs w:val="20"/>
                    </w:rPr>
                    <w:t xml:space="preserve"> </w:t>
                  </w:r>
                  <w:r>
                    <w:rPr>
                      <w:spacing w:val="12"/>
                      <w:sz w:val="20"/>
                      <w:szCs w:val="20"/>
                    </w:rPr>
                    <w:t>，项</w:t>
                  </w:r>
                  <w:r>
                    <w:rPr>
                      <w:sz w:val="20"/>
                      <w:szCs w:val="20"/>
                    </w:rPr>
                    <w:t xml:space="preserve"> </w:t>
                  </w:r>
                  <w:r>
                    <w:rPr>
                      <w:spacing w:val="16"/>
                      <w:sz w:val="20"/>
                      <w:szCs w:val="20"/>
                    </w:rPr>
                    <w:t>目所在区域属于国家重点开发区</w:t>
                  </w:r>
                  <w:r>
                    <w:rPr>
                      <w:spacing w:val="8"/>
                      <w:sz w:val="20"/>
                      <w:szCs w:val="20"/>
                    </w:rPr>
                    <w:t xml:space="preserve"> </w:t>
                  </w:r>
                  <w:r>
                    <w:rPr>
                      <w:spacing w:val="16"/>
                      <w:sz w:val="20"/>
                      <w:szCs w:val="20"/>
                    </w:rPr>
                    <w:t>域，项目为光伏发电项目，涉及</w:t>
                  </w:r>
                  <w:r>
                    <w:rPr>
                      <w:spacing w:val="8"/>
                      <w:sz w:val="20"/>
                      <w:szCs w:val="20"/>
                    </w:rPr>
                    <w:t xml:space="preserve"> </w:t>
                  </w:r>
                  <w:r>
                    <w:rPr>
                      <w:spacing w:val="16"/>
                      <w:sz w:val="20"/>
                      <w:szCs w:val="20"/>
                    </w:rPr>
                    <w:t>地类现状主要为林地、草地、设</w:t>
                  </w:r>
                  <w:r>
                    <w:rPr>
                      <w:spacing w:val="8"/>
                      <w:sz w:val="20"/>
                      <w:szCs w:val="20"/>
                    </w:rPr>
                    <w:t xml:space="preserve"> </w:t>
                  </w:r>
                  <w:r>
                    <w:rPr>
                      <w:spacing w:val="16"/>
                      <w:sz w:val="20"/>
                      <w:szCs w:val="20"/>
                    </w:rPr>
                    <w:t>施农用地、裸岩石砾地，项目建</w:t>
                  </w:r>
                  <w:r>
                    <w:rPr>
                      <w:spacing w:val="8"/>
                      <w:sz w:val="20"/>
                      <w:szCs w:val="20"/>
                    </w:rPr>
                    <w:t xml:space="preserve"> 设不会破坏生态系统稳定。</w:t>
                  </w:r>
                </w:p>
                <w:p w14:paraId="5135D1D9">
                  <w:pPr>
                    <w:pStyle w:val="6"/>
                    <w:spacing w:before="24" w:line="249" w:lineRule="auto"/>
                    <w:ind w:left="17" w:right="10" w:hanging="2"/>
                    <w:rPr>
                      <w:spacing w:val="-7"/>
                      <w:sz w:val="20"/>
                      <w:szCs w:val="20"/>
                    </w:rPr>
                  </w:pPr>
                  <w:r>
                    <w:rPr>
                      <w:rFonts w:ascii="Times New Roman" w:hAnsi="Times New Roman" w:eastAsia="Times New Roman" w:cs="Times New Roman"/>
                      <w:spacing w:val="5"/>
                      <w:sz w:val="20"/>
                      <w:szCs w:val="20"/>
                    </w:rPr>
                    <w:t>2.</w:t>
                  </w:r>
                  <w:r>
                    <w:rPr>
                      <w:spacing w:val="5"/>
                      <w:sz w:val="20"/>
                      <w:szCs w:val="20"/>
                    </w:rPr>
                    <w:t>项目涉及</w:t>
                  </w:r>
                  <w:r>
                    <w:rPr>
                      <w:spacing w:val="-25"/>
                      <w:sz w:val="20"/>
                      <w:szCs w:val="20"/>
                    </w:rPr>
                    <w:t xml:space="preserve"> </w:t>
                  </w:r>
                  <w:r>
                    <w:rPr>
                      <w:rFonts w:ascii="Times New Roman" w:hAnsi="Times New Roman" w:eastAsia="Times New Roman" w:cs="Times New Roman"/>
                      <w:spacing w:val="5"/>
                      <w:sz w:val="20"/>
                      <w:szCs w:val="20"/>
                    </w:rPr>
                    <w:t>0.0419</w:t>
                  </w:r>
                  <w:r>
                    <w:rPr>
                      <w:rFonts w:ascii="Times New Roman" w:hAnsi="Times New Roman" w:eastAsia="Times New Roman" w:cs="Times New Roman"/>
                      <w:sz w:val="20"/>
                      <w:szCs w:val="20"/>
                    </w:rPr>
                    <w:t>hm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17"/>
                      <w:w w:val="101"/>
                      <w:position w:val="6"/>
                      <w:sz w:val="13"/>
                      <w:szCs w:val="13"/>
                    </w:rPr>
                    <w:t xml:space="preserve"> </w:t>
                  </w:r>
                  <w:r>
                    <w:rPr>
                      <w:spacing w:val="5"/>
                      <w:sz w:val="20"/>
                      <w:szCs w:val="20"/>
                    </w:rPr>
                    <w:t>公益林，公</w:t>
                  </w:r>
                  <w:r>
                    <w:rPr>
                      <w:sz w:val="20"/>
                      <w:szCs w:val="20"/>
                    </w:rPr>
                    <w:t xml:space="preserve"> </w:t>
                  </w:r>
                  <w:r>
                    <w:rPr>
                      <w:spacing w:val="16"/>
                      <w:sz w:val="20"/>
                      <w:szCs w:val="20"/>
                    </w:rPr>
                    <w:t>益林依据《国家级公益林管理办</w:t>
                  </w:r>
                  <w:r>
                    <w:rPr>
                      <w:spacing w:val="9"/>
                      <w:sz w:val="20"/>
                      <w:szCs w:val="20"/>
                    </w:rPr>
                    <w:t xml:space="preserve"> </w:t>
                  </w:r>
                  <w:r>
                    <w:rPr>
                      <w:spacing w:val="13"/>
                      <w:sz w:val="20"/>
                      <w:szCs w:val="20"/>
                    </w:rPr>
                    <w:t>法》</w:t>
                  </w:r>
                  <w:r>
                    <w:rPr>
                      <w:spacing w:val="-62"/>
                      <w:sz w:val="20"/>
                      <w:szCs w:val="20"/>
                    </w:rPr>
                    <w:t xml:space="preserve"> </w:t>
                  </w:r>
                  <w:r>
                    <w:rPr>
                      <w:spacing w:val="13"/>
                      <w:sz w:val="20"/>
                      <w:szCs w:val="20"/>
                    </w:rPr>
                    <w:t>《云南省公益林管理办法》</w:t>
                  </w:r>
                  <w:r>
                    <w:rPr>
                      <w:sz w:val="20"/>
                      <w:szCs w:val="20"/>
                    </w:rPr>
                    <w:t xml:space="preserve"> </w:t>
                  </w:r>
                  <w:r>
                    <w:rPr>
                      <w:spacing w:val="13"/>
                      <w:sz w:val="20"/>
                      <w:szCs w:val="20"/>
                    </w:rPr>
                    <w:t>进行管理；</w:t>
                  </w:r>
                  <w:r>
                    <w:rPr>
                      <w:spacing w:val="-49"/>
                      <w:sz w:val="20"/>
                      <w:szCs w:val="20"/>
                    </w:rPr>
                    <w:t xml:space="preserve"> </w:t>
                  </w:r>
                  <w:r>
                    <w:rPr>
                      <w:spacing w:val="13"/>
                      <w:sz w:val="20"/>
                      <w:szCs w:val="20"/>
                    </w:rPr>
                    <w:t>天然林依据《国家林</w:t>
                  </w:r>
                  <w:r>
                    <w:rPr>
                      <w:sz w:val="20"/>
                      <w:szCs w:val="20"/>
                    </w:rPr>
                    <w:t xml:space="preserve"> </w:t>
                  </w:r>
                  <w:r>
                    <w:rPr>
                      <w:spacing w:val="33"/>
                      <w:sz w:val="20"/>
                      <w:szCs w:val="20"/>
                    </w:rPr>
                    <w:t>业局关于严格保护天然林的通</w:t>
                  </w:r>
                  <w:r>
                    <w:rPr>
                      <w:spacing w:val="4"/>
                      <w:sz w:val="20"/>
                      <w:szCs w:val="20"/>
                    </w:rPr>
                    <w:t xml:space="preserve"> </w:t>
                  </w:r>
                  <w:r>
                    <w:rPr>
                      <w:spacing w:val="-7"/>
                      <w:sz w:val="20"/>
                      <w:szCs w:val="20"/>
                    </w:rPr>
                    <w:t>知》（林资发〔</w:t>
                  </w:r>
                  <w:r>
                    <w:rPr>
                      <w:rFonts w:ascii="Times New Roman" w:hAnsi="Times New Roman" w:eastAsia="Times New Roman" w:cs="Times New Roman"/>
                      <w:spacing w:val="-7"/>
                      <w:sz w:val="20"/>
                      <w:szCs w:val="20"/>
                    </w:rPr>
                    <w:t>2015</w:t>
                  </w:r>
                  <w:r>
                    <w:rPr>
                      <w:spacing w:val="-7"/>
                      <w:sz w:val="20"/>
                      <w:szCs w:val="20"/>
                    </w:rPr>
                    <w:t>〕</w:t>
                  </w:r>
                  <w:r>
                    <w:rPr>
                      <w:rFonts w:ascii="Times New Roman" w:hAnsi="Times New Roman" w:eastAsia="Times New Roman" w:cs="Times New Roman"/>
                      <w:spacing w:val="-7"/>
                      <w:sz w:val="20"/>
                      <w:szCs w:val="20"/>
                    </w:rPr>
                    <w:t>181</w:t>
                  </w:r>
                  <w:r>
                    <w:rPr>
                      <w:rFonts w:ascii="Times New Roman" w:hAnsi="Times New Roman" w:eastAsia="Times New Roman" w:cs="Times New Roman"/>
                      <w:spacing w:val="17"/>
                      <w:sz w:val="20"/>
                      <w:szCs w:val="20"/>
                    </w:rPr>
                    <w:t xml:space="preserve"> </w:t>
                  </w:r>
                  <w:r>
                    <w:rPr>
                      <w:spacing w:val="-7"/>
                      <w:sz w:val="20"/>
                      <w:szCs w:val="20"/>
                    </w:rPr>
                    <w:t>号）</w:t>
                  </w:r>
                </w:p>
                <w:p w14:paraId="29F71409">
                  <w:pPr>
                    <w:pStyle w:val="6"/>
                    <w:spacing w:before="24" w:line="249" w:lineRule="auto"/>
                    <w:ind w:left="17" w:right="10" w:hanging="2"/>
                    <w:rPr>
                      <w:sz w:val="20"/>
                      <w:szCs w:val="20"/>
                    </w:rPr>
                  </w:pPr>
                  <w:r>
                    <w:rPr>
                      <w:spacing w:val="-7"/>
                      <w:sz w:val="20"/>
                      <w:szCs w:val="20"/>
                    </w:rPr>
                    <w:t>《中</w:t>
                  </w:r>
                  <w:r>
                    <w:rPr>
                      <w:spacing w:val="20"/>
                      <w:sz w:val="20"/>
                      <w:szCs w:val="20"/>
                    </w:rPr>
                    <w:t>共中央办公厅</w:t>
                  </w:r>
                  <w:r>
                    <w:rPr>
                      <w:spacing w:val="73"/>
                      <w:sz w:val="20"/>
                      <w:szCs w:val="20"/>
                    </w:rPr>
                    <w:t xml:space="preserve"> </w:t>
                  </w:r>
                  <w:r>
                    <w:rPr>
                      <w:spacing w:val="20"/>
                      <w:sz w:val="20"/>
                      <w:szCs w:val="20"/>
                    </w:rPr>
                    <w:t>国务院办公厅关</w:t>
                  </w:r>
                  <w:r>
                    <w:rPr>
                      <w:spacing w:val="16"/>
                      <w:sz w:val="20"/>
                      <w:szCs w:val="20"/>
                    </w:rPr>
                    <w:t>于印发〈天然林保护修复制度方</w:t>
                  </w:r>
                  <w:r>
                    <w:rPr>
                      <w:spacing w:val="8"/>
                      <w:sz w:val="20"/>
                      <w:szCs w:val="20"/>
                    </w:rPr>
                    <w:t>案〉</w:t>
                  </w:r>
                  <w:bookmarkStart w:id="33" w:name="_GoBack"/>
                  <w:bookmarkEnd w:id="33"/>
                  <w:r>
                    <w:rPr>
                      <w:spacing w:val="8"/>
                      <w:sz w:val="20"/>
                      <w:szCs w:val="20"/>
                    </w:rPr>
                    <w:t>的通知》</w:t>
                  </w:r>
                  <w:r>
                    <w:rPr>
                      <w:spacing w:val="-67"/>
                      <w:sz w:val="20"/>
                      <w:szCs w:val="20"/>
                    </w:rPr>
                    <w:t xml:space="preserve"> </w:t>
                  </w:r>
                  <w:r>
                    <w:rPr>
                      <w:spacing w:val="8"/>
                      <w:sz w:val="20"/>
                      <w:szCs w:val="20"/>
                    </w:rPr>
                    <w:t>（厅字〔</w:t>
                  </w:r>
                  <w:r>
                    <w:rPr>
                      <w:rFonts w:ascii="Times New Roman" w:hAnsi="Times New Roman" w:eastAsia="Times New Roman" w:cs="Times New Roman"/>
                      <w:spacing w:val="8"/>
                      <w:sz w:val="20"/>
                      <w:szCs w:val="20"/>
                    </w:rPr>
                    <w:t>2019</w:t>
                  </w:r>
                  <w:r>
                    <w:rPr>
                      <w:spacing w:val="8"/>
                      <w:sz w:val="20"/>
                      <w:szCs w:val="20"/>
                    </w:rPr>
                    <w:t>〕</w:t>
                  </w:r>
                  <w:r>
                    <w:rPr>
                      <w:rFonts w:ascii="Times New Roman" w:hAnsi="Times New Roman" w:eastAsia="Times New Roman" w:cs="Times New Roman"/>
                      <w:spacing w:val="8"/>
                      <w:sz w:val="20"/>
                      <w:szCs w:val="20"/>
                    </w:rPr>
                    <w:t>39</w:t>
                  </w:r>
                  <w:r>
                    <w:rPr>
                      <w:rFonts w:ascii="Times New Roman" w:hAnsi="Times New Roman" w:eastAsia="Times New Roman" w:cs="Times New Roman"/>
                      <w:sz w:val="20"/>
                      <w:szCs w:val="20"/>
                    </w:rPr>
                    <w:t xml:space="preserve"> </w:t>
                  </w:r>
                  <w:r>
                    <w:rPr>
                      <w:spacing w:val="7"/>
                      <w:sz w:val="20"/>
                      <w:szCs w:val="20"/>
                    </w:rPr>
                    <w:t>号）等进行管理。</w:t>
                  </w:r>
                </w:p>
              </w:tc>
              <w:tc>
                <w:tcPr>
                  <w:tcW w:w="691" w:type="dxa"/>
                  <w:vAlign w:val="top"/>
                </w:tcPr>
                <w:p w14:paraId="30B67705">
                  <w:pPr>
                    <w:spacing w:line="248" w:lineRule="auto"/>
                    <w:rPr>
                      <w:rFonts w:ascii="Arial"/>
                      <w:sz w:val="21"/>
                    </w:rPr>
                  </w:pPr>
                </w:p>
                <w:p w14:paraId="343ED7F3">
                  <w:pPr>
                    <w:spacing w:line="248" w:lineRule="auto"/>
                    <w:rPr>
                      <w:rFonts w:ascii="Arial"/>
                      <w:sz w:val="21"/>
                    </w:rPr>
                  </w:pPr>
                </w:p>
                <w:p w14:paraId="60E3E02B">
                  <w:pPr>
                    <w:spacing w:line="248" w:lineRule="auto"/>
                    <w:rPr>
                      <w:rFonts w:ascii="Arial"/>
                      <w:sz w:val="21"/>
                    </w:rPr>
                  </w:pPr>
                </w:p>
                <w:p w14:paraId="4B16C89A">
                  <w:pPr>
                    <w:spacing w:line="248" w:lineRule="auto"/>
                    <w:rPr>
                      <w:rFonts w:ascii="Arial"/>
                      <w:sz w:val="21"/>
                    </w:rPr>
                  </w:pPr>
                </w:p>
                <w:p w14:paraId="40DCB0BA">
                  <w:pPr>
                    <w:spacing w:line="248" w:lineRule="auto"/>
                    <w:rPr>
                      <w:rFonts w:ascii="Arial"/>
                      <w:sz w:val="21"/>
                    </w:rPr>
                  </w:pPr>
                </w:p>
                <w:p w14:paraId="6BB1E9F1">
                  <w:pPr>
                    <w:spacing w:line="248" w:lineRule="auto"/>
                    <w:rPr>
                      <w:rFonts w:ascii="Arial"/>
                      <w:sz w:val="21"/>
                    </w:rPr>
                  </w:pPr>
                </w:p>
                <w:p w14:paraId="287F6AD9">
                  <w:pPr>
                    <w:spacing w:line="248" w:lineRule="auto"/>
                    <w:rPr>
                      <w:rFonts w:ascii="Arial"/>
                      <w:sz w:val="21"/>
                    </w:rPr>
                  </w:pPr>
                </w:p>
                <w:p w14:paraId="428F0B5A">
                  <w:pPr>
                    <w:spacing w:line="248" w:lineRule="auto"/>
                    <w:rPr>
                      <w:rFonts w:ascii="Arial"/>
                      <w:sz w:val="21"/>
                    </w:rPr>
                  </w:pPr>
                </w:p>
                <w:p w14:paraId="502C1881">
                  <w:pPr>
                    <w:spacing w:line="248" w:lineRule="auto"/>
                    <w:rPr>
                      <w:rFonts w:ascii="Arial"/>
                      <w:sz w:val="21"/>
                    </w:rPr>
                  </w:pPr>
                </w:p>
                <w:p w14:paraId="12848207">
                  <w:pPr>
                    <w:spacing w:line="248" w:lineRule="auto"/>
                    <w:rPr>
                      <w:rFonts w:ascii="Arial"/>
                      <w:sz w:val="21"/>
                    </w:rPr>
                  </w:pPr>
                </w:p>
                <w:p w14:paraId="699947C7">
                  <w:pPr>
                    <w:spacing w:line="249" w:lineRule="auto"/>
                    <w:rPr>
                      <w:rFonts w:ascii="Arial"/>
                      <w:sz w:val="21"/>
                    </w:rPr>
                  </w:pPr>
                </w:p>
                <w:p w14:paraId="6A7A04EE">
                  <w:pPr>
                    <w:spacing w:line="249" w:lineRule="auto"/>
                    <w:rPr>
                      <w:rFonts w:ascii="Arial"/>
                      <w:sz w:val="21"/>
                    </w:rPr>
                  </w:pPr>
                </w:p>
                <w:p w14:paraId="4276CB3E">
                  <w:pPr>
                    <w:spacing w:line="249" w:lineRule="auto"/>
                    <w:rPr>
                      <w:rFonts w:ascii="Arial"/>
                      <w:sz w:val="21"/>
                    </w:rPr>
                  </w:pPr>
                </w:p>
                <w:p w14:paraId="312A1610">
                  <w:pPr>
                    <w:pStyle w:val="6"/>
                    <w:spacing w:before="65" w:line="228" w:lineRule="auto"/>
                    <w:ind w:left="142"/>
                    <w:rPr>
                      <w:sz w:val="20"/>
                      <w:szCs w:val="20"/>
                    </w:rPr>
                  </w:pPr>
                  <w:r>
                    <w:rPr>
                      <w:spacing w:val="3"/>
                      <w:sz w:val="20"/>
                      <w:szCs w:val="20"/>
                    </w:rPr>
                    <w:t>符合</w:t>
                  </w:r>
                </w:p>
              </w:tc>
            </w:tr>
            <w:tr w14:paraId="7A677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785" w:type="dxa"/>
                  <w:vMerge w:val="continue"/>
                  <w:tcBorders>
                    <w:top w:val="nil"/>
                    <w:bottom w:val="nil"/>
                  </w:tcBorders>
                  <w:vAlign w:val="top"/>
                </w:tcPr>
                <w:p w14:paraId="6B2A1814">
                  <w:pPr>
                    <w:rPr>
                      <w:rFonts w:ascii="Arial"/>
                      <w:sz w:val="21"/>
                    </w:rPr>
                  </w:pPr>
                </w:p>
              </w:tc>
              <w:tc>
                <w:tcPr>
                  <w:tcW w:w="652" w:type="dxa"/>
                  <w:vAlign w:val="top"/>
                </w:tcPr>
                <w:p w14:paraId="5C3726AA">
                  <w:pPr>
                    <w:spacing w:line="386" w:lineRule="auto"/>
                    <w:rPr>
                      <w:rFonts w:ascii="Arial"/>
                      <w:sz w:val="21"/>
                    </w:rPr>
                  </w:pPr>
                </w:p>
                <w:p w14:paraId="28B0B106">
                  <w:pPr>
                    <w:pStyle w:val="6"/>
                    <w:spacing w:before="65" w:line="228" w:lineRule="auto"/>
                    <w:ind w:left="120"/>
                    <w:rPr>
                      <w:sz w:val="20"/>
                      <w:szCs w:val="20"/>
                    </w:rPr>
                  </w:pPr>
                  <w:r>
                    <w:rPr>
                      <w:spacing w:val="3"/>
                      <w:sz w:val="20"/>
                      <w:szCs w:val="20"/>
                    </w:rPr>
                    <w:t>污染</w:t>
                  </w:r>
                </w:p>
                <w:p w14:paraId="2E3B1951">
                  <w:pPr>
                    <w:pStyle w:val="6"/>
                    <w:spacing w:before="23" w:line="229" w:lineRule="auto"/>
                    <w:ind w:left="119"/>
                    <w:rPr>
                      <w:sz w:val="20"/>
                      <w:szCs w:val="20"/>
                    </w:rPr>
                  </w:pPr>
                  <w:r>
                    <w:rPr>
                      <w:spacing w:val="4"/>
                      <w:sz w:val="20"/>
                      <w:szCs w:val="20"/>
                    </w:rPr>
                    <w:t>物排</w:t>
                  </w:r>
                </w:p>
                <w:p w14:paraId="435E273A">
                  <w:pPr>
                    <w:pStyle w:val="6"/>
                    <w:spacing w:before="24" w:line="228" w:lineRule="auto"/>
                    <w:ind w:left="119"/>
                    <w:rPr>
                      <w:sz w:val="20"/>
                      <w:szCs w:val="20"/>
                    </w:rPr>
                  </w:pPr>
                  <w:r>
                    <w:rPr>
                      <w:spacing w:val="4"/>
                      <w:sz w:val="20"/>
                      <w:szCs w:val="20"/>
                    </w:rPr>
                    <w:t>放管</w:t>
                  </w:r>
                </w:p>
                <w:p w14:paraId="500A8A4D">
                  <w:pPr>
                    <w:pStyle w:val="6"/>
                    <w:spacing w:before="27" w:line="228" w:lineRule="auto"/>
                    <w:ind w:left="223"/>
                    <w:rPr>
                      <w:sz w:val="20"/>
                      <w:szCs w:val="20"/>
                    </w:rPr>
                  </w:pPr>
                  <w:r>
                    <w:rPr>
                      <w:spacing w:val="1"/>
                      <w:sz w:val="20"/>
                      <w:szCs w:val="20"/>
                    </w:rPr>
                    <w:t>控</w:t>
                  </w:r>
                </w:p>
              </w:tc>
              <w:tc>
                <w:tcPr>
                  <w:tcW w:w="2757" w:type="dxa"/>
                  <w:vAlign w:val="top"/>
                </w:tcPr>
                <w:p w14:paraId="053FC46A">
                  <w:pPr>
                    <w:pStyle w:val="6"/>
                    <w:spacing w:before="45" w:line="239" w:lineRule="auto"/>
                    <w:ind w:left="19" w:right="14" w:firstLine="15"/>
                    <w:rPr>
                      <w:sz w:val="20"/>
                      <w:szCs w:val="20"/>
                    </w:rPr>
                  </w:pPr>
                  <w:r>
                    <w:rPr>
                      <w:rFonts w:ascii="Times New Roman" w:hAnsi="Times New Roman" w:eastAsia="Times New Roman" w:cs="Times New Roman"/>
                      <w:spacing w:val="10"/>
                      <w:sz w:val="20"/>
                      <w:szCs w:val="20"/>
                    </w:rPr>
                    <w:t>1.</w:t>
                  </w:r>
                  <w:r>
                    <w:rPr>
                      <w:spacing w:val="10"/>
                      <w:sz w:val="20"/>
                      <w:szCs w:val="20"/>
                    </w:rPr>
                    <w:t>禁止在二十五度以上陡坡地</w:t>
                  </w:r>
                  <w:r>
                    <w:rPr>
                      <w:spacing w:val="11"/>
                      <w:sz w:val="20"/>
                      <w:szCs w:val="20"/>
                    </w:rPr>
                    <w:t xml:space="preserve"> </w:t>
                  </w:r>
                  <w:r>
                    <w:rPr>
                      <w:spacing w:val="7"/>
                      <w:sz w:val="20"/>
                      <w:szCs w:val="20"/>
                    </w:rPr>
                    <w:t>开垦种植农作物。</w:t>
                  </w:r>
                </w:p>
                <w:p w14:paraId="063D8D25">
                  <w:pPr>
                    <w:pStyle w:val="6"/>
                    <w:spacing w:before="26" w:line="245" w:lineRule="auto"/>
                    <w:ind w:left="18" w:right="14" w:hanging="3"/>
                    <w:rPr>
                      <w:sz w:val="20"/>
                      <w:szCs w:val="20"/>
                    </w:rPr>
                  </w:pPr>
                  <w:r>
                    <w:rPr>
                      <w:rFonts w:ascii="Times New Roman" w:hAnsi="Times New Roman" w:eastAsia="Times New Roman" w:cs="Times New Roman"/>
                      <w:spacing w:val="12"/>
                      <w:sz w:val="20"/>
                      <w:szCs w:val="20"/>
                    </w:rPr>
                    <w:t>2.</w:t>
                  </w:r>
                  <w:r>
                    <w:rPr>
                      <w:spacing w:val="12"/>
                      <w:sz w:val="20"/>
                      <w:szCs w:val="20"/>
                    </w:rPr>
                    <w:t>禁止围湖造田和侵占江河滩</w:t>
                  </w:r>
                  <w:r>
                    <w:rPr>
                      <w:spacing w:val="3"/>
                      <w:sz w:val="20"/>
                      <w:szCs w:val="20"/>
                    </w:rPr>
                    <w:t xml:space="preserve"> </w:t>
                  </w:r>
                  <w:r>
                    <w:rPr>
                      <w:sz w:val="20"/>
                      <w:szCs w:val="20"/>
                    </w:rPr>
                    <w:t>地。</w:t>
                  </w:r>
                </w:p>
                <w:p w14:paraId="5E0F3DFE">
                  <w:pPr>
                    <w:pStyle w:val="6"/>
                    <w:spacing w:before="14"/>
                    <w:ind w:left="23" w:right="14" w:hanging="4"/>
                    <w:jc w:val="both"/>
                    <w:rPr>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23"/>
                      <w:sz w:val="20"/>
                      <w:szCs w:val="20"/>
                    </w:rPr>
                    <w:t xml:space="preserve"> </w:t>
                  </w:r>
                  <w:r>
                    <w:rPr>
                      <w:spacing w:val="10"/>
                      <w:sz w:val="20"/>
                      <w:szCs w:val="20"/>
                    </w:rPr>
                    <w:t>畜禽养殖严格执行禁养区规</w:t>
                  </w:r>
                  <w:r>
                    <w:rPr>
                      <w:sz w:val="20"/>
                      <w:szCs w:val="20"/>
                    </w:rPr>
                    <w:t xml:space="preserve"> </w:t>
                  </w:r>
                  <w:r>
                    <w:rPr>
                      <w:spacing w:val="8"/>
                      <w:sz w:val="20"/>
                      <w:szCs w:val="20"/>
                    </w:rPr>
                    <w:t>定。对草原实行以草定蓄、草 蓄平衡制度，禁止过度放牧。</w:t>
                  </w:r>
                </w:p>
              </w:tc>
              <w:tc>
                <w:tcPr>
                  <w:tcW w:w="3069" w:type="dxa"/>
                  <w:gridSpan w:val="3"/>
                  <w:vAlign w:val="top"/>
                </w:tcPr>
                <w:p w14:paraId="08AFEC06">
                  <w:pPr>
                    <w:pStyle w:val="6"/>
                    <w:spacing w:before="178" w:line="244" w:lineRule="auto"/>
                    <w:ind w:left="20" w:right="11" w:firstLine="15"/>
                    <w:jc w:val="both"/>
                    <w:rPr>
                      <w:sz w:val="20"/>
                      <w:szCs w:val="20"/>
                    </w:rPr>
                  </w:pPr>
                  <w:r>
                    <w:rPr>
                      <w:rFonts w:ascii="Times New Roman" w:hAnsi="Times New Roman" w:eastAsia="Times New Roman" w:cs="Times New Roman"/>
                      <w:spacing w:val="4"/>
                      <w:sz w:val="20"/>
                      <w:szCs w:val="20"/>
                    </w:rPr>
                    <w:t>1.</w:t>
                  </w:r>
                  <w:r>
                    <w:rPr>
                      <w:spacing w:val="4"/>
                      <w:sz w:val="20"/>
                      <w:szCs w:val="20"/>
                    </w:rPr>
                    <w:t>项目为复合型光伏发电，相关种</w:t>
                  </w:r>
                  <w:r>
                    <w:rPr>
                      <w:spacing w:val="1"/>
                      <w:sz w:val="20"/>
                      <w:szCs w:val="20"/>
                    </w:rPr>
                    <w:t xml:space="preserve"> </w:t>
                  </w:r>
                  <w:r>
                    <w:rPr>
                      <w:spacing w:val="16"/>
                      <w:sz w:val="20"/>
                      <w:szCs w:val="20"/>
                    </w:rPr>
                    <w:t>植工程将避开二十五度以上陡坡</w:t>
                  </w:r>
                  <w:r>
                    <w:rPr>
                      <w:spacing w:val="6"/>
                      <w:sz w:val="20"/>
                      <w:szCs w:val="20"/>
                    </w:rPr>
                    <w:t xml:space="preserve"> </w:t>
                  </w:r>
                  <w:r>
                    <w:rPr>
                      <w:spacing w:val="2"/>
                      <w:sz w:val="20"/>
                      <w:szCs w:val="20"/>
                    </w:rPr>
                    <w:t>区域。</w:t>
                  </w:r>
                </w:p>
                <w:p w14:paraId="5C1304A7">
                  <w:pPr>
                    <w:pStyle w:val="6"/>
                    <w:spacing w:before="26" w:line="239" w:lineRule="auto"/>
                    <w:ind w:left="17" w:right="11" w:hanging="2"/>
                    <w:rPr>
                      <w:sz w:val="20"/>
                      <w:szCs w:val="20"/>
                    </w:rPr>
                  </w:pPr>
                  <w:r>
                    <w:rPr>
                      <w:rFonts w:ascii="Times New Roman" w:hAnsi="Times New Roman" w:eastAsia="Times New Roman" w:cs="Times New Roman"/>
                      <w:spacing w:val="17"/>
                      <w:sz w:val="20"/>
                      <w:szCs w:val="20"/>
                    </w:rPr>
                    <w:t>2.</w:t>
                  </w:r>
                  <w:r>
                    <w:rPr>
                      <w:rFonts w:ascii="Times New Roman" w:hAnsi="Times New Roman" w:eastAsia="Times New Roman" w:cs="Times New Roman"/>
                      <w:spacing w:val="-20"/>
                      <w:sz w:val="20"/>
                      <w:szCs w:val="20"/>
                    </w:rPr>
                    <w:t xml:space="preserve"> </w:t>
                  </w:r>
                  <w:r>
                    <w:rPr>
                      <w:spacing w:val="17"/>
                      <w:sz w:val="20"/>
                      <w:szCs w:val="20"/>
                    </w:rPr>
                    <w:t>项目不涉及围湖造田和侵占江</w:t>
                  </w:r>
                  <w:r>
                    <w:rPr>
                      <w:sz w:val="20"/>
                      <w:szCs w:val="20"/>
                    </w:rPr>
                    <w:t xml:space="preserve"> </w:t>
                  </w:r>
                  <w:r>
                    <w:rPr>
                      <w:spacing w:val="5"/>
                      <w:sz w:val="20"/>
                      <w:szCs w:val="20"/>
                    </w:rPr>
                    <w:t>河滩地。</w:t>
                  </w:r>
                </w:p>
                <w:p w14:paraId="4FB87D5D">
                  <w:pPr>
                    <w:pStyle w:val="6"/>
                    <w:spacing w:before="23" w:line="228" w:lineRule="auto"/>
                    <w:ind w:left="20"/>
                    <w:rPr>
                      <w:sz w:val="20"/>
                      <w:szCs w:val="20"/>
                    </w:rPr>
                  </w:pPr>
                  <w:r>
                    <w:rPr>
                      <w:rFonts w:ascii="Times New Roman" w:hAnsi="Times New Roman" w:eastAsia="Times New Roman" w:cs="Times New Roman"/>
                      <w:spacing w:val="7"/>
                      <w:sz w:val="20"/>
                      <w:szCs w:val="20"/>
                    </w:rPr>
                    <w:t>3.</w:t>
                  </w:r>
                  <w:r>
                    <w:rPr>
                      <w:spacing w:val="7"/>
                      <w:sz w:val="20"/>
                      <w:szCs w:val="20"/>
                    </w:rPr>
                    <w:t>项目不涉及畜禽养殖。</w:t>
                  </w:r>
                </w:p>
              </w:tc>
              <w:tc>
                <w:tcPr>
                  <w:tcW w:w="691" w:type="dxa"/>
                  <w:vAlign w:val="top"/>
                </w:tcPr>
                <w:p w14:paraId="764AFED9">
                  <w:pPr>
                    <w:spacing w:line="263" w:lineRule="auto"/>
                    <w:rPr>
                      <w:rFonts w:ascii="Arial"/>
                      <w:sz w:val="21"/>
                    </w:rPr>
                  </w:pPr>
                </w:p>
                <w:p w14:paraId="1B5FF0AB">
                  <w:pPr>
                    <w:spacing w:line="263" w:lineRule="auto"/>
                    <w:rPr>
                      <w:rFonts w:ascii="Arial"/>
                      <w:sz w:val="21"/>
                    </w:rPr>
                  </w:pPr>
                </w:p>
                <w:p w14:paraId="11B3953E">
                  <w:pPr>
                    <w:spacing w:line="264" w:lineRule="auto"/>
                    <w:rPr>
                      <w:rFonts w:ascii="Arial"/>
                      <w:sz w:val="21"/>
                    </w:rPr>
                  </w:pPr>
                </w:p>
                <w:p w14:paraId="4AD52AD0">
                  <w:pPr>
                    <w:pStyle w:val="6"/>
                    <w:spacing w:before="65" w:line="228" w:lineRule="auto"/>
                    <w:ind w:left="142"/>
                    <w:rPr>
                      <w:sz w:val="20"/>
                      <w:szCs w:val="20"/>
                    </w:rPr>
                  </w:pPr>
                  <w:r>
                    <w:rPr>
                      <w:spacing w:val="3"/>
                      <w:sz w:val="20"/>
                      <w:szCs w:val="20"/>
                    </w:rPr>
                    <w:t>符合</w:t>
                  </w:r>
                </w:p>
              </w:tc>
            </w:tr>
            <w:tr w14:paraId="580C9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785" w:type="dxa"/>
                  <w:vMerge w:val="continue"/>
                  <w:tcBorders>
                    <w:top w:val="nil"/>
                  </w:tcBorders>
                  <w:vAlign w:val="top"/>
                </w:tcPr>
                <w:p w14:paraId="5B917E91">
                  <w:pPr>
                    <w:rPr>
                      <w:rFonts w:ascii="Arial"/>
                      <w:sz w:val="21"/>
                    </w:rPr>
                  </w:pPr>
                </w:p>
              </w:tc>
              <w:tc>
                <w:tcPr>
                  <w:tcW w:w="652" w:type="dxa"/>
                  <w:vAlign w:val="top"/>
                </w:tcPr>
                <w:p w14:paraId="24CC45E7">
                  <w:pPr>
                    <w:pStyle w:val="6"/>
                    <w:spacing w:before="180" w:line="244" w:lineRule="auto"/>
                    <w:ind w:left="119" w:right="118"/>
                    <w:jc w:val="both"/>
                    <w:rPr>
                      <w:sz w:val="20"/>
                      <w:szCs w:val="20"/>
                    </w:rPr>
                  </w:pPr>
                  <w:r>
                    <w:rPr>
                      <w:spacing w:val="4"/>
                      <w:sz w:val="20"/>
                      <w:szCs w:val="20"/>
                    </w:rPr>
                    <w:t>环境</w:t>
                  </w:r>
                  <w:r>
                    <w:rPr>
                      <w:sz w:val="20"/>
                      <w:szCs w:val="20"/>
                    </w:rPr>
                    <w:t xml:space="preserve"> </w:t>
                  </w:r>
                  <w:r>
                    <w:rPr>
                      <w:spacing w:val="4"/>
                      <w:sz w:val="20"/>
                      <w:szCs w:val="20"/>
                    </w:rPr>
                    <w:t>风险</w:t>
                  </w:r>
                  <w:r>
                    <w:rPr>
                      <w:sz w:val="20"/>
                      <w:szCs w:val="20"/>
                    </w:rPr>
                    <w:t xml:space="preserve"> </w:t>
                  </w:r>
                  <w:r>
                    <w:rPr>
                      <w:spacing w:val="4"/>
                      <w:sz w:val="20"/>
                      <w:szCs w:val="20"/>
                    </w:rPr>
                    <w:t>防控</w:t>
                  </w:r>
                </w:p>
              </w:tc>
              <w:tc>
                <w:tcPr>
                  <w:tcW w:w="2757" w:type="dxa"/>
                  <w:vAlign w:val="top"/>
                </w:tcPr>
                <w:p w14:paraId="746105B7">
                  <w:pPr>
                    <w:spacing w:line="387" w:lineRule="auto"/>
                    <w:rPr>
                      <w:rFonts w:ascii="Arial"/>
                      <w:sz w:val="21"/>
                    </w:rPr>
                  </w:pPr>
                </w:p>
                <w:p w14:paraId="49460039">
                  <w:pPr>
                    <w:pStyle w:val="6"/>
                    <w:spacing w:before="65" w:line="228" w:lineRule="auto"/>
                    <w:ind w:left="333"/>
                    <w:rPr>
                      <w:sz w:val="20"/>
                      <w:szCs w:val="20"/>
                    </w:rPr>
                  </w:pPr>
                  <w:r>
                    <w:rPr>
                      <w:spacing w:val="7"/>
                      <w:sz w:val="20"/>
                      <w:szCs w:val="20"/>
                    </w:rPr>
                    <w:t>执行昆明市总体要求。</w:t>
                  </w:r>
                </w:p>
              </w:tc>
              <w:tc>
                <w:tcPr>
                  <w:tcW w:w="3069" w:type="dxa"/>
                  <w:gridSpan w:val="3"/>
                  <w:vAlign w:val="top"/>
                </w:tcPr>
                <w:p w14:paraId="3B454F4D">
                  <w:pPr>
                    <w:pStyle w:val="6"/>
                    <w:spacing w:before="46" w:line="243" w:lineRule="auto"/>
                    <w:ind w:left="18" w:right="11" w:firstLine="3"/>
                    <w:jc w:val="both"/>
                    <w:rPr>
                      <w:sz w:val="20"/>
                      <w:szCs w:val="20"/>
                    </w:rPr>
                  </w:pPr>
                  <w:r>
                    <w:rPr>
                      <w:spacing w:val="11"/>
                      <w:sz w:val="20"/>
                      <w:szCs w:val="20"/>
                    </w:rPr>
                    <w:t xml:space="preserve">详见表 </w:t>
                  </w:r>
                  <w:r>
                    <w:rPr>
                      <w:rFonts w:ascii="Times New Roman" w:hAnsi="Times New Roman" w:eastAsia="Times New Roman" w:cs="Times New Roman"/>
                      <w:spacing w:val="11"/>
                      <w:sz w:val="20"/>
                      <w:szCs w:val="20"/>
                    </w:rPr>
                    <w:t>1-4</w:t>
                  </w:r>
                  <w:r>
                    <w:rPr>
                      <w:rFonts w:ascii="Times New Roman" w:hAnsi="Times New Roman" w:eastAsia="Times New Roman" w:cs="Times New Roman"/>
                      <w:spacing w:val="36"/>
                      <w:w w:val="101"/>
                      <w:sz w:val="20"/>
                      <w:szCs w:val="20"/>
                    </w:rPr>
                    <w:t xml:space="preserve"> </w:t>
                  </w:r>
                  <w:r>
                    <w:rPr>
                      <w:spacing w:val="11"/>
                      <w:sz w:val="20"/>
                      <w:szCs w:val="20"/>
                    </w:rPr>
                    <w:t>项目与昆明市环境管</w:t>
                  </w:r>
                  <w:r>
                    <w:rPr>
                      <w:sz w:val="20"/>
                      <w:szCs w:val="20"/>
                    </w:rPr>
                    <w:t xml:space="preserve"> </w:t>
                  </w:r>
                  <w:r>
                    <w:rPr>
                      <w:spacing w:val="16"/>
                      <w:sz w:val="20"/>
                      <w:szCs w:val="20"/>
                    </w:rPr>
                    <w:t>控单元生态环境总体准入要求相</w:t>
                  </w:r>
                  <w:r>
                    <w:rPr>
                      <w:spacing w:val="8"/>
                      <w:sz w:val="20"/>
                      <w:szCs w:val="20"/>
                    </w:rPr>
                    <w:t xml:space="preserve"> </w:t>
                  </w:r>
                  <w:r>
                    <w:rPr>
                      <w:spacing w:val="16"/>
                      <w:sz w:val="20"/>
                      <w:szCs w:val="20"/>
                    </w:rPr>
                    <w:t>符性分析中的环境风险防控要求</w:t>
                  </w:r>
                  <w:r>
                    <w:rPr>
                      <w:spacing w:val="8"/>
                      <w:sz w:val="20"/>
                      <w:szCs w:val="20"/>
                    </w:rPr>
                    <w:t xml:space="preserve"> </w:t>
                  </w:r>
                  <w:r>
                    <w:rPr>
                      <w:spacing w:val="6"/>
                      <w:sz w:val="20"/>
                      <w:szCs w:val="20"/>
                    </w:rPr>
                    <w:t>符合性分析。</w:t>
                  </w:r>
                </w:p>
              </w:tc>
              <w:tc>
                <w:tcPr>
                  <w:tcW w:w="691" w:type="dxa"/>
                  <w:vAlign w:val="top"/>
                </w:tcPr>
                <w:p w14:paraId="0289324D">
                  <w:pPr>
                    <w:spacing w:line="387" w:lineRule="auto"/>
                    <w:rPr>
                      <w:rFonts w:ascii="Arial"/>
                      <w:sz w:val="21"/>
                    </w:rPr>
                  </w:pPr>
                </w:p>
                <w:p w14:paraId="2E08DD65">
                  <w:pPr>
                    <w:pStyle w:val="6"/>
                    <w:spacing w:before="65" w:line="228" w:lineRule="auto"/>
                    <w:ind w:left="142"/>
                    <w:rPr>
                      <w:sz w:val="20"/>
                      <w:szCs w:val="20"/>
                    </w:rPr>
                  </w:pPr>
                  <w:r>
                    <w:rPr>
                      <w:spacing w:val="3"/>
                      <w:sz w:val="20"/>
                      <w:szCs w:val="20"/>
                    </w:rPr>
                    <w:t>符合</w:t>
                  </w:r>
                </w:p>
              </w:tc>
            </w:tr>
            <w:tr w14:paraId="2C8A0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7" w:hRule="atLeast"/>
              </w:trPr>
              <w:tc>
                <w:tcPr>
                  <w:tcW w:w="785" w:type="dxa"/>
                  <w:tcBorders>
                    <w:bottom w:val="nil"/>
                  </w:tcBorders>
                  <w:vAlign w:val="top"/>
                </w:tcPr>
                <w:p w14:paraId="79FC7C38">
                  <w:pPr>
                    <w:spacing w:line="384" w:lineRule="auto"/>
                    <w:rPr>
                      <w:rFonts w:ascii="Arial"/>
                      <w:sz w:val="21"/>
                    </w:rPr>
                  </w:pPr>
                </w:p>
                <w:p w14:paraId="2035DF0B">
                  <w:pPr>
                    <w:pStyle w:val="6"/>
                    <w:spacing w:before="65" w:line="244" w:lineRule="auto"/>
                    <w:ind w:left="140" w:right="18" w:firstLine="5"/>
                    <w:jc w:val="both"/>
                    <w:rPr>
                      <w:sz w:val="20"/>
                      <w:szCs w:val="20"/>
                    </w:rPr>
                  </w:pPr>
                  <w:r>
                    <w:rPr>
                      <w:spacing w:val="5"/>
                      <w:sz w:val="20"/>
                      <w:szCs w:val="20"/>
                    </w:rPr>
                    <w:t>寻甸县</w:t>
                  </w:r>
                  <w:r>
                    <w:rPr>
                      <w:sz w:val="20"/>
                      <w:szCs w:val="20"/>
                    </w:rPr>
                    <w:t xml:space="preserve"> </w:t>
                  </w:r>
                  <w:r>
                    <w:rPr>
                      <w:spacing w:val="7"/>
                      <w:sz w:val="20"/>
                      <w:szCs w:val="20"/>
                    </w:rPr>
                    <w:t>一般管</w:t>
                  </w:r>
                  <w:r>
                    <w:rPr>
                      <w:sz w:val="20"/>
                      <w:szCs w:val="20"/>
                    </w:rPr>
                    <w:t xml:space="preserve"> </w:t>
                  </w:r>
                  <w:r>
                    <w:rPr>
                      <w:spacing w:val="6"/>
                      <w:sz w:val="20"/>
                      <w:szCs w:val="20"/>
                    </w:rPr>
                    <w:t>控单元</w:t>
                  </w:r>
                </w:p>
              </w:tc>
              <w:tc>
                <w:tcPr>
                  <w:tcW w:w="652" w:type="dxa"/>
                  <w:tcBorders>
                    <w:bottom w:val="nil"/>
                  </w:tcBorders>
                  <w:vAlign w:val="top"/>
                </w:tcPr>
                <w:p w14:paraId="6D0FD784">
                  <w:pPr>
                    <w:spacing w:line="387" w:lineRule="auto"/>
                    <w:rPr>
                      <w:rFonts w:ascii="Arial"/>
                      <w:sz w:val="21"/>
                    </w:rPr>
                  </w:pPr>
                </w:p>
                <w:p w14:paraId="1C8B0C71">
                  <w:pPr>
                    <w:pStyle w:val="6"/>
                    <w:spacing w:before="65" w:line="243" w:lineRule="auto"/>
                    <w:ind w:left="119" w:right="118" w:firstLine="6"/>
                    <w:jc w:val="both"/>
                    <w:rPr>
                      <w:sz w:val="20"/>
                      <w:szCs w:val="20"/>
                    </w:rPr>
                  </w:pPr>
                  <w:r>
                    <w:rPr>
                      <w:spacing w:val="1"/>
                      <w:sz w:val="20"/>
                      <w:szCs w:val="20"/>
                    </w:rPr>
                    <w:t>空间</w:t>
                  </w:r>
                  <w:r>
                    <w:rPr>
                      <w:sz w:val="20"/>
                      <w:szCs w:val="20"/>
                    </w:rPr>
                    <w:t xml:space="preserve"> </w:t>
                  </w:r>
                  <w:r>
                    <w:rPr>
                      <w:spacing w:val="4"/>
                      <w:sz w:val="20"/>
                      <w:szCs w:val="20"/>
                    </w:rPr>
                    <w:t>布局</w:t>
                  </w:r>
                  <w:r>
                    <w:rPr>
                      <w:sz w:val="20"/>
                      <w:szCs w:val="20"/>
                    </w:rPr>
                    <w:t xml:space="preserve"> </w:t>
                  </w:r>
                  <w:r>
                    <w:rPr>
                      <w:spacing w:val="4"/>
                      <w:sz w:val="20"/>
                      <w:szCs w:val="20"/>
                    </w:rPr>
                    <w:t>约束</w:t>
                  </w:r>
                </w:p>
              </w:tc>
              <w:tc>
                <w:tcPr>
                  <w:tcW w:w="2757" w:type="dxa"/>
                  <w:tcBorders>
                    <w:bottom w:val="nil"/>
                  </w:tcBorders>
                  <w:vAlign w:val="top"/>
                </w:tcPr>
                <w:p w14:paraId="1BBE878B">
                  <w:pPr>
                    <w:pStyle w:val="6"/>
                    <w:spacing w:before="44" w:line="244" w:lineRule="auto"/>
                    <w:ind w:left="22" w:right="14" w:firstLine="12"/>
                    <w:jc w:val="both"/>
                    <w:rPr>
                      <w:sz w:val="20"/>
                      <w:szCs w:val="20"/>
                    </w:rPr>
                  </w:pPr>
                  <w:r>
                    <w:rPr>
                      <w:rFonts w:ascii="Times New Roman" w:hAnsi="Times New Roman" w:eastAsia="Times New Roman" w:cs="Times New Roman"/>
                      <w:spacing w:val="10"/>
                      <w:sz w:val="20"/>
                      <w:szCs w:val="20"/>
                    </w:rPr>
                    <w:t>1.</w:t>
                  </w:r>
                  <w:r>
                    <w:rPr>
                      <w:spacing w:val="10"/>
                      <w:sz w:val="20"/>
                      <w:szCs w:val="20"/>
                    </w:rPr>
                    <w:t>禁止在林地、河湖管理范围</w:t>
                  </w:r>
                  <w:r>
                    <w:rPr>
                      <w:spacing w:val="11"/>
                      <w:sz w:val="20"/>
                      <w:szCs w:val="20"/>
                    </w:rPr>
                    <w:t xml:space="preserve"> </w:t>
                  </w:r>
                  <w:r>
                    <w:rPr>
                      <w:spacing w:val="8"/>
                      <w:sz w:val="20"/>
                      <w:szCs w:val="20"/>
                    </w:rPr>
                    <w:t>内新建、改建、扩建房地产开</w:t>
                  </w:r>
                  <w:r>
                    <w:rPr>
                      <w:spacing w:val="10"/>
                      <w:sz w:val="20"/>
                      <w:szCs w:val="20"/>
                    </w:rPr>
                    <w:t xml:space="preserve"> </w:t>
                  </w:r>
                  <w:r>
                    <w:rPr>
                      <w:spacing w:val="4"/>
                      <w:sz w:val="20"/>
                      <w:szCs w:val="20"/>
                    </w:rPr>
                    <w:t>发项目。</w:t>
                  </w:r>
                </w:p>
                <w:p w14:paraId="559E9DA5">
                  <w:pPr>
                    <w:pStyle w:val="6"/>
                    <w:spacing w:before="25" w:line="244" w:lineRule="auto"/>
                    <w:ind w:left="18" w:right="14" w:hanging="3"/>
                    <w:rPr>
                      <w:sz w:val="20"/>
                      <w:szCs w:val="20"/>
                    </w:rPr>
                  </w:pPr>
                  <w:r>
                    <w:rPr>
                      <w:rFonts w:ascii="Times New Roman" w:hAnsi="Times New Roman" w:eastAsia="Times New Roman" w:cs="Times New Roman"/>
                      <w:spacing w:val="12"/>
                      <w:sz w:val="20"/>
                      <w:szCs w:val="20"/>
                    </w:rPr>
                    <w:t>2.</w:t>
                  </w:r>
                  <w:r>
                    <w:rPr>
                      <w:spacing w:val="12"/>
                      <w:sz w:val="20"/>
                      <w:szCs w:val="20"/>
                    </w:rPr>
                    <w:t>禁止围湖造田和侵占江河滩</w:t>
                  </w:r>
                  <w:r>
                    <w:rPr>
                      <w:spacing w:val="3"/>
                      <w:sz w:val="20"/>
                      <w:szCs w:val="20"/>
                    </w:rPr>
                    <w:t xml:space="preserve"> </w:t>
                  </w:r>
                  <w:r>
                    <w:rPr>
                      <w:sz w:val="20"/>
                      <w:szCs w:val="20"/>
                    </w:rPr>
                    <w:t>地。</w:t>
                  </w:r>
                </w:p>
                <w:p w14:paraId="3E65CEB9">
                  <w:pPr>
                    <w:pStyle w:val="6"/>
                    <w:spacing w:before="13" w:line="228" w:lineRule="auto"/>
                    <w:ind w:left="19"/>
                    <w:rPr>
                      <w:sz w:val="20"/>
                      <w:szCs w:val="20"/>
                    </w:rPr>
                  </w:pPr>
                  <w:r>
                    <w:rPr>
                      <w:rFonts w:ascii="Times New Roman" w:hAnsi="Times New Roman" w:eastAsia="Times New Roman" w:cs="Times New Roman"/>
                      <w:spacing w:val="12"/>
                      <w:sz w:val="20"/>
                      <w:szCs w:val="20"/>
                    </w:rPr>
                    <w:t>3.</w:t>
                  </w:r>
                  <w:r>
                    <w:rPr>
                      <w:spacing w:val="12"/>
                      <w:sz w:val="20"/>
                      <w:szCs w:val="20"/>
                    </w:rPr>
                    <w:t>禁止企业向滩涂、沼泽、荒</w:t>
                  </w:r>
                </w:p>
              </w:tc>
              <w:tc>
                <w:tcPr>
                  <w:tcW w:w="3069" w:type="dxa"/>
                  <w:gridSpan w:val="3"/>
                  <w:tcBorders>
                    <w:bottom w:val="nil"/>
                  </w:tcBorders>
                  <w:vAlign w:val="top"/>
                </w:tcPr>
                <w:p w14:paraId="02BA3823">
                  <w:pPr>
                    <w:pStyle w:val="6"/>
                    <w:spacing w:before="44" w:line="244" w:lineRule="auto"/>
                    <w:ind w:left="15" w:firstLine="20"/>
                    <w:jc w:val="both"/>
                    <w:rPr>
                      <w:sz w:val="20"/>
                      <w:szCs w:val="20"/>
                    </w:rPr>
                  </w:pPr>
                  <w:r>
                    <w:rPr>
                      <w:rFonts w:ascii="Times New Roman" w:hAnsi="Times New Roman" w:eastAsia="Times New Roman" w:cs="Times New Roman"/>
                      <w:spacing w:val="4"/>
                      <w:sz w:val="20"/>
                      <w:szCs w:val="20"/>
                    </w:rPr>
                    <w:t>1.</w:t>
                  </w:r>
                  <w:r>
                    <w:rPr>
                      <w:spacing w:val="4"/>
                      <w:sz w:val="20"/>
                      <w:szCs w:val="20"/>
                    </w:rPr>
                    <w:t>本项目不属于房地产开发项目。</w:t>
                  </w:r>
                  <w:r>
                    <w:rPr>
                      <w:spacing w:val="13"/>
                      <w:sz w:val="20"/>
                      <w:szCs w:val="20"/>
                    </w:rPr>
                    <w:t xml:space="preserve"> </w:t>
                  </w:r>
                  <w:r>
                    <w:rPr>
                      <w:rFonts w:ascii="Times New Roman" w:hAnsi="Times New Roman" w:eastAsia="Times New Roman" w:cs="Times New Roman"/>
                      <w:spacing w:val="16"/>
                      <w:sz w:val="20"/>
                      <w:szCs w:val="20"/>
                    </w:rPr>
                    <w:t>2.</w:t>
                  </w:r>
                  <w:r>
                    <w:rPr>
                      <w:rFonts w:ascii="Times New Roman" w:hAnsi="Times New Roman" w:eastAsia="Times New Roman" w:cs="Times New Roman"/>
                      <w:spacing w:val="-16"/>
                      <w:sz w:val="20"/>
                      <w:szCs w:val="20"/>
                    </w:rPr>
                    <w:t xml:space="preserve"> </w:t>
                  </w:r>
                  <w:r>
                    <w:rPr>
                      <w:spacing w:val="16"/>
                      <w:sz w:val="20"/>
                      <w:szCs w:val="20"/>
                    </w:rPr>
                    <w:t>项目不涉及围湖造田和侵占江</w:t>
                  </w:r>
                  <w:r>
                    <w:rPr>
                      <w:sz w:val="20"/>
                      <w:szCs w:val="20"/>
                    </w:rPr>
                    <w:t xml:space="preserve"> </w:t>
                  </w:r>
                  <w:r>
                    <w:rPr>
                      <w:spacing w:val="5"/>
                      <w:sz w:val="20"/>
                      <w:szCs w:val="20"/>
                    </w:rPr>
                    <w:t>河滩地。</w:t>
                  </w:r>
                </w:p>
                <w:p w14:paraId="776739D6">
                  <w:pPr>
                    <w:pStyle w:val="6"/>
                    <w:spacing w:before="25" w:line="243" w:lineRule="auto"/>
                    <w:ind w:left="22" w:hanging="2"/>
                    <w:jc w:val="both"/>
                    <w:rPr>
                      <w:sz w:val="20"/>
                      <w:szCs w:val="20"/>
                    </w:rPr>
                  </w:pPr>
                  <w:r>
                    <w:rPr>
                      <w:rFonts w:ascii="Times New Roman" w:hAnsi="Times New Roman" w:eastAsia="Times New Roman" w:cs="Times New Roman"/>
                      <w:spacing w:val="13"/>
                      <w:sz w:val="20"/>
                      <w:szCs w:val="20"/>
                    </w:rPr>
                    <w:t>3.</w:t>
                  </w:r>
                  <w:r>
                    <w:rPr>
                      <w:rFonts w:ascii="Times New Roman" w:hAnsi="Times New Roman" w:eastAsia="Times New Roman" w:cs="Times New Roman"/>
                      <w:spacing w:val="-24"/>
                      <w:sz w:val="20"/>
                      <w:szCs w:val="20"/>
                    </w:rPr>
                    <w:t xml:space="preserve"> </w:t>
                  </w:r>
                  <w:r>
                    <w:rPr>
                      <w:spacing w:val="13"/>
                      <w:sz w:val="20"/>
                      <w:szCs w:val="20"/>
                    </w:rPr>
                    <w:t>项目运营期间损坏更换的电池</w:t>
                  </w:r>
                  <w:r>
                    <w:rPr>
                      <w:sz w:val="20"/>
                      <w:szCs w:val="20"/>
                    </w:rPr>
                    <w:t xml:space="preserve"> </w:t>
                  </w:r>
                  <w:r>
                    <w:rPr>
                      <w:spacing w:val="2"/>
                      <w:sz w:val="20"/>
                      <w:szCs w:val="20"/>
                    </w:rPr>
                    <w:t>组件由厂家回收处置；设备检修、</w:t>
                  </w:r>
                  <w:r>
                    <w:rPr>
                      <w:spacing w:val="10"/>
                      <w:sz w:val="20"/>
                      <w:szCs w:val="20"/>
                    </w:rPr>
                    <w:t xml:space="preserve"> </w:t>
                  </w:r>
                  <w:r>
                    <w:rPr>
                      <w:spacing w:val="12"/>
                      <w:sz w:val="20"/>
                      <w:szCs w:val="20"/>
                    </w:rPr>
                    <w:t>更换产生的废油装桶封闭，进入</w:t>
                  </w:r>
                </w:p>
              </w:tc>
              <w:tc>
                <w:tcPr>
                  <w:tcW w:w="691" w:type="dxa"/>
                  <w:tcBorders>
                    <w:bottom w:val="nil"/>
                  </w:tcBorders>
                  <w:vAlign w:val="top"/>
                </w:tcPr>
                <w:p w14:paraId="0B096D6A">
                  <w:pPr>
                    <w:spacing w:line="328" w:lineRule="auto"/>
                    <w:rPr>
                      <w:rFonts w:ascii="Arial"/>
                      <w:sz w:val="21"/>
                    </w:rPr>
                  </w:pPr>
                </w:p>
                <w:p w14:paraId="52F93A40">
                  <w:pPr>
                    <w:spacing w:line="329" w:lineRule="auto"/>
                    <w:rPr>
                      <w:rFonts w:ascii="Arial"/>
                      <w:sz w:val="21"/>
                    </w:rPr>
                  </w:pPr>
                </w:p>
                <w:p w14:paraId="500ED369">
                  <w:pPr>
                    <w:pStyle w:val="6"/>
                    <w:spacing w:before="65" w:line="228" w:lineRule="auto"/>
                    <w:ind w:left="142"/>
                    <w:rPr>
                      <w:sz w:val="20"/>
                      <w:szCs w:val="20"/>
                    </w:rPr>
                  </w:pPr>
                  <w:r>
                    <w:rPr>
                      <w:spacing w:val="3"/>
                      <w:sz w:val="20"/>
                      <w:szCs w:val="20"/>
                    </w:rPr>
                    <w:t>符合</w:t>
                  </w:r>
                </w:p>
              </w:tc>
            </w:tr>
          </w:tbl>
          <w:p w14:paraId="739A98D7">
            <w:pPr>
              <w:spacing w:line="14" w:lineRule="auto"/>
              <w:rPr>
                <w:rFonts w:ascii="Arial"/>
                <w:sz w:val="2"/>
              </w:rPr>
            </w:pPr>
          </w:p>
        </w:tc>
      </w:tr>
    </w:tbl>
    <w:p w14:paraId="632E6CAE">
      <w:pPr>
        <w:rPr>
          <w:rFonts w:ascii="Arial"/>
          <w:sz w:val="21"/>
        </w:rPr>
      </w:pPr>
    </w:p>
    <w:p w14:paraId="0108EB62">
      <w:pPr>
        <w:rPr>
          <w:rFonts w:ascii="Arial" w:hAnsi="Arial" w:eastAsia="Arial" w:cs="Arial"/>
          <w:sz w:val="21"/>
          <w:szCs w:val="21"/>
        </w:rPr>
        <w:sectPr>
          <w:footerReference r:id="rId20" w:type="default"/>
          <w:pgSz w:w="11906" w:h="16839"/>
          <w:pgMar w:top="1431" w:right="1407" w:bottom="1278" w:left="1407" w:header="0" w:footer="1116" w:gutter="0"/>
          <w:cols w:space="720" w:num="1"/>
        </w:sectPr>
      </w:pPr>
    </w:p>
    <w:p w14:paraId="5D1E522D">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29212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54" w:hRule="atLeast"/>
        </w:trPr>
        <w:tc>
          <w:tcPr>
            <w:tcW w:w="1014" w:type="dxa"/>
            <w:tcBorders>
              <w:top w:val="single" w:color="000000" w:sz="4" w:space="0"/>
              <w:right w:val="single" w:color="000000" w:sz="2" w:space="0"/>
            </w:tcBorders>
            <w:vAlign w:val="top"/>
          </w:tcPr>
          <w:p w14:paraId="1582C378">
            <w:pPr>
              <w:rPr>
                <w:rFonts w:ascii="Arial"/>
                <w:sz w:val="21"/>
              </w:rPr>
            </w:pPr>
          </w:p>
        </w:tc>
        <w:tc>
          <w:tcPr>
            <w:tcW w:w="8062" w:type="dxa"/>
            <w:tcBorders>
              <w:top w:val="single" w:color="000000" w:sz="4" w:space="0"/>
              <w:left w:val="single" w:color="000000" w:sz="2" w:space="0"/>
            </w:tcBorders>
            <w:vAlign w:val="top"/>
          </w:tcPr>
          <w:p w14:paraId="48BA98A3">
            <w:pPr>
              <w:spacing w:line="15" w:lineRule="exact"/>
            </w:pPr>
          </w:p>
          <w:tbl>
            <w:tblPr>
              <w:tblStyle w:val="5"/>
              <w:tblW w:w="7839"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652"/>
              <w:gridCol w:w="2757"/>
              <w:gridCol w:w="3069"/>
              <w:gridCol w:w="691"/>
            </w:tblGrid>
            <w:tr w14:paraId="5D3E5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670" w:type="dxa"/>
                  <w:vMerge w:val="restart"/>
                  <w:tcBorders>
                    <w:top w:val="nil"/>
                    <w:bottom w:val="nil"/>
                  </w:tcBorders>
                  <w:vAlign w:val="top"/>
                </w:tcPr>
                <w:p w14:paraId="7EA3AA19">
                  <w:pPr>
                    <w:rPr>
                      <w:rFonts w:ascii="Arial"/>
                      <w:sz w:val="21"/>
                    </w:rPr>
                  </w:pPr>
                </w:p>
              </w:tc>
              <w:tc>
                <w:tcPr>
                  <w:tcW w:w="652" w:type="dxa"/>
                  <w:tcBorders>
                    <w:top w:val="nil"/>
                  </w:tcBorders>
                  <w:vAlign w:val="top"/>
                </w:tcPr>
                <w:p w14:paraId="09953A01">
                  <w:pPr>
                    <w:rPr>
                      <w:rFonts w:ascii="Arial"/>
                      <w:sz w:val="21"/>
                    </w:rPr>
                  </w:pPr>
                </w:p>
              </w:tc>
              <w:tc>
                <w:tcPr>
                  <w:tcW w:w="2757" w:type="dxa"/>
                  <w:tcBorders>
                    <w:top w:val="nil"/>
                  </w:tcBorders>
                  <w:vAlign w:val="top"/>
                </w:tcPr>
                <w:p w14:paraId="4C0381F7">
                  <w:pPr>
                    <w:pStyle w:val="6"/>
                    <w:spacing w:before="57" w:line="239" w:lineRule="auto"/>
                    <w:ind w:left="19" w:right="14"/>
                    <w:rPr>
                      <w:sz w:val="20"/>
                      <w:szCs w:val="20"/>
                    </w:rPr>
                  </w:pPr>
                  <w:r>
                    <w:rPr>
                      <w:spacing w:val="9"/>
                      <w:sz w:val="20"/>
                      <w:szCs w:val="20"/>
                    </w:rPr>
                    <w:t>地等未利用地非法排污、倾倒</w:t>
                  </w:r>
                  <w:r>
                    <w:rPr>
                      <w:sz w:val="20"/>
                      <w:szCs w:val="20"/>
                    </w:rPr>
                    <w:t xml:space="preserve"> </w:t>
                  </w:r>
                  <w:r>
                    <w:rPr>
                      <w:spacing w:val="6"/>
                      <w:sz w:val="20"/>
                      <w:szCs w:val="20"/>
                    </w:rPr>
                    <w:t>有毒有害物质。</w:t>
                  </w:r>
                </w:p>
              </w:tc>
              <w:tc>
                <w:tcPr>
                  <w:tcW w:w="3069" w:type="dxa"/>
                  <w:tcBorders>
                    <w:top w:val="nil"/>
                  </w:tcBorders>
                  <w:vAlign w:val="top"/>
                </w:tcPr>
                <w:p w14:paraId="387F7769">
                  <w:pPr>
                    <w:pStyle w:val="6"/>
                    <w:spacing w:before="59" w:line="242" w:lineRule="auto"/>
                    <w:ind w:left="18" w:right="11" w:firstLine="1"/>
                    <w:rPr>
                      <w:sz w:val="20"/>
                      <w:szCs w:val="20"/>
                    </w:rPr>
                  </w:pPr>
                  <w:r>
                    <w:rPr>
                      <w:spacing w:val="16"/>
                      <w:sz w:val="20"/>
                      <w:szCs w:val="20"/>
                    </w:rPr>
                    <w:t>化桃箐项目升压站危废贮存库暂</w:t>
                  </w:r>
                  <w:r>
                    <w:rPr>
                      <w:spacing w:val="7"/>
                      <w:sz w:val="20"/>
                      <w:szCs w:val="20"/>
                    </w:rPr>
                    <w:t xml:space="preserve"> </w:t>
                  </w:r>
                  <w:r>
                    <w:rPr>
                      <w:spacing w:val="16"/>
                      <w:sz w:val="20"/>
                      <w:szCs w:val="20"/>
                    </w:rPr>
                    <w:t>存，定期交由有资质单位处理。</w:t>
                  </w:r>
                  <w:r>
                    <w:rPr>
                      <w:spacing w:val="8"/>
                      <w:sz w:val="20"/>
                      <w:szCs w:val="20"/>
                    </w:rPr>
                    <w:t xml:space="preserve"> </w:t>
                  </w:r>
                  <w:r>
                    <w:rPr>
                      <w:spacing w:val="3"/>
                      <w:sz w:val="20"/>
                      <w:szCs w:val="20"/>
                    </w:rPr>
                    <w:t>固废全部</w:t>
                  </w:r>
                  <w:r>
                    <w:rPr>
                      <w:spacing w:val="-16"/>
                      <w:sz w:val="20"/>
                      <w:szCs w:val="20"/>
                    </w:rPr>
                    <w:t xml:space="preserve"> </w:t>
                  </w:r>
                  <w:r>
                    <w:rPr>
                      <w:rFonts w:ascii="Times New Roman" w:hAnsi="Times New Roman" w:eastAsia="Times New Roman" w:cs="Times New Roman"/>
                      <w:spacing w:val="3"/>
                      <w:sz w:val="20"/>
                      <w:szCs w:val="20"/>
                    </w:rPr>
                    <w:t>100</w:t>
                  </w:r>
                  <w:r>
                    <w:rPr>
                      <w:spacing w:val="3"/>
                      <w:sz w:val="20"/>
                      <w:szCs w:val="20"/>
                    </w:rPr>
                    <w:t>％处置，不向水域倾</w:t>
                  </w:r>
                  <w:r>
                    <w:rPr>
                      <w:sz w:val="20"/>
                      <w:szCs w:val="20"/>
                    </w:rPr>
                    <w:t xml:space="preserve"> </w:t>
                  </w:r>
                  <w:r>
                    <w:rPr>
                      <w:spacing w:val="7"/>
                      <w:sz w:val="20"/>
                      <w:szCs w:val="20"/>
                    </w:rPr>
                    <w:t>倒有毒有害物质。</w:t>
                  </w:r>
                </w:p>
              </w:tc>
              <w:tc>
                <w:tcPr>
                  <w:tcW w:w="691" w:type="dxa"/>
                  <w:tcBorders>
                    <w:top w:val="nil"/>
                  </w:tcBorders>
                  <w:vAlign w:val="top"/>
                </w:tcPr>
                <w:p w14:paraId="2698883B">
                  <w:pPr>
                    <w:rPr>
                      <w:rFonts w:ascii="Arial"/>
                      <w:sz w:val="21"/>
                    </w:rPr>
                  </w:pPr>
                </w:p>
              </w:tc>
            </w:tr>
            <w:tr w14:paraId="255B3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8" w:hRule="atLeast"/>
              </w:trPr>
              <w:tc>
                <w:tcPr>
                  <w:tcW w:w="670" w:type="dxa"/>
                  <w:vMerge w:val="continue"/>
                  <w:tcBorders>
                    <w:top w:val="nil"/>
                    <w:bottom w:val="nil"/>
                  </w:tcBorders>
                  <w:vAlign w:val="top"/>
                </w:tcPr>
                <w:p w14:paraId="71AF4FBC">
                  <w:pPr>
                    <w:rPr>
                      <w:rFonts w:ascii="Arial"/>
                      <w:sz w:val="21"/>
                    </w:rPr>
                  </w:pPr>
                </w:p>
              </w:tc>
              <w:tc>
                <w:tcPr>
                  <w:tcW w:w="652" w:type="dxa"/>
                  <w:vAlign w:val="top"/>
                </w:tcPr>
                <w:p w14:paraId="4DEA3B78">
                  <w:pPr>
                    <w:spacing w:line="265" w:lineRule="auto"/>
                    <w:rPr>
                      <w:rFonts w:ascii="Arial"/>
                      <w:sz w:val="21"/>
                    </w:rPr>
                  </w:pPr>
                </w:p>
                <w:p w14:paraId="5346DF96">
                  <w:pPr>
                    <w:spacing w:line="265" w:lineRule="auto"/>
                    <w:rPr>
                      <w:rFonts w:ascii="Arial"/>
                      <w:sz w:val="21"/>
                    </w:rPr>
                  </w:pPr>
                </w:p>
                <w:p w14:paraId="7FF1A7DF">
                  <w:pPr>
                    <w:spacing w:line="265" w:lineRule="auto"/>
                    <w:rPr>
                      <w:rFonts w:ascii="Arial"/>
                      <w:sz w:val="21"/>
                    </w:rPr>
                  </w:pPr>
                </w:p>
                <w:p w14:paraId="3F476358">
                  <w:pPr>
                    <w:spacing w:line="265" w:lineRule="auto"/>
                    <w:rPr>
                      <w:rFonts w:ascii="Arial"/>
                      <w:sz w:val="21"/>
                    </w:rPr>
                  </w:pPr>
                </w:p>
                <w:p w14:paraId="79C90799">
                  <w:pPr>
                    <w:spacing w:line="265" w:lineRule="auto"/>
                    <w:rPr>
                      <w:rFonts w:ascii="Arial"/>
                      <w:sz w:val="21"/>
                    </w:rPr>
                  </w:pPr>
                </w:p>
                <w:p w14:paraId="2C685E60">
                  <w:pPr>
                    <w:spacing w:line="266" w:lineRule="auto"/>
                    <w:rPr>
                      <w:rFonts w:ascii="Arial"/>
                      <w:sz w:val="21"/>
                    </w:rPr>
                  </w:pPr>
                </w:p>
                <w:p w14:paraId="06F3B390">
                  <w:pPr>
                    <w:pStyle w:val="6"/>
                    <w:spacing w:before="65" w:line="228" w:lineRule="auto"/>
                    <w:ind w:left="17"/>
                    <w:rPr>
                      <w:sz w:val="20"/>
                      <w:szCs w:val="20"/>
                    </w:rPr>
                  </w:pPr>
                  <w:r>
                    <w:rPr>
                      <w:spacing w:val="6"/>
                      <w:sz w:val="20"/>
                      <w:szCs w:val="20"/>
                    </w:rPr>
                    <w:t>污染物</w:t>
                  </w:r>
                </w:p>
                <w:p w14:paraId="67902BAC">
                  <w:pPr>
                    <w:pStyle w:val="6"/>
                    <w:spacing w:before="23" w:line="228" w:lineRule="auto"/>
                    <w:ind w:left="15"/>
                    <w:rPr>
                      <w:sz w:val="20"/>
                      <w:szCs w:val="20"/>
                    </w:rPr>
                  </w:pPr>
                  <w:r>
                    <w:rPr>
                      <w:spacing w:val="6"/>
                      <w:sz w:val="20"/>
                      <w:szCs w:val="20"/>
                    </w:rPr>
                    <w:t>排放管</w:t>
                  </w:r>
                </w:p>
                <w:p w14:paraId="19E94E18">
                  <w:pPr>
                    <w:pStyle w:val="6"/>
                    <w:spacing w:before="27" w:line="228" w:lineRule="auto"/>
                    <w:ind w:left="223"/>
                    <w:rPr>
                      <w:sz w:val="20"/>
                      <w:szCs w:val="20"/>
                    </w:rPr>
                  </w:pPr>
                  <w:r>
                    <w:rPr>
                      <w:spacing w:val="1"/>
                      <w:sz w:val="20"/>
                      <w:szCs w:val="20"/>
                    </w:rPr>
                    <w:t>控</w:t>
                  </w:r>
                </w:p>
              </w:tc>
              <w:tc>
                <w:tcPr>
                  <w:tcW w:w="2757" w:type="dxa"/>
                  <w:vAlign w:val="top"/>
                </w:tcPr>
                <w:p w14:paraId="6F34354D">
                  <w:pPr>
                    <w:pStyle w:val="6"/>
                    <w:spacing w:before="32" w:line="243" w:lineRule="auto"/>
                    <w:ind w:left="9" w:right="2" w:firstLine="16"/>
                    <w:jc w:val="both"/>
                    <w:rPr>
                      <w:sz w:val="20"/>
                      <w:szCs w:val="20"/>
                    </w:rPr>
                  </w:pPr>
                  <w:r>
                    <w:rPr>
                      <w:rFonts w:ascii="Times New Roman" w:hAnsi="Times New Roman" w:eastAsia="Times New Roman" w:cs="Times New Roman"/>
                      <w:spacing w:val="9"/>
                      <w:sz w:val="20"/>
                      <w:szCs w:val="20"/>
                    </w:rPr>
                    <w:t>1.</w:t>
                  </w:r>
                  <w:r>
                    <w:rPr>
                      <w:spacing w:val="9"/>
                      <w:sz w:val="20"/>
                      <w:szCs w:val="20"/>
                    </w:rPr>
                    <w:t>严格控制“两高</w:t>
                  </w:r>
                  <w:r>
                    <w:rPr>
                      <w:spacing w:val="-56"/>
                      <w:sz w:val="20"/>
                      <w:szCs w:val="20"/>
                    </w:rPr>
                    <w:t xml:space="preserve"> </w:t>
                  </w:r>
                  <w:r>
                    <w:rPr>
                      <w:spacing w:val="9"/>
                      <w:sz w:val="20"/>
                      <w:szCs w:val="20"/>
                    </w:rPr>
                    <w:t>”行业新增</w:t>
                  </w:r>
                  <w:r>
                    <w:rPr>
                      <w:sz w:val="20"/>
                      <w:szCs w:val="20"/>
                    </w:rPr>
                    <w:t xml:space="preserve"> </w:t>
                  </w:r>
                  <w:r>
                    <w:rPr>
                      <w:spacing w:val="10"/>
                      <w:sz w:val="20"/>
                      <w:szCs w:val="20"/>
                    </w:rPr>
                    <w:t>产能，新、改、扩建项目要实</w:t>
                  </w:r>
                  <w:r>
                    <w:rPr>
                      <w:spacing w:val="8"/>
                      <w:sz w:val="20"/>
                      <w:szCs w:val="20"/>
                    </w:rPr>
                    <w:t xml:space="preserve"> 行产能等量或减量置换。</w:t>
                  </w:r>
                </w:p>
                <w:p w14:paraId="7BEFE296">
                  <w:pPr>
                    <w:pStyle w:val="6"/>
                    <w:spacing w:before="24" w:line="247" w:lineRule="auto"/>
                    <w:ind w:left="8" w:right="2" w:hanging="3"/>
                    <w:jc w:val="both"/>
                    <w:rPr>
                      <w:sz w:val="20"/>
                      <w:szCs w:val="20"/>
                    </w:rPr>
                  </w:pPr>
                  <w:r>
                    <w:rPr>
                      <w:rFonts w:ascii="Times New Roman" w:hAnsi="Times New Roman" w:eastAsia="Times New Roman" w:cs="Times New Roman"/>
                      <w:spacing w:val="13"/>
                      <w:sz w:val="20"/>
                      <w:szCs w:val="20"/>
                    </w:rPr>
                    <w:t>2.</w:t>
                  </w:r>
                  <w:r>
                    <w:rPr>
                      <w:spacing w:val="13"/>
                      <w:sz w:val="20"/>
                      <w:szCs w:val="20"/>
                    </w:rPr>
                    <w:t>严格用地准入，工业用地及</w:t>
                  </w:r>
                  <w:r>
                    <w:rPr>
                      <w:spacing w:val="10"/>
                      <w:sz w:val="20"/>
                      <w:szCs w:val="20"/>
                    </w:rPr>
                    <w:t xml:space="preserve"> </w:t>
                  </w:r>
                  <w:r>
                    <w:rPr>
                      <w:spacing w:val="6"/>
                      <w:sz w:val="20"/>
                      <w:szCs w:val="20"/>
                    </w:rPr>
                    <w:t>商业用地供地前，</w:t>
                  </w:r>
                  <w:r>
                    <w:rPr>
                      <w:spacing w:val="-40"/>
                      <w:sz w:val="20"/>
                      <w:szCs w:val="20"/>
                    </w:rPr>
                    <w:t xml:space="preserve"> </w:t>
                  </w:r>
                  <w:r>
                    <w:rPr>
                      <w:spacing w:val="6"/>
                      <w:sz w:val="20"/>
                      <w:szCs w:val="20"/>
                    </w:rPr>
                    <w:t>自然资源部</w:t>
                  </w:r>
                  <w:r>
                    <w:rPr>
                      <w:sz w:val="20"/>
                      <w:szCs w:val="20"/>
                    </w:rPr>
                    <w:t xml:space="preserve"> </w:t>
                  </w:r>
                  <w:r>
                    <w:rPr>
                      <w:spacing w:val="10"/>
                      <w:sz w:val="20"/>
                      <w:szCs w:val="20"/>
                    </w:rPr>
                    <w:t>门需对拟供地块进行土壤环境</w:t>
                  </w:r>
                  <w:r>
                    <w:rPr>
                      <w:spacing w:val="8"/>
                      <w:sz w:val="20"/>
                      <w:szCs w:val="20"/>
                    </w:rPr>
                    <w:t xml:space="preserve"> </w:t>
                  </w:r>
                  <w:r>
                    <w:rPr>
                      <w:spacing w:val="10"/>
                      <w:sz w:val="20"/>
                      <w:szCs w:val="20"/>
                    </w:rPr>
                    <w:t>状况调查，评估环境污染风险</w:t>
                  </w:r>
                  <w:r>
                    <w:rPr>
                      <w:spacing w:val="8"/>
                      <w:sz w:val="20"/>
                      <w:szCs w:val="20"/>
                    </w:rPr>
                    <w:t xml:space="preserve"> </w:t>
                  </w:r>
                  <w:r>
                    <w:rPr>
                      <w:spacing w:val="6"/>
                      <w:sz w:val="20"/>
                      <w:szCs w:val="20"/>
                    </w:rPr>
                    <w:t>后方可供地。</w:t>
                  </w:r>
                </w:p>
                <w:p w14:paraId="3AF17484">
                  <w:pPr>
                    <w:pStyle w:val="6"/>
                    <w:spacing w:before="23" w:line="244" w:lineRule="auto"/>
                    <w:ind w:left="8" w:right="2" w:firstLine="1"/>
                    <w:jc w:val="both"/>
                    <w:rPr>
                      <w:sz w:val="20"/>
                      <w:szCs w:val="20"/>
                    </w:rPr>
                  </w:pPr>
                  <w:r>
                    <w:rPr>
                      <w:rFonts w:ascii="Times New Roman" w:hAnsi="Times New Roman" w:eastAsia="Times New Roman" w:cs="Times New Roman"/>
                      <w:spacing w:val="10"/>
                      <w:sz w:val="20"/>
                      <w:szCs w:val="20"/>
                    </w:rPr>
                    <w:t>3.</w:t>
                  </w:r>
                  <w:r>
                    <w:rPr>
                      <w:spacing w:val="10"/>
                      <w:sz w:val="20"/>
                      <w:szCs w:val="20"/>
                    </w:rPr>
                    <w:t>禁止使用炸鱼、毒鱼、</w:t>
                  </w:r>
                  <w:r>
                    <w:rPr>
                      <w:spacing w:val="-52"/>
                      <w:sz w:val="20"/>
                      <w:szCs w:val="20"/>
                    </w:rPr>
                    <w:t xml:space="preserve"> </w:t>
                  </w:r>
                  <w:r>
                    <w:rPr>
                      <w:spacing w:val="10"/>
                      <w:sz w:val="20"/>
                      <w:szCs w:val="20"/>
                    </w:rPr>
                    <w:t>电鱼</w:t>
                  </w:r>
                  <w:r>
                    <w:rPr>
                      <w:sz w:val="20"/>
                      <w:szCs w:val="20"/>
                    </w:rPr>
                    <w:t xml:space="preserve"> </w:t>
                  </w:r>
                  <w:r>
                    <w:rPr>
                      <w:spacing w:val="28"/>
                      <w:sz w:val="20"/>
                      <w:szCs w:val="20"/>
                    </w:rPr>
                    <w:t>等破坏渔业资源方法进行捕</w:t>
                  </w:r>
                  <w:r>
                    <w:rPr>
                      <w:spacing w:val="3"/>
                      <w:sz w:val="20"/>
                      <w:szCs w:val="20"/>
                    </w:rPr>
                    <w:t xml:space="preserve"> </w:t>
                  </w:r>
                  <w:r>
                    <w:rPr>
                      <w:sz w:val="20"/>
                      <w:szCs w:val="20"/>
                    </w:rPr>
                    <w:t>捞。</w:t>
                  </w:r>
                </w:p>
                <w:p w14:paraId="3B5D01A1">
                  <w:pPr>
                    <w:pStyle w:val="6"/>
                    <w:spacing w:before="23" w:line="243" w:lineRule="auto"/>
                    <w:ind w:left="7" w:right="2" w:hanging="3"/>
                    <w:jc w:val="both"/>
                    <w:rPr>
                      <w:sz w:val="20"/>
                      <w:szCs w:val="20"/>
                    </w:rPr>
                  </w:pPr>
                  <w:r>
                    <w:rPr>
                      <w:rFonts w:ascii="Times New Roman" w:hAnsi="Times New Roman" w:eastAsia="Times New Roman" w:cs="Times New Roman"/>
                      <w:spacing w:val="13"/>
                      <w:sz w:val="20"/>
                      <w:szCs w:val="20"/>
                    </w:rPr>
                    <w:t>4.</w:t>
                  </w:r>
                  <w:r>
                    <w:rPr>
                      <w:spacing w:val="13"/>
                      <w:sz w:val="20"/>
                      <w:szCs w:val="20"/>
                    </w:rPr>
                    <w:t>禁止在禁渔区、禁渔期进行</w:t>
                  </w:r>
                  <w:r>
                    <w:rPr>
                      <w:spacing w:val="11"/>
                      <w:sz w:val="20"/>
                      <w:szCs w:val="20"/>
                    </w:rPr>
                    <w:t xml:space="preserve"> </w:t>
                  </w:r>
                  <w:r>
                    <w:rPr>
                      <w:spacing w:val="10"/>
                      <w:sz w:val="20"/>
                      <w:szCs w:val="20"/>
                    </w:rPr>
                    <w:t>捕捞。禁止使用小于最小网目</w:t>
                  </w:r>
                  <w:r>
                    <w:rPr>
                      <w:spacing w:val="9"/>
                      <w:sz w:val="20"/>
                      <w:szCs w:val="20"/>
                    </w:rPr>
                    <w:t xml:space="preserve"> </w:t>
                  </w:r>
                  <w:r>
                    <w:rPr>
                      <w:spacing w:val="10"/>
                      <w:sz w:val="20"/>
                      <w:szCs w:val="20"/>
                    </w:rPr>
                    <w:t>尺寸的网具进行捕捞，未依法</w:t>
                  </w:r>
                  <w:r>
                    <w:rPr>
                      <w:spacing w:val="9"/>
                      <w:sz w:val="20"/>
                      <w:szCs w:val="20"/>
                    </w:rPr>
                    <w:t xml:space="preserve"> </w:t>
                  </w:r>
                  <w:r>
                    <w:rPr>
                      <w:spacing w:val="8"/>
                      <w:sz w:val="20"/>
                      <w:szCs w:val="20"/>
                    </w:rPr>
                    <w:t>取得捕捞许可证擅自捕捞。</w:t>
                  </w:r>
                </w:p>
              </w:tc>
              <w:tc>
                <w:tcPr>
                  <w:tcW w:w="3069" w:type="dxa"/>
                  <w:vAlign w:val="top"/>
                </w:tcPr>
                <w:p w14:paraId="49B78F09">
                  <w:pPr>
                    <w:spacing w:line="266" w:lineRule="auto"/>
                    <w:rPr>
                      <w:rFonts w:ascii="Arial"/>
                      <w:sz w:val="21"/>
                    </w:rPr>
                  </w:pPr>
                </w:p>
                <w:p w14:paraId="3EAC9FDD">
                  <w:pPr>
                    <w:spacing w:line="266" w:lineRule="auto"/>
                    <w:rPr>
                      <w:rFonts w:ascii="Arial"/>
                      <w:sz w:val="21"/>
                    </w:rPr>
                  </w:pPr>
                </w:p>
                <w:p w14:paraId="2EEFB8A3">
                  <w:pPr>
                    <w:spacing w:line="266" w:lineRule="auto"/>
                    <w:rPr>
                      <w:rFonts w:ascii="Arial"/>
                      <w:sz w:val="21"/>
                    </w:rPr>
                  </w:pPr>
                </w:p>
                <w:p w14:paraId="56E27017">
                  <w:pPr>
                    <w:spacing w:line="267" w:lineRule="auto"/>
                    <w:rPr>
                      <w:rFonts w:ascii="Arial"/>
                      <w:sz w:val="21"/>
                    </w:rPr>
                  </w:pPr>
                </w:p>
                <w:p w14:paraId="274F753D">
                  <w:pPr>
                    <w:pStyle w:val="6"/>
                    <w:spacing w:before="65" w:line="239" w:lineRule="auto"/>
                    <w:ind w:right="1" w:firstLine="26"/>
                    <w:rPr>
                      <w:sz w:val="20"/>
                      <w:szCs w:val="20"/>
                    </w:rPr>
                  </w:pPr>
                  <w:r>
                    <w:rPr>
                      <w:rFonts w:ascii="Times New Roman" w:hAnsi="Times New Roman" w:eastAsia="Times New Roman" w:cs="Times New Roman"/>
                      <w:spacing w:val="5"/>
                      <w:sz w:val="20"/>
                      <w:szCs w:val="20"/>
                    </w:rPr>
                    <w:t>1.</w:t>
                  </w:r>
                  <w:r>
                    <w:rPr>
                      <w:spacing w:val="5"/>
                      <w:sz w:val="20"/>
                      <w:szCs w:val="20"/>
                    </w:rPr>
                    <w:t>本项目为光伏发电项目，不属于</w:t>
                  </w:r>
                  <w:r>
                    <w:rPr>
                      <w:spacing w:val="4"/>
                      <w:sz w:val="20"/>
                      <w:szCs w:val="20"/>
                    </w:rPr>
                    <w:t xml:space="preserve"> “两高</w:t>
                  </w:r>
                  <w:r>
                    <w:rPr>
                      <w:spacing w:val="-70"/>
                      <w:sz w:val="20"/>
                      <w:szCs w:val="20"/>
                    </w:rPr>
                    <w:t xml:space="preserve"> </w:t>
                  </w:r>
                  <w:r>
                    <w:rPr>
                      <w:spacing w:val="4"/>
                      <w:sz w:val="20"/>
                      <w:szCs w:val="20"/>
                    </w:rPr>
                    <w:t>”行业。</w:t>
                  </w:r>
                </w:p>
                <w:p w14:paraId="409B496C">
                  <w:pPr>
                    <w:pStyle w:val="6"/>
                    <w:spacing w:before="25"/>
                    <w:ind w:left="13" w:right="4" w:hanging="7"/>
                    <w:rPr>
                      <w:sz w:val="20"/>
                      <w:szCs w:val="20"/>
                    </w:rPr>
                  </w:pPr>
                  <w:r>
                    <w:rPr>
                      <w:rFonts w:ascii="Times New Roman" w:hAnsi="Times New Roman" w:eastAsia="Times New Roman" w:cs="Times New Roman"/>
                      <w:spacing w:val="18"/>
                      <w:sz w:val="20"/>
                      <w:szCs w:val="20"/>
                    </w:rPr>
                    <w:t>2.</w:t>
                  </w:r>
                  <w:r>
                    <w:rPr>
                      <w:rFonts w:ascii="Times New Roman" w:hAnsi="Times New Roman" w:eastAsia="Times New Roman" w:cs="Times New Roman"/>
                      <w:spacing w:val="-18"/>
                      <w:sz w:val="20"/>
                      <w:szCs w:val="20"/>
                    </w:rPr>
                    <w:t xml:space="preserve"> </w:t>
                  </w:r>
                  <w:r>
                    <w:rPr>
                      <w:spacing w:val="18"/>
                      <w:sz w:val="20"/>
                      <w:szCs w:val="20"/>
                    </w:rPr>
                    <w:t>项目征占地性质不属于工业及</w:t>
                  </w:r>
                  <w:r>
                    <w:rPr>
                      <w:sz w:val="20"/>
                      <w:szCs w:val="20"/>
                    </w:rPr>
                    <w:t xml:space="preserve"> </w:t>
                  </w:r>
                  <w:r>
                    <w:rPr>
                      <w:spacing w:val="5"/>
                      <w:sz w:val="20"/>
                      <w:szCs w:val="20"/>
                    </w:rPr>
                    <w:t>商业用地。</w:t>
                  </w:r>
                </w:p>
                <w:p w14:paraId="0D82AB39">
                  <w:pPr>
                    <w:pStyle w:val="6"/>
                    <w:spacing w:before="23"/>
                    <w:ind w:left="9" w:right="1" w:firstLine="1"/>
                    <w:rPr>
                      <w:sz w:val="20"/>
                      <w:szCs w:val="20"/>
                    </w:rPr>
                  </w:pPr>
                  <w:r>
                    <w:rPr>
                      <w:rFonts w:ascii="Times New Roman" w:hAnsi="Times New Roman" w:eastAsia="Times New Roman" w:cs="Times New Roman"/>
                      <w:spacing w:val="16"/>
                      <w:sz w:val="20"/>
                      <w:szCs w:val="20"/>
                    </w:rPr>
                    <w:t>3~4.</w:t>
                  </w:r>
                  <w:r>
                    <w:rPr>
                      <w:rFonts w:ascii="Times New Roman" w:hAnsi="Times New Roman" w:eastAsia="Times New Roman" w:cs="Times New Roman"/>
                      <w:spacing w:val="-14"/>
                      <w:sz w:val="20"/>
                      <w:szCs w:val="20"/>
                    </w:rPr>
                    <w:t xml:space="preserve"> </w:t>
                  </w:r>
                  <w:r>
                    <w:rPr>
                      <w:spacing w:val="16"/>
                      <w:sz w:val="20"/>
                      <w:szCs w:val="20"/>
                    </w:rPr>
                    <w:t>项目为光伏发电，不涉及捕</w:t>
                  </w:r>
                  <w:r>
                    <w:rPr>
                      <w:sz w:val="20"/>
                      <w:szCs w:val="20"/>
                    </w:rPr>
                    <w:t xml:space="preserve"> </w:t>
                  </w:r>
                  <w:r>
                    <w:rPr>
                      <w:spacing w:val="8"/>
                      <w:sz w:val="20"/>
                      <w:szCs w:val="20"/>
                    </w:rPr>
                    <w:t>捞，不会破坏渔业资源。</w:t>
                  </w:r>
                </w:p>
              </w:tc>
              <w:tc>
                <w:tcPr>
                  <w:tcW w:w="691" w:type="dxa"/>
                  <w:vAlign w:val="top"/>
                </w:tcPr>
                <w:p w14:paraId="735274C3">
                  <w:pPr>
                    <w:spacing w:line="266" w:lineRule="auto"/>
                    <w:rPr>
                      <w:rFonts w:ascii="Arial"/>
                      <w:sz w:val="21"/>
                    </w:rPr>
                  </w:pPr>
                </w:p>
                <w:p w14:paraId="06D9451D">
                  <w:pPr>
                    <w:spacing w:line="266" w:lineRule="auto"/>
                    <w:rPr>
                      <w:rFonts w:ascii="Arial"/>
                      <w:sz w:val="21"/>
                    </w:rPr>
                  </w:pPr>
                </w:p>
                <w:p w14:paraId="48DF22A4">
                  <w:pPr>
                    <w:spacing w:line="266" w:lineRule="auto"/>
                    <w:rPr>
                      <w:rFonts w:ascii="Arial"/>
                      <w:sz w:val="21"/>
                    </w:rPr>
                  </w:pPr>
                </w:p>
                <w:p w14:paraId="60034AE9">
                  <w:pPr>
                    <w:spacing w:line="266" w:lineRule="auto"/>
                    <w:rPr>
                      <w:rFonts w:ascii="Arial"/>
                      <w:sz w:val="21"/>
                    </w:rPr>
                  </w:pPr>
                </w:p>
                <w:p w14:paraId="02E5CF47">
                  <w:pPr>
                    <w:spacing w:line="266" w:lineRule="auto"/>
                    <w:rPr>
                      <w:rFonts w:ascii="Arial"/>
                      <w:sz w:val="21"/>
                    </w:rPr>
                  </w:pPr>
                </w:p>
                <w:p w14:paraId="262C50AC">
                  <w:pPr>
                    <w:spacing w:line="266" w:lineRule="auto"/>
                    <w:rPr>
                      <w:rFonts w:ascii="Arial"/>
                      <w:sz w:val="21"/>
                    </w:rPr>
                  </w:pPr>
                </w:p>
                <w:p w14:paraId="0F8AA7AF">
                  <w:pPr>
                    <w:spacing w:line="266" w:lineRule="auto"/>
                    <w:rPr>
                      <w:rFonts w:ascii="Arial"/>
                      <w:sz w:val="21"/>
                    </w:rPr>
                  </w:pPr>
                </w:p>
                <w:p w14:paraId="578F8D2C">
                  <w:pPr>
                    <w:pStyle w:val="6"/>
                    <w:spacing w:before="65" w:line="228" w:lineRule="auto"/>
                    <w:ind w:left="142"/>
                    <w:rPr>
                      <w:sz w:val="20"/>
                      <w:szCs w:val="20"/>
                    </w:rPr>
                  </w:pPr>
                  <w:r>
                    <w:rPr>
                      <w:spacing w:val="3"/>
                      <w:sz w:val="20"/>
                      <w:szCs w:val="20"/>
                    </w:rPr>
                    <w:t>符合</w:t>
                  </w:r>
                </w:p>
              </w:tc>
            </w:tr>
            <w:tr w14:paraId="649FC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9" w:hRule="atLeast"/>
              </w:trPr>
              <w:tc>
                <w:tcPr>
                  <w:tcW w:w="670" w:type="dxa"/>
                  <w:vMerge w:val="continue"/>
                  <w:tcBorders>
                    <w:top w:val="nil"/>
                  </w:tcBorders>
                  <w:vAlign w:val="top"/>
                </w:tcPr>
                <w:p w14:paraId="516AB4FB">
                  <w:pPr>
                    <w:rPr>
                      <w:rFonts w:ascii="Arial"/>
                      <w:sz w:val="21"/>
                    </w:rPr>
                  </w:pPr>
                </w:p>
              </w:tc>
              <w:tc>
                <w:tcPr>
                  <w:tcW w:w="652" w:type="dxa"/>
                  <w:vAlign w:val="top"/>
                </w:tcPr>
                <w:p w14:paraId="0BD066AE">
                  <w:pPr>
                    <w:spacing w:line="260" w:lineRule="auto"/>
                    <w:rPr>
                      <w:rFonts w:ascii="Arial"/>
                      <w:sz w:val="21"/>
                    </w:rPr>
                  </w:pPr>
                </w:p>
                <w:p w14:paraId="5187C808">
                  <w:pPr>
                    <w:spacing w:line="260" w:lineRule="auto"/>
                    <w:rPr>
                      <w:rFonts w:ascii="Arial"/>
                      <w:sz w:val="21"/>
                    </w:rPr>
                  </w:pPr>
                </w:p>
                <w:p w14:paraId="66388F2B">
                  <w:pPr>
                    <w:spacing w:line="261" w:lineRule="auto"/>
                    <w:rPr>
                      <w:rFonts w:ascii="Arial"/>
                      <w:sz w:val="21"/>
                    </w:rPr>
                  </w:pPr>
                </w:p>
                <w:p w14:paraId="499044A1">
                  <w:pPr>
                    <w:pStyle w:val="6"/>
                    <w:spacing w:before="65" w:line="239" w:lineRule="auto"/>
                    <w:ind w:left="235" w:right="10" w:hanging="220"/>
                    <w:rPr>
                      <w:sz w:val="20"/>
                      <w:szCs w:val="20"/>
                    </w:rPr>
                  </w:pPr>
                  <w:r>
                    <w:rPr>
                      <w:spacing w:val="6"/>
                      <w:sz w:val="20"/>
                      <w:szCs w:val="20"/>
                    </w:rPr>
                    <w:t>环境风</w:t>
                  </w:r>
                  <w:r>
                    <w:rPr>
                      <w:spacing w:val="1"/>
                      <w:sz w:val="20"/>
                      <w:szCs w:val="20"/>
                    </w:rPr>
                    <w:t xml:space="preserve"> </w:t>
                  </w:r>
                  <w:r>
                    <w:rPr>
                      <w:sz w:val="20"/>
                      <w:szCs w:val="20"/>
                    </w:rPr>
                    <w:t>险</w:t>
                  </w:r>
                </w:p>
                <w:p w14:paraId="74EE2C56">
                  <w:pPr>
                    <w:pStyle w:val="6"/>
                    <w:spacing w:before="24" w:line="228" w:lineRule="auto"/>
                    <w:ind w:left="132"/>
                    <w:rPr>
                      <w:sz w:val="20"/>
                      <w:szCs w:val="20"/>
                    </w:rPr>
                  </w:pPr>
                  <w:r>
                    <w:rPr>
                      <w:spacing w:val="-2"/>
                      <w:sz w:val="20"/>
                      <w:szCs w:val="20"/>
                    </w:rPr>
                    <w:t>防控</w:t>
                  </w:r>
                </w:p>
              </w:tc>
              <w:tc>
                <w:tcPr>
                  <w:tcW w:w="2757" w:type="dxa"/>
                  <w:vAlign w:val="top"/>
                </w:tcPr>
                <w:p w14:paraId="1B732EB1">
                  <w:pPr>
                    <w:pStyle w:val="6"/>
                    <w:spacing w:before="33" w:line="247" w:lineRule="auto"/>
                    <w:ind w:left="5" w:firstLine="19"/>
                    <w:jc w:val="both"/>
                    <w:rPr>
                      <w:sz w:val="20"/>
                      <w:szCs w:val="20"/>
                    </w:rPr>
                  </w:pPr>
                  <w:r>
                    <w:rPr>
                      <w:rFonts w:ascii="Times New Roman" w:hAnsi="Times New Roman" w:eastAsia="Times New Roman" w:cs="Times New Roman"/>
                      <w:spacing w:val="7"/>
                      <w:sz w:val="20"/>
                      <w:szCs w:val="20"/>
                    </w:rPr>
                    <w:t>1.</w:t>
                  </w:r>
                  <w:r>
                    <w:rPr>
                      <w:spacing w:val="7"/>
                      <w:sz w:val="20"/>
                      <w:szCs w:val="20"/>
                    </w:rPr>
                    <w:t>严格限制《环境保护综合名</w:t>
                  </w:r>
                  <w:r>
                    <w:rPr>
                      <w:spacing w:val="10"/>
                      <w:sz w:val="20"/>
                      <w:szCs w:val="20"/>
                    </w:rPr>
                    <w:t xml:space="preserve"> </w:t>
                  </w:r>
                  <w:r>
                    <w:rPr>
                      <w:spacing w:val="-7"/>
                      <w:sz w:val="20"/>
                      <w:szCs w:val="20"/>
                    </w:rPr>
                    <w:t>录》（</w:t>
                  </w:r>
                  <w:r>
                    <w:rPr>
                      <w:rFonts w:ascii="Times New Roman" w:hAnsi="Times New Roman" w:eastAsia="Times New Roman" w:cs="Times New Roman"/>
                      <w:spacing w:val="-7"/>
                      <w:sz w:val="20"/>
                      <w:szCs w:val="20"/>
                    </w:rPr>
                    <w:t xml:space="preserve">2021 </w:t>
                  </w:r>
                  <w:r>
                    <w:rPr>
                      <w:spacing w:val="-7"/>
                      <w:sz w:val="20"/>
                      <w:szCs w:val="20"/>
                    </w:rPr>
                    <w:t>年版）中“高污染、</w:t>
                  </w:r>
                  <w:r>
                    <w:rPr>
                      <w:spacing w:val="14"/>
                      <w:sz w:val="20"/>
                      <w:szCs w:val="20"/>
                    </w:rPr>
                    <w:t xml:space="preserve"> </w:t>
                  </w:r>
                  <w:r>
                    <w:rPr>
                      <w:spacing w:val="-6"/>
                      <w:sz w:val="20"/>
                      <w:szCs w:val="20"/>
                    </w:rPr>
                    <w:t>高环境风险</w:t>
                  </w:r>
                  <w:r>
                    <w:rPr>
                      <w:spacing w:val="-71"/>
                      <w:sz w:val="20"/>
                      <w:szCs w:val="20"/>
                    </w:rPr>
                    <w:t xml:space="preserve"> </w:t>
                  </w:r>
                  <w:r>
                    <w:rPr>
                      <w:spacing w:val="-6"/>
                      <w:sz w:val="20"/>
                      <w:szCs w:val="20"/>
                    </w:rPr>
                    <w:t>”产品与工艺装备。</w:t>
                  </w:r>
                  <w:r>
                    <w:rPr>
                      <w:sz w:val="20"/>
                      <w:szCs w:val="20"/>
                    </w:rPr>
                    <w:t xml:space="preserve"> </w:t>
                  </w:r>
                  <w:r>
                    <w:rPr>
                      <w:rFonts w:ascii="Times New Roman" w:hAnsi="Times New Roman" w:eastAsia="Times New Roman" w:cs="Times New Roman"/>
                      <w:spacing w:val="9"/>
                      <w:sz w:val="20"/>
                      <w:szCs w:val="20"/>
                    </w:rPr>
                    <w:t>2.</w:t>
                  </w:r>
                  <w:r>
                    <w:rPr>
                      <w:spacing w:val="9"/>
                      <w:sz w:val="20"/>
                      <w:szCs w:val="20"/>
                    </w:rPr>
                    <w:t>禁止使用剧毒、高残留以及</w:t>
                  </w:r>
                  <w:r>
                    <w:rPr>
                      <w:spacing w:val="2"/>
                      <w:sz w:val="20"/>
                      <w:szCs w:val="20"/>
                    </w:rPr>
                    <w:t xml:space="preserve"> </w:t>
                  </w:r>
                  <w:r>
                    <w:rPr>
                      <w:spacing w:val="4"/>
                      <w:sz w:val="20"/>
                      <w:szCs w:val="20"/>
                    </w:rPr>
                    <w:t>可能二次中毒的农药。</w:t>
                  </w:r>
                </w:p>
                <w:p w14:paraId="0C4B343E">
                  <w:pPr>
                    <w:pStyle w:val="6"/>
                    <w:spacing w:before="24" w:line="243" w:lineRule="auto"/>
                    <w:ind w:left="8" w:right="2" w:firstLine="1"/>
                    <w:rPr>
                      <w:sz w:val="20"/>
                      <w:szCs w:val="20"/>
                    </w:rPr>
                  </w:pPr>
                  <w:r>
                    <w:rPr>
                      <w:rFonts w:ascii="Times New Roman" w:hAnsi="Times New Roman" w:eastAsia="Times New Roman" w:cs="Times New Roman"/>
                      <w:spacing w:val="13"/>
                      <w:sz w:val="20"/>
                      <w:szCs w:val="20"/>
                    </w:rPr>
                    <w:t>3.</w:t>
                  </w:r>
                  <w:r>
                    <w:rPr>
                      <w:spacing w:val="13"/>
                      <w:sz w:val="20"/>
                      <w:szCs w:val="20"/>
                    </w:rPr>
                    <w:t>严格污染场地开发利用和流</w:t>
                  </w:r>
                  <w:r>
                    <w:rPr>
                      <w:spacing w:val="6"/>
                      <w:sz w:val="20"/>
                      <w:szCs w:val="20"/>
                    </w:rPr>
                    <w:t xml:space="preserve"> </w:t>
                  </w:r>
                  <w:r>
                    <w:rPr>
                      <w:spacing w:val="10"/>
                      <w:sz w:val="20"/>
                      <w:szCs w:val="20"/>
                    </w:rPr>
                    <w:t>转审批，在影响健康地块修复</w:t>
                  </w:r>
                  <w:r>
                    <w:rPr>
                      <w:spacing w:val="9"/>
                      <w:sz w:val="20"/>
                      <w:szCs w:val="20"/>
                    </w:rPr>
                    <w:t xml:space="preserve"> </w:t>
                  </w:r>
                  <w:r>
                    <w:rPr>
                      <w:spacing w:val="10"/>
                      <w:sz w:val="20"/>
                      <w:szCs w:val="20"/>
                    </w:rPr>
                    <w:t>达标之前，禁止建设居民区、</w:t>
                  </w:r>
                  <w:r>
                    <w:rPr>
                      <w:spacing w:val="9"/>
                      <w:sz w:val="20"/>
                      <w:szCs w:val="20"/>
                    </w:rPr>
                    <w:t xml:space="preserve"> </w:t>
                  </w:r>
                  <w:r>
                    <w:rPr>
                      <w:spacing w:val="8"/>
                      <w:sz w:val="20"/>
                      <w:szCs w:val="20"/>
                    </w:rPr>
                    <w:t>学校、医疗和养老机构。</w:t>
                  </w:r>
                </w:p>
              </w:tc>
              <w:tc>
                <w:tcPr>
                  <w:tcW w:w="3069" w:type="dxa"/>
                  <w:vAlign w:val="top"/>
                </w:tcPr>
                <w:p w14:paraId="57EA1F67">
                  <w:pPr>
                    <w:pStyle w:val="6"/>
                    <w:spacing w:before="169" w:line="244" w:lineRule="auto"/>
                    <w:ind w:left="12" w:right="1" w:firstLine="13"/>
                    <w:jc w:val="both"/>
                    <w:rPr>
                      <w:sz w:val="20"/>
                      <w:szCs w:val="20"/>
                    </w:rPr>
                  </w:pPr>
                  <w:r>
                    <w:rPr>
                      <w:rFonts w:ascii="Times New Roman" w:hAnsi="Times New Roman" w:eastAsia="Times New Roman" w:cs="Times New Roman"/>
                      <w:spacing w:val="17"/>
                      <w:sz w:val="20"/>
                      <w:szCs w:val="20"/>
                    </w:rPr>
                    <w:t>1.</w:t>
                  </w:r>
                  <w:r>
                    <w:rPr>
                      <w:rFonts w:ascii="Times New Roman" w:hAnsi="Times New Roman" w:eastAsia="Times New Roman" w:cs="Times New Roman"/>
                      <w:spacing w:val="-21"/>
                      <w:sz w:val="20"/>
                      <w:szCs w:val="20"/>
                    </w:rPr>
                    <w:t xml:space="preserve"> </w:t>
                  </w:r>
                  <w:r>
                    <w:rPr>
                      <w:spacing w:val="17"/>
                      <w:sz w:val="20"/>
                      <w:szCs w:val="20"/>
                    </w:rPr>
                    <w:t>项目为光伏发电，不涉及高污</w:t>
                  </w:r>
                  <w:r>
                    <w:rPr>
                      <w:sz w:val="20"/>
                      <w:szCs w:val="20"/>
                    </w:rPr>
                    <w:t xml:space="preserve"> </w:t>
                  </w:r>
                  <w:r>
                    <w:rPr>
                      <w:spacing w:val="17"/>
                      <w:sz w:val="20"/>
                      <w:szCs w:val="20"/>
                    </w:rPr>
                    <w:t>染、高环境风险的产品及工艺装</w:t>
                  </w:r>
                  <w:r>
                    <w:rPr>
                      <w:spacing w:val="10"/>
                      <w:sz w:val="20"/>
                      <w:szCs w:val="20"/>
                    </w:rPr>
                    <w:t xml:space="preserve"> </w:t>
                  </w:r>
                  <w:r>
                    <w:rPr>
                      <w:spacing w:val="-1"/>
                      <w:sz w:val="20"/>
                      <w:szCs w:val="20"/>
                    </w:rPr>
                    <w:t>备。</w:t>
                  </w:r>
                </w:p>
                <w:p w14:paraId="400FAF75">
                  <w:pPr>
                    <w:pStyle w:val="6"/>
                    <w:spacing w:before="25" w:line="239" w:lineRule="auto"/>
                    <w:ind w:left="10" w:right="4" w:hanging="4"/>
                    <w:rPr>
                      <w:sz w:val="20"/>
                      <w:szCs w:val="20"/>
                    </w:rPr>
                  </w:pPr>
                  <w:r>
                    <w:rPr>
                      <w:rFonts w:ascii="Times New Roman" w:hAnsi="Times New Roman" w:eastAsia="Times New Roman" w:cs="Times New Roman"/>
                      <w:spacing w:val="18"/>
                      <w:sz w:val="20"/>
                      <w:szCs w:val="20"/>
                    </w:rPr>
                    <w:t>2.</w:t>
                  </w:r>
                  <w:r>
                    <w:rPr>
                      <w:rFonts w:ascii="Times New Roman" w:hAnsi="Times New Roman" w:eastAsia="Times New Roman" w:cs="Times New Roman"/>
                      <w:spacing w:val="-18"/>
                      <w:sz w:val="20"/>
                      <w:szCs w:val="20"/>
                    </w:rPr>
                    <w:t xml:space="preserve"> </w:t>
                  </w:r>
                  <w:r>
                    <w:rPr>
                      <w:spacing w:val="18"/>
                      <w:sz w:val="20"/>
                      <w:szCs w:val="20"/>
                    </w:rPr>
                    <w:t>本项目不涉及高毒高风险农药</w:t>
                  </w:r>
                  <w:r>
                    <w:rPr>
                      <w:sz w:val="20"/>
                      <w:szCs w:val="20"/>
                    </w:rPr>
                    <w:t xml:space="preserve"> </w:t>
                  </w:r>
                  <w:r>
                    <w:rPr>
                      <w:spacing w:val="2"/>
                      <w:sz w:val="20"/>
                      <w:szCs w:val="20"/>
                    </w:rPr>
                    <w:t>使用。</w:t>
                  </w:r>
                </w:p>
                <w:p w14:paraId="3E80DF90">
                  <w:pPr>
                    <w:pStyle w:val="6"/>
                    <w:spacing w:before="27" w:line="243" w:lineRule="auto"/>
                    <w:ind w:left="10" w:right="1"/>
                    <w:jc w:val="both"/>
                    <w:rPr>
                      <w:sz w:val="20"/>
                      <w:szCs w:val="20"/>
                    </w:rPr>
                  </w:pPr>
                  <w:r>
                    <w:rPr>
                      <w:rFonts w:ascii="Times New Roman" w:hAnsi="Times New Roman" w:eastAsia="Times New Roman" w:cs="Times New Roman"/>
                      <w:spacing w:val="6"/>
                      <w:sz w:val="20"/>
                      <w:szCs w:val="20"/>
                    </w:rPr>
                    <w:t>3.</w:t>
                  </w:r>
                  <w:r>
                    <w:rPr>
                      <w:spacing w:val="6"/>
                      <w:sz w:val="20"/>
                      <w:szCs w:val="20"/>
                    </w:rPr>
                    <w:t>本项目为光伏发电项目，不涉及</w:t>
                  </w:r>
                  <w:r>
                    <w:rPr>
                      <w:spacing w:val="4"/>
                      <w:sz w:val="20"/>
                      <w:szCs w:val="20"/>
                    </w:rPr>
                    <w:t xml:space="preserve"> </w:t>
                  </w:r>
                  <w:r>
                    <w:rPr>
                      <w:spacing w:val="3"/>
                      <w:sz w:val="20"/>
                      <w:szCs w:val="20"/>
                    </w:rPr>
                    <w:t>使用污染场地，不属于居民区、学</w:t>
                  </w:r>
                  <w:r>
                    <w:rPr>
                      <w:spacing w:val="5"/>
                      <w:sz w:val="20"/>
                      <w:szCs w:val="20"/>
                    </w:rPr>
                    <w:t xml:space="preserve"> </w:t>
                  </w:r>
                  <w:r>
                    <w:rPr>
                      <w:spacing w:val="7"/>
                      <w:sz w:val="20"/>
                      <w:szCs w:val="20"/>
                    </w:rPr>
                    <w:t>校、医疗和养老机构。</w:t>
                  </w:r>
                </w:p>
              </w:tc>
              <w:tc>
                <w:tcPr>
                  <w:tcW w:w="691" w:type="dxa"/>
                  <w:vAlign w:val="top"/>
                </w:tcPr>
                <w:p w14:paraId="18361985">
                  <w:pPr>
                    <w:spacing w:line="263" w:lineRule="auto"/>
                    <w:rPr>
                      <w:rFonts w:ascii="Arial"/>
                      <w:sz w:val="21"/>
                    </w:rPr>
                  </w:pPr>
                </w:p>
                <w:p w14:paraId="0E4A9451">
                  <w:pPr>
                    <w:spacing w:line="263" w:lineRule="auto"/>
                    <w:rPr>
                      <w:rFonts w:ascii="Arial"/>
                      <w:sz w:val="21"/>
                    </w:rPr>
                  </w:pPr>
                </w:p>
                <w:p w14:paraId="5C78E6B6">
                  <w:pPr>
                    <w:spacing w:line="263" w:lineRule="auto"/>
                    <w:rPr>
                      <w:rFonts w:ascii="Arial"/>
                      <w:sz w:val="21"/>
                    </w:rPr>
                  </w:pPr>
                </w:p>
                <w:p w14:paraId="440FA108">
                  <w:pPr>
                    <w:spacing w:line="263" w:lineRule="auto"/>
                    <w:rPr>
                      <w:rFonts w:ascii="Arial"/>
                      <w:sz w:val="21"/>
                    </w:rPr>
                  </w:pPr>
                </w:p>
                <w:p w14:paraId="283F7FF3">
                  <w:pPr>
                    <w:pStyle w:val="6"/>
                    <w:spacing w:before="65" w:line="228" w:lineRule="auto"/>
                    <w:ind w:left="142"/>
                    <w:rPr>
                      <w:sz w:val="20"/>
                      <w:szCs w:val="20"/>
                    </w:rPr>
                  </w:pPr>
                  <w:r>
                    <w:rPr>
                      <w:spacing w:val="3"/>
                      <w:sz w:val="20"/>
                      <w:szCs w:val="20"/>
                    </w:rPr>
                    <w:t>符合</w:t>
                  </w:r>
                </w:p>
              </w:tc>
            </w:tr>
          </w:tbl>
          <w:p w14:paraId="0606688A">
            <w:pPr>
              <w:pStyle w:val="6"/>
              <w:spacing w:before="142" w:line="322" w:lineRule="auto"/>
              <w:ind w:left="108" w:right="103" w:firstLine="483"/>
            </w:pPr>
            <w:r>
              <w:rPr>
                <w:spacing w:val="3"/>
              </w:rPr>
              <w:t>综上，项目与《昆明市生态环境分区管控动态更新方案（</w:t>
            </w:r>
            <w:r>
              <w:rPr>
                <w:rFonts w:ascii="Times New Roman" w:hAnsi="Times New Roman" w:eastAsia="Times New Roman" w:cs="Times New Roman"/>
                <w:spacing w:val="3"/>
              </w:rPr>
              <w:t>202</w:t>
            </w:r>
            <w:r>
              <w:rPr>
                <w:rFonts w:ascii="Times New Roman" w:hAnsi="Times New Roman" w:eastAsia="Times New Roman" w:cs="Times New Roman"/>
                <w:spacing w:val="2"/>
              </w:rPr>
              <w:t xml:space="preserve">3 </w:t>
            </w:r>
            <w:r>
              <w:rPr>
                <w:spacing w:val="2"/>
              </w:rPr>
              <w:t>年）》</w:t>
            </w:r>
            <w:r>
              <w:t xml:space="preserve"> </w:t>
            </w:r>
            <w:r>
              <w:rPr>
                <w:spacing w:val="-3"/>
              </w:rPr>
              <w:t>总体实施意见相符，与昆明市生态环境管控单元中的“寻甸县一般生态空间</w:t>
            </w:r>
            <w:r>
              <w:rPr>
                <w:spacing w:val="17"/>
              </w:rPr>
              <w:t xml:space="preserve"> </w:t>
            </w:r>
            <w:r>
              <w:rPr>
                <w:spacing w:val="-4"/>
              </w:rPr>
              <w:t>优先保护单元</w:t>
            </w:r>
            <w:r>
              <w:rPr>
                <w:spacing w:val="-88"/>
              </w:rPr>
              <w:t xml:space="preserve"> </w:t>
            </w:r>
            <w:r>
              <w:rPr>
                <w:spacing w:val="-4"/>
              </w:rPr>
              <w:t>”和“寻甸县一般管控单元</w:t>
            </w:r>
            <w:r>
              <w:rPr>
                <w:spacing w:val="-88"/>
              </w:rPr>
              <w:t xml:space="preserve"> </w:t>
            </w:r>
            <w:r>
              <w:rPr>
                <w:spacing w:val="-4"/>
              </w:rPr>
              <w:t>”</w:t>
            </w:r>
            <w:r>
              <w:rPr>
                <w:spacing w:val="-5"/>
              </w:rPr>
              <w:t>管控要求相符，本项目的建设符</w:t>
            </w:r>
            <w:r>
              <w:t xml:space="preserve"> </w:t>
            </w:r>
            <w:r>
              <w:rPr>
                <w:spacing w:val="3"/>
              </w:rPr>
              <w:t>合昆明市生态环境分区管控动态更新方案（</w:t>
            </w:r>
            <w:r>
              <w:rPr>
                <w:rFonts w:ascii="Times New Roman" w:hAnsi="Times New Roman" w:eastAsia="Times New Roman" w:cs="Times New Roman"/>
                <w:spacing w:val="3"/>
              </w:rPr>
              <w:t xml:space="preserve">2023 </w:t>
            </w:r>
            <w:r>
              <w:rPr>
                <w:spacing w:val="3"/>
              </w:rPr>
              <w:t>年）》中</w:t>
            </w:r>
            <w:r>
              <w:rPr>
                <w:spacing w:val="2"/>
              </w:rPr>
              <w:t>生态环境管控和</w:t>
            </w:r>
            <w:r>
              <w:t xml:space="preserve"> </w:t>
            </w:r>
            <w:r>
              <w:rPr>
                <w:spacing w:val="-2"/>
              </w:rPr>
              <w:t>准入要求。</w:t>
            </w:r>
          </w:p>
          <w:p w14:paraId="42D3EFED">
            <w:pPr>
              <w:pStyle w:val="6"/>
              <w:spacing w:line="219" w:lineRule="auto"/>
              <w:ind w:left="584"/>
            </w:pPr>
            <w:r>
              <w:rPr>
                <w:rFonts w:ascii="Times New Roman" w:hAnsi="Times New Roman" w:eastAsia="Times New Roman" w:cs="Times New Roman"/>
                <w:b/>
                <w:bCs/>
                <w:spacing w:val="-4"/>
              </w:rPr>
              <w:t>3</w:t>
            </w:r>
            <w:r>
              <w:rPr>
                <w:rFonts w:ascii="Times New Roman" w:hAnsi="Times New Roman" w:eastAsia="Times New Roman" w:cs="Times New Roman"/>
                <w:b/>
                <w:bCs/>
                <w:spacing w:val="-17"/>
              </w:rPr>
              <w:t xml:space="preserve"> </w:t>
            </w:r>
            <w:r>
              <w:rPr>
                <w:b/>
                <w:bCs/>
                <w:spacing w:val="-4"/>
              </w:rPr>
              <w:t>、与《云南省主体功能区规划》的符合性分析</w:t>
            </w:r>
          </w:p>
          <w:p w14:paraId="56EC76AB">
            <w:pPr>
              <w:pStyle w:val="6"/>
              <w:spacing w:before="181" w:line="354" w:lineRule="auto"/>
              <w:ind w:left="108" w:right="103" w:firstLine="487"/>
              <w:jc w:val="both"/>
            </w:pPr>
            <w:r>
              <w:rPr>
                <w:spacing w:val="-3"/>
              </w:rPr>
              <w:t>云南省人民政府于</w:t>
            </w:r>
            <w:r>
              <w:rPr>
                <w:spacing w:val="-43"/>
              </w:rPr>
              <w:t xml:space="preserve"> </w:t>
            </w:r>
            <w:r>
              <w:rPr>
                <w:rFonts w:ascii="Times New Roman" w:hAnsi="Times New Roman" w:eastAsia="Times New Roman" w:cs="Times New Roman"/>
                <w:spacing w:val="-3"/>
              </w:rPr>
              <w:t xml:space="preserve">2014 </w:t>
            </w:r>
            <w:r>
              <w:rPr>
                <w:spacing w:val="-3"/>
              </w:rPr>
              <w:t>年</w:t>
            </w:r>
            <w:r>
              <w:rPr>
                <w:spacing w:val="-29"/>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月</w:t>
            </w:r>
            <w:r>
              <w:rPr>
                <w:spacing w:val="-47"/>
              </w:rPr>
              <w:t xml:space="preserve"> </w:t>
            </w:r>
            <w:r>
              <w:rPr>
                <w:rFonts w:ascii="Times New Roman" w:hAnsi="Times New Roman" w:eastAsia="Times New Roman" w:cs="Times New Roman"/>
                <w:spacing w:val="-3"/>
              </w:rPr>
              <w:t xml:space="preserve">6  </w:t>
            </w:r>
            <w:r>
              <w:rPr>
                <w:spacing w:val="-3"/>
              </w:rPr>
              <w:t>日发布了“云南省人民政府关于印发</w:t>
            </w:r>
            <w:r>
              <w:t xml:space="preserve"> </w:t>
            </w:r>
            <w:r>
              <w:rPr>
                <w:spacing w:val="-2"/>
              </w:rPr>
              <w:t>云南省主体功能区划的通知</w:t>
            </w:r>
            <w:r>
              <w:rPr>
                <w:spacing w:val="-87"/>
              </w:rPr>
              <w:t xml:space="preserve"> </w:t>
            </w:r>
            <w:r>
              <w:rPr>
                <w:spacing w:val="-2"/>
              </w:rPr>
              <w:t>”（云政发〔</w:t>
            </w:r>
            <w:r>
              <w:rPr>
                <w:rFonts w:ascii="Times New Roman" w:hAnsi="Times New Roman" w:eastAsia="Times New Roman" w:cs="Times New Roman"/>
                <w:spacing w:val="-2"/>
              </w:rPr>
              <w:t>2014</w:t>
            </w:r>
            <w:r>
              <w:rPr>
                <w:spacing w:val="-2"/>
              </w:rPr>
              <w:t>〕</w:t>
            </w:r>
            <w:r>
              <w:rPr>
                <w:rFonts w:ascii="Times New Roman" w:hAnsi="Times New Roman" w:eastAsia="Times New Roman" w:cs="Times New Roman"/>
                <w:spacing w:val="-2"/>
              </w:rPr>
              <w:t>1</w:t>
            </w:r>
            <w:r>
              <w:rPr>
                <w:rFonts w:ascii="Times New Roman" w:hAnsi="Times New Roman" w:eastAsia="Times New Roman" w:cs="Times New Roman"/>
                <w:spacing w:val="15"/>
                <w:w w:val="101"/>
              </w:rPr>
              <w:t xml:space="preserve"> </w:t>
            </w:r>
            <w:r>
              <w:rPr>
                <w:spacing w:val="-2"/>
              </w:rPr>
              <w:t>号</w:t>
            </w:r>
            <w:r>
              <w:rPr>
                <w:spacing w:val="1"/>
              </w:rPr>
              <w:t>），</w:t>
            </w:r>
            <w:r>
              <w:rPr>
                <w:spacing w:val="-2"/>
              </w:rPr>
              <w:t>将云</w:t>
            </w:r>
            <w:r>
              <w:rPr>
                <w:spacing w:val="-3"/>
              </w:rPr>
              <w:t>南省国土空间</w:t>
            </w:r>
            <w:r>
              <w:t xml:space="preserve"> </w:t>
            </w:r>
            <w:r>
              <w:rPr>
                <w:spacing w:val="-3"/>
              </w:rPr>
              <w:t>划分为重点开发区、限制开发区和禁止开发区</w:t>
            </w:r>
            <w:r>
              <w:rPr>
                <w:spacing w:val="-40"/>
              </w:rPr>
              <w:t xml:space="preserve"> </w:t>
            </w:r>
            <w:r>
              <w:rPr>
                <w:rFonts w:ascii="Times New Roman" w:hAnsi="Times New Roman" w:eastAsia="Times New Roman" w:cs="Times New Roman"/>
                <w:spacing w:val="-3"/>
              </w:rPr>
              <w:t xml:space="preserve">3 </w:t>
            </w:r>
            <w:r>
              <w:rPr>
                <w:spacing w:val="-3"/>
              </w:rPr>
              <w:t>类区域。本项目位于云南省</w:t>
            </w:r>
            <w:r>
              <w:t xml:space="preserve"> </w:t>
            </w:r>
            <w:r>
              <w:rPr>
                <w:spacing w:val="-3"/>
              </w:rPr>
              <w:t>云南省昆明市寻甸回族彝族自治县河口镇境内，根据《云南省主体功能区规</w:t>
            </w:r>
            <w:r>
              <w:rPr>
                <w:spacing w:val="17"/>
              </w:rPr>
              <w:t xml:space="preserve"> </w:t>
            </w:r>
            <w:r>
              <w:rPr>
                <w:spacing w:val="-1"/>
              </w:rPr>
              <w:t>划》，项目所在区域属于滇中国家层面重点开发区。</w:t>
            </w:r>
          </w:p>
          <w:p w14:paraId="3C3B2DB4">
            <w:pPr>
              <w:pStyle w:val="6"/>
              <w:spacing w:before="33" w:line="345" w:lineRule="auto"/>
              <w:ind w:left="112" w:right="92" w:firstLine="494"/>
            </w:pPr>
            <w:r>
              <w:rPr>
                <w:spacing w:val="-3"/>
              </w:rPr>
              <w:t>区域功能定位为：我国面向西南开放重要桥头堡建设</w:t>
            </w:r>
            <w:r>
              <w:rPr>
                <w:spacing w:val="-4"/>
              </w:rPr>
              <w:t>的核心区，连接东</w:t>
            </w:r>
            <w:r>
              <w:t xml:space="preserve"> </w:t>
            </w:r>
            <w:r>
              <w:rPr>
                <w:spacing w:val="-2"/>
              </w:rPr>
              <w:t>南亚、南亚国家的陆路交通枢纽，面向东南亚、南亚对</w:t>
            </w:r>
            <w:r>
              <w:rPr>
                <w:spacing w:val="-3"/>
              </w:rPr>
              <w:t>外开放的重要门户；</w:t>
            </w:r>
          </w:p>
        </w:tc>
      </w:tr>
    </w:tbl>
    <w:p w14:paraId="5ABB5D06">
      <w:pPr>
        <w:rPr>
          <w:rFonts w:ascii="Arial"/>
          <w:sz w:val="21"/>
        </w:rPr>
      </w:pPr>
    </w:p>
    <w:p w14:paraId="3BD80B23">
      <w:pPr>
        <w:rPr>
          <w:rFonts w:ascii="Arial" w:hAnsi="Arial" w:eastAsia="Arial" w:cs="Arial"/>
          <w:sz w:val="21"/>
          <w:szCs w:val="21"/>
        </w:rPr>
        <w:sectPr>
          <w:footerReference r:id="rId21" w:type="default"/>
          <w:pgSz w:w="11906" w:h="16839"/>
          <w:pgMar w:top="1431" w:right="1407" w:bottom="1278" w:left="1407" w:header="0" w:footer="1116" w:gutter="0"/>
          <w:cols w:space="720" w:num="1"/>
        </w:sectPr>
      </w:pPr>
    </w:p>
    <w:p w14:paraId="4F5F4050">
      <w:pPr>
        <w:spacing w:line="99" w:lineRule="exact"/>
      </w:pPr>
    </w:p>
    <w:tbl>
      <w:tblPr>
        <w:tblStyle w:val="5"/>
        <w:tblW w:w="9076"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6638C2A6">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30" w:hRule="atLeast"/>
        </w:trPr>
        <w:tc>
          <w:tcPr>
            <w:tcW w:w="9076" w:type="dxa"/>
            <w:vAlign w:val="top"/>
          </w:tcPr>
          <w:p w14:paraId="7A9485B5">
            <w:pPr>
              <w:spacing w:line="43" w:lineRule="auto"/>
              <w:rPr>
                <w:rFonts w:ascii="Arial"/>
                <w:sz w:val="2"/>
              </w:rPr>
            </w:pPr>
          </w:p>
          <w:tbl>
            <w:tblPr>
              <w:tblStyle w:val="5"/>
              <w:tblW w:w="7957"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5"/>
              <w:gridCol w:w="1064"/>
              <w:gridCol w:w="909"/>
              <w:gridCol w:w="1014"/>
              <w:gridCol w:w="1271"/>
              <w:gridCol w:w="544"/>
              <w:gridCol w:w="544"/>
              <w:gridCol w:w="683"/>
              <w:gridCol w:w="863"/>
            </w:tblGrid>
            <w:tr w14:paraId="1199B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2" w:hRule="atLeast"/>
              </w:trPr>
              <w:tc>
                <w:tcPr>
                  <w:tcW w:w="7957" w:type="dxa"/>
                  <w:gridSpan w:val="9"/>
                  <w:tcBorders>
                    <w:top w:val="nil"/>
                    <w:right w:val="nil"/>
                  </w:tcBorders>
                  <w:vAlign w:val="top"/>
                </w:tcPr>
                <w:p w14:paraId="5C32A076">
                  <w:pPr>
                    <w:pStyle w:val="6"/>
                    <w:spacing w:before="42" w:line="352" w:lineRule="auto"/>
                    <w:ind w:left="117"/>
                    <w:jc w:val="both"/>
                  </w:pPr>
                  <w:r>
                    <w:rPr>
                      <w:spacing w:val="-3"/>
                    </w:rPr>
                    <w:t>全国重要的烟草、旅游、文化、能源和商贸物流基地，以化工、有色冶炼加</w:t>
                  </w:r>
                  <w:r>
                    <w:rPr>
                      <w:spacing w:val="14"/>
                    </w:rPr>
                    <w:t xml:space="preserve"> </w:t>
                  </w:r>
                  <w:r>
                    <w:rPr>
                      <w:spacing w:val="-3"/>
                    </w:rPr>
                    <w:t>工、生物为重点的区域性资源深加工基地，承接产业转移基地和外向型特色</w:t>
                  </w:r>
                  <w:r>
                    <w:rPr>
                      <w:spacing w:val="15"/>
                    </w:rPr>
                    <w:t xml:space="preserve"> </w:t>
                  </w:r>
                  <w:r>
                    <w:rPr>
                      <w:spacing w:val="-3"/>
                    </w:rPr>
                    <w:t>优势产业基地；我国城市化发展格局中特色鲜明的高原生态宜居城市群；全</w:t>
                  </w:r>
                  <w:r>
                    <w:rPr>
                      <w:spacing w:val="15"/>
                    </w:rPr>
                    <w:t xml:space="preserve"> </w:t>
                  </w:r>
                  <w:r>
                    <w:rPr>
                      <w:spacing w:val="-1"/>
                    </w:rPr>
                    <w:t>省跨越发展的引擎，我国西南地区重要的经济增长极。</w:t>
                  </w:r>
                </w:p>
                <w:p w14:paraId="63113219">
                  <w:pPr>
                    <w:pStyle w:val="6"/>
                    <w:spacing w:before="38" w:line="355" w:lineRule="auto"/>
                    <w:ind w:left="118" w:firstLine="476"/>
                    <w:jc w:val="both"/>
                  </w:pPr>
                  <w:r>
                    <w:rPr>
                      <w:spacing w:val="-10"/>
                    </w:rPr>
                    <w:t>光伏发电是清洁的可再生能源，具有较好的环境效益，项目在节能减</w:t>
                  </w:r>
                  <w:r>
                    <w:rPr>
                      <w:spacing w:val="-11"/>
                    </w:rPr>
                    <w:t>排、</w:t>
                  </w:r>
                  <w:r>
                    <w:t xml:space="preserve"> </w:t>
                  </w:r>
                  <w:r>
                    <w:rPr>
                      <w:spacing w:val="-5"/>
                    </w:rPr>
                    <w:t>改善当地能源结构及促进区域经济发展等方面能产生积极的社会效益。梳山</w:t>
                  </w:r>
                  <w:r>
                    <w:t xml:space="preserve"> </w:t>
                  </w:r>
                  <w:r>
                    <w:rPr>
                      <w:spacing w:val="-5"/>
                    </w:rPr>
                    <w:t>光伏发电项目为清洁能源太阳能的开发利用项目，项目建成后，有利于优化</w:t>
                  </w:r>
                  <w:r>
                    <w:t xml:space="preserve"> </w:t>
                  </w:r>
                  <w:r>
                    <w:rPr>
                      <w:spacing w:val="-5"/>
                    </w:rPr>
                    <w:t>地区能源结构，减少一次能源（如煤、石油、天然气）利用，从而减少因一</w:t>
                  </w:r>
                  <w:r>
                    <w:t xml:space="preserve"> </w:t>
                  </w:r>
                  <w:r>
                    <w:rPr>
                      <w:spacing w:val="-5"/>
                    </w:rPr>
                    <w:t>次能源开发使用造成的污染排放等环境问题，促进地区清洁生产、促进清洁</w:t>
                  </w:r>
                  <w:r>
                    <w:t xml:space="preserve"> </w:t>
                  </w:r>
                  <w:r>
                    <w:rPr>
                      <w:spacing w:val="-5"/>
                    </w:rPr>
                    <w:t>载能产业发展。因此，项目建设与《云南省主体功能区规划》中对该区域的</w:t>
                  </w:r>
                  <w:r>
                    <w:t xml:space="preserve"> </w:t>
                  </w:r>
                  <w:r>
                    <w:rPr>
                      <w:spacing w:val="-4"/>
                    </w:rPr>
                    <w:t>发展方向定位相符合。</w:t>
                  </w:r>
                </w:p>
                <w:p w14:paraId="2106E8A5">
                  <w:pPr>
                    <w:pStyle w:val="6"/>
                    <w:spacing w:before="36" w:line="219" w:lineRule="auto"/>
                    <w:ind w:left="594"/>
                  </w:pPr>
                  <w:r>
                    <w:rPr>
                      <w:rFonts w:ascii="Times New Roman" w:hAnsi="Times New Roman" w:eastAsia="Times New Roman" w:cs="Times New Roman"/>
                      <w:b/>
                      <w:bCs/>
                      <w:spacing w:val="-4"/>
                    </w:rPr>
                    <w:t>4</w:t>
                  </w:r>
                  <w:r>
                    <w:rPr>
                      <w:rFonts w:ascii="Times New Roman" w:hAnsi="Times New Roman" w:eastAsia="Times New Roman" w:cs="Times New Roman"/>
                      <w:b/>
                      <w:bCs/>
                      <w:spacing w:val="-24"/>
                    </w:rPr>
                    <w:t xml:space="preserve"> </w:t>
                  </w:r>
                  <w:r>
                    <w:rPr>
                      <w:b/>
                      <w:bCs/>
                      <w:spacing w:val="-4"/>
                    </w:rPr>
                    <w:t>、与《云南省生态功能区划》的符合性</w:t>
                  </w:r>
                </w:p>
                <w:p w14:paraId="0D09C0EA">
                  <w:pPr>
                    <w:pStyle w:val="6"/>
                    <w:spacing w:before="178" w:line="353" w:lineRule="auto"/>
                    <w:ind w:left="117" w:firstLine="483"/>
                    <w:jc w:val="both"/>
                  </w:pPr>
                  <w:r>
                    <w:rPr>
                      <w:spacing w:val="-4"/>
                    </w:rPr>
                    <w:t>《云南省生态功能区划》由原云南省环境保护厅于</w:t>
                  </w:r>
                  <w:r>
                    <w:rPr>
                      <w:rFonts w:ascii="Times New Roman" w:hAnsi="Times New Roman" w:eastAsia="Times New Roman" w:cs="Times New Roman"/>
                      <w:spacing w:val="-4"/>
                    </w:rPr>
                    <w:t>2009</w:t>
                  </w:r>
                  <w:r>
                    <w:rPr>
                      <w:spacing w:val="-4"/>
                    </w:rPr>
                    <w:t>年</w:t>
                  </w:r>
                  <w:r>
                    <w:rPr>
                      <w:rFonts w:ascii="Times New Roman" w:hAnsi="Times New Roman" w:eastAsia="Times New Roman" w:cs="Times New Roman"/>
                      <w:spacing w:val="-4"/>
                    </w:rPr>
                    <w:t>9</w:t>
                  </w:r>
                  <w:r>
                    <w:rPr>
                      <w:spacing w:val="-4"/>
                    </w:rPr>
                    <w:t>月</w:t>
                  </w:r>
                  <w:r>
                    <w:rPr>
                      <w:rFonts w:ascii="Times New Roman" w:hAnsi="Times New Roman" w:eastAsia="Times New Roman" w:cs="Times New Roman"/>
                      <w:spacing w:val="-4"/>
                    </w:rPr>
                    <w:t>7</w:t>
                  </w:r>
                  <w:r>
                    <w:rPr>
                      <w:spacing w:val="-4"/>
                    </w:rPr>
                    <w:t>日</w:t>
                  </w:r>
                  <w:r>
                    <w:rPr>
                      <w:spacing w:val="-5"/>
                    </w:rPr>
                    <w:t>发布实</w:t>
                  </w:r>
                  <w:r>
                    <w:t xml:space="preserve"> </w:t>
                  </w:r>
                  <w:r>
                    <w:rPr>
                      <w:spacing w:val="-3"/>
                    </w:rPr>
                    <w:t>施。根据《云南省生态功能区划》云南省生态功能区共分一级区（生态区）</w:t>
                  </w:r>
                  <w:r>
                    <w:rPr>
                      <w:spacing w:val="15"/>
                    </w:rPr>
                    <w:t xml:space="preserve"> </w:t>
                  </w:r>
                  <w:r>
                    <w:rPr>
                      <w:rFonts w:ascii="Times New Roman" w:hAnsi="Times New Roman" w:eastAsia="Times New Roman" w:cs="Times New Roman"/>
                    </w:rPr>
                    <w:t>5</w:t>
                  </w:r>
                  <w:r>
                    <w:t>个，二级区（生态亚区）</w:t>
                  </w:r>
                  <w:r>
                    <w:rPr>
                      <w:rFonts w:ascii="Times New Roman" w:hAnsi="Times New Roman" w:eastAsia="Times New Roman" w:cs="Times New Roman"/>
                    </w:rPr>
                    <w:t>19</w:t>
                  </w:r>
                  <w:r>
                    <w:t>个，三级区（</w:t>
                  </w:r>
                  <w:r>
                    <w:rPr>
                      <w:spacing w:val="-1"/>
                    </w:rPr>
                    <w:t>生态功能区）</w:t>
                  </w:r>
                  <w:r>
                    <w:rPr>
                      <w:rFonts w:ascii="Times New Roman" w:hAnsi="Times New Roman" w:eastAsia="Times New Roman" w:cs="Times New Roman"/>
                      <w:spacing w:val="-1"/>
                    </w:rPr>
                    <w:t>65</w:t>
                  </w:r>
                  <w:r>
                    <w:rPr>
                      <w:spacing w:val="-1"/>
                    </w:rPr>
                    <w:t>个。项目在云南</w:t>
                  </w:r>
                  <w:r>
                    <w:t xml:space="preserve"> </w:t>
                  </w:r>
                  <w:r>
                    <w:rPr>
                      <w:spacing w:val="-3"/>
                    </w:rPr>
                    <w:t>省生态功能区划情况，见表</w:t>
                  </w:r>
                  <w:r>
                    <w:rPr>
                      <w:rFonts w:ascii="Times New Roman" w:hAnsi="Times New Roman" w:eastAsia="Times New Roman" w:cs="Times New Roman"/>
                      <w:spacing w:val="-3"/>
                    </w:rPr>
                    <w:t>1-6</w:t>
                  </w:r>
                  <w:r>
                    <w:rPr>
                      <w:spacing w:val="-3"/>
                    </w:rPr>
                    <w:t>。</w:t>
                  </w:r>
                </w:p>
                <w:p w14:paraId="7262A56B">
                  <w:pPr>
                    <w:pStyle w:val="6"/>
                    <w:spacing w:before="31" w:line="216" w:lineRule="auto"/>
                    <w:ind w:left="2398"/>
                    <w:rPr>
                      <w:sz w:val="20"/>
                      <w:szCs w:val="20"/>
                    </w:rPr>
                  </w:pPr>
                  <w:r>
                    <w:rPr>
                      <w:b/>
                      <w:bCs/>
                      <w:spacing w:val="5"/>
                      <w:sz w:val="20"/>
                      <w:szCs w:val="20"/>
                    </w:rPr>
                    <w:t>表</w:t>
                  </w:r>
                  <w:r>
                    <w:rPr>
                      <w:spacing w:val="-22"/>
                      <w:sz w:val="20"/>
                      <w:szCs w:val="20"/>
                    </w:rPr>
                    <w:t xml:space="preserve"> </w:t>
                  </w:r>
                  <w:r>
                    <w:rPr>
                      <w:rFonts w:ascii="Times New Roman" w:hAnsi="Times New Roman" w:eastAsia="Times New Roman" w:cs="Times New Roman"/>
                      <w:b/>
                      <w:bCs/>
                      <w:spacing w:val="5"/>
                      <w:sz w:val="20"/>
                      <w:szCs w:val="20"/>
                    </w:rPr>
                    <w:t xml:space="preserve">1-6    </w:t>
                  </w:r>
                  <w:r>
                    <w:rPr>
                      <w:b/>
                      <w:bCs/>
                      <w:spacing w:val="5"/>
                      <w:sz w:val="20"/>
                      <w:szCs w:val="20"/>
                    </w:rPr>
                    <w:t>项目所在地的生态功能区划</w:t>
                  </w:r>
                </w:p>
              </w:tc>
            </w:tr>
            <w:tr w14:paraId="27813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38" w:type="dxa"/>
                  <w:gridSpan w:val="3"/>
                  <w:vAlign w:val="top"/>
                </w:tcPr>
                <w:p w14:paraId="754287E0">
                  <w:pPr>
                    <w:pStyle w:val="6"/>
                    <w:spacing w:before="94" w:line="228" w:lineRule="auto"/>
                    <w:ind w:left="740"/>
                    <w:rPr>
                      <w:sz w:val="20"/>
                      <w:szCs w:val="20"/>
                    </w:rPr>
                  </w:pPr>
                  <w:r>
                    <w:rPr>
                      <w:b/>
                      <w:bCs/>
                      <w:spacing w:val="7"/>
                      <w:sz w:val="20"/>
                      <w:szCs w:val="20"/>
                    </w:rPr>
                    <w:t>生态功能分区单元</w:t>
                  </w:r>
                </w:p>
              </w:tc>
              <w:tc>
                <w:tcPr>
                  <w:tcW w:w="1014" w:type="dxa"/>
                  <w:vMerge w:val="restart"/>
                  <w:tcBorders>
                    <w:bottom w:val="nil"/>
                  </w:tcBorders>
                  <w:vAlign w:val="top"/>
                </w:tcPr>
                <w:p w14:paraId="517B073C">
                  <w:pPr>
                    <w:spacing w:line="259" w:lineRule="auto"/>
                    <w:rPr>
                      <w:rFonts w:ascii="Arial"/>
                      <w:sz w:val="21"/>
                    </w:rPr>
                  </w:pPr>
                </w:p>
                <w:p w14:paraId="70F3560B">
                  <w:pPr>
                    <w:spacing w:line="259" w:lineRule="auto"/>
                    <w:rPr>
                      <w:rFonts w:ascii="Arial"/>
                      <w:sz w:val="21"/>
                    </w:rPr>
                  </w:pPr>
                </w:p>
                <w:p w14:paraId="2C27DD28">
                  <w:pPr>
                    <w:spacing w:line="260" w:lineRule="auto"/>
                    <w:rPr>
                      <w:rFonts w:ascii="Arial"/>
                      <w:sz w:val="21"/>
                    </w:rPr>
                  </w:pPr>
                </w:p>
                <w:p w14:paraId="1F48AEA4">
                  <w:pPr>
                    <w:pStyle w:val="6"/>
                    <w:spacing w:before="65"/>
                    <w:ind w:left="196" w:right="189"/>
                    <w:rPr>
                      <w:sz w:val="20"/>
                      <w:szCs w:val="20"/>
                    </w:rPr>
                  </w:pPr>
                  <w:r>
                    <w:rPr>
                      <w:b/>
                      <w:bCs/>
                      <w:spacing w:val="5"/>
                      <w:sz w:val="20"/>
                      <w:szCs w:val="20"/>
                    </w:rPr>
                    <w:t>所在区</w:t>
                  </w:r>
                  <w:r>
                    <w:rPr>
                      <w:sz w:val="20"/>
                      <w:szCs w:val="20"/>
                    </w:rPr>
                    <w:t xml:space="preserve"> </w:t>
                  </w:r>
                  <w:r>
                    <w:rPr>
                      <w:b/>
                      <w:bCs/>
                      <w:spacing w:val="5"/>
                      <w:sz w:val="20"/>
                      <w:szCs w:val="20"/>
                    </w:rPr>
                    <w:t>域面积</w:t>
                  </w:r>
                </w:p>
              </w:tc>
              <w:tc>
                <w:tcPr>
                  <w:tcW w:w="1271" w:type="dxa"/>
                  <w:vMerge w:val="restart"/>
                  <w:tcBorders>
                    <w:bottom w:val="nil"/>
                  </w:tcBorders>
                  <w:vAlign w:val="top"/>
                </w:tcPr>
                <w:p w14:paraId="1D332F19">
                  <w:pPr>
                    <w:spacing w:line="259" w:lineRule="auto"/>
                    <w:rPr>
                      <w:rFonts w:ascii="Arial"/>
                      <w:sz w:val="21"/>
                    </w:rPr>
                  </w:pPr>
                </w:p>
                <w:p w14:paraId="6062E096">
                  <w:pPr>
                    <w:spacing w:line="259" w:lineRule="auto"/>
                    <w:rPr>
                      <w:rFonts w:ascii="Arial"/>
                      <w:sz w:val="21"/>
                    </w:rPr>
                  </w:pPr>
                </w:p>
                <w:p w14:paraId="48149A83">
                  <w:pPr>
                    <w:spacing w:line="259" w:lineRule="auto"/>
                    <w:rPr>
                      <w:rFonts w:ascii="Arial"/>
                      <w:sz w:val="21"/>
                    </w:rPr>
                  </w:pPr>
                </w:p>
                <w:p w14:paraId="3266F762">
                  <w:pPr>
                    <w:pStyle w:val="6"/>
                    <w:spacing w:before="65"/>
                    <w:ind w:left="537" w:right="106" w:hanging="420"/>
                    <w:rPr>
                      <w:sz w:val="20"/>
                      <w:szCs w:val="20"/>
                    </w:rPr>
                  </w:pPr>
                  <w:r>
                    <w:rPr>
                      <w:b/>
                      <w:bCs/>
                      <w:spacing w:val="6"/>
                      <w:sz w:val="20"/>
                      <w:szCs w:val="20"/>
                    </w:rPr>
                    <w:t>主要生态特</w:t>
                  </w:r>
                  <w:r>
                    <w:rPr>
                      <w:sz w:val="20"/>
                      <w:szCs w:val="20"/>
                    </w:rPr>
                    <w:t xml:space="preserve"> </w:t>
                  </w:r>
                  <w:r>
                    <w:rPr>
                      <w:b/>
                      <w:bCs/>
                      <w:spacing w:val="-3"/>
                      <w:sz w:val="20"/>
                      <w:szCs w:val="20"/>
                    </w:rPr>
                    <w:t>征</w:t>
                  </w:r>
                </w:p>
              </w:tc>
              <w:tc>
                <w:tcPr>
                  <w:tcW w:w="544" w:type="dxa"/>
                  <w:vMerge w:val="restart"/>
                  <w:tcBorders>
                    <w:bottom w:val="nil"/>
                  </w:tcBorders>
                  <w:textDirection w:val="tbRlV"/>
                  <w:vAlign w:val="top"/>
                </w:tcPr>
                <w:p w14:paraId="52B56DD1">
                  <w:pPr>
                    <w:pStyle w:val="6"/>
                    <w:spacing w:before="163" w:line="207" w:lineRule="auto"/>
                    <w:ind w:left="31"/>
                    <w:rPr>
                      <w:sz w:val="20"/>
                      <w:szCs w:val="20"/>
                    </w:rPr>
                  </w:pPr>
                  <w:r>
                    <w:rPr>
                      <w:b/>
                      <w:bCs/>
                      <w:spacing w:val="6"/>
                      <w:sz w:val="20"/>
                      <w:szCs w:val="20"/>
                    </w:rPr>
                    <w:t>主</w:t>
                  </w:r>
                  <w:r>
                    <w:rPr>
                      <w:spacing w:val="-31"/>
                      <w:sz w:val="20"/>
                      <w:szCs w:val="20"/>
                    </w:rPr>
                    <w:t xml:space="preserve"> </w:t>
                  </w:r>
                  <w:r>
                    <w:rPr>
                      <w:b/>
                      <w:bCs/>
                      <w:spacing w:val="6"/>
                      <w:sz w:val="20"/>
                      <w:szCs w:val="20"/>
                    </w:rPr>
                    <w:t>要</w:t>
                  </w:r>
                  <w:r>
                    <w:rPr>
                      <w:spacing w:val="-38"/>
                      <w:sz w:val="20"/>
                      <w:szCs w:val="20"/>
                    </w:rPr>
                    <w:t xml:space="preserve"> </w:t>
                  </w:r>
                  <w:r>
                    <w:rPr>
                      <w:b/>
                      <w:bCs/>
                      <w:spacing w:val="6"/>
                      <w:sz w:val="20"/>
                      <w:szCs w:val="20"/>
                    </w:rPr>
                    <w:t>生</w:t>
                  </w:r>
                  <w:r>
                    <w:rPr>
                      <w:spacing w:val="-35"/>
                      <w:sz w:val="20"/>
                      <w:szCs w:val="20"/>
                    </w:rPr>
                    <w:t xml:space="preserve"> </w:t>
                  </w:r>
                  <w:r>
                    <w:rPr>
                      <w:b/>
                      <w:bCs/>
                      <w:spacing w:val="6"/>
                      <w:sz w:val="20"/>
                      <w:szCs w:val="20"/>
                    </w:rPr>
                    <w:t>态</w:t>
                  </w:r>
                  <w:r>
                    <w:rPr>
                      <w:spacing w:val="-38"/>
                      <w:sz w:val="20"/>
                      <w:szCs w:val="20"/>
                    </w:rPr>
                    <w:t xml:space="preserve"> </w:t>
                  </w:r>
                  <w:r>
                    <w:rPr>
                      <w:b/>
                      <w:bCs/>
                      <w:spacing w:val="6"/>
                      <w:sz w:val="20"/>
                      <w:szCs w:val="20"/>
                    </w:rPr>
                    <w:t>环</w:t>
                  </w:r>
                  <w:r>
                    <w:rPr>
                      <w:spacing w:val="-37"/>
                      <w:sz w:val="20"/>
                      <w:szCs w:val="20"/>
                    </w:rPr>
                    <w:t xml:space="preserve"> </w:t>
                  </w:r>
                  <w:r>
                    <w:rPr>
                      <w:b/>
                      <w:bCs/>
                      <w:spacing w:val="6"/>
                      <w:sz w:val="20"/>
                      <w:szCs w:val="20"/>
                    </w:rPr>
                    <w:t>境</w:t>
                  </w:r>
                  <w:r>
                    <w:rPr>
                      <w:spacing w:val="-36"/>
                      <w:sz w:val="20"/>
                      <w:szCs w:val="20"/>
                    </w:rPr>
                    <w:t xml:space="preserve"> </w:t>
                  </w:r>
                  <w:r>
                    <w:rPr>
                      <w:b/>
                      <w:bCs/>
                      <w:spacing w:val="6"/>
                      <w:position w:val="1"/>
                      <w:sz w:val="20"/>
                      <w:szCs w:val="20"/>
                    </w:rPr>
                    <w:t>问</w:t>
                  </w:r>
                  <w:r>
                    <w:rPr>
                      <w:spacing w:val="-37"/>
                      <w:position w:val="1"/>
                      <w:sz w:val="20"/>
                      <w:szCs w:val="20"/>
                    </w:rPr>
                    <w:t xml:space="preserve"> </w:t>
                  </w:r>
                  <w:r>
                    <w:rPr>
                      <w:b/>
                      <w:bCs/>
                      <w:spacing w:val="6"/>
                      <w:sz w:val="20"/>
                      <w:szCs w:val="20"/>
                    </w:rPr>
                    <w:t>题</w:t>
                  </w:r>
                </w:p>
              </w:tc>
              <w:tc>
                <w:tcPr>
                  <w:tcW w:w="544" w:type="dxa"/>
                  <w:vMerge w:val="restart"/>
                  <w:tcBorders>
                    <w:bottom w:val="nil"/>
                  </w:tcBorders>
                  <w:textDirection w:val="tbRlV"/>
                  <w:vAlign w:val="top"/>
                </w:tcPr>
                <w:p w14:paraId="3BD8C28A">
                  <w:pPr>
                    <w:pStyle w:val="6"/>
                    <w:spacing w:before="164" w:line="216" w:lineRule="auto"/>
                    <w:ind w:left="165"/>
                    <w:rPr>
                      <w:sz w:val="20"/>
                      <w:szCs w:val="20"/>
                    </w:rPr>
                  </w:pPr>
                  <w:r>
                    <w:rPr>
                      <w:b/>
                      <w:bCs/>
                      <w:spacing w:val="6"/>
                      <w:sz w:val="20"/>
                      <w:szCs w:val="20"/>
                    </w:rPr>
                    <w:t>生</w:t>
                  </w:r>
                  <w:r>
                    <w:rPr>
                      <w:spacing w:val="-32"/>
                      <w:sz w:val="20"/>
                      <w:szCs w:val="20"/>
                    </w:rPr>
                    <w:t xml:space="preserve"> </w:t>
                  </w:r>
                  <w:r>
                    <w:rPr>
                      <w:b/>
                      <w:bCs/>
                      <w:spacing w:val="6"/>
                      <w:sz w:val="20"/>
                      <w:szCs w:val="20"/>
                    </w:rPr>
                    <w:t>态</w:t>
                  </w:r>
                  <w:r>
                    <w:rPr>
                      <w:spacing w:val="-38"/>
                      <w:sz w:val="20"/>
                      <w:szCs w:val="20"/>
                    </w:rPr>
                    <w:t xml:space="preserve"> </w:t>
                  </w:r>
                  <w:r>
                    <w:rPr>
                      <w:b/>
                      <w:bCs/>
                      <w:spacing w:val="6"/>
                      <w:sz w:val="20"/>
                      <w:szCs w:val="20"/>
                    </w:rPr>
                    <w:t>环</w:t>
                  </w:r>
                  <w:r>
                    <w:rPr>
                      <w:spacing w:val="-35"/>
                      <w:sz w:val="20"/>
                      <w:szCs w:val="20"/>
                    </w:rPr>
                    <w:t xml:space="preserve"> </w:t>
                  </w:r>
                  <w:r>
                    <w:rPr>
                      <w:b/>
                      <w:bCs/>
                      <w:spacing w:val="6"/>
                      <w:sz w:val="20"/>
                      <w:szCs w:val="20"/>
                    </w:rPr>
                    <w:t>境</w:t>
                  </w:r>
                  <w:r>
                    <w:rPr>
                      <w:spacing w:val="-38"/>
                      <w:sz w:val="20"/>
                      <w:szCs w:val="20"/>
                    </w:rPr>
                    <w:t xml:space="preserve"> </w:t>
                  </w:r>
                  <w:r>
                    <w:rPr>
                      <w:b/>
                      <w:bCs/>
                      <w:spacing w:val="6"/>
                      <w:sz w:val="20"/>
                      <w:szCs w:val="20"/>
                    </w:rPr>
                    <w:t>敏</w:t>
                  </w:r>
                  <w:r>
                    <w:rPr>
                      <w:spacing w:val="-35"/>
                      <w:sz w:val="20"/>
                      <w:szCs w:val="20"/>
                    </w:rPr>
                    <w:t xml:space="preserve"> </w:t>
                  </w:r>
                  <w:r>
                    <w:rPr>
                      <w:b/>
                      <w:bCs/>
                      <w:spacing w:val="6"/>
                      <w:sz w:val="20"/>
                      <w:szCs w:val="20"/>
                    </w:rPr>
                    <w:t>感</w:t>
                  </w:r>
                  <w:r>
                    <w:rPr>
                      <w:spacing w:val="-37"/>
                      <w:sz w:val="20"/>
                      <w:szCs w:val="20"/>
                    </w:rPr>
                    <w:t xml:space="preserve"> </w:t>
                  </w:r>
                  <w:r>
                    <w:rPr>
                      <w:b/>
                      <w:bCs/>
                      <w:spacing w:val="6"/>
                      <w:sz w:val="20"/>
                      <w:szCs w:val="20"/>
                    </w:rPr>
                    <w:t>性</w:t>
                  </w:r>
                </w:p>
              </w:tc>
              <w:tc>
                <w:tcPr>
                  <w:tcW w:w="683" w:type="dxa"/>
                  <w:vMerge w:val="restart"/>
                  <w:tcBorders>
                    <w:bottom w:val="nil"/>
                  </w:tcBorders>
                  <w:vAlign w:val="top"/>
                </w:tcPr>
                <w:p w14:paraId="3478CC76">
                  <w:pPr>
                    <w:spacing w:line="371" w:lineRule="auto"/>
                    <w:rPr>
                      <w:rFonts w:ascii="Arial"/>
                      <w:sz w:val="21"/>
                    </w:rPr>
                  </w:pPr>
                </w:p>
                <w:p w14:paraId="61360152">
                  <w:pPr>
                    <w:pStyle w:val="6"/>
                    <w:spacing w:before="65" w:line="247" w:lineRule="auto"/>
                    <w:ind w:left="137" w:right="128" w:firstLine="1"/>
                    <w:jc w:val="both"/>
                    <w:rPr>
                      <w:sz w:val="20"/>
                      <w:szCs w:val="20"/>
                    </w:rPr>
                  </w:pPr>
                  <w:r>
                    <w:rPr>
                      <w:b/>
                      <w:bCs/>
                      <w:spacing w:val="3"/>
                      <w:sz w:val="20"/>
                      <w:szCs w:val="20"/>
                    </w:rPr>
                    <w:t>主要</w:t>
                  </w:r>
                  <w:r>
                    <w:rPr>
                      <w:sz w:val="20"/>
                      <w:szCs w:val="20"/>
                    </w:rPr>
                    <w:t xml:space="preserve"> </w:t>
                  </w:r>
                  <w:r>
                    <w:rPr>
                      <w:b/>
                      <w:bCs/>
                      <w:spacing w:val="3"/>
                      <w:sz w:val="20"/>
                      <w:szCs w:val="20"/>
                    </w:rPr>
                    <w:t>生态</w:t>
                  </w:r>
                  <w:r>
                    <w:rPr>
                      <w:sz w:val="20"/>
                      <w:szCs w:val="20"/>
                    </w:rPr>
                    <w:t xml:space="preserve"> </w:t>
                  </w:r>
                  <w:r>
                    <w:rPr>
                      <w:b/>
                      <w:bCs/>
                      <w:spacing w:val="3"/>
                      <w:sz w:val="20"/>
                      <w:szCs w:val="20"/>
                    </w:rPr>
                    <w:t>系统</w:t>
                  </w:r>
                  <w:r>
                    <w:rPr>
                      <w:sz w:val="20"/>
                      <w:szCs w:val="20"/>
                    </w:rPr>
                    <w:t xml:space="preserve"> </w:t>
                  </w:r>
                  <w:r>
                    <w:rPr>
                      <w:b/>
                      <w:bCs/>
                      <w:spacing w:val="3"/>
                      <w:sz w:val="20"/>
                      <w:szCs w:val="20"/>
                    </w:rPr>
                    <w:t>服务</w:t>
                  </w:r>
                  <w:r>
                    <w:rPr>
                      <w:sz w:val="20"/>
                      <w:szCs w:val="20"/>
                    </w:rPr>
                    <w:t xml:space="preserve"> </w:t>
                  </w:r>
                  <w:r>
                    <w:rPr>
                      <w:b/>
                      <w:bCs/>
                      <w:spacing w:val="3"/>
                      <w:sz w:val="20"/>
                      <w:szCs w:val="20"/>
                    </w:rPr>
                    <w:t>功能</w:t>
                  </w:r>
                </w:p>
              </w:tc>
              <w:tc>
                <w:tcPr>
                  <w:tcW w:w="863" w:type="dxa"/>
                  <w:vMerge w:val="restart"/>
                  <w:tcBorders>
                    <w:bottom w:val="nil"/>
                  </w:tcBorders>
                  <w:vAlign w:val="top"/>
                </w:tcPr>
                <w:p w14:paraId="733C8C3C">
                  <w:pPr>
                    <w:spacing w:line="322" w:lineRule="auto"/>
                    <w:rPr>
                      <w:rFonts w:ascii="Arial"/>
                      <w:sz w:val="21"/>
                    </w:rPr>
                  </w:pPr>
                </w:p>
                <w:p w14:paraId="31738F7F">
                  <w:pPr>
                    <w:spacing w:line="322" w:lineRule="auto"/>
                    <w:rPr>
                      <w:rFonts w:ascii="Arial"/>
                      <w:sz w:val="21"/>
                    </w:rPr>
                  </w:pPr>
                </w:p>
                <w:p w14:paraId="5E600B4C">
                  <w:pPr>
                    <w:pStyle w:val="6"/>
                    <w:spacing w:before="65" w:line="243" w:lineRule="auto"/>
                    <w:ind w:left="118" w:right="115" w:firstLine="1"/>
                    <w:jc w:val="both"/>
                    <w:rPr>
                      <w:sz w:val="20"/>
                      <w:szCs w:val="20"/>
                    </w:rPr>
                  </w:pPr>
                  <w:r>
                    <w:rPr>
                      <w:b/>
                      <w:bCs/>
                      <w:spacing w:val="5"/>
                      <w:sz w:val="20"/>
                      <w:szCs w:val="20"/>
                    </w:rPr>
                    <w:t>保护措</w:t>
                  </w:r>
                  <w:r>
                    <w:rPr>
                      <w:sz w:val="20"/>
                      <w:szCs w:val="20"/>
                    </w:rPr>
                    <w:t xml:space="preserve"> </w:t>
                  </w:r>
                  <w:r>
                    <w:rPr>
                      <w:b/>
                      <w:bCs/>
                      <w:spacing w:val="5"/>
                      <w:sz w:val="20"/>
                      <w:szCs w:val="20"/>
                    </w:rPr>
                    <w:t>施与发</w:t>
                  </w:r>
                  <w:r>
                    <w:rPr>
                      <w:spacing w:val="1"/>
                      <w:sz w:val="20"/>
                      <w:szCs w:val="20"/>
                    </w:rPr>
                    <w:t xml:space="preserve"> </w:t>
                  </w:r>
                  <w:r>
                    <w:rPr>
                      <w:b/>
                      <w:bCs/>
                      <w:spacing w:val="5"/>
                      <w:sz w:val="20"/>
                      <w:szCs w:val="20"/>
                    </w:rPr>
                    <w:t>展方向</w:t>
                  </w:r>
                </w:p>
              </w:tc>
            </w:tr>
            <w:tr w14:paraId="3C2FF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7" w:hRule="atLeast"/>
              </w:trPr>
              <w:tc>
                <w:tcPr>
                  <w:tcW w:w="1065" w:type="dxa"/>
                  <w:vAlign w:val="top"/>
                </w:tcPr>
                <w:p w14:paraId="09966446">
                  <w:pPr>
                    <w:spacing w:line="355" w:lineRule="auto"/>
                    <w:rPr>
                      <w:rFonts w:ascii="Arial"/>
                      <w:sz w:val="21"/>
                    </w:rPr>
                  </w:pPr>
                </w:p>
                <w:p w14:paraId="04B02EE2">
                  <w:pPr>
                    <w:spacing w:line="356" w:lineRule="auto"/>
                    <w:rPr>
                      <w:rFonts w:ascii="Arial"/>
                      <w:sz w:val="21"/>
                    </w:rPr>
                  </w:pPr>
                </w:p>
                <w:p w14:paraId="21FACC22">
                  <w:pPr>
                    <w:pStyle w:val="6"/>
                    <w:spacing w:before="65" w:line="233" w:lineRule="auto"/>
                    <w:ind w:left="279"/>
                    <w:rPr>
                      <w:sz w:val="20"/>
                      <w:szCs w:val="20"/>
                    </w:rPr>
                  </w:pPr>
                  <w:r>
                    <w:rPr>
                      <w:b/>
                      <w:bCs/>
                      <w:spacing w:val="5"/>
                      <w:sz w:val="20"/>
                      <w:szCs w:val="20"/>
                    </w:rPr>
                    <w:t>生态区</w:t>
                  </w:r>
                </w:p>
              </w:tc>
              <w:tc>
                <w:tcPr>
                  <w:tcW w:w="1064" w:type="dxa"/>
                  <w:vAlign w:val="top"/>
                </w:tcPr>
                <w:p w14:paraId="48433001">
                  <w:pPr>
                    <w:spacing w:line="355" w:lineRule="auto"/>
                    <w:rPr>
                      <w:rFonts w:ascii="Arial"/>
                      <w:sz w:val="21"/>
                    </w:rPr>
                  </w:pPr>
                </w:p>
                <w:p w14:paraId="4FA58CC5">
                  <w:pPr>
                    <w:spacing w:line="356" w:lineRule="auto"/>
                    <w:rPr>
                      <w:rFonts w:ascii="Arial"/>
                      <w:sz w:val="21"/>
                    </w:rPr>
                  </w:pPr>
                </w:p>
                <w:p w14:paraId="3BF82A57">
                  <w:pPr>
                    <w:pStyle w:val="6"/>
                    <w:spacing w:before="65" w:line="233" w:lineRule="auto"/>
                    <w:ind w:left="116"/>
                    <w:rPr>
                      <w:sz w:val="20"/>
                      <w:szCs w:val="20"/>
                    </w:rPr>
                  </w:pPr>
                  <w:r>
                    <w:rPr>
                      <w:b/>
                      <w:bCs/>
                      <w:spacing w:val="6"/>
                      <w:sz w:val="20"/>
                      <w:szCs w:val="20"/>
                    </w:rPr>
                    <w:t>生态亚区</w:t>
                  </w:r>
                </w:p>
              </w:tc>
              <w:tc>
                <w:tcPr>
                  <w:tcW w:w="909" w:type="dxa"/>
                  <w:vAlign w:val="top"/>
                </w:tcPr>
                <w:p w14:paraId="0BEA5D6A">
                  <w:pPr>
                    <w:spacing w:line="287" w:lineRule="auto"/>
                    <w:rPr>
                      <w:rFonts w:ascii="Arial"/>
                      <w:sz w:val="21"/>
                    </w:rPr>
                  </w:pPr>
                </w:p>
                <w:p w14:paraId="1E22B573">
                  <w:pPr>
                    <w:spacing w:line="288" w:lineRule="auto"/>
                    <w:rPr>
                      <w:rFonts w:ascii="Arial"/>
                      <w:sz w:val="21"/>
                    </w:rPr>
                  </w:pPr>
                </w:p>
                <w:p w14:paraId="6C7EB854">
                  <w:pPr>
                    <w:pStyle w:val="6"/>
                    <w:spacing w:before="65" w:line="241" w:lineRule="auto"/>
                    <w:ind w:left="256" w:right="137" w:hanging="112"/>
                    <w:rPr>
                      <w:sz w:val="20"/>
                      <w:szCs w:val="20"/>
                    </w:rPr>
                  </w:pPr>
                  <w:r>
                    <w:rPr>
                      <w:b/>
                      <w:bCs/>
                      <w:spacing w:val="5"/>
                      <w:sz w:val="20"/>
                      <w:szCs w:val="20"/>
                    </w:rPr>
                    <w:t>生态功</w:t>
                  </w:r>
                  <w:r>
                    <w:rPr>
                      <w:sz w:val="20"/>
                      <w:szCs w:val="20"/>
                    </w:rPr>
                    <w:t xml:space="preserve"> </w:t>
                  </w:r>
                  <w:r>
                    <w:rPr>
                      <w:b/>
                      <w:bCs/>
                      <w:spacing w:val="-1"/>
                      <w:sz w:val="20"/>
                      <w:szCs w:val="20"/>
                    </w:rPr>
                    <w:t>能区</w:t>
                  </w:r>
                </w:p>
              </w:tc>
              <w:tc>
                <w:tcPr>
                  <w:tcW w:w="1014" w:type="dxa"/>
                  <w:vMerge w:val="continue"/>
                  <w:tcBorders>
                    <w:top w:val="nil"/>
                  </w:tcBorders>
                  <w:vAlign w:val="top"/>
                </w:tcPr>
                <w:p w14:paraId="61BD38C3">
                  <w:pPr>
                    <w:rPr>
                      <w:rFonts w:ascii="Arial"/>
                      <w:sz w:val="21"/>
                    </w:rPr>
                  </w:pPr>
                </w:p>
              </w:tc>
              <w:tc>
                <w:tcPr>
                  <w:tcW w:w="1271" w:type="dxa"/>
                  <w:vMerge w:val="continue"/>
                  <w:tcBorders>
                    <w:top w:val="nil"/>
                  </w:tcBorders>
                  <w:vAlign w:val="top"/>
                </w:tcPr>
                <w:p w14:paraId="400E4B3E">
                  <w:pPr>
                    <w:rPr>
                      <w:rFonts w:ascii="Arial"/>
                      <w:sz w:val="21"/>
                    </w:rPr>
                  </w:pPr>
                </w:p>
              </w:tc>
              <w:tc>
                <w:tcPr>
                  <w:tcW w:w="544" w:type="dxa"/>
                  <w:vMerge w:val="continue"/>
                  <w:tcBorders>
                    <w:top w:val="nil"/>
                  </w:tcBorders>
                  <w:textDirection w:val="tbRlV"/>
                  <w:vAlign w:val="top"/>
                </w:tcPr>
                <w:p w14:paraId="5E75C868">
                  <w:pPr>
                    <w:rPr>
                      <w:rFonts w:ascii="Arial"/>
                      <w:sz w:val="21"/>
                    </w:rPr>
                  </w:pPr>
                </w:p>
              </w:tc>
              <w:tc>
                <w:tcPr>
                  <w:tcW w:w="544" w:type="dxa"/>
                  <w:vMerge w:val="continue"/>
                  <w:tcBorders>
                    <w:top w:val="nil"/>
                  </w:tcBorders>
                  <w:textDirection w:val="tbRlV"/>
                  <w:vAlign w:val="top"/>
                </w:tcPr>
                <w:p w14:paraId="25A45980">
                  <w:pPr>
                    <w:rPr>
                      <w:rFonts w:ascii="Arial"/>
                      <w:sz w:val="21"/>
                    </w:rPr>
                  </w:pPr>
                </w:p>
              </w:tc>
              <w:tc>
                <w:tcPr>
                  <w:tcW w:w="683" w:type="dxa"/>
                  <w:vMerge w:val="continue"/>
                  <w:tcBorders>
                    <w:top w:val="nil"/>
                  </w:tcBorders>
                  <w:vAlign w:val="top"/>
                </w:tcPr>
                <w:p w14:paraId="3469CE32">
                  <w:pPr>
                    <w:rPr>
                      <w:rFonts w:ascii="Arial"/>
                      <w:sz w:val="21"/>
                    </w:rPr>
                  </w:pPr>
                </w:p>
              </w:tc>
              <w:tc>
                <w:tcPr>
                  <w:tcW w:w="863" w:type="dxa"/>
                  <w:vMerge w:val="continue"/>
                  <w:tcBorders>
                    <w:top w:val="nil"/>
                  </w:tcBorders>
                  <w:vAlign w:val="top"/>
                </w:tcPr>
                <w:p w14:paraId="27C3768B">
                  <w:pPr>
                    <w:rPr>
                      <w:rFonts w:ascii="Arial"/>
                      <w:sz w:val="21"/>
                    </w:rPr>
                  </w:pPr>
                </w:p>
              </w:tc>
            </w:tr>
            <w:tr w14:paraId="250E8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8" w:hRule="atLeast"/>
              </w:trPr>
              <w:tc>
                <w:tcPr>
                  <w:tcW w:w="1065" w:type="dxa"/>
                  <w:tcBorders>
                    <w:bottom w:val="nil"/>
                  </w:tcBorders>
                  <w:vAlign w:val="top"/>
                </w:tcPr>
                <w:p w14:paraId="1FFDCE4F">
                  <w:pPr>
                    <w:spacing w:line="303" w:lineRule="auto"/>
                    <w:rPr>
                      <w:rFonts w:ascii="Arial"/>
                      <w:sz w:val="21"/>
                    </w:rPr>
                  </w:pPr>
                </w:p>
                <w:p w14:paraId="50CF75A6">
                  <w:pPr>
                    <w:spacing w:line="303" w:lineRule="auto"/>
                    <w:rPr>
                      <w:rFonts w:ascii="Arial"/>
                      <w:sz w:val="21"/>
                    </w:rPr>
                  </w:pPr>
                </w:p>
                <w:p w14:paraId="5722A9E9">
                  <w:pPr>
                    <w:spacing w:line="304" w:lineRule="auto"/>
                    <w:rPr>
                      <w:rFonts w:ascii="Arial"/>
                      <w:sz w:val="21"/>
                    </w:rPr>
                  </w:pPr>
                </w:p>
                <w:p w14:paraId="208A5869">
                  <w:pPr>
                    <w:pStyle w:val="6"/>
                    <w:tabs>
                      <w:tab w:val="left" w:pos="395"/>
                    </w:tabs>
                    <w:spacing w:before="65" w:line="248" w:lineRule="auto"/>
                    <w:ind w:left="281" w:right="159" w:firstLine="3"/>
                    <w:jc w:val="both"/>
                    <w:rPr>
                      <w:sz w:val="20"/>
                      <w:szCs w:val="20"/>
                    </w:rPr>
                  </w:pPr>
                  <w:r>
                    <w:rPr>
                      <w:spacing w:val="5"/>
                      <w:sz w:val="20"/>
                      <w:szCs w:val="20"/>
                    </w:rPr>
                    <w:t>高原亚</w:t>
                  </w:r>
                  <w:r>
                    <w:rPr>
                      <w:sz w:val="20"/>
                      <w:szCs w:val="20"/>
                    </w:rPr>
                    <w:t xml:space="preserve"> </w:t>
                  </w:r>
                  <w:r>
                    <w:rPr>
                      <w:spacing w:val="6"/>
                      <w:sz w:val="20"/>
                      <w:szCs w:val="20"/>
                    </w:rPr>
                    <w:t>热带北</w:t>
                  </w:r>
                  <w:r>
                    <w:rPr>
                      <w:sz w:val="20"/>
                      <w:szCs w:val="20"/>
                    </w:rPr>
                    <w:t xml:space="preserve"> </w:t>
                  </w:r>
                  <w:r>
                    <w:rPr>
                      <w:spacing w:val="6"/>
                      <w:sz w:val="20"/>
                      <w:szCs w:val="20"/>
                    </w:rPr>
                    <w:t>部常绿</w:t>
                  </w:r>
                  <w:r>
                    <w:rPr>
                      <w:sz w:val="20"/>
                      <w:szCs w:val="20"/>
                    </w:rPr>
                    <w:t xml:space="preserve"> </w:t>
                  </w:r>
                  <w:r>
                    <w:rPr>
                      <w:spacing w:val="6"/>
                      <w:sz w:val="20"/>
                      <w:szCs w:val="20"/>
                    </w:rPr>
                    <w:t>阔叶林</w:t>
                  </w:r>
                  <w:r>
                    <w:rPr>
                      <w:sz w:val="20"/>
                      <w:szCs w:val="20"/>
                    </w:rPr>
                    <w:t xml:space="preserve"> </w:t>
                  </w:r>
                  <w:r>
                    <w:rPr>
                      <w:spacing w:val="6"/>
                      <w:sz w:val="20"/>
                      <w:szCs w:val="20"/>
                    </w:rPr>
                    <w:t>生态区</w:t>
                  </w:r>
                  <w:r>
                    <w:rPr>
                      <w:sz w:val="20"/>
                      <w:szCs w:val="20"/>
                    </w:rPr>
                    <w:t xml:space="preserve"> </w:t>
                  </w:r>
                  <w:r>
                    <w:rPr>
                      <w:sz w:val="20"/>
                      <w:szCs w:val="20"/>
                    </w:rPr>
                    <w:tab/>
                  </w:r>
                  <w:r>
                    <w:rPr>
                      <w:spacing w:val="-1"/>
                      <w:sz w:val="20"/>
                      <w:szCs w:val="20"/>
                    </w:rPr>
                    <w:t>(</w:t>
                  </w:r>
                  <w:r>
                    <w:rPr>
                      <w:rFonts w:ascii="Times New Roman" w:hAnsi="Times New Roman" w:eastAsia="Times New Roman" w:cs="Times New Roman"/>
                      <w:spacing w:val="-1"/>
                      <w:sz w:val="20"/>
                      <w:szCs w:val="20"/>
                    </w:rPr>
                    <w:t>Ⅲ</w:t>
                  </w:r>
                  <w:r>
                    <w:rPr>
                      <w:spacing w:val="-1"/>
                      <w:sz w:val="20"/>
                      <w:szCs w:val="20"/>
                    </w:rPr>
                    <w:t>)</w:t>
                  </w:r>
                </w:p>
              </w:tc>
              <w:tc>
                <w:tcPr>
                  <w:tcW w:w="1064" w:type="dxa"/>
                  <w:tcBorders>
                    <w:bottom w:val="nil"/>
                  </w:tcBorders>
                  <w:vAlign w:val="top"/>
                </w:tcPr>
                <w:p w14:paraId="1C85BACA">
                  <w:pPr>
                    <w:spacing w:line="259" w:lineRule="auto"/>
                    <w:rPr>
                      <w:rFonts w:ascii="Arial"/>
                      <w:sz w:val="21"/>
                    </w:rPr>
                  </w:pPr>
                </w:p>
                <w:p w14:paraId="27264861">
                  <w:pPr>
                    <w:spacing w:line="260" w:lineRule="auto"/>
                    <w:rPr>
                      <w:rFonts w:ascii="Arial"/>
                      <w:sz w:val="21"/>
                    </w:rPr>
                  </w:pPr>
                </w:p>
                <w:p w14:paraId="25100D97">
                  <w:pPr>
                    <w:spacing w:line="260" w:lineRule="auto"/>
                    <w:rPr>
                      <w:rFonts w:ascii="Arial"/>
                      <w:sz w:val="21"/>
                    </w:rPr>
                  </w:pPr>
                </w:p>
                <w:p w14:paraId="565755BA">
                  <w:pPr>
                    <w:pStyle w:val="6"/>
                    <w:tabs>
                      <w:tab w:val="left" w:pos="282"/>
                    </w:tabs>
                    <w:spacing w:before="65" w:line="248" w:lineRule="auto"/>
                    <w:ind w:left="116" w:right="114" w:hanging="1"/>
                    <w:jc w:val="both"/>
                    <w:rPr>
                      <w:sz w:val="20"/>
                      <w:szCs w:val="20"/>
                    </w:rPr>
                  </w:pPr>
                  <w:r>
                    <w:rPr>
                      <w:spacing w:val="7"/>
                      <w:sz w:val="20"/>
                      <w:szCs w:val="20"/>
                    </w:rPr>
                    <w:t>滇中高原</w:t>
                  </w:r>
                  <w:r>
                    <w:rPr>
                      <w:sz w:val="20"/>
                      <w:szCs w:val="20"/>
                    </w:rPr>
                    <w:t xml:space="preserve"> </w:t>
                  </w:r>
                  <w:r>
                    <w:rPr>
                      <w:spacing w:val="6"/>
                      <w:sz w:val="20"/>
                      <w:szCs w:val="20"/>
                    </w:rPr>
                    <w:t>谷盆半湿</w:t>
                  </w:r>
                  <w:r>
                    <w:rPr>
                      <w:spacing w:val="2"/>
                      <w:sz w:val="20"/>
                      <w:szCs w:val="20"/>
                    </w:rPr>
                    <w:t xml:space="preserve"> </w:t>
                  </w:r>
                  <w:r>
                    <w:rPr>
                      <w:spacing w:val="6"/>
                      <w:sz w:val="20"/>
                      <w:szCs w:val="20"/>
                    </w:rPr>
                    <w:t>润常绿阔</w:t>
                  </w:r>
                  <w:r>
                    <w:rPr>
                      <w:spacing w:val="2"/>
                      <w:sz w:val="20"/>
                      <w:szCs w:val="20"/>
                    </w:rPr>
                    <w:t xml:space="preserve"> </w:t>
                  </w:r>
                  <w:r>
                    <w:rPr>
                      <w:spacing w:val="6"/>
                      <w:sz w:val="20"/>
                      <w:szCs w:val="20"/>
                    </w:rPr>
                    <w:t>叶林、暖</w:t>
                  </w:r>
                  <w:r>
                    <w:rPr>
                      <w:spacing w:val="2"/>
                      <w:sz w:val="20"/>
                      <w:szCs w:val="20"/>
                    </w:rPr>
                    <w:t xml:space="preserve"> </w:t>
                  </w:r>
                  <w:r>
                    <w:rPr>
                      <w:spacing w:val="6"/>
                      <w:sz w:val="20"/>
                      <w:szCs w:val="20"/>
                    </w:rPr>
                    <w:t>性针叶林</w:t>
                  </w:r>
                  <w:r>
                    <w:rPr>
                      <w:spacing w:val="2"/>
                      <w:sz w:val="20"/>
                      <w:szCs w:val="20"/>
                    </w:rPr>
                    <w:t xml:space="preserve"> </w:t>
                  </w:r>
                  <w:r>
                    <w:rPr>
                      <w:spacing w:val="6"/>
                      <w:sz w:val="20"/>
                      <w:szCs w:val="20"/>
                    </w:rPr>
                    <w:t>生态亚区</w:t>
                  </w:r>
                  <w:r>
                    <w:rPr>
                      <w:spacing w:val="2"/>
                      <w:sz w:val="20"/>
                      <w:szCs w:val="20"/>
                    </w:rPr>
                    <w:t xml:space="preserve"> </w:t>
                  </w:r>
                  <w:r>
                    <w:rPr>
                      <w:sz w:val="20"/>
                      <w:szCs w:val="20"/>
                    </w:rPr>
                    <w:tab/>
                  </w:r>
                  <w:r>
                    <w:rPr>
                      <w:spacing w:val="1"/>
                      <w:sz w:val="20"/>
                      <w:szCs w:val="20"/>
                    </w:rPr>
                    <w:t>(</w:t>
                  </w:r>
                  <w:r>
                    <w:rPr>
                      <w:rFonts w:ascii="Times New Roman" w:hAnsi="Times New Roman" w:eastAsia="Times New Roman" w:cs="Times New Roman"/>
                      <w:spacing w:val="1"/>
                      <w:sz w:val="20"/>
                      <w:szCs w:val="20"/>
                    </w:rPr>
                    <w:t>Ⅲ1</w:t>
                  </w:r>
                  <w:r>
                    <w:rPr>
                      <w:spacing w:val="1"/>
                      <w:sz w:val="20"/>
                      <w:szCs w:val="20"/>
                    </w:rPr>
                    <w:t>）</w:t>
                  </w:r>
                </w:p>
              </w:tc>
              <w:tc>
                <w:tcPr>
                  <w:tcW w:w="909" w:type="dxa"/>
                  <w:tcBorders>
                    <w:bottom w:val="nil"/>
                  </w:tcBorders>
                  <w:vAlign w:val="top"/>
                </w:tcPr>
                <w:p w14:paraId="67709591">
                  <w:pPr>
                    <w:spacing w:line="274" w:lineRule="auto"/>
                    <w:rPr>
                      <w:rFonts w:ascii="Arial"/>
                      <w:sz w:val="21"/>
                    </w:rPr>
                  </w:pPr>
                </w:p>
                <w:p w14:paraId="3E9D8584">
                  <w:pPr>
                    <w:spacing w:line="275" w:lineRule="auto"/>
                    <w:rPr>
                      <w:rFonts w:ascii="Arial"/>
                      <w:sz w:val="21"/>
                    </w:rPr>
                  </w:pPr>
                </w:p>
                <w:p w14:paraId="041F0D34">
                  <w:pPr>
                    <w:spacing w:line="275" w:lineRule="auto"/>
                    <w:rPr>
                      <w:rFonts w:ascii="Arial"/>
                      <w:sz w:val="21"/>
                    </w:rPr>
                  </w:pPr>
                </w:p>
                <w:p w14:paraId="03672407">
                  <w:pPr>
                    <w:pStyle w:val="6"/>
                    <w:spacing w:before="58" w:line="245" w:lineRule="auto"/>
                    <w:ind w:left="146" w:right="137" w:firstLine="17"/>
                    <w:jc w:val="both"/>
                    <w:rPr>
                      <w:sz w:val="20"/>
                      <w:szCs w:val="20"/>
                    </w:rPr>
                  </w:pPr>
                  <w:r>
                    <w:rPr>
                      <w:rFonts w:ascii="Times New Roman" w:hAnsi="Times New Roman" w:eastAsia="Times New Roman" w:cs="Times New Roman"/>
                      <w:spacing w:val="4"/>
                      <w:sz w:val="20"/>
                      <w:szCs w:val="20"/>
                    </w:rPr>
                    <w:t>Ⅲ1-10</w:t>
                  </w:r>
                  <w:r>
                    <w:rPr>
                      <w:rFonts w:ascii="Times New Roman" w:hAnsi="Times New Roman" w:eastAsia="Times New Roman" w:cs="Times New Roman"/>
                      <w:sz w:val="20"/>
                      <w:szCs w:val="20"/>
                    </w:rPr>
                    <w:t xml:space="preserve"> </w:t>
                  </w:r>
                  <w:r>
                    <w:rPr>
                      <w:spacing w:val="6"/>
                      <w:sz w:val="20"/>
                      <w:szCs w:val="20"/>
                    </w:rPr>
                    <w:t>牛栏江</w:t>
                  </w:r>
                  <w:r>
                    <w:rPr>
                      <w:sz w:val="20"/>
                      <w:szCs w:val="20"/>
                    </w:rPr>
                    <w:t xml:space="preserve"> </w:t>
                  </w:r>
                  <w:r>
                    <w:rPr>
                      <w:spacing w:val="6"/>
                      <w:sz w:val="20"/>
                      <w:szCs w:val="20"/>
                    </w:rPr>
                    <w:t>上游丘</w:t>
                  </w:r>
                  <w:r>
                    <w:rPr>
                      <w:sz w:val="20"/>
                      <w:szCs w:val="20"/>
                    </w:rPr>
                    <w:t xml:space="preserve"> </w:t>
                  </w:r>
                  <w:r>
                    <w:rPr>
                      <w:spacing w:val="6"/>
                      <w:sz w:val="20"/>
                      <w:szCs w:val="20"/>
                    </w:rPr>
                    <w:t>原盆地</w:t>
                  </w:r>
                  <w:r>
                    <w:rPr>
                      <w:sz w:val="20"/>
                      <w:szCs w:val="20"/>
                    </w:rPr>
                    <w:t xml:space="preserve"> </w:t>
                  </w:r>
                  <w:r>
                    <w:rPr>
                      <w:spacing w:val="6"/>
                      <w:sz w:val="20"/>
                      <w:szCs w:val="20"/>
                    </w:rPr>
                    <w:t>水源涵</w:t>
                  </w:r>
                  <w:r>
                    <w:rPr>
                      <w:sz w:val="20"/>
                      <w:szCs w:val="20"/>
                    </w:rPr>
                    <w:t xml:space="preserve"> </w:t>
                  </w:r>
                  <w:r>
                    <w:rPr>
                      <w:spacing w:val="6"/>
                      <w:sz w:val="20"/>
                      <w:szCs w:val="20"/>
                    </w:rPr>
                    <w:t>养生态</w:t>
                  </w:r>
                  <w:r>
                    <w:rPr>
                      <w:sz w:val="20"/>
                      <w:szCs w:val="20"/>
                    </w:rPr>
                    <w:t xml:space="preserve"> </w:t>
                  </w:r>
                  <w:r>
                    <w:rPr>
                      <w:spacing w:val="6"/>
                      <w:sz w:val="20"/>
                      <w:szCs w:val="20"/>
                    </w:rPr>
                    <w:t>功能区</w:t>
                  </w:r>
                </w:p>
              </w:tc>
              <w:tc>
                <w:tcPr>
                  <w:tcW w:w="1014" w:type="dxa"/>
                  <w:tcBorders>
                    <w:bottom w:val="nil"/>
                  </w:tcBorders>
                  <w:vAlign w:val="top"/>
                </w:tcPr>
                <w:p w14:paraId="398DEC5B">
                  <w:pPr>
                    <w:spacing w:line="260" w:lineRule="auto"/>
                    <w:rPr>
                      <w:rFonts w:ascii="Arial"/>
                      <w:sz w:val="21"/>
                    </w:rPr>
                  </w:pPr>
                </w:p>
                <w:p w14:paraId="3B8DC4E6">
                  <w:pPr>
                    <w:spacing w:line="260" w:lineRule="auto"/>
                    <w:rPr>
                      <w:rFonts w:ascii="Arial"/>
                      <w:sz w:val="21"/>
                    </w:rPr>
                  </w:pPr>
                </w:p>
                <w:p w14:paraId="7A39A01D">
                  <w:pPr>
                    <w:pStyle w:val="6"/>
                    <w:spacing w:before="65" w:line="247" w:lineRule="auto"/>
                    <w:ind w:left="117" w:right="105" w:firstLine="3"/>
                    <w:rPr>
                      <w:sz w:val="20"/>
                      <w:szCs w:val="20"/>
                    </w:rPr>
                  </w:pPr>
                  <w:r>
                    <w:rPr>
                      <w:spacing w:val="-5"/>
                      <w:sz w:val="20"/>
                      <w:szCs w:val="20"/>
                    </w:rPr>
                    <w:t>马龙县，</w:t>
                  </w:r>
                  <w:r>
                    <w:rPr>
                      <w:spacing w:val="1"/>
                      <w:sz w:val="20"/>
                      <w:szCs w:val="20"/>
                    </w:rPr>
                    <w:t xml:space="preserve"> </w:t>
                  </w:r>
                  <w:r>
                    <w:rPr>
                      <w:spacing w:val="-4"/>
                      <w:sz w:val="20"/>
                      <w:szCs w:val="20"/>
                    </w:rPr>
                    <w:t>寻甸、宜</w:t>
                  </w:r>
                  <w:r>
                    <w:rPr>
                      <w:spacing w:val="1"/>
                      <w:sz w:val="20"/>
                      <w:szCs w:val="20"/>
                    </w:rPr>
                    <w:t xml:space="preserve"> </w:t>
                  </w:r>
                  <w:r>
                    <w:rPr>
                      <w:spacing w:val="-5"/>
                      <w:sz w:val="20"/>
                      <w:szCs w:val="20"/>
                    </w:rPr>
                    <w:t>良、寻甸</w:t>
                  </w:r>
                  <w:r>
                    <w:rPr>
                      <w:spacing w:val="2"/>
                      <w:sz w:val="20"/>
                      <w:szCs w:val="20"/>
                    </w:rPr>
                    <w:t xml:space="preserve"> </w:t>
                  </w:r>
                  <w:r>
                    <w:rPr>
                      <w:spacing w:val="34"/>
                      <w:sz w:val="20"/>
                      <w:szCs w:val="20"/>
                    </w:rPr>
                    <w:t>县的部</w:t>
                  </w:r>
                  <w:r>
                    <w:rPr>
                      <w:sz w:val="20"/>
                      <w:szCs w:val="20"/>
                    </w:rPr>
                    <w:t xml:space="preserve">  </w:t>
                  </w:r>
                  <w:r>
                    <w:rPr>
                      <w:spacing w:val="-6"/>
                      <w:sz w:val="20"/>
                      <w:szCs w:val="20"/>
                    </w:rPr>
                    <w:t>分地区，</w:t>
                  </w:r>
                </w:p>
                <w:p w14:paraId="10751D39">
                  <w:pPr>
                    <w:pStyle w:val="6"/>
                    <w:spacing w:before="24" w:line="228" w:lineRule="auto"/>
                    <w:ind w:left="302"/>
                    <w:rPr>
                      <w:sz w:val="20"/>
                      <w:szCs w:val="20"/>
                    </w:rPr>
                  </w:pPr>
                  <w:r>
                    <w:rPr>
                      <w:spacing w:val="5"/>
                      <w:sz w:val="20"/>
                      <w:szCs w:val="20"/>
                    </w:rPr>
                    <w:t>面积</w:t>
                  </w:r>
                </w:p>
                <w:p w14:paraId="5EAF8FE3">
                  <w:pPr>
                    <w:spacing w:before="47"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4783.52</w:t>
                  </w:r>
                </w:p>
                <w:p w14:paraId="3A782731">
                  <w:pPr>
                    <w:pStyle w:val="6"/>
                    <w:spacing w:before="31" w:line="229" w:lineRule="auto"/>
                    <w:ind w:left="198"/>
                    <w:rPr>
                      <w:sz w:val="20"/>
                      <w:szCs w:val="20"/>
                    </w:rPr>
                  </w:pPr>
                  <w:r>
                    <w:rPr>
                      <w:spacing w:val="7"/>
                      <w:sz w:val="20"/>
                      <w:szCs w:val="20"/>
                    </w:rPr>
                    <w:t>平方公</w:t>
                  </w:r>
                </w:p>
                <w:p w14:paraId="4D430E63">
                  <w:pPr>
                    <w:pStyle w:val="6"/>
                    <w:spacing w:before="25" w:line="234" w:lineRule="auto"/>
                    <w:ind w:left="410"/>
                    <w:rPr>
                      <w:sz w:val="20"/>
                      <w:szCs w:val="20"/>
                    </w:rPr>
                  </w:pPr>
                  <w:r>
                    <w:rPr>
                      <w:sz w:val="20"/>
                      <w:szCs w:val="20"/>
                    </w:rPr>
                    <w:t>里</w:t>
                  </w:r>
                </w:p>
              </w:tc>
              <w:tc>
                <w:tcPr>
                  <w:tcW w:w="1271" w:type="dxa"/>
                  <w:tcBorders>
                    <w:bottom w:val="nil"/>
                  </w:tcBorders>
                  <w:vAlign w:val="top"/>
                </w:tcPr>
                <w:p w14:paraId="4DB4DB4D">
                  <w:pPr>
                    <w:pStyle w:val="6"/>
                    <w:spacing w:before="181" w:line="228" w:lineRule="auto"/>
                    <w:ind w:left="142"/>
                    <w:rPr>
                      <w:sz w:val="20"/>
                      <w:szCs w:val="20"/>
                    </w:rPr>
                  </w:pPr>
                  <w:r>
                    <w:rPr>
                      <w:spacing w:val="3"/>
                      <w:sz w:val="20"/>
                      <w:szCs w:val="20"/>
                    </w:rPr>
                    <w:t>以石灰岩丘</w:t>
                  </w:r>
                </w:p>
                <w:p w14:paraId="2B685A5D">
                  <w:pPr>
                    <w:pStyle w:val="6"/>
                    <w:spacing w:before="26" w:line="227" w:lineRule="auto"/>
                    <w:ind w:left="123"/>
                    <w:rPr>
                      <w:sz w:val="20"/>
                      <w:szCs w:val="20"/>
                    </w:rPr>
                  </w:pPr>
                  <w:r>
                    <w:rPr>
                      <w:spacing w:val="7"/>
                      <w:sz w:val="20"/>
                      <w:szCs w:val="20"/>
                    </w:rPr>
                    <w:t>原盆地地貌</w:t>
                  </w:r>
                </w:p>
                <w:p w14:paraId="581E06F3">
                  <w:pPr>
                    <w:pStyle w:val="6"/>
                    <w:spacing w:before="24" w:line="228" w:lineRule="auto"/>
                    <w:ind w:left="121"/>
                    <w:rPr>
                      <w:sz w:val="20"/>
                      <w:szCs w:val="20"/>
                    </w:rPr>
                  </w:pPr>
                  <w:r>
                    <w:rPr>
                      <w:spacing w:val="7"/>
                      <w:sz w:val="20"/>
                      <w:szCs w:val="20"/>
                    </w:rPr>
                    <w:t>为主。降雨</w:t>
                  </w:r>
                </w:p>
                <w:p w14:paraId="69504C93">
                  <w:pPr>
                    <w:pStyle w:val="6"/>
                    <w:spacing w:before="27" w:line="233" w:lineRule="auto"/>
                    <w:ind w:left="564"/>
                    <w:rPr>
                      <w:sz w:val="20"/>
                      <w:szCs w:val="20"/>
                    </w:rPr>
                  </w:pPr>
                  <w:r>
                    <w:rPr>
                      <w:sz w:val="20"/>
                      <w:szCs w:val="20"/>
                    </w:rPr>
                    <w:t>量</w:t>
                  </w:r>
                </w:p>
                <w:p w14:paraId="4EC4D803">
                  <w:pPr>
                    <w:spacing w:before="40"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1000-1200</w:t>
                  </w:r>
                </w:p>
                <w:p w14:paraId="1B98F97A">
                  <w:pPr>
                    <w:pStyle w:val="6"/>
                    <w:spacing w:before="31" w:line="228" w:lineRule="auto"/>
                    <w:ind w:left="121"/>
                    <w:rPr>
                      <w:sz w:val="20"/>
                      <w:szCs w:val="20"/>
                    </w:rPr>
                  </w:pPr>
                  <w:r>
                    <w:rPr>
                      <w:spacing w:val="7"/>
                      <w:sz w:val="20"/>
                      <w:szCs w:val="20"/>
                    </w:rPr>
                    <w:t>毫米，植被</w:t>
                  </w:r>
                </w:p>
                <w:p w14:paraId="2DFA04D2">
                  <w:pPr>
                    <w:pStyle w:val="6"/>
                    <w:spacing w:before="27" w:line="229" w:lineRule="auto"/>
                    <w:ind w:left="120"/>
                    <w:rPr>
                      <w:sz w:val="20"/>
                      <w:szCs w:val="20"/>
                    </w:rPr>
                  </w:pPr>
                  <w:r>
                    <w:rPr>
                      <w:spacing w:val="7"/>
                      <w:sz w:val="20"/>
                      <w:szCs w:val="20"/>
                    </w:rPr>
                    <w:t>主要为云南</w:t>
                  </w:r>
                </w:p>
                <w:p w14:paraId="747C8000">
                  <w:pPr>
                    <w:pStyle w:val="6"/>
                    <w:spacing w:before="23" w:line="228" w:lineRule="auto"/>
                    <w:ind w:left="119"/>
                    <w:rPr>
                      <w:sz w:val="20"/>
                      <w:szCs w:val="20"/>
                    </w:rPr>
                  </w:pPr>
                  <w:r>
                    <w:rPr>
                      <w:spacing w:val="7"/>
                      <w:sz w:val="20"/>
                      <w:szCs w:val="20"/>
                    </w:rPr>
                    <w:t>松林和半湿</w:t>
                  </w:r>
                </w:p>
                <w:p w14:paraId="7416A28B">
                  <w:pPr>
                    <w:pStyle w:val="6"/>
                    <w:spacing w:before="26" w:line="228" w:lineRule="auto"/>
                    <w:ind w:left="120"/>
                    <w:rPr>
                      <w:sz w:val="20"/>
                      <w:szCs w:val="20"/>
                    </w:rPr>
                  </w:pPr>
                  <w:r>
                    <w:rPr>
                      <w:spacing w:val="7"/>
                      <w:sz w:val="20"/>
                      <w:szCs w:val="20"/>
                    </w:rPr>
                    <w:t>润常绿阔叶</w:t>
                  </w:r>
                </w:p>
                <w:p w14:paraId="4C2C56F8">
                  <w:pPr>
                    <w:pStyle w:val="6"/>
                    <w:spacing w:before="27" w:line="228" w:lineRule="auto"/>
                    <w:ind w:left="119"/>
                    <w:rPr>
                      <w:sz w:val="20"/>
                      <w:szCs w:val="20"/>
                    </w:rPr>
                  </w:pPr>
                  <w:r>
                    <w:rPr>
                      <w:spacing w:val="7"/>
                      <w:sz w:val="20"/>
                      <w:szCs w:val="20"/>
                    </w:rPr>
                    <w:t>林，土壤类</w:t>
                  </w:r>
                </w:p>
                <w:p w14:paraId="738B741B">
                  <w:pPr>
                    <w:pStyle w:val="6"/>
                    <w:spacing w:before="25" w:line="230" w:lineRule="auto"/>
                    <w:ind w:left="125"/>
                    <w:rPr>
                      <w:sz w:val="20"/>
                      <w:szCs w:val="20"/>
                    </w:rPr>
                  </w:pPr>
                  <w:r>
                    <w:rPr>
                      <w:spacing w:val="6"/>
                      <w:sz w:val="20"/>
                      <w:szCs w:val="20"/>
                    </w:rPr>
                    <w:t>型主要是红</w:t>
                  </w:r>
                </w:p>
                <w:p w14:paraId="29E819C9">
                  <w:pPr>
                    <w:pStyle w:val="6"/>
                    <w:spacing w:before="21" w:line="229" w:lineRule="auto"/>
                    <w:ind w:left="538"/>
                    <w:rPr>
                      <w:sz w:val="20"/>
                      <w:szCs w:val="20"/>
                    </w:rPr>
                  </w:pPr>
                  <w:r>
                    <w:rPr>
                      <w:sz w:val="20"/>
                      <w:szCs w:val="20"/>
                    </w:rPr>
                    <w:t>壤</w:t>
                  </w:r>
                </w:p>
              </w:tc>
              <w:tc>
                <w:tcPr>
                  <w:tcW w:w="544" w:type="dxa"/>
                  <w:tcBorders>
                    <w:bottom w:val="nil"/>
                  </w:tcBorders>
                  <w:textDirection w:val="tbRlV"/>
                  <w:vAlign w:val="top"/>
                </w:tcPr>
                <w:p w14:paraId="0FD2564C">
                  <w:pPr>
                    <w:pStyle w:val="6"/>
                    <w:spacing w:before="163" w:line="217" w:lineRule="auto"/>
                    <w:ind w:left="30"/>
                    <w:rPr>
                      <w:sz w:val="20"/>
                      <w:szCs w:val="20"/>
                    </w:rPr>
                  </w:pPr>
                  <w:r>
                    <w:rPr>
                      <w:spacing w:val="8"/>
                      <w:sz w:val="20"/>
                      <w:szCs w:val="20"/>
                    </w:rPr>
                    <w:t>土</w:t>
                  </w:r>
                  <w:r>
                    <w:rPr>
                      <w:spacing w:val="-27"/>
                      <w:sz w:val="20"/>
                      <w:szCs w:val="20"/>
                    </w:rPr>
                    <w:t xml:space="preserve"> </w:t>
                  </w:r>
                  <w:r>
                    <w:rPr>
                      <w:spacing w:val="8"/>
                      <w:sz w:val="20"/>
                      <w:szCs w:val="20"/>
                    </w:rPr>
                    <w:t>地</w:t>
                  </w:r>
                  <w:r>
                    <w:rPr>
                      <w:spacing w:val="-37"/>
                      <w:sz w:val="20"/>
                      <w:szCs w:val="20"/>
                    </w:rPr>
                    <w:t xml:space="preserve"> </w:t>
                  </w:r>
                  <w:r>
                    <w:rPr>
                      <w:spacing w:val="8"/>
                      <w:sz w:val="20"/>
                      <w:szCs w:val="20"/>
                    </w:rPr>
                    <w:t>利</w:t>
                  </w:r>
                  <w:r>
                    <w:rPr>
                      <w:spacing w:val="-36"/>
                      <w:sz w:val="20"/>
                      <w:szCs w:val="20"/>
                    </w:rPr>
                    <w:t xml:space="preserve"> </w:t>
                  </w:r>
                  <w:r>
                    <w:rPr>
                      <w:spacing w:val="8"/>
                      <w:sz w:val="20"/>
                      <w:szCs w:val="20"/>
                    </w:rPr>
                    <w:t>用</w:t>
                  </w:r>
                  <w:r>
                    <w:rPr>
                      <w:spacing w:val="-37"/>
                      <w:sz w:val="20"/>
                      <w:szCs w:val="20"/>
                    </w:rPr>
                    <w:t xml:space="preserve"> </w:t>
                  </w:r>
                  <w:r>
                    <w:rPr>
                      <w:spacing w:val="8"/>
                      <w:sz w:val="20"/>
                      <w:szCs w:val="20"/>
                    </w:rPr>
                    <w:t>过</w:t>
                  </w:r>
                  <w:r>
                    <w:rPr>
                      <w:spacing w:val="-38"/>
                      <w:sz w:val="20"/>
                      <w:szCs w:val="20"/>
                    </w:rPr>
                    <w:t xml:space="preserve"> </w:t>
                  </w:r>
                  <w:r>
                    <w:rPr>
                      <w:spacing w:val="8"/>
                      <w:sz w:val="20"/>
                      <w:szCs w:val="20"/>
                    </w:rPr>
                    <w:t>度</w:t>
                  </w:r>
                  <w:r>
                    <w:rPr>
                      <w:spacing w:val="-35"/>
                      <w:sz w:val="20"/>
                      <w:szCs w:val="20"/>
                    </w:rPr>
                    <w:t xml:space="preserve"> </w:t>
                  </w:r>
                  <w:r>
                    <w:rPr>
                      <w:spacing w:val="8"/>
                      <w:sz w:val="20"/>
                      <w:szCs w:val="20"/>
                    </w:rPr>
                    <w:t>引</w:t>
                  </w:r>
                  <w:r>
                    <w:rPr>
                      <w:spacing w:val="-38"/>
                      <w:sz w:val="20"/>
                      <w:szCs w:val="20"/>
                    </w:rPr>
                    <w:t xml:space="preserve"> </w:t>
                  </w:r>
                  <w:r>
                    <w:rPr>
                      <w:spacing w:val="8"/>
                      <w:sz w:val="20"/>
                      <w:szCs w:val="20"/>
                    </w:rPr>
                    <w:t>起</w:t>
                  </w:r>
                  <w:r>
                    <w:rPr>
                      <w:spacing w:val="-35"/>
                      <w:sz w:val="20"/>
                      <w:szCs w:val="20"/>
                    </w:rPr>
                    <w:t xml:space="preserve"> </w:t>
                  </w:r>
                  <w:r>
                    <w:rPr>
                      <w:spacing w:val="8"/>
                      <w:sz w:val="20"/>
                      <w:szCs w:val="20"/>
                    </w:rPr>
                    <w:t>的</w:t>
                  </w:r>
                  <w:r>
                    <w:rPr>
                      <w:spacing w:val="-35"/>
                      <w:sz w:val="20"/>
                      <w:szCs w:val="20"/>
                    </w:rPr>
                    <w:t xml:space="preserve"> </w:t>
                  </w:r>
                  <w:r>
                    <w:rPr>
                      <w:spacing w:val="8"/>
                      <w:sz w:val="20"/>
                      <w:szCs w:val="20"/>
                    </w:rPr>
                    <w:t>土</w:t>
                  </w:r>
                  <w:r>
                    <w:rPr>
                      <w:spacing w:val="-38"/>
                      <w:sz w:val="20"/>
                      <w:szCs w:val="20"/>
                    </w:rPr>
                    <w:t xml:space="preserve"> </w:t>
                  </w:r>
                  <w:r>
                    <w:rPr>
                      <w:spacing w:val="8"/>
                      <w:sz w:val="20"/>
                      <w:szCs w:val="20"/>
                    </w:rPr>
                    <w:t>地</w:t>
                  </w:r>
                  <w:r>
                    <w:rPr>
                      <w:spacing w:val="-37"/>
                      <w:sz w:val="20"/>
                      <w:szCs w:val="20"/>
                    </w:rPr>
                    <w:t xml:space="preserve"> </w:t>
                  </w:r>
                  <w:r>
                    <w:rPr>
                      <w:spacing w:val="8"/>
                      <w:sz w:val="20"/>
                      <w:szCs w:val="20"/>
                    </w:rPr>
                    <w:t>退</w:t>
                  </w:r>
                  <w:r>
                    <w:rPr>
                      <w:spacing w:val="-36"/>
                      <w:sz w:val="20"/>
                      <w:szCs w:val="20"/>
                    </w:rPr>
                    <w:t xml:space="preserve"> </w:t>
                  </w:r>
                  <w:r>
                    <w:rPr>
                      <w:spacing w:val="8"/>
                      <w:sz w:val="20"/>
                      <w:szCs w:val="20"/>
                    </w:rPr>
                    <w:t>化</w:t>
                  </w:r>
                </w:p>
              </w:tc>
              <w:tc>
                <w:tcPr>
                  <w:tcW w:w="544" w:type="dxa"/>
                  <w:tcBorders>
                    <w:bottom w:val="nil"/>
                  </w:tcBorders>
                  <w:textDirection w:val="tbRlV"/>
                  <w:vAlign w:val="top"/>
                </w:tcPr>
                <w:p w14:paraId="769DA5FA">
                  <w:pPr>
                    <w:pStyle w:val="6"/>
                    <w:spacing w:before="162" w:line="216" w:lineRule="auto"/>
                    <w:ind w:left="438"/>
                    <w:rPr>
                      <w:sz w:val="20"/>
                      <w:szCs w:val="20"/>
                    </w:rPr>
                  </w:pPr>
                  <w:r>
                    <w:rPr>
                      <w:spacing w:val="8"/>
                      <w:sz w:val="20"/>
                      <w:szCs w:val="20"/>
                    </w:rPr>
                    <w:t>石</w:t>
                  </w:r>
                  <w:r>
                    <w:rPr>
                      <w:spacing w:val="-29"/>
                      <w:sz w:val="20"/>
                      <w:szCs w:val="20"/>
                    </w:rPr>
                    <w:t xml:space="preserve"> </w:t>
                  </w:r>
                  <w:r>
                    <w:rPr>
                      <w:spacing w:val="8"/>
                      <w:sz w:val="20"/>
                      <w:szCs w:val="20"/>
                    </w:rPr>
                    <w:t>漠</w:t>
                  </w:r>
                  <w:r>
                    <w:rPr>
                      <w:spacing w:val="-38"/>
                      <w:sz w:val="20"/>
                      <w:szCs w:val="20"/>
                    </w:rPr>
                    <w:t xml:space="preserve"> </w:t>
                  </w:r>
                  <w:r>
                    <w:rPr>
                      <w:spacing w:val="8"/>
                      <w:sz w:val="20"/>
                      <w:szCs w:val="20"/>
                    </w:rPr>
                    <w:t>化</w:t>
                  </w:r>
                  <w:r>
                    <w:rPr>
                      <w:spacing w:val="-35"/>
                      <w:sz w:val="20"/>
                      <w:szCs w:val="20"/>
                    </w:rPr>
                    <w:t xml:space="preserve"> </w:t>
                  </w:r>
                  <w:r>
                    <w:rPr>
                      <w:spacing w:val="8"/>
                      <w:sz w:val="20"/>
                      <w:szCs w:val="20"/>
                    </w:rPr>
                    <w:t>高</w:t>
                  </w:r>
                  <w:r>
                    <w:rPr>
                      <w:spacing w:val="-38"/>
                      <w:sz w:val="20"/>
                      <w:szCs w:val="20"/>
                    </w:rPr>
                    <w:t xml:space="preserve"> </w:t>
                  </w:r>
                  <w:r>
                    <w:rPr>
                      <w:spacing w:val="8"/>
                      <w:sz w:val="20"/>
                      <w:szCs w:val="20"/>
                    </w:rPr>
                    <w:t>度</w:t>
                  </w:r>
                  <w:r>
                    <w:rPr>
                      <w:spacing w:val="-37"/>
                      <w:sz w:val="20"/>
                      <w:szCs w:val="20"/>
                    </w:rPr>
                    <w:t xml:space="preserve"> </w:t>
                  </w:r>
                  <w:r>
                    <w:rPr>
                      <w:spacing w:val="8"/>
                      <w:sz w:val="20"/>
                      <w:szCs w:val="20"/>
                    </w:rPr>
                    <w:t>及</w:t>
                  </w:r>
                  <w:r>
                    <w:rPr>
                      <w:spacing w:val="-35"/>
                      <w:sz w:val="20"/>
                      <w:szCs w:val="20"/>
                    </w:rPr>
                    <w:t xml:space="preserve"> </w:t>
                  </w:r>
                  <w:r>
                    <w:rPr>
                      <w:spacing w:val="8"/>
                      <w:sz w:val="20"/>
                      <w:szCs w:val="20"/>
                    </w:rPr>
                    <w:t>中</w:t>
                  </w:r>
                  <w:r>
                    <w:rPr>
                      <w:spacing w:val="-38"/>
                      <w:sz w:val="20"/>
                      <w:szCs w:val="20"/>
                    </w:rPr>
                    <w:t xml:space="preserve"> </w:t>
                  </w:r>
                  <w:r>
                    <w:rPr>
                      <w:spacing w:val="8"/>
                      <w:sz w:val="20"/>
                      <w:szCs w:val="20"/>
                    </w:rPr>
                    <w:t>度</w:t>
                  </w:r>
                  <w:r>
                    <w:rPr>
                      <w:spacing w:val="-35"/>
                      <w:sz w:val="20"/>
                      <w:szCs w:val="20"/>
                    </w:rPr>
                    <w:t xml:space="preserve"> </w:t>
                  </w:r>
                  <w:r>
                    <w:rPr>
                      <w:spacing w:val="8"/>
                      <w:sz w:val="20"/>
                      <w:szCs w:val="20"/>
                    </w:rPr>
                    <w:t>敏</w:t>
                  </w:r>
                  <w:r>
                    <w:rPr>
                      <w:spacing w:val="-35"/>
                      <w:sz w:val="20"/>
                      <w:szCs w:val="20"/>
                    </w:rPr>
                    <w:t xml:space="preserve"> </w:t>
                  </w:r>
                  <w:r>
                    <w:rPr>
                      <w:spacing w:val="8"/>
                      <w:sz w:val="20"/>
                      <w:szCs w:val="20"/>
                    </w:rPr>
                    <w:t>感</w:t>
                  </w:r>
                </w:p>
              </w:tc>
              <w:tc>
                <w:tcPr>
                  <w:tcW w:w="683" w:type="dxa"/>
                  <w:tcBorders>
                    <w:bottom w:val="nil"/>
                  </w:tcBorders>
                  <w:vAlign w:val="top"/>
                </w:tcPr>
                <w:p w14:paraId="6699E9B1">
                  <w:pPr>
                    <w:spacing w:line="253" w:lineRule="auto"/>
                    <w:rPr>
                      <w:rFonts w:ascii="Arial"/>
                      <w:sz w:val="21"/>
                    </w:rPr>
                  </w:pPr>
                </w:p>
                <w:p w14:paraId="675B227F">
                  <w:pPr>
                    <w:spacing w:line="254" w:lineRule="auto"/>
                    <w:rPr>
                      <w:rFonts w:ascii="Arial"/>
                      <w:sz w:val="21"/>
                    </w:rPr>
                  </w:pPr>
                </w:p>
                <w:p w14:paraId="17279CC5">
                  <w:pPr>
                    <w:pStyle w:val="6"/>
                    <w:spacing w:before="65" w:line="228" w:lineRule="auto"/>
                    <w:ind w:left="142"/>
                    <w:rPr>
                      <w:sz w:val="20"/>
                      <w:szCs w:val="20"/>
                    </w:rPr>
                  </w:pPr>
                  <w:r>
                    <w:rPr>
                      <w:spacing w:val="2"/>
                      <w:sz w:val="20"/>
                      <w:szCs w:val="20"/>
                    </w:rPr>
                    <w:t>牛栏</w:t>
                  </w:r>
                </w:p>
                <w:p w14:paraId="55787D70">
                  <w:pPr>
                    <w:pStyle w:val="6"/>
                    <w:spacing w:before="24" w:line="238" w:lineRule="auto"/>
                    <w:ind w:left="138"/>
                    <w:rPr>
                      <w:sz w:val="20"/>
                      <w:szCs w:val="20"/>
                    </w:rPr>
                  </w:pPr>
                  <w:r>
                    <w:rPr>
                      <w:spacing w:val="4"/>
                      <w:sz w:val="20"/>
                      <w:szCs w:val="20"/>
                    </w:rPr>
                    <w:t>江上</w:t>
                  </w:r>
                </w:p>
                <w:p w14:paraId="542D3711">
                  <w:pPr>
                    <w:pStyle w:val="6"/>
                    <w:spacing w:before="15" w:line="228" w:lineRule="auto"/>
                    <w:ind w:left="137"/>
                    <w:rPr>
                      <w:sz w:val="20"/>
                      <w:szCs w:val="20"/>
                    </w:rPr>
                  </w:pPr>
                  <w:r>
                    <w:rPr>
                      <w:spacing w:val="4"/>
                      <w:sz w:val="20"/>
                      <w:szCs w:val="20"/>
                    </w:rPr>
                    <w:t>游的</w:t>
                  </w:r>
                </w:p>
                <w:p w14:paraId="220568B6">
                  <w:pPr>
                    <w:pStyle w:val="6"/>
                    <w:spacing w:before="23" w:line="228" w:lineRule="auto"/>
                    <w:ind w:left="140"/>
                    <w:rPr>
                      <w:sz w:val="20"/>
                      <w:szCs w:val="20"/>
                    </w:rPr>
                  </w:pPr>
                  <w:r>
                    <w:rPr>
                      <w:spacing w:val="3"/>
                      <w:sz w:val="20"/>
                      <w:szCs w:val="20"/>
                    </w:rPr>
                    <w:t>水源</w:t>
                  </w:r>
                </w:p>
                <w:p w14:paraId="12EC723F">
                  <w:pPr>
                    <w:pStyle w:val="6"/>
                    <w:spacing w:before="26" w:line="228" w:lineRule="auto"/>
                    <w:ind w:left="138"/>
                    <w:rPr>
                      <w:sz w:val="20"/>
                      <w:szCs w:val="20"/>
                    </w:rPr>
                  </w:pPr>
                  <w:r>
                    <w:rPr>
                      <w:spacing w:val="4"/>
                      <w:sz w:val="20"/>
                      <w:szCs w:val="20"/>
                    </w:rPr>
                    <w:t>涵养</w:t>
                  </w:r>
                </w:p>
                <w:p w14:paraId="08F613AC">
                  <w:pPr>
                    <w:pStyle w:val="6"/>
                    <w:spacing w:before="25" w:line="230" w:lineRule="auto"/>
                    <w:ind w:left="138"/>
                    <w:rPr>
                      <w:sz w:val="20"/>
                      <w:szCs w:val="20"/>
                    </w:rPr>
                  </w:pPr>
                  <w:r>
                    <w:rPr>
                      <w:spacing w:val="4"/>
                      <w:sz w:val="20"/>
                      <w:szCs w:val="20"/>
                    </w:rPr>
                    <w:t>和生</w:t>
                  </w:r>
                </w:p>
                <w:p w14:paraId="73A4DA76">
                  <w:pPr>
                    <w:pStyle w:val="6"/>
                    <w:spacing w:before="24" w:line="230" w:lineRule="auto"/>
                    <w:ind w:left="137"/>
                    <w:rPr>
                      <w:sz w:val="20"/>
                      <w:szCs w:val="20"/>
                    </w:rPr>
                  </w:pPr>
                  <w:r>
                    <w:rPr>
                      <w:spacing w:val="4"/>
                      <w:sz w:val="20"/>
                      <w:szCs w:val="20"/>
                    </w:rPr>
                    <w:t>态农</w:t>
                  </w:r>
                </w:p>
                <w:p w14:paraId="57D0A560">
                  <w:pPr>
                    <w:pStyle w:val="6"/>
                    <w:spacing w:before="22" w:line="229" w:lineRule="auto"/>
                    <w:ind w:left="137"/>
                    <w:rPr>
                      <w:sz w:val="20"/>
                      <w:szCs w:val="20"/>
                    </w:rPr>
                  </w:pPr>
                  <w:r>
                    <w:rPr>
                      <w:spacing w:val="5"/>
                      <w:sz w:val="20"/>
                      <w:szCs w:val="20"/>
                    </w:rPr>
                    <w:t>业建</w:t>
                  </w:r>
                </w:p>
                <w:p w14:paraId="75A7FEF1">
                  <w:pPr>
                    <w:pStyle w:val="6"/>
                    <w:spacing w:before="23" w:line="229" w:lineRule="auto"/>
                    <w:ind w:left="246"/>
                    <w:rPr>
                      <w:sz w:val="20"/>
                      <w:szCs w:val="20"/>
                    </w:rPr>
                  </w:pPr>
                  <w:r>
                    <w:rPr>
                      <w:sz w:val="20"/>
                      <w:szCs w:val="20"/>
                    </w:rPr>
                    <w:t>设</w:t>
                  </w:r>
                </w:p>
              </w:tc>
              <w:tc>
                <w:tcPr>
                  <w:tcW w:w="863" w:type="dxa"/>
                  <w:tcBorders>
                    <w:bottom w:val="nil"/>
                  </w:tcBorders>
                  <w:vAlign w:val="top"/>
                </w:tcPr>
                <w:p w14:paraId="574725DA">
                  <w:pPr>
                    <w:pStyle w:val="6"/>
                    <w:spacing w:before="30" w:line="230" w:lineRule="auto"/>
                    <w:ind w:left="140"/>
                    <w:rPr>
                      <w:sz w:val="20"/>
                      <w:szCs w:val="20"/>
                    </w:rPr>
                  </w:pPr>
                  <w:r>
                    <w:rPr>
                      <w:sz w:val="20"/>
                      <w:szCs w:val="20"/>
                    </w:rPr>
                    <w:t>山地封</w:t>
                  </w:r>
                </w:p>
                <w:p w14:paraId="0E442F26">
                  <w:pPr>
                    <w:pStyle w:val="6"/>
                    <w:spacing w:before="21" w:line="250" w:lineRule="auto"/>
                    <w:ind w:left="122" w:right="115" w:firstLine="124"/>
                    <w:rPr>
                      <w:sz w:val="20"/>
                      <w:szCs w:val="20"/>
                    </w:rPr>
                  </w:pPr>
                  <w:r>
                    <w:rPr>
                      <w:spacing w:val="-5"/>
                      <w:sz w:val="20"/>
                      <w:szCs w:val="20"/>
                    </w:rPr>
                    <w:t>山育</w:t>
                  </w:r>
                  <w:r>
                    <w:rPr>
                      <w:sz w:val="20"/>
                      <w:szCs w:val="20"/>
                    </w:rPr>
                    <w:t xml:space="preserve">  </w:t>
                  </w:r>
                  <w:r>
                    <w:rPr>
                      <w:spacing w:val="6"/>
                      <w:sz w:val="20"/>
                      <w:szCs w:val="20"/>
                    </w:rPr>
                    <w:t>林，提</w:t>
                  </w:r>
                  <w:r>
                    <w:rPr>
                      <w:spacing w:val="1"/>
                      <w:sz w:val="20"/>
                      <w:szCs w:val="20"/>
                    </w:rPr>
                    <w:t xml:space="preserve"> </w:t>
                  </w:r>
                  <w:r>
                    <w:rPr>
                      <w:spacing w:val="6"/>
                      <w:sz w:val="20"/>
                      <w:szCs w:val="20"/>
                    </w:rPr>
                    <w:t>高森林</w:t>
                  </w:r>
                  <w:r>
                    <w:rPr>
                      <w:spacing w:val="1"/>
                      <w:sz w:val="20"/>
                      <w:szCs w:val="20"/>
                    </w:rPr>
                    <w:t xml:space="preserve"> </w:t>
                  </w:r>
                  <w:r>
                    <w:rPr>
                      <w:spacing w:val="6"/>
                      <w:sz w:val="20"/>
                      <w:szCs w:val="20"/>
                    </w:rPr>
                    <w:t>覆盖，</w:t>
                  </w:r>
                  <w:r>
                    <w:rPr>
                      <w:spacing w:val="1"/>
                      <w:sz w:val="20"/>
                      <w:szCs w:val="20"/>
                    </w:rPr>
                    <w:t xml:space="preserve"> </w:t>
                  </w:r>
                  <w:r>
                    <w:rPr>
                      <w:spacing w:val="6"/>
                      <w:sz w:val="20"/>
                      <w:szCs w:val="20"/>
                    </w:rPr>
                    <w:t>谷盆地</w:t>
                  </w:r>
                  <w:r>
                    <w:rPr>
                      <w:spacing w:val="1"/>
                      <w:sz w:val="20"/>
                      <w:szCs w:val="20"/>
                    </w:rPr>
                    <w:t xml:space="preserve"> </w:t>
                  </w:r>
                  <w:r>
                    <w:rPr>
                      <w:spacing w:val="6"/>
                      <w:sz w:val="20"/>
                      <w:szCs w:val="20"/>
                    </w:rPr>
                    <w:t>区调整</w:t>
                  </w:r>
                  <w:r>
                    <w:rPr>
                      <w:spacing w:val="1"/>
                      <w:sz w:val="20"/>
                      <w:szCs w:val="20"/>
                    </w:rPr>
                    <w:t xml:space="preserve"> </w:t>
                  </w:r>
                  <w:r>
                    <w:rPr>
                      <w:spacing w:val="6"/>
                      <w:sz w:val="20"/>
                      <w:szCs w:val="20"/>
                    </w:rPr>
                    <w:t>农业结</w:t>
                  </w:r>
                  <w:r>
                    <w:rPr>
                      <w:spacing w:val="1"/>
                      <w:sz w:val="20"/>
                      <w:szCs w:val="20"/>
                    </w:rPr>
                    <w:t xml:space="preserve"> </w:t>
                  </w:r>
                  <w:r>
                    <w:rPr>
                      <w:spacing w:val="6"/>
                      <w:sz w:val="20"/>
                      <w:szCs w:val="20"/>
                    </w:rPr>
                    <w:t>构，推</w:t>
                  </w:r>
                  <w:r>
                    <w:rPr>
                      <w:spacing w:val="1"/>
                      <w:sz w:val="20"/>
                      <w:szCs w:val="20"/>
                    </w:rPr>
                    <w:t xml:space="preserve"> </w:t>
                  </w:r>
                  <w:r>
                    <w:rPr>
                      <w:spacing w:val="6"/>
                      <w:sz w:val="20"/>
                      <w:szCs w:val="20"/>
                    </w:rPr>
                    <w:t>行清洁</w:t>
                  </w:r>
                  <w:r>
                    <w:rPr>
                      <w:spacing w:val="1"/>
                      <w:sz w:val="20"/>
                      <w:szCs w:val="20"/>
                    </w:rPr>
                    <w:t xml:space="preserve"> </w:t>
                  </w:r>
                  <w:r>
                    <w:rPr>
                      <w:spacing w:val="6"/>
                      <w:sz w:val="20"/>
                      <w:szCs w:val="20"/>
                    </w:rPr>
                    <w:t>生产，</w:t>
                  </w:r>
                  <w:r>
                    <w:rPr>
                      <w:spacing w:val="1"/>
                      <w:sz w:val="20"/>
                      <w:szCs w:val="20"/>
                    </w:rPr>
                    <w:t xml:space="preserve"> </w:t>
                  </w:r>
                  <w:r>
                    <w:rPr>
                      <w:spacing w:val="6"/>
                      <w:sz w:val="20"/>
                      <w:szCs w:val="20"/>
                    </w:rPr>
                    <w:t>保护农</w:t>
                  </w:r>
                  <w:r>
                    <w:rPr>
                      <w:spacing w:val="1"/>
                      <w:sz w:val="20"/>
                      <w:szCs w:val="20"/>
                    </w:rPr>
                    <w:t xml:space="preserve"> </w:t>
                  </w:r>
                  <w:r>
                    <w:rPr>
                      <w:spacing w:val="6"/>
                      <w:sz w:val="20"/>
                      <w:szCs w:val="20"/>
                    </w:rPr>
                    <w:t>田生态</w:t>
                  </w:r>
                </w:p>
              </w:tc>
            </w:tr>
          </w:tbl>
          <w:p w14:paraId="03FFFC60">
            <w:pPr>
              <w:spacing w:line="14" w:lineRule="auto"/>
              <w:rPr>
                <w:rFonts w:ascii="Arial"/>
                <w:sz w:val="2"/>
              </w:rPr>
            </w:pPr>
          </w:p>
        </w:tc>
      </w:tr>
    </w:tbl>
    <w:p w14:paraId="41974C42">
      <w:pPr>
        <w:rPr>
          <w:rFonts w:ascii="Arial"/>
          <w:sz w:val="21"/>
        </w:rPr>
      </w:pPr>
    </w:p>
    <w:p w14:paraId="35AA142A">
      <w:pPr>
        <w:rPr>
          <w:rFonts w:ascii="Arial" w:hAnsi="Arial" w:eastAsia="Arial" w:cs="Arial"/>
          <w:sz w:val="21"/>
          <w:szCs w:val="21"/>
        </w:rPr>
        <w:sectPr>
          <w:footerReference r:id="rId22" w:type="default"/>
          <w:pgSz w:w="11906" w:h="16839"/>
          <w:pgMar w:top="1431" w:right="1407" w:bottom="1278" w:left="1407" w:header="0" w:footer="1116" w:gutter="0"/>
          <w:cols w:space="720" w:num="1"/>
        </w:sectPr>
      </w:pPr>
    </w:p>
    <w:p w14:paraId="0900A3B4">
      <w:pPr>
        <w:spacing w:line="99" w:lineRule="exact"/>
      </w:pPr>
    </w:p>
    <w:tbl>
      <w:tblPr>
        <w:tblStyle w:val="5"/>
        <w:tblW w:w="90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4"/>
        <w:gridCol w:w="1059"/>
        <w:gridCol w:w="1063"/>
        <w:gridCol w:w="909"/>
        <w:gridCol w:w="1013"/>
        <w:gridCol w:w="1270"/>
        <w:gridCol w:w="543"/>
        <w:gridCol w:w="543"/>
        <w:gridCol w:w="682"/>
        <w:gridCol w:w="858"/>
        <w:gridCol w:w="122"/>
      </w:tblGrid>
      <w:tr w14:paraId="7DF60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1014" w:type="dxa"/>
            <w:vMerge w:val="restart"/>
            <w:tcBorders>
              <w:top w:val="single" w:color="000000" w:sz="6" w:space="0"/>
              <w:left w:val="single" w:color="000000" w:sz="6" w:space="0"/>
              <w:bottom w:val="nil"/>
            </w:tcBorders>
            <w:vAlign w:val="top"/>
          </w:tcPr>
          <w:p w14:paraId="6DDBDB01">
            <w:pPr>
              <w:rPr>
                <w:rFonts w:ascii="Arial"/>
                <w:sz w:val="21"/>
              </w:rPr>
            </w:pPr>
          </w:p>
        </w:tc>
        <w:tc>
          <w:tcPr>
            <w:tcW w:w="1059" w:type="dxa"/>
            <w:tcBorders>
              <w:top w:val="single" w:color="000000" w:sz="6" w:space="0"/>
            </w:tcBorders>
            <w:vAlign w:val="top"/>
          </w:tcPr>
          <w:p w14:paraId="454C08E4">
            <w:pPr>
              <w:rPr>
                <w:rFonts w:ascii="Arial"/>
                <w:sz w:val="21"/>
              </w:rPr>
            </w:pPr>
            <w:r>
              <w:pict>
                <v:shape id="_x0000_s1033" o:spid="_x0000_s1033" style="position:absolute;left:0pt;margin-left:5.15pt;margin-top:1.25pt;height:55.45pt;width:0.5pt;mso-position-horizontal-relative:page;mso-position-vertical-relative:page;z-index:251668480;mso-width-relative:page;mso-height-relative:page;" filled="f" stroked="t" coordsize="10,1109" path="m4,0l4,1108e">
                  <v:fill on="f" focussize="0,0"/>
                  <v:stroke weight="0.48pt" color="#000000" miterlimit="2" joinstyle="bevel"/>
                  <v:imagedata o:title=""/>
                  <o:lock v:ext="edit"/>
                </v:shape>
              </w:pict>
            </w:r>
          </w:p>
        </w:tc>
        <w:tc>
          <w:tcPr>
            <w:tcW w:w="1063" w:type="dxa"/>
            <w:tcBorders>
              <w:top w:val="single" w:color="000000" w:sz="6" w:space="0"/>
            </w:tcBorders>
            <w:vAlign w:val="top"/>
          </w:tcPr>
          <w:p w14:paraId="70BC110C">
            <w:pPr>
              <w:rPr>
                <w:rFonts w:ascii="Arial"/>
                <w:sz w:val="21"/>
              </w:rPr>
            </w:pPr>
          </w:p>
        </w:tc>
        <w:tc>
          <w:tcPr>
            <w:tcW w:w="909" w:type="dxa"/>
            <w:tcBorders>
              <w:top w:val="single" w:color="000000" w:sz="6" w:space="0"/>
            </w:tcBorders>
            <w:vAlign w:val="top"/>
          </w:tcPr>
          <w:p w14:paraId="1EBC24D9">
            <w:pPr>
              <w:rPr>
                <w:rFonts w:ascii="Arial"/>
                <w:sz w:val="21"/>
              </w:rPr>
            </w:pPr>
          </w:p>
        </w:tc>
        <w:tc>
          <w:tcPr>
            <w:tcW w:w="1013" w:type="dxa"/>
            <w:tcBorders>
              <w:top w:val="single" w:color="000000" w:sz="6" w:space="0"/>
            </w:tcBorders>
            <w:vAlign w:val="top"/>
          </w:tcPr>
          <w:p w14:paraId="61842450">
            <w:pPr>
              <w:rPr>
                <w:rFonts w:ascii="Arial"/>
                <w:sz w:val="21"/>
              </w:rPr>
            </w:pPr>
          </w:p>
        </w:tc>
        <w:tc>
          <w:tcPr>
            <w:tcW w:w="1270" w:type="dxa"/>
            <w:tcBorders>
              <w:top w:val="single" w:color="000000" w:sz="6" w:space="0"/>
            </w:tcBorders>
            <w:vAlign w:val="top"/>
          </w:tcPr>
          <w:p w14:paraId="6D3FEE9F">
            <w:pPr>
              <w:rPr>
                <w:rFonts w:ascii="Arial"/>
                <w:sz w:val="21"/>
              </w:rPr>
            </w:pPr>
          </w:p>
        </w:tc>
        <w:tc>
          <w:tcPr>
            <w:tcW w:w="543" w:type="dxa"/>
            <w:tcBorders>
              <w:top w:val="single" w:color="000000" w:sz="6" w:space="0"/>
            </w:tcBorders>
            <w:vAlign w:val="top"/>
          </w:tcPr>
          <w:p w14:paraId="6ACFDE75">
            <w:pPr>
              <w:rPr>
                <w:rFonts w:ascii="Arial"/>
                <w:sz w:val="21"/>
              </w:rPr>
            </w:pPr>
          </w:p>
        </w:tc>
        <w:tc>
          <w:tcPr>
            <w:tcW w:w="543" w:type="dxa"/>
            <w:tcBorders>
              <w:top w:val="single" w:color="000000" w:sz="6" w:space="0"/>
            </w:tcBorders>
            <w:vAlign w:val="top"/>
          </w:tcPr>
          <w:p w14:paraId="4C4B6F11">
            <w:pPr>
              <w:rPr>
                <w:rFonts w:ascii="Arial"/>
                <w:sz w:val="21"/>
              </w:rPr>
            </w:pPr>
          </w:p>
        </w:tc>
        <w:tc>
          <w:tcPr>
            <w:tcW w:w="682" w:type="dxa"/>
            <w:tcBorders>
              <w:top w:val="single" w:color="000000" w:sz="6" w:space="0"/>
            </w:tcBorders>
            <w:vAlign w:val="top"/>
          </w:tcPr>
          <w:p w14:paraId="0F6F5894">
            <w:pPr>
              <w:rPr>
                <w:rFonts w:ascii="Arial"/>
                <w:sz w:val="21"/>
              </w:rPr>
            </w:pPr>
          </w:p>
        </w:tc>
        <w:tc>
          <w:tcPr>
            <w:tcW w:w="858" w:type="dxa"/>
            <w:tcBorders>
              <w:top w:val="single" w:color="000000" w:sz="6" w:space="0"/>
            </w:tcBorders>
            <w:vAlign w:val="top"/>
          </w:tcPr>
          <w:p w14:paraId="5B401969">
            <w:pPr>
              <w:pStyle w:val="6"/>
              <w:spacing w:before="51" w:line="228" w:lineRule="auto"/>
              <w:ind w:left="125"/>
              <w:rPr>
                <w:sz w:val="20"/>
                <w:szCs w:val="20"/>
              </w:rPr>
            </w:pPr>
            <w:r>
              <w:rPr>
                <w:spacing w:val="3"/>
                <w:sz w:val="20"/>
                <w:szCs w:val="20"/>
              </w:rPr>
              <w:t>环境，</w:t>
            </w:r>
          </w:p>
          <w:p w14:paraId="22C0D9F9">
            <w:pPr>
              <w:pStyle w:val="6"/>
              <w:spacing w:before="26" w:line="228" w:lineRule="auto"/>
              <w:ind w:left="139"/>
              <w:rPr>
                <w:sz w:val="20"/>
                <w:szCs w:val="20"/>
              </w:rPr>
            </w:pPr>
            <w:r>
              <w:rPr>
                <w:spacing w:val="2"/>
                <w:sz w:val="20"/>
                <w:szCs w:val="20"/>
              </w:rPr>
              <w:t>防止区</w:t>
            </w:r>
          </w:p>
          <w:p w14:paraId="7808BA2A">
            <w:pPr>
              <w:pStyle w:val="6"/>
              <w:spacing w:before="23" w:line="234" w:lineRule="auto"/>
              <w:ind w:left="334" w:right="106" w:hanging="208"/>
              <w:rPr>
                <w:sz w:val="20"/>
                <w:szCs w:val="20"/>
              </w:rPr>
            </w:pPr>
            <w:r>
              <w:rPr>
                <w:spacing w:val="6"/>
                <w:sz w:val="20"/>
                <w:szCs w:val="20"/>
              </w:rPr>
              <w:t>域石漠</w:t>
            </w:r>
            <w:r>
              <w:rPr>
                <w:sz w:val="20"/>
                <w:szCs w:val="20"/>
              </w:rPr>
              <w:t xml:space="preserve"> 化</w:t>
            </w:r>
          </w:p>
        </w:tc>
        <w:tc>
          <w:tcPr>
            <w:tcW w:w="122" w:type="dxa"/>
            <w:tcBorders>
              <w:top w:val="single" w:color="000000" w:sz="6" w:space="0"/>
              <w:right w:val="single" w:color="000000" w:sz="6" w:space="0"/>
            </w:tcBorders>
            <w:vAlign w:val="top"/>
          </w:tcPr>
          <w:p w14:paraId="43449B58">
            <w:pPr>
              <w:rPr>
                <w:rFonts w:ascii="Arial"/>
                <w:sz w:val="21"/>
              </w:rPr>
            </w:pPr>
          </w:p>
        </w:tc>
      </w:tr>
      <w:tr w14:paraId="0D586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0" w:hRule="atLeast"/>
        </w:trPr>
        <w:tc>
          <w:tcPr>
            <w:tcW w:w="1014" w:type="dxa"/>
            <w:vMerge w:val="continue"/>
            <w:tcBorders>
              <w:top w:val="nil"/>
              <w:left w:val="single" w:color="000000" w:sz="6" w:space="0"/>
              <w:bottom w:val="single" w:color="000000" w:sz="6" w:space="0"/>
            </w:tcBorders>
            <w:vAlign w:val="top"/>
          </w:tcPr>
          <w:p w14:paraId="6DCFB6F4">
            <w:pPr>
              <w:rPr>
                <w:rFonts w:ascii="Arial"/>
                <w:sz w:val="21"/>
              </w:rPr>
            </w:pPr>
          </w:p>
        </w:tc>
        <w:tc>
          <w:tcPr>
            <w:tcW w:w="8062" w:type="dxa"/>
            <w:gridSpan w:val="10"/>
            <w:tcBorders>
              <w:bottom w:val="single" w:color="000000" w:sz="6" w:space="0"/>
              <w:right w:val="single" w:color="000000" w:sz="6" w:space="0"/>
            </w:tcBorders>
            <w:vAlign w:val="top"/>
          </w:tcPr>
          <w:p w14:paraId="42B09802">
            <w:pPr>
              <w:pStyle w:val="6"/>
              <w:spacing w:before="35" w:line="355" w:lineRule="auto"/>
              <w:ind w:left="108" w:right="89" w:firstLine="483"/>
              <w:jc w:val="both"/>
            </w:pPr>
            <w:r>
              <w:rPr>
                <w:b/>
                <w:bCs/>
                <w:spacing w:val="-3"/>
              </w:rPr>
              <w:t>符合性分析：</w:t>
            </w:r>
            <w:r>
              <w:rPr>
                <w:spacing w:val="-3"/>
              </w:rPr>
              <w:t>项目为光伏发电项目建设，项目选址不占</w:t>
            </w:r>
            <w:r>
              <w:rPr>
                <w:spacing w:val="-4"/>
              </w:rPr>
              <w:t>用基本农田，且</w:t>
            </w:r>
            <w:r>
              <w:t xml:space="preserve"> </w:t>
            </w:r>
            <w:r>
              <w:rPr>
                <w:spacing w:val="-2"/>
              </w:rPr>
              <w:t>避让了寻甸县耕地、稳定耕地，主要利用了现有畜牧场设施农用地、草地，</w:t>
            </w:r>
            <w:r>
              <w:t xml:space="preserve"> </w:t>
            </w:r>
            <w:r>
              <w:rPr>
                <w:spacing w:val="-3"/>
              </w:rPr>
              <w:t>无区域面源污染，光伏场区建设不改变现有土地使用性质，项目建设符合清</w:t>
            </w:r>
            <w:r>
              <w:rPr>
                <w:spacing w:val="18"/>
              </w:rPr>
              <w:t xml:space="preserve"> </w:t>
            </w:r>
            <w:r>
              <w:rPr>
                <w:spacing w:val="-3"/>
              </w:rPr>
              <w:t>洁生产要求，通过实施水土保持措施、植被恢复措施以及本环评所提出的相</w:t>
            </w:r>
            <w:r>
              <w:rPr>
                <w:spacing w:val="18"/>
              </w:rPr>
              <w:t xml:space="preserve"> </w:t>
            </w:r>
            <w:r>
              <w:rPr>
                <w:spacing w:val="-3"/>
              </w:rPr>
              <w:t>关生态保护措施后，项目建设及运营期前后生态环境能够保持稳定。因此项</w:t>
            </w:r>
            <w:r>
              <w:rPr>
                <w:spacing w:val="18"/>
              </w:rPr>
              <w:t xml:space="preserve"> </w:t>
            </w:r>
            <w:r>
              <w:rPr>
                <w:spacing w:val="-1"/>
              </w:rPr>
              <w:t>目建设符合《云南省生态功能区划》要求。</w:t>
            </w:r>
          </w:p>
          <w:p w14:paraId="51FF982D">
            <w:pPr>
              <w:pStyle w:val="6"/>
              <w:spacing w:before="33" w:line="219" w:lineRule="auto"/>
              <w:ind w:left="588"/>
            </w:pPr>
            <w:r>
              <w:rPr>
                <w:rFonts w:ascii="Times New Roman" w:hAnsi="Times New Roman" w:eastAsia="Times New Roman" w:cs="Times New Roman"/>
                <w:b/>
                <w:bCs/>
                <w:spacing w:val="-4"/>
              </w:rPr>
              <w:t>5</w:t>
            </w:r>
            <w:r>
              <w:rPr>
                <w:rFonts w:ascii="Times New Roman" w:hAnsi="Times New Roman" w:eastAsia="Times New Roman" w:cs="Times New Roman"/>
                <w:b/>
                <w:bCs/>
                <w:spacing w:val="-23"/>
              </w:rPr>
              <w:t xml:space="preserve"> </w:t>
            </w:r>
            <w:r>
              <w:rPr>
                <w:b/>
                <w:bCs/>
                <w:spacing w:val="-4"/>
              </w:rPr>
              <w:t>、与《云南省生物多样性保护战略与行动计划（</w:t>
            </w:r>
            <w:r>
              <w:rPr>
                <w:rFonts w:ascii="Times New Roman" w:hAnsi="Times New Roman" w:eastAsia="Times New Roman" w:cs="Times New Roman"/>
                <w:b/>
                <w:bCs/>
                <w:spacing w:val="-4"/>
              </w:rPr>
              <w:t>2024-2030</w:t>
            </w:r>
            <w:r>
              <w:rPr>
                <w:b/>
                <w:bCs/>
                <w:spacing w:val="-4"/>
              </w:rPr>
              <w:t>）》符合性</w:t>
            </w:r>
          </w:p>
          <w:p w14:paraId="45D9D3B5">
            <w:pPr>
              <w:pStyle w:val="6"/>
              <w:spacing w:before="181" w:line="356" w:lineRule="auto"/>
              <w:ind w:left="109" w:right="41" w:firstLine="482"/>
            </w:pPr>
            <w:r>
              <w:rPr>
                <w:spacing w:val="-3"/>
              </w:rPr>
              <w:t>为进一步加强云南生物多样性保护工作，积极推进生态文明建设，云南</w:t>
            </w:r>
            <w:r>
              <w:rPr>
                <w:spacing w:val="7"/>
              </w:rPr>
              <w:t xml:space="preserve"> </w:t>
            </w:r>
            <w:r>
              <w:rPr>
                <w:spacing w:val="-3"/>
              </w:rPr>
              <w:t>省生物多样性保护联席会议组织编制了《云南省生物多样性保护战略与行动</w:t>
            </w:r>
            <w:r>
              <w:rPr>
                <w:spacing w:val="16"/>
              </w:rPr>
              <w:t xml:space="preserve"> </w:t>
            </w:r>
            <w:r>
              <w:rPr>
                <w:spacing w:val="2"/>
              </w:rPr>
              <w:t>计划（</w:t>
            </w:r>
            <w:r>
              <w:rPr>
                <w:rFonts w:ascii="Times New Roman" w:hAnsi="Times New Roman" w:eastAsia="Times New Roman" w:cs="Times New Roman"/>
                <w:spacing w:val="2"/>
              </w:rPr>
              <w:t>2024</w:t>
            </w:r>
            <w:r>
              <w:rPr>
                <w:spacing w:val="2"/>
              </w:rPr>
              <w:t>－</w:t>
            </w:r>
            <w:r>
              <w:rPr>
                <w:rFonts w:ascii="Times New Roman" w:hAnsi="Times New Roman" w:eastAsia="Times New Roman" w:cs="Times New Roman"/>
                <w:spacing w:val="2"/>
              </w:rPr>
              <w:t xml:space="preserve">2030 </w:t>
            </w:r>
            <w:r>
              <w:rPr>
                <w:spacing w:val="2"/>
              </w:rPr>
              <w:t>年）》，划定了生物多样性保护的</w:t>
            </w:r>
            <w:r>
              <w:rPr>
                <w:spacing w:val="-39"/>
              </w:rPr>
              <w:t xml:space="preserve"> </w:t>
            </w:r>
            <w:r>
              <w:rPr>
                <w:rFonts w:ascii="Times New Roman" w:hAnsi="Times New Roman" w:eastAsia="Times New Roman" w:cs="Times New Roman"/>
                <w:spacing w:val="2"/>
              </w:rPr>
              <w:t xml:space="preserve">6 </w:t>
            </w:r>
            <w:r>
              <w:rPr>
                <w:spacing w:val="2"/>
              </w:rPr>
              <w:t>个优先区域，提出</w:t>
            </w:r>
            <w:r>
              <w:t xml:space="preserve"> </w:t>
            </w:r>
            <w:r>
              <w:rPr>
                <w:spacing w:val="-3"/>
              </w:rPr>
              <w:t>了</w:t>
            </w:r>
            <w:r>
              <w:rPr>
                <w:spacing w:val="-46"/>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15"/>
              </w:rPr>
              <w:t xml:space="preserve"> </w:t>
            </w:r>
            <w:r>
              <w:rPr>
                <w:spacing w:val="-3"/>
              </w:rPr>
              <w:t>大保护优先领域和</w:t>
            </w:r>
            <w:r>
              <w:rPr>
                <w:spacing w:val="-45"/>
              </w:rPr>
              <w:t xml:space="preserve"> </w:t>
            </w:r>
            <w:r>
              <w:rPr>
                <w:rFonts w:ascii="Times New Roman" w:hAnsi="Times New Roman" w:eastAsia="Times New Roman" w:cs="Times New Roman"/>
                <w:spacing w:val="-3"/>
              </w:rPr>
              <w:t>30</w:t>
            </w:r>
            <w:r>
              <w:rPr>
                <w:rFonts w:ascii="Times New Roman" w:hAnsi="Times New Roman" w:eastAsia="Times New Roman" w:cs="Times New Roman"/>
                <w:spacing w:val="18"/>
              </w:rPr>
              <w:t xml:space="preserve"> </w:t>
            </w:r>
            <w:r>
              <w:rPr>
                <w:spacing w:val="-3"/>
              </w:rPr>
              <w:t>项行动。</w:t>
            </w:r>
            <w:r>
              <w:rPr>
                <w:rFonts w:ascii="Times New Roman" w:hAnsi="Times New Roman" w:eastAsia="Times New Roman" w:cs="Times New Roman"/>
                <w:spacing w:val="-3"/>
              </w:rPr>
              <w:t>2024</w:t>
            </w:r>
            <w:r>
              <w:rPr>
                <w:rFonts w:ascii="Times New Roman" w:hAnsi="Times New Roman" w:eastAsia="Times New Roman" w:cs="Times New Roman"/>
                <w:spacing w:val="15"/>
              </w:rPr>
              <w:t xml:space="preserve"> </w:t>
            </w:r>
            <w:r>
              <w:rPr>
                <w:spacing w:val="-3"/>
              </w:rPr>
              <w:t>年</w:t>
            </w:r>
            <w:r>
              <w:rPr>
                <w:spacing w:val="-30"/>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0"/>
                <w:w w:val="101"/>
              </w:rPr>
              <w:t xml:space="preserve"> </w:t>
            </w:r>
            <w:r>
              <w:rPr>
                <w:spacing w:val="-3"/>
              </w:rPr>
              <w:t>月</w:t>
            </w:r>
            <w:r>
              <w:rPr>
                <w:spacing w:val="-28"/>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4"/>
              </w:rPr>
              <w:t>8</w:t>
            </w:r>
            <w:r>
              <w:rPr>
                <w:rFonts w:ascii="Times New Roman" w:hAnsi="Times New Roman" w:eastAsia="Times New Roman" w:cs="Times New Roman"/>
                <w:spacing w:val="53"/>
                <w:w w:val="101"/>
              </w:rPr>
              <w:t xml:space="preserve"> </w:t>
            </w:r>
            <w:r>
              <w:rPr>
                <w:spacing w:val="-4"/>
              </w:rPr>
              <w:t>日，经国务院批准，生</w:t>
            </w:r>
            <w:r>
              <w:t xml:space="preserve"> </w:t>
            </w:r>
            <w:r>
              <w:rPr>
                <w:spacing w:val="-8"/>
              </w:rPr>
              <w:t>态环境部发布《云南省生物多样性保护战略与行动计划（</w:t>
            </w:r>
            <w:r>
              <w:rPr>
                <w:rFonts w:ascii="Times New Roman" w:hAnsi="Times New Roman" w:eastAsia="Times New Roman" w:cs="Times New Roman"/>
                <w:spacing w:val="-8"/>
              </w:rPr>
              <w:t>2024</w:t>
            </w:r>
            <w:r>
              <w:rPr>
                <w:spacing w:val="-8"/>
              </w:rPr>
              <w:t>－</w:t>
            </w:r>
            <w:r>
              <w:rPr>
                <w:rFonts w:ascii="Times New Roman" w:hAnsi="Times New Roman" w:eastAsia="Times New Roman" w:cs="Times New Roman"/>
                <w:spacing w:val="-9"/>
              </w:rPr>
              <w:t xml:space="preserve">2030 </w:t>
            </w:r>
            <w:r>
              <w:rPr>
                <w:spacing w:val="-9"/>
              </w:rPr>
              <w:t>年）》，</w:t>
            </w:r>
            <w:r>
              <w:t xml:space="preserve"> </w:t>
            </w:r>
            <w:r>
              <w:rPr>
                <w:spacing w:val="-3"/>
              </w:rPr>
              <w:t>为各地区推进生物多样性保护提供了指引，因《云南省生物多样性保护战略</w:t>
            </w:r>
            <w:r>
              <w:rPr>
                <w:spacing w:val="16"/>
              </w:rPr>
              <w:t xml:space="preserve"> </w:t>
            </w:r>
            <w:r>
              <w:rPr>
                <w:spacing w:val="3"/>
              </w:rPr>
              <w:t>与行动计划（</w:t>
            </w:r>
            <w:r>
              <w:rPr>
                <w:rFonts w:ascii="Times New Roman" w:hAnsi="Times New Roman" w:eastAsia="Times New Roman" w:cs="Times New Roman"/>
                <w:spacing w:val="3"/>
              </w:rPr>
              <w:t>2024</w:t>
            </w:r>
            <w:r>
              <w:rPr>
                <w:spacing w:val="3"/>
              </w:rPr>
              <w:t>－</w:t>
            </w:r>
            <w:r>
              <w:rPr>
                <w:rFonts w:ascii="Times New Roman" w:hAnsi="Times New Roman" w:eastAsia="Times New Roman" w:cs="Times New Roman"/>
                <w:spacing w:val="3"/>
              </w:rPr>
              <w:t xml:space="preserve">2030 </w:t>
            </w:r>
            <w:r>
              <w:rPr>
                <w:spacing w:val="3"/>
              </w:rPr>
              <w:t>年）》无相应区划及</w:t>
            </w:r>
            <w:r>
              <w:rPr>
                <w:spacing w:val="2"/>
              </w:rPr>
              <w:t>附图，本次沿用《云南省生</w:t>
            </w:r>
            <w:r>
              <w:t xml:space="preserve"> 物多样性保护战略与行动计划（</w:t>
            </w:r>
            <w:r>
              <w:rPr>
                <w:rFonts w:ascii="Times New Roman" w:hAnsi="Times New Roman" w:eastAsia="Times New Roman" w:cs="Times New Roman"/>
              </w:rPr>
              <w:t>2012</w:t>
            </w:r>
            <w:r>
              <w:t>－</w:t>
            </w:r>
            <w:r>
              <w:rPr>
                <w:rFonts w:ascii="Times New Roman" w:hAnsi="Times New Roman" w:eastAsia="Times New Roman" w:cs="Times New Roman"/>
              </w:rPr>
              <w:t>2030</w:t>
            </w:r>
            <w:r>
              <w:rPr>
                <w:rFonts w:ascii="Times New Roman" w:hAnsi="Times New Roman" w:eastAsia="Times New Roman" w:cs="Times New Roman"/>
                <w:spacing w:val="-1"/>
              </w:rPr>
              <w:t xml:space="preserve"> </w:t>
            </w:r>
            <w:r>
              <w:rPr>
                <w:spacing w:val="-1"/>
              </w:rPr>
              <w:t>年）》区划进行分析。</w:t>
            </w:r>
          </w:p>
          <w:p w14:paraId="35FB7F63">
            <w:pPr>
              <w:pStyle w:val="6"/>
              <w:spacing w:before="32" w:line="356" w:lineRule="auto"/>
              <w:ind w:left="109" w:right="103" w:firstLine="481"/>
            </w:pPr>
            <w:r>
              <w:rPr>
                <w:b/>
                <w:bCs/>
                <w:spacing w:val="-3"/>
              </w:rPr>
              <w:t>符合性分析：</w:t>
            </w:r>
            <w:r>
              <w:rPr>
                <w:spacing w:val="-3"/>
              </w:rPr>
              <w:t>根据与云南省生物多样性保护优先区域图</w:t>
            </w:r>
            <w:r>
              <w:rPr>
                <w:spacing w:val="-4"/>
              </w:rPr>
              <w:t>叠图可知，本项</w:t>
            </w:r>
            <w:r>
              <w:t xml:space="preserve"> </w:t>
            </w:r>
            <w:r>
              <w:rPr>
                <w:spacing w:val="-3"/>
              </w:rPr>
              <w:t>目位于上述优先保护区域外，也不存在极小种群、重点保护野生植物以及特</w:t>
            </w:r>
            <w:r>
              <w:rPr>
                <w:spacing w:val="16"/>
              </w:rPr>
              <w:t xml:space="preserve"> </w:t>
            </w:r>
            <w:r>
              <w:rPr>
                <w:spacing w:val="18"/>
              </w:rPr>
              <w:t>殊（珍稀）</w:t>
            </w:r>
            <w:r>
              <w:rPr>
                <w:spacing w:val="-64"/>
              </w:rPr>
              <w:t xml:space="preserve"> </w:t>
            </w:r>
            <w:r>
              <w:rPr>
                <w:spacing w:val="18"/>
              </w:rPr>
              <w:t>植物群落等</w:t>
            </w:r>
            <w:r>
              <w:rPr>
                <w:spacing w:val="-69"/>
              </w:rPr>
              <w:t xml:space="preserve"> </w:t>
            </w:r>
            <w:r>
              <w:rPr>
                <w:spacing w:val="18"/>
              </w:rPr>
              <w:t>，与《云南省生物多样</w:t>
            </w:r>
            <w:r>
              <w:rPr>
                <w:spacing w:val="17"/>
              </w:rPr>
              <w:t>性保护战略与行动计划</w:t>
            </w:r>
            <w:r>
              <w:t xml:space="preserve"> （</w:t>
            </w:r>
            <w:r>
              <w:rPr>
                <w:rFonts w:ascii="Times New Roman" w:hAnsi="Times New Roman" w:eastAsia="Times New Roman" w:cs="Times New Roman"/>
              </w:rPr>
              <w:t xml:space="preserve">2024-2030 </w:t>
            </w:r>
            <w:r>
              <w:t>年）》不冲突。项目生态分析结果表明项目的实施对云南省生</w:t>
            </w:r>
            <w:r>
              <w:rPr>
                <w:spacing w:val="17"/>
              </w:rPr>
              <w:t xml:space="preserve"> </w:t>
            </w:r>
            <w:r>
              <w:rPr>
                <w:spacing w:val="-3"/>
              </w:rPr>
              <w:t>物多样性保护优先区域的影响不大，与《云南省生物多样性保护战略与行动</w:t>
            </w:r>
            <w:r>
              <w:rPr>
                <w:spacing w:val="16"/>
              </w:rPr>
              <w:t xml:space="preserve"> </w:t>
            </w:r>
            <w:r>
              <w:t>计划（</w:t>
            </w:r>
            <w:r>
              <w:rPr>
                <w:rFonts w:ascii="Times New Roman" w:hAnsi="Times New Roman" w:eastAsia="Times New Roman" w:cs="Times New Roman"/>
              </w:rPr>
              <w:t xml:space="preserve">2024-2030 </w:t>
            </w:r>
            <w:r>
              <w:t>年）》统筹生物多样性保护与经济社会发展，保护优先、</w:t>
            </w:r>
            <w:r>
              <w:rPr>
                <w:spacing w:val="17"/>
              </w:rPr>
              <w:t xml:space="preserve"> </w:t>
            </w:r>
            <w:r>
              <w:rPr>
                <w:spacing w:val="-3"/>
              </w:rPr>
              <w:t>科学利用的指导思想和基本原则一致。项目建设与《云南省生物多样性保护</w:t>
            </w:r>
            <w:r>
              <w:rPr>
                <w:spacing w:val="16"/>
              </w:rPr>
              <w:t xml:space="preserve"> </w:t>
            </w:r>
            <w:r>
              <w:rPr>
                <w:spacing w:val="-1"/>
              </w:rPr>
              <w:t>战略与行动计划（</w:t>
            </w:r>
            <w:r>
              <w:rPr>
                <w:rFonts w:ascii="Times New Roman" w:hAnsi="Times New Roman" w:eastAsia="Times New Roman" w:cs="Times New Roman"/>
                <w:spacing w:val="-1"/>
              </w:rPr>
              <w:t xml:space="preserve">2024-2030 </w:t>
            </w:r>
            <w:r>
              <w:rPr>
                <w:spacing w:val="-1"/>
              </w:rPr>
              <w:t>年）》不冲突。</w:t>
            </w:r>
          </w:p>
          <w:p w14:paraId="231E7861">
            <w:pPr>
              <w:pStyle w:val="6"/>
              <w:spacing w:before="33" w:line="219" w:lineRule="auto"/>
              <w:ind w:left="589"/>
            </w:pPr>
            <w:r>
              <w:rPr>
                <w:rFonts w:ascii="Times New Roman" w:hAnsi="Times New Roman" w:eastAsia="Times New Roman" w:cs="Times New Roman"/>
                <w:b/>
                <w:bCs/>
                <w:spacing w:val="-4"/>
              </w:rPr>
              <w:t>6</w:t>
            </w:r>
            <w:r>
              <w:rPr>
                <w:rFonts w:ascii="Times New Roman" w:hAnsi="Times New Roman" w:eastAsia="Times New Roman" w:cs="Times New Roman"/>
                <w:b/>
                <w:bCs/>
                <w:spacing w:val="-19"/>
              </w:rPr>
              <w:t xml:space="preserve"> </w:t>
            </w:r>
            <w:r>
              <w:rPr>
                <w:b/>
                <w:bCs/>
                <w:spacing w:val="-4"/>
              </w:rPr>
              <w:t>、与《云南省生物多样性保护条例》符合性分析</w:t>
            </w:r>
          </w:p>
          <w:p w14:paraId="79EFB653">
            <w:pPr>
              <w:pStyle w:val="6"/>
              <w:spacing w:before="183" w:line="219" w:lineRule="auto"/>
              <w:ind w:left="601"/>
            </w:pPr>
            <w:r>
              <w:rPr>
                <w:b/>
                <w:bCs/>
                <w:spacing w:val="-5"/>
              </w:rPr>
              <w:t>（</w:t>
            </w:r>
            <w:r>
              <w:rPr>
                <w:rFonts w:ascii="Times New Roman" w:hAnsi="Times New Roman" w:eastAsia="Times New Roman" w:cs="Times New Roman"/>
                <w:b/>
                <w:bCs/>
                <w:spacing w:val="-5"/>
              </w:rPr>
              <w:t>1</w:t>
            </w:r>
            <w:r>
              <w:rPr>
                <w:b/>
                <w:bCs/>
                <w:spacing w:val="-5"/>
              </w:rPr>
              <w:t>）基本情况</w:t>
            </w:r>
          </w:p>
          <w:p w14:paraId="660F09EA">
            <w:pPr>
              <w:pStyle w:val="6"/>
              <w:spacing w:before="182" w:line="345" w:lineRule="auto"/>
              <w:ind w:left="138" w:right="89" w:firstLine="456"/>
            </w:pPr>
            <w:r>
              <w:rPr>
                <w:spacing w:val="-3"/>
              </w:rPr>
              <w:t>《云南省生物多样性保护条例》旨在保护生物多样性，保障生态安全，</w:t>
            </w:r>
            <w:r>
              <w:rPr>
                <w:spacing w:val="18"/>
              </w:rPr>
              <w:t xml:space="preserve"> </w:t>
            </w:r>
            <w:r>
              <w:t>由云南省第十三届人大常务委员会第五次会议于</w:t>
            </w:r>
            <w:r>
              <w:rPr>
                <w:rFonts w:ascii="Times New Roman" w:hAnsi="Times New Roman" w:eastAsia="Times New Roman" w:cs="Times New Roman"/>
              </w:rPr>
              <w:t>2018</w:t>
            </w:r>
            <w:r>
              <w:t>年</w:t>
            </w:r>
            <w:r>
              <w:rPr>
                <w:rFonts w:ascii="Times New Roman" w:hAnsi="Times New Roman" w:eastAsia="Times New Roman" w:cs="Times New Roman"/>
              </w:rPr>
              <w:t>9</w:t>
            </w:r>
            <w:r>
              <w:t>月</w:t>
            </w:r>
            <w:r>
              <w:rPr>
                <w:rFonts w:ascii="Times New Roman" w:hAnsi="Times New Roman" w:eastAsia="Times New Roman" w:cs="Times New Roman"/>
              </w:rPr>
              <w:t>21</w:t>
            </w:r>
            <w:r>
              <w:t>日审议通过并</w:t>
            </w:r>
          </w:p>
        </w:tc>
      </w:tr>
    </w:tbl>
    <w:p w14:paraId="1F797B45">
      <w:pPr>
        <w:spacing w:line="239" w:lineRule="exact"/>
        <w:rPr>
          <w:rFonts w:ascii="Arial"/>
          <w:sz w:val="20"/>
        </w:rPr>
      </w:pPr>
    </w:p>
    <w:p w14:paraId="18A903B2">
      <w:pPr>
        <w:spacing w:line="239" w:lineRule="exact"/>
        <w:rPr>
          <w:rFonts w:ascii="Arial" w:hAnsi="Arial" w:eastAsia="Arial" w:cs="Arial"/>
          <w:sz w:val="20"/>
          <w:szCs w:val="20"/>
        </w:rPr>
        <w:sectPr>
          <w:footerReference r:id="rId23" w:type="default"/>
          <w:pgSz w:w="11906" w:h="16839"/>
          <w:pgMar w:top="1431" w:right="1407" w:bottom="1278" w:left="1407" w:header="0" w:footer="1116" w:gutter="0"/>
          <w:cols w:space="720" w:num="1"/>
        </w:sectPr>
      </w:pPr>
    </w:p>
    <w:p w14:paraId="46030F31">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443867D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39" w:hRule="atLeast"/>
        </w:trPr>
        <w:tc>
          <w:tcPr>
            <w:tcW w:w="9076" w:type="dxa"/>
            <w:vAlign w:val="top"/>
          </w:tcPr>
          <w:p w14:paraId="72A8D88F">
            <w:pPr>
              <w:spacing w:line="43" w:lineRule="auto"/>
              <w:rPr>
                <w:rFonts w:ascii="Arial"/>
                <w:sz w:val="2"/>
              </w:rPr>
            </w:pPr>
            <w:r>
              <w:pict>
                <v:shape id="_x0000_s1034" o:spid="_x0000_s1034" style="position:absolute;left:0pt;margin-left:55.85pt;margin-top:411.75pt;height:274.75pt;width:0.5pt;mso-position-horizontal-relative:page;mso-position-vertical-relative:page;z-index:251669504;mso-width-relative:page;mso-height-relative:page;" filled="f" stroked="t" coordsize="10,5495" path="m4,0l4,5495e">
                  <v:fill on="f" focussize="0,0"/>
                  <v:stroke weight="0.48pt" color="#000000" miterlimit="2" joinstyle="bevel"/>
                  <v:imagedata o:title=""/>
                  <o:lock v:ext="edit"/>
                </v:shape>
              </w:pict>
            </w:r>
          </w:p>
          <w:tbl>
            <w:tblPr>
              <w:tblStyle w:val="5"/>
              <w:tblW w:w="7956"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87"/>
              <w:gridCol w:w="2547"/>
              <w:gridCol w:w="1022"/>
            </w:tblGrid>
            <w:tr w14:paraId="31901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3" w:hRule="atLeast"/>
              </w:trPr>
              <w:tc>
                <w:tcPr>
                  <w:tcW w:w="7956" w:type="dxa"/>
                  <w:gridSpan w:val="3"/>
                  <w:tcBorders>
                    <w:top w:val="nil"/>
                    <w:right w:val="nil"/>
                  </w:tcBorders>
                  <w:vAlign w:val="top"/>
                </w:tcPr>
                <w:p w14:paraId="15901EFD">
                  <w:pPr>
                    <w:pStyle w:val="6"/>
                    <w:spacing w:before="41" w:line="219" w:lineRule="auto"/>
                    <w:ind w:left="125"/>
                  </w:pPr>
                  <w:r>
                    <w:rPr>
                      <w:spacing w:val="-3"/>
                    </w:rPr>
                    <w:t>公布，共七章四十条，</w:t>
                  </w:r>
                  <w:r>
                    <w:rPr>
                      <w:spacing w:val="-66"/>
                    </w:rPr>
                    <w:t xml:space="preserve"> </w:t>
                  </w:r>
                  <w:r>
                    <w:rPr>
                      <w:spacing w:val="-3"/>
                    </w:rPr>
                    <w:t>自</w:t>
                  </w:r>
                  <w:r>
                    <w:rPr>
                      <w:rFonts w:ascii="Times New Roman" w:hAnsi="Times New Roman" w:eastAsia="Times New Roman" w:cs="Times New Roman"/>
                      <w:spacing w:val="-3"/>
                    </w:rPr>
                    <w:t>2019</w:t>
                  </w:r>
                  <w:r>
                    <w:rPr>
                      <w:spacing w:val="-3"/>
                    </w:rPr>
                    <w:t>年</w:t>
                  </w:r>
                  <w:r>
                    <w:rPr>
                      <w:rFonts w:ascii="Times New Roman" w:hAnsi="Times New Roman" w:eastAsia="Times New Roman" w:cs="Times New Roman"/>
                      <w:spacing w:val="-3"/>
                    </w:rPr>
                    <w:t>1</w:t>
                  </w:r>
                  <w:r>
                    <w:rPr>
                      <w:spacing w:val="-3"/>
                    </w:rPr>
                    <w:t>月</w:t>
                  </w:r>
                  <w:r>
                    <w:rPr>
                      <w:rFonts w:ascii="Times New Roman" w:hAnsi="Times New Roman" w:eastAsia="Times New Roman" w:cs="Times New Roman"/>
                      <w:spacing w:val="-3"/>
                    </w:rPr>
                    <w:t>1</w:t>
                  </w:r>
                  <w:r>
                    <w:rPr>
                      <w:spacing w:val="-3"/>
                    </w:rPr>
                    <w:t>日起施行。</w:t>
                  </w:r>
                </w:p>
                <w:p w14:paraId="3AEA03E7">
                  <w:pPr>
                    <w:pStyle w:val="6"/>
                    <w:spacing w:before="182" w:line="352" w:lineRule="auto"/>
                    <w:ind w:left="118" w:firstLine="475"/>
                    <w:jc w:val="both"/>
                  </w:pPr>
                  <w:r>
                    <w:rPr>
                      <w:spacing w:val="-10"/>
                    </w:rPr>
                    <w:t>其中，《云南省生物多样性保护条例》第二十九条规定：“新建、改</w:t>
                  </w:r>
                  <w:r>
                    <w:rPr>
                      <w:spacing w:val="-11"/>
                    </w:rPr>
                    <w:t>建、</w:t>
                  </w:r>
                  <w:r>
                    <w:t xml:space="preserve"> </w:t>
                  </w:r>
                  <w:r>
                    <w:rPr>
                      <w:spacing w:val="-5"/>
                    </w:rPr>
                    <w:t>扩建建设项目以及开发自然资源，应当依法开展环境影响评价。对可能造成</w:t>
                  </w:r>
                  <w:r>
                    <w:t xml:space="preserve"> </w:t>
                  </w:r>
                  <w:r>
                    <w:rPr>
                      <w:spacing w:val="-10"/>
                    </w:rPr>
                    <w:t>重要生态系统破坏、损害重要物种及其栖息地和生境的，应当制定专项保护、</w:t>
                  </w:r>
                  <w:r>
                    <w:rPr>
                      <w:spacing w:val="14"/>
                    </w:rPr>
                    <w:t xml:space="preserve"> </w:t>
                  </w:r>
                  <w:r>
                    <w:rPr>
                      <w:spacing w:val="-3"/>
                    </w:rPr>
                    <w:t>恢复和补偿方案，纳入环境影响评价。</w:t>
                  </w:r>
                </w:p>
                <w:p w14:paraId="6FEB9328">
                  <w:pPr>
                    <w:pStyle w:val="6"/>
                    <w:spacing w:before="37" w:line="344" w:lineRule="auto"/>
                    <w:ind w:left="120" w:firstLine="476"/>
                  </w:pPr>
                  <w:r>
                    <w:rPr>
                      <w:spacing w:val="-3"/>
                    </w:rPr>
                    <w:t>在生物多样性保护优先区域的建设项目以及自然资源开发，应当评价对</w:t>
                  </w:r>
                  <w:r>
                    <w:rPr>
                      <w:spacing w:val="8"/>
                    </w:rPr>
                    <w:t xml:space="preserve"> </w:t>
                  </w:r>
                  <w:r>
                    <w:rPr>
                      <w:spacing w:val="-1"/>
                    </w:rPr>
                    <w:t>生物多样性的影响，并作为环境影响评价的重要组成部分</w:t>
                  </w:r>
                  <w:r>
                    <w:rPr>
                      <w:spacing w:val="-76"/>
                    </w:rPr>
                    <w:t xml:space="preserve"> </w:t>
                  </w:r>
                  <w:r>
                    <w:rPr>
                      <w:spacing w:val="-1"/>
                    </w:rPr>
                    <w:t>”。</w:t>
                  </w:r>
                </w:p>
                <w:p w14:paraId="6437CB01">
                  <w:pPr>
                    <w:pStyle w:val="6"/>
                    <w:spacing w:before="39" w:line="219" w:lineRule="auto"/>
                    <w:ind w:left="609"/>
                  </w:pPr>
                  <w:r>
                    <w:rPr>
                      <w:b/>
                      <w:bCs/>
                      <w:spacing w:val="-5"/>
                    </w:rPr>
                    <w:t>（</w:t>
                  </w:r>
                  <w:r>
                    <w:rPr>
                      <w:rFonts w:ascii="Times New Roman" w:hAnsi="Times New Roman" w:eastAsia="Times New Roman" w:cs="Times New Roman"/>
                      <w:b/>
                      <w:bCs/>
                      <w:spacing w:val="-5"/>
                    </w:rPr>
                    <w:t>2</w:t>
                  </w:r>
                  <w:r>
                    <w:rPr>
                      <w:b/>
                      <w:bCs/>
                      <w:spacing w:val="-5"/>
                    </w:rPr>
                    <w:t>）符合性分析</w:t>
                  </w:r>
                </w:p>
                <w:p w14:paraId="786169D8">
                  <w:pPr>
                    <w:pStyle w:val="6"/>
                    <w:spacing w:before="177" w:line="355" w:lineRule="auto"/>
                    <w:ind w:left="120" w:firstLine="475"/>
                    <w:jc w:val="both"/>
                  </w:pPr>
                  <w:r>
                    <w:rPr>
                      <w:spacing w:val="-3"/>
                    </w:rPr>
                    <w:t>根据生态调查，本项目评价范围内植被包括常绿阔叶林、落叶阔叶林、</w:t>
                  </w:r>
                  <w:r>
                    <w:rPr>
                      <w:spacing w:val="9"/>
                    </w:rPr>
                    <w:t xml:space="preserve"> </w:t>
                  </w:r>
                  <w:r>
                    <w:rPr>
                      <w:spacing w:val="-4"/>
                    </w:rPr>
                    <w:t>暖性针叶林、稀树灌木草丛等自然植被型。其中，工程影响植被所涉及的西</w:t>
                  </w:r>
                  <w:r>
                    <w:rPr>
                      <w:spacing w:val="12"/>
                    </w:rPr>
                    <w:t xml:space="preserve"> </w:t>
                  </w:r>
                  <w:r>
                    <w:rPr>
                      <w:spacing w:val="-4"/>
                    </w:rPr>
                    <w:t>南栒子、黄茅、蕨、野拔子等物种，为该区域各植被类型的优势物种。工程</w:t>
                  </w:r>
                  <w:r>
                    <w:rPr>
                      <w:spacing w:val="12"/>
                    </w:rPr>
                    <w:t xml:space="preserve"> </w:t>
                  </w:r>
                  <w:r>
                    <w:rPr>
                      <w:spacing w:val="-4"/>
                    </w:rPr>
                    <w:t>占地范围内无重要生态系统、重要物种及其栖息地和生境，项目建设不会造</w:t>
                  </w:r>
                  <w:r>
                    <w:rPr>
                      <w:spacing w:val="12"/>
                    </w:rPr>
                    <w:t xml:space="preserve"> </w:t>
                  </w:r>
                  <w:r>
                    <w:rPr>
                      <w:spacing w:val="-4"/>
                    </w:rPr>
                    <w:t>成重要生态系统破坏，不会损害重要物种及其栖息地和生境。本项目的建设</w:t>
                  </w:r>
                  <w:r>
                    <w:rPr>
                      <w:spacing w:val="12"/>
                    </w:rPr>
                    <w:t xml:space="preserve"> </w:t>
                  </w:r>
                  <w:r>
                    <w:rPr>
                      <w:spacing w:val="-2"/>
                    </w:rPr>
                    <w:t>不违背《云南省生物多样性保护条例》的相关要求。</w:t>
                  </w:r>
                </w:p>
                <w:p w14:paraId="76510394">
                  <w:pPr>
                    <w:pStyle w:val="6"/>
                    <w:spacing w:before="33" w:line="219" w:lineRule="auto"/>
                    <w:jc w:val="right"/>
                  </w:pPr>
                  <w:r>
                    <w:rPr>
                      <w:rFonts w:ascii="Times New Roman" w:hAnsi="Times New Roman" w:eastAsia="Times New Roman" w:cs="Times New Roman"/>
                      <w:b/>
                      <w:bCs/>
                      <w:spacing w:val="-4"/>
                    </w:rPr>
                    <w:t>7</w:t>
                  </w:r>
                  <w:r>
                    <w:rPr>
                      <w:rFonts w:ascii="Times New Roman" w:hAnsi="Times New Roman" w:eastAsia="Times New Roman" w:cs="Times New Roman"/>
                      <w:b/>
                      <w:bCs/>
                      <w:spacing w:val="-20"/>
                    </w:rPr>
                    <w:t xml:space="preserve"> </w:t>
                  </w:r>
                  <w:r>
                    <w:rPr>
                      <w:b/>
                      <w:bCs/>
                      <w:spacing w:val="-4"/>
                    </w:rPr>
                    <w:t>、与《长江经济带发展负面清单指南（试行，</w:t>
                  </w:r>
                  <w:r>
                    <w:rPr>
                      <w:rFonts w:ascii="Times New Roman" w:hAnsi="Times New Roman" w:eastAsia="Times New Roman" w:cs="Times New Roman"/>
                      <w:b/>
                      <w:bCs/>
                      <w:spacing w:val="-4"/>
                    </w:rPr>
                    <w:t xml:space="preserve">2022 </w:t>
                  </w:r>
                  <w:r>
                    <w:rPr>
                      <w:b/>
                      <w:bCs/>
                      <w:spacing w:val="-4"/>
                    </w:rPr>
                    <w:t>年版）》的符合性</w:t>
                  </w:r>
                </w:p>
                <w:p w14:paraId="13C84F56">
                  <w:pPr>
                    <w:pStyle w:val="6"/>
                    <w:spacing w:before="181" w:line="347" w:lineRule="auto"/>
                    <w:ind w:left="119" w:firstLine="479"/>
                  </w:pPr>
                  <w:r>
                    <w:rPr>
                      <w:spacing w:val="3"/>
                    </w:rPr>
                    <w:t>本项目与《长江经济带发展负面清单指南（试行，</w:t>
                  </w:r>
                  <w:r>
                    <w:rPr>
                      <w:rFonts w:ascii="Times New Roman" w:hAnsi="Times New Roman" w:eastAsia="Times New Roman" w:cs="Times New Roman"/>
                      <w:spacing w:val="3"/>
                    </w:rPr>
                    <w:t xml:space="preserve">2022 </w:t>
                  </w:r>
                  <w:r>
                    <w:rPr>
                      <w:spacing w:val="2"/>
                    </w:rPr>
                    <w:t>年版）》的符</w:t>
                  </w:r>
                  <w:r>
                    <w:t xml:space="preserve"> </w:t>
                  </w:r>
                  <w:r>
                    <w:rPr>
                      <w:spacing w:val="-2"/>
                    </w:rPr>
                    <w:t>合性分析见下表。</w:t>
                  </w:r>
                </w:p>
                <w:p w14:paraId="74859375">
                  <w:pPr>
                    <w:pStyle w:val="6"/>
                    <w:spacing w:before="27" w:line="215" w:lineRule="auto"/>
                    <w:ind w:left="1870"/>
                    <w:rPr>
                      <w:sz w:val="20"/>
                      <w:szCs w:val="20"/>
                    </w:rPr>
                  </w:pPr>
                  <w:r>
                    <w:rPr>
                      <w:b/>
                      <w:bCs/>
                      <w:spacing w:val="6"/>
                      <w:sz w:val="20"/>
                      <w:szCs w:val="20"/>
                    </w:rPr>
                    <w:t>表</w:t>
                  </w:r>
                  <w:r>
                    <w:rPr>
                      <w:spacing w:val="-29"/>
                      <w:sz w:val="20"/>
                      <w:szCs w:val="20"/>
                    </w:rPr>
                    <w:t xml:space="preserve"> </w:t>
                  </w:r>
                  <w:r>
                    <w:rPr>
                      <w:rFonts w:ascii="Times New Roman" w:hAnsi="Times New Roman" w:eastAsia="Times New Roman" w:cs="Times New Roman"/>
                      <w:b/>
                      <w:bCs/>
                      <w:spacing w:val="6"/>
                      <w:sz w:val="20"/>
                      <w:szCs w:val="20"/>
                    </w:rPr>
                    <w:t xml:space="preserve">1-7    </w:t>
                  </w:r>
                  <w:r>
                    <w:rPr>
                      <w:b/>
                      <w:bCs/>
                      <w:spacing w:val="6"/>
                      <w:sz w:val="20"/>
                      <w:szCs w:val="20"/>
                    </w:rPr>
                    <w:t>项目与长江经济带发展负面清单符合性</w:t>
                  </w:r>
                </w:p>
              </w:tc>
            </w:tr>
            <w:tr w14:paraId="3E124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87" w:type="dxa"/>
                  <w:vAlign w:val="top"/>
                </w:tcPr>
                <w:p w14:paraId="343FE85D">
                  <w:pPr>
                    <w:pStyle w:val="6"/>
                    <w:spacing w:before="35" w:line="215" w:lineRule="auto"/>
                    <w:ind w:left="1839"/>
                    <w:rPr>
                      <w:sz w:val="20"/>
                      <w:szCs w:val="20"/>
                    </w:rPr>
                  </w:pPr>
                  <w:r>
                    <w:rPr>
                      <w:b/>
                      <w:bCs/>
                      <w:spacing w:val="5"/>
                      <w:sz w:val="20"/>
                      <w:szCs w:val="20"/>
                    </w:rPr>
                    <w:t>具体要求</w:t>
                  </w:r>
                </w:p>
              </w:tc>
              <w:tc>
                <w:tcPr>
                  <w:tcW w:w="2547" w:type="dxa"/>
                  <w:vAlign w:val="top"/>
                </w:tcPr>
                <w:p w14:paraId="53F65C4F">
                  <w:pPr>
                    <w:pStyle w:val="6"/>
                    <w:spacing w:before="35" w:line="215" w:lineRule="auto"/>
                    <w:ind w:left="965"/>
                    <w:rPr>
                      <w:sz w:val="20"/>
                      <w:szCs w:val="20"/>
                    </w:rPr>
                  </w:pPr>
                  <w:r>
                    <w:rPr>
                      <w:b/>
                      <w:bCs/>
                      <w:spacing w:val="5"/>
                      <w:sz w:val="20"/>
                      <w:szCs w:val="20"/>
                    </w:rPr>
                    <w:t>本项目</w:t>
                  </w:r>
                </w:p>
              </w:tc>
              <w:tc>
                <w:tcPr>
                  <w:tcW w:w="1022" w:type="dxa"/>
                  <w:vAlign w:val="top"/>
                </w:tcPr>
                <w:p w14:paraId="07C973C7">
                  <w:pPr>
                    <w:pStyle w:val="6"/>
                    <w:spacing w:before="35" w:line="215" w:lineRule="auto"/>
                    <w:ind w:left="202"/>
                    <w:rPr>
                      <w:sz w:val="20"/>
                      <w:szCs w:val="20"/>
                    </w:rPr>
                  </w:pPr>
                  <w:r>
                    <w:rPr>
                      <w:b/>
                      <w:bCs/>
                      <w:spacing w:val="5"/>
                      <w:sz w:val="20"/>
                      <w:szCs w:val="20"/>
                    </w:rPr>
                    <w:t>符合性</w:t>
                  </w:r>
                </w:p>
              </w:tc>
            </w:tr>
            <w:tr w14:paraId="17980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387" w:type="dxa"/>
                  <w:vAlign w:val="top"/>
                </w:tcPr>
                <w:p w14:paraId="3B49D7F0">
                  <w:pPr>
                    <w:pStyle w:val="6"/>
                    <w:spacing w:before="33" w:line="243" w:lineRule="auto"/>
                    <w:ind w:left="262" w:right="140" w:firstLine="41"/>
                    <w:jc w:val="both"/>
                    <w:rPr>
                      <w:sz w:val="20"/>
                      <w:szCs w:val="20"/>
                    </w:rPr>
                  </w:pPr>
                  <w:r>
                    <w:rPr>
                      <w:rFonts w:ascii="Times New Roman" w:hAnsi="Times New Roman" w:eastAsia="Times New Roman" w:cs="Times New Roman"/>
                      <w:spacing w:val="8"/>
                      <w:sz w:val="20"/>
                      <w:szCs w:val="20"/>
                    </w:rPr>
                    <w:t>1.</w:t>
                  </w:r>
                  <w:r>
                    <w:rPr>
                      <w:spacing w:val="8"/>
                      <w:sz w:val="20"/>
                      <w:szCs w:val="20"/>
                    </w:rPr>
                    <w:t>禁止建设不符合全国和省级港口布局规划</w:t>
                  </w:r>
                  <w:r>
                    <w:rPr>
                      <w:sz w:val="20"/>
                      <w:szCs w:val="20"/>
                    </w:rPr>
                    <w:t xml:space="preserve"> </w:t>
                  </w:r>
                  <w:r>
                    <w:rPr>
                      <w:spacing w:val="9"/>
                      <w:sz w:val="20"/>
                      <w:szCs w:val="20"/>
                    </w:rPr>
                    <w:t>以及港口总体规划的码头项目，禁止建设不</w:t>
                  </w:r>
                  <w:r>
                    <w:rPr>
                      <w:spacing w:val="7"/>
                      <w:sz w:val="20"/>
                      <w:szCs w:val="20"/>
                    </w:rPr>
                    <w:t xml:space="preserve"> </w:t>
                  </w:r>
                  <w:r>
                    <w:rPr>
                      <w:spacing w:val="9"/>
                      <w:sz w:val="20"/>
                      <w:szCs w:val="20"/>
                    </w:rPr>
                    <w:t>符合《长江干线过江通道布局规划》的过长</w:t>
                  </w:r>
                </w:p>
                <w:p w14:paraId="57A5FB27">
                  <w:pPr>
                    <w:pStyle w:val="6"/>
                    <w:spacing w:before="28" w:line="214" w:lineRule="auto"/>
                    <w:ind w:left="1627"/>
                    <w:rPr>
                      <w:sz w:val="20"/>
                      <w:szCs w:val="20"/>
                    </w:rPr>
                  </w:pPr>
                  <w:r>
                    <w:rPr>
                      <w:spacing w:val="6"/>
                      <w:sz w:val="20"/>
                      <w:szCs w:val="20"/>
                    </w:rPr>
                    <w:t>江通道项目。</w:t>
                  </w:r>
                </w:p>
              </w:tc>
              <w:tc>
                <w:tcPr>
                  <w:tcW w:w="2547" w:type="dxa"/>
                  <w:vAlign w:val="top"/>
                </w:tcPr>
                <w:p w14:paraId="5A0F5D09">
                  <w:pPr>
                    <w:rPr>
                      <w:rFonts w:ascii="Arial"/>
                      <w:sz w:val="21"/>
                    </w:rPr>
                  </w:pPr>
                </w:p>
                <w:p w14:paraId="17649A83">
                  <w:pPr>
                    <w:pStyle w:val="6"/>
                    <w:spacing w:before="65" w:line="239" w:lineRule="auto"/>
                    <w:ind w:left="756" w:right="116" w:hanging="631"/>
                    <w:rPr>
                      <w:sz w:val="20"/>
                      <w:szCs w:val="20"/>
                    </w:rPr>
                  </w:pPr>
                  <w:r>
                    <w:rPr>
                      <w:spacing w:val="9"/>
                      <w:sz w:val="20"/>
                      <w:szCs w:val="20"/>
                    </w:rPr>
                    <w:t>本项目不属于码头及过长</w:t>
                  </w:r>
                  <w:r>
                    <w:rPr>
                      <w:sz w:val="20"/>
                      <w:szCs w:val="20"/>
                    </w:rPr>
                    <w:t xml:space="preserve"> </w:t>
                  </w:r>
                  <w:r>
                    <w:rPr>
                      <w:spacing w:val="7"/>
                      <w:sz w:val="20"/>
                      <w:szCs w:val="20"/>
                    </w:rPr>
                    <w:t>江通道项目</w:t>
                  </w:r>
                </w:p>
              </w:tc>
              <w:tc>
                <w:tcPr>
                  <w:tcW w:w="1022" w:type="dxa"/>
                  <w:vAlign w:val="top"/>
                </w:tcPr>
                <w:p w14:paraId="59BB1BD8">
                  <w:pPr>
                    <w:spacing w:line="372" w:lineRule="auto"/>
                    <w:rPr>
                      <w:rFonts w:ascii="Arial"/>
                      <w:sz w:val="21"/>
                    </w:rPr>
                  </w:pPr>
                </w:p>
                <w:p w14:paraId="65C3D917">
                  <w:pPr>
                    <w:pStyle w:val="6"/>
                    <w:spacing w:before="65" w:line="228" w:lineRule="auto"/>
                    <w:ind w:left="307"/>
                    <w:rPr>
                      <w:sz w:val="20"/>
                      <w:szCs w:val="20"/>
                    </w:rPr>
                  </w:pPr>
                  <w:r>
                    <w:rPr>
                      <w:spacing w:val="3"/>
                      <w:sz w:val="20"/>
                      <w:szCs w:val="20"/>
                    </w:rPr>
                    <w:t>符合</w:t>
                  </w:r>
                </w:p>
              </w:tc>
            </w:tr>
            <w:tr w14:paraId="1F955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387" w:type="dxa"/>
                  <w:vAlign w:val="top"/>
                </w:tcPr>
                <w:p w14:paraId="752F40E1">
                  <w:pPr>
                    <w:pStyle w:val="6"/>
                    <w:spacing w:before="33"/>
                    <w:ind w:left="259" w:right="106" w:hanging="34"/>
                    <w:rPr>
                      <w:sz w:val="20"/>
                      <w:szCs w:val="20"/>
                    </w:rPr>
                  </w:pPr>
                  <w:r>
                    <w:rPr>
                      <w:rFonts w:ascii="Times New Roman" w:hAnsi="Times New Roman" w:eastAsia="Times New Roman" w:cs="Times New Roman"/>
                      <w:spacing w:val="4"/>
                      <w:sz w:val="20"/>
                      <w:szCs w:val="20"/>
                    </w:rPr>
                    <w:t>2.</w:t>
                  </w:r>
                  <w:r>
                    <w:rPr>
                      <w:spacing w:val="4"/>
                      <w:sz w:val="20"/>
                      <w:szCs w:val="20"/>
                    </w:rPr>
                    <w:t>禁止在自然保护区核心区、缓冲区的岸线和</w:t>
                  </w:r>
                  <w:r>
                    <w:rPr>
                      <w:spacing w:val="14"/>
                      <w:sz w:val="20"/>
                      <w:szCs w:val="20"/>
                    </w:rPr>
                    <w:t xml:space="preserve"> </w:t>
                  </w:r>
                  <w:r>
                    <w:rPr>
                      <w:spacing w:val="8"/>
                      <w:sz w:val="20"/>
                      <w:szCs w:val="20"/>
                    </w:rPr>
                    <w:t>河段范围内投资建设旅游和生产经营项目。</w:t>
                  </w:r>
                </w:p>
                <w:p w14:paraId="332487F1">
                  <w:pPr>
                    <w:pStyle w:val="6"/>
                    <w:spacing w:before="24" w:line="228" w:lineRule="auto"/>
                    <w:ind w:left="260"/>
                    <w:rPr>
                      <w:sz w:val="20"/>
                      <w:szCs w:val="20"/>
                    </w:rPr>
                  </w:pPr>
                  <w:r>
                    <w:rPr>
                      <w:spacing w:val="9"/>
                      <w:sz w:val="20"/>
                      <w:szCs w:val="20"/>
                    </w:rPr>
                    <w:t>禁止在风景名胜区核心景区的岸线和河段范</w:t>
                  </w:r>
                </w:p>
                <w:p w14:paraId="7317273C">
                  <w:pPr>
                    <w:pStyle w:val="6"/>
                    <w:spacing w:before="26" w:line="228" w:lineRule="auto"/>
                    <w:ind w:left="279"/>
                    <w:rPr>
                      <w:sz w:val="20"/>
                      <w:szCs w:val="20"/>
                    </w:rPr>
                  </w:pPr>
                  <w:r>
                    <w:rPr>
                      <w:spacing w:val="8"/>
                      <w:sz w:val="20"/>
                      <w:szCs w:val="20"/>
                    </w:rPr>
                    <w:t>围内投资建设与风景名胜资源保护无关的项</w:t>
                  </w:r>
                </w:p>
                <w:p w14:paraId="2FFC749A">
                  <w:pPr>
                    <w:pStyle w:val="6"/>
                    <w:spacing w:before="24" w:line="216" w:lineRule="auto"/>
                    <w:ind w:left="2086"/>
                    <w:rPr>
                      <w:sz w:val="20"/>
                      <w:szCs w:val="20"/>
                    </w:rPr>
                  </w:pPr>
                  <w:r>
                    <w:rPr>
                      <w:spacing w:val="-20"/>
                      <w:sz w:val="20"/>
                      <w:szCs w:val="20"/>
                    </w:rPr>
                    <w:t>目。</w:t>
                  </w:r>
                </w:p>
              </w:tc>
              <w:tc>
                <w:tcPr>
                  <w:tcW w:w="2547" w:type="dxa"/>
                  <w:vAlign w:val="top"/>
                </w:tcPr>
                <w:p w14:paraId="37D3C402">
                  <w:pPr>
                    <w:spacing w:line="373" w:lineRule="auto"/>
                    <w:rPr>
                      <w:rFonts w:ascii="Arial"/>
                      <w:sz w:val="21"/>
                    </w:rPr>
                  </w:pPr>
                </w:p>
                <w:p w14:paraId="6267D9A5">
                  <w:pPr>
                    <w:pStyle w:val="6"/>
                    <w:spacing w:before="65"/>
                    <w:ind w:left="648" w:right="116" w:hanging="523"/>
                    <w:rPr>
                      <w:sz w:val="20"/>
                      <w:szCs w:val="20"/>
                    </w:rPr>
                  </w:pPr>
                  <w:r>
                    <w:rPr>
                      <w:spacing w:val="9"/>
                      <w:sz w:val="20"/>
                      <w:szCs w:val="20"/>
                    </w:rPr>
                    <w:t>本项目不涉及自然保护区</w:t>
                  </w:r>
                  <w:r>
                    <w:rPr>
                      <w:sz w:val="20"/>
                      <w:szCs w:val="20"/>
                    </w:rPr>
                    <w:t xml:space="preserve"> </w:t>
                  </w:r>
                  <w:r>
                    <w:rPr>
                      <w:spacing w:val="8"/>
                      <w:sz w:val="20"/>
                      <w:szCs w:val="20"/>
                    </w:rPr>
                    <w:t>及风景名胜区</w:t>
                  </w:r>
                </w:p>
              </w:tc>
              <w:tc>
                <w:tcPr>
                  <w:tcW w:w="1022" w:type="dxa"/>
                  <w:vAlign w:val="top"/>
                </w:tcPr>
                <w:p w14:paraId="3A615A28">
                  <w:pPr>
                    <w:spacing w:line="254" w:lineRule="auto"/>
                    <w:rPr>
                      <w:rFonts w:ascii="Arial"/>
                      <w:sz w:val="21"/>
                    </w:rPr>
                  </w:pPr>
                </w:p>
                <w:p w14:paraId="4F17AE25">
                  <w:pPr>
                    <w:spacing w:line="255" w:lineRule="auto"/>
                    <w:rPr>
                      <w:rFonts w:ascii="Arial"/>
                      <w:sz w:val="21"/>
                    </w:rPr>
                  </w:pPr>
                </w:p>
                <w:p w14:paraId="559CAF66">
                  <w:pPr>
                    <w:pStyle w:val="6"/>
                    <w:spacing w:before="65" w:line="228" w:lineRule="auto"/>
                    <w:ind w:left="307"/>
                    <w:rPr>
                      <w:sz w:val="20"/>
                      <w:szCs w:val="20"/>
                    </w:rPr>
                  </w:pPr>
                  <w:r>
                    <w:rPr>
                      <w:spacing w:val="3"/>
                      <w:sz w:val="20"/>
                      <w:szCs w:val="20"/>
                    </w:rPr>
                    <w:t>符合</w:t>
                  </w:r>
                </w:p>
              </w:tc>
            </w:tr>
            <w:tr w14:paraId="2A226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4387" w:type="dxa"/>
                  <w:vAlign w:val="top"/>
                </w:tcPr>
                <w:p w14:paraId="664E6A4D">
                  <w:pPr>
                    <w:pStyle w:val="6"/>
                    <w:spacing w:before="35" w:line="247" w:lineRule="auto"/>
                    <w:ind w:left="261" w:right="140" w:firstLine="25"/>
                    <w:jc w:val="both"/>
                    <w:rPr>
                      <w:sz w:val="20"/>
                      <w:szCs w:val="20"/>
                    </w:rPr>
                  </w:pPr>
                  <w:r>
                    <w:rPr>
                      <w:rFonts w:ascii="Times New Roman" w:hAnsi="Times New Roman" w:eastAsia="Times New Roman" w:cs="Times New Roman"/>
                      <w:spacing w:val="8"/>
                      <w:sz w:val="20"/>
                      <w:szCs w:val="20"/>
                    </w:rPr>
                    <w:t>3.</w:t>
                  </w:r>
                  <w:r>
                    <w:rPr>
                      <w:spacing w:val="8"/>
                      <w:sz w:val="20"/>
                      <w:szCs w:val="20"/>
                    </w:rPr>
                    <w:t>禁止在饮用水水源一级保护区的岸线和河</w:t>
                  </w:r>
                  <w:r>
                    <w:rPr>
                      <w:spacing w:val="16"/>
                      <w:sz w:val="20"/>
                      <w:szCs w:val="20"/>
                    </w:rPr>
                    <w:t xml:space="preserve"> </w:t>
                  </w:r>
                  <w:r>
                    <w:rPr>
                      <w:spacing w:val="9"/>
                      <w:sz w:val="20"/>
                      <w:szCs w:val="20"/>
                    </w:rPr>
                    <w:t>段范围内新建、改建、扩建与供水设施和保</w:t>
                  </w:r>
                  <w:r>
                    <w:rPr>
                      <w:spacing w:val="7"/>
                      <w:sz w:val="20"/>
                      <w:szCs w:val="20"/>
                    </w:rPr>
                    <w:t xml:space="preserve"> </w:t>
                  </w:r>
                  <w:r>
                    <w:rPr>
                      <w:spacing w:val="9"/>
                      <w:sz w:val="20"/>
                      <w:szCs w:val="20"/>
                    </w:rPr>
                    <w:t>护水源无关的项目，以及网箱养殖、畜禽养</w:t>
                  </w:r>
                  <w:r>
                    <w:rPr>
                      <w:spacing w:val="7"/>
                      <w:sz w:val="20"/>
                      <w:szCs w:val="20"/>
                    </w:rPr>
                    <w:t xml:space="preserve"> </w:t>
                  </w:r>
                  <w:r>
                    <w:rPr>
                      <w:spacing w:val="9"/>
                      <w:sz w:val="20"/>
                      <w:szCs w:val="20"/>
                    </w:rPr>
                    <w:t>殖、旅游等可能污染饮用水水体的投资建设</w:t>
                  </w:r>
                  <w:r>
                    <w:rPr>
                      <w:spacing w:val="7"/>
                      <w:sz w:val="20"/>
                      <w:szCs w:val="20"/>
                    </w:rPr>
                    <w:t xml:space="preserve"> </w:t>
                  </w:r>
                  <w:r>
                    <w:rPr>
                      <w:spacing w:val="9"/>
                      <w:sz w:val="20"/>
                      <w:szCs w:val="20"/>
                    </w:rPr>
                    <w:t>项目。禁止在饮用水水源二级保护区的岸线</w:t>
                  </w:r>
                  <w:r>
                    <w:rPr>
                      <w:spacing w:val="7"/>
                      <w:sz w:val="20"/>
                      <w:szCs w:val="20"/>
                    </w:rPr>
                    <w:t xml:space="preserve"> </w:t>
                  </w:r>
                  <w:r>
                    <w:rPr>
                      <w:spacing w:val="9"/>
                      <w:sz w:val="20"/>
                      <w:szCs w:val="20"/>
                    </w:rPr>
                    <w:t>和河段范围内新建、改建、扩建排放污染物</w:t>
                  </w:r>
                </w:p>
                <w:p w14:paraId="642964CF">
                  <w:pPr>
                    <w:pStyle w:val="6"/>
                    <w:spacing w:before="27" w:line="213" w:lineRule="auto"/>
                    <w:ind w:left="1434"/>
                    <w:rPr>
                      <w:sz w:val="20"/>
                      <w:szCs w:val="20"/>
                    </w:rPr>
                  </w:pPr>
                  <w:r>
                    <w:rPr>
                      <w:spacing w:val="5"/>
                      <w:sz w:val="20"/>
                      <w:szCs w:val="20"/>
                    </w:rPr>
                    <w:t>的投资建设项目。</w:t>
                  </w:r>
                </w:p>
              </w:tc>
              <w:tc>
                <w:tcPr>
                  <w:tcW w:w="2547" w:type="dxa"/>
                  <w:vAlign w:val="top"/>
                </w:tcPr>
                <w:p w14:paraId="4AEDDFBA">
                  <w:pPr>
                    <w:spacing w:line="322" w:lineRule="auto"/>
                    <w:rPr>
                      <w:rFonts w:ascii="Arial"/>
                      <w:sz w:val="21"/>
                    </w:rPr>
                  </w:pPr>
                </w:p>
                <w:p w14:paraId="29871389">
                  <w:pPr>
                    <w:spacing w:line="323" w:lineRule="auto"/>
                    <w:rPr>
                      <w:rFonts w:ascii="Arial"/>
                      <w:sz w:val="21"/>
                    </w:rPr>
                  </w:pPr>
                </w:p>
                <w:p w14:paraId="75C9CED7">
                  <w:pPr>
                    <w:pStyle w:val="6"/>
                    <w:spacing w:before="65"/>
                    <w:ind w:left="1070" w:right="116" w:hanging="943"/>
                    <w:rPr>
                      <w:sz w:val="20"/>
                      <w:szCs w:val="20"/>
                    </w:rPr>
                  </w:pPr>
                  <w:r>
                    <w:rPr>
                      <w:spacing w:val="8"/>
                      <w:sz w:val="20"/>
                      <w:szCs w:val="20"/>
                    </w:rPr>
                    <w:t xml:space="preserve">项目不涉及饮用水水源保 </w:t>
                  </w:r>
                  <w:r>
                    <w:rPr>
                      <w:spacing w:val="4"/>
                      <w:sz w:val="20"/>
                      <w:szCs w:val="20"/>
                    </w:rPr>
                    <w:t>护区</w:t>
                  </w:r>
                </w:p>
              </w:tc>
              <w:tc>
                <w:tcPr>
                  <w:tcW w:w="1022" w:type="dxa"/>
                  <w:vAlign w:val="top"/>
                </w:tcPr>
                <w:p w14:paraId="4F5C5C47">
                  <w:pPr>
                    <w:spacing w:line="259" w:lineRule="auto"/>
                    <w:rPr>
                      <w:rFonts w:ascii="Arial"/>
                      <w:sz w:val="21"/>
                    </w:rPr>
                  </w:pPr>
                </w:p>
                <w:p w14:paraId="796AAA61">
                  <w:pPr>
                    <w:spacing w:line="260" w:lineRule="auto"/>
                    <w:rPr>
                      <w:rFonts w:ascii="Arial"/>
                      <w:sz w:val="21"/>
                    </w:rPr>
                  </w:pPr>
                </w:p>
                <w:p w14:paraId="4F8BDAE0">
                  <w:pPr>
                    <w:spacing w:line="260" w:lineRule="auto"/>
                    <w:rPr>
                      <w:rFonts w:ascii="Arial"/>
                      <w:sz w:val="21"/>
                    </w:rPr>
                  </w:pPr>
                </w:p>
                <w:p w14:paraId="2EECFB90">
                  <w:pPr>
                    <w:pStyle w:val="6"/>
                    <w:spacing w:before="65" w:line="228" w:lineRule="auto"/>
                    <w:ind w:left="307"/>
                    <w:rPr>
                      <w:sz w:val="20"/>
                      <w:szCs w:val="20"/>
                    </w:rPr>
                  </w:pPr>
                  <w:r>
                    <w:rPr>
                      <w:spacing w:val="3"/>
                      <w:sz w:val="20"/>
                      <w:szCs w:val="20"/>
                    </w:rPr>
                    <w:t>符合</w:t>
                  </w:r>
                </w:p>
              </w:tc>
            </w:tr>
            <w:tr w14:paraId="1CEBE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4387" w:type="dxa"/>
                  <w:vAlign w:val="top"/>
                </w:tcPr>
                <w:p w14:paraId="58311859">
                  <w:pPr>
                    <w:pStyle w:val="6"/>
                    <w:spacing w:before="37" w:line="242" w:lineRule="auto"/>
                    <w:ind w:left="263" w:right="140" w:firstLine="19"/>
                    <w:jc w:val="both"/>
                    <w:rPr>
                      <w:sz w:val="20"/>
                      <w:szCs w:val="20"/>
                    </w:rPr>
                  </w:pPr>
                  <w:r>
                    <w:rPr>
                      <w:rFonts w:ascii="Times New Roman" w:hAnsi="Times New Roman" w:eastAsia="Times New Roman" w:cs="Times New Roman"/>
                      <w:spacing w:val="9"/>
                      <w:sz w:val="20"/>
                      <w:szCs w:val="20"/>
                    </w:rPr>
                    <w:t>4.</w:t>
                  </w:r>
                  <w:r>
                    <w:rPr>
                      <w:spacing w:val="9"/>
                      <w:sz w:val="20"/>
                      <w:szCs w:val="20"/>
                    </w:rPr>
                    <w:t>禁止在水产种质资源保护区的岸线和河段</w:t>
                  </w:r>
                  <w:r>
                    <w:rPr>
                      <w:spacing w:val="1"/>
                      <w:sz w:val="20"/>
                      <w:szCs w:val="20"/>
                    </w:rPr>
                    <w:t xml:space="preserve"> </w:t>
                  </w:r>
                  <w:r>
                    <w:rPr>
                      <w:spacing w:val="9"/>
                      <w:sz w:val="20"/>
                      <w:szCs w:val="20"/>
                    </w:rPr>
                    <w:t>范围内新建围湖造田、围海造地或围填海等</w:t>
                  </w:r>
                  <w:r>
                    <w:rPr>
                      <w:spacing w:val="6"/>
                      <w:sz w:val="20"/>
                      <w:szCs w:val="20"/>
                    </w:rPr>
                    <w:t xml:space="preserve"> </w:t>
                  </w:r>
                  <w:r>
                    <w:rPr>
                      <w:spacing w:val="9"/>
                      <w:sz w:val="20"/>
                      <w:szCs w:val="20"/>
                    </w:rPr>
                    <w:t>投资建设项目。禁止在国家湿地公园的岸线</w:t>
                  </w:r>
                </w:p>
              </w:tc>
              <w:tc>
                <w:tcPr>
                  <w:tcW w:w="2547" w:type="dxa"/>
                  <w:vAlign w:val="top"/>
                </w:tcPr>
                <w:p w14:paraId="12E17EF9">
                  <w:pPr>
                    <w:pStyle w:val="6"/>
                    <w:spacing w:before="172"/>
                    <w:ind w:left="230" w:right="116" w:hanging="103"/>
                    <w:rPr>
                      <w:sz w:val="20"/>
                      <w:szCs w:val="20"/>
                    </w:rPr>
                  </w:pPr>
                  <w:r>
                    <w:rPr>
                      <w:spacing w:val="8"/>
                      <w:sz w:val="20"/>
                      <w:szCs w:val="20"/>
                    </w:rPr>
                    <w:t>项目不涉及水产种质资源 保护区及国家湿地公园</w:t>
                  </w:r>
                </w:p>
              </w:tc>
              <w:tc>
                <w:tcPr>
                  <w:tcW w:w="1022" w:type="dxa"/>
                  <w:vAlign w:val="top"/>
                </w:tcPr>
                <w:p w14:paraId="076763A0">
                  <w:pPr>
                    <w:spacing w:line="241" w:lineRule="auto"/>
                    <w:rPr>
                      <w:rFonts w:ascii="Arial"/>
                      <w:sz w:val="21"/>
                    </w:rPr>
                  </w:pPr>
                </w:p>
                <w:p w14:paraId="5805C813">
                  <w:pPr>
                    <w:pStyle w:val="6"/>
                    <w:spacing w:before="65" w:line="228" w:lineRule="auto"/>
                    <w:ind w:left="307"/>
                    <w:rPr>
                      <w:sz w:val="20"/>
                      <w:szCs w:val="20"/>
                    </w:rPr>
                  </w:pPr>
                  <w:r>
                    <w:rPr>
                      <w:spacing w:val="3"/>
                      <w:sz w:val="20"/>
                      <w:szCs w:val="20"/>
                    </w:rPr>
                    <w:t>符合</w:t>
                  </w:r>
                </w:p>
              </w:tc>
            </w:tr>
          </w:tbl>
          <w:p w14:paraId="11E0C499">
            <w:pPr>
              <w:spacing w:line="14" w:lineRule="auto"/>
              <w:rPr>
                <w:rFonts w:ascii="Arial"/>
                <w:sz w:val="2"/>
              </w:rPr>
            </w:pPr>
          </w:p>
        </w:tc>
      </w:tr>
    </w:tbl>
    <w:p w14:paraId="25E5CDE5">
      <w:pPr>
        <w:rPr>
          <w:rFonts w:ascii="Arial"/>
          <w:sz w:val="21"/>
        </w:rPr>
      </w:pPr>
    </w:p>
    <w:p w14:paraId="43D5808E">
      <w:pPr>
        <w:rPr>
          <w:rFonts w:ascii="Arial" w:hAnsi="Arial" w:eastAsia="Arial" w:cs="Arial"/>
          <w:sz w:val="21"/>
          <w:szCs w:val="21"/>
        </w:rPr>
        <w:sectPr>
          <w:footerReference r:id="rId24" w:type="default"/>
          <w:pgSz w:w="11906" w:h="16839"/>
          <w:pgMar w:top="1431" w:right="1407" w:bottom="1278" w:left="1407" w:header="0" w:footer="1116" w:gutter="0"/>
          <w:cols w:space="720" w:num="1"/>
        </w:sectPr>
      </w:pPr>
    </w:p>
    <w:p w14:paraId="1337A72B">
      <w:pPr>
        <w:spacing w:line="99" w:lineRule="exact"/>
      </w:pPr>
    </w:p>
    <w:tbl>
      <w:tblPr>
        <w:tblStyle w:val="5"/>
        <w:tblW w:w="9076"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6EE613F2">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405" w:hRule="atLeast"/>
        </w:trPr>
        <w:tc>
          <w:tcPr>
            <w:tcW w:w="9076" w:type="dxa"/>
            <w:vAlign w:val="top"/>
          </w:tcPr>
          <w:p w14:paraId="68735489">
            <w:pPr>
              <w:spacing w:line="96" w:lineRule="auto"/>
              <w:rPr>
                <w:rFonts w:ascii="Arial"/>
                <w:sz w:val="2"/>
              </w:rPr>
            </w:pPr>
            <w:r>
              <w:pict>
                <v:shape id="_x0000_s1035" o:spid="_x0000_s1035" style="position:absolute;left:0pt;margin-left:55.85pt;margin-top:1.25pt;height:439.75pt;width:0.5pt;mso-position-horizontal-relative:page;mso-position-vertical-relative:page;z-index:251670528;mso-width-relative:page;mso-height-relative:page;" filled="f" stroked="t" coordsize="10,8795" path="m4,0l4,8795e">
                  <v:fill on="f" focussize="0,0"/>
                  <v:stroke weight="0.48pt" color="#000000" miterlimit="2" joinstyle="bevel"/>
                  <v:imagedata o:title=""/>
                  <o:lock v:ext="edit"/>
                </v:shape>
              </w:pict>
            </w:r>
          </w:p>
          <w:tbl>
            <w:tblPr>
              <w:tblStyle w:val="5"/>
              <w:tblW w:w="7956"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82"/>
              <w:gridCol w:w="2547"/>
              <w:gridCol w:w="178"/>
              <w:gridCol w:w="849"/>
            </w:tblGrid>
            <w:tr w14:paraId="180EE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4382" w:type="dxa"/>
                  <w:tcBorders>
                    <w:top w:val="nil"/>
                  </w:tcBorders>
                  <w:vAlign w:val="top"/>
                </w:tcPr>
                <w:p w14:paraId="55F70FB2">
                  <w:pPr>
                    <w:pStyle w:val="6"/>
                    <w:spacing w:before="46" w:line="235" w:lineRule="auto"/>
                    <w:ind w:left="787" w:right="135" w:hanging="526"/>
                    <w:rPr>
                      <w:sz w:val="20"/>
                      <w:szCs w:val="20"/>
                    </w:rPr>
                  </w:pPr>
                  <w:r>
                    <w:rPr>
                      <w:spacing w:val="7"/>
                      <w:sz w:val="20"/>
                      <w:szCs w:val="20"/>
                    </w:rPr>
                    <w:t>和河段范围内挖沙、采矿，</w:t>
                  </w:r>
                  <w:r>
                    <w:rPr>
                      <w:spacing w:val="-55"/>
                      <w:sz w:val="20"/>
                      <w:szCs w:val="20"/>
                    </w:rPr>
                    <w:t xml:space="preserve"> </w:t>
                  </w:r>
                  <w:r>
                    <w:rPr>
                      <w:spacing w:val="7"/>
                      <w:sz w:val="20"/>
                      <w:szCs w:val="20"/>
                    </w:rPr>
                    <w:t>以及任何不符合</w:t>
                  </w:r>
                  <w:r>
                    <w:rPr>
                      <w:sz w:val="20"/>
                      <w:szCs w:val="20"/>
                    </w:rPr>
                    <w:t xml:space="preserve"> </w:t>
                  </w:r>
                  <w:r>
                    <w:rPr>
                      <w:spacing w:val="8"/>
                      <w:sz w:val="20"/>
                      <w:szCs w:val="20"/>
                    </w:rPr>
                    <w:t>主体功能定位的投资建设项目。</w:t>
                  </w:r>
                </w:p>
              </w:tc>
              <w:tc>
                <w:tcPr>
                  <w:tcW w:w="2547" w:type="dxa"/>
                  <w:tcBorders>
                    <w:top w:val="nil"/>
                  </w:tcBorders>
                  <w:vAlign w:val="top"/>
                </w:tcPr>
                <w:p w14:paraId="39DD3954">
                  <w:pPr>
                    <w:rPr>
                      <w:rFonts w:ascii="Arial"/>
                      <w:sz w:val="21"/>
                    </w:rPr>
                  </w:pPr>
                </w:p>
              </w:tc>
              <w:tc>
                <w:tcPr>
                  <w:tcW w:w="1027" w:type="dxa"/>
                  <w:gridSpan w:val="2"/>
                  <w:tcBorders>
                    <w:top w:val="nil"/>
                  </w:tcBorders>
                  <w:vAlign w:val="top"/>
                </w:tcPr>
                <w:p w14:paraId="690CEA8B">
                  <w:pPr>
                    <w:rPr>
                      <w:rFonts w:ascii="Arial"/>
                      <w:sz w:val="21"/>
                    </w:rPr>
                  </w:pPr>
                </w:p>
              </w:tc>
            </w:tr>
            <w:tr w14:paraId="1A47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4382" w:type="dxa"/>
                  <w:vAlign w:val="top"/>
                </w:tcPr>
                <w:p w14:paraId="16351650">
                  <w:pPr>
                    <w:pStyle w:val="6"/>
                    <w:spacing w:before="30" w:line="248" w:lineRule="auto"/>
                    <w:ind w:left="259" w:right="101" w:hanging="28"/>
                    <w:rPr>
                      <w:sz w:val="20"/>
                      <w:szCs w:val="20"/>
                    </w:rPr>
                  </w:pPr>
                  <w:r>
                    <w:rPr>
                      <w:rFonts w:ascii="Times New Roman" w:hAnsi="Times New Roman" w:eastAsia="Times New Roman" w:cs="Times New Roman"/>
                      <w:spacing w:val="4"/>
                      <w:sz w:val="20"/>
                      <w:szCs w:val="20"/>
                    </w:rPr>
                    <w:t>5.</w:t>
                  </w:r>
                  <w:r>
                    <w:rPr>
                      <w:spacing w:val="4"/>
                      <w:sz w:val="20"/>
                      <w:szCs w:val="20"/>
                    </w:rPr>
                    <w:t>禁止违法利用、占用长江流域河湖岸线。禁</w:t>
                  </w:r>
                  <w:r>
                    <w:rPr>
                      <w:spacing w:val="8"/>
                      <w:sz w:val="20"/>
                      <w:szCs w:val="20"/>
                    </w:rPr>
                    <w:t xml:space="preserve"> 止在《长江岸线保护和开发利用总体规划》</w:t>
                  </w:r>
                  <w:r>
                    <w:rPr>
                      <w:spacing w:val="15"/>
                      <w:sz w:val="20"/>
                      <w:szCs w:val="20"/>
                    </w:rPr>
                    <w:t xml:space="preserve"> </w:t>
                  </w:r>
                  <w:r>
                    <w:rPr>
                      <w:spacing w:val="9"/>
                      <w:sz w:val="20"/>
                      <w:szCs w:val="20"/>
                    </w:rPr>
                    <w:t>划定的岸线保护区和保留区内投资建设除事 关公共安全及公众利益的防洪护岸、河道治 理、供水、生态环境保护、航道整治、国家 重要基础设施以外的项目。禁止在《全国重 要江河湖泊水功能区划》划定的河段及湖泊</w:t>
                  </w:r>
                </w:p>
                <w:p w14:paraId="7BD5332D">
                  <w:pPr>
                    <w:pStyle w:val="6"/>
                    <w:spacing w:before="24" w:line="228" w:lineRule="auto"/>
                    <w:ind w:left="261"/>
                    <w:rPr>
                      <w:sz w:val="20"/>
                      <w:szCs w:val="20"/>
                    </w:rPr>
                  </w:pPr>
                  <w:r>
                    <w:rPr>
                      <w:spacing w:val="9"/>
                      <w:sz w:val="20"/>
                      <w:szCs w:val="20"/>
                    </w:rPr>
                    <w:t>保护区、保留区内投资建设不利于水资源及</w:t>
                  </w:r>
                </w:p>
                <w:p w14:paraId="5F724A47">
                  <w:pPr>
                    <w:pStyle w:val="6"/>
                    <w:spacing w:before="26" w:line="218" w:lineRule="auto"/>
                    <w:ind w:left="1240"/>
                    <w:rPr>
                      <w:sz w:val="20"/>
                      <w:szCs w:val="20"/>
                    </w:rPr>
                  </w:pPr>
                  <w:r>
                    <w:rPr>
                      <w:spacing w:val="4"/>
                      <w:sz w:val="20"/>
                      <w:szCs w:val="20"/>
                    </w:rPr>
                    <w:t>自然生态保护的项目。</w:t>
                  </w:r>
                </w:p>
              </w:tc>
              <w:tc>
                <w:tcPr>
                  <w:tcW w:w="2547" w:type="dxa"/>
                  <w:vAlign w:val="top"/>
                </w:tcPr>
                <w:p w14:paraId="1FF43BA0">
                  <w:pPr>
                    <w:spacing w:line="371" w:lineRule="auto"/>
                    <w:rPr>
                      <w:rFonts w:ascii="Arial"/>
                      <w:sz w:val="21"/>
                    </w:rPr>
                  </w:pPr>
                </w:p>
                <w:p w14:paraId="03BD3C04">
                  <w:pPr>
                    <w:pStyle w:val="6"/>
                    <w:spacing w:before="65" w:line="228" w:lineRule="auto"/>
                    <w:ind w:left="132"/>
                    <w:rPr>
                      <w:sz w:val="20"/>
                      <w:szCs w:val="20"/>
                    </w:rPr>
                  </w:pPr>
                  <w:r>
                    <w:rPr>
                      <w:spacing w:val="8"/>
                      <w:sz w:val="20"/>
                      <w:szCs w:val="20"/>
                    </w:rPr>
                    <w:t>项目不在《长江岸线保护</w:t>
                  </w:r>
                </w:p>
                <w:p w14:paraId="4E0FD922">
                  <w:pPr>
                    <w:pStyle w:val="6"/>
                    <w:spacing w:before="26" w:line="228" w:lineRule="auto"/>
                    <w:ind w:left="130"/>
                    <w:rPr>
                      <w:sz w:val="20"/>
                      <w:szCs w:val="20"/>
                    </w:rPr>
                  </w:pPr>
                  <w:r>
                    <w:rPr>
                      <w:spacing w:val="9"/>
                      <w:sz w:val="20"/>
                      <w:szCs w:val="20"/>
                    </w:rPr>
                    <w:t>和开发利用总体规划》划</w:t>
                  </w:r>
                </w:p>
                <w:p w14:paraId="62F0B83E">
                  <w:pPr>
                    <w:pStyle w:val="6"/>
                    <w:spacing w:before="24" w:line="228" w:lineRule="auto"/>
                    <w:ind w:left="134"/>
                    <w:rPr>
                      <w:sz w:val="20"/>
                      <w:szCs w:val="20"/>
                    </w:rPr>
                  </w:pPr>
                  <w:r>
                    <w:rPr>
                      <w:spacing w:val="8"/>
                      <w:sz w:val="20"/>
                      <w:szCs w:val="20"/>
                    </w:rPr>
                    <w:t>定的岸线保护区和保留区</w:t>
                  </w:r>
                </w:p>
                <w:p w14:paraId="595AE622">
                  <w:pPr>
                    <w:pStyle w:val="6"/>
                    <w:spacing w:before="25" w:line="228" w:lineRule="auto"/>
                    <w:ind w:left="154"/>
                    <w:rPr>
                      <w:sz w:val="20"/>
                      <w:szCs w:val="20"/>
                    </w:rPr>
                  </w:pPr>
                  <w:r>
                    <w:rPr>
                      <w:spacing w:val="6"/>
                      <w:sz w:val="20"/>
                      <w:szCs w:val="20"/>
                    </w:rPr>
                    <w:t>内，不在《全国重要江河</w:t>
                  </w:r>
                </w:p>
                <w:p w14:paraId="7C928425">
                  <w:pPr>
                    <w:pStyle w:val="6"/>
                    <w:spacing w:before="24" w:line="228" w:lineRule="auto"/>
                    <w:ind w:left="128"/>
                    <w:rPr>
                      <w:sz w:val="20"/>
                      <w:szCs w:val="20"/>
                    </w:rPr>
                  </w:pPr>
                  <w:r>
                    <w:rPr>
                      <w:spacing w:val="9"/>
                      <w:sz w:val="20"/>
                      <w:szCs w:val="20"/>
                    </w:rPr>
                    <w:t>湖泊水功能区划》划定的</w:t>
                  </w:r>
                </w:p>
                <w:p w14:paraId="2A777283">
                  <w:pPr>
                    <w:pStyle w:val="6"/>
                    <w:spacing w:before="24" w:line="228" w:lineRule="auto"/>
                    <w:ind w:left="234"/>
                    <w:rPr>
                      <w:sz w:val="20"/>
                      <w:szCs w:val="20"/>
                    </w:rPr>
                  </w:pPr>
                  <w:r>
                    <w:rPr>
                      <w:spacing w:val="9"/>
                      <w:sz w:val="20"/>
                      <w:szCs w:val="20"/>
                    </w:rPr>
                    <w:t>河段保护区、保留区内</w:t>
                  </w:r>
                </w:p>
              </w:tc>
              <w:tc>
                <w:tcPr>
                  <w:tcW w:w="1027" w:type="dxa"/>
                  <w:gridSpan w:val="2"/>
                  <w:vAlign w:val="top"/>
                </w:tcPr>
                <w:p w14:paraId="28F59275">
                  <w:pPr>
                    <w:spacing w:line="262" w:lineRule="auto"/>
                    <w:rPr>
                      <w:rFonts w:ascii="Arial"/>
                      <w:sz w:val="21"/>
                    </w:rPr>
                  </w:pPr>
                </w:p>
                <w:p w14:paraId="23934152">
                  <w:pPr>
                    <w:spacing w:line="262" w:lineRule="auto"/>
                    <w:rPr>
                      <w:rFonts w:ascii="Arial"/>
                      <w:sz w:val="21"/>
                    </w:rPr>
                  </w:pPr>
                </w:p>
                <w:p w14:paraId="5D968CAF">
                  <w:pPr>
                    <w:spacing w:line="262" w:lineRule="auto"/>
                    <w:rPr>
                      <w:rFonts w:ascii="Arial"/>
                      <w:sz w:val="21"/>
                    </w:rPr>
                  </w:pPr>
                </w:p>
                <w:p w14:paraId="28BFDA80">
                  <w:pPr>
                    <w:spacing w:line="262" w:lineRule="auto"/>
                    <w:rPr>
                      <w:rFonts w:ascii="Arial"/>
                      <w:sz w:val="21"/>
                    </w:rPr>
                  </w:pPr>
                </w:p>
                <w:p w14:paraId="1C050784">
                  <w:pPr>
                    <w:pStyle w:val="6"/>
                    <w:spacing w:before="65" w:line="228" w:lineRule="auto"/>
                    <w:ind w:left="312"/>
                    <w:rPr>
                      <w:sz w:val="20"/>
                      <w:szCs w:val="20"/>
                    </w:rPr>
                  </w:pPr>
                  <w:r>
                    <w:rPr>
                      <w:spacing w:val="3"/>
                      <w:sz w:val="20"/>
                      <w:szCs w:val="20"/>
                    </w:rPr>
                    <w:t>符合</w:t>
                  </w:r>
                </w:p>
              </w:tc>
            </w:tr>
            <w:tr w14:paraId="30FEC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382" w:type="dxa"/>
                  <w:vAlign w:val="top"/>
                </w:tcPr>
                <w:p w14:paraId="19BF7B0C">
                  <w:pPr>
                    <w:pStyle w:val="6"/>
                    <w:spacing w:before="167"/>
                    <w:ind w:left="1420" w:right="101" w:hanging="1190"/>
                    <w:rPr>
                      <w:sz w:val="20"/>
                      <w:szCs w:val="20"/>
                    </w:rPr>
                  </w:pPr>
                  <w:r>
                    <w:rPr>
                      <w:rFonts w:ascii="Times New Roman" w:hAnsi="Times New Roman" w:eastAsia="Times New Roman" w:cs="Times New Roman"/>
                      <w:spacing w:val="4"/>
                      <w:sz w:val="20"/>
                      <w:szCs w:val="20"/>
                    </w:rPr>
                    <w:t>6.</w:t>
                  </w:r>
                  <w:r>
                    <w:rPr>
                      <w:spacing w:val="4"/>
                      <w:sz w:val="20"/>
                      <w:szCs w:val="20"/>
                    </w:rPr>
                    <w:t>禁止未经许可在长江干支流及湖泊新设、改</w:t>
                  </w:r>
                  <w:r>
                    <w:rPr>
                      <w:spacing w:val="9"/>
                      <w:sz w:val="20"/>
                      <w:szCs w:val="20"/>
                    </w:rPr>
                    <w:t xml:space="preserve"> </w:t>
                  </w:r>
                  <w:r>
                    <w:rPr>
                      <w:spacing w:val="7"/>
                      <w:sz w:val="20"/>
                      <w:szCs w:val="20"/>
                    </w:rPr>
                    <w:t>设或扩大排污口。</w:t>
                  </w:r>
                </w:p>
              </w:tc>
              <w:tc>
                <w:tcPr>
                  <w:tcW w:w="2547" w:type="dxa"/>
                  <w:vAlign w:val="top"/>
                </w:tcPr>
                <w:p w14:paraId="6F38C03E">
                  <w:pPr>
                    <w:pStyle w:val="6"/>
                    <w:spacing w:before="32" w:line="227" w:lineRule="auto"/>
                    <w:ind w:left="130"/>
                    <w:rPr>
                      <w:sz w:val="20"/>
                      <w:szCs w:val="20"/>
                    </w:rPr>
                  </w:pPr>
                  <w:r>
                    <w:rPr>
                      <w:spacing w:val="9"/>
                      <w:sz w:val="20"/>
                      <w:szCs w:val="20"/>
                    </w:rPr>
                    <w:t>本项目所在区域不涉及长</w:t>
                  </w:r>
                </w:p>
                <w:p w14:paraId="77D7F380">
                  <w:pPr>
                    <w:pStyle w:val="6"/>
                    <w:spacing w:before="25" w:line="227" w:lineRule="auto"/>
                    <w:ind w:left="130"/>
                    <w:rPr>
                      <w:sz w:val="20"/>
                      <w:szCs w:val="20"/>
                    </w:rPr>
                  </w:pPr>
                  <w:r>
                    <w:rPr>
                      <w:spacing w:val="9"/>
                      <w:sz w:val="20"/>
                      <w:szCs w:val="20"/>
                    </w:rPr>
                    <w:t>江干支流及湖泊新设、改</w:t>
                  </w:r>
                </w:p>
                <w:p w14:paraId="70159013">
                  <w:pPr>
                    <w:pStyle w:val="6"/>
                    <w:spacing w:before="25" w:line="219" w:lineRule="auto"/>
                    <w:ind w:left="552"/>
                    <w:rPr>
                      <w:sz w:val="20"/>
                      <w:szCs w:val="20"/>
                    </w:rPr>
                  </w:pPr>
                  <w:r>
                    <w:rPr>
                      <w:spacing w:val="8"/>
                      <w:sz w:val="20"/>
                      <w:szCs w:val="20"/>
                    </w:rPr>
                    <w:t>设或扩大排污口</w:t>
                  </w:r>
                </w:p>
              </w:tc>
              <w:tc>
                <w:tcPr>
                  <w:tcW w:w="1027" w:type="dxa"/>
                  <w:gridSpan w:val="2"/>
                  <w:vAlign w:val="top"/>
                </w:tcPr>
                <w:p w14:paraId="3CB6CA44">
                  <w:pPr>
                    <w:pStyle w:val="6"/>
                    <w:spacing w:before="303" w:line="228" w:lineRule="auto"/>
                    <w:ind w:left="312"/>
                    <w:rPr>
                      <w:sz w:val="20"/>
                      <w:szCs w:val="20"/>
                    </w:rPr>
                  </w:pPr>
                  <w:r>
                    <w:rPr>
                      <w:spacing w:val="3"/>
                      <w:sz w:val="20"/>
                      <w:szCs w:val="20"/>
                    </w:rPr>
                    <w:t>符合</w:t>
                  </w:r>
                </w:p>
              </w:tc>
            </w:tr>
            <w:tr w14:paraId="2035B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2" w:type="dxa"/>
                  <w:vAlign w:val="top"/>
                </w:tcPr>
                <w:p w14:paraId="531710AC">
                  <w:pPr>
                    <w:pStyle w:val="6"/>
                    <w:spacing w:before="30" w:line="235" w:lineRule="auto"/>
                    <w:ind w:left="787" w:right="135" w:hanging="527"/>
                    <w:rPr>
                      <w:sz w:val="20"/>
                      <w:szCs w:val="20"/>
                    </w:rPr>
                  </w:pPr>
                  <w:r>
                    <w:rPr>
                      <w:rFonts w:ascii="Times New Roman" w:hAnsi="Times New Roman" w:eastAsia="Times New Roman" w:cs="Times New Roman"/>
                      <w:spacing w:val="6"/>
                      <w:sz w:val="20"/>
                      <w:szCs w:val="20"/>
                    </w:rPr>
                    <w:t>7.</w:t>
                  </w:r>
                  <w:r>
                    <w:rPr>
                      <w:spacing w:val="6"/>
                      <w:sz w:val="20"/>
                      <w:szCs w:val="20"/>
                    </w:rPr>
                    <w:t>禁止在“一江一口两湖七河</w:t>
                  </w:r>
                  <w:r>
                    <w:rPr>
                      <w:spacing w:val="-58"/>
                      <w:sz w:val="20"/>
                      <w:szCs w:val="20"/>
                    </w:rPr>
                    <w:t xml:space="preserve"> </w:t>
                  </w:r>
                  <w:r>
                    <w:rPr>
                      <w:spacing w:val="6"/>
                      <w:sz w:val="20"/>
                      <w:szCs w:val="20"/>
                    </w:rPr>
                    <w:t xml:space="preserve">”和 </w:t>
                  </w:r>
                  <w:r>
                    <w:rPr>
                      <w:rFonts w:ascii="Times New Roman" w:hAnsi="Times New Roman" w:eastAsia="Times New Roman" w:cs="Times New Roman"/>
                      <w:spacing w:val="6"/>
                      <w:sz w:val="20"/>
                      <w:szCs w:val="20"/>
                    </w:rPr>
                    <w:t xml:space="preserve">332 </w:t>
                  </w:r>
                  <w:r>
                    <w:rPr>
                      <w:spacing w:val="6"/>
                      <w:sz w:val="20"/>
                      <w:szCs w:val="20"/>
                    </w:rPr>
                    <w:t>个水</w:t>
                  </w:r>
                  <w:r>
                    <w:rPr>
                      <w:sz w:val="20"/>
                      <w:szCs w:val="20"/>
                    </w:rPr>
                    <w:t xml:space="preserve"> </w:t>
                  </w:r>
                  <w:r>
                    <w:rPr>
                      <w:spacing w:val="8"/>
                      <w:sz w:val="20"/>
                      <w:szCs w:val="20"/>
                    </w:rPr>
                    <w:t>生生物保护区开展生产性捕捞。</w:t>
                  </w:r>
                </w:p>
              </w:tc>
              <w:tc>
                <w:tcPr>
                  <w:tcW w:w="2547" w:type="dxa"/>
                  <w:vAlign w:val="top"/>
                </w:tcPr>
                <w:p w14:paraId="6AC4391B">
                  <w:pPr>
                    <w:pStyle w:val="6"/>
                    <w:spacing w:before="30" w:line="235" w:lineRule="auto"/>
                    <w:ind w:left="1179" w:right="111" w:hanging="1049"/>
                    <w:rPr>
                      <w:sz w:val="20"/>
                      <w:szCs w:val="20"/>
                    </w:rPr>
                  </w:pPr>
                  <w:r>
                    <w:rPr>
                      <w:spacing w:val="9"/>
                      <w:sz w:val="20"/>
                      <w:szCs w:val="20"/>
                    </w:rPr>
                    <w:t>本项目不涉及水生生物捕</w:t>
                  </w:r>
                  <w:r>
                    <w:rPr>
                      <w:sz w:val="20"/>
                      <w:szCs w:val="20"/>
                    </w:rPr>
                    <w:t xml:space="preserve"> </w:t>
                  </w:r>
                  <w:r>
                    <w:rPr>
                      <w:spacing w:val="1"/>
                      <w:sz w:val="20"/>
                      <w:szCs w:val="20"/>
                    </w:rPr>
                    <w:t>捞</w:t>
                  </w:r>
                </w:p>
              </w:tc>
              <w:tc>
                <w:tcPr>
                  <w:tcW w:w="1027" w:type="dxa"/>
                  <w:gridSpan w:val="2"/>
                  <w:vAlign w:val="top"/>
                </w:tcPr>
                <w:p w14:paraId="32C94666">
                  <w:pPr>
                    <w:pStyle w:val="6"/>
                    <w:spacing w:before="164" w:line="228" w:lineRule="auto"/>
                    <w:ind w:left="312"/>
                    <w:rPr>
                      <w:sz w:val="20"/>
                      <w:szCs w:val="20"/>
                    </w:rPr>
                  </w:pPr>
                  <w:r>
                    <w:rPr>
                      <w:spacing w:val="3"/>
                      <w:sz w:val="20"/>
                      <w:szCs w:val="20"/>
                    </w:rPr>
                    <w:t>符合</w:t>
                  </w:r>
                </w:p>
              </w:tc>
            </w:tr>
            <w:tr w14:paraId="3FEAE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4382" w:type="dxa"/>
                  <w:vAlign w:val="top"/>
                </w:tcPr>
                <w:p w14:paraId="70BFF218">
                  <w:pPr>
                    <w:pStyle w:val="6"/>
                    <w:spacing w:before="32" w:line="246" w:lineRule="auto"/>
                    <w:ind w:left="259" w:right="101" w:hanging="25"/>
                    <w:rPr>
                      <w:sz w:val="20"/>
                      <w:szCs w:val="20"/>
                    </w:rPr>
                  </w:pPr>
                  <w:r>
                    <w:rPr>
                      <w:rFonts w:ascii="Times New Roman" w:hAnsi="Times New Roman" w:eastAsia="Times New Roman" w:cs="Times New Roman"/>
                      <w:spacing w:val="4"/>
                      <w:sz w:val="20"/>
                      <w:szCs w:val="20"/>
                    </w:rPr>
                    <w:t>8.</w:t>
                  </w:r>
                  <w:r>
                    <w:rPr>
                      <w:spacing w:val="4"/>
                      <w:sz w:val="20"/>
                      <w:szCs w:val="20"/>
                    </w:rPr>
                    <w:t>禁止在长江干支流、重要湖泊岸线一公里范</w:t>
                  </w:r>
                  <w:r>
                    <w:rPr>
                      <w:spacing w:val="5"/>
                      <w:sz w:val="20"/>
                      <w:szCs w:val="20"/>
                    </w:rPr>
                    <w:t xml:space="preserve"> </w:t>
                  </w:r>
                  <w:r>
                    <w:rPr>
                      <w:spacing w:val="9"/>
                      <w:sz w:val="20"/>
                      <w:szCs w:val="20"/>
                    </w:rPr>
                    <w:t xml:space="preserve">围内新建、扩建化工园区和化工项目。禁止 在长江干流岸线三公里范围内和重要支流岸 </w:t>
                  </w:r>
                  <w:r>
                    <w:rPr>
                      <w:spacing w:val="10"/>
                      <w:sz w:val="20"/>
                      <w:szCs w:val="20"/>
                    </w:rPr>
                    <w:t>线一公里范围内新建、改建、扩建尾矿库、</w:t>
                  </w:r>
                  <w:r>
                    <w:rPr>
                      <w:spacing w:val="4"/>
                      <w:sz w:val="20"/>
                      <w:szCs w:val="20"/>
                    </w:rPr>
                    <w:t xml:space="preserve"> </w:t>
                  </w:r>
                  <w:r>
                    <w:rPr>
                      <w:spacing w:val="7"/>
                      <w:sz w:val="20"/>
                      <w:szCs w:val="20"/>
                    </w:rPr>
                    <w:t>冶炼渣库和磷石膏库，</w:t>
                  </w:r>
                  <w:r>
                    <w:rPr>
                      <w:spacing w:val="-53"/>
                      <w:sz w:val="20"/>
                      <w:szCs w:val="20"/>
                    </w:rPr>
                    <w:t xml:space="preserve"> </w:t>
                  </w:r>
                  <w:r>
                    <w:rPr>
                      <w:spacing w:val="7"/>
                      <w:sz w:val="20"/>
                      <w:szCs w:val="20"/>
                    </w:rPr>
                    <w:t>以提升安全、生态环</w:t>
                  </w:r>
                </w:p>
                <w:p w14:paraId="7561C191">
                  <w:pPr>
                    <w:pStyle w:val="6"/>
                    <w:spacing w:before="27" w:line="218" w:lineRule="auto"/>
                    <w:ind w:left="787"/>
                    <w:rPr>
                      <w:sz w:val="20"/>
                      <w:szCs w:val="20"/>
                    </w:rPr>
                  </w:pPr>
                  <w:r>
                    <w:rPr>
                      <w:spacing w:val="8"/>
                      <w:sz w:val="20"/>
                      <w:szCs w:val="20"/>
                    </w:rPr>
                    <w:t>境保护水平为目的的改建除外。</w:t>
                  </w:r>
                </w:p>
              </w:tc>
              <w:tc>
                <w:tcPr>
                  <w:tcW w:w="2547" w:type="dxa"/>
                  <w:vAlign w:val="top"/>
                </w:tcPr>
                <w:p w14:paraId="385B47C0">
                  <w:pPr>
                    <w:pStyle w:val="6"/>
                    <w:spacing w:before="303" w:line="227" w:lineRule="auto"/>
                    <w:ind w:left="130"/>
                    <w:rPr>
                      <w:sz w:val="20"/>
                      <w:szCs w:val="20"/>
                    </w:rPr>
                  </w:pPr>
                  <w:r>
                    <w:rPr>
                      <w:spacing w:val="9"/>
                      <w:sz w:val="20"/>
                      <w:szCs w:val="20"/>
                    </w:rPr>
                    <w:t>本项目不属于新建、扩建</w:t>
                  </w:r>
                </w:p>
                <w:p w14:paraId="60BD839C">
                  <w:pPr>
                    <w:pStyle w:val="6"/>
                    <w:spacing w:before="25" w:line="228" w:lineRule="auto"/>
                    <w:ind w:left="130"/>
                    <w:rPr>
                      <w:sz w:val="20"/>
                      <w:szCs w:val="20"/>
                    </w:rPr>
                  </w:pPr>
                  <w:r>
                    <w:rPr>
                      <w:spacing w:val="9"/>
                      <w:sz w:val="20"/>
                      <w:szCs w:val="20"/>
                    </w:rPr>
                    <w:t>化工园区和化工项目，不</w:t>
                  </w:r>
                </w:p>
                <w:p w14:paraId="070A434F">
                  <w:pPr>
                    <w:pStyle w:val="6"/>
                    <w:spacing w:before="23" w:line="228" w:lineRule="auto"/>
                    <w:ind w:left="131"/>
                    <w:rPr>
                      <w:sz w:val="20"/>
                      <w:szCs w:val="20"/>
                    </w:rPr>
                  </w:pPr>
                  <w:r>
                    <w:rPr>
                      <w:spacing w:val="9"/>
                      <w:sz w:val="20"/>
                      <w:szCs w:val="20"/>
                    </w:rPr>
                    <w:t>属于尾矿库、冶炼渣库和</w:t>
                  </w:r>
                </w:p>
                <w:p w14:paraId="6CE5D6F3">
                  <w:pPr>
                    <w:pStyle w:val="6"/>
                    <w:spacing w:before="26" w:line="227" w:lineRule="auto"/>
                    <w:ind w:left="654"/>
                    <w:rPr>
                      <w:sz w:val="20"/>
                      <w:szCs w:val="20"/>
                    </w:rPr>
                  </w:pPr>
                  <w:r>
                    <w:rPr>
                      <w:spacing w:val="8"/>
                      <w:sz w:val="20"/>
                      <w:szCs w:val="20"/>
                    </w:rPr>
                    <w:t>磷石膏库项目</w:t>
                  </w:r>
                </w:p>
              </w:tc>
              <w:tc>
                <w:tcPr>
                  <w:tcW w:w="1027" w:type="dxa"/>
                  <w:gridSpan w:val="2"/>
                  <w:vAlign w:val="top"/>
                </w:tcPr>
                <w:p w14:paraId="35AC6BD7">
                  <w:pPr>
                    <w:spacing w:line="321" w:lineRule="auto"/>
                    <w:rPr>
                      <w:rFonts w:ascii="Arial"/>
                      <w:sz w:val="21"/>
                    </w:rPr>
                  </w:pPr>
                </w:p>
                <w:p w14:paraId="79EA7ACF">
                  <w:pPr>
                    <w:spacing w:line="321" w:lineRule="auto"/>
                    <w:rPr>
                      <w:rFonts w:ascii="Arial"/>
                      <w:sz w:val="21"/>
                    </w:rPr>
                  </w:pPr>
                </w:p>
                <w:p w14:paraId="340A47C7">
                  <w:pPr>
                    <w:pStyle w:val="6"/>
                    <w:spacing w:before="65" w:line="228" w:lineRule="auto"/>
                    <w:ind w:left="312"/>
                    <w:rPr>
                      <w:sz w:val="20"/>
                      <w:szCs w:val="20"/>
                    </w:rPr>
                  </w:pPr>
                  <w:r>
                    <w:rPr>
                      <w:spacing w:val="3"/>
                      <w:sz w:val="20"/>
                      <w:szCs w:val="20"/>
                    </w:rPr>
                    <w:t>符合</w:t>
                  </w:r>
                </w:p>
              </w:tc>
            </w:tr>
            <w:tr w14:paraId="60A00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382" w:type="dxa"/>
                  <w:vAlign w:val="top"/>
                </w:tcPr>
                <w:p w14:paraId="266389A1">
                  <w:pPr>
                    <w:pStyle w:val="6"/>
                    <w:spacing w:before="29" w:line="228" w:lineRule="auto"/>
                    <w:ind w:right="21"/>
                    <w:jc w:val="right"/>
                    <w:rPr>
                      <w:sz w:val="20"/>
                      <w:szCs w:val="20"/>
                    </w:rPr>
                  </w:pPr>
                  <w:r>
                    <w:rPr>
                      <w:rFonts w:ascii="Times New Roman" w:hAnsi="Times New Roman" w:eastAsia="Times New Roman" w:cs="Times New Roman"/>
                      <w:spacing w:val="8"/>
                      <w:sz w:val="20"/>
                      <w:szCs w:val="20"/>
                    </w:rPr>
                    <w:t>9.</w:t>
                  </w:r>
                  <w:r>
                    <w:rPr>
                      <w:spacing w:val="8"/>
                      <w:sz w:val="20"/>
                      <w:szCs w:val="20"/>
                    </w:rPr>
                    <w:t>禁止在合规园区外新建、扩建钢铁、石化、</w:t>
                  </w:r>
                </w:p>
                <w:p w14:paraId="088849E1">
                  <w:pPr>
                    <w:pStyle w:val="6"/>
                    <w:spacing w:before="26" w:line="227" w:lineRule="auto"/>
                    <w:ind w:left="261"/>
                    <w:rPr>
                      <w:sz w:val="20"/>
                      <w:szCs w:val="20"/>
                    </w:rPr>
                  </w:pPr>
                  <w:r>
                    <w:rPr>
                      <w:spacing w:val="9"/>
                      <w:sz w:val="20"/>
                      <w:szCs w:val="20"/>
                    </w:rPr>
                    <w:t>化工、焦化、建材、有色、制浆造纸等高污</w:t>
                  </w:r>
                </w:p>
                <w:p w14:paraId="7EDAFCB5">
                  <w:pPr>
                    <w:pStyle w:val="6"/>
                    <w:spacing w:before="25" w:line="219" w:lineRule="auto"/>
                    <w:ind w:left="1841"/>
                    <w:rPr>
                      <w:sz w:val="20"/>
                      <w:szCs w:val="20"/>
                    </w:rPr>
                  </w:pPr>
                  <w:r>
                    <w:rPr>
                      <w:spacing w:val="4"/>
                      <w:sz w:val="20"/>
                      <w:szCs w:val="20"/>
                    </w:rPr>
                    <w:t>染项目。</w:t>
                  </w:r>
                </w:p>
              </w:tc>
              <w:tc>
                <w:tcPr>
                  <w:tcW w:w="2547" w:type="dxa"/>
                  <w:vAlign w:val="top"/>
                </w:tcPr>
                <w:p w14:paraId="0074E3FA">
                  <w:pPr>
                    <w:pStyle w:val="6"/>
                    <w:spacing w:before="29" w:line="227" w:lineRule="auto"/>
                    <w:ind w:right="5"/>
                    <w:jc w:val="right"/>
                    <w:rPr>
                      <w:sz w:val="20"/>
                      <w:szCs w:val="20"/>
                    </w:rPr>
                  </w:pPr>
                  <w:r>
                    <w:rPr>
                      <w:spacing w:val="1"/>
                      <w:sz w:val="20"/>
                      <w:szCs w:val="20"/>
                    </w:rPr>
                    <w:t>本项目不涉及钢铁、石化、</w:t>
                  </w:r>
                </w:p>
                <w:p w14:paraId="48DDA3A1">
                  <w:pPr>
                    <w:pStyle w:val="6"/>
                    <w:spacing w:before="27" w:line="227" w:lineRule="auto"/>
                    <w:ind w:right="5"/>
                    <w:jc w:val="right"/>
                    <w:rPr>
                      <w:sz w:val="20"/>
                      <w:szCs w:val="20"/>
                    </w:rPr>
                  </w:pPr>
                  <w:r>
                    <w:rPr>
                      <w:spacing w:val="1"/>
                      <w:sz w:val="20"/>
                      <w:szCs w:val="20"/>
                    </w:rPr>
                    <w:t>化工、焦化、建材、有色、</w:t>
                  </w:r>
                </w:p>
                <w:p w14:paraId="0BD3D4CF">
                  <w:pPr>
                    <w:pStyle w:val="6"/>
                    <w:spacing w:before="25" w:line="219" w:lineRule="auto"/>
                    <w:ind w:left="235"/>
                    <w:rPr>
                      <w:sz w:val="20"/>
                      <w:szCs w:val="20"/>
                    </w:rPr>
                  </w:pPr>
                  <w:r>
                    <w:rPr>
                      <w:spacing w:val="8"/>
                      <w:sz w:val="20"/>
                      <w:szCs w:val="20"/>
                    </w:rPr>
                    <w:t>制浆造纸等高污染项目</w:t>
                  </w:r>
                </w:p>
              </w:tc>
              <w:tc>
                <w:tcPr>
                  <w:tcW w:w="1027" w:type="dxa"/>
                  <w:gridSpan w:val="2"/>
                  <w:vAlign w:val="top"/>
                </w:tcPr>
                <w:p w14:paraId="7A4BB467">
                  <w:pPr>
                    <w:pStyle w:val="6"/>
                    <w:spacing w:before="303" w:line="228" w:lineRule="auto"/>
                    <w:ind w:left="312"/>
                    <w:rPr>
                      <w:sz w:val="20"/>
                      <w:szCs w:val="20"/>
                    </w:rPr>
                  </w:pPr>
                  <w:r>
                    <w:rPr>
                      <w:spacing w:val="3"/>
                      <w:sz w:val="20"/>
                      <w:szCs w:val="20"/>
                    </w:rPr>
                    <w:t>符合</w:t>
                  </w:r>
                </w:p>
              </w:tc>
            </w:tr>
            <w:tr w14:paraId="0C006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82" w:type="dxa"/>
                  <w:vAlign w:val="top"/>
                </w:tcPr>
                <w:p w14:paraId="7FE5F202">
                  <w:pPr>
                    <w:pStyle w:val="6"/>
                    <w:spacing w:before="29" w:line="235" w:lineRule="auto"/>
                    <w:ind w:left="892" w:right="111" w:hanging="642"/>
                    <w:rPr>
                      <w:sz w:val="20"/>
                      <w:szCs w:val="20"/>
                    </w:rPr>
                  </w:pPr>
                  <w:r>
                    <w:rPr>
                      <w:rFonts w:ascii="Times New Roman" w:hAnsi="Times New Roman" w:eastAsia="Times New Roman" w:cs="Times New Roman"/>
                      <w:spacing w:val="7"/>
                      <w:sz w:val="20"/>
                      <w:szCs w:val="20"/>
                    </w:rPr>
                    <w:t>10.</w:t>
                  </w:r>
                  <w:r>
                    <w:rPr>
                      <w:spacing w:val="7"/>
                      <w:sz w:val="20"/>
                      <w:szCs w:val="20"/>
                    </w:rPr>
                    <w:t>禁止新建、扩建不符合国家石化、现代煤</w:t>
                  </w:r>
                  <w:r>
                    <w:rPr>
                      <w:spacing w:val="16"/>
                      <w:sz w:val="20"/>
                      <w:szCs w:val="20"/>
                    </w:rPr>
                    <w:t xml:space="preserve"> </w:t>
                  </w:r>
                  <w:r>
                    <w:rPr>
                      <w:spacing w:val="8"/>
                      <w:sz w:val="20"/>
                      <w:szCs w:val="20"/>
                    </w:rPr>
                    <w:t>化工等产业布局规划的项目。</w:t>
                  </w:r>
                </w:p>
              </w:tc>
              <w:tc>
                <w:tcPr>
                  <w:tcW w:w="2547" w:type="dxa"/>
                  <w:vAlign w:val="top"/>
                </w:tcPr>
                <w:p w14:paraId="2DEAD990">
                  <w:pPr>
                    <w:pStyle w:val="6"/>
                    <w:spacing w:before="29" w:line="235" w:lineRule="auto"/>
                    <w:ind w:left="863" w:right="111" w:hanging="731"/>
                    <w:rPr>
                      <w:sz w:val="20"/>
                      <w:szCs w:val="20"/>
                    </w:rPr>
                  </w:pPr>
                  <w:r>
                    <w:rPr>
                      <w:spacing w:val="8"/>
                      <w:sz w:val="20"/>
                      <w:szCs w:val="20"/>
                    </w:rPr>
                    <w:t xml:space="preserve">项目不属于石化、现代煤 </w:t>
                  </w:r>
                  <w:r>
                    <w:rPr>
                      <w:spacing w:val="7"/>
                      <w:sz w:val="20"/>
                      <w:szCs w:val="20"/>
                    </w:rPr>
                    <w:t>化工行业</w:t>
                  </w:r>
                </w:p>
              </w:tc>
              <w:tc>
                <w:tcPr>
                  <w:tcW w:w="1027" w:type="dxa"/>
                  <w:gridSpan w:val="2"/>
                  <w:vAlign w:val="top"/>
                </w:tcPr>
                <w:p w14:paraId="7B368425">
                  <w:pPr>
                    <w:pStyle w:val="6"/>
                    <w:spacing w:before="164" w:line="228" w:lineRule="auto"/>
                    <w:ind w:left="312"/>
                    <w:rPr>
                      <w:sz w:val="20"/>
                      <w:szCs w:val="20"/>
                    </w:rPr>
                  </w:pPr>
                  <w:r>
                    <w:rPr>
                      <w:spacing w:val="3"/>
                      <w:sz w:val="20"/>
                      <w:szCs w:val="20"/>
                    </w:rPr>
                    <w:t>符合</w:t>
                  </w:r>
                </w:p>
              </w:tc>
            </w:tr>
            <w:tr w14:paraId="29639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4382" w:type="dxa"/>
                  <w:vAlign w:val="top"/>
                </w:tcPr>
                <w:p w14:paraId="1E88940A">
                  <w:pPr>
                    <w:pStyle w:val="6"/>
                    <w:spacing w:before="29" w:line="246" w:lineRule="auto"/>
                    <w:ind w:left="260" w:right="113" w:hanging="5"/>
                    <w:jc w:val="both"/>
                    <w:rPr>
                      <w:sz w:val="20"/>
                      <w:szCs w:val="20"/>
                    </w:rPr>
                  </w:pPr>
                  <w:r>
                    <w:rPr>
                      <w:rFonts w:ascii="Times New Roman" w:hAnsi="Times New Roman" w:eastAsia="Times New Roman" w:cs="Times New Roman"/>
                      <w:spacing w:val="7"/>
                      <w:sz w:val="20"/>
                      <w:szCs w:val="20"/>
                    </w:rPr>
                    <w:t>11.</w:t>
                  </w:r>
                  <w:r>
                    <w:rPr>
                      <w:spacing w:val="7"/>
                      <w:sz w:val="20"/>
                      <w:szCs w:val="20"/>
                    </w:rPr>
                    <w:t>禁止新建、扩建法律法规和相关政策明令</w:t>
                  </w:r>
                  <w:r>
                    <w:rPr>
                      <w:spacing w:val="9"/>
                      <w:sz w:val="20"/>
                      <w:szCs w:val="20"/>
                    </w:rPr>
                    <w:t xml:space="preserve"> 禁止的落后产能项目。禁止新建、扩建不符</w:t>
                  </w:r>
                  <w:r>
                    <w:rPr>
                      <w:spacing w:val="8"/>
                      <w:sz w:val="20"/>
                      <w:szCs w:val="20"/>
                    </w:rPr>
                    <w:t xml:space="preserve"> </w:t>
                  </w:r>
                  <w:r>
                    <w:rPr>
                      <w:spacing w:val="9"/>
                      <w:sz w:val="20"/>
                      <w:szCs w:val="20"/>
                    </w:rPr>
                    <w:t>合国家产能置换要求的严重过剩产能行业的</w:t>
                  </w:r>
                  <w:r>
                    <w:rPr>
                      <w:spacing w:val="8"/>
                      <w:sz w:val="20"/>
                      <w:szCs w:val="20"/>
                    </w:rPr>
                    <w:t xml:space="preserve"> </w:t>
                  </w:r>
                  <w:r>
                    <w:rPr>
                      <w:spacing w:val="9"/>
                      <w:sz w:val="20"/>
                      <w:szCs w:val="20"/>
                    </w:rPr>
                    <w:t>项目。禁止新建、扩建不符合要求的高耗能</w:t>
                  </w:r>
                </w:p>
                <w:p w14:paraId="6242EDF0">
                  <w:pPr>
                    <w:pStyle w:val="6"/>
                    <w:spacing w:before="24" w:line="218" w:lineRule="auto"/>
                    <w:ind w:left="1632"/>
                    <w:rPr>
                      <w:sz w:val="20"/>
                      <w:szCs w:val="20"/>
                    </w:rPr>
                  </w:pPr>
                  <w:r>
                    <w:rPr>
                      <w:spacing w:val="5"/>
                      <w:sz w:val="20"/>
                      <w:szCs w:val="20"/>
                    </w:rPr>
                    <w:t>高排放项目。</w:t>
                  </w:r>
                </w:p>
              </w:tc>
              <w:tc>
                <w:tcPr>
                  <w:tcW w:w="2547" w:type="dxa"/>
                  <w:vAlign w:val="top"/>
                </w:tcPr>
                <w:p w14:paraId="14E89FBC">
                  <w:pPr>
                    <w:pStyle w:val="6"/>
                    <w:spacing w:before="167" w:line="227" w:lineRule="auto"/>
                    <w:ind w:left="130"/>
                    <w:rPr>
                      <w:sz w:val="20"/>
                      <w:szCs w:val="20"/>
                    </w:rPr>
                  </w:pPr>
                  <w:r>
                    <w:rPr>
                      <w:spacing w:val="9"/>
                      <w:sz w:val="20"/>
                      <w:szCs w:val="20"/>
                    </w:rPr>
                    <w:t>本项目属于《产业结构调</w:t>
                  </w:r>
                </w:p>
                <w:p w14:paraId="285AE0FB">
                  <w:pPr>
                    <w:pStyle w:val="6"/>
                    <w:spacing w:before="25" w:line="227" w:lineRule="auto"/>
                    <w:jc w:val="right"/>
                    <w:rPr>
                      <w:sz w:val="20"/>
                      <w:szCs w:val="20"/>
                    </w:rPr>
                  </w:pPr>
                  <w:r>
                    <w:rPr>
                      <w:spacing w:val="-3"/>
                      <w:sz w:val="20"/>
                      <w:szCs w:val="20"/>
                    </w:rPr>
                    <w:t>整指导目录（</w:t>
                  </w:r>
                  <w:r>
                    <w:rPr>
                      <w:rFonts w:ascii="Times New Roman" w:hAnsi="Times New Roman" w:eastAsia="Times New Roman" w:cs="Times New Roman"/>
                      <w:spacing w:val="-3"/>
                      <w:sz w:val="20"/>
                      <w:szCs w:val="20"/>
                    </w:rPr>
                    <w:t>2024</w:t>
                  </w:r>
                  <w:r>
                    <w:rPr>
                      <w:rFonts w:ascii="Times New Roman" w:hAnsi="Times New Roman" w:eastAsia="Times New Roman" w:cs="Times New Roman"/>
                      <w:spacing w:val="12"/>
                      <w:sz w:val="20"/>
                      <w:szCs w:val="20"/>
                    </w:rPr>
                    <w:t xml:space="preserve"> </w:t>
                  </w:r>
                  <w:r>
                    <w:rPr>
                      <w:spacing w:val="-3"/>
                      <w:sz w:val="20"/>
                      <w:szCs w:val="20"/>
                    </w:rPr>
                    <w:t>年本）》</w:t>
                  </w:r>
                </w:p>
                <w:p w14:paraId="683B6415">
                  <w:pPr>
                    <w:pStyle w:val="6"/>
                    <w:spacing w:before="24" w:line="228" w:lineRule="auto"/>
                    <w:ind w:left="148"/>
                    <w:rPr>
                      <w:sz w:val="20"/>
                      <w:szCs w:val="20"/>
                    </w:rPr>
                  </w:pPr>
                  <w:r>
                    <w:rPr>
                      <w:spacing w:val="7"/>
                      <w:sz w:val="20"/>
                      <w:szCs w:val="20"/>
                    </w:rPr>
                    <w:t>中的鼓励类项目，不涉及</w:t>
                  </w:r>
                </w:p>
                <w:p w14:paraId="0C41B9C3">
                  <w:pPr>
                    <w:pStyle w:val="6"/>
                    <w:spacing w:before="26" w:line="228" w:lineRule="auto"/>
                    <w:ind w:left="864"/>
                    <w:rPr>
                      <w:sz w:val="20"/>
                      <w:szCs w:val="20"/>
                    </w:rPr>
                  </w:pPr>
                  <w:r>
                    <w:rPr>
                      <w:spacing w:val="7"/>
                      <w:sz w:val="20"/>
                      <w:szCs w:val="20"/>
                    </w:rPr>
                    <w:t>两高项目</w:t>
                  </w:r>
                </w:p>
              </w:tc>
              <w:tc>
                <w:tcPr>
                  <w:tcW w:w="1027" w:type="dxa"/>
                  <w:gridSpan w:val="2"/>
                  <w:vAlign w:val="top"/>
                </w:tcPr>
                <w:p w14:paraId="011424F4">
                  <w:pPr>
                    <w:spacing w:line="253" w:lineRule="auto"/>
                    <w:rPr>
                      <w:rFonts w:ascii="Arial"/>
                      <w:sz w:val="21"/>
                    </w:rPr>
                  </w:pPr>
                </w:p>
                <w:p w14:paraId="34C78137">
                  <w:pPr>
                    <w:spacing w:line="254" w:lineRule="auto"/>
                    <w:rPr>
                      <w:rFonts w:ascii="Arial"/>
                      <w:sz w:val="21"/>
                    </w:rPr>
                  </w:pPr>
                </w:p>
                <w:p w14:paraId="6B477685">
                  <w:pPr>
                    <w:pStyle w:val="6"/>
                    <w:spacing w:before="65" w:line="228" w:lineRule="auto"/>
                    <w:ind w:left="312"/>
                    <w:rPr>
                      <w:sz w:val="20"/>
                      <w:szCs w:val="20"/>
                    </w:rPr>
                  </w:pPr>
                  <w:r>
                    <w:rPr>
                      <w:spacing w:val="3"/>
                      <w:sz w:val="20"/>
                      <w:szCs w:val="20"/>
                    </w:rPr>
                    <w:t>符合</w:t>
                  </w:r>
                </w:p>
              </w:tc>
            </w:tr>
            <w:tr w14:paraId="68F2A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2" w:hRule="atLeast"/>
              </w:trPr>
              <w:tc>
                <w:tcPr>
                  <w:tcW w:w="7956" w:type="dxa"/>
                  <w:gridSpan w:val="4"/>
                  <w:tcBorders>
                    <w:right w:val="nil"/>
                  </w:tcBorders>
                  <w:vAlign w:val="top"/>
                </w:tcPr>
                <w:p w14:paraId="0F0BCC97">
                  <w:pPr>
                    <w:pStyle w:val="6"/>
                    <w:spacing w:before="36" w:line="350" w:lineRule="auto"/>
                    <w:ind w:left="119" w:firstLine="481"/>
                    <w:jc w:val="both"/>
                  </w:pPr>
                  <w:r>
                    <w:rPr>
                      <w:spacing w:val="5"/>
                    </w:rPr>
                    <w:t>综上分析，项目不属于《长江经济带发展负面清单指</w:t>
                  </w:r>
                  <w:r>
                    <w:rPr>
                      <w:spacing w:val="4"/>
                    </w:rPr>
                    <w:t>南（试行，</w:t>
                  </w:r>
                  <w:r>
                    <w:rPr>
                      <w:rFonts w:ascii="Times New Roman" w:hAnsi="Times New Roman" w:eastAsia="Times New Roman" w:cs="Times New Roman"/>
                      <w:spacing w:val="4"/>
                    </w:rPr>
                    <w:t>2022</w:t>
                  </w:r>
                  <w:r>
                    <w:rPr>
                      <w:rFonts w:ascii="Times New Roman" w:hAnsi="Times New Roman" w:eastAsia="Times New Roman" w:cs="Times New Roman"/>
                    </w:rPr>
                    <w:t xml:space="preserve"> </w:t>
                  </w:r>
                  <w:r>
                    <w:rPr>
                      <w:spacing w:val="-3"/>
                    </w:rPr>
                    <w:t>年版）》名列的负面清单建设项目，项目建设符合《长江经济带发展负面清</w:t>
                  </w:r>
                  <w:r>
                    <w:rPr>
                      <w:spacing w:val="12"/>
                    </w:rPr>
                    <w:t xml:space="preserve"> </w:t>
                  </w:r>
                  <w:r>
                    <w:rPr>
                      <w:spacing w:val="-1"/>
                    </w:rPr>
                    <w:t>单指南（试行，</w:t>
                  </w:r>
                  <w:r>
                    <w:rPr>
                      <w:rFonts w:ascii="Times New Roman" w:hAnsi="Times New Roman" w:eastAsia="Times New Roman" w:cs="Times New Roman"/>
                      <w:spacing w:val="-1"/>
                    </w:rPr>
                    <w:t xml:space="preserve">2022 </w:t>
                  </w:r>
                  <w:r>
                    <w:rPr>
                      <w:spacing w:val="-1"/>
                    </w:rPr>
                    <w:t>年版）》的相关要求。</w:t>
                  </w:r>
                </w:p>
                <w:p w14:paraId="6D4764E6">
                  <w:pPr>
                    <w:pStyle w:val="6"/>
                    <w:spacing w:before="33" w:line="350" w:lineRule="auto"/>
                    <w:ind w:left="119" w:right="18" w:firstLine="478"/>
                    <w:jc w:val="both"/>
                  </w:pPr>
                  <w:r>
                    <w:rPr>
                      <w:rFonts w:ascii="Times New Roman" w:hAnsi="Times New Roman" w:eastAsia="Times New Roman" w:cs="Times New Roman"/>
                      <w:b/>
                      <w:bCs/>
                      <w:spacing w:val="-3"/>
                    </w:rPr>
                    <w:t>8</w:t>
                  </w:r>
                  <w:r>
                    <w:rPr>
                      <w:rFonts w:ascii="Times New Roman" w:hAnsi="Times New Roman" w:eastAsia="Times New Roman" w:cs="Times New Roman"/>
                      <w:b/>
                      <w:bCs/>
                      <w:spacing w:val="-26"/>
                    </w:rPr>
                    <w:t xml:space="preserve"> </w:t>
                  </w:r>
                  <w:r>
                    <w:rPr>
                      <w:b/>
                      <w:bCs/>
                      <w:spacing w:val="-3"/>
                    </w:rPr>
                    <w:t>、与《云南省推动长江经济带发展领导小组办公室关于印发〈云南省</w:t>
                  </w:r>
                  <w:r>
                    <w:t xml:space="preserve"> </w:t>
                  </w:r>
                  <w:r>
                    <w:rPr>
                      <w:b/>
                      <w:bCs/>
                      <w:spacing w:val="-2"/>
                    </w:rPr>
                    <w:t>长江经济带发展负面清单指南实施细则（试行，</w:t>
                  </w:r>
                  <w:r>
                    <w:rPr>
                      <w:rFonts w:ascii="Times New Roman" w:hAnsi="Times New Roman" w:eastAsia="Times New Roman" w:cs="Times New Roman"/>
                      <w:b/>
                      <w:bCs/>
                      <w:spacing w:val="-2"/>
                    </w:rPr>
                    <w:t xml:space="preserve">2022 </w:t>
                  </w:r>
                  <w:r>
                    <w:rPr>
                      <w:b/>
                      <w:bCs/>
                      <w:spacing w:val="-2"/>
                    </w:rPr>
                    <w:t>版）〉的通知》（云</w:t>
                  </w:r>
                  <w:r>
                    <w:rPr>
                      <w:spacing w:val="3"/>
                    </w:rPr>
                    <w:t xml:space="preserve">  </w:t>
                  </w:r>
                  <w:r>
                    <w:rPr>
                      <w:b/>
                      <w:bCs/>
                      <w:spacing w:val="-3"/>
                    </w:rPr>
                    <w:t>发改基础〔</w:t>
                  </w:r>
                  <w:r>
                    <w:rPr>
                      <w:rFonts w:ascii="Times New Roman" w:hAnsi="Times New Roman" w:eastAsia="Times New Roman" w:cs="Times New Roman"/>
                      <w:b/>
                      <w:bCs/>
                      <w:spacing w:val="-3"/>
                    </w:rPr>
                    <w:t>2022</w:t>
                  </w:r>
                  <w:r>
                    <w:rPr>
                      <w:b/>
                      <w:bCs/>
                      <w:spacing w:val="-3"/>
                    </w:rPr>
                    <w:t>〕</w:t>
                  </w:r>
                  <w:r>
                    <w:rPr>
                      <w:rFonts w:ascii="Times New Roman" w:hAnsi="Times New Roman" w:eastAsia="Times New Roman" w:cs="Times New Roman"/>
                      <w:b/>
                      <w:bCs/>
                      <w:spacing w:val="-3"/>
                    </w:rPr>
                    <w:t>894</w:t>
                  </w:r>
                  <w:r>
                    <w:rPr>
                      <w:rFonts w:ascii="Times New Roman" w:hAnsi="Times New Roman" w:eastAsia="Times New Roman" w:cs="Times New Roman"/>
                      <w:b/>
                      <w:bCs/>
                      <w:spacing w:val="25"/>
                    </w:rPr>
                    <w:t xml:space="preserve"> </w:t>
                  </w:r>
                  <w:r>
                    <w:rPr>
                      <w:b/>
                      <w:bCs/>
                      <w:spacing w:val="-3"/>
                    </w:rPr>
                    <w:t>号）符合性分析</w:t>
                  </w:r>
                </w:p>
                <w:p w14:paraId="6E36D55F">
                  <w:pPr>
                    <w:pStyle w:val="6"/>
                    <w:spacing w:before="34" w:line="347" w:lineRule="auto"/>
                    <w:ind w:left="119" w:right="164" w:firstLine="480"/>
                  </w:pPr>
                  <w:r>
                    <w:t>本项目与云南省长江经济带发展负面清单指南</w:t>
                  </w:r>
                  <w:r>
                    <w:rPr>
                      <w:spacing w:val="-1"/>
                    </w:rPr>
                    <w:t>实施细则（试行，</w:t>
                  </w:r>
                  <w:r>
                    <w:rPr>
                      <w:rFonts w:ascii="Times New Roman" w:hAnsi="Times New Roman" w:eastAsia="Times New Roman" w:cs="Times New Roman"/>
                      <w:spacing w:val="-1"/>
                    </w:rPr>
                    <w:t>2022</w:t>
                  </w:r>
                  <w:r>
                    <w:rPr>
                      <w:rFonts w:ascii="Times New Roman" w:hAnsi="Times New Roman" w:eastAsia="Times New Roman" w:cs="Times New Roman"/>
                    </w:rPr>
                    <w:t xml:space="preserve"> </w:t>
                  </w:r>
                  <w:r>
                    <w:rPr>
                      <w:spacing w:val="-3"/>
                    </w:rPr>
                    <w:t>版）符合性分析见表</w:t>
                  </w:r>
                  <w:r>
                    <w:rPr>
                      <w:spacing w:val="-27"/>
                    </w:rPr>
                    <w:t xml:space="preserve"> </w:t>
                  </w:r>
                  <w:r>
                    <w:rPr>
                      <w:rFonts w:ascii="Times New Roman" w:hAnsi="Times New Roman" w:eastAsia="Times New Roman" w:cs="Times New Roman"/>
                      <w:spacing w:val="-3"/>
                    </w:rPr>
                    <w:t xml:space="preserve">1-8 </w:t>
                  </w:r>
                  <w:r>
                    <w:rPr>
                      <w:spacing w:val="-3"/>
                    </w:rPr>
                    <w:t>所示。</w:t>
                  </w:r>
                </w:p>
                <w:p w14:paraId="4D5DBF8E">
                  <w:pPr>
                    <w:pStyle w:val="6"/>
                    <w:spacing w:before="27" w:line="234" w:lineRule="auto"/>
                    <w:ind w:left="3830" w:hanging="3714"/>
                    <w:rPr>
                      <w:sz w:val="20"/>
                      <w:szCs w:val="20"/>
                    </w:rPr>
                  </w:pPr>
                  <w:r>
                    <w:rPr>
                      <w:b/>
                      <w:bCs/>
                      <w:spacing w:val="7"/>
                      <w:sz w:val="20"/>
                      <w:szCs w:val="20"/>
                    </w:rPr>
                    <w:t>表</w:t>
                  </w:r>
                  <w:r>
                    <w:rPr>
                      <w:spacing w:val="-34"/>
                      <w:sz w:val="20"/>
                      <w:szCs w:val="20"/>
                    </w:rPr>
                    <w:t xml:space="preserve"> </w:t>
                  </w:r>
                  <w:r>
                    <w:rPr>
                      <w:rFonts w:ascii="Times New Roman" w:hAnsi="Times New Roman" w:eastAsia="Times New Roman" w:cs="Times New Roman"/>
                      <w:b/>
                      <w:bCs/>
                      <w:spacing w:val="7"/>
                      <w:sz w:val="20"/>
                      <w:szCs w:val="20"/>
                    </w:rPr>
                    <w:t xml:space="preserve">1-8  </w:t>
                  </w:r>
                  <w:r>
                    <w:rPr>
                      <w:b/>
                      <w:bCs/>
                      <w:spacing w:val="7"/>
                      <w:sz w:val="20"/>
                      <w:szCs w:val="20"/>
                    </w:rPr>
                    <w:t>项目与云南省长江经济带发展负面清单指南实</w:t>
                  </w:r>
                  <w:r>
                    <w:rPr>
                      <w:b/>
                      <w:bCs/>
                      <w:spacing w:val="6"/>
                      <w:sz w:val="20"/>
                      <w:szCs w:val="20"/>
                    </w:rPr>
                    <w:t>施细则（试行，</w:t>
                  </w:r>
                  <w:r>
                    <w:rPr>
                      <w:rFonts w:ascii="Times New Roman" w:hAnsi="Times New Roman" w:eastAsia="Times New Roman" w:cs="Times New Roman"/>
                      <w:b/>
                      <w:bCs/>
                      <w:spacing w:val="6"/>
                      <w:sz w:val="20"/>
                      <w:szCs w:val="20"/>
                    </w:rPr>
                    <w:t xml:space="preserve">2022 </w:t>
                  </w:r>
                  <w:r>
                    <w:rPr>
                      <w:b/>
                      <w:bCs/>
                      <w:spacing w:val="6"/>
                      <w:sz w:val="20"/>
                      <w:szCs w:val="20"/>
                    </w:rPr>
                    <w:t>版）符合性</w:t>
                  </w:r>
                  <w:r>
                    <w:rPr>
                      <w:sz w:val="20"/>
                      <w:szCs w:val="20"/>
                    </w:rPr>
                    <w:t xml:space="preserve"> </w:t>
                  </w:r>
                  <w:r>
                    <w:rPr>
                      <w:b/>
                      <w:bCs/>
                      <w:spacing w:val="2"/>
                      <w:sz w:val="20"/>
                      <w:szCs w:val="20"/>
                    </w:rPr>
                    <w:t>分析</w:t>
                  </w:r>
                </w:p>
              </w:tc>
            </w:tr>
            <w:tr w14:paraId="2BD15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4382" w:type="dxa"/>
                  <w:tcBorders>
                    <w:bottom w:val="nil"/>
                    <w:right w:val="single" w:color="000000" w:sz="4" w:space="0"/>
                  </w:tcBorders>
                  <w:vAlign w:val="top"/>
                </w:tcPr>
                <w:p w14:paraId="1A776D51">
                  <w:pPr>
                    <w:pStyle w:val="6"/>
                    <w:spacing w:before="28" w:line="228" w:lineRule="auto"/>
                    <w:ind w:left="1813"/>
                    <w:rPr>
                      <w:sz w:val="20"/>
                      <w:szCs w:val="20"/>
                    </w:rPr>
                  </w:pPr>
                  <w:r>
                    <w:pict>
                      <v:shape id="_x0000_s1036" o:spid="_x0000_s1036" style="position:absolute;left:0pt;margin-left:5.55pt;margin-top:-0.1pt;height:14pt;width:0.25pt;mso-position-horizontal-relative:page;mso-position-vertical-relative:page;z-index:251671552;mso-width-relative:page;mso-height-relative:page;" filled="f" stroked="t" coordsize="5,280" path="m2,0l2,279e">
                        <v:fill on="f" focussize="0,0"/>
                        <v:stroke weight="0.24pt" color="#000000" miterlimit="2" joinstyle="bevel"/>
                        <v:imagedata o:title=""/>
                        <o:lock v:ext="edit"/>
                      </v:shape>
                    </w:pict>
                  </w:r>
                  <w:r>
                    <w:rPr>
                      <w:b/>
                      <w:bCs/>
                      <w:spacing w:val="6"/>
                      <w:sz w:val="20"/>
                      <w:szCs w:val="20"/>
                    </w:rPr>
                    <w:t>相关要求</w:t>
                  </w:r>
                </w:p>
              </w:tc>
              <w:tc>
                <w:tcPr>
                  <w:tcW w:w="2725" w:type="dxa"/>
                  <w:gridSpan w:val="2"/>
                  <w:tcBorders>
                    <w:left w:val="single" w:color="000000" w:sz="4" w:space="0"/>
                    <w:bottom w:val="nil"/>
                    <w:right w:val="single" w:color="000000" w:sz="4" w:space="0"/>
                  </w:tcBorders>
                  <w:vAlign w:val="top"/>
                </w:tcPr>
                <w:p w14:paraId="1CDE1121">
                  <w:pPr>
                    <w:pStyle w:val="6"/>
                    <w:spacing w:before="28" w:line="228" w:lineRule="auto"/>
                    <w:ind w:left="912"/>
                    <w:rPr>
                      <w:sz w:val="20"/>
                      <w:szCs w:val="20"/>
                    </w:rPr>
                  </w:pPr>
                  <w:r>
                    <w:rPr>
                      <w:b/>
                      <w:bCs/>
                      <w:spacing w:val="5"/>
                      <w:sz w:val="20"/>
                      <w:szCs w:val="20"/>
                    </w:rPr>
                    <w:t>项目情况</w:t>
                  </w:r>
                </w:p>
              </w:tc>
              <w:tc>
                <w:tcPr>
                  <w:tcW w:w="849" w:type="dxa"/>
                  <w:tcBorders>
                    <w:left w:val="single" w:color="000000" w:sz="4" w:space="0"/>
                    <w:bottom w:val="nil"/>
                  </w:tcBorders>
                  <w:vAlign w:val="top"/>
                </w:tcPr>
                <w:p w14:paraId="12BD1A20">
                  <w:pPr>
                    <w:pStyle w:val="6"/>
                    <w:spacing w:before="27" w:line="228" w:lineRule="auto"/>
                    <w:ind w:left="96"/>
                    <w:rPr>
                      <w:sz w:val="20"/>
                      <w:szCs w:val="20"/>
                    </w:rPr>
                  </w:pPr>
                  <w:r>
                    <w:rPr>
                      <w:b/>
                      <w:bCs/>
                      <w:spacing w:val="5"/>
                      <w:sz w:val="20"/>
                      <w:szCs w:val="20"/>
                    </w:rPr>
                    <w:t>符合性</w:t>
                  </w:r>
                </w:p>
              </w:tc>
            </w:tr>
          </w:tbl>
          <w:p w14:paraId="419E5FEA">
            <w:pPr>
              <w:spacing w:line="14" w:lineRule="auto"/>
              <w:rPr>
                <w:rFonts w:ascii="Arial"/>
                <w:sz w:val="2"/>
              </w:rPr>
            </w:pPr>
          </w:p>
        </w:tc>
      </w:tr>
    </w:tbl>
    <w:p w14:paraId="5EB8104F">
      <w:pPr>
        <w:rPr>
          <w:rFonts w:ascii="Arial"/>
          <w:sz w:val="21"/>
        </w:rPr>
      </w:pPr>
    </w:p>
    <w:p w14:paraId="7F589021">
      <w:pPr>
        <w:rPr>
          <w:rFonts w:ascii="Arial" w:hAnsi="Arial" w:eastAsia="Arial" w:cs="Arial"/>
          <w:sz w:val="21"/>
          <w:szCs w:val="21"/>
        </w:rPr>
        <w:sectPr>
          <w:footerReference r:id="rId25" w:type="default"/>
          <w:pgSz w:w="11906" w:h="16839"/>
          <w:pgMar w:top="1431" w:right="1407" w:bottom="1278" w:left="1407" w:header="0" w:footer="1116" w:gutter="0"/>
          <w:cols w:space="720" w:num="1"/>
        </w:sectPr>
      </w:pPr>
    </w:p>
    <w:p w14:paraId="6386B7BE">
      <w:pPr>
        <w:spacing w:line="99" w:lineRule="exact"/>
      </w:pPr>
    </w:p>
    <w:tbl>
      <w:tblPr>
        <w:tblStyle w:val="5"/>
        <w:tblW w:w="9076"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72352243">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80" w:hRule="atLeast"/>
        </w:trPr>
        <w:tc>
          <w:tcPr>
            <w:tcW w:w="9076" w:type="dxa"/>
            <w:vAlign w:val="top"/>
          </w:tcPr>
          <w:p w14:paraId="386089C3">
            <w:pPr>
              <w:spacing w:line="96" w:lineRule="auto"/>
              <w:rPr>
                <w:rFonts w:ascii="Arial"/>
                <w:sz w:val="2"/>
              </w:rPr>
            </w:pPr>
            <w:r>
              <w:pict>
                <v:shape id="_x0000_s1037" o:spid="_x0000_s1037" style="position:absolute;left:0pt;margin-left:55.9pt;margin-top:1.25pt;height:630.4pt;width:0.25pt;mso-position-horizontal-relative:page;mso-position-vertical-relative:page;z-index:251672576;mso-width-relative:page;mso-height-relative:page;" filled="f" stroked="t" coordsize="5,12608" path="m2,0l2,12607e">
                  <v:fill on="f" focussize="0,0"/>
                  <v:stroke weight="0.24pt" color="#000000" miterlimit="2" joinstyle="bevel"/>
                  <v:imagedata o:title=""/>
                  <o:lock v:ext="edit"/>
                </v:shape>
              </w:pict>
            </w:r>
          </w:p>
          <w:tbl>
            <w:tblPr>
              <w:tblStyle w:val="5"/>
              <w:tblW w:w="7956" w:type="dxa"/>
              <w:tblInd w:w="9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45"/>
              <w:gridCol w:w="2725"/>
              <w:gridCol w:w="886"/>
            </w:tblGrid>
            <w:tr w14:paraId="6249E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4345" w:type="dxa"/>
                  <w:tcBorders>
                    <w:top w:val="nil"/>
                    <w:left w:val="single" w:color="000000" w:sz="2" w:space="0"/>
                  </w:tcBorders>
                  <w:vAlign w:val="top"/>
                </w:tcPr>
                <w:p w14:paraId="0C408A76">
                  <w:pPr>
                    <w:pStyle w:val="6"/>
                    <w:spacing w:before="48" w:line="248" w:lineRule="auto"/>
                    <w:ind w:left="238" w:right="117"/>
                    <w:jc w:val="both"/>
                    <w:rPr>
                      <w:sz w:val="20"/>
                      <w:szCs w:val="20"/>
                    </w:rPr>
                  </w:pPr>
                  <w:r>
                    <w:rPr>
                      <w:spacing w:val="9"/>
                      <w:sz w:val="20"/>
                      <w:szCs w:val="20"/>
                    </w:rPr>
                    <w:t>第二条禁止在自然保护区核心区、缓冲区的</w:t>
                  </w:r>
                  <w:r>
                    <w:rPr>
                      <w:spacing w:val="8"/>
                      <w:sz w:val="20"/>
                      <w:szCs w:val="20"/>
                    </w:rPr>
                    <w:t xml:space="preserve"> </w:t>
                  </w:r>
                  <w:r>
                    <w:rPr>
                      <w:spacing w:val="9"/>
                      <w:sz w:val="20"/>
                      <w:szCs w:val="20"/>
                    </w:rPr>
                    <w:t>岸线和河段范围内投资建设旅游和生产经营 项目。禁止建设与自然保护区保护方向不一 致的旅游项目。禁止在自然保护区内进行开 矿、采石、挖沙等活动。禁止在自然保护区 的核心区和缓冲区内建设任何生产设施，禁</w:t>
                  </w:r>
                </w:p>
                <w:p w14:paraId="2E3521A3">
                  <w:pPr>
                    <w:pStyle w:val="6"/>
                    <w:spacing w:before="24" w:line="228" w:lineRule="auto"/>
                    <w:ind w:left="240"/>
                    <w:rPr>
                      <w:sz w:val="20"/>
                      <w:szCs w:val="20"/>
                    </w:rPr>
                  </w:pPr>
                  <w:r>
                    <w:rPr>
                      <w:spacing w:val="8"/>
                      <w:sz w:val="20"/>
                      <w:szCs w:val="20"/>
                    </w:rPr>
                    <w:t>止在自然保护区的实验区内建设污染环境、</w:t>
                  </w:r>
                </w:p>
                <w:p w14:paraId="56256200">
                  <w:pPr>
                    <w:pStyle w:val="6"/>
                    <w:spacing w:before="26" w:line="220" w:lineRule="auto"/>
                    <w:ind w:left="764"/>
                    <w:rPr>
                      <w:sz w:val="20"/>
                      <w:szCs w:val="20"/>
                    </w:rPr>
                  </w:pPr>
                  <w:r>
                    <w:rPr>
                      <w:spacing w:val="8"/>
                      <w:sz w:val="20"/>
                      <w:szCs w:val="20"/>
                    </w:rPr>
                    <w:t>破坏资源或者景观的生产设施。</w:t>
                  </w:r>
                </w:p>
              </w:tc>
              <w:tc>
                <w:tcPr>
                  <w:tcW w:w="2725" w:type="dxa"/>
                  <w:tcBorders>
                    <w:top w:val="nil"/>
                  </w:tcBorders>
                  <w:vAlign w:val="top"/>
                </w:tcPr>
                <w:p w14:paraId="6672A7E6">
                  <w:pPr>
                    <w:spacing w:line="266" w:lineRule="auto"/>
                    <w:rPr>
                      <w:rFonts w:ascii="Arial"/>
                      <w:sz w:val="21"/>
                    </w:rPr>
                  </w:pPr>
                </w:p>
                <w:p w14:paraId="582393FC">
                  <w:pPr>
                    <w:spacing w:line="266" w:lineRule="auto"/>
                    <w:rPr>
                      <w:rFonts w:ascii="Arial"/>
                      <w:sz w:val="21"/>
                    </w:rPr>
                  </w:pPr>
                </w:p>
                <w:p w14:paraId="5E004861">
                  <w:pPr>
                    <w:spacing w:line="266" w:lineRule="auto"/>
                    <w:rPr>
                      <w:rFonts w:ascii="Arial"/>
                      <w:sz w:val="21"/>
                    </w:rPr>
                  </w:pPr>
                </w:p>
                <w:p w14:paraId="4BCA89A2">
                  <w:pPr>
                    <w:pStyle w:val="6"/>
                    <w:spacing w:before="65" w:line="242" w:lineRule="auto"/>
                    <w:ind w:left="1172" w:right="202" w:hanging="960"/>
                    <w:rPr>
                      <w:sz w:val="20"/>
                      <w:szCs w:val="20"/>
                    </w:rPr>
                  </w:pPr>
                  <w:r>
                    <w:rPr>
                      <w:spacing w:val="9"/>
                      <w:sz w:val="20"/>
                      <w:szCs w:val="20"/>
                    </w:rPr>
                    <w:t>本项目选址不涉自然保护</w:t>
                  </w:r>
                  <w:r>
                    <w:rPr>
                      <w:sz w:val="20"/>
                      <w:szCs w:val="20"/>
                    </w:rPr>
                    <w:t xml:space="preserve"> </w:t>
                  </w:r>
                  <w:r>
                    <w:rPr>
                      <w:spacing w:val="-8"/>
                      <w:sz w:val="20"/>
                      <w:szCs w:val="20"/>
                    </w:rPr>
                    <w:t>区。</w:t>
                  </w:r>
                </w:p>
              </w:tc>
              <w:tc>
                <w:tcPr>
                  <w:tcW w:w="886" w:type="dxa"/>
                  <w:tcBorders>
                    <w:top w:val="nil"/>
                    <w:right w:val="single" w:color="000000" w:sz="2" w:space="0"/>
                  </w:tcBorders>
                  <w:vAlign w:val="top"/>
                </w:tcPr>
                <w:p w14:paraId="6C9E8917">
                  <w:pPr>
                    <w:spacing w:line="311" w:lineRule="auto"/>
                    <w:rPr>
                      <w:rFonts w:ascii="Arial"/>
                      <w:sz w:val="21"/>
                    </w:rPr>
                  </w:pPr>
                </w:p>
                <w:p w14:paraId="50A4529A">
                  <w:pPr>
                    <w:spacing w:line="311" w:lineRule="auto"/>
                    <w:rPr>
                      <w:rFonts w:ascii="Arial"/>
                      <w:sz w:val="21"/>
                    </w:rPr>
                  </w:pPr>
                </w:p>
                <w:p w14:paraId="342ABC71">
                  <w:pPr>
                    <w:spacing w:line="311" w:lineRule="auto"/>
                    <w:rPr>
                      <w:rFonts w:ascii="Arial"/>
                      <w:sz w:val="21"/>
                    </w:rPr>
                  </w:pPr>
                </w:p>
                <w:p w14:paraId="7F253634">
                  <w:pPr>
                    <w:pStyle w:val="6"/>
                    <w:spacing w:before="65" w:line="228" w:lineRule="auto"/>
                    <w:ind w:left="238"/>
                    <w:rPr>
                      <w:sz w:val="20"/>
                      <w:szCs w:val="20"/>
                    </w:rPr>
                  </w:pPr>
                  <w:r>
                    <w:rPr>
                      <w:spacing w:val="3"/>
                      <w:sz w:val="20"/>
                      <w:szCs w:val="20"/>
                    </w:rPr>
                    <w:t>符合</w:t>
                  </w:r>
                </w:p>
              </w:tc>
            </w:tr>
            <w:tr w14:paraId="5AD54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4" w:hRule="atLeast"/>
              </w:trPr>
              <w:tc>
                <w:tcPr>
                  <w:tcW w:w="4345" w:type="dxa"/>
                  <w:tcBorders>
                    <w:left w:val="single" w:color="000000" w:sz="2" w:space="0"/>
                  </w:tcBorders>
                  <w:vAlign w:val="top"/>
                </w:tcPr>
                <w:p w14:paraId="149FF153">
                  <w:pPr>
                    <w:pStyle w:val="6"/>
                    <w:spacing w:before="163" w:line="248" w:lineRule="auto"/>
                    <w:ind w:left="238" w:right="117"/>
                    <w:jc w:val="both"/>
                    <w:rPr>
                      <w:sz w:val="20"/>
                      <w:szCs w:val="20"/>
                    </w:rPr>
                  </w:pPr>
                  <w:r>
                    <w:rPr>
                      <w:spacing w:val="6"/>
                      <w:sz w:val="20"/>
                      <w:szCs w:val="20"/>
                    </w:rPr>
                    <w:t>第六条禁止违法利用、</w:t>
                  </w:r>
                  <w:r>
                    <w:rPr>
                      <w:spacing w:val="-35"/>
                      <w:sz w:val="20"/>
                      <w:szCs w:val="20"/>
                    </w:rPr>
                    <w:t xml:space="preserve"> </w:t>
                  </w:r>
                  <w:r>
                    <w:rPr>
                      <w:spacing w:val="6"/>
                      <w:sz w:val="20"/>
                      <w:szCs w:val="20"/>
                    </w:rPr>
                    <w:t>占用长江流域河湖岸</w:t>
                  </w:r>
                  <w:r>
                    <w:rPr>
                      <w:sz w:val="20"/>
                      <w:szCs w:val="20"/>
                    </w:rPr>
                    <w:t xml:space="preserve"> </w:t>
                  </w:r>
                  <w:r>
                    <w:rPr>
                      <w:spacing w:val="9"/>
                      <w:sz w:val="20"/>
                      <w:szCs w:val="20"/>
                    </w:rPr>
                    <w:t>线。禁止在金沙江岸线保护区和保留区内投 资建设除事关公共安全及公众利益的防洪护 岸、河道治理、供水、生态环境保护、航道 整治、国家重要基础设施以外的项目。禁止 在金沙江干流、九大高原湖泊保护区、保留 区内投资建设不利于水资源及自然生态保护</w:t>
                  </w:r>
                </w:p>
                <w:p w14:paraId="7C8EC3F6">
                  <w:pPr>
                    <w:pStyle w:val="6"/>
                    <w:spacing w:before="24" w:line="228" w:lineRule="auto"/>
                    <w:ind w:left="1830"/>
                    <w:rPr>
                      <w:sz w:val="20"/>
                      <w:szCs w:val="20"/>
                    </w:rPr>
                  </w:pPr>
                  <w:r>
                    <w:rPr>
                      <w:sz w:val="20"/>
                      <w:szCs w:val="20"/>
                    </w:rPr>
                    <w:t>的项目。</w:t>
                  </w:r>
                </w:p>
              </w:tc>
              <w:tc>
                <w:tcPr>
                  <w:tcW w:w="2725" w:type="dxa"/>
                  <w:vAlign w:val="top"/>
                </w:tcPr>
                <w:p w14:paraId="07E8C817">
                  <w:pPr>
                    <w:pStyle w:val="6"/>
                    <w:spacing w:before="27" w:line="227" w:lineRule="auto"/>
                    <w:ind w:left="212"/>
                    <w:rPr>
                      <w:sz w:val="20"/>
                      <w:szCs w:val="20"/>
                    </w:rPr>
                  </w:pPr>
                  <w:r>
                    <w:rPr>
                      <w:spacing w:val="8"/>
                      <w:sz w:val="20"/>
                      <w:szCs w:val="20"/>
                    </w:rPr>
                    <w:t>本项目位于云南省昆明市</w:t>
                  </w:r>
                </w:p>
                <w:p w14:paraId="23460595">
                  <w:pPr>
                    <w:pStyle w:val="6"/>
                    <w:spacing w:before="29" w:line="247" w:lineRule="auto"/>
                    <w:ind w:left="111" w:right="101" w:firstLine="104"/>
                    <w:rPr>
                      <w:sz w:val="20"/>
                      <w:szCs w:val="20"/>
                    </w:rPr>
                  </w:pPr>
                  <w:r>
                    <w:rPr>
                      <w:spacing w:val="8"/>
                      <w:sz w:val="20"/>
                      <w:szCs w:val="20"/>
                    </w:rPr>
                    <w:t>寻甸回族彝族自治县河口</w:t>
                  </w:r>
                  <w:r>
                    <w:rPr>
                      <w:spacing w:val="3"/>
                      <w:sz w:val="20"/>
                      <w:szCs w:val="20"/>
                    </w:rPr>
                    <w:t xml:space="preserve">  </w:t>
                  </w:r>
                  <w:r>
                    <w:rPr>
                      <w:spacing w:val="8"/>
                      <w:sz w:val="20"/>
                      <w:szCs w:val="20"/>
                    </w:rPr>
                    <w:t>镇境内，不占用河湖岸线，</w:t>
                  </w:r>
                  <w:r>
                    <w:rPr>
                      <w:spacing w:val="5"/>
                      <w:sz w:val="20"/>
                      <w:szCs w:val="20"/>
                    </w:rPr>
                    <w:t xml:space="preserve"> </w:t>
                  </w:r>
                  <w:r>
                    <w:rPr>
                      <w:spacing w:val="18"/>
                      <w:sz w:val="20"/>
                      <w:szCs w:val="20"/>
                    </w:rPr>
                    <w:t>不涉及金沙江岸线保护区</w:t>
                  </w:r>
                  <w:r>
                    <w:rPr>
                      <w:spacing w:val="1"/>
                      <w:sz w:val="20"/>
                      <w:szCs w:val="20"/>
                    </w:rPr>
                    <w:t xml:space="preserve">  </w:t>
                  </w:r>
                  <w:r>
                    <w:rPr>
                      <w:spacing w:val="8"/>
                      <w:sz w:val="20"/>
                      <w:szCs w:val="20"/>
                    </w:rPr>
                    <w:t>和保留区；区域地表水体牛</w:t>
                  </w:r>
                  <w:r>
                    <w:rPr>
                      <w:spacing w:val="5"/>
                      <w:sz w:val="20"/>
                      <w:szCs w:val="20"/>
                    </w:rPr>
                    <w:t xml:space="preserve"> </w:t>
                  </w:r>
                  <w:r>
                    <w:rPr>
                      <w:spacing w:val="18"/>
                      <w:sz w:val="20"/>
                      <w:szCs w:val="20"/>
                    </w:rPr>
                    <w:t>栏江为金沙江水系右岸一</w:t>
                  </w:r>
                  <w:r>
                    <w:rPr>
                      <w:spacing w:val="1"/>
                      <w:sz w:val="20"/>
                      <w:szCs w:val="20"/>
                    </w:rPr>
                    <w:t xml:space="preserve">  </w:t>
                  </w:r>
                  <w:r>
                    <w:rPr>
                      <w:spacing w:val="8"/>
                      <w:sz w:val="20"/>
                      <w:szCs w:val="20"/>
                    </w:rPr>
                    <w:t>级支流，项目建设不直接涉</w:t>
                  </w:r>
                </w:p>
                <w:p w14:paraId="1AE7D232">
                  <w:pPr>
                    <w:pStyle w:val="6"/>
                    <w:spacing w:before="24" w:line="236" w:lineRule="auto"/>
                    <w:ind w:left="426" w:right="101" w:hanging="316"/>
                    <w:rPr>
                      <w:sz w:val="20"/>
                      <w:szCs w:val="20"/>
                    </w:rPr>
                  </w:pPr>
                  <w:r>
                    <w:rPr>
                      <w:spacing w:val="8"/>
                      <w:sz w:val="20"/>
                      <w:szCs w:val="20"/>
                    </w:rPr>
                    <w:t>及金沙江干流、九大高原湖</w:t>
                  </w:r>
                  <w:r>
                    <w:rPr>
                      <w:spacing w:val="6"/>
                      <w:sz w:val="20"/>
                      <w:szCs w:val="20"/>
                    </w:rPr>
                    <w:t xml:space="preserve"> </w:t>
                  </w:r>
                  <w:r>
                    <w:rPr>
                      <w:spacing w:val="7"/>
                      <w:sz w:val="20"/>
                      <w:szCs w:val="20"/>
                    </w:rPr>
                    <w:t>泊保护区、保留区。</w:t>
                  </w:r>
                </w:p>
              </w:tc>
              <w:tc>
                <w:tcPr>
                  <w:tcW w:w="886" w:type="dxa"/>
                  <w:tcBorders>
                    <w:right w:val="single" w:color="000000" w:sz="2" w:space="0"/>
                  </w:tcBorders>
                  <w:vAlign w:val="top"/>
                </w:tcPr>
                <w:p w14:paraId="60BCC744">
                  <w:pPr>
                    <w:spacing w:line="261" w:lineRule="auto"/>
                    <w:rPr>
                      <w:rFonts w:ascii="Arial"/>
                      <w:sz w:val="21"/>
                    </w:rPr>
                  </w:pPr>
                </w:p>
                <w:p w14:paraId="7B9BA027">
                  <w:pPr>
                    <w:spacing w:line="261" w:lineRule="auto"/>
                    <w:rPr>
                      <w:rFonts w:ascii="Arial"/>
                      <w:sz w:val="21"/>
                    </w:rPr>
                  </w:pPr>
                </w:p>
                <w:p w14:paraId="7EFD4674">
                  <w:pPr>
                    <w:spacing w:line="261" w:lineRule="auto"/>
                    <w:rPr>
                      <w:rFonts w:ascii="Arial"/>
                      <w:sz w:val="21"/>
                    </w:rPr>
                  </w:pPr>
                </w:p>
                <w:p w14:paraId="276C408A">
                  <w:pPr>
                    <w:spacing w:line="261" w:lineRule="auto"/>
                    <w:rPr>
                      <w:rFonts w:ascii="Arial"/>
                      <w:sz w:val="21"/>
                    </w:rPr>
                  </w:pPr>
                </w:p>
                <w:p w14:paraId="6E24A113">
                  <w:pPr>
                    <w:pStyle w:val="6"/>
                    <w:spacing w:before="65" w:line="228" w:lineRule="auto"/>
                    <w:ind w:left="238"/>
                    <w:rPr>
                      <w:sz w:val="20"/>
                      <w:szCs w:val="20"/>
                    </w:rPr>
                  </w:pPr>
                  <w:r>
                    <w:rPr>
                      <w:spacing w:val="3"/>
                      <w:sz w:val="20"/>
                      <w:szCs w:val="20"/>
                    </w:rPr>
                    <w:t>符合</w:t>
                  </w:r>
                </w:p>
              </w:tc>
            </w:tr>
            <w:tr w14:paraId="1BB11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5" w:hRule="atLeast"/>
              </w:trPr>
              <w:tc>
                <w:tcPr>
                  <w:tcW w:w="4345" w:type="dxa"/>
                  <w:tcBorders>
                    <w:left w:val="single" w:color="000000" w:sz="2" w:space="0"/>
                  </w:tcBorders>
                  <w:vAlign w:val="top"/>
                </w:tcPr>
                <w:p w14:paraId="03DED9CC">
                  <w:pPr>
                    <w:spacing w:line="370" w:lineRule="auto"/>
                    <w:rPr>
                      <w:rFonts w:ascii="Arial"/>
                      <w:sz w:val="21"/>
                    </w:rPr>
                  </w:pPr>
                </w:p>
                <w:p w14:paraId="2BE4903F">
                  <w:pPr>
                    <w:pStyle w:val="6"/>
                    <w:spacing w:before="65" w:line="246" w:lineRule="auto"/>
                    <w:ind w:left="242" w:right="117" w:hanging="3"/>
                    <w:rPr>
                      <w:sz w:val="20"/>
                      <w:szCs w:val="20"/>
                    </w:rPr>
                  </w:pPr>
                  <w:r>
                    <w:rPr>
                      <w:spacing w:val="9"/>
                      <w:sz w:val="20"/>
                      <w:szCs w:val="20"/>
                    </w:rPr>
                    <w:t>第七条禁止在金沙江干流、长江一级支流建</w:t>
                  </w:r>
                  <w:r>
                    <w:rPr>
                      <w:spacing w:val="8"/>
                      <w:sz w:val="20"/>
                      <w:szCs w:val="20"/>
                    </w:rPr>
                    <w:t xml:space="preserve"> </w:t>
                  </w:r>
                  <w:r>
                    <w:rPr>
                      <w:spacing w:val="9"/>
                      <w:sz w:val="20"/>
                      <w:szCs w:val="20"/>
                    </w:rPr>
                    <w:t>设除党中央、国务院、国家投资主管部门、</w:t>
                  </w:r>
                  <w:r>
                    <w:rPr>
                      <w:spacing w:val="5"/>
                      <w:sz w:val="20"/>
                      <w:szCs w:val="20"/>
                    </w:rPr>
                    <w:t xml:space="preserve"> </w:t>
                  </w:r>
                  <w:r>
                    <w:rPr>
                      <w:spacing w:val="9"/>
                      <w:sz w:val="20"/>
                      <w:szCs w:val="20"/>
                    </w:rPr>
                    <w:t>省级有关部门批复同意以外的过江基础设施</w:t>
                  </w:r>
                  <w:r>
                    <w:rPr>
                      <w:spacing w:val="5"/>
                      <w:sz w:val="20"/>
                      <w:szCs w:val="20"/>
                    </w:rPr>
                    <w:t xml:space="preserve"> </w:t>
                  </w:r>
                  <w:r>
                    <w:rPr>
                      <w:spacing w:val="9"/>
                      <w:sz w:val="20"/>
                      <w:szCs w:val="20"/>
                    </w:rPr>
                    <w:t>项目；禁止未经许可在金沙江干流、长江一</w:t>
                  </w:r>
                  <w:r>
                    <w:rPr>
                      <w:spacing w:val="5"/>
                      <w:sz w:val="20"/>
                      <w:szCs w:val="20"/>
                    </w:rPr>
                    <w:t xml:space="preserve"> </w:t>
                  </w:r>
                  <w:r>
                    <w:rPr>
                      <w:spacing w:val="9"/>
                      <w:sz w:val="20"/>
                      <w:szCs w:val="20"/>
                    </w:rPr>
                    <w:t>级支流、九大高原湖泊流域新设、改设或扩</w:t>
                  </w:r>
                </w:p>
                <w:p w14:paraId="2A83EC88">
                  <w:pPr>
                    <w:pStyle w:val="6"/>
                    <w:spacing w:before="27" w:line="228" w:lineRule="auto"/>
                    <w:ind w:left="1713"/>
                    <w:rPr>
                      <w:sz w:val="20"/>
                      <w:szCs w:val="20"/>
                    </w:rPr>
                  </w:pPr>
                  <w:r>
                    <w:rPr>
                      <w:spacing w:val="5"/>
                      <w:sz w:val="20"/>
                      <w:szCs w:val="20"/>
                    </w:rPr>
                    <w:t>大排污口。</w:t>
                  </w:r>
                </w:p>
              </w:tc>
              <w:tc>
                <w:tcPr>
                  <w:tcW w:w="2725" w:type="dxa"/>
                  <w:vAlign w:val="top"/>
                </w:tcPr>
                <w:p w14:paraId="67247045">
                  <w:pPr>
                    <w:pStyle w:val="6"/>
                    <w:spacing w:before="31" w:line="248" w:lineRule="auto"/>
                    <w:ind w:left="111" w:right="101" w:firstLine="101"/>
                    <w:jc w:val="right"/>
                    <w:rPr>
                      <w:sz w:val="20"/>
                      <w:szCs w:val="20"/>
                    </w:rPr>
                  </w:pPr>
                  <w:r>
                    <w:rPr>
                      <w:spacing w:val="8"/>
                      <w:sz w:val="20"/>
                      <w:szCs w:val="20"/>
                    </w:rPr>
                    <w:t>本项目位于云南省昆明市</w:t>
                  </w:r>
                  <w:r>
                    <w:rPr>
                      <w:spacing w:val="4"/>
                      <w:sz w:val="20"/>
                      <w:szCs w:val="20"/>
                    </w:rPr>
                    <w:t xml:space="preserve">  </w:t>
                  </w:r>
                  <w:r>
                    <w:rPr>
                      <w:spacing w:val="18"/>
                      <w:sz w:val="20"/>
                      <w:szCs w:val="20"/>
                    </w:rPr>
                    <w:t>寻甸回族彝族自治县河口</w:t>
                  </w:r>
                  <w:r>
                    <w:rPr>
                      <w:spacing w:val="1"/>
                      <w:sz w:val="20"/>
                      <w:szCs w:val="20"/>
                    </w:rPr>
                    <w:t xml:space="preserve">  </w:t>
                  </w:r>
                  <w:r>
                    <w:rPr>
                      <w:spacing w:val="8"/>
                      <w:sz w:val="20"/>
                      <w:szCs w:val="20"/>
                    </w:rPr>
                    <w:t>镇境内，区域地表水体牛栏</w:t>
                  </w:r>
                  <w:r>
                    <w:rPr>
                      <w:spacing w:val="3"/>
                      <w:sz w:val="20"/>
                      <w:szCs w:val="20"/>
                    </w:rPr>
                    <w:t xml:space="preserve"> </w:t>
                  </w:r>
                  <w:r>
                    <w:rPr>
                      <w:spacing w:val="18"/>
                      <w:sz w:val="20"/>
                      <w:szCs w:val="20"/>
                    </w:rPr>
                    <w:t>江为金沙江水系右岸一级</w:t>
                  </w:r>
                  <w:r>
                    <w:rPr>
                      <w:spacing w:val="1"/>
                      <w:sz w:val="20"/>
                      <w:szCs w:val="20"/>
                    </w:rPr>
                    <w:t xml:space="preserve">  </w:t>
                  </w:r>
                  <w:r>
                    <w:rPr>
                      <w:spacing w:val="8"/>
                      <w:sz w:val="20"/>
                      <w:szCs w:val="20"/>
                    </w:rPr>
                    <w:t>支流，项目建设不直接涉及</w:t>
                  </w:r>
                  <w:r>
                    <w:rPr>
                      <w:spacing w:val="5"/>
                      <w:sz w:val="20"/>
                      <w:szCs w:val="20"/>
                    </w:rPr>
                    <w:t xml:space="preserve"> </w:t>
                  </w:r>
                  <w:r>
                    <w:rPr>
                      <w:spacing w:val="18"/>
                      <w:sz w:val="20"/>
                      <w:szCs w:val="20"/>
                    </w:rPr>
                    <w:t>金沙江干流、长江一级支</w:t>
                  </w:r>
                  <w:r>
                    <w:rPr>
                      <w:spacing w:val="1"/>
                      <w:sz w:val="20"/>
                      <w:szCs w:val="20"/>
                    </w:rPr>
                    <w:t xml:space="preserve">  </w:t>
                  </w:r>
                  <w:r>
                    <w:rPr>
                      <w:spacing w:val="8"/>
                      <w:sz w:val="20"/>
                      <w:szCs w:val="20"/>
                    </w:rPr>
                    <w:t>流；项目废水处理后全部回</w:t>
                  </w:r>
                  <w:r>
                    <w:rPr>
                      <w:spacing w:val="2"/>
                      <w:sz w:val="20"/>
                      <w:szCs w:val="20"/>
                    </w:rPr>
                    <w:t xml:space="preserve"> </w:t>
                  </w:r>
                  <w:r>
                    <w:rPr>
                      <w:spacing w:val="8"/>
                      <w:sz w:val="20"/>
                      <w:szCs w:val="20"/>
                    </w:rPr>
                    <w:t>用，不涉及新设、改设或扩</w:t>
                  </w:r>
                </w:p>
                <w:p w14:paraId="12887BF1">
                  <w:pPr>
                    <w:pStyle w:val="6"/>
                    <w:spacing w:before="24" w:line="222" w:lineRule="auto"/>
                    <w:ind w:left="843"/>
                    <w:rPr>
                      <w:sz w:val="20"/>
                      <w:szCs w:val="20"/>
                    </w:rPr>
                  </w:pPr>
                  <w:r>
                    <w:rPr>
                      <w:spacing w:val="5"/>
                      <w:sz w:val="20"/>
                      <w:szCs w:val="20"/>
                    </w:rPr>
                    <w:t>大排污口。</w:t>
                  </w:r>
                </w:p>
              </w:tc>
              <w:tc>
                <w:tcPr>
                  <w:tcW w:w="886" w:type="dxa"/>
                  <w:tcBorders>
                    <w:right w:val="single" w:color="000000" w:sz="2" w:space="0"/>
                  </w:tcBorders>
                  <w:vAlign w:val="top"/>
                </w:tcPr>
                <w:p w14:paraId="20C74278">
                  <w:pPr>
                    <w:spacing w:line="260" w:lineRule="auto"/>
                    <w:rPr>
                      <w:rFonts w:ascii="Arial"/>
                      <w:sz w:val="21"/>
                    </w:rPr>
                  </w:pPr>
                </w:p>
                <w:p w14:paraId="66727E91">
                  <w:pPr>
                    <w:spacing w:line="261" w:lineRule="auto"/>
                    <w:rPr>
                      <w:rFonts w:ascii="Arial"/>
                      <w:sz w:val="21"/>
                    </w:rPr>
                  </w:pPr>
                </w:p>
                <w:p w14:paraId="686BBECB">
                  <w:pPr>
                    <w:spacing w:line="261" w:lineRule="auto"/>
                    <w:rPr>
                      <w:rFonts w:ascii="Arial"/>
                      <w:sz w:val="21"/>
                    </w:rPr>
                  </w:pPr>
                </w:p>
                <w:p w14:paraId="77648EB8">
                  <w:pPr>
                    <w:spacing w:line="261" w:lineRule="auto"/>
                    <w:rPr>
                      <w:rFonts w:ascii="Arial"/>
                      <w:sz w:val="21"/>
                    </w:rPr>
                  </w:pPr>
                </w:p>
                <w:p w14:paraId="1D4EC2D7">
                  <w:pPr>
                    <w:pStyle w:val="6"/>
                    <w:spacing w:before="65" w:line="228" w:lineRule="auto"/>
                    <w:ind w:left="238"/>
                    <w:rPr>
                      <w:sz w:val="20"/>
                      <w:szCs w:val="20"/>
                    </w:rPr>
                  </w:pPr>
                  <w:r>
                    <w:rPr>
                      <w:spacing w:val="3"/>
                      <w:sz w:val="20"/>
                      <w:szCs w:val="20"/>
                    </w:rPr>
                    <w:t>符合</w:t>
                  </w:r>
                </w:p>
              </w:tc>
            </w:tr>
            <w:tr w14:paraId="6B56B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0" w:hRule="atLeast"/>
              </w:trPr>
              <w:tc>
                <w:tcPr>
                  <w:tcW w:w="4345" w:type="dxa"/>
                  <w:tcBorders>
                    <w:left w:val="single" w:color="000000" w:sz="2" w:space="0"/>
                  </w:tcBorders>
                  <w:vAlign w:val="top"/>
                </w:tcPr>
                <w:p w14:paraId="0FBC058E">
                  <w:pPr>
                    <w:pStyle w:val="6"/>
                    <w:spacing w:before="28" w:line="247" w:lineRule="auto"/>
                    <w:ind w:left="239" w:right="117"/>
                    <w:jc w:val="both"/>
                    <w:rPr>
                      <w:sz w:val="20"/>
                      <w:szCs w:val="20"/>
                    </w:rPr>
                  </w:pPr>
                  <w:r>
                    <w:rPr>
                      <w:spacing w:val="9"/>
                      <w:sz w:val="20"/>
                      <w:szCs w:val="20"/>
                    </w:rPr>
                    <w:t>第九条禁止在金沙江干流，长江一级支流和</w:t>
                  </w:r>
                  <w:r>
                    <w:rPr>
                      <w:spacing w:val="8"/>
                      <w:sz w:val="20"/>
                      <w:szCs w:val="20"/>
                    </w:rPr>
                    <w:t xml:space="preserve"> </w:t>
                  </w:r>
                  <w:r>
                    <w:rPr>
                      <w:spacing w:val="9"/>
                      <w:sz w:val="20"/>
                      <w:szCs w:val="20"/>
                    </w:rPr>
                    <w:t>九大高原湖泊岸线一公里范围内新建、扩建</w:t>
                  </w:r>
                  <w:r>
                    <w:rPr>
                      <w:spacing w:val="7"/>
                      <w:sz w:val="20"/>
                      <w:szCs w:val="20"/>
                    </w:rPr>
                    <w:t xml:space="preserve"> </w:t>
                  </w:r>
                  <w:r>
                    <w:rPr>
                      <w:spacing w:val="9"/>
                      <w:sz w:val="20"/>
                      <w:szCs w:val="20"/>
                    </w:rPr>
                    <w:t>化工园区和化工项目。禁止在金沙江干流岸</w:t>
                  </w:r>
                  <w:r>
                    <w:rPr>
                      <w:spacing w:val="7"/>
                      <w:sz w:val="20"/>
                      <w:szCs w:val="20"/>
                    </w:rPr>
                    <w:t xml:space="preserve"> </w:t>
                  </w:r>
                  <w:r>
                    <w:rPr>
                      <w:spacing w:val="9"/>
                      <w:sz w:val="20"/>
                      <w:szCs w:val="20"/>
                    </w:rPr>
                    <w:t>线三公里范围内和长江一级支流岸线一公里</w:t>
                  </w:r>
                  <w:r>
                    <w:rPr>
                      <w:spacing w:val="7"/>
                      <w:sz w:val="20"/>
                      <w:szCs w:val="20"/>
                    </w:rPr>
                    <w:t xml:space="preserve"> </w:t>
                  </w:r>
                  <w:r>
                    <w:rPr>
                      <w:spacing w:val="9"/>
                      <w:sz w:val="20"/>
                      <w:szCs w:val="20"/>
                    </w:rPr>
                    <w:t>范围内新建、改建、扩建尾矿库、冶炼渣库</w:t>
                  </w:r>
                  <w:r>
                    <w:rPr>
                      <w:spacing w:val="7"/>
                      <w:sz w:val="20"/>
                      <w:szCs w:val="20"/>
                    </w:rPr>
                    <w:t xml:space="preserve"> 和磷石膏库，</w:t>
                  </w:r>
                  <w:r>
                    <w:rPr>
                      <w:spacing w:val="-55"/>
                      <w:sz w:val="20"/>
                      <w:szCs w:val="20"/>
                    </w:rPr>
                    <w:t xml:space="preserve"> </w:t>
                  </w:r>
                  <w:r>
                    <w:rPr>
                      <w:spacing w:val="7"/>
                      <w:sz w:val="20"/>
                      <w:szCs w:val="20"/>
                    </w:rPr>
                    <w:t>以提升安全、生态环境保护水</w:t>
                  </w:r>
                </w:p>
                <w:p w14:paraId="76A3BD00">
                  <w:pPr>
                    <w:pStyle w:val="6"/>
                    <w:spacing w:before="28" w:line="220" w:lineRule="auto"/>
                    <w:ind w:left="1289"/>
                    <w:rPr>
                      <w:sz w:val="20"/>
                      <w:szCs w:val="20"/>
                    </w:rPr>
                  </w:pPr>
                  <w:r>
                    <w:rPr>
                      <w:spacing w:val="7"/>
                      <w:sz w:val="20"/>
                      <w:szCs w:val="20"/>
                    </w:rPr>
                    <w:t>平为目的改建除外。</w:t>
                  </w:r>
                </w:p>
              </w:tc>
              <w:tc>
                <w:tcPr>
                  <w:tcW w:w="2725" w:type="dxa"/>
                  <w:vAlign w:val="top"/>
                </w:tcPr>
                <w:p w14:paraId="1E5E6D70">
                  <w:pPr>
                    <w:spacing w:line="368" w:lineRule="auto"/>
                    <w:rPr>
                      <w:rFonts w:ascii="Arial"/>
                      <w:sz w:val="21"/>
                    </w:rPr>
                  </w:pPr>
                </w:p>
                <w:p w14:paraId="2F7134AD">
                  <w:pPr>
                    <w:pStyle w:val="6"/>
                    <w:spacing w:before="65" w:line="227" w:lineRule="auto"/>
                    <w:ind w:left="111"/>
                    <w:rPr>
                      <w:sz w:val="20"/>
                      <w:szCs w:val="20"/>
                    </w:rPr>
                  </w:pPr>
                  <w:r>
                    <w:rPr>
                      <w:spacing w:val="8"/>
                      <w:sz w:val="20"/>
                      <w:szCs w:val="20"/>
                    </w:rPr>
                    <w:t>本项目光伏发电项目，不属</w:t>
                  </w:r>
                </w:p>
                <w:p w14:paraId="59E3B1C5">
                  <w:pPr>
                    <w:pStyle w:val="6"/>
                    <w:spacing w:before="28" w:line="228" w:lineRule="auto"/>
                    <w:ind w:left="114"/>
                    <w:rPr>
                      <w:sz w:val="20"/>
                      <w:szCs w:val="20"/>
                    </w:rPr>
                  </w:pPr>
                  <w:r>
                    <w:rPr>
                      <w:spacing w:val="8"/>
                      <w:sz w:val="20"/>
                      <w:szCs w:val="20"/>
                    </w:rPr>
                    <w:t>于化工园区和化工项目，也</w:t>
                  </w:r>
                </w:p>
                <w:p w14:paraId="78D982FF">
                  <w:pPr>
                    <w:pStyle w:val="6"/>
                    <w:spacing w:before="22"/>
                    <w:ind w:left="525" w:right="101" w:hanging="411"/>
                    <w:rPr>
                      <w:sz w:val="20"/>
                      <w:szCs w:val="20"/>
                    </w:rPr>
                  </w:pPr>
                  <w:r>
                    <w:rPr>
                      <w:spacing w:val="8"/>
                      <w:sz w:val="20"/>
                      <w:szCs w:val="20"/>
                    </w:rPr>
                    <w:t>不属于尾矿库、冶炼渣库和</w:t>
                  </w:r>
                  <w:r>
                    <w:rPr>
                      <w:spacing w:val="2"/>
                      <w:sz w:val="20"/>
                      <w:szCs w:val="20"/>
                    </w:rPr>
                    <w:t xml:space="preserve"> </w:t>
                  </w:r>
                  <w:r>
                    <w:rPr>
                      <w:spacing w:val="7"/>
                      <w:sz w:val="20"/>
                      <w:szCs w:val="20"/>
                    </w:rPr>
                    <w:t>磷石膏库的建设。</w:t>
                  </w:r>
                </w:p>
              </w:tc>
              <w:tc>
                <w:tcPr>
                  <w:tcW w:w="886" w:type="dxa"/>
                  <w:tcBorders>
                    <w:right w:val="single" w:color="000000" w:sz="2" w:space="0"/>
                  </w:tcBorders>
                  <w:vAlign w:val="top"/>
                </w:tcPr>
                <w:p w14:paraId="2A0B2CB6">
                  <w:pPr>
                    <w:spacing w:line="257" w:lineRule="auto"/>
                    <w:rPr>
                      <w:rFonts w:ascii="Arial"/>
                      <w:sz w:val="21"/>
                    </w:rPr>
                  </w:pPr>
                </w:p>
                <w:p w14:paraId="6AAFFCE8">
                  <w:pPr>
                    <w:spacing w:line="258" w:lineRule="auto"/>
                    <w:rPr>
                      <w:rFonts w:ascii="Arial"/>
                      <w:sz w:val="21"/>
                    </w:rPr>
                  </w:pPr>
                </w:p>
                <w:p w14:paraId="0DA1AC5D">
                  <w:pPr>
                    <w:spacing w:line="258" w:lineRule="auto"/>
                    <w:rPr>
                      <w:rFonts w:ascii="Arial"/>
                      <w:sz w:val="21"/>
                    </w:rPr>
                  </w:pPr>
                </w:p>
                <w:p w14:paraId="13CA6CBA">
                  <w:pPr>
                    <w:pStyle w:val="6"/>
                    <w:spacing w:before="65" w:line="228" w:lineRule="auto"/>
                    <w:ind w:left="238"/>
                    <w:rPr>
                      <w:sz w:val="20"/>
                      <w:szCs w:val="20"/>
                    </w:rPr>
                  </w:pPr>
                  <w:r>
                    <w:rPr>
                      <w:spacing w:val="3"/>
                      <w:sz w:val="20"/>
                      <w:szCs w:val="20"/>
                    </w:rPr>
                    <w:t>符合</w:t>
                  </w:r>
                </w:p>
              </w:tc>
            </w:tr>
            <w:tr w14:paraId="65579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9" w:hRule="atLeast"/>
              </w:trPr>
              <w:tc>
                <w:tcPr>
                  <w:tcW w:w="4345" w:type="dxa"/>
                  <w:tcBorders>
                    <w:left w:val="single" w:color="000000" w:sz="2" w:space="0"/>
                    <w:bottom w:val="single" w:color="000000" w:sz="2" w:space="0"/>
                  </w:tcBorders>
                  <w:vAlign w:val="top"/>
                </w:tcPr>
                <w:p w14:paraId="398F4063">
                  <w:pPr>
                    <w:pStyle w:val="6"/>
                    <w:spacing w:before="299" w:line="249" w:lineRule="auto"/>
                    <w:ind w:left="239" w:right="117"/>
                    <w:jc w:val="both"/>
                    <w:rPr>
                      <w:sz w:val="20"/>
                      <w:szCs w:val="20"/>
                    </w:rPr>
                  </w:pPr>
                  <w:r>
                    <w:rPr>
                      <w:spacing w:val="9"/>
                      <w:sz w:val="20"/>
                      <w:szCs w:val="20"/>
                    </w:rPr>
                    <w:t>第十二条禁止新建、扩建法律法规和相关政</w:t>
                  </w:r>
                  <w:r>
                    <w:rPr>
                      <w:spacing w:val="8"/>
                      <w:sz w:val="20"/>
                      <w:szCs w:val="20"/>
                    </w:rPr>
                    <w:t xml:space="preserve"> </w:t>
                  </w:r>
                  <w:r>
                    <w:rPr>
                      <w:spacing w:val="9"/>
                      <w:sz w:val="20"/>
                      <w:szCs w:val="20"/>
                    </w:rPr>
                    <w:t>策明令禁止的落后产能项目，依法依规关停</w:t>
                  </w:r>
                  <w:r>
                    <w:rPr>
                      <w:spacing w:val="8"/>
                      <w:sz w:val="20"/>
                      <w:szCs w:val="20"/>
                    </w:rPr>
                    <w:t xml:space="preserve"> </w:t>
                  </w:r>
                  <w:r>
                    <w:rPr>
                      <w:spacing w:val="9"/>
                      <w:sz w:val="20"/>
                      <w:szCs w:val="20"/>
                    </w:rPr>
                    <w:t>退出能耗、环保、质量、安全不达标产能和</w:t>
                  </w:r>
                  <w:r>
                    <w:rPr>
                      <w:spacing w:val="8"/>
                      <w:sz w:val="20"/>
                      <w:szCs w:val="20"/>
                    </w:rPr>
                    <w:t xml:space="preserve"> </w:t>
                  </w:r>
                  <w:r>
                    <w:rPr>
                      <w:spacing w:val="9"/>
                      <w:sz w:val="20"/>
                      <w:szCs w:val="20"/>
                    </w:rPr>
                    <w:t>技术落后产能。禁止新建、扩建不符合国家</w:t>
                  </w:r>
                  <w:r>
                    <w:rPr>
                      <w:spacing w:val="8"/>
                      <w:sz w:val="20"/>
                      <w:szCs w:val="20"/>
                    </w:rPr>
                    <w:t xml:space="preserve"> </w:t>
                  </w:r>
                  <w:r>
                    <w:rPr>
                      <w:spacing w:val="9"/>
                      <w:sz w:val="20"/>
                      <w:szCs w:val="20"/>
                    </w:rPr>
                    <w:t>产能置换要求的过剩产能行业的项目。禁止</w:t>
                  </w:r>
                  <w:r>
                    <w:rPr>
                      <w:spacing w:val="8"/>
                      <w:sz w:val="20"/>
                      <w:szCs w:val="20"/>
                    </w:rPr>
                    <w:t xml:space="preserve"> </w:t>
                  </w:r>
                  <w:r>
                    <w:rPr>
                      <w:spacing w:val="9"/>
                      <w:sz w:val="20"/>
                      <w:szCs w:val="20"/>
                    </w:rPr>
                    <w:t>新建、扩建不符合要求的高耗能、高排放项</w:t>
                  </w:r>
                  <w:r>
                    <w:rPr>
                      <w:spacing w:val="8"/>
                      <w:sz w:val="20"/>
                      <w:szCs w:val="20"/>
                    </w:rPr>
                    <w:t xml:space="preserve"> </w:t>
                  </w:r>
                  <w:r>
                    <w:rPr>
                      <w:spacing w:val="7"/>
                      <w:sz w:val="20"/>
                      <w:szCs w:val="20"/>
                    </w:rPr>
                    <w:t>目，推动退出重点高耗能行业“限制类</w:t>
                  </w:r>
                  <w:r>
                    <w:rPr>
                      <w:spacing w:val="-54"/>
                      <w:sz w:val="20"/>
                      <w:szCs w:val="20"/>
                    </w:rPr>
                    <w:t xml:space="preserve"> </w:t>
                  </w:r>
                  <w:r>
                    <w:rPr>
                      <w:spacing w:val="7"/>
                      <w:sz w:val="20"/>
                      <w:szCs w:val="20"/>
                    </w:rPr>
                    <w:t>”产</w:t>
                  </w:r>
                  <w:r>
                    <w:rPr>
                      <w:sz w:val="20"/>
                      <w:szCs w:val="20"/>
                    </w:rPr>
                    <w:t xml:space="preserve"> </w:t>
                  </w:r>
                  <w:r>
                    <w:rPr>
                      <w:spacing w:val="9"/>
                      <w:sz w:val="20"/>
                      <w:szCs w:val="20"/>
                    </w:rPr>
                    <w:t>能。禁止建设高毒高残留以及对环境影响大</w:t>
                  </w:r>
                  <w:r>
                    <w:rPr>
                      <w:spacing w:val="8"/>
                      <w:sz w:val="20"/>
                      <w:szCs w:val="20"/>
                    </w:rPr>
                    <w:t xml:space="preserve"> </w:t>
                  </w:r>
                  <w:r>
                    <w:rPr>
                      <w:spacing w:val="7"/>
                      <w:sz w:val="20"/>
                      <w:szCs w:val="20"/>
                    </w:rPr>
                    <w:t>的农药原药生产装置，严控尿素、磷铵、</w:t>
                  </w:r>
                  <w:r>
                    <w:rPr>
                      <w:spacing w:val="-54"/>
                      <w:sz w:val="20"/>
                      <w:szCs w:val="20"/>
                    </w:rPr>
                    <w:t xml:space="preserve"> </w:t>
                  </w:r>
                  <w:r>
                    <w:rPr>
                      <w:spacing w:val="7"/>
                      <w:sz w:val="20"/>
                      <w:szCs w:val="20"/>
                    </w:rPr>
                    <w:t>电</w:t>
                  </w:r>
                  <w:r>
                    <w:rPr>
                      <w:sz w:val="20"/>
                      <w:szCs w:val="20"/>
                    </w:rPr>
                    <w:t xml:space="preserve"> </w:t>
                  </w:r>
                  <w:r>
                    <w:rPr>
                      <w:spacing w:val="9"/>
                      <w:sz w:val="20"/>
                      <w:szCs w:val="20"/>
                    </w:rPr>
                    <w:t>石、焦炭、黄磷、烧碱、纯碱、聚氯乙烯等</w:t>
                  </w:r>
                </w:p>
                <w:p w14:paraId="3CCBC076">
                  <w:pPr>
                    <w:pStyle w:val="6"/>
                    <w:spacing w:before="24" w:line="228" w:lineRule="auto"/>
                    <w:ind w:left="1502"/>
                    <w:rPr>
                      <w:sz w:val="20"/>
                      <w:szCs w:val="20"/>
                    </w:rPr>
                  </w:pPr>
                  <w:r>
                    <w:rPr>
                      <w:spacing w:val="6"/>
                      <w:sz w:val="20"/>
                      <w:szCs w:val="20"/>
                    </w:rPr>
                    <w:t>行业新增产能。</w:t>
                  </w:r>
                </w:p>
              </w:tc>
              <w:tc>
                <w:tcPr>
                  <w:tcW w:w="2725" w:type="dxa"/>
                  <w:tcBorders>
                    <w:bottom w:val="single" w:color="000000" w:sz="2" w:space="0"/>
                  </w:tcBorders>
                  <w:vAlign w:val="top"/>
                </w:tcPr>
                <w:p w14:paraId="058DDBBB">
                  <w:pPr>
                    <w:pStyle w:val="6"/>
                    <w:spacing w:before="28" w:line="227" w:lineRule="auto"/>
                    <w:ind w:left="111"/>
                    <w:rPr>
                      <w:sz w:val="20"/>
                      <w:szCs w:val="20"/>
                    </w:rPr>
                  </w:pPr>
                  <w:r>
                    <w:rPr>
                      <w:spacing w:val="8"/>
                      <w:sz w:val="20"/>
                      <w:szCs w:val="20"/>
                    </w:rPr>
                    <w:t>本项目为光伏发电项目，根</w:t>
                  </w:r>
                </w:p>
                <w:p w14:paraId="3F2D9C93">
                  <w:pPr>
                    <w:pStyle w:val="6"/>
                    <w:spacing w:before="24" w:line="228" w:lineRule="auto"/>
                    <w:ind w:left="110"/>
                    <w:rPr>
                      <w:sz w:val="20"/>
                      <w:szCs w:val="20"/>
                    </w:rPr>
                  </w:pPr>
                  <w:r>
                    <w:rPr>
                      <w:spacing w:val="8"/>
                      <w:sz w:val="20"/>
                      <w:szCs w:val="20"/>
                    </w:rPr>
                    <w:t>据《产业结构调整指导目录</w:t>
                  </w:r>
                </w:p>
                <w:p w14:paraId="5B5F2C61">
                  <w:pPr>
                    <w:pStyle w:val="6"/>
                    <w:spacing w:before="26" w:line="227" w:lineRule="auto"/>
                    <w:ind w:right="7"/>
                    <w:jc w:val="right"/>
                    <w:rPr>
                      <w:sz w:val="20"/>
                      <w:szCs w:val="20"/>
                    </w:rPr>
                  </w:pPr>
                  <w:r>
                    <w:rPr>
                      <w:spacing w:val="-4"/>
                      <w:sz w:val="20"/>
                      <w:szCs w:val="20"/>
                    </w:rPr>
                    <w:t>（</w:t>
                  </w:r>
                  <w:r>
                    <w:rPr>
                      <w:rFonts w:ascii="Times New Roman" w:hAnsi="Times New Roman" w:eastAsia="Times New Roman" w:cs="Times New Roman"/>
                      <w:spacing w:val="-4"/>
                      <w:sz w:val="20"/>
                      <w:szCs w:val="20"/>
                    </w:rPr>
                    <w:t xml:space="preserve">2024 </w:t>
                  </w:r>
                  <w:r>
                    <w:rPr>
                      <w:spacing w:val="-4"/>
                      <w:sz w:val="20"/>
                      <w:szCs w:val="20"/>
                    </w:rPr>
                    <w:t>年本）》中“第五项，</w:t>
                  </w:r>
                </w:p>
                <w:p w14:paraId="76511D76">
                  <w:pPr>
                    <w:pStyle w:val="6"/>
                    <w:spacing w:before="25" w:line="228" w:lineRule="auto"/>
                    <w:ind w:left="111"/>
                    <w:rPr>
                      <w:sz w:val="20"/>
                      <w:szCs w:val="20"/>
                    </w:rPr>
                  </w:pPr>
                  <w:r>
                    <w:rPr>
                      <w:spacing w:val="4"/>
                      <w:sz w:val="20"/>
                      <w:szCs w:val="20"/>
                    </w:rPr>
                    <w:t>新能源</w:t>
                  </w:r>
                  <w:r>
                    <w:rPr>
                      <w:spacing w:val="-64"/>
                      <w:sz w:val="20"/>
                      <w:szCs w:val="20"/>
                    </w:rPr>
                    <w:t xml:space="preserve"> </w:t>
                  </w:r>
                  <w:r>
                    <w:rPr>
                      <w:spacing w:val="4"/>
                      <w:sz w:val="20"/>
                      <w:szCs w:val="20"/>
                    </w:rPr>
                    <w:t>”中第</w:t>
                  </w:r>
                  <w:r>
                    <w:rPr>
                      <w:spacing w:val="-40"/>
                      <w:sz w:val="20"/>
                      <w:szCs w:val="20"/>
                    </w:rPr>
                    <w:t xml:space="preserve"> </w:t>
                  </w:r>
                  <w:r>
                    <w:rPr>
                      <w:rFonts w:ascii="Times New Roman" w:hAnsi="Times New Roman" w:eastAsia="Times New Roman" w:cs="Times New Roman"/>
                      <w:spacing w:val="4"/>
                      <w:sz w:val="20"/>
                      <w:szCs w:val="20"/>
                    </w:rPr>
                    <w:t xml:space="preserve">2 </w:t>
                  </w:r>
                  <w:r>
                    <w:rPr>
                      <w:spacing w:val="4"/>
                      <w:sz w:val="20"/>
                      <w:szCs w:val="20"/>
                    </w:rPr>
                    <w:t>条，“可再</w:t>
                  </w:r>
                </w:p>
                <w:p w14:paraId="718C017E">
                  <w:pPr>
                    <w:pStyle w:val="6"/>
                    <w:spacing w:before="26" w:line="228" w:lineRule="auto"/>
                    <w:ind w:left="112"/>
                    <w:rPr>
                      <w:sz w:val="20"/>
                      <w:szCs w:val="20"/>
                    </w:rPr>
                  </w:pPr>
                  <w:r>
                    <w:rPr>
                      <w:spacing w:val="8"/>
                      <w:sz w:val="20"/>
                      <w:szCs w:val="20"/>
                    </w:rPr>
                    <w:t>生能源利用技术与应用：太</w:t>
                  </w:r>
                </w:p>
                <w:p w14:paraId="3413A0E0">
                  <w:pPr>
                    <w:pStyle w:val="6"/>
                    <w:spacing w:before="24" w:line="228" w:lineRule="auto"/>
                    <w:ind w:left="126"/>
                    <w:rPr>
                      <w:sz w:val="20"/>
                      <w:szCs w:val="20"/>
                    </w:rPr>
                  </w:pPr>
                  <w:r>
                    <w:rPr>
                      <w:spacing w:val="7"/>
                      <w:sz w:val="20"/>
                      <w:szCs w:val="20"/>
                    </w:rPr>
                    <w:t>阳能热发电集热系统、高效</w:t>
                  </w:r>
                </w:p>
                <w:p w14:paraId="564D171D">
                  <w:pPr>
                    <w:pStyle w:val="6"/>
                    <w:spacing w:before="27" w:line="227" w:lineRule="auto"/>
                    <w:ind w:left="213"/>
                    <w:rPr>
                      <w:sz w:val="20"/>
                      <w:szCs w:val="20"/>
                    </w:rPr>
                  </w:pPr>
                  <w:r>
                    <w:rPr>
                      <w:spacing w:val="9"/>
                      <w:sz w:val="20"/>
                      <w:szCs w:val="20"/>
                    </w:rPr>
                    <w:t>率低成本太阳能光伏发电</w:t>
                  </w:r>
                </w:p>
                <w:p w14:paraId="5964D152">
                  <w:pPr>
                    <w:pStyle w:val="6"/>
                    <w:spacing w:before="25" w:line="228" w:lineRule="auto"/>
                    <w:ind w:left="111"/>
                    <w:rPr>
                      <w:sz w:val="20"/>
                      <w:szCs w:val="20"/>
                    </w:rPr>
                  </w:pPr>
                  <w:r>
                    <w:rPr>
                      <w:spacing w:val="8"/>
                      <w:sz w:val="20"/>
                      <w:szCs w:val="20"/>
                    </w:rPr>
                    <w:t>技术研发与产业化、系统集</w:t>
                  </w:r>
                </w:p>
                <w:p w14:paraId="51595AD7">
                  <w:pPr>
                    <w:pStyle w:val="6"/>
                    <w:spacing w:before="26" w:line="228" w:lineRule="auto"/>
                    <w:ind w:left="112"/>
                    <w:rPr>
                      <w:sz w:val="20"/>
                      <w:szCs w:val="20"/>
                    </w:rPr>
                  </w:pPr>
                  <w:r>
                    <w:rPr>
                      <w:spacing w:val="5"/>
                      <w:sz w:val="20"/>
                      <w:szCs w:val="20"/>
                    </w:rPr>
                    <w:t>成技术开发应用</w:t>
                  </w:r>
                  <w:r>
                    <w:rPr>
                      <w:spacing w:val="-61"/>
                      <w:sz w:val="20"/>
                      <w:szCs w:val="20"/>
                    </w:rPr>
                    <w:t xml:space="preserve"> </w:t>
                  </w:r>
                  <w:r>
                    <w:rPr>
                      <w:spacing w:val="5"/>
                      <w:sz w:val="20"/>
                      <w:szCs w:val="20"/>
                    </w:rPr>
                    <w:t>”，属于鼓</w:t>
                  </w:r>
                </w:p>
                <w:p w14:paraId="6396E6B3">
                  <w:pPr>
                    <w:pStyle w:val="6"/>
                    <w:spacing w:before="24" w:line="228" w:lineRule="auto"/>
                    <w:ind w:left="110"/>
                    <w:rPr>
                      <w:sz w:val="20"/>
                      <w:szCs w:val="20"/>
                    </w:rPr>
                  </w:pPr>
                  <w:r>
                    <w:rPr>
                      <w:spacing w:val="8"/>
                      <w:sz w:val="20"/>
                      <w:szCs w:val="20"/>
                    </w:rPr>
                    <w:t>励类项目；不属于尿素、磷</w:t>
                  </w:r>
                </w:p>
                <w:p w14:paraId="4BBE37D5">
                  <w:pPr>
                    <w:pStyle w:val="6"/>
                    <w:spacing w:before="27" w:line="227" w:lineRule="auto"/>
                    <w:ind w:left="111"/>
                    <w:rPr>
                      <w:sz w:val="20"/>
                      <w:szCs w:val="20"/>
                    </w:rPr>
                  </w:pPr>
                  <w:r>
                    <w:rPr>
                      <w:spacing w:val="8"/>
                      <w:sz w:val="20"/>
                      <w:szCs w:val="20"/>
                    </w:rPr>
                    <w:t>铵、电石、焦炭、黄磷、烧</w:t>
                  </w:r>
                </w:p>
                <w:p w14:paraId="6BD2A348">
                  <w:pPr>
                    <w:pStyle w:val="6"/>
                    <w:spacing w:before="25" w:line="228" w:lineRule="auto"/>
                    <w:ind w:left="109"/>
                    <w:rPr>
                      <w:sz w:val="20"/>
                      <w:szCs w:val="20"/>
                    </w:rPr>
                  </w:pPr>
                  <w:r>
                    <w:rPr>
                      <w:spacing w:val="8"/>
                      <w:sz w:val="20"/>
                      <w:szCs w:val="20"/>
                    </w:rPr>
                    <w:t>碱、纯碱、聚氯乙烯等高耗</w:t>
                  </w:r>
                </w:p>
                <w:p w14:paraId="2566A2D0">
                  <w:pPr>
                    <w:pStyle w:val="6"/>
                    <w:spacing w:before="27" w:line="215" w:lineRule="auto"/>
                    <w:ind w:left="640"/>
                    <w:rPr>
                      <w:sz w:val="20"/>
                      <w:szCs w:val="20"/>
                    </w:rPr>
                  </w:pPr>
                  <w:r>
                    <w:rPr>
                      <w:spacing w:val="7"/>
                      <w:sz w:val="20"/>
                      <w:szCs w:val="20"/>
                    </w:rPr>
                    <w:t>能、高排放项目</w:t>
                  </w:r>
                </w:p>
              </w:tc>
              <w:tc>
                <w:tcPr>
                  <w:tcW w:w="886" w:type="dxa"/>
                  <w:tcBorders>
                    <w:bottom w:val="single" w:color="000000" w:sz="2" w:space="0"/>
                    <w:right w:val="single" w:color="000000" w:sz="2" w:space="0"/>
                  </w:tcBorders>
                  <w:vAlign w:val="top"/>
                </w:tcPr>
                <w:p w14:paraId="7213C19F">
                  <w:pPr>
                    <w:spacing w:line="264" w:lineRule="auto"/>
                    <w:rPr>
                      <w:rFonts w:ascii="Arial"/>
                      <w:sz w:val="21"/>
                    </w:rPr>
                  </w:pPr>
                </w:p>
                <w:p w14:paraId="270DA6A5">
                  <w:pPr>
                    <w:spacing w:line="264" w:lineRule="auto"/>
                    <w:rPr>
                      <w:rFonts w:ascii="Arial"/>
                      <w:sz w:val="21"/>
                    </w:rPr>
                  </w:pPr>
                </w:p>
                <w:p w14:paraId="394B9056">
                  <w:pPr>
                    <w:spacing w:line="264" w:lineRule="auto"/>
                    <w:rPr>
                      <w:rFonts w:ascii="Arial"/>
                      <w:sz w:val="21"/>
                    </w:rPr>
                  </w:pPr>
                </w:p>
                <w:p w14:paraId="7A8A2A24">
                  <w:pPr>
                    <w:spacing w:line="264" w:lineRule="auto"/>
                    <w:rPr>
                      <w:rFonts w:ascii="Arial"/>
                      <w:sz w:val="21"/>
                    </w:rPr>
                  </w:pPr>
                </w:p>
                <w:p w14:paraId="6F630096">
                  <w:pPr>
                    <w:spacing w:line="264" w:lineRule="auto"/>
                    <w:rPr>
                      <w:rFonts w:ascii="Arial"/>
                      <w:sz w:val="21"/>
                    </w:rPr>
                  </w:pPr>
                </w:p>
                <w:p w14:paraId="079D8909">
                  <w:pPr>
                    <w:spacing w:line="264" w:lineRule="auto"/>
                    <w:rPr>
                      <w:rFonts w:ascii="Arial"/>
                      <w:sz w:val="21"/>
                    </w:rPr>
                  </w:pPr>
                </w:p>
                <w:p w14:paraId="777AC9CF">
                  <w:pPr>
                    <w:pStyle w:val="6"/>
                    <w:spacing w:before="65" w:line="228" w:lineRule="auto"/>
                    <w:ind w:left="238"/>
                    <w:rPr>
                      <w:sz w:val="20"/>
                      <w:szCs w:val="20"/>
                    </w:rPr>
                  </w:pPr>
                  <w:r>
                    <w:rPr>
                      <w:spacing w:val="3"/>
                      <w:sz w:val="20"/>
                      <w:szCs w:val="20"/>
                    </w:rPr>
                    <w:t>符合</w:t>
                  </w:r>
                </w:p>
              </w:tc>
            </w:tr>
            <w:tr w14:paraId="1907D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7956" w:type="dxa"/>
                  <w:gridSpan w:val="3"/>
                  <w:tcBorders>
                    <w:top w:val="single" w:color="000000" w:sz="2" w:space="0"/>
                    <w:left w:val="single" w:color="000000" w:sz="2" w:space="0"/>
                    <w:bottom w:val="nil"/>
                    <w:right w:val="nil"/>
                  </w:tcBorders>
                  <w:vAlign w:val="top"/>
                </w:tcPr>
                <w:p w14:paraId="670A82AE">
                  <w:pPr>
                    <w:pStyle w:val="6"/>
                    <w:spacing w:before="31" w:line="347" w:lineRule="auto"/>
                    <w:ind w:left="121" w:firstLine="474"/>
                  </w:pPr>
                  <w:r>
                    <w:rPr>
                      <w:spacing w:val="-5"/>
                    </w:rPr>
                    <w:t>综上，本项目的建设符合《云南省推动长江经济带发展领导小</w:t>
                  </w:r>
                  <w:r>
                    <w:rPr>
                      <w:spacing w:val="-6"/>
                    </w:rPr>
                    <w:t>组办公室</w:t>
                  </w:r>
                  <w:r>
                    <w:t xml:space="preserve"> </w:t>
                  </w:r>
                  <w:r>
                    <w:rPr>
                      <w:spacing w:val="-11"/>
                    </w:rPr>
                    <w:t>关于印发〈云南省长江经济带发展负面清单指南实施细则（试行，</w:t>
                  </w:r>
                  <w:r>
                    <w:rPr>
                      <w:rFonts w:ascii="Times New Roman" w:hAnsi="Times New Roman" w:eastAsia="Times New Roman" w:cs="Times New Roman"/>
                      <w:spacing w:val="-11"/>
                    </w:rPr>
                    <w:t xml:space="preserve">2022 </w:t>
                  </w:r>
                  <w:r>
                    <w:rPr>
                      <w:spacing w:val="-11"/>
                    </w:rPr>
                    <w:t>版）〉</w:t>
                  </w:r>
                </w:p>
              </w:tc>
            </w:tr>
          </w:tbl>
          <w:p w14:paraId="7FE1D07D">
            <w:pPr>
              <w:spacing w:line="14" w:lineRule="auto"/>
              <w:rPr>
                <w:rFonts w:ascii="Arial"/>
                <w:sz w:val="2"/>
              </w:rPr>
            </w:pPr>
          </w:p>
        </w:tc>
      </w:tr>
    </w:tbl>
    <w:p w14:paraId="6CCC9BFD">
      <w:pPr>
        <w:rPr>
          <w:rFonts w:ascii="Arial"/>
          <w:sz w:val="21"/>
        </w:rPr>
      </w:pPr>
    </w:p>
    <w:p w14:paraId="6B4C98ED">
      <w:pPr>
        <w:rPr>
          <w:rFonts w:ascii="Arial" w:hAnsi="Arial" w:eastAsia="Arial" w:cs="Arial"/>
          <w:sz w:val="21"/>
          <w:szCs w:val="21"/>
        </w:rPr>
        <w:sectPr>
          <w:footerReference r:id="rId26" w:type="default"/>
          <w:pgSz w:w="11906" w:h="16839"/>
          <w:pgMar w:top="1431" w:right="1407" w:bottom="1278" w:left="1407" w:header="0" w:footer="1116" w:gutter="0"/>
          <w:cols w:space="720" w:num="1"/>
        </w:sectPr>
      </w:pPr>
    </w:p>
    <w:p w14:paraId="645C2762">
      <w:pPr>
        <w:spacing w:line="99" w:lineRule="exact"/>
      </w:pPr>
      <w:r>
        <w:pict>
          <v:shape id="_x0000_s1038" o:spid="_x0000_s1038" style="position:absolute;left:0pt;margin-left:518.55pt;margin-top:698.6pt;height:56.15pt;width:0.25pt;mso-position-horizontal-relative:page;mso-position-vertical-relative:page;z-index:251674624;mso-width-relative:page;mso-height-relative:page;" filled="f" stroked="t" coordsize="5,1123" o:allowincell="f" path="m2,0l2,1122e">
            <v:fill on="f" focussize="0,0"/>
            <v:stroke weight="0.24pt" color="#000000" miterlimit="2" joinstyle="bevel"/>
            <v:imagedata o:title=""/>
            <o:lock v:ext="edit"/>
          </v:shape>
        </w:pict>
      </w:r>
      <w:r>
        <w:pict>
          <v:shape id="_x0000_s1039" o:spid="_x0000_s1039" style="position:absolute;left:0pt;margin-left:126.75pt;margin-top:698.4pt;height:56.35pt;width:0.25pt;mso-position-horizontal-relative:page;mso-position-vertical-relative:page;z-index:251675648;mso-width-relative:page;mso-height-relative:page;" filled="f" stroked="t" coordsize="5,1126" o:allowincell="f" path="m2,0l2,1126e">
            <v:fill on="f" focussize="0,0"/>
            <v:stroke weight="0.24pt" color="#000000" miterlimit="2" joinstyle="bevel"/>
            <v:imagedata o:title=""/>
            <o:lock v:ext="edit"/>
          </v:shape>
        </w:pict>
      </w:r>
      <w:r>
        <w:pict>
          <v:shape id="_x0000_s1040" o:spid="_x0000_s1040" style="position:absolute;left:0pt;margin-left:126.75pt;margin-top:754.5pt;height:0.25pt;width:392.05pt;mso-position-horizontal-relative:page;mso-position-vertical-relative:page;z-index:251673600;mso-width-relative:page;mso-height-relative:page;" filled="f" stroked="t" coordsize="7840,5" o:allowincell="f" path="m0,2l7840,2e">
            <v:fill on="f" focussize="0,0"/>
            <v:stroke weight="0.24pt" color="#000000" miterlimit="2" joinstyle="bevel"/>
            <v:imagedata o:title=""/>
            <o:lock v:ext="edit"/>
          </v:shape>
        </w:pict>
      </w:r>
    </w:p>
    <w:tbl>
      <w:tblPr>
        <w:tblStyle w:val="5"/>
        <w:tblW w:w="907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3042"/>
        <w:gridCol w:w="4016"/>
        <w:gridCol w:w="1004"/>
      </w:tblGrid>
      <w:tr w14:paraId="1D43F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11" w:hRule="atLeast"/>
        </w:trPr>
        <w:tc>
          <w:tcPr>
            <w:tcW w:w="1014" w:type="dxa"/>
            <w:vMerge w:val="restart"/>
            <w:tcBorders>
              <w:top w:val="single" w:color="000000" w:sz="6" w:space="0"/>
              <w:left w:val="single" w:color="000000" w:sz="6" w:space="0"/>
              <w:bottom w:val="nil"/>
              <w:right w:val="single" w:color="000000" w:sz="2" w:space="0"/>
            </w:tcBorders>
            <w:vAlign w:val="top"/>
          </w:tcPr>
          <w:p w14:paraId="155DEDC3">
            <w:pPr>
              <w:rPr>
                <w:rFonts w:ascii="Arial"/>
                <w:sz w:val="21"/>
              </w:rPr>
            </w:pPr>
          </w:p>
        </w:tc>
        <w:tc>
          <w:tcPr>
            <w:tcW w:w="8062" w:type="dxa"/>
            <w:gridSpan w:val="3"/>
            <w:tcBorders>
              <w:top w:val="single" w:color="000000" w:sz="6" w:space="0"/>
              <w:left w:val="single" w:color="000000" w:sz="2" w:space="0"/>
              <w:bottom w:val="single" w:color="000000" w:sz="2" w:space="0"/>
              <w:right w:val="single" w:color="000000" w:sz="6" w:space="0"/>
            </w:tcBorders>
            <w:vAlign w:val="top"/>
          </w:tcPr>
          <w:p w14:paraId="1B221286">
            <w:pPr>
              <w:pStyle w:val="6"/>
              <w:spacing w:before="46" w:line="219" w:lineRule="auto"/>
              <w:ind w:left="129"/>
            </w:pPr>
            <w:r>
              <w:rPr>
                <w:spacing w:val="-2"/>
              </w:rPr>
              <w:t>的通知》（云发改基础〔</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894</w:t>
            </w:r>
            <w:r>
              <w:rPr>
                <w:rFonts w:ascii="Times New Roman" w:hAnsi="Times New Roman" w:eastAsia="Times New Roman" w:cs="Times New Roman"/>
                <w:spacing w:val="25"/>
                <w:w w:val="101"/>
              </w:rPr>
              <w:t xml:space="preserve"> </w:t>
            </w:r>
            <w:r>
              <w:rPr>
                <w:spacing w:val="-2"/>
              </w:rPr>
              <w:t>号）中的有关规定。</w:t>
            </w:r>
          </w:p>
          <w:p w14:paraId="6A50523A">
            <w:pPr>
              <w:pStyle w:val="6"/>
              <w:spacing w:before="180" w:line="219" w:lineRule="auto"/>
              <w:ind w:left="588"/>
            </w:pPr>
            <w:r>
              <w:rPr>
                <w:rFonts w:ascii="Times New Roman" w:hAnsi="Times New Roman" w:eastAsia="Times New Roman" w:cs="Times New Roman"/>
                <w:b/>
                <w:bCs/>
                <w:spacing w:val="-4"/>
              </w:rPr>
              <w:t>9</w:t>
            </w:r>
            <w:r>
              <w:rPr>
                <w:rFonts w:ascii="Times New Roman" w:hAnsi="Times New Roman" w:eastAsia="Times New Roman" w:cs="Times New Roman"/>
                <w:b/>
                <w:bCs/>
                <w:spacing w:val="-19"/>
              </w:rPr>
              <w:t xml:space="preserve"> </w:t>
            </w:r>
            <w:r>
              <w:rPr>
                <w:b/>
                <w:bCs/>
                <w:spacing w:val="-4"/>
              </w:rPr>
              <w:t>、与《云南省牛栏江保护条例》的相符性分析</w:t>
            </w:r>
          </w:p>
          <w:p w14:paraId="3A1CCD9C">
            <w:pPr>
              <w:pStyle w:val="6"/>
              <w:spacing w:before="181" w:line="353" w:lineRule="auto"/>
              <w:ind w:left="108" w:right="103" w:firstLine="486"/>
              <w:jc w:val="both"/>
            </w:pPr>
            <w:r>
              <w:rPr>
                <w:spacing w:val="-5"/>
              </w:rPr>
              <w:t>《云南省牛栏江保护条例》于</w:t>
            </w:r>
            <w:r>
              <w:rPr>
                <w:spacing w:val="-55"/>
              </w:rPr>
              <w:t xml:space="preserve"> </w:t>
            </w:r>
            <w:r>
              <w:rPr>
                <w:rFonts w:ascii="Times New Roman" w:hAnsi="Times New Roman" w:eastAsia="Times New Roman" w:cs="Times New Roman"/>
                <w:spacing w:val="-5"/>
              </w:rPr>
              <w:t xml:space="preserve">2012 </w:t>
            </w:r>
            <w:r>
              <w:rPr>
                <w:spacing w:val="-5"/>
              </w:rPr>
              <w:t>年</w:t>
            </w:r>
            <w:r>
              <w:rPr>
                <w:spacing w:val="-50"/>
              </w:rPr>
              <w:t xml:space="preserve"> </w:t>
            </w:r>
            <w:r>
              <w:rPr>
                <w:rFonts w:ascii="Times New Roman" w:hAnsi="Times New Roman" w:eastAsia="Times New Roman" w:cs="Times New Roman"/>
                <w:spacing w:val="-5"/>
              </w:rPr>
              <w:t>9</w:t>
            </w:r>
            <w:r>
              <w:rPr>
                <w:rFonts w:ascii="Times New Roman" w:hAnsi="Times New Roman" w:eastAsia="Times New Roman" w:cs="Times New Roman"/>
                <w:spacing w:val="15"/>
                <w:w w:val="101"/>
              </w:rPr>
              <w:t xml:space="preserve"> </w:t>
            </w:r>
            <w:r>
              <w:rPr>
                <w:spacing w:val="-5"/>
              </w:rPr>
              <w:t>月</w:t>
            </w:r>
            <w:r>
              <w:rPr>
                <w:spacing w:val="-55"/>
              </w:rPr>
              <w:t xml:space="preserve"> </w:t>
            </w:r>
            <w:r>
              <w:rPr>
                <w:rFonts w:ascii="Times New Roman" w:hAnsi="Times New Roman" w:eastAsia="Times New Roman" w:cs="Times New Roman"/>
                <w:spacing w:val="-5"/>
              </w:rPr>
              <w:t xml:space="preserve">28  </w:t>
            </w:r>
            <w:r>
              <w:rPr>
                <w:spacing w:val="-5"/>
              </w:rPr>
              <w:t>日通过云南省的</w:t>
            </w:r>
            <w:r>
              <w:rPr>
                <w:spacing w:val="-6"/>
              </w:rPr>
              <w:t>十一届人</w:t>
            </w:r>
            <w:r>
              <w:t xml:space="preserve"> </w:t>
            </w:r>
            <w:r>
              <w:rPr>
                <w:spacing w:val="-6"/>
              </w:rPr>
              <w:t>民代表大会常务委员会第三十四次会议，并于</w:t>
            </w:r>
            <w:r>
              <w:rPr>
                <w:spacing w:val="-45"/>
              </w:rPr>
              <w:t xml:space="preserve"> </w:t>
            </w:r>
            <w:r>
              <w:rPr>
                <w:rFonts w:ascii="Times New Roman" w:hAnsi="Times New Roman" w:eastAsia="Times New Roman" w:cs="Times New Roman"/>
                <w:spacing w:val="-6"/>
              </w:rPr>
              <w:t xml:space="preserve">2012 </w:t>
            </w:r>
            <w:r>
              <w:rPr>
                <w:spacing w:val="-6"/>
              </w:rPr>
              <w:t>年</w:t>
            </w:r>
            <w:r>
              <w:rPr>
                <w:spacing w:val="-32"/>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5"/>
              </w:rPr>
              <w:t xml:space="preserve"> </w:t>
            </w:r>
            <w:r>
              <w:rPr>
                <w:spacing w:val="-6"/>
              </w:rPr>
              <w:t>月</w:t>
            </w:r>
            <w:r>
              <w:rPr>
                <w:spacing w:val="-32"/>
              </w:rPr>
              <w:t xml:space="preserve"> </w:t>
            </w:r>
            <w:r>
              <w:rPr>
                <w:rFonts w:ascii="Times New Roman" w:hAnsi="Times New Roman" w:eastAsia="Times New Roman" w:cs="Times New Roman"/>
                <w:spacing w:val="-6"/>
              </w:rPr>
              <w:t xml:space="preserve">1  </w:t>
            </w:r>
            <w:r>
              <w:rPr>
                <w:spacing w:val="-6"/>
              </w:rPr>
              <w:t>日起执行。根</w:t>
            </w:r>
            <w:r>
              <w:t xml:space="preserve"> </w:t>
            </w:r>
            <w:r>
              <w:rPr>
                <w:spacing w:val="-3"/>
              </w:rPr>
              <w:t>据《云南省牛栏江保护条例》第五条：牛栏江流域上游保护区划分为水源保</w:t>
            </w:r>
            <w:r>
              <w:rPr>
                <w:spacing w:val="17"/>
              </w:rPr>
              <w:t xml:space="preserve"> </w:t>
            </w:r>
            <w:r>
              <w:rPr>
                <w:spacing w:val="-1"/>
              </w:rPr>
              <w:t>护核心区、重点污染控制区和重点水源涵养区。</w:t>
            </w:r>
          </w:p>
          <w:p w14:paraId="1AE43792">
            <w:pPr>
              <w:pStyle w:val="6"/>
              <w:spacing w:before="33" w:line="219" w:lineRule="auto"/>
              <w:ind w:left="601"/>
            </w:pPr>
            <w:r>
              <w:rPr>
                <w:spacing w:val="-3"/>
              </w:rPr>
              <w:t>（一）水源保护核心区</w:t>
            </w:r>
          </w:p>
          <w:p w14:paraId="6C962BA7">
            <w:pPr>
              <w:pStyle w:val="6"/>
              <w:spacing w:before="181" w:line="354" w:lineRule="auto"/>
              <w:ind w:left="109" w:right="103" w:firstLine="480"/>
              <w:jc w:val="both"/>
            </w:pPr>
            <w:r>
              <w:rPr>
                <w:spacing w:val="-3"/>
              </w:rPr>
              <w:t>包括德泽水库库区和德泽水库以上牛栏江干流区。德泽水库库区为德泽</w:t>
            </w:r>
            <w:r>
              <w:rPr>
                <w:spacing w:val="10"/>
              </w:rPr>
              <w:t xml:space="preserve"> </w:t>
            </w:r>
            <w:r>
              <w:rPr>
                <w:spacing w:val="-3"/>
              </w:rPr>
              <w:t>水库正常蓄水位</w:t>
            </w:r>
            <w:r>
              <w:rPr>
                <w:spacing w:val="-32"/>
              </w:rPr>
              <w:t xml:space="preserve"> </w:t>
            </w:r>
            <w:r>
              <w:rPr>
                <w:rFonts w:ascii="Times New Roman" w:hAnsi="Times New Roman" w:eastAsia="Times New Roman" w:cs="Times New Roman"/>
                <w:spacing w:val="-3"/>
              </w:rPr>
              <w:t xml:space="preserve">1790 </w:t>
            </w:r>
            <w:r>
              <w:rPr>
                <w:spacing w:val="-3"/>
              </w:rPr>
              <w:t>米水面及沿岸外延</w:t>
            </w:r>
            <w:r>
              <w:rPr>
                <w:spacing w:val="-55"/>
              </w:rPr>
              <w:t xml:space="preserve"> </w:t>
            </w:r>
            <w:r>
              <w:rPr>
                <w:rFonts w:ascii="Times New Roman" w:hAnsi="Times New Roman" w:eastAsia="Times New Roman" w:cs="Times New Roman"/>
                <w:spacing w:val="-3"/>
              </w:rPr>
              <w:t xml:space="preserve">2000 </w:t>
            </w:r>
            <w:r>
              <w:rPr>
                <w:spacing w:val="-3"/>
              </w:rPr>
              <w:t>米的范围，区域范围超过</w:t>
            </w:r>
            <w:r>
              <w:rPr>
                <w:spacing w:val="-4"/>
              </w:rPr>
              <w:t>一级</w:t>
            </w:r>
            <w:r>
              <w:t xml:space="preserve"> </w:t>
            </w:r>
            <w:r>
              <w:rPr>
                <w:spacing w:val="-3"/>
              </w:rPr>
              <w:t>山脊线的，按照一级山脊线划定；德泽水库以上牛栏江干流区指德泽水库以</w:t>
            </w:r>
            <w:r>
              <w:rPr>
                <w:spacing w:val="16"/>
              </w:rPr>
              <w:t xml:space="preserve"> </w:t>
            </w:r>
            <w:r>
              <w:rPr>
                <w:spacing w:val="-5"/>
              </w:rPr>
              <w:t>上干流（包括干流源头矣纳岔口至嘉丽泽对龙河河段）水域及两岸外延</w:t>
            </w:r>
            <w:r>
              <w:rPr>
                <w:spacing w:val="-28"/>
              </w:rPr>
              <w:t xml:space="preserve"> </w:t>
            </w:r>
            <w:r>
              <w:rPr>
                <w:rFonts w:ascii="Times New Roman" w:hAnsi="Times New Roman" w:eastAsia="Times New Roman" w:cs="Times New Roman"/>
                <w:spacing w:val="-5"/>
              </w:rPr>
              <w:t>1000</w:t>
            </w:r>
            <w:r>
              <w:rPr>
                <w:rFonts w:ascii="Times New Roman" w:hAnsi="Times New Roman" w:eastAsia="Times New Roman" w:cs="Times New Roman"/>
              </w:rPr>
              <w:t xml:space="preserve"> </w:t>
            </w:r>
            <w:r>
              <w:rPr>
                <w:spacing w:val="-1"/>
              </w:rPr>
              <w:t>米的范围，区域范围超过一级山脊线的，按照一级山脊线划定。</w:t>
            </w:r>
          </w:p>
          <w:p w14:paraId="482B02C2">
            <w:pPr>
              <w:pStyle w:val="6"/>
              <w:spacing w:before="34" w:line="220" w:lineRule="auto"/>
              <w:ind w:left="601"/>
            </w:pPr>
            <w:r>
              <w:rPr>
                <w:spacing w:val="-3"/>
              </w:rPr>
              <w:t>（二）重点污染控制区</w:t>
            </w:r>
          </w:p>
          <w:p w14:paraId="75E2C9BF">
            <w:pPr>
              <w:pStyle w:val="6"/>
              <w:spacing w:before="182" w:line="350" w:lineRule="auto"/>
              <w:ind w:left="108" w:right="103" w:firstLine="483"/>
            </w:pPr>
            <w:r>
              <w:rPr>
                <w:spacing w:val="-3"/>
              </w:rPr>
              <w:t>为水源保护核心区以外，流域范围内的坝区以及花庄河、果马河、普沙</w:t>
            </w:r>
            <w:r>
              <w:rPr>
                <w:spacing w:val="7"/>
              </w:rPr>
              <w:t xml:space="preserve"> </w:t>
            </w:r>
            <w:r>
              <w:t>河、弥良河、对龙河、杨林河、匡郎河、前进河、</w:t>
            </w:r>
            <w:r>
              <w:rPr>
                <w:spacing w:val="-1"/>
              </w:rPr>
              <w:t>马龙河水域及两岸外延</w:t>
            </w:r>
            <w:r>
              <w:t xml:space="preserve">  </w:t>
            </w:r>
            <w:r>
              <w:rPr>
                <w:rFonts w:ascii="Times New Roman" w:hAnsi="Times New Roman" w:eastAsia="Times New Roman" w:cs="Times New Roman"/>
              </w:rPr>
              <w:t xml:space="preserve">3000 </w:t>
            </w:r>
            <w:r>
              <w:t>米的区域，区域范围超过一级山脊线的，</w:t>
            </w:r>
            <w:r>
              <w:rPr>
                <w:spacing w:val="-1"/>
              </w:rPr>
              <w:t>按照一级山脊线划定。</w:t>
            </w:r>
          </w:p>
          <w:p w14:paraId="7E4C4F0B">
            <w:pPr>
              <w:pStyle w:val="6"/>
              <w:spacing w:before="37" w:line="219" w:lineRule="auto"/>
              <w:ind w:left="601"/>
            </w:pPr>
            <w:r>
              <w:rPr>
                <w:spacing w:val="-3"/>
              </w:rPr>
              <w:t>（三）重点水源涵养区</w:t>
            </w:r>
          </w:p>
          <w:p w14:paraId="4BE454A7">
            <w:pPr>
              <w:pStyle w:val="6"/>
              <w:spacing w:before="181" w:line="219" w:lineRule="auto"/>
              <w:ind w:left="592"/>
            </w:pPr>
            <w:r>
              <w:rPr>
                <w:spacing w:val="-1"/>
              </w:rPr>
              <w:t>为流域范围内除水源保护核心区、重点污染控制区以外的集水区域。</w:t>
            </w:r>
          </w:p>
          <w:p w14:paraId="40B86AC4">
            <w:pPr>
              <w:pStyle w:val="6"/>
              <w:spacing w:before="181" w:line="351" w:lineRule="auto"/>
              <w:ind w:left="111" w:right="71" w:firstLine="478"/>
              <w:jc w:val="both"/>
            </w:pPr>
            <w:r>
              <w:rPr>
                <w:spacing w:val="-3"/>
              </w:rPr>
              <w:t>根据《云南省牛栏江保护条例》第六条：牛栏江流域下游保护区划分为</w:t>
            </w:r>
            <w:r>
              <w:rPr>
                <w:spacing w:val="10"/>
              </w:rPr>
              <w:t xml:space="preserve"> </w:t>
            </w:r>
            <w:r>
              <w:rPr>
                <w:spacing w:val="-3"/>
              </w:rPr>
              <w:t>污染控制区和水源涵养区。（一）污染控制区为牛栏江干流水体及河岸带以</w:t>
            </w:r>
            <w:r>
              <w:rPr>
                <w:spacing w:val="14"/>
              </w:rPr>
              <w:t xml:space="preserve"> </w:t>
            </w:r>
            <w:r>
              <w:rPr>
                <w:spacing w:val="-2"/>
              </w:rPr>
              <w:t>外的坝区。（二）水源涵养区为流域范围内除污染控制区以外的集水区域。</w:t>
            </w:r>
          </w:p>
          <w:p w14:paraId="5E335832">
            <w:pPr>
              <w:pStyle w:val="6"/>
              <w:spacing w:before="33" w:line="350" w:lineRule="auto"/>
              <w:ind w:left="109" w:right="103" w:firstLine="483"/>
              <w:jc w:val="both"/>
            </w:pPr>
            <w:r>
              <w:rPr>
                <w:spacing w:val="-3"/>
              </w:rPr>
              <w:t>项目选址未涉及水源核心保护区，项目与牛栏江水流域调水水源区环境</w:t>
            </w:r>
            <w:r>
              <w:rPr>
                <w:spacing w:val="6"/>
              </w:rPr>
              <w:t xml:space="preserve"> </w:t>
            </w:r>
            <w:r>
              <w:rPr>
                <w:spacing w:val="-2"/>
              </w:rPr>
              <w:t>保护分区图的位置关系见附图</w:t>
            </w:r>
            <w:r>
              <w:rPr>
                <w:spacing w:val="-46"/>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31"/>
              </w:rPr>
              <w:t xml:space="preserve"> </w:t>
            </w:r>
            <w:r>
              <w:rPr>
                <w:spacing w:val="-2"/>
              </w:rPr>
              <w:t>，对照《云南省牛栏江保护条例》，该项目</w:t>
            </w:r>
            <w:r>
              <w:t xml:space="preserve"> </w:t>
            </w:r>
            <w:r>
              <w:rPr>
                <w:spacing w:val="-1"/>
              </w:rPr>
              <w:t>位于牛栏江流域重点水源涵养区。</w:t>
            </w:r>
          </w:p>
          <w:p w14:paraId="421B4F6C">
            <w:pPr>
              <w:pStyle w:val="6"/>
              <w:spacing w:before="35" w:line="345" w:lineRule="auto"/>
              <w:ind w:left="155" w:right="103" w:firstLine="434"/>
            </w:pPr>
            <w:r>
              <w:rPr>
                <w:spacing w:val="-3"/>
              </w:rPr>
              <w:t>根据《云南省牛栏江保护条例》中对重点水源涵养区的限制要求，本项</w:t>
            </w:r>
            <w:r>
              <w:rPr>
                <w:spacing w:val="10"/>
              </w:rPr>
              <w:t xml:space="preserve"> </w:t>
            </w:r>
            <w:r>
              <w:rPr>
                <w:spacing w:val="-2"/>
              </w:rPr>
              <w:t>目的建设与《云南省牛栏江保护条例》的相符性分析见</w:t>
            </w:r>
            <w:r>
              <w:rPr>
                <w:spacing w:val="-3"/>
              </w:rPr>
              <w:t>下表。</w:t>
            </w:r>
          </w:p>
          <w:p w14:paraId="07F694FD">
            <w:pPr>
              <w:pStyle w:val="6"/>
              <w:spacing w:before="33" w:line="203" w:lineRule="auto"/>
              <w:ind w:left="1547"/>
              <w:rPr>
                <w:sz w:val="20"/>
                <w:szCs w:val="20"/>
              </w:rPr>
            </w:pPr>
            <w:r>
              <w:rPr>
                <w:b/>
                <w:bCs/>
                <w:spacing w:val="6"/>
                <w:sz w:val="20"/>
                <w:szCs w:val="20"/>
              </w:rPr>
              <w:t>表</w:t>
            </w:r>
            <w:r>
              <w:rPr>
                <w:spacing w:val="-22"/>
                <w:sz w:val="20"/>
                <w:szCs w:val="20"/>
              </w:rPr>
              <w:t xml:space="preserve"> </w:t>
            </w:r>
            <w:r>
              <w:rPr>
                <w:rFonts w:ascii="Times New Roman" w:hAnsi="Times New Roman" w:eastAsia="Times New Roman" w:cs="Times New Roman"/>
                <w:b/>
                <w:bCs/>
                <w:spacing w:val="6"/>
                <w:sz w:val="20"/>
                <w:szCs w:val="20"/>
              </w:rPr>
              <w:t xml:space="preserve">1-9    </w:t>
            </w:r>
            <w:r>
              <w:rPr>
                <w:b/>
                <w:bCs/>
                <w:spacing w:val="6"/>
                <w:sz w:val="20"/>
                <w:szCs w:val="20"/>
              </w:rPr>
              <w:t>项目与《云南省牛栏江保护条例》符合性分析</w:t>
            </w:r>
          </w:p>
        </w:tc>
      </w:tr>
      <w:tr w14:paraId="0B9D7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014" w:type="dxa"/>
            <w:vMerge w:val="continue"/>
            <w:tcBorders>
              <w:top w:val="nil"/>
              <w:left w:val="single" w:color="000000" w:sz="6" w:space="0"/>
              <w:bottom w:val="nil"/>
              <w:right w:val="single" w:color="000000" w:sz="2" w:space="0"/>
            </w:tcBorders>
            <w:vAlign w:val="top"/>
          </w:tcPr>
          <w:p w14:paraId="4D1FF0F1">
            <w:pPr>
              <w:rPr>
                <w:rFonts w:ascii="Arial"/>
                <w:sz w:val="21"/>
              </w:rPr>
            </w:pPr>
          </w:p>
        </w:tc>
        <w:tc>
          <w:tcPr>
            <w:tcW w:w="3042" w:type="dxa"/>
            <w:tcBorders>
              <w:top w:val="single" w:color="000000" w:sz="2" w:space="0"/>
              <w:left w:val="single" w:color="000000" w:sz="2" w:space="0"/>
            </w:tcBorders>
            <w:vAlign w:val="top"/>
          </w:tcPr>
          <w:p w14:paraId="4C98B2E9">
            <w:pPr>
              <w:pStyle w:val="6"/>
              <w:spacing w:before="86" w:line="228" w:lineRule="auto"/>
              <w:ind w:left="950"/>
              <w:rPr>
                <w:sz w:val="20"/>
                <w:szCs w:val="20"/>
              </w:rPr>
            </w:pPr>
            <w:r>
              <w:rPr>
                <w:b/>
                <w:bCs/>
                <w:spacing w:val="6"/>
                <w:sz w:val="20"/>
                <w:szCs w:val="20"/>
              </w:rPr>
              <w:t>条例禁止行为</w:t>
            </w:r>
          </w:p>
        </w:tc>
        <w:tc>
          <w:tcPr>
            <w:tcW w:w="4016" w:type="dxa"/>
            <w:tcBorders>
              <w:top w:val="single" w:color="000000" w:sz="2" w:space="0"/>
            </w:tcBorders>
            <w:vAlign w:val="top"/>
          </w:tcPr>
          <w:p w14:paraId="787D0EF9">
            <w:pPr>
              <w:pStyle w:val="6"/>
              <w:spacing w:before="87" w:line="228" w:lineRule="auto"/>
              <w:ind w:left="1596"/>
              <w:rPr>
                <w:sz w:val="20"/>
                <w:szCs w:val="20"/>
              </w:rPr>
            </w:pPr>
            <w:r>
              <w:rPr>
                <w:b/>
                <w:bCs/>
                <w:spacing w:val="5"/>
                <w:sz w:val="20"/>
                <w:szCs w:val="20"/>
              </w:rPr>
              <w:t>项目情况</w:t>
            </w:r>
          </w:p>
        </w:tc>
        <w:tc>
          <w:tcPr>
            <w:tcW w:w="1004" w:type="dxa"/>
            <w:tcBorders>
              <w:top w:val="single" w:color="000000" w:sz="2" w:space="0"/>
              <w:right w:val="single" w:color="000000" w:sz="6" w:space="0"/>
            </w:tcBorders>
            <w:vAlign w:val="top"/>
          </w:tcPr>
          <w:p w14:paraId="187D0DAD">
            <w:pPr>
              <w:pStyle w:val="6"/>
              <w:spacing w:before="86" w:line="228" w:lineRule="auto"/>
              <w:ind w:left="134"/>
              <w:rPr>
                <w:sz w:val="20"/>
                <w:szCs w:val="20"/>
              </w:rPr>
            </w:pPr>
            <w:r>
              <w:rPr>
                <w:b/>
                <w:bCs/>
                <w:spacing w:val="5"/>
                <w:sz w:val="20"/>
                <w:szCs w:val="20"/>
              </w:rPr>
              <w:t>符合性</w:t>
            </w:r>
          </w:p>
        </w:tc>
      </w:tr>
      <w:tr w14:paraId="76193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014" w:type="dxa"/>
            <w:vMerge w:val="continue"/>
            <w:tcBorders>
              <w:top w:val="nil"/>
              <w:left w:val="single" w:color="000000" w:sz="6" w:space="0"/>
              <w:bottom w:val="nil"/>
              <w:right w:val="single" w:color="000000" w:sz="2" w:space="0"/>
            </w:tcBorders>
            <w:vAlign w:val="top"/>
          </w:tcPr>
          <w:p w14:paraId="5AA173CA">
            <w:pPr>
              <w:rPr>
                <w:rFonts w:ascii="Arial"/>
                <w:sz w:val="21"/>
              </w:rPr>
            </w:pPr>
          </w:p>
        </w:tc>
        <w:tc>
          <w:tcPr>
            <w:tcW w:w="8062" w:type="dxa"/>
            <w:gridSpan w:val="3"/>
            <w:tcBorders>
              <w:left w:val="single" w:color="000000" w:sz="2" w:space="0"/>
              <w:right w:val="single" w:color="000000" w:sz="6" w:space="0"/>
            </w:tcBorders>
            <w:vAlign w:val="top"/>
          </w:tcPr>
          <w:p w14:paraId="7FE69C87">
            <w:pPr>
              <w:pStyle w:val="6"/>
              <w:spacing w:before="88" w:line="228" w:lineRule="auto"/>
              <w:ind w:left="2451"/>
              <w:rPr>
                <w:sz w:val="20"/>
                <w:szCs w:val="20"/>
              </w:rPr>
            </w:pPr>
            <w:r>
              <w:rPr>
                <w:b/>
                <w:bCs/>
                <w:spacing w:val="7"/>
                <w:sz w:val="20"/>
                <w:szCs w:val="20"/>
              </w:rPr>
              <w:t>重点水源涵养区内禁止下列行为：</w:t>
            </w:r>
          </w:p>
        </w:tc>
      </w:tr>
      <w:tr w14:paraId="01B08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14" w:type="dxa"/>
            <w:vMerge w:val="continue"/>
            <w:tcBorders>
              <w:top w:val="nil"/>
              <w:left w:val="single" w:color="000000" w:sz="6" w:space="0"/>
              <w:bottom w:val="single" w:color="000000" w:sz="6" w:space="0"/>
              <w:right w:val="single" w:color="000000" w:sz="2" w:space="0"/>
            </w:tcBorders>
            <w:vAlign w:val="top"/>
          </w:tcPr>
          <w:p w14:paraId="172C8654">
            <w:pPr>
              <w:rPr>
                <w:rFonts w:ascii="Arial"/>
                <w:sz w:val="21"/>
              </w:rPr>
            </w:pPr>
          </w:p>
        </w:tc>
        <w:tc>
          <w:tcPr>
            <w:tcW w:w="3042" w:type="dxa"/>
            <w:tcBorders>
              <w:left w:val="single" w:color="000000" w:sz="2" w:space="0"/>
              <w:bottom w:val="single" w:color="000000" w:sz="6" w:space="0"/>
            </w:tcBorders>
            <w:vAlign w:val="top"/>
          </w:tcPr>
          <w:p w14:paraId="12B847F2">
            <w:pPr>
              <w:pStyle w:val="6"/>
              <w:spacing w:before="87" w:line="228" w:lineRule="auto"/>
              <w:ind w:left="231"/>
              <w:rPr>
                <w:sz w:val="20"/>
                <w:szCs w:val="20"/>
              </w:rPr>
            </w:pPr>
            <w:r>
              <w:rPr>
                <w:spacing w:val="7"/>
                <w:sz w:val="20"/>
                <w:szCs w:val="20"/>
              </w:rPr>
              <w:t>（一）盗伐、滥伐林木和破坏</w:t>
            </w:r>
          </w:p>
        </w:tc>
        <w:tc>
          <w:tcPr>
            <w:tcW w:w="4016" w:type="dxa"/>
            <w:tcBorders>
              <w:bottom w:val="single" w:color="000000" w:sz="6" w:space="0"/>
            </w:tcBorders>
            <w:vAlign w:val="top"/>
          </w:tcPr>
          <w:p w14:paraId="299B996F">
            <w:pPr>
              <w:pStyle w:val="6"/>
              <w:spacing w:before="87" w:line="228" w:lineRule="auto"/>
              <w:ind w:right="3"/>
              <w:jc w:val="right"/>
              <w:rPr>
                <w:sz w:val="20"/>
                <w:szCs w:val="20"/>
              </w:rPr>
            </w:pPr>
            <w:r>
              <w:rPr>
                <w:spacing w:val="4"/>
                <w:sz w:val="20"/>
                <w:szCs w:val="20"/>
              </w:rPr>
              <w:t>项目用地主要为林地、草地、设施农用地、</w:t>
            </w:r>
          </w:p>
        </w:tc>
        <w:tc>
          <w:tcPr>
            <w:tcW w:w="1004" w:type="dxa"/>
            <w:tcBorders>
              <w:bottom w:val="single" w:color="000000" w:sz="6" w:space="0"/>
              <w:right w:val="single" w:color="000000" w:sz="6" w:space="0"/>
            </w:tcBorders>
            <w:vAlign w:val="top"/>
          </w:tcPr>
          <w:p w14:paraId="7B99830F">
            <w:pPr>
              <w:pStyle w:val="6"/>
              <w:spacing w:before="87" w:line="228" w:lineRule="auto"/>
              <w:ind w:left="240"/>
              <w:rPr>
                <w:sz w:val="20"/>
                <w:szCs w:val="20"/>
              </w:rPr>
            </w:pPr>
            <w:r>
              <w:rPr>
                <w:spacing w:val="3"/>
                <w:sz w:val="20"/>
                <w:szCs w:val="20"/>
              </w:rPr>
              <w:t>符合</w:t>
            </w:r>
          </w:p>
        </w:tc>
      </w:tr>
    </w:tbl>
    <w:p w14:paraId="79509D7A">
      <w:pPr>
        <w:rPr>
          <w:rFonts w:ascii="Arial"/>
          <w:sz w:val="21"/>
        </w:rPr>
      </w:pPr>
    </w:p>
    <w:p w14:paraId="2AD57D10">
      <w:pPr>
        <w:rPr>
          <w:rFonts w:ascii="Arial" w:hAnsi="Arial" w:eastAsia="Arial" w:cs="Arial"/>
          <w:sz w:val="21"/>
          <w:szCs w:val="21"/>
        </w:rPr>
        <w:sectPr>
          <w:footerReference r:id="rId27" w:type="default"/>
          <w:pgSz w:w="11906" w:h="16839"/>
          <w:pgMar w:top="1431" w:right="1407" w:bottom="1278" w:left="1407" w:header="0" w:footer="1116" w:gutter="0"/>
          <w:cols w:space="720" w:num="1"/>
        </w:sectPr>
      </w:pPr>
    </w:p>
    <w:p w14:paraId="61192835">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5BD91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39" w:hRule="atLeast"/>
        </w:trPr>
        <w:tc>
          <w:tcPr>
            <w:tcW w:w="1014" w:type="dxa"/>
            <w:tcBorders>
              <w:right w:val="single" w:color="000000" w:sz="2" w:space="0"/>
            </w:tcBorders>
            <w:vAlign w:val="top"/>
          </w:tcPr>
          <w:p w14:paraId="25901D4D">
            <w:pPr>
              <w:rPr>
                <w:rFonts w:ascii="Arial"/>
                <w:sz w:val="21"/>
              </w:rPr>
            </w:pPr>
          </w:p>
        </w:tc>
        <w:tc>
          <w:tcPr>
            <w:tcW w:w="8062" w:type="dxa"/>
            <w:tcBorders>
              <w:left w:val="single" w:color="000000" w:sz="2" w:space="0"/>
            </w:tcBorders>
            <w:vAlign w:val="top"/>
          </w:tcPr>
          <w:p w14:paraId="2610BABE">
            <w:pPr>
              <w:spacing w:line="114" w:lineRule="auto"/>
              <w:rPr>
                <w:rFonts w:ascii="Arial"/>
                <w:sz w:val="2"/>
              </w:rPr>
            </w:pPr>
          </w:p>
          <w:tbl>
            <w:tblPr>
              <w:tblStyle w:val="5"/>
              <w:tblW w:w="7835"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32"/>
              <w:gridCol w:w="4020"/>
              <w:gridCol w:w="883"/>
            </w:tblGrid>
            <w:tr w14:paraId="58CF1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7" w:hRule="atLeast"/>
              </w:trPr>
              <w:tc>
                <w:tcPr>
                  <w:tcW w:w="2932" w:type="dxa"/>
                  <w:tcBorders>
                    <w:top w:val="single" w:color="000000" w:sz="2" w:space="0"/>
                    <w:left w:val="single" w:color="000000" w:sz="2" w:space="0"/>
                  </w:tcBorders>
                  <w:vAlign w:val="top"/>
                </w:tcPr>
                <w:p w14:paraId="49905B56">
                  <w:pPr>
                    <w:pStyle w:val="6"/>
                    <w:spacing w:before="39" w:line="228" w:lineRule="auto"/>
                    <w:ind w:left="1158"/>
                    <w:rPr>
                      <w:sz w:val="20"/>
                      <w:szCs w:val="20"/>
                    </w:rPr>
                  </w:pPr>
                  <w:r>
                    <w:rPr>
                      <w:spacing w:val="2"/>
                      <w:sz w:val="20"/>
                      <w:szCs w:val="20"/>
                    </w:rPr>
                    <w:t>草地；</w:t>
                  </w:r>
                </w:p>
              </w:tc>
              <w:tc>
                <w:tcPr>
                  <w:tcW w:w="4020" w:type="dxa"/>
                  <w:tcBorders>
                    <w:top w:val="single" w:color="000000" w:sz="2" w:space="0"/>
                  </w:tcBorders>
                  <w:vAlign w:val="top"/>
                </w:tcPr>
                <w:p w14:paraId="753A4936">
                  <w:pPr>
                    <w:pStyle w:val="6"/>
                    <w:spacing w:before="36" w:line="249" w:lineRule="auto"/>
                    <w:ind w:left="109" w:right="30"/>
                    <w:jc w:val="both"/>
                    <w:rPr>
                      <w:sz w:val="20"/>
                      <w:szCs w:val="20"/>
                    </w:rPr>
                  </w:pPr>
                  <w:r>
                    <w:rPr>
                      <w:spacing w:val="-1"/>
                      <w:sz w:val="20"/>
                      <w:szCs w:val="20"/>
                    </w:rPr>
                    <w:t>裸岩石砾地，根据</w:t>
                  </w:r>
                  <w:r>
                    <w:rPr>
                      <w:spacing w:val="-26"/>
                      <w:sz w:val="20"/>
                      <w:szCs w:val="20"/>
                    </w:rPr>
                    <w:t xml:space="preserve"> </w:t>
                  </w:r>
                  <w:r>
                    <w:rPr>
                      <w:rFonts w:ascii="Times New Roman" w:hAnsi="Times New Roman" w:eastAsia="Times New Roman" w:cs="Times New Roman"/>
                      <w:spacing w:val="-1"/>
                      <w:sz w:val="20"/>
                      <w:szCs w:val="20"/>
                    </w:rPr>
                    <w:t xml:space="preserve">2024 </w:t>
                  </w:r>
                  <w:r>
                    <w:rPr>
                      <w:spacing w:val="-1"/>
                      <w:sz w:val="20"/>
                      <w:szCs w:val="20"/>
                    </w:rPr>
                    <w:t>年</w:t>
                  </w:r>
                  <w:r>
                    <w:rPr>
                      <w:spacing w:val="-36"/>
                      <w:sz w:val="20"/>
                      <w:szCs w:val="20"/>
                    </w:rPr>
                    <w:t xml:space="preserve"> </w:t>
                  </w:r>
                  <w:r>
                    <w:rPr>
                      <w:rFonts w:ascii="Times New Roman" w:hAnsi="Times New Roman" w:eastAsia="Times New Roman" w:cs="Times New Roman"/>
                      <w:spacing w:val="-1"/>
                      <w:sz w:val="20"/>
                      <w:szCs w:val="20"/>
                    </w:rPr>
                    <w:t>6</w:t>
                  </w:r>
                  <w:r>
                    <w:rPr>
                      <w:rFonts w:ascii="Times New Roman" w:hAnsi="Times New Roman" w:eastAsia="Times New Roman" w:cs="Times New Roman"/>
                      <w:spacing w:val="15"/>
                      <w:sz w:val="20"/>
                      <w:szCs w:val="20"/>
                    </w:rPr>
                    <w:t xml:space="preserve"> </w:t>
                  </w:r>
                  <w:r>
                    <w:rPr>
                      <w:spacing w:val="-1"/>
                      <w:sz w:val="20"/>
                      <w:szCs w:val="20"/>
                    </w:rPr>
                    <w:t>月</w:t>
                  </w:r>
                  <w:r>
                    <w:rPr>
                      <w:spacing w:val="-35"/>
                      <w:sz w:val="20"/>
                      <w:szCs w:val="20"/>
                    </w:rPr>
                    <w:t xml:space="preserve"> </w:t>
                  </w:r>
                  <w:r>
                    <w:rPr>
                      <w:rFonts w:ascii="Times New Roman" w:hAnsi="Times New Roman" w:eastAsia="Times New Roman" w:cs="Times New Roman"/>
                      <w:spacing w:val="-1"/>
                      <w:sz w:val="20"/>
                      <w:szCs w:val="20"/>
                    </w:rPr>
                    <w:t xml:space="preserve">5  </w:t>
                  </w:r>
                  <w:r>
                    <w:rPr>
                      <w:spacing w:val="-1"/>
                      <w:sz w:val="20"/>
                      <w:szCs w:val="20"/>
                    </w:rPr>
                    <w:t>日寻甸回</w:t>
                  </w:r>
                  <w:r>
                    <w:rPr>
                      <w:sz w:val="20"/>
                      <w:szCs w:val="20"/>
                    </w:rPr>
                    <w:t xml:space="preserve"> </w:t>
                  </w:r>
                  <w:r>
                    <w:rPr>
                      <w:spacing w:val="10"/>
                      <w:sz w:val="20"/>
                      <w:szCs w:val="20"/>
                    </w:rPr>
                    <w:t>族彝族自治县林业和草原局对项目出具的</w:t>
                  </w:r>
                  <w:r>
                    <w:rPr>
                      <w:spacing w:val="1"/>
                      <w:sz w:val="20"/>
                      <w:szCs w:val="20"/>
                    </w:rPr>
                    <w:t xml:space="preserve">  </w:t>
                  </w:r>
                  <w:r>
                    <w:rPr>
                      <w:spacing w:val="3"/>
                      <w:sz w:val="20"/>
                      <w:szCs w:val="20"/>
                    </w:rPr>
                    <w:t>选址意见复函，项目用地不涉及国家公园、</w:t>
                  </w:r>
                  <w:r>
                    <w:rPr>
                      <w:spacing w:val="12"/>
                      <w:sz w:val="20"/>
                      <w:szCs w:val="20"/>
                    </w:rPr>
                    <w:t xml:space="preserve"> </w:t>
                  </w:r>
                  <w:r>
                    <w:rPr>
                      <w:spacing w:val="3"/>
                      <w:sz w:val="20"/>
                      <w:szCs w:val="20"/>
                    </w:rPr>
                    <w:t>各级自然保护区、森林公园、风景名胜区、</w:t>
                  </w:r>
                  <w:r>
                    <w:rPr>
                      <w:spacing w:val="12"/>
                      <w:sz w:val="20"/>
                      <w:szCs w:val="20"/>
                    </w:rPr>
                    <w:t xml:space="preserve"> </w:t>
                  </w:r>
                  <w:r>
                    <w:rPr>
                      <w:spacing w:val="7"/>
                      <w:sz w:val="20"/>
                      <w:szCs w:val="20"/>
                    </w:rPr>
                    <w:t>草原公园、</w:t>
                  </w:r>
                  <w:r>
                    <w:rPr>
                      <w:spacing w:val="-43"/>
                      <w:sz w:val="20"/>
                      <w:szCs w:val="20"/>
                    </w:rPr>
                    <w:t xml:space="preserve"> </w:t>
                  </w:r>
                  <w:r>
                    <w:rPr>
                      <w:spacing w:val="7"/>
                      <w:sz w:val="20"/>
                      <w:szCs w:val="20"/>
                    </w:rPr>
                    <w:t>自然保护区、基本草原，不涉</w:t>
                  </w:r>
                  <w:r>
                    <w:rPr>
                      <w:sz w:val="20"/>
                      <w:szCs w:val="20"/>
                    </w:rPr>
                    <w:t xml:space="preserve">  </w:t>
                  </w:r>
                  <w:r>
                    <w:rPr>
                      <w:spacing w:val="10"/>
                      <w:sz w:val="20"/>
                      <w:szCs w:val="20"/>
                    </w:rPr>
                    <w:t>及禁用的林草地地类。项目占用草地、少</w:t>
                  </w:r>
                  <w:r>
                    <w:rPr>
                      <w:spacing w:val="1"/>
                      <w:sz w:val="20"/>
                      <w:szCs w:val="20"/>
                    </w:rPr>
                    <w:t xml:space="preserve">  </w:t>
                  </w:r>
                  <w:r>
                    <w:rPr>
                      <w:spacing w:val="10"/>
                      <w:sz w:val="20"/>
                      <w:szCs w:val="20"/>
                    </w:rPr>
                    <w:t>量灌木林地将依法依规办理使用林地草地</w:t>
                  </w:r>
                  <w:r>
                    <w:rPr>
                      <w:spacing w:val="1"/>
                      <w:sz w:val="20"/>
                      <w:szCs w:val="20"/>
                    </w:rPr>
                    <w:t xml:space="preserve">  </w:t>
                  </w:r>
                  <w:r>
                    <w:rPr>
                      <w:spacing w:val="3"/>
                      <w:sz w:val="20"/>
                      <w:szCs w:val="20"/>
                    </w:rPr>
                    <w:t>手续，严禁未批先占林草地，不涉及盗伐、</w:t>
                  </w:r>
                </w:p>
                <w:p w14:paraId="603C7CC2">
                  <w:pPr>
                    <w:pStyle w:val="6"/>
                    <w:spacing w:before="24" w:line="219" w:lineRule="auto"/>
                    <w:ind w:left="753"/>
                    <w:rPr>
                      <w:sz w:val="20"/>
                      <w:szCs w:val="20"/>
                    </w:rPr>
                  </w:pPr>
                  <w:r>
                    <w:rPr>
                      <w:spacing w:val="8"/>
                      <w:sz w:val="20"/>
                      <w:szCs w:val="20"/>
                    </w:rPr>
                    <w:t>滥伐林木和破坏草地情况。</w:t>
                  </w:r>
                </w:p>
              </w:tc>
              <w:tc>
                <w:tcPr>
                  <w:tcW w:w="883" w:type="dxa"/>
                  <w:tcBorders>
                    <w:top w:val="single" w:color="000000" w:sz="2" w:space="0"/>
                    <w:right w:val="single" w:color="000000" w:sz="2" w:space="0"/>
                  </w:tcBorders>
                  <w:vAlign w:val="top"/>
                </w:tcPr>
                <w:p w14:paraId="7FCB87EC">
                  <w:pPr>
                    <w:rPr>
                      <w:rFonts w:ascii="Arial"/>
                      <w:sz w:val="21"/>
                    </w:rPr>
                  </w:pPr>
                </w:p>
              </w:tc>
            </w:tr>
            <w:tr w14:paraId="25DD6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2932" w:type="dxa"/>
                  <w:tcBorders>
                    <w:left w:val="single" w:color="000000" w:sz="2" w:space="0"/>
                  </w:tcBorders>
                  <w:vAlign w:val="top"/>
                </w:tcPr>
                <w:p w14:paraId="590FFDC0">
                  <w:pPr>
                    <w:pStyle w:val="6"/>
                    <w:spacing w:before="75" w:line="228" w:lineRule="auto"/>
                    <w:ind w:right="8"/>
                    <w:jc w:val="right"/>
                    <w:rPr>
                      <w:sz w:val="20"/>
                      <w:szCs w:val="20"/>
                    </w:rPr>
                  </w:pPr>
                  <w:r>
                    <w:rPr>
                      <w:spacing w:val="-1"/>
                      <w:sz w:val="20"/>
                      <w:szCs w:val="20"/>
                    </w:rPr>
                    <w:t>（二）使用高毒、高残留农药；</w:t>
                  </w:r>
                </w:p>
              </w:tc>
              <w:tc>
                <w:tcPr>
                  <w:tcW w:w="4020" w:type="dxa"/>
                  <w:vAlign w:val="top"/>
                </w:tcPr>
                <w:p w14:paraId="1A7138B3">
                  <w:pPr>
                    <w:pStyle w:val="6"/>
                    <w:spacing w:before="75" w:line="227" w:lineRule="auto"/>
                    <w:ind w:left="125"/>
                    <w:rPr>
                      <w:sz w:val="20"/>
                      <w:szCs w:val="20"/>
                    </w:rPr>
                  </w:pPr>
                  <w:r>
                    <w:rPr>
                      <w:spacing w:val="8"/>
                      <w:sz w:val="20"/>
                      <w:szCs w:val="20"/>
                    </w:rPr>
                    <w:t>本项目不涉及高毒、高残留农药的使用。</w:t>
                  </w:r>
                </w:p>
              </w:tc>
              <w:tc>
                <w:tcPr>
                  <w:tcW w:w="883" w:type="dxa"/>
                  <w:tcBorders>
                    <w:right w:val="single" w:color="000000" w:sz="2" w:space="0"/>
                  </w:tcBorders>
                  <w:vAlign w:val="top"/>
                </w:tcPr>
                <w:p w14:paraId="465F3EEB">
                  <w:pPr>
                    <w:pStyle w:val="6"/>
                    <w:spacing w:before="75" w:line="228" w:lineRule="auto"/>
                    <w:ind w:left="237"/>
                    <w:rPr>
                      <w:sz w:val="20"/>
                      <w:szCs w:val="20"/>
                    </w:rPr>
                  </w:pPr>
                  <w:r>
                    <w:rPr>
                      <w:spacing w:val="3"/>
                      <w:sz w:val="20"/>
                      <w:szCs w:val="20"/>
                    </w:rPr>
                    <w:t>符合</w:t>
                  </w:r>
                </w:p>
              </w:tc>
            </w:tr>
            <w:tr w14:paraId="77821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2932" w:type="dxa"/>
                  <w:tcBorders>
                    <w:left w:val="single" w:color="000000" w:sz="2" w:space="0"/>
                  </w:tcBorders>
                  <w:vAlign w:val="top"/>
                </w:tcPr>
                <w:p w14:paraId="00B9FE21">
                  <w:pPr>
                    <w:pStyle w:val="6"/>
                    <w:spacing w:before="166" w:line="228" w:lineRule="auto"/>
                    <w:ind w:right="11"/>
                    <w:jc w:val="right"/>
                    <w:rPr>
                      <w:sz w:val="20"/>
                      <w:szCs w:val="20"/>
                    </w:rPr>
                  </w:pPr>
                  <w:r>
                    <w:rPr>
                      <w:spacing w:val="-1"/>
                      <w:sz w:val="20"/>
                      <w:szCs w:val="20"/>
                    </w:rPr>
                    <w:t>（三）利用溶洞、渗井、渗坑、</w:t>
                  </w:r>
                </w:p>
                <w:p w14:paraId="09072A92">
                  <w:pPr>
                    <w:pStyle w:val="6"/>
                    <w:spacing w:before="23" w:line="239" w:lineRule="auto"/>
                    <w:ind w:left="631" w:right="105" w:hanging="519"/>
                    <w:rPr>
                      <w:sz w:val="20"/>
                      <w:szCs w:val="20"/>
                    </w:rPr>
                  </w:pPr>
                  <w:r>
                    <w:rPr>
                      <w:spacing w:val="8"/>
                      <w:sz w:val="20"/>
                      <w:szCs w:val="20"/>
                    </w:rPr>
                    <w:t>裂隙排放、倾倒含有毒有害物</w:t>
                  </w:r>
                  <w:r>
                    <w:rPr>
                      <w:spacing w:val="1"/>
                      <w:sz w:val="20"/>
                      <w:szCs w:val="20"/>
                    </w:rPr>
                    <w:t xml:space="preserve"> </w:t>
                  </w:r>
                  <w:r>
                    <w:rPr>
                      <w:spacing w:val="7"/>
                      <w:sz w:val="20"/>
                      <w:szCs w:val="20"/>
                    </w:rPr>
                    <w:t>质的废水、废渣；</w:t>
                  </w:r>
                </w:p>
              </w:tc>
              <w:tc>
                <w:tcPr>
                  <w:tcW w:w="4020" w:type="dxa"/>
                  <w:vAlign w:val="top"/>
                </w:tcPr>
                <w:p w14:paraId="0AFF8A67">
                  <w:pPr>
                    <w:pStyle w:val="6"/>
                    <w:spacing w:before="29" w:line="227" w:lineRule="auto"/>
                    <w:ind w:left="125"/>
                    <w:rPr>
                      <w:sz w:val="20"/>
                      <w:szCs w:val="20"/>
                    </w:rPr>
                  </w:pPr>
                  <w:r>
                    <w:rPr>
                      <w:spacing w:val="9"/>
                      <w:sz w:val="20"/>
                      <w:szCs w:val="20"/>
                    </w:rPr>
                    <w:t>本项目为太阳能发电场项目，建设、运营</w:t>
                  </w:r>
                </w:p>
                <w:p w14:paraId="1707072F">
                  <w:pPr>
                    <w:pStyle w:val="6"/>
                    <w:spacing w:before="27" w:line="228" w:lineRule="auto"/>
                    <w:ind w:left="126"/>
                    <w:rPr>
                      <w:sz w:val="20"/>
                      <w:szCs w:val="20"/>
                    </w:rPr>
                  </w:pPr>
                  <w:r>
                    <w:rPr>
                      <w:spacing w:val="9"/>
                      <w:sz w:val="20"/>
                      <w:szCs w:val="20"/>
                    </w:rPr>
                    <w:t>无废水排放，固废合理处置，不涉及利用</w:t>
                  </w:r>
                </w:p>
                <w:p w14:paraId="04BDFEE1">
                  <w:pPr>
                    <w:pStyle w:val="6"/>
                    <w:spacing w:before="25" w:line="235" w:lineRule="auto"/>
                    <w:ind w:left="754" w:right="115" w:hanging="627"/>
                    <w:rPr>
                      <w:sz w:val="20"/>
                      <w:szCs w:val="20"/>
                    </w:rPr>
                  </w:pPr>
                  <w:r>
                    <w:rPr>
                      <w:spacing w:val="9"/>
                      <w:sz w:val="20"/>
                      <w:szCs w:val="20"/>
                    </w:rPr>
                    <w:t>溶洞、渗井、渗坑、裂隙排放、倾倒含有</w:t>
                  </w:r>
                  <w:r>
                    <w:rPr>
                      <w:spacing w:val="4"/>
                      <w:sz w:val="20"/>
                      <w:szCs w:val="20"/>
                    </w:rPr>
                    <w:t xml:space="preserve"> </w:t>
                  </w:r>
                  <w:r>
                    <w:rPr>
                      <w:spacing w:val="8"/>
                      <w:sz w:val="20"/>
                      <w:szCs w:val="20"/>
                    </w:rPr>
                    <w:t>毒有害物质的废水、废渣。</w:t>
                  </w:r>
                </w:p>
              </w:tc>
              <w:tc>
                <w:tcPr>
                  <w:tcW w:w="883" w:type="dxa"/>
                  <w:tcBorders>
                    <w:right w:val="single" w:color="000000" w:sz="2" w:space="0"/>
                  </w:tcBorders>
                  <w:vAlign w:val="top"/>
                </w:tcPr>
                <w:p w14:paraId="40C50E62">
                  <w:pPr>
                    <w:spacing w:line="369" w:lineRule="auto"/>
                    <w:rPr>
                      <w:rFonts w:ascii="Arial"/>
                      <w:sz w:val="21"/>
                    </w:rPr>
                  </w:pPr>
                </w:p>
                <w:p w14:paraId="6AB4BA6B">
                  <w:pPr>
                    <w:pStyle w:val="6"/>
                    <w:spacing w:before="65" w:line="228" w:lineRule="auto"/>
                    <w:ind w:left="237"/>
                    <w:rPr>
                      <w:sz w:val="20"/>
                      <w:szCs w:val="20"/>
                    </w:rPr>
                  </w:pPr>
                  <w:r>
                    <w:rPr>
                      <w:spacing w:val="3"/>
                      <w:sz w:val="20"/>
                      <w:szCs w:val="20"/>
                    </w:rPr>
                    <w:t>符合</w:t>
                  </w:r>
                </w:p>
              </w:tc>
            </w:tr>
            <w:tr w14:paraId="2EB0F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9" w:hRule="atLeast"/>
              </w:trPr>
              <w:tc>
                <w:tcPr>
                  <w:tcW w:w="2932" w:type="dxa"/>
                  <w:tcBorders>
                    <w:left w:val="single" w:color="000000" w:sz="2" w:space="0"/>
                  </w:tcBorders>
                  <w:vAlign w:val="top"/>
                </w:tcPr>
                <w:p w14:paraId="7446E0B4">
                  <w:pPr>
                    <w:spacing w:line="369" w:lineRule="auto"/>
                    <w:rPr>
                      <w:rFonts w:ascii="Arial"/>
                      <w:sz w:val="21"/>
                    </w:rPr>
                  </w:pPr>
                </w:p>
                <w:p w14:paraId="4416BA06">
                  <w:pPr>
                    <w:pStyle w:val="6"/>
                    <w:spacing w:before="65" w:line="228" w:lineRule="auto"/>
                    <w:ind w:left="122"/>
                    <w:rPr>
                      <w:sz w:val="20"/>
                      <w:szCs w:val="20"/>
                    </w:rPr>
                  </w:pPr>
                  <w:r>
                    <w:rPr>
                      <w:spacing w:val="7"/>
                      <w:sz w:val="20"/>
                      <w:szCs w:val="20"/>
                    </w:rPr>
                    <w:t>（四）向水体排放废水、倾倒</w:t>
                  </w:r>
                </w:p>
                <w:p w14:paraId="4792E739">
                  <w:pPr>
                    <w:pStyle w:val="6"/>
                    <w:spacing w:before="26" w:line="239" w:lineRule="auto"/>
                    <w:ind w:left="1049" w:right="105" w:hanging="935"/>
                    <w:rPr>
                      <w:sz w:val="20"/>
                      <w:szCs w:val="20"/>
                    </w:rPr>
                  </w:pPr>
                  <w:r>
                    <w:rPr>
                      <w:spacing w:val="7"/>
                      <w:sz w:val="20"/>
                      <w:szCs w:val="20"/>
                    </w:rPr>
                    <w:t>工业废渣、城镇垃圾或者其他</w:t>
                  </w:r>
                  <w:r>
                    <w:rPr>
                      <w:spacing w:val="11"/>
                      <w:sz w:val="20"/>
                      <w:szCs w:val="20"/>
                    </w:rPr>
                    <w:t xml:space="preserve"> </w:t>
                  </w:r>
                  <w:r>
                    <w:rPr>
                      <w:spacing w:val="5"/>
                      <w:sz w:val="20"/>
                      <w:szCs w:val="20"/>
                    </w:rPr>
                    <w:t>废弃物；</w:t>
                  </w:r>
                </w:p>
              </w:tc>
              <w:tc>
                <w:tcPr>
                  <w:tcW w:w="4020" w:type="dxa"/>
                  <w:vAlign w:val="top"/>
                </w:tcPr>
                <w:p w14:paraId="6B5E9EED">
                  <w:pPr>
                    <w:pStyle w:val="6"/>
                    <w:spacing w:before="27" w:line="246" w:lineRule="auto"/>
                    <w:ind w:left="125" w:right="115"/>
                    <w:jc w:val="both"/>
                    <w:rPr>
                      <w:sz w:val="20"/>
                      <w:szCs w:val="20"/>
                    </w:rPr>
                  </w:pPr>
                  <w:r>
                    <w:rPr>
                      <w:spacing w:val="9"/>
                      <w:sz w:val="20"/>
                      <w:szCs w:val="20"/>
                    </w:rPr>
                    <w:t>本项目为太阳能发电场项目，运营期项目</w:t>
                  </w:r>
                  <w:r>
                    <w:rPr>
                      <w:spacing w:val="5"/>
                      <w:sz w:val="20"/>
                      <w:szCs w:val="20"/>
                    </w:rPr>
                    <w:t xml:space="preserve"> </w:t>
                  </w:r>
                  <w:r>
                    <w:rPr>
                      <w:spacing w:val="9"/>
                      <w:sz w:val="20"/>
                      <w:szCs w:val="20"/>
                    </w:rPr>
                    <w:t>区生活污水经过一体化污水处理设施处理</w:t>
                  </w:r>
                  <w:r>
                    <w:rPr>
                      <w:spacing w:val="6"/>
                      <w:sz w:val="20"/>
                      <w:szCs w:val="20"/>
                    </w:rPr>
                    <w:t xml:space="preserve"> </w:t>
                  </w:r>
                  <w:r>
                    <w:rPr>
                      <w:spacing w:val="9"/>
                      <w:sz w:val="20"/>
                      <w:szCs w:val="20"/>
                    </w:rPr>
                    <w:t>后回用于绿化，不外排。光伏区少量的光</w:t>
                  </w:r>
                  <w:r>
                    <w:rPr>
                      <w:spacing w:val="6"/>
                      <w:sz w:val="20"/>
                      <w:szCs w:val="20"/>
                    </w:rPr>
                    <w:t xml:space="preserve"> </w:t>
                  </w:r>
                  <w:r>
                    <w:rPr>
                      <w:spacing w:val="9"/>
                      <w:sz w:val="20"/>
                      <w:szCs w:val="20"/>
                    </w:rPr>
                    <w:t>伏组件清洗废水用于板下植物浇洒，不外</w:t>
                  </w:r>
                </w:p>
                <w:p w14:paraId="751F1484">
                  <w:pPr>
                    <w:pStyle w:val="6"/>
                    <w:spacing w:before="25" w:line="228" w:lineRule="auto"/>
                    <w:ind w:right="6"/>
                    <w:jc w:val="right"/>
                    <w:rPr>
                      <w:sz w:val="20"/>
                      <w:szCs w:val="20"/>
                    </w:rPr>
                  </w:pPr>
                  <w:r>
                    <w:rPr>
                      <w:spacing w:val="4"/>
                      <w:sz w:val="20"/>
                      <w:szCs w:val="20"/>
                    </w:rPr>
                    <w:t>排；损坏更换的电池组件由厂家回收处置，</w:t>
                  </w:r>
                </w:p>
                <w:p w14:paraId="40D388BE">
                  <w:pPr>
                    <w:pStyle w:val="6"/>
                    <w:spacing w:before="27" w:line="218" w:lineRule="auto"/>
                    <w:ind w:left="1218"/>
                    <w:rPr>
                      <w:sz w:val="20"/>
                      <w:szCs w:val="20"/>
                    </w:rPr>
                  </w:pPr>
                  <w:r>
                    <w:rPr>
                      <w:spacing w:val="1"/>
                      <w:sz w:val="20"/>
                      <w:szCs w:val="20"/>
                    </w:rPr>
                    <w:t>固废</w:t>
                  </w:r>
                  <w:r>
                    <w:rPr>
                      <w:spacing w:val="-20"/>
                      <w:sz w:val="20"/>
                      <w:szCs w:val="20"/>
                    </w:rPr>
                    <w:t xml:space="preserve"> </w:t>
                  </w:r>
                  <w:r>
                    <w:rPr>
                      <w:rFonts w:ascii="Times New Roman" w:hAnsi="Times New Roman" w:eastAsia="Times New Roman" w:cs="Times New Roman"/>
                      <w:spacing w:val="1"/>
                      <w:sz w:val="20"/>
                      <w:szCs w:val="20"/>
                    </w:rPr>
                    <w:t>100</w:t>
                  </w:r>
                  <w:r>
                    <w:rPr>
                      <w:spacing w:val="1"/>
                      <w:sz w:val="20"/>
                      <w:szCs w:val="20"/>
                    </w:rPr>
                    <w:t>％处置。</w:t>
                  </w:r>
                </w:p>
              </w:tc>
              <w:tc>
                <w:tcPr>
                  <w:tcW w:w="883" w:type="dxa"/>
                  <w:tcBorders>
                    <w:right w:val="single" w:color="000000" w:sz="2" w:space="0"/>
                  </w:tcBorders>
                  <w:vAlign w:val="top"/>
                </w:tcPr>
                <w:p w14:paraId="282040DE">
                  <w:pPr>
                    <w:spacing w:line="320" w:lineRule="auto"/>
                    <w:rPr>
                      <w:rFonts w:ascii="Arial"/>
                      <w:sz w:val="21"/>
                    </w:rPr>
                  </w:pPr>
                </w:p>
                <w:p w14:paraId="5D010E3D">
                  <w:pPr>
                    <w:spacing w:line="321" w:lineRule="auto"/>
                    <w:rPr>
                      <w:rFonts w:ascii="Arial"/>
                      <w:sz w:val="21"/>
                    </w:rPr>
                  </w:pPr>
                </w:p>
                <w:p w14:paraId="4B3C4F7C">
                  <w:pPr>
                    <w:pStyle w:val="6"/>
                    <w:spacing w:before="65" w:line="228" w:lineRule="auto"/>
                    <w:ind w:left="237"/>
                    <w:rPr>
                      <w:sz w:val="20"/>
                      <w:szCs w:val="20"/>
                    </w:rPr>
                  </w:pPr>
                  <w:r>
                    <w:rPr>
                      <w:spacing w:val="3"/>
                      <w:sz w:val="20"/>
                      <w:szCs w:val="20"/>
                    </w:rPr>
                    <w:t>符合</w:t>
                  </w:r>
                </w:p>
              </w:tc>
            </w:tr>
            <w:tr w14:paraId="6D77B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0" w:hRule="atLeast"/>
              </w:trPr>
              <w:tc>
                <w:tcPr>
                  <w:tcW w:w="2932" w:type="dxa"/>
                  <w:tcBorders>
                    <w:left w:val="single" w:color="000000" w:sz="2" w:space="0"/>
                  </w:tcBorders>
                  <w:vAlign w:val="top"/>
                </w:tcPr>
                <w:p w14:paraId="218965C2">
                  <w:pPr>
                    <w:spacing w:line="371" w:lineRule="auto"/>
                    <w:rPr>
                      <w:rFonts w:ascii="Arial"/>
                      <w:sz w:val="21"/>
                    </w:rPr>
                  </w:pPr>
                </w:p>
                <w:p w14:paraId="614F9690">
                  <w:pPr>
                    <w:pStyle w:val="6"/>
                    <w:spacing w:before="65" w:line="243" w:lineRule="auto"/>
                    <w:ind w:left="112" w:right="103" w:firstLine="10"/>
                    <w:jc w:val="both"/>
                    <w:rPr>
                      <w:sz w:val="20"/>
                      <w:szCs w:val="20"/>
                    </w:rPr>
                  </w:pPr>
                  <w:r>
                    <w:rPr>
                      <w:spacing w:val="7"/>
                      <w:sz w:val="20"/>
                      <w:szCs w:val="20"/>
                    </w:rPr>
                    <w:t>（五）在江河、渠道、水库最</w:t>
                  </w:r>
                  <w:r>
                    <w:rPr>
                      <w:spacing w:val="6"/>
                      <w:sz w:val="20"/>
                      <w:szCs w:val="20"/>
                    </w:rPr>
                    <w:t xml:space="preserve"> </w:t>
                  </w:r>
                  <w:r>
                    <w:rPr>
                      <w:spacing w:val="8"/>
                      <w:sz w:val="20"/>
                      <w:szCs w:val="20"/>
                    </w:rPr>
                    <w:t>高水位线以下的滩地、岸坡堆</w:t>
                  </w:r>
                  <w:r>
                    <w:rPr>
                      <w:spacing w:val="3"/>
                      <w:sz w:val="20"/>
                      <w:szCs w:val="20"/>
                    </w:rPr>
                    <w:t xml:space="preserve"> </w:t>
                  </w:r>
                  <w:r>
                    <w:rPr>
                      <w:spacing w:val="8"/>
                      <w:sz w:val="20"/>
                      <w:szCs w:val="20"/>
                    </w:rPr>
                    <w:t>放、存贮固体废弃物或者其他</w:t>
                  </w:r>
                </w:p>
                <w:p w14:paraId="42335F84">
                  <w:pPr>
                    <w:pStyle w:val="6"/>
                    <w:spacing w:before="27" w:line="228" w:lineRule="auto"/>
                    <w:ind w:left="1052"/>
                    <w:rPr>
                      <w:sz w:val="20"/>
                      <w:szCs w:val="20"/>
                    </w:rPr>
                  </w:pPr>
                  <w:r>
                    <w:rPr>
                      <w:spacing w:val="4"/>
                      <w:sz w:val="20"/>
                      <w:szCs w:val="20"/>
                    </w:rPr>
                    <w:t>污染物；</w:t>
                  </w:r>
                </w:p>
              </w:tc>
              <w:tc>
                <w:tcPr>
                  <w:tcW w:w="4020" w:type="dxa"/>
                  <w:vAlign w:val="top"/>
                </w:tcPr>
                <w:p w14:paraId="17868613">
                  <w:pPr>
                    <w:pStyle w:val="6"/>
                    <w:spacing w:before="31" w:line="246" w:lineRule="auto"/>
                    <w:ind w:left="124" w:right="115" w:firstLine="4"/>
                    <w:jc w:val="both"/>
                    <w:rPr>
                      <w:sz w:val="20"/>
                      <w:szCs w:val="20"/>
                    </w:rPr>
                  </w:pPr>
                  <w:r>
                    <w:rPr>
                      <w:spacing w:val="9"/>
                      <w:sz w:val="20"/>
                      <w:szCs w:val="20"/>
                    </w:rPr>
                    <w:t>项目选址不涉及江河、渠道、水库最高水</w:t>
                  </w:r>
                  <w:r>
                    <w:rPr>
                      <w:spacing w:val="3"/>
                      <w:sz w:val="20"/>
                      <w:szCs w:val="20"/>
                    </w:rPr>
                    <w:t xml:space="preserve"> </w:t>
                  </w:r>
                  <w:r>
                    <w:rPr>
                      <w:spacing w:val="9"/>
                      <w:sz w:val="20"/>
                      <w:szCs w:val="20"/>
                    </w:rPr>
                    <w:t>位线以下的滩地、岸坡，运营期项目区生</w:t>
                  </w:r>
                  <w:r>
                    <w:rPr>
                      <w:spacing w:val="7"/>
                      <w:sz w:val="20"/>
                      <w:szCs w:val="20"/>
                    </w:rPr>
                    <w:t xml:space="preserve"> </w:t>
                  </w:r>
                  <w:r>
                    <w:rPr>
                      <w:spacing w:val="9"/>
                      <w:sz w:val="20"/>
                      <w:szCs w:val="20"/>
                    </w:rPr>
                    <w:t>活污水经过一体化污水处理设施处理后回</w:t>
                  </w:r>
                  <w:r>
                    <w:rPr>
                      <w:spacing w:val="7"/>
                      <w:sz w:val="20"/>
                      <w:szCs w:val="20"/>
                    </w:rPr>
                    <w:t xml:space="preserve"> </w:t>
                  </w:r>
                  <w:r>
                    <w:rPr>
                      <w:spacing w:val="9"/>
                      <w:sz w:val="20"/>
                      <w:szCs w:val="20"/>
                    </w:rPr>
                    <w:t>用于绿化，不外排。光伏区少量的光伏组</w:t>
                  </w:r>
                  <w:r>
                    <w:rPr>
                      <w:spacing w:val="7"/>
                      <w:sz w:val="20"/>
                      <w:szCs w:val="20"/>
                    </w:rPr>
                    <w:t xml:space="preserve"> </w:t>
                  </w:r>
                  <w:r>
                    <w:rPr>
                      <w:spacing w:val="8"/>
                      <w:sz w:val="20"/>
                      <w:szCs w:val="20"/>
                    </w:rPr>
                    <w:t>件清洗废水用于板下植物浇洒，不外排；</w:t>
                  </w:r>
                </w:p>
                <w:p w14:paraId="45EC4FB8">
                  <w:pPr>
                    <w:pStyle w:val="6"/>
                    <w:spacing w:before="28" w:line="234" w:lineRule="auto"/>
                    <w:ind w:left="1304" w:right="115" w:hanging="1179"/>
                    <w:rPr>
                      <w:sz w:val="20"/>
                      <w:szCs w:val="20"/>
                    </w:rPr>
                  </w:pPr>
                  <w:r>
                    <w:rPr>
                      <w:spacing w:val="9"/>
                      <w:sz w:val="20"/>
                      <w:szCs w:val="20"/>
                    </w:rPr>
                    <w:t>损坏更换的电池组件由厂家回收处置，固</w:t>
                  </w:r>
                  <w:r>
                    <w:rPr>
                      <w:spacing w:val="6"/>
                      <w:sz w:val="20"/>
                      <w:szCs w:val="20"/>
                    </w:rPr>
                    <w:t xml:space="preserve"> </w:t>
                  </w:r>
                  <w:r>
                    <w:rPr>
                      <w:spacing w:val="2"/>
                      <w:sz w:val="20"/>
                      <w:szCs w:val="20"/>
                    </w:rPr>
                    <w:t>废</w:t>
                  </w:r>
                  <w:r>
                    <w:rPr>
                      <w:spacing w:val="-20"/>
                      <w:sz w:val="20"/>
                      <w:szCs w:val="20"/>
                    </w:rPr>
                    <w:t xml:space="preserve"> </w:t>
                  </w:r>
                  <w:r>
                    <w:rPr>
                      <w:rFonts w:ascii="Times New Roman" w:hAnsi="Times New Roman" w:eastAsia="Times New Roman" w:cs="Times New Roman"/>
                      <w:spacing w:val="2"/>
                      <w:sz w:val="20"/>
                      <w:szCs w:val="20"/>
                    </w:rPr>
                    <w:t>100</w:t>
                  </w:r>
                  <w:r>
                    <w:rPr>
                      <w:spacing w:val="2"/>
                      <w:sz w:val="20"/>
                      <w:szCs w:val="20"/>
                    </w:rPr>
                    <w:t>％处置。</w:t>
                  </w:r>
                </w:p>
              </w:tc>
              <w:tc>
                <w:tcPr>
                  <w:tcW w:w="883" w:type="dxa"/>
                  <w:tcBorders>
                    <w:right w:val="single" w:color="000000" w:sz="2" w:space="0"/>
                  </w:tcBorders>
                  <w:vAlign w:val="top"/>
                </w:tcPr>
                <w:p w14:paraId="3C487DFC">
                  <w:pPr>
                    <w:spacing w:line="259" w:lineRule="auto"/>
                    <w:rPr>
                      <w:rFonts w:ascii="Arial"/>
                      <w:sz w:val="21"/>
                    </w:rPr>
                  </w:pPr>
                </w:p>
                <w:p w14:paraId="78FEBA4F">
                  <w:pPr>
                    <w:spacing w:line="259" w:lineRule="auto"/>
                    <w:rPr>
                      <w:rFonts w:ascii="Arial"/>
                      <w:sz w:val="21"/>
                    </w:rPr>
                  </w:pPr>
                </w:p>
                <w:p w14:paraId="67EB7FD9">
                  <w:pPr>
                    <w:spacing w:line="259" w:lineRule="auto"/>
                    <w:rPr>
                      <w:rFonts w:ascii="Arial"/>
                      <w:sz w:val="21"/>
                    </w:rPr>
                  </w:pPr>
                </w:p>
                <w:p w14:paraId="4F3FE1D0">
                  <w:pPr>
                    <w:pStyle w:val="6"/>
                    <w:spacing w:before="65" w:line="228" w:lineRule="auto"/>
                    <w:ind w:left="237"/>
                    <w:rPr>
                      <w:sz w:val="20"/>
                      <w:szCs w:val="20"/>
                    </w:rPr>
                  </w:pPr>
                  <w:r>
                    <w:rPr>
                      <w:spacing w:val="3"/>
                      <w:sz w:val="20"/>
                      <w:szCs w:val="20"/>
                    </w:rPr>
                    <w:t>符合</w:t>
                  </w:r>
                </w:p>
              </w:tc>
            </w:tr>
            <w:tr w14:paraId="1B68B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2932" w:type="dxa"/>
                  <w:tcBorders>
                    <w:left w:val="single" w:color="000000" w:sz="2" w:space="0"/>
                  </w:tcBorders>
                  <w:vAlign w:val="top"/>
                </w:tcPr>
                <w:p w14:paraId="07F62BF8">
                  <w:pPr>
                    <w:pStyle w:val="6"/>
                    <w:spacing w:before="164" w:line="244" w:lineRule="auto"/>
                    <w:ind w:left="113" w:right="103" w:firstLine="9"/>
                    <w:jc w:val="both"/>
                    <w:rPr>
                      <w:sz w:val="20"/>
                      <w:szCs w:val="20"/>
                    </w:rPr>
                  </w:pPr>
                  <w:r>
                    <w:rPr>
                      <w:spacing w:val="7"/>
                      <w:sz w:val="20"/>
                      <w:szCs w:val="20"/>
                    </w:rPr>
                    <w:t>（六）利用无防渗漏措施的沟</w:t>
                  </w:r>
                  <w:r>
                    <w:rPr>
                      <w:spacing w:val="4"/>
                      <w:sz w:val="20"/>
                      <w:szCs w:val="20"/>
                    </w:rPr>
                    <w:t xml:space="preserve"> </w:t>
                  </w:r>
                  <w:r>
                    <w:rPr>
                      <w:spacing w:val="8"/>
                      <w:sz w:val="20"/>
                      <w:szCs w:val="20"/>
                    </w:rPr>
                    <w:t>渠、坑塘等输送或者存贮含有</w:t>
                  </w:r>
                  <w:r>
                    <w:rPr>
                      <w:spacing w:val="2"/>
                      <w:sz w:val="20"/>
                      <w:szCs w:val="20"/>
                    </w:rPr>
                    <w:t xml:space="preserve"> </w:t>
                  </w:r>
                  <w:r>
                    <w:rPr>
                      <w:spacing w:val="8"/>
                      <w:sz w:val="20"/>
                      <w:szCs w:val="20"/>
                    </w:rPr>
                    <w:t>毒污染物的废水、含病原体的</w:t>
                  </w:r>
                </w:p>
                <w:p w14:paraId="41FE87AE">
                  <w:pPr>
                    <w:pStyle w:val="6"/>
                    <w:spacing w:before="26" w:line="228" w:lineRule="auto"/>
                    <w:ind w:left="423"/>
                    <w:rPr>
                      <w:sz w:val="20"/>
                      <w:szCs w:val="20"/>
                    </w:rPr>
                  </w:pPr>
                  <w:r>
                    <w:rPr>
                      <w:spacing w:val="7"/>
                      <w:sz w:val="20"/>
                      <w:szCs w:val="20"/>
                    </w:rPr>
                    <w:t>污水或者其他废弃物。</w:t>
                  </w:r>
                </w:p>
              </w:tc>
              <w:tc>
                <w:tcPr>
                  <w:tcW w:w="4020" w:type="dxa"/>
                  <w:vAlign w:val="top"/>
                </w:tcPr>
                <w:p w14:paraId="4371D149">
                  <w:pPr>
                    <w:pStyle w:val="6"/>
                    <w:spacing w:before="32" w:line="243" w:lineRule="auto"/>
                    <w:ind w:left="127" w:right="115" w:hanging="2"/>
                    <w:jc w:val="both"/>
                    <w:rPr>
                      <w:sz w:val="20"/>
                      <w:szCs w:val="20"/>
                    </w:rPr>
                  </w:pPr>
                  <w:r>
                    <w:rPr>
                      <w:spacing w:val="9"/>
                      <w:sz w:val="20"/>
                      <w:szCs w:val="20"/>
                    </w:rPr>
                    <w:t>运营期项目区生活污水经过一体化污水处</w:t>
                  </w:r>
                  <w:r>
                    <w:rPr>
                      <w:spacing w:val="6"/>
                      <w:sz w:val="20"/>
                      <w:szCs w:val="20"/>
                    </w:rPr>
                    <w:t xml:space="preserve"> </w:t>
                  </w:r>
                  <w:r>
                    <w:rPr>
                      <w:spacing w:val="9"/>
                      <w:sz w:val="20"/>
                      <w:szCs w:val="20"/>
                    </w:rPr>
                    <w:t>理设施处理后回用于绿化，不外排。光伏</w:t>
                  </w:r>
                  <w:r>
                    <w:rPr>
                      <w:spacing w:val="4"/>
                      <w:sz w:val="20"/>
                      <w:szCs w:val="20"/>
                    </w:rPr>
                    <w:t xml:space="preserve"> </w:t>
                  </w:r>
                  <w:r>
                    <w:rPr>
                      <w:spacing w:val="9"/>
                      <w:sz w:val="20"/>
                      <w:szCs w:val="20"/>
                    </w:rPr>
                    <w:t>区少量的光伏组件清洗废水用于板下植物</w:t>
                  </w:r>
                </w:p>
                <w:p w14:paraId="6FDE2AE5">
                  <w:pPr>
                    <w:pStyle w:val="6"/>
                    <w:spacing w:before="24" w:line="235" w:lineRule="auto"/>
                    <w:ind w:left="229" w:right="115" w:hanging="104"/>
                    <w:rPr>
                      <w:sz w:val="20"/>
                      <w:szCs w:val="20"/>
                    </w:rPr>
                  </w:pPr>
                  <w:r>
                    <w:rPr>
                      <w:spacing w:val="9"/>
                      <w:sz w:val="20"/>
                      <w:szCs w:val="20"/>
                    </w:rPr>
                    <w:t>浇洒，不外排，不涉及含有毒污染物的废</w:t>
                  </w:r>
                  <w:r>
                    <w:rPr>
                      <w:spacing w:val="5"/>
                      <w:sz w:val="20"/>
                      <w:szCs w:val="20"/>
                    </w:rPr>
                    <w:t xml:space="preserve"> </w:t>
                  </w:r>
                  <w:r>
                    <w:rPr>
                      <w:spacing w:val="8"/>
                      <w:sz w:val="20"/>
                      <w:szCs w:val="20"/>
                    </w:rPr>
                    <w:t>水、含病原体的污水或者其他废弃物。</w:t>
                  </w:r>
                </w:p>
              </w:tc>
              <w:tc>
                <w:tcPr>
                  <w:tcW w:w="883" w:type="dxa"/>
                  <w:tcBorders>
                    <w:right w:val="single" w:color="000000" w:sz="2" w:space="0"/>
                  </w:tcBorders>
                  <w:vAlign w:val="top"/>
                </w:tcPr>
                <w:p w14:paraId="1B15DC8D">
                  <w:pPr>
                    <w:spacing w:line="253" w:lineRule="auto"/>
                    <w:rPr>
                      <w:rFonts w:ascii="Arial"/>
                      <w:sz w:val="21"/>
                    </w:rPr>
                  </w:pPr>
                </w:p>
                <w:p w14:paraId="5781BCA1">
                  <w:pPr>
                    <w:spacing w:line="254" w:lineRule="auto"/>
                    <w:rPr>
                      <w:rFonts w:ascii="Arial"/>
                      <w:sz w:val="21"/>
                    </w:rPr>
                  </w:pPr>
                </w:p>
                <w:p w14:paraId="28EBAFB7">
                  <w:pPr>
                    <w:pStyle w:val="6"/>
                    <w:spacing w:before="65" w:line="228" w:lineRule="auto"/>
                    <w:ind w:left="237"/>
                    <w:rPr>
                      <w:sz w:val="20"/>
                      <w:szCs w:val="20"/>
                    </w:rPr>
                  </w:pPr>
                  <w:r>
                    <w:rPr>
                      <w:spacing w:val="3"/>
                      <w:sz w:val="20"/>
                      <w:szCs w:val="20"/>
                    </w:rPr>
                    <w:t>符合</w:t>
                  </w:r>
                </w:p>
              </w:tc>
            </w:tr>
            <w:tr w14:paraId="6576A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7835" w:type="dxa"/>
                  <w:gridSpan w:val="3"/>
                  <w:tcBorders>
                    <w:left w:val="single" w:color="000000" w:sz="2" w:space="0"/>
                    <w:right w:val="single" w:color="000000" w:sz="2" w:space="0"/>
                  </w:tcBorders>
                  <w:vAlign w:val="top"/>
                </w:tcPr>
                <w:p w14:paraId="2F3A21D1">
                  <w:pPr>
                    <w:pStyle w:val="6"/>
                    <w:spacing w:before="75" w:line="228" w:lineRule="auto"/>
                    <w:ind w:left="655"/>
                    <w:rPr>
                      <w:sz w:val="20"/>
                      <w:szCs w:val="20"/>
                    </w:rPr>
                  </w:pPr>
                  <w:r>
                    <w:rPr>
                      <w:b/>
                      <w:bCs/>
                      <w:spacing w:val="8"/>
                      <w:sz w:val="20"/>
                      <w:szCs w:val="20"/>
                    </w:rPr>
                    <w:t>重点污染控制区内除重点水源涵养区禁止的行为外，还禁止下列行</w:t>
                  </w:r>
                  <w:r>
                    <w:rPr>
                      <w:b/>
                      <w:bCs/>
                      <w:spacing w:val="7"/>
                      <w:sz w:val="20"/>
                      <w:szCs w:val="20"/>
                    </w:rPr>
                    <w:t>为：</w:t>
                  </w:r>
                </w:p>
              </w:tc>
            </w:tr>
            <w:tr w14:paraId="3572F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2932" w:type="dxa"/>
                  <w:tcBorders>
                    <w:left w:val="single" w:color="000000" w:sz="2" w:space="0"/>
                  </w:tcBorders>
                  <w:vAlign w:val="top"/>
                </w:tcPr>
                <w:p w14:paraId="4035B31C">
                  <w:pPr>
                    <w:spacing w:line="322" w:lineRule="auto"/>
                    <w:rPr>
                      <w:rFonts w:ascii="Arial"/>
                      <w:sz w:val="21"/>
                    </w:rPr>
                  </w:pPr>
                </w:p>
                <w:p w14:paraId="4006E434">
                  <w:pPr>
                    <w:spacing w:line="322" w:lineRule="auto"/>
                    <w:rPr>
                      <w:rFonts w:ascii="Arial"/>
                      <w:sz w:val="21"/>
                    </w:rPr>
                  </w:pPr>
                </w:p>
                <w:p w14:paraId="2769F13C">
                  <w:pPr>
                    <w:pStyle w:val="6"/>
                    <w:spacing w:before="65" w:line="228" w:lineRule="auto"/>
                    <w:ind w:left="122"/>
                    <w:rPr>
                      <w:sz w:val="20"/>
                      <w:szCs w:val="20"/>
                    </w:rPr>
                  </w:pPr>
                  <w:r>
                    <w:rPr>
                      <w:spacing w:val="7"/>
                      <w:sz w:val="20"/>
                      <w:szCs w:val="20"/>
                    </w:rPr>
                    <w:t>（一）新建、扩建工业园区；</w:t>
                  </w:r>
                </w:p>
              </w:tc>
              <w:tc>
                <w:tcPr>
                  <w:tcW w:w="4020" w:type="dxa"/>
                  <w:vAlign w:val="top"/>
                </w:tcPr>
                <w:p w14:paraId="3B95D5F6">
                  <w:pPr>
                    <w:pStyle w:val="6"/>
                    <w:spacing w:before="30" w:line="246" w:lineRule="auto"/>
                    <w:ind w:left="111" w:right="104" w:firstLine="13"/>
                    <w:jc w:val="both"/>
                    <w:rPr>
                      <w:sz w:val="20"/>
                      <w:szCs w:val="20"/>
                    </w:rPr>
                  </w:pPr>
                  <w:r>
                    <w:rPr>
                      <w:spacing w:val="9"/>
                      <w:sz w:val="20"/>
                      <w:szCs w:val="20"/>
                    </w:rPr>
                    <w:t>运营期项目区生活污水经过一体化污水处</w:t>
                  </w:r>
                  <w:r>
                    <w:rPr>
                      <w:spacing w:val="6"/>
                      <w:sz w:val="20"/>
                      <w:szCs w:val="20"/>
                    </w:rPr>
                    <w:t xml:space="preserve"> </w:t>
                  </w:r>
                  <w:r>
                    <w:rPr>
                      <w:spacing w:val="10"/>
                      <w:sz w:val="20"/>
                      <w:szCs w:val="20"/>
                    </w:rPr>
                    <w:t>理设施处理后回用于绿化，不外排；光伏</w:t>
                  </w:r>
                  <w:r>
                    <w:rPr>
                      <w:spacing w:val="2"/>
                      <w:sz w:val="20"/>
                      <w:szCs w:val="20"/>
                    </w:rPr>
                    <w:t xml:space="preserve"> </w:t>
                  </w:r>
                  <w:r>
                    <w:rPr>
                      <w:spacing w:val="10"/>
                      <w:sz w:val="20"/>
                      <w:szCs w:val="20"/>
                    </w:rPr>
                    <w:t>区少量的光伏组件清洗废水用于板下植物</w:t>
                  </w:r>
                  <w:r>
                    <w:rPr>
                      <w:spacing w:val="2"/>
                      <w:sz w:val="20"/>
                      <w:szCs w:val="20"/>
                    </w:rPr>
                    <w:t xml:space="preserve"> </w:t>
                  </w:r>
                  <w:r>
                    <w:rPr>
                      <w:spacing w:val="6"/>
                      <w:sz w:val="20"/>
                      <w:szCs w:val="20"/>
                    </w:rPr>
                    <w:t>浇洒，该废水无特殊污染物，主要为</w:t>
                  </w:r>
                  <w:r>
                    <w:rPr>
                      <w:spacing w:val="-31"/>
                      <w:sz w:val="20"/>
                      <w:szCs w:val="20"/>
                    </w:rPr>
                    <w:t xml:space="preserve"> </w:t>
                  </w:r>
                  <w:r>
                    <w:rPr>
                      <w:rFonts w:ascii="Times New Roman" w:hAnsi="Times New Roman" w:eastAsia="Times New Roman" w:cs="Times New Roman"/>
                      <w:sz w:val="20"/>
                      <w:szCs w:val="20"/>
                    </w:rPr>
                    <w:t>SS</w:t>
                  </w:r>
                  <w:r>
                    <w:rPr>
                      <w:spacing w:val="6"/>
                      <w:sz w:val="20"/>
                      <w:szCs w:val="20"/>
                    </w:rPr>
                    <w:t>，</w:t>
                  </w:r>
                </w:p>
                <w:p w14:paraId="500FC624">
                  <w:pPr>
                    <w:pStyle w:val="6"/>
                    <w:spacing w:before="24" w:line="227" w:lineRule="auto"/>
                    <w:ind w:right="6"/>
                    <w:jc w:val="right"/>
                    <w:rPr>
                      <w:sz w:val="20"/>
                      <w:szCs w:val="20"/>
                    </w:rPr>
                  </w:pPr>
                  <w:r>
                    <w:rPr>
                      <w:spacing w:val="4"/>
                      <w:sz w:val="20"/>
                      <w:szCs w:val="20"/>
                    </w:rPr>
                    <w:t>用于板下林草植被浇洒，不外排，无新建、</w:t>
                  </w:r>
                </w:p>
                <w:p w14:paraId="008C6BC1">
                  <w:pPr>
                    <w:pStyle w:val="6"/>
                    <w:spacing w:before="25" w:line="217" w:lineRule="auto"/>
                    <w:ind w:left="1075"/>
                    <w:rPr>
                      <w:sz w:val="20"/>
                      <w:szCs w:val="20"/>
                    </w:rPr>
                  </w:pPr>
                  <w:r>
                    <w:rPr>
                      <w:spacing w:val="6"/>
                      <w:sz w:val="20"/>
                      <w:szCs w:val="20"/>
                    </w:rPr>
                    <w:t>改建、扩建排污口。</w:t>
                  </w:r>
                </w:p>
              </w:tc>
              <w:tc>
                <w:tcPr>
                  <w:tcW w:w="883" w:type="dxa"/>
                  <w:tcBorders>
                    <w:right w:val="single" w:color="000000" w:sz="2" w:space="0"/>
                  </w:tcBorders>
                  <w:vAlign w:val="top"/>
                </w:tcPr>
                <w:p w14:paraId="432EBFE6">
                  <w:pPr>
                    <w:spacing w:line="322" w:lineRule="auto"/>
                    <w:rPr>
                      <w:rFonts w:ascii="Arial"/>
                      <w:sz w:val="21"/>
                    </w:rPr>
                  </w:pPr>
                </w:p>
                <w:p w14:paraId="07A635E2">
                  <w:pPr>
                    <w:spacing w:line="322" w:lineRule="auto"/>
                    <w:rPr>
                      <w:rFonts w:ascii="Arial"/>
                      <w:sz w:val="21"/>
                    </w:rPr>
                  </w:pPr>
                </w:p>
                <w:p w14:paraId="69280D93">
                  <w:pPr>
                    <w:pStyle w:val="6"/>
                    <w:spacing w:before="65" w:line="229" w:lineRule="auto"/>
                    <w:ind w:left="133"/>
                    <w:rPr>
                      <w:sz w:val="20"/>
                      <w:szCs w:val="20"/>
                    </w:rPr>
                  </w:pPr>
                  <w:r>
                    <w:rPr>
                      <w:spacing w:val="5"/>
                      <w:sz w:val="20"/>
                      <w:szCs w:val="20"/>
                    </w:rPr>
                    <w:t>不涉及</w:t>
                  </w:r>
                </w:p>
              </w:tc>
            </w:tr>
            <w:tr w14:paraId="36F94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932" w:type="dxa"/>
                  <w:tcBorders>
                    <w:left w:val="single" w:color="000000" w:sz="2" w:space="0"/>
                  </w:tcBorders>
                  <w:vAlign w:val="top"/>
                </w:tcPr>
                <w:p w14:paraId="7AF6D615">
                  <w:pPr>
                    <w:pStyle w:val="6"/>
                    <w:spacing w:before="31" w:line="234" w:lineRule="auto"/>
                    <w:ind w:left="527" w:right="103" w:hanging="405"/>
                    <w:rPr>
                      <w:sz w:val="20"/>
                      <w:szCs w:val="20"/>
                    </w:rPr>
                  </w:pPr>
                  <w:r>
                    <w:rPr>
                      <w:spacing w:val="7"/>
                      <w:sz w:val="20"/>
                      <w:szCs w:val="20"/>
                    </w:rPr>
                    <w:t>（二）新建、扩建重点水污染</w:t>
                  </w:r>
                  <w:r>
                    <w:rPr>
                      <w:spacing w:val="6"/>
                      <w:sz w:val="20"/>
                      <w:szCs w:val="20"/>
                    </w:rPr>
                    <w:t xml:space="preserve"> </w:t>
                  </w:r>
                  <w:r>
                    <w:rPr>
                      <w:spacing w:val="7"/>
                      <w:sz w:val="20"/>
                      <w:szCs w:val="20"/>
                    </w:rPr>
                    <w:t>物排放的工业项目；</w:t>
                  </w:r>
                </w:p>
              </w:tc>
              <w:tc>
                <w:tcPr>
                  <w:tcW w:w="4020" w:type="dxa"/>
                  <w:vAlign w:val="top"/>
                </w:tcPr>
                <w:p w14:paraId="0A276FE7">
                  <w:pPr>
                    <w:pStyle w:val="6"/>
                    <w:spacing w:before="31" w:line="234" w:lineRule="auto"/>
                    <w:ind w:left="967" w:right="115" w:hanging="842"/>
                    <w:rPr>
                      <w:sz w:val="20"/>
                      <w:szCs w:val="20"/>
                    </w:rPr>
                  </w:pPr>
                  <w:r>
                    <w:rPr>
                      <w:spacing w:val="9"/>
                      <w:sz w:val="20"/>
                      <w:szCs w:val="20"/>
                    </w:rPr>
                    <w:t>本项目为光伏发电项目，不属于重点水污</w:t>
                  </w:r>
                  <w:r>
                    <w:rPr>
                      <w:spacing w:val="5"/>
                      <w:sz w:val="20"/>
                      <w:szCs w:val="20"/>
                    </w:rPr>
                    <w:t xml:space="preserve"> </w:t>
                  </w:r>
                  <w:r>
                    <w:rPr>
                      <w:spacing w:val="7"/>
                      <w:sz w:val="20"/>
                      <w:szCs w:val="20"/>
                    </w:rPr>
                    <w:t>染物排放的工业项目。</w:t>
                  </w:r>
                </w:p>
              </w:tc>
              <w:tc>
                <w:tcPr>
                  <w:tcW w:w="883" w:type="dxa"/>
                  <w:tcBorders>
                    <w:right w:val="single" w:color="000000" w:sz="2" w:space="0"/>
                  </w:tcBorders>
                  <w:vAlign w:val="top"/>
                </w:tcPr>
                <w:p w14:paraId="3977C8A0">
                  <w:pPr>
                    <w:pStyle w:val="6"/>
                    <w:spacing w:before="169" w:line="229" w:lineRule="auto"/>
                    <w:ind w:left="133"/>
                    <w:rPr>
                      <w:sz w:val="20"/>
                      <w:szCs w:val="20"/>
                    </w:rPr>
                  </w:pPr>
                  <w:r>
                    <w:rPr>
                      <w:spacing w:val="5"/>
                      <w:sz w:val="20"/>
                      <w:szCs w:val="20"/>
                    </w:rPr>
                    <w:t>不涉及</w:t>
                  </w:r>
                </w:p>
              </w:tc>
            </w:tr>
            <w:tr w14:paraId="61DA1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932" w:type="dxa"/>
                  <w:tcBorders>
                    <w:left w:val="single" w:color="000000" w:sz="2" w:space="0"/>
                  </w:tcBorders>
                  <w:vAlign w:val="top"/>
                </w:tcPr>
                <w:p w14:paraId="11A0B0A4">
                  <w:pPr>
                    <w:pStyle w:val="6"/>
                    <w:spacing w:before="35" w:line="233" w:lineRule="auto"/>
                    <w:ind w:left="738" w:right="105" w:hanging="616"/>
                    <w:rPr>
                      <w:sz w:val="20"/>
                      <w:szCs w:val="20"/>
                    </w:rPr>
                  </w:pPr>
                  <w:r>
                    <w:rPr>
                      <w:spacing w:val="7"/>
                      <w:sz w:val="20"/>
                      <w:szCs w:val="20"/>
                    </w:rPr>
                    <w:t>（三）新建、改建、扩建经营</w:t>
                  </w:r>
                  <w:r>
                    <w:rPr>
                      <w:spacing w:val="4"/>
                      <w:sz w:val="20"/>
                      <w:szCs w:val="20"/>
                    </w:rPr>
                    <w:t xml:space="preserve"> </w:t>
                  </w:r>
                  <w:r>
                    <w:rPr>
                      <w:spacing w:val="6"/>
                      <w:sz w:val="20"/>
                      <w:szCs w:val="20"/>
                    </w:rPr>
                    <w:t>性陵园、公墓。</w:t>
                  </w:r>
                </w:p>
              </w:tc>
              <w:tc>
                <w:tcPr>
                  <w:tcW w:w="4020" w:type="dxa"/>
                  <w:vAlign w:val="top"/>
                </w:tcPr>
                <w:p w14:paraId="75403EB2">
                  <w:pPr>
                    <w:pStyle w:val="6"/>
                    <w:spacing w:before="35" w:line="233" w:lineRule="auto"/>
                    <w:ind w:left="1803" w:right="115" w:hanging="1678"/>
                    <w:rPr>
                      <w:sz w:val="20"/>
                      <w:szCs w:val="20"/>
                    </w:rPr>
                  </w:pPr>
                  <w:r>
                    <w:rPr>
                      <w:spacing w:val="9"/>
                      <w:sz w:val="20"/>
                      <w:szCs w:val="20"/>
                    </w:rPr>
                    <w:t>本项目为光伏发电项目，不属于陵园、公</w:t>
                  </w:r>
                  <w:r>
                    <w:rPr>
                      <w:spacing w:val="5"/>
                      <w:sz w:val="20"/>
                      <w:szCs w:val="20"/>
                    </w:rPr>
                    <w:t xml:space="preserve"> </w:t>
                  </w:r>
                  <w:r>
                    <w:rPr>
                      <w:sz w:val="20"/>
                      <w:szCs w:val="20"/>
                    </w:rPr>
                    <w:t>墓。</w:t>
                  </w:r>
                </w:p>
              </w:tc>
              <w:tc>
                <w:tcPr>
                  <w:tcW w:w="883" w:type="dxa"/>
                  <w:tcBorders>
                    <w:right w:val="single" w:color="000000" w:sz="2" w:space="0"/>
                  </w:tcBorders>
                  <w:vAlign w:val="top"/>
                </w:tcPr>
                <w:p w14:paraId="7C3CE8F1">
                  <w:pPr>
                    <w:pStyle w:val="6"/>
                    <w:spacing w:before="169" w:line="229" w:lineRule="auto"/>
                    <w:ind w:left="133"/>
                    <w:rPr>
                      <w:sz w:val="20"/>
                      <w:szCs w:val="20"/>
                    </w:rPr>
                  </w:pPr>
                  <w:r>
                    <w:rPr>
                      <w:spacing w:val="5"/>
                      <w:sz w:val="20"/>
                      <w:szCs w:val="20"/>
                    </w:rPr>
                    <w:t>不涉及</w:t>
                  </w:r>
                </w:p>
              </w:tc>
            </w:tr>
            <w:tr w14:paraId="430E5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835" w:type="dxa"/>
                  <w:gridSpan w:val="3"/>
                  <w:tcBorders>
                    <w:left w:val="single" w:color="000000" w:sz="2" w:space="0"/>
                    <w:right w:val="single" w:color="000000" w:sz="2" w:space="0"/>
                  </w:tcBorders>
                  <w:vAlign w:val="top"/>
                </w:tcPr>
                <w:p w14:paraId="57179F34">
                  <w:pPr>
                    <w:pStyle w:val="6"/>
                    <w:spacing w:before="35" w:line="233" w:lineRule="auto"/>
                    <w:ind w:left="3609" w:right="122" w:hanging="3478"/>
                    <w:rPr>
                      <w:sz w:val="20"/>
                      <w:szCs w:val="20"/>
                    </w:rPr>
                  </w:pPr>
                  <w:r>
                    <w:rPr>
                      <w:b/>
                      <w:bCs/>
                      <w:spacing w:val="8"/>
                      <w:sz w:val="20"/>
                      <w:szCs w:val="20"/>
                    </w:rPr>
                    <w:t>水源保护核心区内除重点污染控制区、重点水源涵养区禁止的行为外，还禁止下列</w:t>
                  </w:r>
                  <w:r>
                    <w:rPr>
                      <w:spacing w:val="10"/>
                      <w:sz w:val="20"/>
                      <w:szCs w:val="20"/>
                    </w:rPr>
                    <w:t xml:space="preserve"> </w:t>
                  </w:r>
                  <w:r>
                    <w:rPr>
                      <w:b/>
                      <w:bCs/>
                      <w:sz w:val="20"/>
                      <w:szCs w:val="20"/>
                    </w:rPr>
                    <w:t>行为：</w:t>
                  </w:r>
                </w:p>
              </w:tc>
            </w:tr>
            <w:tr w14:paraId="663AF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2932" w:type="dxa"/>
                  <w:tcBorders>
                    <w:left w:val="single" w:color="000000" w:sz="2" w:space="0"/>
                    <w:bottom w:val="single" w:color="000000" w:sz="2" w:space="0"/>
                  </w:tcBorders>
                  <w:vAlign w:val="top"/>
                </w:tcPr>
                <w:p w14:paraId="150570BE">
                  <w:pPr>
                    <w:pStyle w:val="6"/>
                    <w:spacing w:before="305" w:line="241" w:lineRule="auto"/>
                    <w:ind w:left="1293" w:right="105" w:hanging="1171"/>
                    <w:rPr>
                      <w:sz w:val="20"/>
                      <w:szCs w:val="20"/>
                    </w:rPr>
                  </w:pPr>
                  <w:r>
                    <w:rPr>
                      <w:spacing w:val="7"/>
                      <w:sz w:val="20"/>
                      <w:szCs w:val="20"/>
                    </w:rPr>
                    <w:t>（一）新建、改建、扩建排污</w:t>
                  </w:r>
                  <w:r>
                    <w:rPr>
                      <w:spacing w:val="4"/>
                      <w:sz w:val="20"/>
                      <w:szCs w:val="20"/>
                    </w:rPr>
                    <w:t xml:space="preserve"> </w:t>
                  </w:r>
                  <w:r>
                    <w:rPr>
                      <w:spacing w:val="-16"/>
                      <w:sz w:val="20"/>
                      <w:szCs w:val="20"/>
                    </w:rPr>
                    <w:t>口；</w:t>
                  </w:r>
                </w:p>
              </w:tc>
              <w:tc>
                <w:tcPr>
                  <w:tcW w:w="4020" w:type="dxa"/>
                  <w:tcBorders>
                    <w:bottom w:val="single" w:color="000000" w:sz="2" w:space="0"/>
                  </w:tcBorders>
                  <w:vAlign w:val="top"/>
                </w:tcPr>
                <w:p w14:paraId="5AA72837">
                  <w:pPr>
                    <w:pStyle w:val="6"/>
                    <w:spacing w:before="33" w:line="228" w:lineRule="auto"/>
                    <w:ind w:left="125"/>
                    <w:rPr>
                      <w:sz w:val="20"/>
                      <w:szCs w:val="20"/>
                    </w:rPr>
                  </w:pPr>
                  <w:r>
                    <w:rPr>
                      <w:spacing w:val="9"/>
                      <w:sz w:val="20"/>
                      <w:szCs w:val="20"/>
                    </w:rPr>
                    <w:t>运营期项目区生活污水经过一体化污水处</w:t>
                  </w:r>
                </w:p>
                <w:p w14:paraId="4A6BAE5F">
                  <w:pPr>
                    <w:pStyle w:val="6"/>
                    <w:spacing w:before="24" w:line="227" w:lineRule="auto"/>
                    <w:ind w:left="127"/>
                    <w:rPr>
                      <w:sz w:val="20"/>
                      <w:szCs w:val="20"/>
                    </w:rPr>
                  </w:pPr>
                  <w:r>
                    <w:rPr>
                      <w:spacing w:val="9"/>
                      <w:sz w:val="20"/>
                      <w:szCs w:val="20"/>
                    </w:rPr>
                    <w:t>理设施处理后回用于绿化；光伏区少量的</w:t>
                  </w:r>
                </w:p>
                <w:p w14:paraId="59DC6D00">
                  <w:pPr>
                    <w:pStyle w:val="6"/>
                    <w:spacing w:before="27" w:line="231" w:lineRule="auto"/>
                    <w:ind w:left="337" w:right="115" w:hanging="211"/>
                    <w:rPr>
                      <w:sz w:val="20"/>
                      <w:szCs w:val="20"/>
                    </w:rPr>
                  </w:pPr>
                  <w:r>
                    <w:rPr>
                      <w:spacing w:val="9"/>
                      <w:sz w:val="20"/>
                      <w:szCs w:val="20"/>
                    </w:rPr>
                    <w:t>光伏组件清洗废水用于板下植物浇洒，不</w:t>
                  </w:r>
                  <w:r>
                    <w:rPr>
                      <w:spacing w:val="4"/>
                      <w:sz w:val="20"/>
                      <w:szCs w:val="20"/>
                    </w:rPr>
                    <w:t xml:space="preserve"> </w:t>
                  </w:r>
                  <w:r>
                    <w:rPr>
                      <w:spacing w:val="8"/>
                      <w:sz w:val="20"/>
                      <w:szCs w:val="20"/>
                    </w:rPr>
                    <w:t>外排，无新建、改建、扩建排污口。</w:t>
                  </w:r>
                </w:p>
              </w:tc>
              <w:tc>
                <w:tcPr>
                  <w:tcW w:w="883" w:type="dxa"/>
                  <w:tcBorders>
                    <w:bottom w:val="single" w:color="000000" w:sz="2" w:space="0"/>
                    <w:right w:val="single" w:color="000000" w:sz="2" w:space="0"/>
                  </w:tcBorders>
                  <w:vAlign w:val="top"/>
                </w:tcPr>
                <w:p w14:paraId="563CBF28">
                  <w:pPr>
                    <w:spacing w:line="374" w:lineRule="auto"/>
                    <w:rPr>
                      <w:rFonts w:ascii="Arial"/>
                      <w:sz w:val="21"/>
                    </w:rPr>
                  </w:pPr>
                </w:p>
                <w:p w14:paraId="5EBB258F">
                  <w:pPr>
                    <w:pStyle w:val="6"/>
                    <w:spacing w:before="65" w:line="229" w:lineRule="auto"/>
                    <w:ind w:left="133"/>
                    <w:rPr>
                      <w:sz w:val="20"/>
                      <w:szCs w:val="20"/>
                    </w:rPr>
                  </w:pPr>
                  <w:r>
                    <w:rPr>
                      <w:spacing w:val="5"/>
                      <w:sz w:val="20"/>
                      <w:szCs w:val="20"/>
                    </w:rPr>
                    <w:t>不涉及</w:t>
                  </w:r>
                </w:p>
              </w:tc>
            </w:tr>
          </w:tbl>
          <w:p w14:paraId="2FFEF5CD">
            <w:pPr>
              <w:spacing w:line="96" w:lineRule="auto"/>
              <w:rPr>
                <w:rFonts w:ascii="Arial"/>
                <w:sz w:val="2"/>
              </w:rPr>
            </w:pPr>
          </w:p>
        </w:tc>
      </w:tr>
    </w:tbl>
    <w:p w14:paraId="509ED5AE">
      <w:pPr>
        <w:rPr>
          <w:rFonts w:ascii="Arial"/>
          <w:sz w:val="21"/>
        </w:rPr>
      </w:pPr>
    </w:p>
    <w:p w14:paraId="3A769D9F">
      <w:pPr>
        <w:rPr>
          <w:rFonts w:ascii="Arial" w:hAnsi="Arial" w:eastAsia="Arial" w:cs="Arial"/>
          <w:sz w:val="21"/>
          <w:szCs w:val="21"/>
        </w:rPr>
        <w:sectPr>
          <w:footerReference r:id="rId28" w:type="default"/>
          <w:pgSz w:w="11906" w:h="16839"/>
          <w:pgMar w:top="1431" w:right="1407" w:bottom="1278" w:left="1407" w:header="0" w:footer="1116" w:gutter="0"/>
          <w:cols w:space="720" w:num="1"/>
        </w:sectPr>
      </w:pPr>
    </w:p>
    <w:p w14:paraId="21B04CBA">
      <w:pPr>
        <w:spacing w:line="99" w:lineRule="exact"/>
      </w:pPr>
    </w:p>
    <w:tbl>
      <w:tblPr>
        <w:tblStyle w:val="5"/>
        <w:tblW w:w="9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3"/>
      </w:tblGrid>
      <w:tr w14:paraId="4B3EA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87" w:hRule="atLeast"/>
        </w:trPr>
        <w:tc>
          <w:tcPr>
            <w:tcW w:w="1014" w:type="dxa"/>
            <w:tcBorders>
              <w:top w:val="single" w:color="000000" w:sz="4" w:space="0"/>
              <w:right w:val="single" w:color="000000" w:sz="2" w:space="0"/>
            </w:tcBorders>
            <w:vAlign w:val="top"/>
          </w:tcPr>
          <w:p w14:paraId="5ABB97D5">
            <w:pPr>
              <w:rPr>
                <w:rFonts w:ascii="Arial"/>
                <w:sz w:val="21"/>
              </w:rPr>
            </w:pPr>
          </w:p>
        </w:tc>
        <w:tc>
          <w:tcPr>
            <w:tcW w:w="8063" w:type="dxa"/>
            <w:tcBorders>
              <w:top w:val="single" w:color="000000" w:sz="4" w:space="0"/>
              <w:left w:val="single" w:color="000000" w:sz="2" w:space="0"/>
            </w:tcBorders>
            <w:vAlign w:val="top"/>
          </w:tcPr>
          <w:p w14:paraId="68199307">
            <w:pPr>
              <w:spacing w:line="15" w:lineRule="exact"/>
            </w:pPr>
          </w:p>
          <w:tbl>
            <w:tblPr>
              <w:tblStyle w:val="5"/>
              <w:tblW w:w="7835"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32"/>
              <w:gridCol w:w="4020"/>
              <w:gridCol w:w="883"/>
            </w:tblGrid>
            <w:tr w14:paraId="3CEB5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32" w:type="dxa"/>
                  <w:tcBorders>
                    <w:top w:val="nil"/>
                    <w:left w:val="single" w:color="000000" w:sz="2" w:space="0"/>
                  </w:tcBorders>
                  <w:vAlign w:val="top"/>
                </w:tcPr>
                <w:p w14:paraId="4F95D09E">
                  <w:pPr>
                    <w:pStyle w:val="6"/>
                    <w:spacing w:before="91" w:line="228" w:lineRule="auto"/>
                    <w:ind w:left="122"/>
                    <w:rPr>
                      <w:sz w:val="20"/>
                      <w:szCs w:val="20"/>
                    </w:rPr>
                  </w:pPr>
                  <w:r>
                    <w:rPr>
                      <w:spacing w:val="7"/>
                      <w:sz w:val="20"/>
                      <w:szCs w:val="20"/>
                    </w:rPr>
                    <w:t>（二）围河造地、围垦河道；</w:t>
                  </w:r>
                </w:p>
              </w:tc>
              <w:tc>
                <w:tcPr>
                  <w:tcW w:w="4020" w:type="dxa"/>
                  <w:tcBorders>
                    <w:top w:val="nil"/>
                  </w:tcBorders>
                  <w:vAlign w:val="top"/>
                </w:tcPr>
                <w:p w14:paraId="1E6C7680">
                  <w:pPr>
                    <w:pStyle w:val="6"/>
                    <w:spacing w:before="91" w:line="228" w:lineRule="auto"/>
                    <w:ind w:left="651"/>
                    <w:rPr>
                      <w:sz w:val="20"/>
                      <w:szCs w:val="20"/>
                    </w:rPr>
                  </w:pPr>
                  <w:r>
                    <w:rPr>
                      <w:spacing w:val="8"/>
                      <w:sz w:val="20"/>
                      <w:szCs w:val="20"/>
                    </w:rPr>
                    <w:t>不涉及围河造地、围垦河道。</w:t>
                  </w:r>
                </w:p>
              </w:tc>
              <w:tc>
                <w:tcPr>
                  <w:tcW w:w="883" w:type="dxa"/>
                  <w:tcBorders>
                    <w:top w:val="nil"/>
                    <w:right w:val="single" w:color="000000" w:sz="2" w:space="0"/>
                  </w:tcBorders>
                  <w:vAlign w:val="top"/>
                </w:tcPr>
                <w:p w14:paraId="4D2AA2ED">
                  <w:pPr>
                    <w:pStyle w:val="6"/>
                    <w:spacing w:before="90" w:line="229" w:lineRule="auto"/>
                    <w:ind w:left="133"/>
                    <w:rPr>
                      <w:sz w:val="20"/>
                      <w:szCs w:val="20"/>
                    </w:rPr>
                  </w:pPr>
                  <w:r>
                    <w:rPr>
                      <w:spacing w:val="5"/>
                      <w:sz w:val="20"/>
                      <w:szCs w:val="20"/>
                    </w:rPr>
                    <w:t>不涉及</w:t>
                  </w:r>
                </w:p>
              </w:tc>
            </w:tr>
            <w:tr w14:paraId="4386D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2932" w:type="dxa"/>
                  <w:tcBorders>
                    <w:left w:val="single" w:color="000000" w:sz="2" w:space="0"/>
                  </w:tcBorders>
                  <w:vAlign w:val="top"/>
                </w:tcPr>
                <w:p w14:paraId="68A490CD">
                  <w:pPr>
                    <w:pStyle w:val="6"/>
                    <w:spacing w:before="75" w:line="228" w:lineRule="auto"/>
                    <w:ind w:right="11"/>
                    <w:jc w:val="right"/>
                    <w:rPr>
                      <w:sz w:val="20"/>
                      <w:szCs w:val="20"/>
                    </w:rPr>
                  </w:pPr>
                  <w:r>
                    <w:rPr>
                      <w:spacing w:val="-1"/>
                      <w:sz w:val="20"/>
                      <w:szCs w:val="20"/>
                    </w:rPr>
                    <w:t>（三）围堰、围网、网箱养殖；</w:t>
                  </w:r>
                </w:p>
              </w:tc>
              <w:tc>
                <w:tcPr>
                  <w:tcW w:w="4020" w:type="dxa"/>
                  <w:vAlign w:val="top"/>
                </w:tcPr>
                <w:p w14:paraId="1F2F29AC">
                  <w:pPr>
                    <w:pStyle w:val="6"/>
                    <w:spacing w:before="75" w:line="228" w:lineRule="auto"/>
                    <w:ind w:left="548"/>
                    <w:rPr>
                      <w:sz w:val="20"/>
                      <w:szCs w:val="20"/>
                    </w:rPr>
                  </w:pPr>
                  <w:r>
                    <w:rPr>
                      <w:spacing w:val="8"/>
                      <w:sz w:val="20"/>
                      <w:szCs w:val="20"/>
                    </w:rPr>
                    <w:t>不涉及围堰、围网、网箱养殖。</w:t>
                  </w:r>
                </w:p>
              </w:tc>
              <w:tc>
                <w:tcPr>
                  <w:tcW w:w="883" w:type="dxa"/>
                  <w:tcBorders>
                    <w:right w:val="single" w:color="000000" w:sz="2" w:space="0"/>
                  </w:tcBorders>
                  <w:vAlign w:val="top"/>
                </w:tcPr>
                <w:p w14:paraId="54D033FE">
                  <w:pPr>
                    <w:pStyle w:val="6"/>
                    <w:spacing w:before="76" w:line="229" w:lineRule="auto"/>
                    <w:ind w:left="133"/>
                    <w:rPr>
                      <w:sz w:val="20"/>
                      <w:szCs w:val="20"/>
                    </w:rPr>
                  </w:pPr>
                  <w:r>
                    <w:rPr>
                      <w:spacing w:val="5"/>
                      <w:sz w:val="20"/>
                      <w:szCs w:val="20"/>
                    </w:rPr>
                    <w:t>不涉及</w:t>
                  </w:r>
                </w:p>
              </w:tc>
            </w:tr>
            <w:tr w14:paraId="4D52B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2932" w:type="dxa"/>
                  <w:tcBorders>
                    <w:left w:val="single" w:color="000000" w:sz="2" w:space="0"/>
                  </w:tcBorders>
                  <w:vAlign w:val="top"/>
                </w:tcPr>
                <w:p w14:paraId="073421DA">
                  <w:pPr>
                    <w:pStyle w:val="6"/>
                    <w:spacing w:before="75" w:line="228" w:lineRule="auto"/>
                    <w:ind w:left="326"/>
                    <w:rPr>
                      <w:sz w:val="20"/>
                      <w:szCs w:val="20"/>
                    </w:rPr>
                  </w:pPr>
                  <w:r>
                    <w:rPr>
                      <w:spacing w:val="7"/>
                      <w:sz w:val="20"/>
                      <w:szCs w:val="20"/>
                    </w:rPr>
                    <w:t>（四）规模化畜禽养殖；</w:t>
                  </w:r>
                </w:p>
              </w:tc>
              <w:tc>
                <w:tcPr>
                  <w:tcW w:w="4020" w:type="dxa"/>
                  <w:vAlign w:val="top"/>
                </w:tcPr>
                <w:p w14:paraId="23022F59">
                  <w:pPr>
                    <w:pStyle w:val="6"/>
                    <w:spacing w:before="76" w:line="226" w:lineRule="auto"/>
                    <w:ind w:left="545"/>
                    <w:rPr>
                      <w:sz w:val="20"/>
                      <w:szCs w:val="20"/>
                    </w:rPr>
                  </w:pPr>
                  <w:r>
                    <w:rPr>
                      <w:spacing w:val="8"/>
                      <w:sz w:val="20"/>
                      <w:szCs w:val="20"/>
                    </w:rPr>
                    <w:t>本次评价内容不涉及畜禽养殖。</w:t>
                  </w:r>
                </w:p>
              </w:tc>
              <w:tc>
                <w:tcPr>
                  <w:tcW w:w="883" w:type="dxa"/>
                  <w:tcBorders>
                    <w:right w:val="single" w:color="000000" w:sz="2" w:space="0"/>
                  </w:tcBorders>
                  <w:vAlign w:val="top"/>
                </w:tcPr>
                <w:p w14:paraId="47EBFBF1">
                  <w:pPr>
                    <w:pStyle w:val="6"/>
                    <w:spacing w:before="75" w:line="229" w:lineRule="auto"/>
                    <w:ind w:left="133"/>
                    <w:rPr>
                      <w:sz w:val="20"/>
                      <w:szCs w:val="20"/>
                    </w:rPr>
                  </w:pPr>
                  <w:r>
                    <w:rPr>
                      <w:spacing w:val="5"/>
                      <w:sz w:val="20"/>
                      <w:szCs w:val="20"/>
                    </w:rPr>
                    <w:t>不涉及</w:t>
                  </w:r>
                </w:p>
              </w:tc>
            </w:tr>
            <w:tr w14:paraId="71463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2932" w:type="dxa"/>
                  <w:tcBorders>
                    <w:left w:val="single" w:color="000000" w:sz="2" w:space="0"/>
                  </w:tcBorders>
                  <w:vAlign w:val="top"/>
                </w:tcPr>
                <w:p w14:paraId="0CD609F9">
                  <w:pPr>
                    <w:pStyle w:val="6"/>
                    <w:spacing w:before="32" w:line="227" w:lineRule="auto"/>
                    <w:ind w:right="11"/>
                    <w:jc w:val="right"/>
                    <w:rPr>
                      <w:sz w:val="20"/>
                      <w:szCs w:val="20"/>
                    </w:rPr>
                  </w:pPr>
                  <w:r>
                    <w:rPr>
                      <w:spacing w:val="-1"/>
                      <w:sz w:val="20"/>
                      <w:szCs w:val="20"/>
                    </w:rPr>
                    <w:t>（五）损毁水利、水文、科研、</w:t>
                  </w:r>
                </w:p>
                <w:p w14:paraId="0A5258E3">
                  <w:pPr>
                    <w:pStyle w:val="6"/>
                    <w:spacing w:before="25" w:line="234" w:lineRule="auto"/>
                    <w:ind w:left="1159" w:right="103" w:hanging="1046"/>
                    <w:rPr>
                      <w:sz w:val="20"/>
                      <w:szCs w:val="20"/>
                    </w:rPr>
                  </w:pPr>
                  <w:r>
                    <w:rPr>
                      <w:spacing w:val="8"/>
                      <w:sz w:val="20"/>
                      <w:szCs w:val="20"/>
                    </w:rPr>
                    <w:t>气象、测量、环境监测等设施</w:t>
                  </w:r>
                  <w:r>
                    <w:rPr>
                      <w:spacing w:val="2"/>
                      <w:sz w:val="20"/>
                      <w:szCs w:val="20"/>
                    </w:rPr>
                    <w:t xml:space="preserve"> 设备；</w:t>
                  </w:r>
                </w:p>
              </w:tc>
              <w:tc>
                <w:tcPr>
                  <w:tcW w:w="4020" w:type="dxa"/>
                  <w:vAlign w:val="top"/>
                </w:tcPr>
                <w:p w14:paraId="0071CC88">
                  <w:pPr>
                    <w:pStyle w:val="6"/>
                    <w:spacing w:before="32" w:line="227" w:lineRule="auto"/>
                    <w:ind w:left="128"/>
                    <w:rPr>
                      <w:sz w:val="20"/>
                      <w:szCs w:val="20"/>
                    </w:rPr>
                  </w:pPr>
                  <w:r>
                    <w:rPr>
                      <w:spacing w:val="8"/>
                      <w:sz w:val="20"/>
                      <w:szCs w:val="20"/>
                    </w:rPr>
                    <w:t>项目占地范围不涉及水利、水文、科研、</w:t>
                  </w:r>
                </w:p>
                <w:p w14:paraId="40324C55">
                  <w:pPr>
                    <w:pStyle w:val="6"/>
                    <w:spacing w:before="25" w:line="234" w:lineRule="auto"/>
                    <w:ind w:left="966" w:right="115" w:hanging="841"/>
                    <w:rPr>
                      <w:sz w:val="20"/>
                      <w:szCs w:val="20"/>
                    </w:rPr>
                  </w:pPr>
                  <w:r>
                    <w:rPr>
                      <w:spacing w:val="9"/>
                      <w:sz w:val="20"/>
                      <w:szCs w:val="20"/>
                    </w:rPr>
                    <w:t>气象、测量、环境监测等设施设备，并在</w:t>
                  </w:r>
                  <w:r>
                    <w:rPr>
                      <w:spacing w:val="5"/>
                      <w:sz w:val="20"/>
                      <w:szCs w:val="20"/>
                    </w:rPr>
                    <w:t xml:space="preserve"> </w:t>
                  </w:r>
                  <w:r>
                    <w:rPr>
                      <w:spacing w:val="7"/>
                      <w:sz w:val="20"/>
                      <w:szCs w:val="20"/>
                    </w:rPr>
                    <w:t>建设过程中注意避让。</w:t>
                  </w:r>
                </w:p>
              </w:tc>
              <w:tc>
                <w:tcPr>
                  <w:tcW w:w="883" w:type="dxa"/>
                  <w:tcBorders>
                    <w:right w:val="single" w:color="000000" w:sz="2" w:space="0"/>
                  </w:tcBorders>
                  <w:vAlign w:val="top"/>
                </w:tcPr>
                <w:p w14:paraId="0E017D41">
                  <w:pPr>
                    <w:pStyle w:val="6"/>
                    <w:spacing w:before="303" w:line="229" w:lineRule="auto"/>
                    <w:ind w:left="133"/>
                    <w:rPr>
                      <w:sz w:val="20"/>
                      <w:szCs w:val="20"/>
                    </w:rPr>
                  </w:pPr>
                  <w:r>
                    <w:rPr>
                      <w:spacing w:val="5"/>
                      <w:sz w:val="20"/>
                      <w:szCs w:val="20"/>
                    </w:rPr>
                    <w:t>不涉及</w:t>
                  </w:r>
                </w:p>
              </w:tc>
            </w:tr>
            <w:tr w14:paraId="6C6E7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2932" w:type="dxa"/>
                  <w:tcBorders>
                    <w:left w:val="single" w:color="000000" w:sz="2" w:space="0"/>
                    <w:bottom w:val="single" w:color="000000" w:sz="2" w:space="0"/>
                  </w:tcBorders>
                  <w:vAlign w:val="top"/>
                </w:tcPr>
                <w:p w14:paraId="54034ED7">
                  <w:pPr>
                    <w:pStyle w:val="6"/>
                    <w:spacing w:before="168"/>
                    <w:ind w:left="1260" w:right="103" w:hanging="1138"/>
                    <w:rPr>
                      <w:sz w:val="20"/>
                      <w:szCs w:val="20"/>
                    </w:rPr>
                  </w:pPr>
                  <w:r>
                    <w:rPr>
                      <w:spacing w:val="7"/>
                      <w:sz w:val="20"/>
                      <w:szCs w:val="20"/>
                    </w:rPr>
                    <w:t>（六）挖砂、采石、取土、采</w:t>
                  </w:r>
                  <w:r>
                    <w:rPr>
                      <w:spacing w:val="6"/>
                      <w:sz w:val="20"/>
                      <w:szCs w:val="20"/>
                    </w:rPr>
                    <w:t xml:space="preserve"> </w:t>
                  </w:r>
                  <w:r>
                    <w:rPr>
                      <w:sz w:val="20"/>
                      <w:szCs w:val="20"/>
                    </w:rPr>
                    <w:t>矿。</w:t>
                  </w:r>
                </w:p>
              </w:tc>
              <w:tc>
                <w:tcPr>
                  <w:tcW w:w="4020" w:type="dxa"/>
                  <w:tcBorders>
                    <w:bottom w:val="single" w:color="000000" w:sz="2" w:space="0"/>
                  </w:tcBorders>
                  <w:vAlign w:val="top"/>
                </w:tcPr>
                <w:p w14:paraId="6C08F412">
                  <w:pPr>
                    <w:pStyle w:val="6"/>
                    <w:spacing w:before="34" w:line="238" w:lineRule="auto"/>
                    <w:ind w:left="126" w:right="115" w:hanging="1"/>
                    <w:jc w:val="both"/>
                    <w:rPr>
                      <w:sz w:val="20"/>
                      <w:szCs w:val="20"/>
                    </w:rPr>
                  </w:pPr>
                  <w:r>
                    <w:rPr>
                      <w:spacing w:val="9"/>
                      <w:sz w:val="20"/>
                      <w:szCs w:val="20"/>
                    </w:rPr>
                    <w:t>本项目为光伏发电项目，不涉及采矿，施</w:t>
                  </w:r>
                  <w:r>
                    <w:rPr>
                      <w:spacing w:val="5"/>
                      <w:sz w:val="20"/>
                      <w:szCs w:val="20"/>
                    </w:rPr>
                    <w:t xml:space="preserve"> </w:t>
                  </w:r>
                  <w:r>
                    <w:rPr>
                      <w:spacing w:val="9"/>
                      <w:sz w:val="20"/>
                      <w:szCs w:val="20"/>
                    </w:rPr>
                    <w:t>工砂石骨料全部外购，不设置取料场、取</w:t>
                  </w:r>
                  <w:r>
                    <w:rPr>
                      <w:spacing w:val="4"/>
                      <w:sz w:val="20"/>
                      <w:szCs w:val="20"/>
                    </w:rPr>
                    <w:t xml:space="preserve"> </w:t>
                  </w:r>
                  <w:r>
                    <w:rPr>
                      <w:spacing w:val="14"/>
                      <w:sz w:val="20"/>
                      <w:szCs w:val="20"/>
                    </w:rPr>
                    <w:t>土场，不会有挖砂、采石、取土行为。</w:t>
                  </w:r>
                </w:p>
              </w:tc>
              <w:tc>
                <w:tcPr>
                  <w:tcW w:w="883" w:type="dxa"/>
                  <w:tcBorders>
                    <w:bottom w:val="single" w:color="000000" w:sz="2" w:space="0"/>
                    <w:right w:val="single" w:color="000000" w:sz="2" w:space="0"/>
                  </w:tcBorders>
                  <w:vAlign w:val="top"/>
                </w:tcPr>
                <w:p w14:paraId="6E934DA3">
                  <w:pPr>
                    <w:pStyle w:val="6"/>
                    <w:spacing w:before="305" w:line="229" w:lineRule="auto"/>
                    <w:ind w:left="133"/>
                    <w:rPr>
                      <w:sz w:val="20"/>
                      <w:szCs w:val="20"/>
                    </w:rPr>
                  </w:pPr>
                  <w:r>
                    <w:rPr>
                      <w:spacing w:val="5"/>
                      <w:sz w:val="20"/>
                      <w:szCs w:val="20"/>
                    </w:rPr>
                    <w:t>不涉及</w:t>
                  </w:r>
                </w:p>
              </w:tc>
            </w:tr>
          </w:tbl>
          <w:p w14:paraId="04DC7129">
            <w:pPr>
              <w:pStyle w:val="6"/>
              <w:spacing w:before="36" w:line="219" w:lineRule="auto"/>
              <w:ind w:left="589"/>
            </w:pPr>
            <w:r>
              <w:t>根据以上分析，该项目符合《云南省牛栏江</w:t>
            </w:r>
            <w:r>
              <w:rPr>
                <w:spacing w:val="-1"/>
              </w:rPr>
              <w:t>保护条例》的相关要求。</w:t>
            </w:r>
          </w:p>
          <w:p w14:paraId="56A1D73C">
            <w:pPr>
              <w:pStyle w:val="6"/>
              <w:spacing w:before="179" w:line="347" w:lineRule="auto"/>
              <w:ind w:left="129" w:right="125" w:firstLine="466"/>
            </w:pPr>
            <w:r>
              <w:rPr>
                <w:rFonts w:ascii="Times New Roman" w:hAnsi="Times New Roman" w:eastAsia="Times New Roman" w:cs="Times New Roman"/>
                <w:b/>
                <w:bCs/>
                <w:spacing w:val="-3"/>
              </w:rPr>
              <w:t>10</w:t>
            </w:r>
            <w:r>
              <w:rPr>
                <w:rFonts w:ascii="Times New Roman" w:hAnsi="Times New Roman" w:eastAsia="Times New Roman" w:cs="Times New Roman"/>
                <w:b/>
                <w:bCs/>
                <w:spacing w:val="-23"/>
              </w:rPr>
              <w:t xml:space="preserve"> </w:t>
            </w:r>
            <w:r>
              <w:rPr>
                <w:b/>
                <w:bCs/>
                <w:spacing w:val="-3"/>
              </w:rPr>
              <w:t>、与《牛栏江流域（云南部分）水环境保护规划（</w:t>
            </w:r>
            <w:r>
              <w:rPr>
                <w:rFonts w:ascii="Times New Roman" w:hAnsi="Times New Roman" w:eastAsia="Times New Roman" w:cs="Times New Roman"/>
                <w:b/>
                <w:bCs/>
                <w:spacing w:val="-3"/>
              </w:rPr>
              <w:t xml:space="preserve">2009-2030 </w:t>
            </w:r>
            <w:r>
              <w:rPr>
                <w:b/>
                <w:bCs/>
                <w:spacing w:val="-3"/>
              </w:rPr>
              <w:t>年）》</w:t>
            </w:r>
            <w:r>
              <w:t xml:space="preserve"> </w:t>
            </w:r>
            <w:r>
              <w:rPr>
                <w:b/>
                <w:bCs/>
                <w:spacing w:val="-7"/>
              </w:rPr>
              <w:t>的符合性分析</w:t>
            </w:r>
          </w:p>
          <w:p w14:paraId="022BA7C6">
            <w:pPr>
              <w:pStyle w:val="6"/>
              <w:spacing w:before="35" w:line="355" w:lineRule="auto"/>
              <w:ind w:left="109" w:right="104" w:firstLine="480"/>
              <w:jc w:val="both"/>
            </w:pPr>
            <w:r>
              <w:rPr>
                <w:spacing w:val="-1"/>
              </w:rPr>
              <w:t>根据“牛栏江流域（云南部分）水环境保护规划（</w:t>
            </w:r>
            <w:r>
              <w:rPr>
                <w:rFonts w:ascii="Times New Roman" w:hAnsi="Times New Roman" w:eastAsia="Times New Roman" w:cs="Times New Roman"/>
                <w:spacing w:val="-1"/>
              </w:rPr>
              <w:t>2009</w:t>
            </w:r>
            <w:r>
              <w:rPr>
                <w:rFonts w:ascii="Times New Roman" w:hAnsi="Times New Roman" w:eastAsia="Times New Roman" w:cs="Times New Roman"/>
                <w:spacing w:val="-2"/>
              </w:rPr>
              <w:t xml:space="preserve">-2030 </w:t>
            </w:r>
            <w:r>
              <w:rPr>
                <w:spacing w:val="-2"/>
              </w:rPr>
              <w:t>年）</w:t>
            </w:r>
            <w:r>
              <w:rPr>
                <w:spacing w:val="-88"/>
              </w:rPr>
              <w:t xml:space="preserve"> </w:t>
            </w:r>
            <w:r>
              <w:rPr>
                <w:spacing w:val="-2"/>
              </w:rPr>
              <w:t>”中</w:t>
            </w:r>
            <w:r>
              <w:t xml:space="preserve"> </w:t>
            </w:r>
            <w:r>
              <w:rPr>
                <w:spacing w:val="-3"/>
              </w:rPr>
              <w:t>第十条水环境保护分区：将牛栏江流域（云南段）划分为牛栏江德泽水库以</w:t>
            </w:r>
            <w:r>
              <w:rPr>
                <w:spacing w:val="16"/>
              </w:rPr>
              <w:t xml:space="preserve"> </w:t>
            </w:r>
            <w:r>
              <w:rPr>
                <w:spacing w:val="-3"/>
              </w:rPr>
              <w:t>上水环境重点保护区（调水水源区）和牛栏江德泽水库以下生态环境保护区</w:t>
            </w:r>
            <w:r>
              <w:rPr>
                <w:spacing w:val="16"/>
              </w:rPr>
              <w:t xml:space="preserve"> </w:t>
            </w:r>
            <w:r>
              <w:rPr>
                <w:spacing w:val="-2"/>
              </w:rPr>
              <w:t>（下游区）。其中，调水水源区（</w:t>
            </w:r>
            <w:r>
              <w:rPr>
                <w:rFonts w:ascii="Times New Roman" w:hAnsi="Times New Roman" w:eastAsia="Times New Roman" w:cs="Times New Roman"/>
                <w:spacing w:val="-2"/>
              </w:rPr>
              <w:t>I</w:t>
            </w:r>
            <w:r>
              <w:rPr>
                <w:rFonts w:ascii="Times New Roman" w:hAnsi="Times New Roman" w:eastAsia="Times New Roman" w:cs="Times New Roman"/>
                <w:spacing w:val="24"/>
              </w:rPr>
              <w:t xml:space="preserve"> </w:t>
            </w:r>
            <w:r>
              <w:rPr>
                <w:spacing w:val="-2"/>
              </w:rPr>
              <w:t>区）分为水源保护核心区（</w:t>
            </w:r>
            <w:r>
              <w:rPr>
                <w:rFonts w:ascii="Times New Roman" w:hAnsi="Times New Roman" w:eastAsia="Times New Roman" w:cs="Times New Roman"/>
                <w:spacing w:val="-2"/>
              </w:rPr>
              <w:t>I1</w:t>
            </w:r>
            <w:r>
              <w:rPr>
                <w:rFonts w:ascii="Times New Roman" w:hAnsi="Times New Roman" w:eastAsia="Times New Roman" w:cs="Times New Roman"/>
                <w:spacing w:val="32"/>
              </w:rPr>
              <w:t xml:space="preserve"> </w:t>
            </w:r>
            <w:r>
              <w:rPr>
                <w:spacing w:val="-2"/>
              </w:rPr>
              <w:t>区）、重</w:t>
            </w:r>
            <w:r>
              <w:t xml:space="preserve"> </w:t>
            </w:r>
            <w:r>
              <w:rPr>
                <w:spacing w:val="-6"/>
              </w:rPr>
              <w:t>点污染控制区（</w:t>
            </w:r>
            <w:r>
              <w:rPr>
                <w:rFonts w:ascii="Times New Roman" w:hAnsi="Times New Roman" w:eastAsia="Times New Roman" w:cs="Times New Roman"/>
                <w:spacing w:val="-6"/>
              </w:rPr>
              <w:t>I2</w:t>
            </w:r>
            <w:r>
              <w:rPr>
                <w:rFonts w:ascii="Times New Roman" w:hAnsi="Times New Roman" w:eastAsia="Times New Roman" w:cs="Times New Roman"/>
                <w:spacing w:val="31"/>
              </w:rPr>
              <w:t xml:space="preserve"> </w:t>
            </w:r>
            <w:r>
              <w:rPr>
                <w:spacing w:val="-6"/>
              </w:rPr>
              <w:t>区）、水源涵养区（</w:t>
            </w:r>
            <w:r>
              <w:rPr>
                <w:rFonts w:ascii="Times New Roman" w:hAnsi="Times New Roman" w:eastAsia="Times New Roman" w:cs="Times New Roman"/>
                <w:spacing w:val="-6"/>
              </w:rPr>
              <w:t>I3</w:t>
            </w:r>
            <w:r>
              <w:rPr>
                <w:rFonts w:ascii="Times New Roman" w:hAnsi="Times New Roman" w:eastAsia="Times New Roman" w:cs="Times New Roman"/>
                <w:spacing w:val="29"/>
                <w:w w:val="101"/>
              </w:rPr>
              <w:t xml:space="preserve"> </w:t>
            </w:r>
            <w:r>
              <w:rPr>
                <w:spacing w:val="-6"/>
              </w:rPr>
              <w:t>区</w:t>
            </w:r>
            <w:r>
              <w:rPr>
                <w:spacing w:val="5"/>
              </w:rPr>
              <w:t>）；</w:t>
            </w:r>
            <w:r>
              <w:rPr>
                <w:spacing w:val="-6"/>
              </w:rPr>
              <w:t>下游区（</w:t>
            </w:r>
            <w:r>
              <w:rPr>
                <w:rFonts w:ascii="Times New Roman" w:hAnsi="Times New Roman" w:eastAsia="Times New Roman" w:cs="Times New Roman"/>
                <w:spacing w:val="-6"/>
              </w:rPr>
              <w:t>II</w:t>
            </w:r>
            <w:r>
              <w:rPr>
                <w:rFonts w:ascii="Times New Roman" w:hAnsi="Times New Roman" w:eastAsia="Times New Roman" w:cs="Times New Roman"/>
                <w:spacing w:val="31"/>
              </w:rPr>
              <w:t xml:space="preserve"> </w:t>
            </w:r>
            <w:r>
              <w:rPr>
                <w:spacing w:val="-6"/>
              </w:rPr>
              <w:t>区）分为污染控</w:t>
            </w:r>
            <w:r>
              <w:t xml:space="preserve"> </w:t>
            </w:r>
            <w:r>
              <w:rPr>
                <w:spacing w:val="-5"/>
              </w:rPr>
              <w:t>制区（</w:t>
            </w:r>
            <w:r>
              <w:rPr>
                <w:rFonts w:ascii="Times New Roman" w:hAnsi="Times New Roman" w:eastAsia="Times New Roman" w:cs="Times New Roman"/>
                <w:spacing w:val="-5"/>
              </w:rPr>
              <w:t>IIl</w:t>
            </w:r>
            <w:r>
              <w:rPr>
                <w:rFonts w:ascii="Times New Roman" w:hAnsi="Times New Roman" w:eastAsia="Times New Roman" w:cs="Times New Roman"/>
                <w:spacing w:val="30"/>
              </w:rPr>
              <w:t xml:space="preserve"> </w:t>
            </w:r>
            <w:r>
              <w:rPr>
                <w:spacing w:val="-5"/>
              </w:rPr>
              <w:t>区）和水源涵养区（</w:t>
            </w:r>
            <w:r>
              <w:rPr>
                <w:rFonts w:ascii="Times New Roman" w:hAnsi="Times New Roman" w:eastAsia="Times New Roman" w:cs="Times New Roman"/>
                <w:spacing w:val="-5"/>
              </w:rPr>
              <w:t>II2</w:t>
            </w:r>
            <w:r>
              <w:rPr>
                <w:rFonts w:ascii="Times New Roman" w:hAnsi="Times New Roman" w:eastAsia="Times New Roman" w:cs="Times New Roman"/>
                <w:spacing w:val="32"/>
              </w:rPr>
              <w:t xml:space="preserve"> </w:t>
            </w:r>
            <w:r>
              <w:rPr>
                <w:spacing w:val="-5"/>
              </w:rPr>
              <w:t>区）。根据县（市、区）</w:t>
            </w:r>
            <w:r>
              <w:rPr>
                <w:spacing w:val="-6"/>
              </w:rPr>
              <w:t>界限，分</w:t>
            </w:r>
            <w:r>
              <w:rPr>
                <w:spacing w:val="-32"/>
              </w:rPr>
              <w:t xml:space="preserve"> </w:t>
            </w:r>
            <w:r>
              <w:rPr>
                <w:rFonts w:ascii="Times New Roman" w:hAnsi="Times New Roman" w:eastAsia="Times New Roman" w:cs="Times New Roman"/>
                <w:spacing w:val="-6"/>
              </w:rPr>
              <w:t xml:space="preserve">10 </w:t>
            </w:r>
            <w:r>
              <w:rPr>
                <w:spacing w:val="-6"/>
              </w:rPr>
              <w:t>个污</w:t>
            </w:r>
            <w:r>
              <w:t xml:space="preserve"> </w:t>
            </w:r>
            <w:r>
              <w:rPr>
                <w:spacing w:val="-2"/>
              </w:rPr>
              <w:t>染控制单元。</w:t>
            </w:r>
          </w:p>
          <w:p w14:paraId="09D017D0">
            <w:pPr>
              <w:pStyle w:val="6"/>
              <w:spacing w:before="36" w:line="350" w:lineRule="auto"/>
              <w:ind w:left="111" w:firstLine="470"/>
            </w:pPr>
            <w:r>
              <w:rPr>
                <w:spacing w:val="-7"/>
              </w:rPr>
              <w:t>根据牛栏江流域调水水源区水环境保护分区情况，本项目位于牛栏江德</w:t>
            </w:r>
            <w:r>
              <w:rPr>
                <w:spacing w:val="5"/>
              </w:rPr>
              <w:t xml:space="preserve">   </w:t>
            </w:r>
            <w:r>
              <w:rPr>
                <w:spacing w:val="-6"/>
              </w:rPr>
              <w:t>泽水库以上水环境重点保护区（调水水源区</w:t>
            </w:r>
            <w:r>
              <w:rPr>
                <w:spacing w:val="-30"/>
              </w:rPr>
              <w:t>），</w:t>
            </w:r>
            <w:r>
              <w:rPr>
                <w:spacing w:val="-6"/>
              </w:rPr>
              <w:t>按照划分区域，处于“规划</w:t>
            </w:r>
            <w:r>
              <w:rPr>
                <w:spacing w:val="-88"/>
              </w:rPr>
              <w:t xml:space="preserve"> </w:t>
            </w:r>
            <w:r>
              <w:rPr>
                <w:spacing w:val="-6"/>
              </w:rPr>
              <w:t>”</w:t>
            </w:r>
            <w:r>
              <w:t xml:space="preserve"> </w:t>
            </w:r>
            <w:r>
              <w:rPr>
                <w:spacing w:val="-7"/>
              </w:rPr>
              <w:t>中的水源涵养区（</w:t>
            </w:r>
            <w:r>
              <w:rPr>
                <w:rFonts w:ascii="Times New Roman" w:hAnsi="Times New Roman" w:eastAsia="Times New Roman" w:cs="Times New Roman"/>
                <w:spacing w:val="-7"/>
              </w:rPr>
              <w:t>I3</w:t>
            </w:r>
            <w:r>
              <w:rPr>
                <w:rFonts w:ascii="Times New Roman" w:hAnsi="Times New Roman" w:eastAsia="Times New Roman" w:cs="Times New Roman"/>
                <w:spacing w:val="35"/>
              </w:rPr>
              <w:t xml:space="preserve"> </w:t>
            </w:r>
            <w:r>
              <w:rPr>
                <w:spacing w:val="-7"/>
              </w:rPr>
              <w:t>区）。</w:t>
            </w:r>
          </w:p>
          <w:p w14:paraId="3F53B5EF">
            <w:pPr>
              <w:pStyle w:val="6"/>
              <w:spacing w:before="34" w:line="345" w:lineRule="auto"/>
              <w:ind w:left="108" w:right="135" w:firstLine="480"/>
            </w:pPr>
            <w:r>
              <w:t>根据牛栏江流域（云南部分）水环境保护规划（</w:t>
            </w:r>
            <w:r>
              <w:rPr>
                <w:rFonts w:ascii="Times New Roman" w:hAnsi="Times New Roman" w:eastAsia="Times New Roman" w:cs="Times New Roman"/>
              </w:rPr>
              <w:t>2</w:t>
            </w:r>
            <w:r>
              <w:rPr>
                <w:rFonts w:ascii="Times New Roman" w:hAnsi="Times New Roman" w:eastAsia="Times New Roman" w:cs="Times New Roman"/>
                <w:spacing w:val="-1"/>
              </w:rPr>
              <w:t xml:space="preserve">009-2030 </w:t>
            </w:r>
            <w:r>
              <w:rPr>
                <w:spacing w:val="-1"/>
              </w:rPr>
              <w:t>年）调水水</w:t>
            </w:r>
            <w:r>
              <w:t xml:space="preserve"> </w:t>
            </w:r>
            <w:r>
              <w:rPr>
                <w:spacing w:val="-1"/>
              </w:rPr>
              <w:t>源区水污染源治理规划方案，现将本项目符合性分析如下：</w:t>
            </w:r>
          </w:p>
          <w:p w14:paraId="35D41FE8">
            <w:pPr>
              <w:pStyle w:val="6"/>
              <w:spacing w:before="33" w:line="228" w:lineRule="auto"/>
              <w:ind w:left="117"/>
              <w:rPr>
                <w:sz w:val="20"/>
                <w:szCs w:val="20"/>
              </w:rPr>
            </w:pPr>
            <w:r>
              <w:rPr>
                <w:b/>
                <w:bCs/>
                <w:spacing w:val="7"/>
                <w:sz w:val="20"/>
                <w:szCs w:val="20"/>
              </w:rPr>
              <w:t>表</w:t>
            </w:r>
            <w:r>
              <w:rPr>
                <w:spacing w:val="-33"/>
                <w:sz w:val="20"/>
                <w:szCs w:val="20"/>
              </w:rPr>
              <w:t xml:space="preserve"> </w:t>
            </w:r>
            <w:r>
              <w:rPr>
                <w:rFonts w:ascii="Times New Roman" w:hAnsi="Times New Roman" w:eastAsia="Times New Roman" w:cs="Times New Roman"/>
                <w:b/>
                <w:bCs/>
                <w:spacing w:val="7"/>
                <w:sz w:val="20"/>
                <w:szCs w:val="20"/>
              </w:rPr>
              <w:t xml:space="preserve">1-10  </w:t>
            </w:r>
            <w:r>
              <w:rPr>
                <w:b/>
                <w:bCs/>
                <w:spacing w:val="7"/>
                <w:sz w:val="20"/>
                <w:szCs w:val="20"/>
              </w:rPr>
              <w:t>项目与《牛栏江流域（云南部分）水环境保护规划</w:t>
            </w:r>
            <w:r>
              <w:rPr>
                <w:b/>
                <w:bCs/>
                <w:spacing w:val="6"/>
                <w:sz w:val="20"/>
                <w:szCs w:val="20"/>
              </w:rPr>
              <w:t>（</w:t>
            </w:r>
            <w:r>
              <w:rPr>
                <w:rFonts w:ascii="Times New Roman" w:hAnsi="Times New Roman" w:eastAsia="Times New Roman" w:cs="Times New Roman"/>
                <w:b/>
                <w:bCs/>
                <w:spacing w:val="6"/>
                <w:sz w:val="20"/>
                <w:szCs w:val="20"/>
              </w:rPr>
              <w:t xml:space="preserve">2009-2030 </w:t>
            </w:r>
            <w:r>
              <w:rPr>
                <w:b/>
                <w:bCs/>
                <w:spacing w:val="6"/>
                <w:sz w:val="20"/>
                <w:szCs w:val="20"/>
              </w:rPr>
              <w:t>年）》符合性</w:t>
            </w:r>
          </w:p>
          <w:p w14:paraId="1CE601EC">
            <w:pPr>
              <w:pStyle w:val="6"/>
              <w:spacing w:before="25" w:line="224" w:lineRule="auto"/>
              <w:ind w:left="3824"/>
              <w:rPr>
                <w:sz w:val="20"/>
                <w:szCs w:val="20"/>
              </w:rPr>
            </w:pPr>
            <w:r>
              <w:rPr>
                <w:b/>
                <w:bCs/>
                <w:spacing w:val="2"/>
                <w:sz w:val="20"/>
                <w:szCs w:val="20"/>
              </w:rPr>
              <w:t>分析</w:t>
            </w:r>
          </w:p>
          <w:tbl>
            <w:tblPr>
              <w:tblStyle w:val="5"/>
              <w:tblW w:w="783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3308"/>
              <w:gridCol w:w="3028"/>
              <w:gridCol w:w="742"/>
            </w:tblGrid>
            <w:tr w14:paraId="758AF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761" w:type="dxa"/>
                  <w:vAlign w:val="top"/>
                </w:tcPr>
                <w:p w14:paraId="48D482D1">
                  <w:pPr>
                    <w:pStyle w:val="6"/>
                    <w:spacing w:before="170" w:line="229" w:lineRule="auto"/>
                    <w:ind w:left="173"/>
                    <w:rPr>
                      <w:sz w:val="20"/>
                      <w:szCs w:val="20"/>
                    </w:rPr>
                  </w:pPr>
                  <w:r>
                    <w:rPr>
                      <w:b/>
                      <w:bCs/>
                      <w:spacing w:val="4"/>
                      <w:sz w:val="20"/>
                      <w:szCs w:val="20"/>
                    </w:rPr>
                    <w:t>序号</w:t>
                  </w:r>
                </w:p>
              </w:tc>
              <w:tc>
                <w:tcPr>
                  <w:tcW w:w="3308" w:type="dxa"/>
                  <w:vAlign w:val="top"/>
                </w:tcPr>
                <w:p w14:paraId="2B64B8E2">
                  <w:pPr>
                    <w:pStyle w:val="6"/>
                    <w:spacing w:before="170" w:line="229" w:lineRule="auto"/>
                    <w:ind w:left="1238"/>
                    <w:rPr>
                      <w:sz w:val="20"/>
                      <w:szCs w:val="20"/>
                    </w:rPr>
                  </w:pPr>
                  <w:r>
                    <w:rPr>
                      <w:b/>
                      <w:bCs/>
                      <w:spacing w:val="6"/>
                      <w:sz w:val="20"/>
                      <w:szCs w:val="20"/>
                    </w:rPr>
                    <w:t>规划要求</w:t>
                  </w:r>
                </w:p>
              </w:tc>
              <w:tc>
                <w:tcPr>
                  <w:tcW w:w="3028" w:type="dxa"/>
                  <w:vAlign w:val="top"/>
                </w:tcPr>
                <w:p w14:paraId="4F17BD04">
                  <w:pPr>
                    <w:pStyle w:val="6"/>
                    <w:spacing w:before="170" w:line="228" w:lineRule="auto"/>
                    <w:ind w:left="1103"/>
                    <w:rPr>
                      <w:sz w:val="20"/>
                      <w:szCs w:val="20"/>
                    </w:rPr>
                  </w:pPr>
                  <w:r>
                    <w:rPr>
                      <w:b/>
                      <w:bCs/>
                      <w:spacing w:val="5"/>
                      <w:sz w:val="20"/>
                      <w:szCs w:val="20"/>
                    </w:rPr>
                    <w:t>项目情况</w:t>
                  </w:r>
                </w:p>
              </w:tc>
              <w:tc>
                <w:tcPr>
                  <w:tcW w:w="742" w:type="dxa"/>
                  <w:vAlign w:val="top"/>
                </w:tcPr>
                <w:p w14:paraId="38C3BF4D">
                  <w:pPr>
                    <w:pStyle w:val="6"/>
                    <w:spacing w:before="34" w:line="235" w:lineRule="auto"/>
                    <w:ind w:left="272" w:right="158" w:hanging="104"/>
                    <w:rPr>
                      <w:sz w:val="20"/>
                      <w:szCs w:val="20"/>
                    </w:rPr>
                  </w:pPr>
                  <w:r>
                    <w:rPr>
                      <w:b/>
                      <w:bCs/>
                      <w:spacing w:val="3"/>
                      <w:sz w:val="20"/>
                      <w:szCs w:val="20"/>
                    </w:rPr>
                    <w:t>符合</w:t>
                  </w:r>
                  <w:r>
                    <w:rPr>
                      <w:sz w:val="20"/>
                      <w:szCs w:val="20"/>
                    </w:rPr>
                    <w:t xml:space="preserve"> </w:t>
                  </w:r>
                  <w:r>
                    <w:rPr>
                      <w:b/>
                      <w:bCs/>
                      <w:spacing w:val="-3"/>
                      <w:sz w:val="20"/>
                      <w:szCs w:val="20"/>
                    </w:rPr>
                    <w:t>性</w:t>
                  </w:r>
                </w:p>
              </w:tc>
            </w:tr>
            <w:tr w14:paraId="7E168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2" w:hRule="atLeast"/>
              </w:trPr>
              <w:tc>
                <w:tcPr>
                  <w:tcW w:w="761" w:type="dxa"/>
                  <w:vAlign w:val="top"/>
                </w:tcPr>
                <w:p w14:paraId="0A484342">
                  <w:pPr>
                    <w:spacing w:line="273" w:lineRule="auto"/>
                    <w:rPr>
                      <w:rFonts w:ascii="Arial"/>
                      <w:sz w:val="21"/>
                    </w:rPr>
                  </w:pPr>
                </w:p>
                <w:p w14:paraId="192D2B0B">
                  <w:pPr>
                    <w:spacing w:line="273" w:lineRule="auto"/>
                    <w:rPr>
                      <w:rFonts w:ascii="Arial"/>
                      <w:sz w:val="21"/>
                    </w:rPr>
                  </w:pPr>
                </w:p>
                <w:p w14:paraId="13CBF886">
                  <w:pPr>
                    <w:spacing w:line="273" w:lineRule="auto"/>
                    <w:rPr>
                      <w:rFonts w:ascii="Arial"/>
                      <w:sz w:val="21"/>
                    </w:rPr>
                  </w:pPr>
                </w:p>
                <w:p w14:paraId="70C8E04D">
                  <w:pPr>
                    <w:spacing w:line="273" w:lineRule="auto"/>
                    <w:rPr>
                      <w:rFonts w:ascii="Arial"/>
                      <w:sz w:val="21"/>
                    </w:rPr>
                  </w:pPr>
                </w:p>
                <w:p w14:paraId="600A09B5">
                  <w:pPr>
                    <w:spacing w:before="57"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308" w:type="dxa"/>
                  <w:vAlign w:val="top"/>
                </w:tcPr>
                <w:p w14:paraId="4794E1E4">
                  <w:pPr>
                    <w:pStyle w:val="6"/>
                    <w:spacing w:before="29" w:line="244" w:lineRule="auto"/>
                    <w:ind w:left="111" w:right="105" w:firstLine="1"/>
                    <w:jc w:val="left"/>
                    <w:rPr>
                      <w:sz w:val="20"/>
                      <w:szCs w:val="20"/>
                    </w:rPr>
                  </w:pPr>
                  <w:r>
                    <w:rPr>
                      <w:spacing w:val="9"/>
                      <w:sz w:val="20"/>
                      <w:szCs w:val="20"/>
                    </w:rPr>
                    <w:t>落实国家产业政策和有关环保政</w:t>
                  </w:r>
                  <w:r>
                    <w:rPr>
                      <w:sz w:val="20"/>
                      <w:szCs w:val="20"/>
                    </w:rPr>
                    <w:t xml:space="preserve">  </w:t>
                  </w:r>
                  <w:r>
                    <w:rPr>
                      <w:spacing w:val="5"/>
                      <w:sz w:val="20"/>
                      <w:szCs w:val="20"/>
                    </w:rPr>
                    <w:t>策，实现主要废水排放企业的“零</w:t>
                  </w:r>
                  <w:r>
                    <w:rPr>
                      <w:spacing w:val="9"/>
                      <w:sz w:val="20"/>
                      <w:szCs w:val="20"/>
                    </w:rPr>
                    <w:t xml:space="preserve"> </w:t>
                  </w:r>
                  <w:r>
                    <w:rPr>
                      <w:spacing w:val="-1"/>
                      <w:sz w:val="20"/>
                      <w:szCs w:val="20"/>
                    </w:rPr>
                    <w:t>排放</w:t>
                  </w:r>
                  <w:r>
                    <w:rPr>
                      <w:spacing w:val="-67"/>
                      <w:sz w:val="20"/>
                      <w:szCs w:val="20"/>
                    </w:rPr>
                    <w:t xml:space="preserve"> </w:t>
                  </w:r>
                  <w:r>
                    <w:rPr>
                      <w:spacing w:val="-1"/>
                      <w:sz w:val="20"/>
                      <w:szCs w:val="20"/>
                    </w:rPr>
                    <w:t>”，到</w:t>
                  </w:r>
                  <w:r>
                    <w:rPr>
                      <w:spacing w:val="-43"/>
                      <w:sz w:val="20"/>
                      <w:szCs w:val="20"/>
                    </w:rPr>
                    <w:t xml:space="preserve"> </w:t>
                  </w:r>
                  <w:r>
                    <w:rPr>
                      <w:rFonts w:ascii="Times New Roman" w:hAnsi="Times New Roman" w:eastAsia="Times New Roman" w:cs="Times New Roman"/>
                      <w:spacing w:val="-1"/>
                      <w:sz w:val="20"/>
                      <w:szCs w:val="20"/>
                    </w:rPr>
                    <w:t xml:space="preserve">2012 </w:t>
                  </w:r>
                  <w:r>
                    <w:rPr>
                      <w:spacing w:val="-1"/>
                      <w:sz w:val="20"/>
                      <w:szCs w:val="20"/>
                    </w:rPr>
                    <w:t>年</w:t>
                  </w:r>
                  <w:r>
                    <w:rPr>
                      <w:spacing w:val="-23"/>
                      <w:sz w:val="20"/>
                      <w:szCs w:val="20"/>
                    </w:rPr>
                    <w:t xml:space="preserve"> </w:t>
                  </w:r>
                  <w:r>
                    <w:rPr>
                      <w:rFonts w:ascii="Times New Roman" w:hAnsi="Times New Roman" w:eastAsia="Times New Roman" w:cs="Times New Roman"/>
                      <w:spacing w:val="-1"/>
                      <w:sz w:val="20"/>
                      <w:szCs w:val="20"/>
                    </w:rPr>
                    <w:t>12</w:t>
                  </w:r>
                  <w:r>
                    <w:rPr>
                      <w:rFonts w:ascii="Times New Roman" w:hAnsi="Times New Roman" w:eastAsia="Times New Roman" w:cs="Times New Roman"/>
                      <w:spacing w:val="17"/>
                      <w:sz w:val="20"/>
                      <w:szCs w:val="20"/>
                    </w:rPr>
                    <w:t xml:space="preserve"> </w:t>
                  </w:r>
                  <w:r>
                    <w:rPr>
                      <w:spacing w:val="-1"/>
                      <w:sz w:val="20"/>
                      <w:szCs w:val="20"/>
                    </w:rPr>
                    <w:t>月</w:t>
                  </w:r>
                  <w:r>
                    <w:rPr>
                      <w:spacing w:val="-39"/>
                      <w:sz w:val="20"/>
                      <w:szCs w:val="20"/>
                    </w:rPr>
                    <w:t xml:space="preserve"> </w:t>
                  </w:r>
                  <w:r>
                    <w:rPr>
                      <w:rFonts w:ascii="Times New Roman" w:hAnsi="Times New Roman" w:eastAsia="Times New Roman" w:cs="Times New Roman"/>
                      <w:spacing w:val="-1"/>
                      <w:sz w:val="20"/>
                      <w:szCs w:val="20"/>
                    </w:rPr>
                    <w:t xml:space="preserve">31  </w:t>
                  </w:r>
                  <w:r>
                    <w:rPr>
                      <w:spacing w:val="-1"/>
                      <w:sz w:val="20"/>
                      <w:szCs w:val="20"/>
                    </w:rPr>
                    <w:t>日，</w:t>
                  </w:r>
                </w:p>
                <w:p w14:paraId="4A3B2998">
                  <w:pPr>
                    <w:pStyle w:val="6"/>
                    <w:spacing w:before="27" w:line="245" w:lineRule="auto"/>
                    <w:ind w:left="112" w:right="105" w:firstLine="4"/>
                    <w:jc w:val="left"/>
                    <w:rPr>
                      <w:spacing w:val="5"/>
                      <w:sz w:val="20"/>
                      <w:szCs w:val="20"/>
                    </w:rPr>
                  </w:pPr>
                  <w:r>
                    <w:rPr>
                      <w:spacing w:val="8"/>
                      <w:sz w:val="20"/>
                      <w:szCs w:val="20"/>
                    </w:rPr>
                    <w:t>实现牛栏江调水水源区工业废水</w:t>
                  </w:r>
                  <w:r>
                    <w:rPr>
                      <w:spacing w:val="5"/>
                      <w:sz w:val="20"/>
                      <w:szCs w:val="20"/>
                    </w:rPr>
                    <w:t xml:space="preserve">  的零排放。在调水水源区，通过</w:t>
                  </w:r>
                </w:p>
                <w:p w14:paraId="1A6DF38F">
                  <w:pPr>
                    <w:pStyle w:val="6"/>
                    <w:spacing w:before="27" w:line="245" w:lineRule="auto"/>
                    <w:ind w:left="112" w:right="105" w:firstLine="4"/>
                    <w:jc w:val="left"/>
                    <w:rPr>
                      <w:sz w:val="20"/>
                      <w:szCs w:val="20"/>
                    </w:rPr>
                  </w:pPr>
                  <w:r>
                    <w:rPr>
                      <w:spacing w:val="5"/>
                      <w:sz w:val="20"/>
                      <w:szCs w:val="20"/>
                    </w:rPr>
                    <w:t>贯</w:t>
                  </w:r>
                  <w:r>
                    <w:rPr>
                      <w:spacing w:val="9"/>
                      <w:sz w:val="20"/>
                      <w:szCs w:val="20"/>
                    </w:rPr>
                    <w:t>彻落实国家产业政策大检查和环</w:t>
                  </w:r>
                  <w:r>
                    <w:rPr>
                      <w:spacing w:val="5"/>
                      <w:sz w:val="20"/>
                      <w:szCs w:val="20"/>
                    </w:rPr>
                    <w:t>保设施专项检查、强制清洁生产审核等措施，确保实现园区和企业废</w:t>
                  </w:r>
                  <w:r>
                    <w:rPr>
                      <w:spacing w:val="6"/>
                      <w:sz w:val="20"/>
                      <w:szCs w:val="20"/>
                    </w:rPr>
                    <w:t>水的零排放。</w:t>
                  </w:r>
                </w:p>
              </w:tc>
              <w:tc>
                <w:tcPr>
                  <w:tcW w:w="3028" w:type="dxa"/>
                  <w:vAlign w:val="top"/>
                </w:tcPr>
                <w:p w14:paraId="06B3A481">
                  <w:pPr>
                    <w:spacing w:line="253" w:lineRule="auto"/>
                    <w:rPr>
                      <w:rFonts w:ascii="Arial"/>
                      <w:sz w:val="21"/>
                    </w:rPr>
                  </w:pPr>
                </w:p>
                <w:p w14:paraId="32BD822F">
                  <w:pPr>
                    <w:spacing w:line="253" w:lineRule="auto"/>
                    <w:rPr>
                      <w:rFonts w:ascii="Arial"/>
                      <w:sz w:val="21"/>
                    </w:rPr>
                  </w:pPr>
                </w:p>
                <w:p w14:paraId="14AD5B13">
                  <w:pPr>
                    <w:pStyle w:val="6"/>
                    <w:spacing w:before="65" w:line="247" w:lineRule="auto"/>
                    <w:ind w:left="114" w:right="102" w:firstLine="2"/>
                    <w:jc w:val="both"/>
                    <w:rPr>
                      <w:sz w:val="20"/>
                      <w:szCs w:val="20"/>
                    </w:rPr>
                  </w:pPr>
                  <w:r>
                    <w:rPr>
                      <w:spacing w:val="15"/>
                      <w:sz w:val="20"/>
                      <w:szCs w:val="20"/>
                    </w:rPr>
                    <w:t>项目升压站。生活污水经一体</w:t>
                  </w:r>
                  <w:r>
                    <w:rPr>
                      <w:spacing w:val="5"/>
                      <w:sz w:val="20"/>
                      <w:szCs w:val="20"/>
                    </w:rPr>
                    <w:t xml:space="preserve"> </w:t>
                  </w:r>
                  <w:r>
                    <w:rPr>
                      <w:spacing w:val="15"/>
                      <w:sz w:val="20"/>
                      <w:szCs w:val="20"/>
                    </w:rPr>
                    <w:t>化污水处理设施处理后全部作</w:t>
                  </w:r>
                  <w:r>
                    <w:rPr>
                      <w:spacing w:val="7"/>
                      <w:sz w:val="20"/>
                      <w:szCs w:val="20"/>
                    </w:rPr>
                    <w:t xml:space="preserve"> </w:t>
                  </w:r>
                  <w:r>
                    <w:rPr>
                      <w:spacing w:val="15"/>
                      <w:sz w:val="20"/>
                      <w:szCs w:val="20"/>
                    </w:rPr>
                    <w:t>为厂区绿化浇灌，不外排。清</w:t>
                  </w:r>
                  <w:r>
                    <w:rPr>
                      <w:spacing w:val="7"/>
                      <w:sz w:val="20"/>
                      <w:szCs w:val="20"/>
                    </w:rPr>
                    <w:t xml:space="preserve"> </w:t>
                  </w:r>
                  <w:r>
                    <w:rPr>
                      <w:spacing w:val="15"/>
                      <w:sz w:val="20"/>
                      <w:szCs w:val="20"/>
                    </w:rPr>
                    <w:t>洁废水直接作为植物的生长用</w:t>
                  </w:r>
                  <w:r>
                    <w:rPr>
                      <w:spacing w:val="10"/>
                      <w:sz w:val="20"/>
                      <w:szCs w:val="20"/>
                    </w:rPr>
                    <w:t xml:space="preserve"> </w:t>
                  </w:r>
                  <w:r>
                    <w:rPr>
                      <w:spacing w:val="5"/>
                      <w:sz w:val="20"/>
                      <w:szCs w:val="20"/>
                    </w:rPr>
                    <w:t>水不外排。</w:t>
                  </w:r>
                </w:p>
              </w:tc>
              <w:tc>
                <w:tcPr>
                  <w:tcW w:w="742" w:type="dxa"/>
                  <w:vAlign w:val="top"/>
                </w:tcPr>
                <w:p w14:paraId="531B4EF7">
                  <w:pPr>
                    <w:spacing w:line="262" w:lineRule="auto"/>
                    <w:rPr>
                      <w:rFonts w:ascii="Arial"/>
                      <w:sz w:val="21"/>
                    </w:rPr>
                  </w:pPr>
                </w:p>
                <w:p w14:paraId="27B5DBAA">
                  <w:pPr>
                    <w:spacing w:line="262" w:lineRule="auto"/>
                    <w:rPr>
                      <w:rFonts w:ascii="Arial"/>
                      <w:sz w:val="21"/>
                    </w:rPr>
                  </w:pPr>
                </w:p>
                <w:p w14:paraId="67633191">
                  <w:pPr>
                    <w:spacing w:line="262" w:lineRule="auto"/>
                    <w:rPr>
                      <w:rFonts w:ascii="Arial"/>
                      <w:sz w:val="21"/>
                    </w:rPr>
                  </w:pPr>
                </w:p>
                <w:p w14:paraId="1058D748">
                  <w:pPr>
                    <w:spacing w:line="262" w:lineRule="auto"/>
                    <w:rPr>
                      <w:rFonts w:ascii="Arial"/>
                      <w:sz w:val="21"/>
                    </w:rPr>
                  </w:pPr>
                </w:p>
                <w:p w14:paraId="163CC804">
                  <w:pPr>
                    <w:pStyle w:val="6"/>
                    <w:spacing w:before="65" w:line="228" w:lineRule="auto"/>
                    <w:ind w:left="166"/>
                    <w:rPr>
                      <w:sz w:val="20"/>
                      <w:szCs w:val="20"/>
                    </w:rPr>
                  </w:pPr>
                  <w:r>
                    <w:rPr>
                      <w:spacing w:val="4"/>
                      <w:sz w:val="20"/>
                      <w:szCs w:val="20"/>
                    </w:rPr>
                    <w:t>相符</w:t>
                  </w:r>
                </w:p>
              </w:tc>
            </w:tr>
            <w:tr w14:paraId="199AD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761" w:type="dxa"/>
                  <w:vAlign w:val="top"/>
                </w:tcPr>
                <w:p w14:paraId="1ED45321">
                  <w:pPr>
                    <w:spacing w:before="72"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308" w:type="dxa"/>
                  <w:vAlign w:val="top"/>
                </w:tcPr>
                <w:p w14:paraId="0FE0ACD3">
                  <w:pPr>
                    <w:pStyle w:val="6"/>
                    <w:spacing w:before="36" w:line="215" w:lineRule="auto"/>
                    <w:ind w:left="112"/>
                    <w:rPr>
                      <w:sz w:val="20"/>
                      <w:szCs w:val="20"/>
                    </w:rPr>
                  </w:pPr>
                  <w:r>
                    <w:rPr>
                      <w:spacing w:val="5"/>
                      <w:sz w:val="20"/>
                      <w:szCs w:val="20"/>
                    </w:rPr>
                    <w:t>严格工业企业环境管理，严格环境</w:t>
                  </w:r>
                </w:p>
              </w:tc>
              <w:tc>
                <w:tcPr>
                  <w:tcW w:w="3028" w:type="dxa"/>
                  <w:vAlign w:val="top"/>
                </w:tcPr>
                <w:p w14:paraId="35773E0E">
                  <w:pPr>
                    <w:pStyle w:val="6"/>
                    <w:spacing w:before="36" w:line="215" w:lineRule="auto"/>
                    <w:ind w:left="116"/>
                    <w:rPr>
                      <w:sz w:val="20"/>
                      <w:szCs w:val="20"/>
                    </w:rPr>
                  </w:pPr>
                  <w:r>
                    <w:rPr>
                      <w:sz w:val="20"/>
                      <w:szCs w:val="20"/>
                    </w:rPr>
                    <w:t>项目为光伏发电项目，根据《产</w:t>
                  </w:r>
                </w:p>
              </w:tc>
              <w:tc>
                <w:tcPr>
                  <w:tcW w:w="742" w:type="dxa"/>
                  <w:vAlign w:val="top"/>
                </w:tcPr>
                <w:p w14:paraId="6E3AAD70">
                  <w:pPr>
                    <w:pStyle w:val="6"/>
                    <w:spacing w:before="36" w:line="215" w:lineRule="auto"/>
                    <w:ind w:left="166"/>
                    <w:rPr>
                      <w:sz w:val="20"/>
                      <w:szCs w:val="20"/>
                    </w:rPr>
                  </w:pPr>
                  <w:r>
                    <w:rPr>
                      <w:spacing w:val="4"/>
                      <w:sz w:val="20"/>
                      <w:szCs w:val="20"/>
                    </w:rPr>
                    <w:t>相符</w:t>
                  </w:r>
                </w:p>
              </w:tc>
            </w:tr>
          </w:tbl>
          <w:p w14:paraId="394A73F2">
            <w:pPr>
              <w:spacing w:line="46" w:lineRule="auto"/>
              <w:rPr>
                <w:rFonts w:ascii="Arial"/>
                <w:sz w:val="2"/>
              </w:rPr>
            </w:pPr>
          </w:p>
        </w:tc>
      </w:tr>
    </w:tbl>
    <w:p w14:paraId="3CAC5F37">
      <w:pPr>
        <w:rPr>
          <w:rFonts w:ascii="Arial"/>
          <w:sz w:val="21"/>
        </w:rPr>
      </w:pPr>
    </w:p>
    <w:p w14:paraId="5662D282">
      <w:pPr>
        <w:rPr>
          <w:rFonts w:ascii="Arial" w:hAnsi="Arial" w:eastAsia="Arial" w:cs="Arial"/>
          <w:sz w:val="21"/>
          <w:szCs w:val="21"/>
        </w:rPr>
        <w:sectPr>
          <w:footerReference r:id="rId29" w:type="default"/>
          <w:pgSz w:w="11906" w:h="16839"/>
          <w:pgMar w:top="1431" w:right="1405" w:bottom="1278" w:left="1407" w:header="0" w:footer="1116" w:gutter="0"/>
          <w:cols w:space="720" w:num="1"/>
        </w:sectPr>
      </w:pPr>
    </w:p>
    <w:p w14:paraId="46FFF986">
      <w:pPr>
        <w:spacing w:line="99" w:lineRule="exact"/>
      </w:pPr>
      <w:r>
        <w:pict>
          <v:shape id="_x0000_s1041" o:spid="_x0000_s1041" style="position:absolute;left:0pt;margin-left:518.3pt;margin-top:77.85pt;height:683.25pt;width:0.5pt;mso-position-horizontal-relative:page;mso-position-vertical-relative:page;z-index:251677696;mso-width-relative:page;mso-height-relative:page;" filled="f" stroked="t" coordsize="10,13665" o:allowincell="f" path="m4,0l4,13665e">
            <v:fill on="f" focussize="0,0"/>
            <v:stroke weight="0.48pt" color="#000000" miterlimit="2" joinstyle="bevel"/>
            <v:imagedata o:title=""/>
            <o:lock v:ext="edit"/>
          </v:shape>
        </w:pict>
      </w:r>
    </w:p>
    <w:tbl>
      <w:tblPr>
        <w:tblStyle w:val="5"/>
        <w:tblW w:w="90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7"/>
        <w:gridCol w:w="756"/>
        <w:gridCol w:w="3304"/>
        <w:gridCol w:w="3025"/>
        <w:gridCol w:w="864"/>
      </w:tblGrid>
      <w:tr w14:paraId="5C33B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5" w:hRule="atLeast"/>
        </w:trPr>
        <w:tc>
          <w:tcPr>
            <w:tcW w:w="1127" w:type="dxa"/>
            <w:vMerge w:val="restart"/>
            <w:tcBorders>
              <w:top w:val="single" w:color="000000" w:sz="6" w:space="0"/>
              <w:left w:val="single" w:color="000000" w:sz="6" w:space="0"/>
              <w:bottom w:val="nil"/>
            </w:tcBorders>
            <w:vAlign w:val="top"/>
          </w:tcPr>
          <w:p w14:paraId="1F04A07D">
            <w:pPr>
              <w:rPr>
                <w:rFonts w:ascii="Arial"/>
                <w:sz w:val="21"/>
              </w:rPr>
            </w:pPr>
            <w:r>
              <w:pict>
                <v:shape id="_x0000_s1042" o:spid="_x0000_s1042" style="position:absolute;left:0pt;margin-left:50.2pt;margin-top:0.95pt;height:684.6pt;width:0.5pt;mso-position-horizontal-relative:page;mso-position-vertical-relative:page;z-index:251676672;mso-width-relative:page;mso-height-relative:page;" filled="f" stroked="t" coordsize="10,13691" path="m4,0l4,13691e">
                  <v:fill on="f" focussize="0,0"/>
                  <v:stroke weight="0.48pt" color="#000000" miterlimit="2" joinstyle="bevel"/>
                  <v:imagedata o:title=""/>
                  <o:lock v:ext="edit"/>
                </v:shape>
              </w:pict>
            </w:r>
          </w:p>
        </w:tc>
        <w:tc>
          <w:tcPr>
            <w:tcW w:w="756" w:type="dxa"/>
            <w:tcBorders>
              <w:top w:val="single" w:color="000000" w:sz="6" w:space="0"/>
            </w:tcBorders>
            <w:vAlign w:val="top"/>
          </w:tcPr>
          <w:p w14:paraId="76192EA8">
            <w:pPr>
              <w:rPr>
                <w:rFonts w:ascii="Arial"/>
                <w:sz w:val="21"/>
              </w:rPr>
            </w:pPr>
          </w:p>
        </w:tc>
        <w:tc>
          <w:tcPr>
            <w:tcW w:w="3304" w:type="dxa"/>
            <w:tcBorders>
              <w:top w:val="single" w:color="000000" w:sz="6" w:space="0"/>
            </w:tcBorders>
            <w:vAlign w:val="top"/>
          </w:tcPr>
          <w:p w14:paraId="115F1750">
            <w:pPr>
              <w:pStyle w:val="6"/>
              <w:spacing w:before="46" w:line="250" w:lineRule="auto"/>
              <w:ind w:left="107" w:right="79" w:firstLine="2"/>
              <w:rPr>
                <w:sz w:val="20"/>
                <w:szCs w:val="20"/>
              </w:rPr>
            </w:pPr>
            <w:r>
              <w:rPr>
                <w:spacing w:val="5"/>
                <w:sz w:val="20"/>
                <w:szCs w:val="20"/>
              </w:rPr>
              <w:t>准入政策，避免新污染物输入。调</w:t>
            </w:r>
            <w:r>
              <w:rPr>
                <w:spacing w:val="7"/>
                <w:sz w:val="20"/>
                <w:szCs w:val="20"/>
              </w:rPr>
              <w:t xml:space="preserve"> </w:t>
            </w:r>
            <w:r>
              <w:rPr>
                <w:spacing w:val="9"/>
                <w:sz w:val="20"/>
                <w:szCs w:val="20"/>
              </w:rPr>
              <w:t>水水源区不得建设不符合国家产</w:t>
            </w:r>
            <w:r>
              <w:rPr>
                <w:spacing w:val="1"/>
                <w:sz w:val="20"/>
                <w:szCs w:val="20"/>
              </w:rPr>
              <w:t xml:space="preserve">   </w:t>
            </w:r>
            <w:r>
              <w:rPr>
                <w:spacing w:val="9"/>
                <w:sz w:val="20"/>
                <w:szCs w:val="20"/>
              </w:rPr>
              <w:t>业政策的工业项目及高污染工业</w:t>
            </w:r>
            <w:r>
              <w:rPr>
                <w:spacing w:val="1"/>
                <w:sz w:val="20"/>
                <w:szCs w:val="20"/>
              </w:rPr>
              <w:t xml:space="preserve">   </w:t>
            </w:r>
            <w:r>
              <w:rPr>
                <w:spacing w:val="5"/>
                <w:sz w:val="20"/>
                <w:szCs w:val="20"/>
              </w:rPr>
              <w:t>项目，包括污染严重的钢铁、有色</w:t>
            </w:r>
            <w:r>
              <w:rPr>
                <w:spacing w:val="8"/>
                <w:sz w:val="20"/>
                <w:szCs w:val="20"/>
              </w:rPr>
              <w:t xml:space="preserve"> </w:t>
            </w:r>
            <w:r>
              <w:rPr>
                <w:spacing w:val="5"/>
                <w:sz w:val="20"/>
                <w:szCs w:val="20"/>
              </w:rPr>
              <w:t>冶金、基础化工、农药、电镀、造</w:t>
            </w:r>
            <w:r>
              <w:rPr>
                <w:spacing w:val="10"/>
                <w:sz w:val="20"/>
                <w:szCs w:val="20"/>
              </w:rPr>
              <w:t xml:space="preserve"> </w:t>
            </w:r>
            <w:r>
              <w:rPr>
                <w:spacing w:val="7"/>
                <w:sz w:val="20"/>
                <w:szCs w:val="20"/>
              </w:rPr>
              <w:t>纸制浆、制革、印染、石棉制品、</w:t>
            </w:r>
            <w:r>
              <w:rPr>
                <w:spacing w:val="6"/>
                <w:sz w:val="20"/>
                <w:szCs w:val="20"/>
              </w:rPr>
              <w:t xml:space="preserve"> </w:t>
            </w:r>
            <w:r>
              <w:rPr>
                <w:spacing w:val="5"/>
                <w:sz w:val="20"/>
                <w:szCs w:val="20"/>
              </w:rPr>
              <w:t>土硫磺、土磷肥和染料等企业和项</w:t>
            </w:r>
            <w:r>
              <w:rPr>
                <w:spacing w:val="10"/>
                <w:sz w:val="20"/>
                <w:szCs w:val="20"/>
              </w:rPr>
              <w:t xml:space="preserve"> </w:t>
            </w:r>
            <w:r>
              <w:rPr>
                <w:spacing w:val="5"/>
                <w:sz w:val="20"/>
                <w:szCs w:val="20"/>
              </w:rPr>
              <w:t>目；新建工业项目必须进入工业园</w:t>
            </w:r>
            <w:r>
              <w:rPr>
                <w:spacing w:val="10"/>
                <w:sz w:val="20"/>
                <w:szCs w:val="20"/>
              </w:rPr>
              <w:t xml:space="preserve"> </w:t>
            </w:r>
            <w:r>
              <w:rPr>
                <w:spacing w:val="5"/>
                <w:sz w:val="20"/>
                <w:szCs w:val="20"/>
              </w:rPr>
              <w:t>区或废水实现零排放，改扩建项目</w:t>
            </w:r>
            <w:r>
              <w:rPr>
                <w:spacing w:val="10"/>
                <w:sz w:val="20"/>
                <w:szCs w:val="20"/>
              </w:rPr>
              <w:t xml:space="preserve"> </w:t>
            </w:r>
            <w:r>
              <w:rPr>
                <w:spacing w:val="2"/>
                <w:sz w:val="20"/>
                <w:szCs w:val="20"/>
              </w:rPr>
              <w:t>不得新增</w:t>
            </w:r>
            <w:r>
              <w:rPr>
                <w:spacing w:val="-30"/>
                <w:sz w:val="20"/>
                <w:szCs w:val="20"/>
              </w:rPr>
              <w:t xml:space="preserve"> </w:t>
            </w:r>
            <w:r>
              <w:rPr>
                <w:rFonts w:ascii="Times New Roman" w:hAnsi="Times New Roman" w:eastAsia="Times New Roman" w:cs="Times New Roman"/>
                <w:sz w:val="20"/>
                <w:szCs w:val="20"/>
              </w:rPr>
              <w:t>COD</w:t>
            </w:r>
            <w:r>
              <w:rPr>
                <w:rFonts w:ascii="Times New Roman" w:hAnsi="Times New Roman" w:eastAsia="Times New Roman" w:cs="Times New Roman"/>
                <w:spacing w:val="-27"/>
                <w:sz w:val="20"/>
                <w:szCs w:val="20"/>
              </w:rPr>
              <w:t xml:space="preserve"> </w:t>
            </w:r>
            <w:r>
              <w:rPr>
                <w:spacing w:val="2"/>
                <w:sz w:val="20"/>
                <w:szCs w:val="20"/>
              </w:rPr>
              <w:t>、</w:t>
            </w:r>
            <w:r>
              <w:rPr>
                <w:rFonts w:ascii="Times New Roman" w:hAnsi="Times New Roman" w:eastAsia="Times New Roman" w:cs="Times New Roman"/>
                <w:sz w:val="20"/>
                <w:szCs w:val="20"/>
              </w:rPr>
              <w:t>TN</w:t>
            </w:r>
            <w:r>
              <w:rPr>
                <w:rFonts w:ascii="Times New Roman" w:hAnsi="Times New Roman" w:eastAsia="Times New Roman" w:cs="Times New Roman"/>
                <w:spacing w:val="-26"/>
                <w:sz w:val="20"/>
                <w:szCs w:val="20"/>
              </w:rPr>
              <w:t xml:space="preserve"> </w:t>
            </w:r>
            <w:r>
              <w:rPr>
                <w:spacing w:val="2"/>
                <w:sz w:val="20"/>
                <w:szCs w:val="20"/>
              </w:rPr>
              <w:t>、</w:t>
            </w:r>
            <w:r>
              <w:rPr>
                <w:rFonts w:ascii="Times New Roman" w:hAnsi="Times New Roman" w:eastAsia="Times New Roman" w:cs="Times New Roman"/>
                <w:sz w:val="20"/>
                <w:szCs w:val="20"/>
              </w:rPr>
              <w:t>TP</w:t>
            </w:r>
            <w:r>
              <w:rPr>
                <w:rFonts w:ascii="Times New Roman" w:hAnsi="Times New Roman" w:eastAsia="Times New Roman" w:cs="Times New Roman"/>
                <w:spacing w:val="2"/>
                <w:sz w:val="20"/>
                <w:szCs w:val="20"/>
              </w:rPr>
              <w:t xml:space="preserve"> </w:t>
            </w:r>
            <w:r>
              <w:rPr>
                <w:spacing w:val="2"/>
                <w:sz w:val="20"/>
                <w:szCs w:val="20"/>
              </w:rPr>
              <w:t>排放量；</w:t>
            </w:r>
            <w:r>
              <w:rPr>
                <w:sz w:val="20"/>
                <w:szCs w:val="20"/>
              </w:rPr>
              <w:t xml:space="preserve"> </w:t>
            </w:r>
            <w:r>
              <w:rPr>
                <w:spacing w:val="5"/>
                <w:sz w:val="20"/>
                <w:szCs w:val="20"/>
              </w:rPr>
              <w:t>新建、改建、扩建工业项目应采用</w:t>
            </w:r>
            <w:r>
              <w:rPr>
                <w:spacing w:val="10"/>
                <w:sz w:val="20"/>
                <w:szCs w:val="20"/>
              </w:rPr>
              <w:t xml:space="preserve"> </w:t>
            </w:r>
            <w:r>
              <w:rPr>
                <w:spacing w:val="7"/>
                <w:sz w:val="20"/>
                <w:szCs w:val="20"/>
              </w:rPr>
              <w:t>先进的生产工艺和污染防治技术，</w:t>
            </w:r>
            <w:r>
              <w:rPr>
                <w:spacing w:val="6"/>
                <w:sz w:val="20"/>
                <w:szCs w:val="20"/>
              </w:rPr>
              <w:t xml:space="preserve"> </w:t>
            </w:r>
            <w:r>
              <w:rPr>
                <w:spacing w:val="9"/>
                <w:sz w:val="20"/>
                <w:szCs w:val="20"/>
              </w:rPr>
              <w:t>其清洁生产水平应达到国家</w:t>
            </w:r>
          </w:p>
          <w:p w14:paraId="4B0F1145">
            <w:pPr>
              <w:pStyle w:val="6"/>
              <w:spacing w:before="24" w:line="228" w:lineRule="auto"/>
              <w:ind w:left="108"/>
              <w:rPr>
                <w:sz w:val="20"/>
                <w:szCs w:val="20"/>
              </w:rPr>
            </w:pPr>
            <w:r>
              <w:rPr>
                <w:spacing w:val="8"/>
                <w:sz w:val="20"/>
                <w:szCs w:val="20"/>
              </w:rPr>
              <w:t>清洁生产标准中的国内先进水平。</w:t>
            </w:r>
          </w:p>
        </w:tc>
        <w:tc>
          <w:tcPr>
            <w:tcW w:w="3025" w:type="dxa"/>
            <w:tcBorders>
              <w:top w:val="single" w:color="000000" w:sz="6" w:space="0"/>
            </w:tcBorders>
            <w:vAlign w:val="top"/>
          </w:tcPr>
          <w:p w14:paraId="4B08A694">
            <w:pPr>
              <w:pStyle w:val="6"/>
              <w:spacing w:before="56" w:line="249" w:lineRule="auto"/>
              <w:ind w:left="114" w:hanging="1"/>
              <w:rPr>
                <w:sz w:val="20"/>
                <w:szCs w:val="20"/>
              </w:rPr>
            </w:pPr>
            <w:r>
              <w:rPr>
                <w:spacing w:val="9"/>
                <w:sz w:val="20"/>
                <w:szCs w:val="20"/>
              </w:rPr>
              <w:t>业结构调整指导目录（</w:t>
            </w:r>
            <w:r>
              <w:rPr>
                <w:rFonts w:ascii="Times New Roman" w:hAnsi="Times New Roman" w:eastAsia="Times New Roman" w:cs="Times New Roman"/>
                <w:spacing w:val="9"/>
                <w:sz w:val="20"/>
                <w:szCs w:val="20"/>
              </w:rPr>
              <w:t xml:space="preserve">2024 </w:t>
            </w:r>
            <w:r>
              <w:rPr>
                <w:spacing w:val="9"/>
                <w:sz w:val="20"/>
                <w:szCs w:val="20"/>
              </w:rPr>
              <w:t>年</w:t>
            </w:r>
            <w:r>
              <w:rPr>
                <w:spacing w:val="5"/>
                <w:sz w:val="20"/>
                <w:szCs w:val="20"/>
              </w:rPr>
              <w:t xml:space="preserve">  </w:t>
            </w:r>
            <w:r>
              <w:rPr>
                <w:spacing w:val="17"/>
                <w:sz w:val="20"/>
                <w:szCs w:val="20"/>
              </w:rPr>
              <w:t>本）</w:t>
            </w:r>
            <w:r>
              <w:rPr>
                <w:spacing w:val="-55"/>
                <w:sz w:val="20"/>
                <w:szCs w:val="20"/>
              </w:rPr>
              <w:t xml:space="preserve"> </w:t>
            </w:r>
            <w:r>
              <w:rPr>
                <w:spacing w:val="17"/>
                <w:sz w:val="20"/>
                <w:szCs w:val="20"/>
              </w:rPr>
              <w:t>》中“第五项，新能源</w:t>
            </w:r>
            <w:r>
              <w:rPr>
                <w:spacing w:val="-63"/>
                <w:sz w:val="20"/>
                <w:szCs w:val="20"/>
              </w:rPr>
              <w:t xml:space="preserve"> </w:t>
            </w:r>
            <w:r>
              <w:rPr>
                <w:spacing w:val="17"/>
                <w:sz w:val="20"/>
                <w:szCs w:val="20"/>
              </w:rPr>
              <w:t>”</w:t>
            </w:r>
            <w:r>
              <w:rPr>
                <w:sz w:val="20"/>
                <w:szCs w:val="20"/>
              </w:rPr>
              <w:t xml:space="preserve"> </w:t>
            </w:r>
            <w:r>
              <w:rPr>
                <w:spacing w:val="11"/>
                <w:sz w:val="20"/>
                <w:szCs w:val="20"/>
              </w:rPr>
              <w:t>中第</w:t>
            </w:r>
            <w:r>
              <w:rPr>
                <w:spacing w:val="-34"/>
                <w:sz w:val="20"/>
                <w:szCs w:val="20"/>
              </w:rPr>
              <w:t xml:space="preserve"> </w:t>
            </w:r>
            <w:r>
              <w:rPr>
                <w:rFonts w:ascii="Times New Roman" w:hAnsi="Times New Roman" w:eastAsia="Times New Roman" w:cs="Times New Roman"/>
                <w:spacing w:val="11"/>
                <w:sz w:val="20"/>
                <w:szCs w:val="20"/>
              </w:rPr>
              <w:t>2</w:t>
            </w:r>
            <w:r>
              <w:rPr>
                <w:rFonts w:ascii="Times New Roman" w:hAnsi="Times New Roman" w:eastAsia="Times New Roman" w:cs="Times New Roman"/>
                <w:spacing w:val="19"/>
                <w:sz w:val="20"/>
                <w:szCs w:val="20"/>
              </w:rPr>
              <w:t xml:space="preserve"> </w:t>
            </w:r>
            <w:r>
              <w:rPr>
                <w:spacing w:val="11"/>
                <w:sz w:val="20"/>
                <w:szCs w:val="20"/>
              </w:rPr>
              <w:t>条，</w:t>
            </w:r>
            <w:r>
              <w:rPr>
                <w:spacing w:val="-76"/>
                <w:sz w:val="20"/>
                <w:szCs w:val="20"/>
              </w:rPr>
              <w:t xml:space="preserve"> </w:t>
            </w:r>
            <w:r>
              <w:rPr>
                <w:spacing w:val="11"/>
                <w:sz w:val="20"/>
                <w:szCs w:val="20"/>
              </w:rPr>
              <w:t>“可再生能源利用</w:t>
            </w:r>
            <w:r>
              <w:rPr>
                <w:sz w:val="20"/>
                <w:szCs w:val="20"/>
              </w:rPr>
              <w:t xml:space="preserve">  </w:t>
            </w:r>
            <w:r>
              <w:rPr>
                <w:spacing w:val="15"/>
                <w:sz w:val="20"/>
                <w:szCs w:val="20"/>
              </w:rPr>
              <w:t>技术与应用：太阳能热发电集</w:t>
            </w:r>
            <w:r>
              <w:rPr>
                <w:spacing w:val="3"/>
                <w:sz w:val="20"/>
                <w:szCs w:val="20"/>
              </w:rPr>
              <w:t xml:space="preserve">  </w:t>
            </w:r>
            <w:r>
              <w:rPr>
                <w:spacing w:val="15"/>
                <w:sz w:val="20"/>
                <w:szCs w:val="20"/>
              </w:rPr>
              <w:t>热系统、高效率低成本太阳能</w:t>
            </w:r>
            <w:r>
              <w:rPr>
                <w:spacing w:val="3"/>
                <w:sz w:val="20"/>
                <w:szCs w:val="20"/>
              </w:rPr>
              <w:t xml:space="preserve">  </w:t>
            </w:r>
            <w:r>
              <w:rPr>
                <w:spacing w:val="16"/>
                <w:sz w:val="20"/>
                <w:szCs w:val="20"/>
              </w:rPr>
              <w:t>光伏发电技术研发与产业化、</w:t>
            </w:r>
            <w:r>
              <w:rPr>
                <w:spacing w:val="4"/>
                <w:sz w:val="20"/>
                <w:szCs w:val="20"/>
              </w:rPr>
              <w:t xml:space="preserve">  </w:t>
            </w:r>
            <w:r>
              <w:rPr>
                <w:spacing w:val="13"/>
                <w:sz w:val="20"/>
                <w:szCs w:val="20"/>
              </w:rPr>
              <w:t>系统集成技术开发应用</w:t>
            </w:r>
            <w:r>
              <w:rPr>
                <w:spacing w:val="-66"/>
                <w:sz w:val="20"/>
                <w:szCs w:val="20"/>
              </w:rPr>
              <w:t xml:space="preserve"> </w:t>
            </w:r>
            <w:r>
              <w:rPr>
                <w:spacing w:val="13"/>
                <w:sz w:val="20"/>
                <w:szCs w:val="20"/>
              </w:rPr>
              <w:t>”，属</w:t>
            </w:r>
            <w:r>
              <w:rPr>
                <w:sz w:val="20"/>
                <w:szCs w:val="20"/>
              </w:rPr>
              <w:t xml:space="preserve">  </w:t>
            </w:r>
            <w:r>
              <w:rPr>
                <w:spacing w:val="16"/>
                <w:sz w:val="20"/>
                <w:szCs w:val="20"/>
              </w:rPr>
              <w:t>于鼓励类项目，不属于钢铁、</w:t>
            </w:r>
            <w:r>
              <w:rPr>
                <w:spacing w:val="4"/>
                <w:sz w:val="20"/>
                <w:szCs w:val="20"/>
              </w:rPr>
              <w:t xml:space="preserve">  </w:t>
            </w:r>
            <w:r>
              <w:rPr>
                <w:spacing w:val="16"/>
                <w:sz w:val="20"/>
                <w:szCs w:val="20"/>
              </w:rPr>
              <w:t>有色冶金、基础化工、农药、</w:t>
            </w:r>
            <w:r>
              <w:rPr>
                <w:spacing w:val="4"/>
                <w:sz w:val="20"/>
                <w:szCs w:val="20"/>
              </w:rPr>
              <w:t xml:space="preserve">  </w:t>
            </w:r>
            <w:r>
              <w:rPr>
                <w:spacing w:val="7"/>
                <w:sz w:val="20"/>
                <w:szCs w:val="20"/>
              </w:rPr>
              <w:t>电镀、造纸制浆、制革、印染、</w:t>
            </w:r>
            <w:r>
              <w:rPr>
                <w:spacing w:val="5"/>
                <w:sz w:val="20"/>
                <w:szCs w:val="20"/>
              </w:rPr>
              <w:t xml:space="preserve"> </w:t>
            </w:r>
            <w:r>
              <w:rPr>
                <w:spacing w:val="15"/>
                <w:sz w:val="20"/>
                <w:szCs w:val="20"/>
              </w:rPr>
              <w:t>石棉制品、土硫磺、土磷肥和</w:t>
            </w:r>
            <w:r>
              <w:rPr>
                <w:spacing w:val="3"/>
                <w:sz w:val="20"/>
                <w:szCs w:val="20"/>
              </w:rPr>
              <w:t xml:space="preserve">  </w:t>
            </w:r>
            <w:r>
              <w:rPr>
                <w:spacing w:val="7"/>
                <w:sz w:val="20"/>
                <w:szCs w:val="20"/>
              </w:rPr>
              <w:t>染料等企业和项目。</w:t>
            </w:r>
          </w:p>
          <w:p w14:paraId="5CE828EA">
            <w:pPr>
              <w:pStyle w:val="6"/>
              <w:spacing w:before="26" w:line="246" w:lineRule="auto"/>
              <w:ind w:left="113" w:right="100" w:firstLine="4"/>
              <w:jc w:val="both"/>
              <w:rPr>
                <w:sz w:val="20"/>
                <w:szCs w:val="20"/>
              </w:rPr>
            </w:pPr>
            <w:r>
              <w:rPr>
                <w:spacing w:val="15"/>
                <w:sz w:val="20"/>
                <w:szCs w:val="20"/>
              </w:rPr>
              <w:t>项目升压站生活污水经一体化</w:t>
            </w:r>
            <w:r>
              <w:rPr>
                <w:spacing w:val="5"/>
                <w:sz w:val="20"/>
                <w:szCs w:val="20"/>
              </w:rPr>
              <w:t xml:space="preserve"> </w:t>
            </w:r>
            <w:r>
              <w:rPr>
                <w:spacing w:val="15"/>
                <w:sz w:val="20"/>
                <w:szCs w:val="20"/>
              </w:rPr>
              <w:t>污水处理设施处理后全部作为</w:t>
            </w:r>
            <w:r>
              <w:rPr>
                <w:spacing w:val="9"/>
                <w:sz w:val="20"/>
                <w:szCs w:val="20"/>
              </w:rPr>
              <w:t xml:space="preserve"> </w:t>
            </w:r>
            <w:r>
              <w:rPr>
                <w:spacing w:val="15"/>
                <w:sz w:val="20"/>
                <w:szCs w:val="20"/>
              </w:rPr>
              <w:t>厂区绿化浇灌，不外排。清洁</w:t>
            </w:r>
            <w:r>
              <w:rPr>
                <w:spacing w:val="9"/>
                <w:sz w:val="20"/>
                <w:szCs w:val="20"/>
              </w:rPr>
              <w:t xml:space="preserve"> </w:t>
            </w:r>
            <w:r>
              <w:rPr>
                <w:spacing w:val="15"/>
                <w:sz w:val="20"/>
                <w:szCs w:val="20"/>
              </w:rPr>
              <w:t>废水直接作为植物的生长用水</w:t>
            </w:r>
            <w:r>
              <w:rPr>
                <w:spacing w:val="9"/>
                <w:sz w:val="20"/>
                <w:szCs w:val="20"/>
              </w:rPr>
              <w:t xml:space="preserve"> </w:t>
            </w:r>
            <w:r>
              <w:rPr>
                <w:spacing w:val="15"/>
                <w:sz w:val="20"/>
                <w:szCs w:val="20"/>
              </w:rPr>
              <w:t>不外排，其清洁生产水平应达</w:t>
            </w:r>
            <w:r>
              <w:rPr>
                <w:spacing w:val="9"/>
                <w:sz w:val="20"/>
                <w:szCs w:val="20"/>
              </w:rPr>
              <w:t xml:space="preserve"> </w:t>
            </w:r>
            <w:r>
              <w:rPr>
                <w:spacing w:val="15"/>
                <w:sz w:val="20"/>
                <w:szCs w:val="20"/>
              </w:rPr>
              <w:t>到国家清洁生产标准中的国内</w:t>
            </w:r>
            <w:r>
              <w:rPr>
                <w:spacing w:val="9"/>
                <w:sz w:val="20"/>
                <w:szCs w:val="20"/>
              </w:rPr>
              <w:t xml:space="preserve"> </w:t>
            </w:r>
            <w:r>
              <w:rPr>
                <w:spacing w:val="6"/>
                <w:sz w:val="20"/>
                <w:szCs w:val="20"/>
              </w:rPr>
              <w:t>先进水平。</w:t>
            </w:r>
          </w:p>
        </w:tc>
        <w:tc>
          <w:tcPr>
            <w:tcW w:w="864" w:type="dxa"/>
            <w:tcBorders>
              <w:top w:val="single" w:color="000000" w:sz="6" w:space="0"/>
              <w:right w:val="single" w:color="000000" w:sz="6" w:space="0"/>
            </w:tcBorders>
            <w:vAlign w:val="top"/>
          </w:tcPr>
          <w:p w14:paraId="2340C671">
            <w:pPr>
              <w:rPr>
                <w:rFonts w:ascii="Arial"/>
                <w:sz w:val="21"/>
              </w:rPr>
            </w:pPr>
          </w:p>
        </w:tc>
      </w:tr>
      <w:tr w14:paraId="510E4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9" w:hRule="atLeast"/>
        </w:trPr>
        <w:tc>
          <w:tcPr>
            <w:tcW w:w="1127" w:type="dxa"/>
            <w:vMerge w:val="continue"/>
            <w:tcBorders>
              <w:top w:val="nil"/>
              <w:left w:val="single" w:color="000000" w:sz="6" w:space="0"/>
              <w:bottom w:val="nil"/>
            </w:tcBorders>
            <w:vAlign w:val="top"/>
          </w:tcPr>
          <w:p w14:paraId="03F93F33">
            <w:pPr>
              <w:rPr>
                <w:rFonts w:ascii="Arial"/>
                <w:sz w:val="21"/>
              </w:rPr>
            </w:pPr>
          </w:p>
        </w:tc>
        <w:tc>
          <w:tcPr>
            <w:tcW w:w="756" w:type="dxa"/>
            <w:vAlign w:val="top"/>
          </w:tcPr>
          <w:p w14:paraId="23C87B80">
            <w:pPr>
              <w:spacing w:line="259" w:lineRule="auto"/>
              <w:rPr>
                <w:rFonts w:ascii="Arial"/>
                <w:sz w:val="21"/>
              </w:rPr>
            </w:pPr>
          </w:p>
          <w:p w14:paraId="079D3B81">
            <w:pPr>
              <w:spacing w:line="259" w:lineRule="auto"/>
              <w:rPr>
                <w:rFonts w:ascii="Arial"/>
                <w:sz w:val="21"/>
              </w:rPr>
            </w:pPr>
          </w:p>
          <w:p w14:paraId="7D87C8C8">
            <w:pPr>
              <w:spacing w:line="259" w:lineRule="auto"/>
              <w:rPr>
                <w:rFonts w:ascii="Arial"/>
                <w:sz w:val="21"/>
              </w:rPr>
            </w:pPr>
          </w:p>
          <w:p w14:paraId="4E57A10A">
            <w:pPr>
              <w:spacing w:line="260" w:lineRule="auto"/>
              <w:rPr>
                <w:rFonts w:ascii="Arial"/>
                <w:sz w:val="21"/>
              </w:rPr>
            </w:pPr>
          </w:p>
          <w:p w14:paraId="76551127">
            <w:pPr>
              <w:spacing w:line="260" w:lineRule="auto"/>
              <w:rPr>
                <w:rFonts w:ascii="Arial"/>
                <w:sz w:val="21"/>
              </w:rPr>
            </w:pPr>
          </w:p>
          <w:p w14:paraId="0D43477E">
            <w:pPr>
              <w:spacing w:line="260" w:lineRule="auto"/>
              <w:rPr>
                <w:rFonts w:ascii="Arial"/>
                <w:sz w:val="21"/>
              </w:rPr>
            </w:pPr>
          </w:p>
          <w:p w14:paraId="3050ED28">
            <w:pPr>
              <w:spacing w:line="260" w:lineRule="auto"/>
              <w:rPr>
                <w:rFonts w:ascii="Arial"/>
                <w:sz w:val="21"/>
              </w:rPr>
            </w:pPr>
          </w:p>
          <w:p w14:paraId="74003130">
            <w:pPr>
              <w:spacing w:line="260" w:lineRule="auto"/>
              <w:rPr>
                <w:rFonts w:ascii="Arial"/>
                <w:sz w:val="21"/>
              </w:rPr>
            </w:pPr>
          </w:p>
          <w:p w14:paraId="5A300EA7">
            <w:pPr>
              <w:spacing w:line="260" w:lineRule="auto"/>
              <w:rPr>
                <w:rFonts w:ascii="Arial"/>
                <w:sz w:val="21"/>
              </w:rPr>
            </w:pPr>
          </w:p>
          <w:p w14:paraId="74A73ED5">
            <w:pPr>
              <w:spacing w:line="260" w:lineRule="auto"/>
              <w:rPr>
                <w:rFonts w:ascii="Arial"/>
                <w:sz w:val="21"/>
              </w:rPr>
            </w:pPr>
          </w:p>
          <w:p w14:paraId="60044AFB">
            <w:pPr>
              <w:spacing w:line="260" w:lineRule="auto"/>
              <w:rPr>
                <w:rFonts w:ascii="Arial"/>
                <w:sz w:val="21"/>
              </w:rPr>
            </w:pPr>
          </w:p>
          <w:p w14:paraId="1732644C">
            <w:pPr>
              <w:spacing w:before="57"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304" w:type="dxa"/>
            <w:vAlign w:val="top"/>
          </w:tcPr>
          <w:p w14:paraId="50019A86">
            <w:pPr>
              <w:pStyle w:val="6"/>
              <w:spacing w:before="35" w:line="248" w:lineRule="auto"/>
              <w:ind w:left="108" w:right="104"/>
              <w:rPr>
                <w:sz w:val="20"/>
                <w:szCs w:val="20"/>
              </w:rPr>
            </w:pPr>
            <w:r>
              <w:rPr>
                <w:spacing w:val="5"/>
                <w:sz w:val="20"/>
                <w:szCs w:val="20"/>
              </w:rPr>
              <w:t>严格工业固体废弃物管理，实现固</w:t>
            </w:r>
            <w:r>
              <w:rPr>
                <w:spacing w:val="8"/>
                <w:sz w:val="20"/>
                <w:szCs w:val="20"/>
              </w:rPr>
              <w:t xml:space="preserve"> </w:t>
            </w:r>
            <w:r>
              <w:rPr>
                <w:spacing w:val="5"/>
                <w:sz w:val="20"/>
                <w:szCs w:val="20"/>
              </w:rPr>
              <w:t>体废弃物安全处置。调水水源区内</w:t>
            </w:r>
            <w:r>
              <w:rPr>
                <w:spacing w:val="7"/>
                <w:sz w:val="20"/>
                <w:szCs w:val="20"/>
              </w:rPr>
              <w:t xml:space="preserve"> </w:t>
            </w:r>
            <w:r>
              <w:rPr>
                <w:spacing w:val="5"/>
                <w:sz w:val="20"/>
                <w:szCs w:val="20"/>
              </w:rPr>
              <w:t>所有排放固体废弃物的企业，按国</w:t>
            </w:r>
            <w:r>
              <w:rPr>
                <w:spacing w:val="7"/>
                <w:sz w:val="20"/>
                <w:szCs w:val="20"/>
              </w:rPr>
              <w:t xml:space="preserve"> </w:t>
            </w:r>
            <w:r>
              <w:rPr>
                <w:spacing w:val="9"/>
                <w:sz w:val="20"/>
                <w:szCs w:val="20"/>
              </w:rPr>
              <w:t>家有关固体废弃物安全处置的要</w:t>
            </w:r>
            <w:r>
              <w:rPr>
                <w:spacing w:val="1"/>
                <w:sz w:val="20"/>
                <w:szCs w:val="20"/>
              </w:rPr>
              <w:t xml:space="preserve">  </w:t>
            </w:r>
            <w:r>
              <w:rPr>
                <w:spacing w:val="5"/>
                <w:sz w:val="20"/>
                <w:szCs w:val="20"/>
              </w:rPr>
              <w:t>求，对现有固体废弃物堆场进行安</w:t>
            </w:r>
            <w:r>
              <w:rPr>
                <w:spacing w:val="9"/>
                <w:sz w:val="20"/>
                <w:szCs w:val="20"/>
              </w:rPr>
              <w:t xml:space="preserve"> </w:t>
            </w:r>
            <w:r>
              <w:rPr>
                <w:spacing w:val="5"/>
                <w:sz w:val="20"/>
                <w:szCs w:val="20"/>
              </w:rPr>
              <w:t>全处置。</w:t>
            </w:r>
          </w:p>
        </w:tc>
        <w:tc>
          <w:tcPr>
            <w:tcW w:w="3025" w:type="dxa"/>
            <w:vAlign w:val="top"/>
          </w:tcPr>
          <w:p w14:paraId="40B48456">
            <w:pPr>
              <w:pStyle w:val="6"/>
              <w:spacing w:before="35" w:line="227" w:lineRule="auto"/>
              <w:ind w:left="117"/>
              <w:rPr>
                <w:sz w:val="20"/>
                <w:szCs w:val="20"/>
              </w:rPr>
            </w:pPr>
            <w:r>
              <w:rPr>
                <w:spacing w:val="8"/>
                <w:sz w:val="20"/>
                <w:szCs w:val="20"/>
              </w:rPr>
              <w:t>项目废电池板、废电气元件、</w:t>
            </w:r>
          </w:p>
          <w:p w14:paraId="4AB9D2D5">
            <w:pPr>
              <w:pStyle w:val="6"/>
              <w:spacing w:before="26" w:line="244" w:lineRule="auto"/>
              <w:ind w:left="121" w:right="185" w:hanging="8"/>
              <w:rPr>
                <w:sz w:val="20"/>
                <w:szCs w:val="20"/>
              </w:rPr>
            </w:pPr>
            <w:r>
              <w:rPr>
                <w:spacing w:val="9"/>
                <w:sz w:val="20"/>
                <w:szCs w:val="20"/>
              </w:rPr>
              <w:t>废逆变器暂存于一般固废暂存</w:t>
            </w:r>
            <w:r>
              <w:rPr>
                <w:spacing w:val="3"/>
                <w:sz w:val="20"/>
                <w:szCs w:val="20"/>
              </w:rPr>
              <w:t xml:space="preserve"> </w:t>
            </w:r>
            <w:r>
              <w:rPr>
                <w:spacing w:val="8"/>
                <w:sz w:val="20"/>
                <w:szCs w:val="20"/>
              </w:rPr>
              <w:t>间，及时委托专业的回收厂家 收购回收处理；废储能电池：</w:t>
            </w:r>
          </w:p>
          <w:p w14:paraId="39327FC7">
            <w:pPr>
              <w:pStyle w:val="6"/>
              <w:spacing w:before="24" w:line="239" w:lineRule="auto"/>
              <w:ind w:left="115" w:right="101"/>
              <w:rPr>
                <w:sz w:val="20"/>
                <w:szCs w:val="20"/>
              </w:rPr>
            </w:pPr>
            <w:r>
              <w:rPr>
                <w:spacing w:val="15"/>
                <w:sz w:val="20"/>
                <w:szCs w:val="20"/>
              </w:rPr>
              <w:t>直接由供应商进行回收，不在</w:t>
            </w:r>
            <w:r>
              <w:rPr>
                <w:spacing w:val="7"/>
                <w:sz w:val="20"/>
                <w:szCs w:val="20"/>
              </w:rPr>
              <w:t xml:space="preserve"> </w:t>
            </w:r>
            <w:r>
              <w:rPr>
                <w:spacing w:val="8"/>
                <w:sz w:val="20"/>
                <w:szCs w:val="20"/>
              </w:rPr>
              <w:t>厂区暂存；项目废铅蓄电池、</w:t>
            </w:r>
          </w:p>
          <w:p w14:paraId="3A2B8C6E">
            <w:pPr>
              <w:pStyle w:val="6"/>
              <w:spacing w:before="25" w:line="249" w:lineRule="auto"/>
              <w:ind w:left="113" w:right="46" w:firstLine="2"/>
              <w:rPr>
                <w:sz w:val="20"/>
                <w:szCs w:val="20"/>
              </w:rPr>
            </w:pPr>
            <w:r>
              <w:rPr>
                <w:spacing w:val="9"/>
                <w:sz w:val="20"/>
                <w:szCs w:val="20"/>
              </w:rPr>
              <w:t>单次维修产生的废变压器油和</w:t>
            </w:r>
            <w:r>
              <w:rPr>
                <w:sz w:val="20"/>
                <w:szCs w:val="20"/>
              </w:rPr>
              <w:t xml:space="preserve">  </w:t>
            </w:r>
            <w:r>
              <w:rPr>
                <w:spacing w:val="9"/>
                <w:sz w:val="20"/>
                <w:szCs w:val="20"/>
              </w:rPr>
              <w:t>事故废油均属危险废物，经集</w:t>
            </w:r>
            <w:r>
              <w:rPr>
                <w:spacing w:val="1"/>
                <w:sz w:val="20"/>
                <w:szCs w:val="20"/>
              </w:rPr>
              <w:t xml:space="preserve">  </w:t>
            </w:r>
            <w:r>
              <w:rPr>
                <w:spacing w:val="4"/>
                <w:sz w:val="20"/>
                <w:szCs w:val="20"/>
              </w:rPr>
              <w:t>中收集后，暂存于危废贮存库，</w:t>
            </w:r>
            <w:r>
              <w:rPr>
                <w:spacing w:val="3"/>
                <w:sz w:val="20"/>
                <w:szCs w:val="20"/>
              </w:rPr>
              <w:t xml:space="preserve"> </w:t>
            </w:r>
            <w:r>
              <w:rPr>
                <w:spacing w:val="9"/>
                <w:sz w:val="20"/>
                <w:szCs w:val="20"/>
              </w:rPr>
              <w:t>并委托有资质单位处置；变压</w:t>
            </w:r>
            <w:r>
              <w:rPr>
                <w:spacing w:val="1"/>
                <w:sz w:val="20"/>
                <w:szCs w:val="20"/>
              </w:rPr>
              <w:t xml:space="preserve">  </w:t>
            </w:r>
            <w:r>
              <w:rPr>
                <w:spacing w:val="9"/>
                <w:sz w:val="20"/>
                <w:szCs w:val="20"/>
              </w:rPr>
              <w:t>器油不合格需全部更换时产生</w:t>
            </w:r>
            <w:r>
              <w:rPr>
                <w:spacing w:val="1"/>
                <w:sz w:val="20"/>
                <w:szCs w:val="20"/>
              </w:rPr>
              <w:t xml:space="preserve">  </w:t>
            </w:r>
            <w:r>
              <w:rPr>
                <w:spacing w:val="9"/>
                <w:sz w:val="20"/>
                <w:szCs w:val="20"/>
              </w:rPr>
              <w:t>的废变压器油，委托有资质单</w:t>
            </w:r>
            <w:r>
              <w:rPr>
                <w:spacing w:val="1"/>
                <w:sz w:val="20"/>
                <w:szCs w:val="20"/>
              </w:rPr>
              <w:t xml:space="preserve">  </w:t>
            </w:r>
            <w:r>
              <w:rPr>
                <w:spacing w:val="9"/>
                <w:sz w:val="20"/>
                <w:szCs w:val="20"/>
              </w:rPr>
              <w:t>位在更换后即时转移处置，不</w:t>
            </w:r>
            <w:r>
              <w:rPr>
                <w:spacing w:val="1"/>
                <w:sz w:val="20"/>
                <w:szCs w:val="20"/>
              </w:rPr>
              <w:t xml:space="preserve">  </w:t>
            </w:r>
            <w:r>
              <w:rPr>
                <w:spacing w:val="9"/>
                <w:sz w:val="20"/>
                <w:szCs w:val="20"/>
              </w:rPr>
              <w:t>在厂区贮存；化粪池及污水处</w:t>
            </w:r>
            <w:r>
              <w:rPr>
                <w:spacing w:val="1"/>
                <w:sz w:val="20"/>
                <w:szCs w:val="20"/>
              </w:rPr>
              <w:t xml:space="preserve">  </w:t>
            </w:r>
            <w:r>
              <w:rPr>
                <w:spacing w:val="9"/>
                <w:sz w:val="20"/>
                <w:szCs w:val="20"/>
              </w:rPr>
              <w:t>理站污泥自行清掏后用于电站</w:t>
            </w:r>
            <w:r>
              <w:rPr>
                <w:spacing w:val="1"/>
                <w:sz w:val="20"/>
                <w:szCs w:val="20"/>
              </w:rPr>
              <w:t xml:space="preserve">  </w:t>
            </w:r>
            <w:r>
              <w:rPr>
                <w:spacing w:val="8"/>
                <w:sz w:val="20"/>
                <w:szCs w:val="20"/>
              </w:rPr>
              <w:t>周围植物施肥；隔油池废油、</w:t>
            </w:r>
          </w:p>
          <w:p w14:paraId="584ED954">
            <w:pPr>
              <w:pStyle w:val="6"/>
              <w:spacing w:before="26" w:line="244" w:lineRule="auto"/>
              <w:ind w:left="113" w:right="30" w:firstLine="2"/>
              <w:rPr>
                <w:sz w:val="20"/>
                <w:szCs w:val="20"/>
              </w:rPr>
            </w:pPr>
            <w:r>
              <w:rPr>
                <w:spacing w:val="9"/>
                <w:sz w:val="20"/>
                <w:szCs w:val="20"/>
              </w:rPr>
              <w:t>餐厨废物委托有资质的单位清</w:t>
            </w:r>
            <w:r>
              <w:rPr>
                <w:sz w:val="20"/>
                <w:szCs w:val="20"/>
              </w:rPr>
              <w:t xml:space="preserve">  </w:t>
            </w:r>
            <w:r>
              <w:rPr>
                <w:spacing w:val="9"/>
                <w:sz w:val="20"/>
                <w:szCs w:val="20"/>
              </w:rPr>
              <w:t>运处置；生活垃圾能回收利用</w:t>
            </w:r>
            <w:r>
              <w:rPr>
                <w:spacing w:val="1"/>
                <w:sz w:val="20"/>
                <w:szCs w:val="20"/>
              </w:rPr>
              <w:t xml:space="preserve">  </w:t>
            </w:r>
            <w:r>
              <w:rPr>
                <w:spacing w:val="9"/>
                <w:sz w:val="20"/>
                <w:szCs w:val="20"/>
              </w:rPr>
              <w:t>的进行回收利用，不能回收利</w:t>
            </w:r>
            <w:r>
              <w:rPr>
                <w:spacing w:val="1"/>
                <w:sz w:val="20"/>
                <w:szCs w:val="20"/>
              </w:rPr>
              <w:t xml:space="preserve">  </w:t>
            </w:r>
            <w:r>
              <w:rPr>
                <w:spacing w:val="9"/>
                <w:sz w:val="20"/>
                <w:szCs w:val="20"/>
              </w:rPr>
              <w:t>用的定期清运至城镇垃圾收集</w:t>
            </w:r>
            <w:r>
              <w:rPr>
                <w:spacing w:val="1"/>
                <w:sz w:val="20"/>
                <w:szCs w:val="20"/>
              </w:rPr>
              <w:t xml:space="preserve">  </w:t>
            </w:r>
            <w:r>
              <w:rPr>
                <w:spacing w:val="9"/>
                <w:sz w:val="20"/>
                <w:szCs w:val="20"/>
              </w:rPr>
              <w:t>点。综上，项目所产生的固体</w:t>
            </w:r>
            <w:r>
              <w:rPr>
                <w:spacing w:val="1"/>
                <w:sz w:val="20"/>
                <w:szCs w:val="20"/>
              </w:rPr>
              <w:t xml:space="preserve">  </w:t>
            </w:r>
            <w:r>
              <w:rPr>
                <w:spacing w:val="5"/>
                <w:sz w:val="20"/>
                <w:szCs w:val="20"/>
              </w:rPr>
              <w:t>废物均得到妥善处置，无排放。</w:t>
            </w:r>
          </w:p>
        </w:tc>
        <w:tc>
          <w:tcPr>
            <w:tcW w:w="864" w:type="dxa"/>
            <w:tcBorders>
              <w:right w:val="single" w:color="000000" w:sz="6" w:space="0"/>
            </w:tcBorders>
            <w:vAlign w:val="top"/>
          </w:tcPr>
          <w:p w14:paraId="1E38C8B6">
            <w:pPr>
              <w:spacing w:line="255" w:lineRule="auto"/>
              <w:rPr>
                <w:rFonts w:ascii="Arial"/>
                <w:sz w:val="21"/>
              </w:rPr>
            </w:pPr>
          </w:p>
          <w:p w14:paraId="0DB7FF4F">
            <w:pPr>
              <w:spacing w:line="255" w:lineRule="auto"/>
              <w:rPr>
                <w:rFonts w:ascii="Arial"/>
                <w:sz w:val="21"/>
              </w:rPr>
            </w:pPr>
          </w:p>
          <w:p w14:paraId="5126A063">
            <w:pPr>
              <w:spacing w:line="255" w:lineRule="auto"/>
              <w:rPr>
                <w:rFonts w:ascii="Arial"/>
                <w:sz w:val="21"/>
              </w:rPr>
            </w:pPr>
          </w:p>
          <w:p w14:paraId="06D11400">
            <w:pPr>
              <w:spacing w:line="256" w:lineRule="auto"/>
              <w:rPr>
                <w:rFonts w:ascii="Arial"/>
                <w:sz w:val="21"/>
              </w:rPr>
            </w:pPr>
          </w:p>
          <w:p w14:paraId="5BF4C203">
            <w:pPr>
              <w:spacing w:line="256" w:lineRule="auto"/>
              <w:rPr>
                <w:rFonts w:ascii="Arial"/>
                <w:sz w:val="21"/>
              </w:rPr>
            </w:pPr>
          </w:p>
          <w:p w14:paraId="53A0654B">
            <w:pPr>
              <w:spacing w:line="256" w:lineRule="auto"/>
              <w:rPr>
                <w:rFonts w:ascii="Arial"/>
                <w:sz w:val="21"/>
              </w:rPr>
            </w:pPr>
          </w:p>
          <w:p w14:paraId="7ED177D4">
            <w:pPr>
              <w:spacing w:line="256" w:lineRule="auto"/>
              <w:rPr>
                <w:rFonts w:ascii="Arial"/>
                <w:sz w:val="21"/>
              </w:rPr>
            </w:pPr>
          </w:p>
          <w:p w14:paraId="29B0B36D">
            <w:pPr>
              <w:spacing w:line="256" w:lineRule="auto"/>
              <w:rPr>
                <w:rFonts w:ascii="Arial"/>
                <w:sz w:val="21"/>
              </w:rPr>
            </w:pPr>
          </w:p>
          <w:p w14:paraId="7812506E">
            <w:pPr>
              <w:spacing w:line="256" w:lineRule="auto"/>
              <w:rPr>
                <w:rFonts w:ascii="Arial"/>
                <w:sz w:val="21"/>
              </w:rPr>
            </w:pPr>
          </w:p>
          <w:p w14:paraId="2248CAE2">
            <w:pPr>
              <w:spacing w:line="256" w:lineRule="auto"/>
              <w:rPr>
                <w:rFonts w:ascii="Arial"/>
                <w:sz w:val="21"/>
              </w:rPr>
            </w:pPr>
          </w:p>
          <w:p w14:paraId="62AC3B84">
            <w:pPr>
              <w:spacing w:line="256" w:lineRule="auto"/>
              <w:rPr>
                <w:rFonts w:ascii="Arial"/>
                <w:sz w:val="21"/>
              </w:rPr>
            </w:pPr>
          </w:p>
          <w:p w14:paraId="39DE5ADE">
            <w:pPr>
              <w:pStyle w:val="6"/>
              <w:spacing w:before="65" w:line="228" w:lineRule="auto"/>
              <w:ind w:left="170"/>
              <w:rPr>
                <w:sz w:val="20"/>
                <w:szCs w:val="20"/>
              </w:rPr>
            </w:pPr>
            <w:r>
              <w:rPr>
                <w:spacing w:val="4"/>
                <w:sz w:val="20"/>
                <w:szCs w:val="20"/>
              </w:rPr>
              <w:t>相符</w:t>
            </w:r>
          </w:p>
        </w:tc>
      </w:tr>
      <w:tr w14:paraId="1A5AF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127" w:type="dxa"/>
            <w:vMerge w:val="continue"/>
            <w:tcBorders>
              <w:top w:val="nil"/>
              <w:left w:val="single" w:color="000000" w:sz="6" w:space="0"/>
              <w:bottom w:val="nil"/>
            </w:tcBorders>
            <w:vAlign w:val="top"/>
          </w:tcPr>
          <w:p w14:paraId="38143DEB">
            <w:pPr>
              <w:rPr>
                <w:rFonts w:ascii="Arial"/>
                <w:sz w:val="21"/>
              </w:rPr>
            </w:pPr>
          </w:p>
        </w:tc>
        <w:tc>
          <w:tcPr>
            <w:tcW w:w="756" w:type="dxa"/>
            <w:vAlign w:val="top"/>
          </w:tcPr>
          <w:p w14:paraId="3FA2BE4C">
            <w:pPr>
              <w:spacing w:line="349" w:lineRule="auto"/>
              <w:rPr>
                <w:rFonts w:ascii="Arial"/>
                <w:sz w:val="21"/>
              </w:rPr>
            </w:pPr>
          </w:p>
          <w:p w14:paraId="376EC3BB">
            <w:pPr>
              <w:spacing w:line="350" w:lineRule="auto"/>
              <w:rPr>
                <w:rFonts w:ascii="Arial"/>
                <w:sz w:val="21"/>
              </w:rPr>
            </w:pPr>
          </w:p>
          <w:p w14:paraId="4DEE7D98">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304" w:type="dxa"/>
            <w:vAlign w:val="top"/>
          </w:tcPr>
          <w:p w14:paraId="33CF8981">
            <w:pPr>
              <w:pStyle w:val="6"/>
              <w:spacing w:before="40" w:line="244" w:lineRule="auto"/>
              <w:ind w:left="111" w:right="104"/>
              <w:rPr>
                <w:sz w:val="20"/>
                <w:szCs w:val="20"/>
              </w:rPr>
            </w:pPr>
            <w:r>
              <w:rPr>
                <w:spacing w:val="3"/>
                <w:sz w:val="20"/>
                <w:szCs w:val="20"/>
              </w:rPr>
              <w:t>企业实现“雨污分流</w:t>
            </w:r>
            <w:r>
              <w:rPr>
                <w:spacing w:val="-67"/>
                <w:sz w:val="20"/>
                <w:szCs w:val="20"/>
              </w:rPr>
              <w:t xml:space="preserve"> </w:t>
            </w:r>
            <w:r>
              <w:rPr>
                <w:spacing w:val="3"/>
                <w:sz w:val="20"/>
                <w:szCs w:val="20"/>
              </w:rPr>
              <w:t>”，污水处理</w:t>
            </w:r>
            <w:r>
              <w:rPr>
                <w:sz w:val="20"/>
                <w:szCs w:val="20"/>
              </w:rPr>
              <w:t xml:space="preserve"> </w:t>
            </w:r>
            <w:r>
              <w:rPr>
                <w:spacing w:val="9"/>
                <w:sz w:val="20"/>
                <w:szCs w:val="20"/>
              </w:rPr>
              <w:t>厂出水水质达到园区污水处理厂</w:t>
            </w:r>
            <w:r>
              <w:rPr>
                <w:sz w:val="20"/>
                <w:szCs w:val="20"/>
              </w:rPr>
              <w:t xml:space="preserve">  </w:t>
            </w:r>
            <w:r>
              <w:rPr>
                <w:spacing w:val="5"/>
                <w:sz w:val="20"/>
                <w:szCs w:val="20"/>
              </w:rPr>
              <w:t>的进水水质要求，园区污水处理厂</w:t>
            </w:r>
            <w:r>
              <w:rPr>
                <w:spacing w:val="7"/>
                <w:sz w:val="20"/>
                <w:szCs w:val="20"/>
              </w:rPr>
              <w:t xml:space="preserve"> </w:t>
            </w:r>
            <w:r>
              <w:rPr>
                <w:spacing w:val="9"/>
                <w:sz w:val="20"/>
                <w:szCs w:val="20"/>
              </w:rPr>
              <w:t>的出水水质必须达到再生水处理</w:t>
            </w:r>
            <w:r>
              <w:rPr>
                <w:sz w:val="20"/>
                <w:szCs w:val="20"/>
              </w:rPr>
              <w:t xml:space="preserve">  </w:t>
            </w:r>
            <w:r>
              <w:rPr>
                <w:spacing w:val="5"/>
                <w:sz w:val="20"/>
                <w:szCs w:val="20"/>
              </w:rPr>
              <w:t>系统的进水水质，再生水处理系统</w:t>
            </w:r>
            <w:r>
              <w:rPr>
                <w:spacing w:val="7"/>
                <w:sz w:val="20"/>
                <w:szCs w:val="20"/>
              </w:rPr>
              <w:t xml:space="preserve"> </w:t>
            </w:r>
            <w:r>
              <w:rPr>
                <w:spacing w:val="8"/>
                <w:sz w:val="20"/>
                <w:szCs w:val="20"/>
              </w:rPr>
              <w:t>出水水质必须达到回用水水质。</w:t>
            </w:r>
          </w:p>
        </w:tc>
        <w:tc>
          <w:tcPr>
            <w:tcW w:w="3025" w:type="dxa"/>
            <w:vAlign w:val="top"/>
          </w:tcPr>
          <w:p w14:paraId="385D4193">
            <w:pPr>
              <w:pStyle w:val="6"/>
              <w:spacing w:before="40" w:line="244" w:lineRule="auto"/>
              <w:ind w:left="114" w:right="98" w:firstLine="3"/>
              <w:jc w:val="both"/>
              <w:rPr>
                <w:sz w:val="20"/>
                <w:szCs w:val="20"/>
              </w:rPr>
            </w:pPr>
            <w:r>
              <w:rPr>
                <w:spacing w:val="15"/>
                <w:sz w:val="20"/>
                <w:szCs w:val="20"/>
              </w:rPr>
              <w:t>项目升压站和储能站采取雨污</w:t>
            </w:r>
            <w:r>
              <w:rPr>
                <w:spacing w:val="5"/>
                <w:sz w:val="20"/>
                <w:szCs w:val="20"/>
              </w:rPr>
              <w:t xml:space="preserve"> </w:t>
            </w:r>
            <w:r>
              <w:rPr>
                <w:spacing w:val="15"/>
                <w:sz w:val="20"/>
                <w:szCs w:val="20"/>
              </w:rPr>
              <w:t>分流。生活污水经一体化污水</w:t>
            </w:r>
            <w:r>
              <w:rPr>
                <w:spacing w:val="11"/>
                <w:sz w:val="20"/>
                <w:szCs w:val="20"/>
              </w:rPr>
              <w:t xml:space="preserve"> </w:t>
            </w:r>
            <w:r>
              <w:rPr>
                <w:spacing w:val="15"/>
                <w:sz w:val="20"/>
                <w:szCs w:val="20"/>
              </w:rPr>
              <w:t>处理设施处理后全部作为厂区</w:t>
            </w:r>
            <w:r>
              <w:rPr>
                <w:spacing w:val="8"/>
                <w:sz w:val="20"/>
                <w:szCs w:val="20"/>
              </w:rPr>
              <w:t xml:space="preserve"> </w:t>
            </w:r>
            <w:r>
              <w:rPr>
                <w:spacing w:val="15"/>
                <w:sz w:val="20"/>
                <w:szCs w:val="20"/>
              </w:rPr>
              <w:t>绿化浇灌，不外排。清洁废水</w:t>
            </w:r>
            <w:r>
              <w:rPr>
                <w:spacing w:val="8"/>
                <w:sz w:val="20"/>
                <w:szCs w:val="20"/>
              </w:rPr>
              <w:t xml:space="preserve"> </w:t>
            </w:r>
            <w:r>
              <w:rPr>
                <w:spacing w:val="15"/>
                <w:sz w:val="20"/>
                <w:szCs w:val="20"/>
              </w:rPr>
              <w:t>直接作为植物的生长用水不外</w:t>
            </w:r>
            <w:r>
              <w:rPr>
                <w:spacing w:val="8"/>
                <w:sz w:val="20"/>
                <w:szCs w:val="20"/>
              </w:rPr>
              <w:t xml:space="preserve"> </w:t>
            </w:r>
            <w:r>
              <w:rPr>
                <w:sz w:val="20"/>
                <w:szCs w:val="20"/>
              </w:rPr>
              <w:t>排。</w:t>
            </w:r>
          </w:p>
        </w:tc>
        <w:tc>
          <w:tcPr>
            <w:tcW w:w="864" w:type="dxa"/>
            <w:tcBorders>
              <w:right w:val="single" w:color="000000" w:sz="6" w:space="0"/>
            </w:tcBorders>
            <w:vAlign w:val="top"/>
          </w:tcPr>
          <w:p w14:paraId="78D77164">
            <w:pPr>
              <w:spacing w:line="328" w:lineRule="auto"/>
              <w:rPr>
                <w:rFonts w:ascii="Arial"/>
                <w:sz w:val="21"/>
              </w:rPr>
            </w:pPr>
          </w:p>
          <w:p w14:paraId="01C8FD03">
            <w:pPr>
              <w:spacing w:line="328" w:lineRule="auto"/>
              <w:rPr>
                <w:rFonts w:ascii="Arial"/>
                <w:sz w:val="21"/>
              </w:rPr>
            </w:pPr>
          </w:p>
          <w:p w14:paraId="21159277">
            <w:pPr>
              <w:pStyle w:val="6"/>
              <w:spacing w:before="65" w:line="228" w:lineRule="auto"/>
              <w:ind w:left="170"/>
              <w:rPr>
                <w:sz w:val="20"/>
                <w:szCs w:val="20"/>
              </w:rPr>
            </w:pPr>
            <w:r>
              <w:rPr>
                <w:spacing w:val="4"/>
                <w:sz w:val="20"/>
                <w:szCs w:val="20"/>
              </w:rPr>
              <w:t>相符</w:t>
            </w:r>
          </w:p>
        </w:tc>
      </w:tr>
      <w:tr w14:paraId="42F89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1127" w:type="dxa"/>
            <w:vMerge w:val="continue"/>
            <w:tcBorders>
              <w:top w:val="nil"/>
              <w:left w:val="single" w:color="000000" w:sz="6" w:space="0"/>
              <w:bottom w:val="single" w:color="000000" w:sz="6" w:space="0"/>
            </w:tcBorders>
            <w:vAlign w:val="top"/>
          </w:tcPr>
          <w:p w14:paraId="617D5174">
            <w:pPr>
              <w:rPr>
                <w:rFonts w:ascii="Arial"/>
                <w:sz w:val="21"/>
              </w:rPr>
            </w:pPr>
          </w:p>
        </w:tc>
        <w:tc>
          <w:tcPr>
            <w:tcW w:w="756" w:type="dxa"/>
            <w:tcBorders>
              <w:bottom w:val="single" w:color="000000" w:sz="6" w:space="0"/>
            </w:tcBorders>
            <w:vAlign w:val="top"/>
          </w:tcPr>
          <w:p w14:paraId="6B2AACDE">
            <w:pPr>
              <w:spacing w:line="298" w:lineRule="auto"/>
              <w:rPr>
                <w:rFonts w:ascii="Arial"/>
                <w:sz w:val="21"/>
              </w:rPr>
            </w:pPr>
          </w:p>
          <w:p w14:paraId="4A9D36EB">
            <w:pPr>
              <w:spacing w:before="58" w:line="192"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304" w:type="dxa"/>
            <w:tcBorders>
              <w:bottom w:val="single" w:color="000000" w:sz="6" w:space="0"/>
            </w:tcBorders>
            <w:vAlign w:val="top"/>
          </w:tcPr>
          <w:p w14:paraId="5BD2360B">
            <w:pPr>
              <w:pStyle w:val="6"/>
              <w:spacing w:before="44" w:line="244" w:lineRule="auto"/>
              <w:ind w:left="109" w:right="104" w:hanging="1"/>
              <w:jc w:val="both"/>
              <w:rPr>
                <w:sz w:val="20"/>
                <w:szCs w:val="20"/>
              </w:rPr>
            </w:pPr>
            <w:r>
              <w:rPr>
                <w:spacing w:val="5"/>
                <w:sz w:val="20"/>
                <w:szCs w:val="20"/>
              </w:rPr>
              <w:t>加强企业执法监督力度，增加对产</w:t>
            </w:r>
            <w:r>
              <w:rPr>
                <w:spacing w:val="7"/>
                <w:sz w:val="20"/>
                <w:szCs w:val="20"/>
              </w:rPr>
              <w:t xml:space="preserve"> </w:t>
            </w:r>
            <w:r>
              <w:rPr>
                <w:spacing w:val="5"/>
                <w:sz w:val="20"/>
                <w:szCs w:val="20"/>
              </w:rPr>
              <w:t>污企业的执法监督频次，对污水处 理设施运行、应急处理设施等重点</w:t>
            </w:r>
          </w:p>
        </w:tc>
        <w:tc>
          <w:tcPr>
            <w:tcW w:w="3025" w:type="dxa"/>
            <w:tcBorders>
              <w:bottom w:val="single" w:color="000000" w:sz="6" w:space="0"/>
            </w:tcBorders>
            <w:vAlign w:val="top"/>
          </w:tcPr>
          <w:p w14:paraId="7A87F015">
            <w:pPr>
              <w:pStyle w:val="6"/>
              <w:spacing w:before="44" w:line="244" w:lineRule="auto"/>
              <w:ind w:left="113" w:right="100" w:firstLine="4"/>
              <w:jc w:val="both"/>
              <w:rPr>
                <w:sz w:val="20"/>
                <w:szCs w:val="20"/>
              </w:rPr>
            </w:pPr>
            <w:r>
              <w:rPr>
                <w:spacing w:val="15"/>
                <w:sz w:val="20"/>
                <w:szCs w:val="20"/>
              </w:rPr>
              <w:t>企业定期开展自行监测，确保</w:t>
            </w:r>
            <w:r>
              <w:rPr>
                <w:spacing w:val="5"/>
                <w:sz w:val="20"/>
                <w:szCs w:val="20"/>
              </w:rPr>
              <w:t xml:space="preserve"> </w:t>
            </w:r>
            <w:r>
              <w:rPr>
                <w:spacing w:val="15"/>
                <w:sz w:val="20"/>
                <w:szCs w:val="20"/>
              </w:rPr>
              <w:t>水质达标。项目所产生的固体</w:t>
            </w:r>
            <w:r>
              <w:rPr>
                <w:spacing w:val="9"/>
                <w:sz w:val="20"/>
                <w:szCs w:val="20"/>
              </w:rPr>
              <w:t xml:space="preserve"> </w:t>
            </w:r>
            <w:r>
              <w:rPr>
                <w:spacing w:val="15"/>
                <w:sz w:val="20"/>
                <w:szCs w:val="20"/>
              </w:rPr>
              <w:t>废物均得到妥善处置，处置率</w:t>
            </w:r>
          </w:p>
        </w:tc>
        <w:tc>
          <w:tcPr>
            <w:tcW w:w="864" w:type="dxa"/>
            <w:tcBorders>
              <w:bottom w:val="single" w:color="000000" w:sz="6" w:space="0"/>
              <w:right w:val="single" w:color="000000" w:sz="6" w:space="0"/>
            </w:tcBorders>
            <w:vAlign w:val="top"/>
          </w:tcPr>
          <w:p w14:paraId="760666D5">
            <w:pPr>
              <w:spacing w:line="252" w:lineRule="auto"/>
              <w:rPr>
                <w:rFonts w:ascii="Arial"/>
                <w:sz w:val="21"/>
              </w:rPr>
            </w:pPr>
          </w:p>
          <w:p w14:paraId="1D55C4DC">
            <w:pPr>
              <w:pStyle w:val="6"/>
              <w:spacing w:before="65" w:line="228" w:lineRule="auto"/>
              <w:ind w:left="170"/>
              <w:rPr>
                <w:sz w:val="20"/>
                <w:szCs w:val="20"/>
              </w:rPr>
            </w:pPr>
            <w:r>
              <w:rPr>
                <w:spacing w:val="4"/>
                <w:sz w:val="20"/>
                <w:szCs w:val="20"/>
              </w:rPr>
              <w:t>相符</w:t>
            </w:r>
          </w:p>
        </w:tc>
      </w:tr>
    </w:tbl>
    <w:p w14:paraId="4A1E70AA">
      <w:pPr>
        <w:rPr>
          <w:rFonts w:ascii="Arial"/>
          <w:sz w:val="21"/>
        </w:rPr>
      </w:pPr>
    </w:p>
    <w:p w14:paraId="475C60BF">
      <w:pPr>
        <w:rPr>
          <w:rFonts w:ascii="Arial" w:hAnsi="Arial" w:eastAsia="Arial" w:cs="Arial"/>
          <w:sz w:val="21"/>
          <w:szCs w:val="21"/>
        </w:rPr>
        <w:sectPr>
          <w:footerReference r:id="rId30" w:type="default"/>
          <w:pgSz w:w="11906" w:h="16839"/>
          <w:pgMar w:top="1431" w:right="1407" w:bottom="1278" w:left="1407" w:header="0" w:footer="1116" w:gutter="0"/>
          <w:cols w:space="720" w:num="1"/>
        </w:sectPr>
      </w:pPr>
    </w:p>
    <w:p w14:paraId="4D7123B7">
      <w:pPr>
        <w:spacing w:line="99" w:lineRule="exact"/>
      </w:pPr>
    </w:p>
    <w:tbl>
      <w:tblPr>
        <w:tblStyle w:val="5"/>
        <w:tblW w:w="9141"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141"/>
      </w:tblGrid>
      <w:tr w14:paraId="18D263E7">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64" w:hRule="atLeast"/>
        </w:trPr>
        <w:tc>
          <w:tcPr>
            <w:tcW w:w="9141" w:type="dxa"/>
            <w:vAlign w:val="top"/>
          </w:tcPr>
          <w:p w14:paraId="2C0BE3D7">
            <w:pPr>
              <w:spacing w:line="96" w:lineRule="auto"/>
              <w:rPr>
                <w:rFonts w:ascii="Arial"/>
                <w:sz w:val="2"/>
              </w:rPr>
            </w:pPr>
            <w:r>
              <w:pict>
                <v:shape id="_x0000_s1043" o:spid="_x0000_s1043" o:spt="202" type="#_x0000_t202" style="position:absolute;left:0pt;margin-left:444.35pt;margin-top:132.55pt;height:8.35pt;width:14.2pt;mso-position-horizontal-relative:page;mso-position-vertical-relative:page;z-index:251678720;mso-width-relative:page;mso-height-relative:page;" filled="f" stroked="f" coordsize="21600,21600">
                  <v:path/>
                  <v:fill on="f" focussize="0,0"/>
                  <v:stroke on="f"/>
                  <v:imagedata o:title=""/>
                  <o:lock v:ext="edit" aspectratio="f"/>
                  <v:textbox inset="0mm,0mm,0mm,0mm">
                    <w:txbxContent>
                      <w:p w14:paraId="17F15D70">
                        <w:pPr>
                          <w:pStyle w:val="6"/>
                          <w:spacing w:before="20" w:line="126" w:lineRule="exact"/>
                          <w:ind w:left="20"/>
                          <w:rPr>
                            <w:sz w:val="7"/>
                            <w:szCs w:val="7"/>
                          </w:rPr>
                        </w:pPr>
                        <w:r>
                          <w:rPr>
                            <w:spacing w:val="120"/>
                            <w:w w:val="175"/>
                            <w:sz w:val="7"/>
                            <w:szCs w:val="7"/>
                          </w:rPr>
                          <w:t>”</w:t>
                        </w:r>
                      </w:p>
                    </w:txbxContent>
                  </v:textbox>
                </v:shape>
              </w:pict>
            </w:r>
          </w:p>
          <w:tbl>
            <w:tblPr>
              <w:tblStyle w:val="5"/>
              <w:tblW w:w="7956"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4"/>
              <w:gridCol w:w="3308"/>
              <w:gridCol w:w="3028"/>
              <w:gridCol w:w="746"/>
            </w:tblGrid>
            <w:tr w14:paraId="633AB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4" w:hRule="atLeast"/>
              </w:trPr>
              <w:tc>
                <w:tcPr>
                  <w:tcW w:w="874" w:type="dxa"/>
                  <w:tcBorders>
                    <w:top w:val="nil"/>
                  </w:tcBorders>
                  <w:vAlign w:val="top"/>
                </w:tcPr>
                <w:p w14:paraId="42AAABD8">
                  <w:pPr>
                    <w:rPr>
                      <w:rFonts w:ascii="Arial"/>
                      <w:sz w:val="21"/>
                    </w:rPr>
                  </w:pPr>
                </w:p>
              </w:tc>
              <w:tc>
                <w:tcPr>
                  <w:tcW w:w="3308" w:type="dxa"/>
                  <w:tcBorders>
                    <w:top w:val="nil"/>
                  </w:tcBorders>
                  <w:vAlign w:val="top"/>
                </w:tcPr>
                <w:p w14:paraId="65EAD8C1">
                  <w:pPr>
                    <w:pStyle w:val="6"/>
                    <w:spacing w:before="45" w:line="246" w:lineRule="auto"/>
                    <w:ind w:left="110" w:right="105"/>
                    <w:rPr>
                      <w:sz w:val="20"/>
                      <w:szCs w:val="20"/>
                    </w:rPr>
                  </w:pPr>
                  <w:r>
                    <w:rPr>
                      <w:spacing w:val="5"/>
                      <w:sz w:val="20"/>
                      <w:szCs w:val="20"/>
                    </w:rPr>
                    <w:t>环节要严把监督关，杜绝偷排漏排</w:t>
                  </w:r>
                  <w:r>
                    <w:rPr>
                      <w:spacing w:val="7"/>
                      <w:sz w:val="20"/>
                      <w:szCs w:val="20"/>
                    </w:rPr>
                    <w:t xml:space="preserve"> </w:t>
                  </w:r>
                  <w:r>
                    <w:rPr>
                      <w:spacing w:val="9"/>
                      <w:sz w:val="20"/>
                      <w:szCs w:val="20"/>
                    </w:rPr>
                    <w:t>现象。对有偷排漏排等行为的企</w:t>
                  </w:r>
                  <w:r>
                    <w:rPr>
                      <w:spacing w:val="1"/>
                      <w:sz w:val="20"/>
                      <w:szCs w:val="20"/>
                    </w:rPr>
                    <w:t xml:space="preserve">  </w:t>
                  </w:r>
                  <w:r>
                    <w:rPr>
                      <w:spacing w:val="5"/>
                      <w:sz w:val="20"/>
                      <w:szCs w:val="20"/>
                    </w:rPr>
                    <w:t>业，加大处罚力度，直至停产、关</w:t>
                  </w:r>
                  <w:r>
                    <w:rPr>
                      <w:spacing w:val="10"/>
                      <w:sz w:val="20"/>
                      <w:szCs w:val="20"/>
                    </w:rPr>
                    <w:t xml:space="preserve"> </w:t>
                  </w:r>
                  <w:r>
                    <w:rPr>
                      <w:spacing w:val="5"/>
                      <w:sz w:val="20"/>
                      <w:szCs w:val="20"/>
                    </w:rPr>
                    <w:t>闭。对造成环境危害的单位要依法</w:t>
                  </w:r>
                  <w:r>
                    <w:rPr>
                      <w:spacing w:val="10"/>
                      <w:sz w:val="20"/>
                      <w:szCs w:val="20"/>
                    </w:rPr>
                    <w:t xml:space="preserve"> </w:t>
                  </w:r>
                  <w:r>
                    <w:rPr>
                      <w:spacing w:val="9"/>
                      <w:sz w:val="20"/>
                      <w:szCs w:val="20"/>
                    </w:rPr>
                    <w:t>追究责任，依法进行环境损害赔</w:t>
                  </w:r>
                  <w:r>
                    <w:rPr>
                      <w:spacing w:val="1"/>
                      <w:sz w:val="20"/>
                      <w:szCs w:val="20"/>
                    </w:rPr>
                    <w:t xml:space="preserve">  </w:t>
                  </w:r>
                  <w:r>
                    <w:rPr>
                      <w:sz w:val="20"/>
                      <w:szCs w:val="20"/>
                    </w:rPr>
                    <w:t>偿。</w:t>
                  </w:r>
                </w:p>
              </w:tc>
              <w:tc>
                <w:tcPr>
                  <w:tcW w:w="3028" w:type="dxa"/>
                  <w:tcBorders>
                    <w:top w:val="nil"/>
                  </w:tcBorders>
                  <w:vAlign w:val="top"/>
                </w:tcPr>
                <w:p w14:paraId="0C0F51A6">
                  <w:pPr>
                    <w:pStyle w:val="6"/>
                    <w:spacing w:before="83" w:line="186" w:lineRule="auto"/>
                    <w:ind w:left="129"/>
                    <w:rPr>
                      <w:sz w:val="20"/>
                      <w:szCs w:val="20"/>
                    </w:rPr>
                  </w:pPr>
                  <w:r>
                    <w:rPr>
                      <w:rFonts w:ascii="Times New Roman" w:hAnsi="Times New Roman" w:eastAsia="Times New Roman" w:cs="Times New Roman"/>
                      <w:spacing w:val="-1"/>
                      <w:sz w:val="20"/>
                      <w:szCs w:val="20"/>
                    </w:rPr>
                    <w:t>100%</w:t>
                  </w:r>
                  <w:r>
                    <w:rPr>
                      <w:spacing w:val="-1"/>
                      <w:sz w:val="20"/>
                      <w:szCs w:val="20"/>
                    </w:rPr>
                    <w:t>。</w:t>
                  </w:r>
                </w:p>
              </w:tc>
              <w:tc>
                <w:tcPr>
                  <w:tcW w:w="746" w:type="dxa"/>
                  <w:tcBorders>
                    <w:top w:val="nil"/>
                  </w:tcBorders>
                  <w:vAlign w:val="top"/>
                </w:tcPr>
                <w:p w14:paraId="6C719093">
                  <w:pPr>
                    <w:rPr>
                      <w:rFonts w:ascii="Arial"/>
                      <w:sz w:val="21"/>
                    </w:rPr>
                  </w:pPr>
                </w:p>
              </w:tc>
            </w:tr>
            <w:tr w14:paraId="45917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0" w:hRule="atLeast"/>
              </w:trPr>
              <w:tc>
                <w:tcPr>
                  <w:tcW w:w="7956" w:type="dxa"/>
                  <w:gridSpan w:val="4"/>
                  <w:tcBorders>
                    <w:bottom w:val="nil"/>
                    <w:right w:val="nil"/>
                  </w:tcBorders>
                  <w:vAlign w:val="top"/>
                </w:tcPr>
                <w:p w14:paraId="3CF76D57">
                  <w:pPr>
                    <w:pStyle w:val="6"/>
                    <w:spacing w:before="34" w:line="353" w:lineRule="auto"/>
                    <w:ind w:left="121" w:firstLine="478"/>
                  </w:pPr>
                  <w:r>
                    <w:rPr>
                      <w:spacing w:val="-4"/>
                    </w:rPr>
                    <w:t>综上所述，本项目处于“规划</w:t>
                  </w:r>
                  <w:r>
                    <w:rPr>
                      <w:spacing w:val="-85"/>
                    </w:rPr>
                    <w:t xml:space="preserve"> </w:t>
                  </w:r>
                  <w:r>
                    <w:rPr>
                      <w:spacing w:val="-4"/>
                    </w:rPr>
                    <w:t>”中的水源涵养区内，由于本项目为林光</w:t>
                  </w:r>
                  <w:r>
                    <w:t xml:space="preserve"> </w:t>
                  </w:r>
                  <w:r>
                    <w:rPr>
                      <w:spacing w:val="-3"/>
                    </w:rPr>
                    <w:t>互补型光伏电站，属于鼓励类项目，不属于工业类项目，通过以上分析，本</w:t>
                  </w:r>
                  <w:r>
                    <w:rPr>
                      <w:spacing w:val="9"/>
                    </w:rPr>
                    <w:t xml:space="preserve"> </w:t>
                  </w:r>
                  <w:r>
                    <w:rPr>
                      <w:spacing w:val="-3"/>
                    </w:rPr>
                    <w:t>项目建设符合“牛栏江流域（云南部分）水环境保护</w:t>
                  </w:r>
                  <w:r>
                    <w:rPr>
                      <w:spacing w:val="-4"/>
                    </w:rPr>
                    <w:t>规划（</w:t>
                  </w:r>
                  <w:r>
                    <w:rPr>
                      <w:rFonts w:ascii="Times New Roman" w:hAnsi="Times New Roman" w:eastAsia="Times New Roman" w:cs="Times New Roman"/>
                      <w:spacing w:val="-4"/>
                    </w:rPr>
                    <w:t xml:space="preserve">2009-2030  </w:t>
                  </w:r>
                  <w:r>
                    <w:rPr>
                      <w:spacing w:val="-4"/>
                    </w:rPr>
                    <w:t>年）</w:t>
                  </w:r>
                  <w:r>
                    <w:t xml:space="preserve"> </w:t>
                  </w:r>
                  <w:r>
                    <w:rPr>
                      <w:spacing w:val="-3"/>
                    </w:rPr>
                    <w:t>的相关规定。</w:t>
                  </w:r>
                </w:p>
                <w:p w14:paraId="26CB2AA8">
                  <w:pPr>
                    <w:pStyle w:val="6"/>
                    <w:spacing w:before="30" w:line="347" w:lineRule="auto"/>
                    <w:ind w:left="137" w:right="11" w:firstLine="466"/>
                  </w:pPr>
                  <w:r>
                    <w:rPr>
                      <w:rFonts w:ascii="Times New Roman" w:hAnsi="Times New Roman" w:eastAsia="Times New Roman" w:cs="Times New Roman"/>
                      <w:b/>
                      <w:bCs/>
                      <w:spacing w:val="-2"/>
                    </w:rPr>
                    <w:t>11</w:t>
                  </w:r>
                  <w:r>
                    <w:rPr>
                      <w:rFonts w:ascii="Times New Roman" w:hAnsi="Times New Roman" w:eastAsia="Times New Roman" w:cs="Times New Roman"/>
                      <w:b/>
                      <w:bCs/>
                      <w:spacing w:val="-34"/>
                    </w:rPr>
                    <w:t xml:space="preserve"> </w:t>
                  </w:r>
                  <w:r>
                    <w:rPr>
                      <w:b/>
                      <w:bCs/>
                      <w:spacing w:val="-2"/>
                    </w:rPr>
                    <w:t>、项目与《牛栏江流域（寻甸段）水环境保护规划（</w:t>
                  </w:r>
                  <w:r>
                    <w:rPr>
                      <w:rFonts w:ascii="Times New Roman" w:hAnsi="Times New Roman" w:eastAsia="Times New Roman" w:cs="Times New Roman"/>
                      <w:b/>
                      <w:bCs/>
                      <w:spacing w:val="-2"/>
                    </w:rPr>
                    <w:t>2011~</w:t>
                  </w:r>
                  <w:r>
                    <w:rPr>
                      <w:rFonts w:ascii="Times New Roman" w:hAnsi="Times New Roman" w:eastAsia="Times New Roman" w:cs="Times New Roman"/>
                      <w:b/>
                      <w:bCs/>
                      <w:spacing w:val="-3"/>
                    </w:rPr>
                    <w:t>2030</w:t>
                  </w:r>
                  <w:r>
                    <w:rPr>
                      <w:b/>
                      <w:bCs/>
                      <w:spacing w:val="-3"/>
                    </w:rPr>
                    <w:t>）》</w:t>
                  </w:r>
                  <w:r>
                    <w:t xml:space="preserve"> </w:t>
                  </w:r>
                  <w:r>
                    <w:rPr>
                      <w:b/>
                      <w:bCs/>
                      <w:spacing w:val="-7"/>
                    </w:rPr>
                    <w:t>的符合性分析</w:t>
                  </w:r>
                </w:p>
                <w:p w14:paraId="14E35433">
                  <w:pPr>
                    <w:pStyle w:val="6"/>
                    <w:spacing w:before="32" w:line="219" w:lineRule="auto"/>
                    <w:ind w:left="604"/>
                  </w:pPr>
                  <w:r>
                    <w:rPr>
                      <w:spacing w:val="-1"/>
                    </w:rPr>
                    <w:t>《牛栏江流域（寻甸段）水环境保护规划（</w:t>
                  </w:r>
                  <w:r>
                    <w:rPr>
                      <w:rFonts w:ascii="Times New Roman" w:hAnsi="Times New Roman" w:eastAsia="Times New Roman" w:cs="Times New Roman"/>
                      <w:spacing w:val="-1"/>
                    </w:rPr>
                    <w:t>2011~2030</w:t>
                  </w:r>
                  <w:r>
                    <w:rPr>
                      <w:spacing w:val="-1"/>
                    </w:rPr>
                    <w:t>）》规划范围：</w:t>
                  </w:r>
                </w:p>
                <w:p w14:paraId="7252643A">
                  <w:pPr>
                    <w:pStyle w:val="6"/>
                    <w:spacing w:before="182" w:line="352" w:lineRule="auto"/>
                    <w:ind w:left="118" w:firstLine="477"/>
                  </w:pPr>
                  <w:r>
                    <w:rPr>
                      <w:spacing w:val="-8"/>
                    </w:rPr>
                    <w:t>规划范围为牛栏江流域（寻甸段</w:t>
                  </w:r>
                  <w:r>
                    <w:rPr>
                      <w:spacing w:val="-50"/>
                      <w:w w:val="79"/>
                    </w:rPr>
                    <w:t>），</w:t>
                  </w:r>
                  <w:r>
                    <w:rPr>
                      <w:spacing w:val="-8"/>
                    </w:rPr>
                    <w:t>牛栏江干流在寻甸县境内全长</w:t>
                  </w:r>
                  <w:r>
                    <w:rPr>
                      <w:spacing w:val="-49"/>
                    </w:rPr>
                    <w:t xml:space="preserve"> </w:t>
                  </w:r>
                  <w:r>
                    <w:rPr>
                      <w:rFonts w:ascii="Times New Roman" w:hAnsi="Times New Roman" w:eastAsia="Times New Roman" w:cs="Times New Roman"/>
                      <w:spacing w:val="-8"/>
                    </w:rPr>
                    <w:t>7</w:t>
                  </w:r>
                  <w:r>
                    <w:rPr>
                      <w:rFonts w:ascii="Times New Roman" w:hAnsi="Times New Roman" w:eastAsia="Times New Roman" w:cs="Times New Roman"/>
                      <w:spacing w:val="-9"/>
                    </w:rPr>
                    <w:t>5km</w:t>
                  </w:r>
                  <w:r>
                    <w:rPr>
                      <w:spacing w:val="-9"/>
                    </w:rPr>
                    <w:t>，</w:t>
                  </w:r>
                  <w:r>
                    <w:t xml:space="preserve"> </w:t>
                  </w:r>
                  <w:r>
                    <w:rPr>
                      <w:spacing w:val="-5"/>
                    </w:rPr>
                    <w:t>流域面积</w:t>
                  </w:r>
                  <w:r>
                    <w:rPr>
                      <w:spacing w:val="-19"/>
                    </w:rPr>
                    <w:t xml:space="preserve"> </w:t>
                  </w:r>
                  <w:r>
                    <w:rPr>
                      <w:rFonts w:ascii="Times New Roman" w:hAnsi="Times New Roman" w:eastAsia="Times New Roman" w:cs="Times New Roman"/>
                      <w:spacing w:val="-5"/>
                    </w:rPr>
                    <w:t>1339km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7"/>
                      <w:position w:val="8"/>
                      <w:sz w:val="15"/>
                      <w:szCs w:val="15"/>
                    </w:rPr>
                    <w:t xml:space="preserve"> </w:t>
                  </w:r>
                  <w:r>
                    <w:rPr>
                      <w:spacing w:val="-5"/>
                    </w:rPr>
                    <w:t>，涉及仁德街道办事处、七星镇、河口镇、羊街镇、功山</w:t>
                  </w:r>
                  <w:r>
                    <w:t xml:space="preserve"> </w:t>
                  </w:r>
                  <w:r>
                    <w:rPr>
                      <w:spacing w:val="-4"/>
                    </w:rPr>
                    <w:t>镇</w:t>
                  </w:r>
                  <w:r>
                    <w:rPr>
                      <w:spacing w:val="-49"/>
                    </w:rPr>
                    <w:t xml:space="preserve"> </w:t>
                  </w:r>
                  <w:r>
                    <w:rPr>
                      <w:rFonts w:ascii="Times New Roman" w:hAnsi="Times New Roman" w:eastAsia="Times New Roman" w:cs="Times New Roman"/>
                      <w:spacing w:val="-4"/>
                    </w:rPr>
                    <w:t xml:space="preserve">5 </w:t>
                  </w:r>
                  <w:r>
                    <w:rPr>
                      <w:spacing w:val="-4"/>
                    </w:rPr>
                    <w:t>个乡镇（街道办事处）</w:t>
                  </w:r>
                  <w:r>
                    <w:rPr>
                      <w:rFonts w:ascii="Times New Roman" w:hAnsi="Times New Roman" w:eastAsia="Times New Roman" w:cs="Times New Roman"/>
                      <w:spacing w:val="-4"/>
                    </w:rPr>
                    <w:t xml:space="preserve">6 </w:t>
                  </w:r>
                  <w:r>
                    <w:rPr>
                      <w:spacing w:val="-4"/>
                    </w:rPr>
                    <w:t>个社区，</w:t>
                  </w:r>
                  <w:r>
                    <w:rPr>
                      <w:rFonts w:ascii="Times New Roman" w:hAnsi="Times New Roman" w:eastAsia="Times New Roman" w:cs="Times New Roman"/>
                      <w:spacing w:val="-4"/>
                    </w:rPr>
                    <w:t xml:space="preserve">56 </w:t>
                  </w:r>
                  <w:r>
                    <w:rPr>
                      <w:spacing w:val="-4"/>
                    </w:rPr>
                    <w:t>个村委会。</w:t>
                  </w:r>
                  <w:r>
                    <w:rPr>
                      <w:spacing w:val="-5"/>
                    </w:rPr>
                    <w:t>项目位于云南省云南省</w:t>
                  </w:r>
                  <w:r>
                    <w:t xml:space="preserve"> </w:t>
                  </w:r>
                  <w:r>
                    <w:rPr>
                      <w:spacing w:val="-3"/>
                    </w:rPr>
                    <w:t>昆明市寻甸回族彝族自治县河口镇境内，处于规划范围内。</w:t>
                  </w:r>
                </w:p>
                <w:p w14:paraId="2C0F6038">
                  <w:pPr>
                    <w:pStyle w:val="6"/>
                    <w:spacing w:before="35" w:line="345" w:lineRule="auto"/>
                    <w:ind w:left="116" w:firstLine="487"/>
                  </w:pPr>
                  <w:r>
                    <w:rPr>
                      <w:spacing w:val="-3"/>
                    </w:rPr>
                    <w:t>牛栏江流域（寻甸段）水环境分区范围涉及规划区干流及主要支流（前</w:t>
                  </w:r>
                  <w:r>
                    <w:rPr>
                      <w:spacing w:val="1"/>
                    </w:rPr>
                    <w:t xml:space="preserve"> </w:t>
                  </w:r>
                  <w:r>
                    <w:rPr>
                      <w:spacing w:val="-1"/>
                    </w:rPr>
                    <w:t>进河、羊街河、马龙河、尹武河等）河流径流区。</w:t>
                  </w:r>
                </w:p>
                <w:p w14:paraId="26CE7586">
                  <w:pPr>
                    <w:pStyle w:val="6"/>
                    <w:spacing w:before="36" w:line="347" w:lineRule="auto"/>
                    <w:ind w:left="117" w:firstLine="481"/>
                  </w:pPr>
                  <w:r>
                    <w:rPr>
                      <w:spacing w:val="3"/>
                    </w:rPr>
                    <w:t xml:space="preserve">规划区分为 </w:t>
                  </w:r>
                  <w:r>
                    <w:rPr>
                      <w:rFonts w:ascii="Times New Roman" w:hAnsi="Times New Roman" w:eastAsia="Times New Roman" w:cs="Times New Roman"/>
                      <w:spacing w:val="3"/>
                    </w:rPr>
                    <w:t xml:space="preserve">3 </w:t>
                  </w:r>
                  <w:r>
                    <w:rPr>
                      <w:spacing w:val="3"/>
                    </w:rPr>
                    <w:t>个保护区：水源保护核心区、重点污染控制区、</w:t>
                  </w:r>
                  <w:r>
                    <w:rPr>
                      <w:spacing w:val="2"/>
                    </w:rPr>
                    <w:t>重点水</w:t>
                  </w:r>
                  <w:r>
                    <w:t xml:space="preserve"> </w:t>
                  </w:r>
                  <w:r>
                    <w:rPr>
                      <w:spacing w:val="-1"/>
                    </w:rPr>
                    <w:t>源涵养区，各分区范围节点如下：</w:t>
                  </w:r>
                </w:p>
                <w:p w14:paraId="5529C2D5">
                  <w:pPr>
                    <w:pStyle w:val="6"/>
                    <w:spacing w:before="31" w:line="219" w:lineRule="auto"/>
                    <w:jc w:val="right"/>
                  </w:pPr>
                  <w:r>
                    <w:rPr>
                      <w:spacing w:val="-3"/>
                    </w:rPr>
                    <w:t>（</w:t>
                  </w:r>
                  <w:r>
                    <w:rPr>
                      <w:rFonts w:ascii="Times New Roman" w:hAnsi="Times New Roman" w:eastAsia="Times New Roman" w:cs="Times New Roman"/>
                      <w:spacing w:val="-3"/>
                    </w:rPr>
                    <w:t>1</w:t>
                  </w:r>
                  <w:r>
                    <w:rPr>
                      <w:spacing w:val="-3"/>
                    </w:rPr>
                    <w:t>）水源保护核心区范围为牛栏江流域（寻甸段）干流</w:t>
                  </w:r>
                  <w:r>
                    <w:rPr>
                      <w:spacing w:val="-22"/>
                    </w:rPr>
                    <w:t xml:space="preserve"> </w:t>
                  </w:r>
                  <w:r>
                    <w:rPr>
                      <w:rFonts w:ascii="Times New Roman" w:hAnsi="Times New Roman" w:eastAsia="Times New Roman" w:cs="Times New Roman"/>
                      <w:spacing w:val="-3"/>
                    </w:rPr>
                    <w:t xml:space="preserve">1000m </w:t>
                  </w:r>
                  <w:r>
                    <w:rPr>
                      <w:spacing w:val="-3"/>
                    </w:rPr>
                    <w:t>范围。</w:t>
                  </w:r>
                </w:p>
                <w:p w14:paraId="3FBB9B69">
                  <w:pPr>
                    <w:pStyle w:val="6"/>
                    <w:spacing w:before="185" w:line="310" w:lineRule="auto"/>
                    <w:ind w:left="121" w:firstLine="479"/>
                    <w:jc w:val="right"/>
                  </w:pPr>
                  <w:r>
                    <w:rPr>
                      <w:spacing w:val="-3"/>
                    </w:rPr>
                    <w:t>水源保护核心区分为禁止建设区、限制建设区两个区，禁止建设区范围</w:t>
                  </w:r>
                  <w:r>
                    <w:rPr>
                      <w:spacing w:val="4"/>
                    </w:rPr>
                    <w:t xml:space="preserve"> </w:t>
                  </w:r>
                  <w:r>
                    <w:rPr>
                      <w:spacing w:val="5"/>
                    </w:rPr>
                    <w:t>指干流河面水域及沿岸外延</w:t>
                  </w:r>
                  <w:r>
                    <w:rPr>
                      <w:spacing w:val="-48"/>
                    </w:rPr>
                    <w:t xml:space="preserve"> </w:t>
                  </w:r>
                  <w:r>
                    <w:rPr>
                      <w:rFonts w:ascii="Times New Roman" w:hAnsi="Times New Roman" w:eastAsia="Times New Roman" w:cs="Times New Roman"/>
                      <w:spacing w:val="5"/>
                    </w:rPr>
                    <w:t>200m</w:t>
                  </w:r>
                  <w:r>
                    <w:rPr>
                      <w:rFonts w:ascii="Times New Roman" w:hAnsi="Times New Roman" w:eastAsia="Times New Roman" w:cs="Times New Roman"/>
                      <w:spacing w:val="37"/>
                      <w:w w:val="101"/>
                    </w:rPr>
                    <w:t xml:space="preserve"> </w:t>
                  </w:r>
                  <w:r>
                    <w:rPr>
                      <w:spacing w:val="5"/>
                    </w:rPr>
                    <w:t>的区域，限制建</w:t>
                  </w:r>
                  <w:r>
                    <w:rPr>
                      <w:spacing w:val="4"/>
                    </w:rPr>
                    <w:t>设区范围指干流沿岸外</w:t>
                  </w:r>
                </w:p>
              </w:tc>
            </w:tr>
            <w:tr w14:paraId="171B1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9" w:hRule="atLeast"/>
              </w:trPr>
              <w:tc>
                <w:tcPr>
                  <w:tcW w:w="7956" w:type="dxa"/>
                  <w:gridSpan w:val="4"/>
                  <w:tcBorders>
                    <w:top w:val="nil"/>
                    <w:bottom w:val="nil"/>
                    <w:right w:val="nil"/>
                  </w:tcBorders>
                  <w:vAlign w:val="top"/>
                </w:tcPr>
                <w:p w14:paraId="5112203B">
                  <w:pPr>
                    <w:pStyle w:val="6"/>
                    <w:spacing w:before="115" w:line="220" w:lineRule="auto"/>
                    <w:ind w:left="113"/>
                  </w:pPr>
                  <w:r>
                    <w:rPr>
                      <w:rFonts w:ascii="Times New Roman" w:hAnsi="Times New Roman" w:eastAsia="Times New Roman" w:cs="Times New Roman"/>
                      <w:spacing w:val="-1"/>
                    </w:rPr>
                    <w:t xml:space="preserve">200m —1000m </w:t>
                  </w:r>
                  <w:r>
                    <w:rPr>
                      <w:spacing w:val="-1"/>
                    </w:rPr>
                    <w:t>之间的区域。</w:t>
                  </w:r>
                </w:p>
                <w:p w14:paraId="5C3F6D6B">
                  <w:pPr>
                    <w:pStyle w:val="6"/>
                    <w:spacing w:before="179" w:line="220" w:lineRule="auto"/>
                    <w:ind w:left="609"/>
                  </w:pPr>
                  <w:r>
                    <w:rPr>
                      <w:spacing w:val="-3"/>
                    </w:rPr>
                    <w:t>（</w:t>
                  </w:r>
                  <w:r>
                    <w:rPr>
                      <w:rFonts w:ascii="Times New Roman" w:hAnsi="Times New Roman" w:eastAsia="Times New Roman" w:cs="Times New Roman"/>
                      <w:spacing w:val="-3"/>
                    </w:rPr>
                    <w:t>2</w:t>
                  </w:r>
                  <w:r>
                    <w:rPr>
                      <w:spacing w:val="-3"/>
                    </w:rPr>
                    <w:t>）重点污染控制区</w:t>
                  </w:r>
                </w:p>
                <w:p w14:paraId="3EAD65AF">
                  <w:pPr>
                    <w:pStyle w:val="6"/>
                    <w:spacing w:before="182" w:line="219" w:lineRule="auto"/>
                    <w:jc w:val="right"/>
                  </w:pPr>
                  <w:r>
                    <w:rPr>
                      <w:spacing w:val="13"/>
                    </w:rPr>
                    <w:t>重点污染控制区范围指水体保护核心区外，主要入江支流水域外延</w:t>
                  </w:r>
                </w:p>
              </w:tc>
            </w:tr>
            <w:tr w14:paraId="37058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5" w:hRule="atLeast"/>
              </w:trPr>
              <w:tc>
                <w:tcPr>
                  <w:tcW w:w="7956" w:type="dxa"/>
                  <w:gridSpan w:val="4"/>
                  <w:tcBorders>
                    <w:top w:val="nil"/>
                    <w:bottom w:val="nil"/>
                    <w:right w:val="nil"/>
                  </w:tcBorders>
                  <w:vAlign w:val="top"/>
                </w:tcPr>
                <w:p w14:paraId="0274D542">
                  <w:pPr>
                    <w:pStyle w:val="6"/>
                    <w:spacing w:before="115" w:line="346" w:lineRule="auto"/>
                    <w:ind w:left="118"/>
                  </w:pPr>
                  <w:r>
                    <w:rPr>
                      <w:rFonts w:ascii="Times New Roman" w:hAnsi="Times New Roman" w:eastAsia="Times New Roman" w:cs="Times New Roman"/>
                      <w:spacing w:val="2"/>
                    </w:rPr>
                    <w:t>3000m</w:t>
                  </w:r>
                  <w:r>
                    <w:rPr>
                      <w:rFonts w:ascii="Times New Roman" w:hAnsi="Times New Roman" w:eastAsia="Times New Roman" w:cs="Times New Roman"/>
                      <w:spacing w:val="16"/>
                    </w:rPr>
                    <w:t xml:space="preserve">  </w:t>
                  </w:r>
                  <w:r>
                    <w:rPr>
                      <w:spacing w:val="2"/>
                    </w:rPr>
                    <w:t>的区域和流域范围内的坝区，若区域</w:t>
                  </w:r>
                  <w:r>
                    <w:rPr>
                      <w:spacing w:val="1"/>
                    </w:rPr>
                    <w:t>范围超过一级山脊，按一级山</w:t>
                  </w:r>
                  <w:r>
                    <w:t xml:space="preserve"> </w:t>
                  </w:r>
                  <w:r>
                    <w:rPr>
                      <w:spacing w:val="-3"/>
                    </w:rPr>
                    <w:t>脊线划定。</w:t>
                  </w:r>
                </w:p>
                <w:p w14:paraId="4AA84BD6">
                  <w:pPr>
                    <w:pStyle w:val="6"/>
                    <w:spacing w:before="33" w:line="219" w:lineRule="auto"/>
                    <w:ind w:left="609"/>
                  </w:pPr>
                  <w:r>
                    <w:rPr>
                      <w:spacing w:val="-3"/>
                    </w:rPr>
                    <w:t>（</w:t>
                  </w:r>
                  <w:r>
                    <w:rPr>
                      <w:rFonts w:ascii="Times New Roman" w:hAnsi="Times New Roman" w:eastAsia="Times New Roman" w:cs="Times New Roman"/>
                      <w:spacing w:val="-3"/>
                    </w:rPr>
                    <w:t>3</w:t>
                  </w:r>
                  <w:r>
                    <w:rPr>
                      <w:spacing w:val="-3"/>
                    </w:rPr>
                    <w:t>）水源涵养区</w:t>
                  </w:r>
                </w:p>
                <w:p w14:paraId="27C2C0DB">
                  <w:pPr>
                    <w:pStyle w:val="6"/>
                    <w:spacing w:before="183" w:line="219" w:lineRule="auto"/>
                    <w:jc w:val="right"/>
                  </w:pPr>
                  <w:r>
                    <w:rPr>
                      <w:spacing w:val="-3"/>
                    </w:rPr>
                    <w:t>重点水源涵养区范围指流域范围内除水源保护核心区、重点污染控制区</w:t>
                  </w:r>
                </w:p>
              </w:tc>
            </w:tr>
          </w:tbl>
          <w:p w14:paraId="1D9F81E1">
            <w:pPr>
              <w:spacing w:line="14" w:lineRule="auto"/>
              <w:rPr>
                <w:rFonts w:ascii="Arial"/>
                <w:sz w:val="2"/>
              </w:rPr>
            </w:pPr>
          </w:p>
        </w:tc>
      </w:tr>
    </w:tbl>
    <w:p w14:paraId="21819925">
      <w:pPr>
        <w:rPr>
          <w:rFonts w:ascii="Arial"/>
          <w:sz w:val="21"/>
        </w:rPr>
      </w:pPr>
    </w:p>
    <w:p w14:paraId="300FD705">
      <w:pPr>
        <w:rPr>
          <w:rFonts w:ascii="Arial" w:hAnsi="Arial" w:eastAsia="Arial" w:cs="Arial"/>
          <w:sz w:val="21"/>
          <w:szCs w:val="21"/>
        </w:rPr>
        <w:sectPr>
          <w:footerReference r:id="rId31" w:type="default"/>
          <w:pgSz w:w="11906" w:h="16839"/>
          <w:pgMar w:top="1431" w:right="1342" w:bottom="1278" w:left="1407" w:header="0" w:footer="1116" w:gutter="0"/>
          <w:cols w:space="720" w:num="1"/>
        </w:sectPr>
      </w:pPr>
    </w:p>
    <w:p w14:paraId="47EC78CE">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51566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72" w:hRule="atLeast"/>
        </w:trPr>
        <w:tc>
          <w:tcPr>
            <w:tcW w:w="1014" w:type="dxa"/>
            <w:tcBorders>
              <w:right w:val="single" w:color="000000" w:sz="2" w:space="0"/>
            </w:tcBorders>
            <w:vAlign w:val="top"/>
          </w:tcPr>
          <w:p w14:paraId="5B6074D9">
            <w:pPr>
              <w:rPr>
                <w:rFonts w:ascii="Arial"/>
                <w:sz w:val="21"/>
              </w:rPr>
            </w:pPr>
          </w:p>
        </w:tc>
        <w:tc>
          <w:tcPr>
            <w:tcW w:w="8062" w:type="dxa"/>
            <w:tcBorders>
              <w:left w:val="single" w:color="000000" w:sz="2" w:space="0"/>
            </w:tcBorders>
            <w:vAlign w:val="top"/>
          </w:tcPr>
          <w:p w14:paraId="1A9D1861">
            <w:pPr>
              <w:pStyle w:val="6"/>
              <w:spacing w:before="46" w:line="220" w:lineRule="auto"/>
              <w:ind w:left="137"/>
            </w:pPr>
            <w:r>
              <w:rPr>
                <w:spacing w:val="-7"/>
              </w:rPr>
              <w:t>以外的区域。</w:t>
            </w:r>
          </w:p>
          <w:p w14:paraId="06C9C501">
            <w:pPr>
              <w:pStyle w:val="6"/>
              <w:spacing w:before="180" w:line="346" w:lineRule="auto"/>
              <w:ind w:left="115" w:right="103" w:firstLine="475"/>
            </w:pPr>
            <w:r>
              <w:rPr>
                <w:spacing w:val="-3"/>
              </w:rPr>
              <w:t>本项目位于牛栏江流域（寻甸段）水环境分区中的水源涵养区。项目与</w:t>
            </w:r>
            <w:r>
              <w:rPr>
                <w:spacing w:val="9"/>
              </w:rPr>
              <w:t xml:space="preserve"> </w:t>
            </w:r>
            <w:r>
              <w:rPr>
                <w:spacing w:val="-2"/>
              </w:rPr>
              <w:t>牛栏江流域（寻甸段）水环境保护分区位置关系见附图</w:t>
            </w:r>
            <w:r>
              <w:rPr>
                <w:spacing w:val="-23"/>
              </w:rPr>
              <w:t xml:space="preserve"> </w:t>
            </w:r>
            <w:r>
              <w:rPr>
                <w:rFonts w:ascii="Times New Roman" w:hAnsi="Times New Roman" w:eastAsia="Times New Roman" w:cs="Times New Roman"/>
                <w:spacing w:val="-2"/>
              </w:rPr>
              <w:t>10</w:t>
            </w:r>
            <w:r>
              <w:rPr>
                <w:spacing w:val="-2"/>
              </w:rPr>
              <w:t>。</w:t>
            </w:r>
          </w:p>
          <w:p w14:paraId="72D13F1C">
            <w:pPr>
              <w:pStyle w:val="6"/>
              <w:spacing w:before="32" w:line="347" w:lineRule="auto"/>
              <w:ind w:left="108" w:right="103" w:firstLine="480"/>
            </w:pPr>
            <w:r>
              <w:rPr>
                <w:spacing w:val="1"/>
              </w:rPr>
              <w:t>根据《牛栏江流域（寻甸段）水环境保护规划（</w:t>
            </w:r>
            <w:r>
              <w:rPr>
                <w:rFonts w:ascii="Times New Roman" w:hAnsi="Times New Roman" w:eastAsia="Times New Roman" w:cs="Times New Roman"/>
                <w:spacing w:val="1"/>
              </w:rPr>
              <w:t>2011~2</w:t>
            </w:r>
            <w:r>
              <w:rPr>
                <w:rFonts w:ascii="Times New Roman" w:hAnsi="Times New Roman" w:eastAsia="Times New Roman" w:cs="Times New Roman"/>
              </w:rPr>
              <w:t>030</w:t>
            </w:r>
            <w:r>
              <w:t xml:space="preserve">）》，其水 </w:t>
            </w:r>
            <w:r>
              <w:rPr>
                <w:spacing w:val="-1"/>
              </w:rPr>
              <w:t>源涵养区环境保护策略为：</w:t>
            </w:r>
          </w:p>
          <w:p w14:paraId="2975F03F">
            <w:pPr>
              <w:pStyle w:val="6"/>
              <w:spacing w:before="35" w:line="312" w:lineRule="auto"/>
              <w:ind w:left="109" w:right="103" w:firstLine="498"/>
            </w:pPr>
            <w:r>
              <w:rPr>
                <w:rFonts w:ascii="Times New Roman" w:hAnsi="Times New Roman" w:eastAsia="Times New Roman" w:cs="Times New Roman"/>
              </w:rPr>
              <w:t>1</w:t>
            </w:r>
            <w:r>
              <w:t>）在流域源头区宜林荒山，实施工程技术、退耕还林工程，石漠化地</w:t>
            </w:r>
            <w:r>
              <w:rPr>
                <w:spacing w:val="18"/>
              </w:rPr>
              <w:t xml:space="preserve"> </w:t>
            </w:r>
            <w:r>
              <w:rPr>
                <w:spacing w:val="-3"/>
              </w:rPr>
              <w:t>块区域造林，在调水水源涵养林中开展幼林抚育、低产低造林分改造。水源</w:t>
            </w:r>
            <w:r>
              <w:rPr>
                <w:spacing w:val="16"/>
              </w:rPr>
              <w:t xml:space="preserve"> </w:t>
            </w:r>
            <w:r>
              <w:t xml:space="preserve">涵养区内针对坡度在 </w:t>
            </w:r>
            <w:r>
              <w:rPr>
                <w:rFonts w:ascii="Times New Roman" w:hAnsi="Times New Roman" w:eastAsia="Times New Roman" w:cs="Times New Roman"/>
              </w:rPr>
              <w:t>25°</w:t>
            </w:r>
            <w:r>
              <w:t>以上农耕地要逐步</w:t>
            </w:r>
            <w:r>
              <w:rPr>
                <w:spacing w:val="-1"/>
              </w:rPr>
              <w:t>退耕还林，提高森林覆盖率。</w:t>
            </w:r>
          </w:p>
          <w:p w14:paraId="6695B2A3">
            <w:pPr>
              <w:pStyle w:val="6"/>
              <w:spacing w:before="181" w:line="219" w:lineRule="auto"/>
              <w:ind w:left="585"/>
            </w:pPr>
            <w:r>
              <w:rPr>
                <w:rFonts w:ascii="Times New Roman" w:hAnsi="Times New Roman" w:eastAsia="Times New Roman" w:cs="Times New Roman"/>
                <w:spacing w:val="-1"/>
              </w:rPr>
              <w:t>2</w:t>
            </w:r>
            <w:r>
              <w:rPr>
                <w:spacing w:val="-1"/>
              </w:rPr>
              <w:t>）实施小流域综合整治，减少水土流失。</w:t>
            </w:r>
          </w:p>
          <w:p w14:paraId="7B4C4DD6">
            <w:pPr>
              <w:pStyle w:val="6"/>
              <w:spacing w:before="186" w:line="353" w:lineRule="auto"/>
              <w:ind w:left="110" w:right="101" w:firstLine="479"/>
              <w:jc w:val="both"/>
            </w:pPr>
            <w:r>
              <w:rPr>
                <w:spacing w:val="2"/>
              </w:rPr>
              <w:t>根据项</w:t>
            </w:r>
            <w:r>
              <w:rPr>
                <w:spacing w:val="-28"/>
              </w:rPr>
              <w:t xml:space="preserve"> </w:t>
            </w:r>
            <w:r>
              <w:rPr>
                <w:spacing w:val="2"/>
              </w:rPr>
              <w:t>目主体设计</w:t>
            </w:r>
            <w:r>
              <w:rPr>
                <w:spacing w:val="-57"/>
              </w:rPr>
              <w:t xml:space="preserve"> </w:t>
            </w:r>
            <w:r>
              <w:rPr>
                <w:spacing w:val="2"/>
              </w:rPr>
              <w:t>，项</w:t>
            </w:r>
            <w:r>
              <w:rPr>
                <w:spacing w:val="-31"/>
              </w:rPr>
              <w:t xml:space="preserve"> </w:t>
            </w:r>
            <w:r>
              <w:rPr>
                <w:spacing w:val="2"/>
              </w:rPr>
              <w:t>目</w:t>
            </w:r>
            <w:r>
              <w:rPr>
                <w:spacing w:val="-38"/>
              </w:rPr>
              <w:t xml:space="preserve"> </w:t>
            </w:r>
            <w:r>
              <w:rPr>
                <w:spacing w:val="2"/>
              </w:rPr>
              <w:t xml:space="preserve">占地面积 </w:t>
            </w:r>
            <w:r>
              <w:rPr>
                <w:rFonts w:ascii="Times New Roman" w:hAnsi="Times New Roman" w:eastAsia="Times New Roman" w:cs="Times New Roman"/>
                <w:spacing w:val="2"/>
              </w:rPr>
              <w:t>140.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1304</w:t>
            </w:r>
            <w:r>
              <w:rPr>
                <w:rFonts w:ascii="Times New Roman" w:hAnsi="Times New Roman" w:eastAsia="Times New Roman" w:cs="Times New Roman"/>
              </w:rPr>
              <w:t>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24"/>
                <w:w w:val="101"/>
                <w:position w:val="8"/>
                <w:sz w:val="15"/>
                <w:szCs w:val="15"/>
              </w:rPr>
              <w:t xml:space="preserve"> </w:t>
            </w:r>
            <w:r>
              <w:rPr>
                <w:spacing w:val="2"/>
              </w:rPr>
              <w:t>，其</w:t>
            </w:r>
            <w:r>
              <w:rPr>
                <w:spacing w:val="-55"/>
              </w:rPr>
              <w:t xml:space="preserve"> </w:t>
            </w:r>
            <w:r>
              <w:rPr>
                <w:spacing w:val="2"/>
              </w:rPr>
              <w:t>中永</w:t>
            </w:r>
            <w:r>
              <w:rPr>
                <w:spacing w:val="-72"/>
              </w:rPr>
              <w:t xml:space="preserve"> </w:t>
            </w:r>
            <w:r>
              <w:rPr>
                <w:spacing w:val="2"/>
              </w:rPr>
              <w:t>久</w:t>
            </w:r>
            <w:r>
              <w:rPr>
                <w:spacing w:val="-37"/>
              </w:rPr>
              <w:t xml:space="preserve"> </w:t>
            </w:r>
            <w:r>
              <w:rPr>
                <w:spacing w:val="2"/>
              </w:rPr>
              <w:t>占地</w:t>
            </w:r>
            <w:r>
              <w:t xml:space="preserve"> </w:t>
            </w:r>
            <w:r>
              <w:rPr>
                <w:rFonts w:ascii="Times New Roman" w:hAnsi="Times New Roman" w:eastAsia="Times New Roman" w:cs="Times New Roman"/>
                <w:spacing w:val="1"/>
              </w:rPr>
              <w:t>3.4547</w:t>
            </w:r>
            <w:r>
              <w:rPr>
                <w:rFonts w:ascii="Times New Roman" w:hAnsi="Times New Roman" w:eastAsia="Times New Roman" w:cs="Times New Roman"/>
              </w:rPr>
              <w:t>hm</w:t>
            </w:r>
            <w:r>
              <w:rPr>
                <w:rFonts w:ascii="Times New Roman" w:hAnsi="Times New Roman" w:eastAsia="Times New Roman" w:cs="Times New Roman"/>
                <w:spacing w:val="1"/>
                <w:position w:val="8"/>
                <w:sz w:val="15"/>
                <w:szCs w:val="15"/>
              </w:rPr>
              <w:t xml:space="preserve">2 </w:t>
            </w:r>
            <w:r>
              <w:rPr>
                <w:spacing w:val="1"/>
              </w:rPr>
              <w:t>，工程永久占地面积较小，施工结束后临时迹地将得到恢复，永</w:t>
            </w:r>
            <w:r>
              <w:rPr>
                <w:spacing w:val="4"/>
              </w:rPr>
              <w:t xml:space="preserve"> </w:t>
            </w:r>
            <w:r>
              <w:rPr>
                <w:spacing w:val="5"/>
              </w:rPr>
              <w:t>久设施附近将进行一定面积的植被绿化。建设单位已委托编制水土保持方</w:t>
            </w:r>
            <w:r>
              <w:t xml:space="preserve"> </w:t>
            </w:r>
            <w:r>
              <w:rPr>
                <w:spacing w:val="-3"/>
              </w:rPr>
              <w:t>案，建设单位在项目建设期间，将严格落实《化桃箐光伏发电项目水土保持</w:t>
            </w:r>
            <w:r>
              <w:rPr>
                <w:spacing w:val="16"/>
              </w:rPr>
              <w:t xml:space="preserve"> </w:t>
            </w:r>
            <w:r>
              <w:rPr>
                <w:spacing w:val="-1"/>
              </w:rPr>
              <w:t>方案报告书》提出的各项工程措施、植物恢复措施。</w:t>
            </w:r>
          </w:p>
          <w:p w14:paraId="4562B580">
            <w:pPr>
              <w:pStyle w:val="6"/>
              <w:spacing w:before="34" w:line="353" w:lineRule="auto"/>
              <w:ind w:left="108" w:right="73" w:firstLine="480"/>
              <w:jc w:val="both"/>
            </w:pPr>
            <w:r>
              <w:rPr>
                <w:spacing w:val="-3"/>
              </w:rPr>
              <w:t>在严格落实水土保持方案提出的水土流失防治措施情况下：项目区域水</w:t>
            </w:r>
            <w:r>
              <w:rPr>
                <w:spacing w:val="11"/>
              </w:rPr>
              <w:t xml:space="preserve"> </w:t>
            </w:r>
            <w:r>
              <w:rPr>
                <w:spacing w:val="-1"/>
              </w:rPr>
              <w:t>土流失治理度可达到</w:t>
            </w:r>
            <w:r>
              <w:rPr>
                <w:spacing w:val="-37"/>
              </w:rPr>
              <w:t xml:space="preserve"> </w:t>
            </w:r>
            <w:r>
              <w:rPr>
                <w:rFonts w:ascii="Times New Roman" w:hAnsi="Times New Roman" w:eastAsia="Times New Roman" w:cs="Times New Roman"/>
                <w:spacing w:val="-1"/>
              </w:rPr>
              <w:t>99.53%</w:t>
            </w:r>
            <w:r>
              <w:rPr>
                <w:rFonts w:ascii="Times New Roman" w:hAnsi="Times New Roman" w:eastAsia="Times New Roman" w:cs="Times New Roman"/>
                <w:spacing w:val="-29"/>
              </w:rPr>
              <w:t xml:space="preserve"> </w:t>
            </w:r>
            <w:r>
              <w:rPr>
                <w:spacing w:val="-1"/>
              </w:rPr>
              <w:t>、土壤流失控制比可达到</w:t>
            </w:r>
            <w:r>
              <w:rPr>
                <w:spacing w:val="-27"/>
              </w:rPr>
              <w:t xml:space="preserve"> </w:t>
            </w:r>
            <w:r>
              <w:rPr>
                <w:rFonts w:ascii="Times New Roman" w:hAnsi="Times New Roman" w:eastAsia="Times New Roman" w:cs="Times New Roman"/>
                <w:spacing w:val="-1"/>
              </w:rPr>
              <w:t>1.04</w:t>
            </w:r>
            <w:r>
              <w:rPr>
                <w:rFonts w:ascii="Times New Roman" w:hAnsi="Times New Roman" w:eastAsia="Times New Roman" w:cs="Times New Roman"/>
                <w:spacing w:val="-32"/>
              </w:rPr>
              <w:t xml:space="preserve"> </w:t>
            </w:r>
            <w:r>
              <w:rPr>
                <w:spacing w:val="-1"/>
              </w:rPr>
              <w:t>、渣土防护率可</w:t>
            </w:r>
            <w:r>
              <w:t xml:space="preserve"> </w:t>
            </w:r>
            <w:r>
              <w:rPr>
                <w:spacing w:val="-3"/>
              </w:rPr>
              <w:t>达到</w:t>
            </w:r>
            <w:r>
              <w:rPr>
                <w:spacing w:val="-36"/>
              </w:rPr>
              <w:t xml:space="preserve"> </w:t>
            </w:r>
            <w:r>
              <w:rPr>
                <w:rFonts w:ascii="Times New Roman" w:hAnsi="Times New Roman" w:eastAsia="Times New Roman" w:cs="Times New Roman"/>
                <w:spacing w:val="-3"/>
              </w:rPr>
              <w:t>99.55%</w:t>
            </w:r>
            <w:r>
              <w:rPr>
                <w:spacing w:val="-3"/>
              </w:rPr>
              <w:t>、表土保护率可达到</w:t>
            </w:r>
            <w:r>
              <w:rPr>
                <w:spacing w:val="-50"/>
              </w:rPr>
              <w:t xml:space="preserve"> </w:t>
            </w:r>
            <w:r>
              <w:rPr>
                <w:rFonts w:ascii="Times New Roman" w:hAnsi="Times New Roman" w:eastAsia="Times New Roman" w:cs="Times New Roman"/>
                <w:spacing w:val="-3"/>
              </w:rPr>
              <w:t>99.50%</w:t>
            </w:r>
            <w:r>
              <w:rPr>
                <w:rFonts w:ascii="Times New Roman" w:hAnsi="Times New Roman" w:eastAsia="Times New Roman" w:cs="Times New Roman"/>
                <w:spacing w:val="-32"/>
              </w:rPr>
              <w:t xml:space="preserve"> </w:t>
            </w:r>
            <w:r>
              <w:rPr>
                <w:spacing w:val="-3"/>
              </w:rPr>
              <w:t>、林草植被恢复率可达到</w:t>
            </w:r>
            <w:r>
              <w:rPr>
                <w:spacing w:val="-51"/>
              </w:rPr>
              <w:t xml:space="preserve"> </w:t>
            </w:r>
            <w:r>
              <w:rPr>
                <w:rFonts w:ascii="Times New Roman" w:hAnsi="Times New Roman" w:eastAsia="Times New Roman" w:cs="Times New Roman"/>
                <w:spacing w:val="-3"/>
              </w:rPr>
              <w:t>99.76%</w:t>
            </w:r>
            <w:r>
              <w:rPr>
                <w:spacing w:val="-3"/>
              </w:rPr>
              <w:t>、</w:t>
            </w:r>
            <w:r>
              <w:t xml:space="preserve"> </w:t>
            </w:r>
            <w:r>
              <w:rPr>
                <w:spacing w:val="-2"/>
              </w:rPr>
              <w:t>林草覆盖率可达到</w:t>
            </w:r>
            <w:r>
              <w:rPr>
                <w:spacing w:val="-40"/>
              </w:rPr>
              <w:t xml:space="preserve"> </w:t>
            </w:r>
            <w:r>
              <w:rPr>
                <w:rFonts w:ascii="Times New Roman" w:hAnsi="Times New Roman" w:eastAsia="Times New Roman" w:cs="Times New Roman"/>
                <w:spacing w:val="-2"/>
              </w:rPr>
              <w:t>67.41%</w:t>
            </w:r>
            <w:r>
              <w:rPr>
                <w:spacing w:val="-2"/>
              </w:rPr>
              <w:t>。</w:t>
            </w:r>
          </w:p>
          <w:p w14:paraId="0BA020DA">
            <w:pPr>
              <w:pStyle w:val="6"/>
              <w:spacing w:before="33" w:line="347" w:lineRule="auto"/>
              <w:ind w:left="121" w:right="101" w:firstLine="487"/>
            </w:pPr>
            <w:r>
              <w:rPr>
                <w:spacing w:val="13"/>
              </w:rPr>
              <w:t>因此</w:t>
            </w:r>
            <w:r>
              <w:rPr>
                <w:spacing w:val="-56"/>
              </w:rPr>
              <w:t xml:space="preserve"> </w:t>
            </w:r>
            <w:r>
              <w:rPr>
                <w:spacing w:val="13"/>
              </w:rPr>
              <w:t>，项</w:t>
            </w:r>
            <w:r>
              <w:rPr>
                <w:spacing w:val="-40"/>
              </w:rPr>
              <w:t xml:space="preserve"> </w:t>
            </w:r>
            <w:r>
              <w:rPr>
                <w:spacing w:val="13"/>
              </w:rPr>
              <w:t>目</w:t>
            </w:r>
            <w:r>
              <w:rPr>
                <w:spacing w:val="-67"/>
              </w:rPr>
              <w:t xml:space="preserve"> </w:t>
            </w:r>
            <w:r>
              <w:rPr>
                <w:spacing w:val="13"/>
              </w:rPr>
              <w:t>的建设符合《牛栏江流域（寻甸段）</w:t>
            </w:r>
            <w:r>
              <w:rPr>
                <w:spacing w:val="-60"/>
              </w:rPr>
              <w:t xml:space="preserve"> </w:t>
            </w:r>
            <w:r>
              <w:rPr>
                <w:spacing w:val="13"/>
              </w:rPr>
              <w:t>水环境保护规划</w:t>
            </w:r>
            <w:r>
              <w:t xml:space="preserve"> </w:t>
            </w:r>
            <w:r>
              <w:rPr>
                <w:spacing w:val="-2"/>
              </w:rPr>
              <w:t>（</w:t>
            </w:r>
            <w:r>
              <w:rPr>
                <w:rFonts w:ascii="Times New Roman" w:hAnsi="Times New Roman" w:eastAsia="Times New Roman" w:cs="Times New Roman"/>
                <w:spacing w:val="-2"/>
              </w:rPr>
              <w:t>2011~2030</w:t>
            </w:r>
            <w:r>
              <w:rPr>
                <w:spacing w:val="-2"/>
              </w:rPr>
              <w:t>）》环境保护策略要求。</w:t>
            </w:r>
          </w:p>
          <w:p w14:paraId="2ADEB0FF">
            <w:pPr>
              <w:pStyle w:val="6"/>
              <w:spacing w:before="35" w:line="350" w:lineRule="auto"/>
              <w:ind w:left="119" w:right="103" w:firstLine="477"/>
            </w:pPr>
            <w:r>
              <w:rPr>
                <w:rFonts w:ascii="Times New Roman" w:hAnsi="Times New Roman" w:eastAsia="Times New Roman" w:cs="Times New Roman"/>
                <w:b/>
                <w:bCs/>
                <w:spacing w:val="-8"/>
              </w:rPr>
              <w:t>12</w:t>
            </w:r>
            <w:r>
              <w:rPr>
                <w:b/>
                <w:bCs/>
                <w:spacing w:val="-8"/>
              </w:rPr>
              <w:t>、与《自然资源部办公厅</w:t>
            </w:r>
            <w:r>
              <w:rPr>
                <w:spacing w:val="50"/>
              </w:rPr>
              <w:t xml:space="preserve"> </w:t>
            </w:r>
            <w:r>
              <w:rPr>
                <w:b/>
                <w:bCs/>
                <w:spacing w:val="-8"/>
              </w:rPr>
              <w:t>国家林业和草原局办公室</w:t>
            </w:r>
            <w:r>
              <w:rPr>
                <w:spacing w:val="33"/>
              </w:rPr>
              <w:t xml:space="preserve"> </w:t>
            </w:r>
            <w:r>
              <w:rPr>
                <w:b/>
                <w:bCs/>
                <w:spacing w:val="-8"/>
              </w:rPr>
              <w:t>国家能源局综合</w:t>
            </w:r>
            <w:r>
              <w:t xml:space="preserve"> </w:t>
            </w:r>
            <w:r>
              <w:rPr>
                <w:b/>
                <w:bCs/>
                <w:spacing w:val="-5"/>
              </w:rPr>
              <w:t>司关于支持光伏发电产业发展规范用地管理有关工作</w:t>
            </w:r>
            <w:r>
              <w:rPr>
                <w:b/>
                <w:bCs/>
                <w:spacing w:val="-6"/>
              </w:rPr>
              <w:t>的通知》（自然资办发</w:t>
            </w:r>
            <w:r>
              <w:t xml:space="preserve"> </w:t>
            </w:r>
            <w:r>
              <w:rPr>
                <w:b/>
                <w:bCs/>
                <w:spacing w:val="-3"/>
              </w:rPr>
              <w:t>〔</w:t>
            </w:r>
            <w:r>
              <w:rPr>
                <w:rFonts w:ascii="Times New Roman" w:hAnsi="Times New Roman" w:eastAsia="Times New Roman" w:cs="Times New Roman"/>
                <w:b/>
                <w:bCs/>
                <w:spacing w:val="-3"/>
              </w:rPr>
              <w:t>2023</w:t>
            </w:r>
            <w:r>
              <w:rPr>
                <w:b/>
                <w:bCs/>
                <w:spacing w:val="-3"/>
              </w:rPr>
              <w:t>〕</w:t>
            </w:r>
            <w:r>
              <w:rPr>
                <w:rFonts w:ascii="Times New Roman" w:hAnsi="Times New Roman" w:eastAsia="Times New Roman" w:cs="Times New Roman"/>
                <w:b/>
                <w:bCs/>
                <w:spacing w:val="-3"/>
              </w:rPr>
              <w:t>12</w:t>
            </w:r>
            <w:r>
              <w:rPr>
                <w:b/>
                <w:bCs/>
                <w:spacing w:val="-3"/>
              </w:rPr>
              <w:t>号）的符合性分析</w:t>
            </w:r>
          </w:p>
          <w:p w14:paraId="2C799D93">
            <w:pPr>
              <w:pStyle w:val="6"/>
              <w:spacing w:before="32" w:line="355" w:lineRule="auto"/>
              <w:ind w:left="111" w:right="45" w:firstLine="480"/>
              <w:jc w:val="both"/>
            </w:pPr>
            <w:r>
              <w:rPr>
                <w:spacing w:val="-10"/>
              </w:rPr>
              <w:t>为贯彻落实《国务院关于印发扎实稳住经济一揽子政策措施</w:t>
            </w:r>
            <w:r>
              <w:rPr>
                <w:spacing w:val="-11"/>
              </w:rPr>
              <w:t>的通知》（国</w:t>
            </w:r>
            <w:r>
              <w:t xml:space="preserve"> </w:t>
            </w:r>
            <w:r>
              <w:rPr>
                <w:spacing w:val="-1"/>
              </w:rPr>
              <w:t>发〔</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12</w:t>
            </w:r>
            <w:r>
              <w:rPr>
                <w:rFonts w:ascii="Times New Roman" w:hAnsi="Times New Roman" w:eastAsia="Times New Roman" w:cs="Times New Roman"/>
                <w:spacing w:val="22"/>
                <w:w w:val="101"/>
              </w:rPr>
              <w:t xml:space="preserve"> </w:t>
            </w:r>
            <w:r>
              <w:rPr>
                <w:spacing w:val="-1"/>
              </w:rPr>
              <w:t>号）要求，进一步支持绿色能源发展，加快大型光伏基地建</w:t>
            </w:r>
            <w:r>
              <w:t xml:space="preserve">  </w:t>
            </w:r>
            <w:r>
              <w:rPr>
                <w:spacing w:val="-3"/>
              </w:rPr>
              <w:t>设，规范项目用地管理，自然资源部办公厅、国家林业和草原局办公室、国</w:t>
            </w:r>
            <w:r>
              <w:rPr>
                <w:spacing w:val="14"/>
              </w:rPr>
              <w:t xml:space="preserve"> </w:t>
            </w:r>
            <w:r>
              <w:rPr>
                <w:spacing w:val="-5"/>
              </w:rPr>
              <w:t>家能源局综合司联合发布《自然资源部办公厅</w:t>
            </w:r>
            <w:r>
              <w:rPr>
                <w:spacing w:val="42"/>
              </w:rPr>
              <w:t xml:space="preserve"> </w:t>
            </w:r>
            <w:r>
              <w:rPr>
                <w:spacing w:val="-5"/>
              </w:rPr>
              <w:t>国家林业和草原局办公室</w:t>
            </w:r>
            <w:r>
              <w:rPr>
                <w:spacing w:val="33"/>
              </w:rPr>
              <w:t xml:space="preserve"> </w:t>
            </w:r>
            <w:r>
              <w:rPr>
                <w:spacing w:val="-5"/>
              </w:rPr>
              <w:t>国</w:t>
            </w:r>
            <w:r>
              <w:t xml:space="preserve"> </w:t>
            </w:r>
            <w:r>
              <w:rPr>
                <w:spacing w:val="-1"/>
              </w:rPr>
              <w:t>家能源局综合司关于支持光伏发电产业发展规范用地管理有关工作的通知》</w:t>
            </w:r>
            <w:r>
              <w:rPr>
                <w:spacing w:val="6"/>
              </w:rPr>
              <w:t xml:space="preserve"> </w:t>
            </w:r>
            <w:r>
              <w:rPr>
                <w:spacing w:val="-2"/>
              </w:rPr>
              <w:t>（自然资办发〔</w:t>
            </w:r>
            <w:r>
              <w:rPr>
                <w:rFonts w:ascii="Times New Roman" w:hAnsi="Times New Roman" w:eastAsia="Times New Roman" w:cs="Times New Roman"/>
                <w:spacing w:val="-2"/>
              </w:rPr>
              <w:t>2023</w:t>
            </w:r>
            <w:r>
              <w:rPr>
                <w:spacing w:val="-2"/>
              </w:rPr>
              <w:t>〕</w:t>
            </w:r>
            <w:r>
              <w:rPr>
                <w:rFonts w:ascii="Times New Roman" w:hAnsi="Times New Roman" w:eastAsia="Times New Roman" w:cs="Times New Roman"/>
                <w:spacing w:val="-2"/>
              </w:rPr>
              <w:t>12</w:t>
            </w:r>
            <w:r>
              <w:rPr>
                <w:rFonts w:ascii="Times New Roman" w:hAnsi="Times New Roman" w:eastAsia="Times New Roman" w:cs="Times New Roman"/>
                <w:spacing w:val="15"/>
                <w:w w:val="101"/>
              </w:rPr>
              <w:t xml:space="preserve"> </w:t>
            </w:r>
            <w:r>
              <w:rPr>
                <w:spacing w:val="-2"/>
              </w:rPr>
              <w:t>号</w:t>
            </w:r>
            <w:r>
              <w:rPr>
                <w:spacing w:val="14"/>
              </w:rPr>
              <w:t>），</w:t>
            </w:r>
            <w:r>
              <w:rPr>
                <w:spacing w:val="-2"/>
              </w:rPr>
              <w:t>项目与其的符合性分析如下：</w:t>
            </w:r>
          </w:p>
        </w:tc>
      </w:tr>
    </w:tbl>
    <w:p w14:paraId="78ED3C22">
      <w:pPr>
        <w:rPr>
          <w:rFonts w:ascii="Arial"/>
          <w:sz w:val="21"/>
        </w:rPr>
      </w:pPr>
    </w:p>
    <w:p w14:paraId="2C9C7881">
      <w:pPr>
        <w:rPr>
          <w:rFonts w:ascii="Arial" w:hAnsi="Arial" w:eastAsia="Arial" w:cs="Arial"/>
          <w:sz w:val="21"/>
          <w:szCs w:val="21"/>
        </w:rPr>
        <w:sectPr>
          <w:footerReference r:id="rId32" w:type="default"/>
          <w:pgSz w:w="11906" w:h="16839"/>
          <w:pgMar w:top="1431" w:right="1407" w:bottom="1278" w:left="1407" w:header="0" w:footer="1116" w:gutter="0"/>
          <w:cols w:space="720" w:num="1"/>
        </w:sectPr>
      </w:pPr>
    </w:p>
    <w:p w14:paraId="090864AE">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7785376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80" w:hRule="atLeast"/>
        </w:trPr>
        <w:tc>
          <w:tcPr>
            <w:tcW w:w="9076" w:type="dxa"/>
            <w:vAlign w:val="top"/>
          </w:tcPr>
          <w:p w14:paraId="56C28A3D">
            <w:pPr>
              <w:spacing w:line="43" w:lineRule="auto"/>
              <w:rPr>
                <w:rFonts w:ascii="Arial"/>
                <w:sz w:val="2"/>
              </w:rPr>
            </w:pPr>
            <w:r>
              <w:pict>
                <v:shape id="_x0000_s1044" o:spid="_x0000_s1044" style="position:absolute;left:0pt;margin-left:55.85pt;margin-top:14.9pt;height:669.15pt;width:0.5pt;mso-position-horizontal-relative:page;mso-position-vertical-relative:page;z-index:251679744;mso-width-relative:page;mso-height-relative:page;" filled="f" stroked="t" coordsize="10,13383" path="m4,0l4,13382e">
                  <v:fill on="f" focussize="0,0"/>
                  <v:stroke weight="0.48pt" color="#000000" miterlimit="2" joinstyle="bevel"/>
                  <v:imagedata o:title=""/>
                  <o:lock v:ext="edit"/>
                </v:shape>
              </w:pict>
            </w:r>
          </w:p>
          <w:tbl>
            <w:tblPr>
              <w:tblStyle w:val="5"/>
              <w:tblW w:w="7955"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3244"/>
              <w:gridCol w:w="3118"/>
              <w:gridCol w:w="821"/>
            </w:tblGrid>
            <w:tr w14:paraId="3EB6A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016" w:type="dxa"/>
                  <w:gridSpan w:val="2"/>
                  <w:tcBorders>
                    <w:top w:val="nil"/>
                    <w:right w:val="nil"/>
                  </w:tcBorders>
                  <w:vAlign w:val="top"/>
                </w:tcPr>
                <w:p w14:paraId="7E857D8A">
                  <w:pPr>
                    <w:pStyle w:val="6"/>
                    <w:spacing w:before="37" w:line="217" w:lineRule="auto"/>
                    <w:jc w:val="right"/>
                    <w:rPr>
                      <w:sz w:val="20"/>
                      <w:szCs w:val="20"/>
                    </w:rPr>
                  </w:pPr>
                  <w:r>
                    <w:rPr>
                      <w:b/>
                      <w:bCs/>
                      <w:spacing w:val="2"/>
                      <w:sz w:val="20"/>
                      <w:szCs w:val="20"/>
                    </w:rPr>
                    <w:t>表</w:t>
                  </w:r>
                  <w:r>
                    <w:rPr>
                      <w:spacing w:val="-27"/>
                      <w:sz w:val="20"/>
                      <w:szCs w:val="20"/>
                    </w:rPr>
                    <w:t xml:space="preserve"> </w:t>
                  </w:r>
                  <w:r>
                    <w:rPr>
                      <w:rFonts w:ascii="Times New Roman" w:hAnsi="Times New Roman" w:eastAsia="Times New Roman" w:cs="Times New Roman"/>
                      <w:b/>
                      <w:bCs/>
                      <w:spacing w:val="2"/>
                      <w:sz w:val="20"/>
                      <w:szCs w:val="20"/>
                    </w:rPr>
                    <w:t xml:space="preserve">1-11 </w:t>
                  </w:r>
                  <w:r>
                    <w:rPr>
                      <w:b/>
                      <w:bCs/>
                      <w:spacing w:val="2"/>
                      <w:sz w:val="20"/>
                      <w:szCs w:val="20"/>
                    </w:rPr>
                    <w:t>项目与自然资办发〔</w:t>
                  </w:r>
                </w:p>
              </w:tc>
              <w:tc>
                <w:tcPr>
                  <w:tcW w:w="3118" w:type="dxa"/>
                  <w:tcBorders>
                    <w:top w:val="nil"/>
                    <w:left w:val="nil"/>
                    <w:right w:val="nil"/>
                  </w:tcBorders>
                  <w:vAlign w:val="top"/>
                </w:tcPr>
                <w:p w14:paraId="79B8B888">
                  <w:pPr>
                    <w:pStyle w:val="6"/>
                    <w:spacing w:before="37" w:line="217" w:lineRule="auto"/>
                    <w:ind w:left="26"/>
                    <w:rPr>
                      <w:sz w:val="20"/>
                      <w:szCs w:val="20"/>
                    </w:rPr>
                  </w:pPr>
                  <w:r>
                    <w:rPr>
                      <w:rFonts w:ascii="Times New Roman" w:hAnsi="Times New Roman" w:eastAsia="Times New Roman" w:cs="Times New Roman"/>
                      <w:b/>
                      <w:bCs/>
                      <w:spacing w:val="6"/>
                      <w:sz w:val="20"/>
                      <w:szCs w:val="20"/>
                    </w:rPr>
                    <w:t>2023</w:t>
                  </w:r>
                  <w:r>
                    <w:rPr>
                      <w:b/>
                      <w:bCs/>
                      <w:spacing w:val="6"/>
                      <w:sz w:val="20"/>
                      <w:szCs w:val="20"/>
                    </w:rPr>
                    <w:t>〕</w:t>
                  </w:r>
                  <w:r>
                    <w:rPr>
                      <w:rFonts w:ascii="Times New Roman" w:hAnsi="Times New Roman" w:eastAsia="Times New Roman" w:cs="Times New Roman"/>
                      <w:b/>
                      <w:bCs/>
                      <w:spacing w:val="6"/>
                      <w:sz w:val="20"/>
                      <w:szCs w:val="20"/>
                    </w:rPr>
                    <w:t xml:space="preserve">12 </w:t>
                  </w:r>
                  <w:r>
                    <w:rPr>
                      <w:b/>
                      <w:bCs/>
                      <w:spacing w:val="6"/>
                      <w:sz w:val="20"/>
                      <w:szCs w:val="20"/>
                    </w:rPr>
                    <w:t>号文件符合性分析</w:t>
                  </w:r>
                </w:p>
              </w:tc>
              <w:tc>
                <w:tcPr>
                  <w:tcW w:w="821" w:type="dxa"/>
                  <w:tcBorders>
                    <w:top w:val="nil"/>
                    <w:left w:val="nil"/>
                    <w:right w:val="nil"/>
                  </w:tcBorders>
                  <w:vAlign w:val="top"/>
                </w:tcPr>
                <w:p w14:paraId="1E4CB3B2">
                  <w:pPr>
                    <w:rPr>
                      <w:rFonts w:ascii="Arial"/>
                      <w:sz w:val="21"/>
                    </w:rPr>
                  </w:pPr>
                </w:p>
              </w:tc>
            </w:tr>
            <w:tr w14:paraId="67BD2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016" w:type="dxa"/>
                  <w:gridSpan w:val="2"/>
                  <w:vAlign w:val="top"/>
                </w:tcPr>
                <w:p w14:paraId="4A1992E8">
                  <w:pPr>
                    <w:pStyle w:val="6"/>
                    <w:spacing w:before="166" w:line="228" w:lineRule="auto"/>
                    <w:ind w:left="1655"/>
                    <w:rPr>
                      <w:sz w:val="20"/>
                      <w:szCs w:val="20"/>
                    </w:rPr>
                  </w:pPr>
                  <w:r>
                    <w:rPr>
                      <w:b/>
                      <w:bCs/>
                      <w:spacing w:val="5"/>
                      <w:sz w:val="20"/>
                      <w:szCs w:val="20"/>
                    </w:rPr>
                    <w:t>管控要求</w:t>
                  </w:r>
                </w:p>
              </w:tc>
              <w:tc>
                <w:tcPr>
                  <w:tcW w:w="3118" w:type="dxa"/>
                  <w:vAlign w:val="top"/>
                </w:tcPr>
                <w:p w14:paraId="698272B1">
                  <w:pPr>
                    <w:pStyle w:val="6"/>
                    <w:spacing w:before="166" w:line="227" w:lineRule="auto"/>
                    <w:ind w:left="1038"/>
                    <w:rPr>
                      <w:sz w:val="20"/>
                      <w:szCs w:val="20"/>
                    </w:rPr>
                  </w:pPr>
                  <w:r>
                    <w:rPr>
                      <w:b/>
                      <w:bCs/>
                      <w:spacing w:val="6"/>
                      <w:sz w:val="20"/>
                      <w:szCs w:val="20"/>
                    </w:rPr>
                    <w:t>本项目情况</w:t>
                  </w:r>
                </w:p>
              </w:tc>
              <w:tc>
                <w:tcPr>
                  <w:tcW w:w="821" w:type="dxa"/>
                  <w:vAlign w:val="top"/>
                </w:tcPr>
                <w:p w14:paraId="2214498B">
                  <w:pPr>
                    <w:pStyle w:val="6"/>
                    <w:spacing w:before="32" w:line="234" w:lineRule="auto"/>
                    <w:ind w:left="312" w:right="199" w:hanging="106"/>
                    <w:rPr>
                      <w:sz w:val="20"/>
                      <w:szCs w:val="20"/>
                    </w:rPr>
                  </w:pPr>
                  <w:r>
                    <w:rPr>
                      <w:b/>
                      <w:bCs/>
                      <w:spacing w:val="3"/>
                      <w:sz w:val="20"/>
                      <w:szCs w:val="20"/>
                    </w:rPr>
                    <w:t>符合</w:t>
                  </w:r>
                  <w:r>
                    <w:rPr>
                      <w:sz w:val="20"/>
                      <w:szCs w:val="20"/>
                    </w:rPr>
                    <w:t xml:space="preserve"> </w:t>
                  </w:r>
                  <w:r>
                    <w:rPr>
                      <w:b/>
                      <w:bCs/>
                      <w:spacing w:val="-3"/>
                      <w:sz w:val="20"/>
                      <w:szCs w:val="20"/>
                    </w:rPr>
                    <w:t>性</w:t>
                  </w:r>
                </w:p>
              </w:tc>
            </w:tr>
            <w:tr w14:paraId="7A8E2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5" w:hRule="atLeast"/>
              </w:trPr>
              <w:tc>
                <w:tcPr>
                  <w:tcW w:w="772" w:type="dxa"/>
                  <w:vAlign w:val="top"/>
                </w:tcPr>
                <w:p w14:paraId="46B4ACAF">
                  <w:pPr>
                    <w:spacing w:line="249" w:lineRule="auto"/>
                    <w:rPr>
                      <w:rFonts w:ascii="Arial"/>
                      <w:sz w:val="21"/>
                    </w:rPr>
                  </w:pPr>
                </w:p>
                <w:p w14:paraId="343DBB44">
                  <w:pPr>
                    <w:spacing w:line="249" w:lineRule="auto"/>
                    <w:rPr>
                      <w:rFonts w:ascii="Arial"/>
                      <w:sz w:val="21"/>
                    </w:rPr>
                  </w:pPr>
                </w:p>
                <w:p w14:paraId="4863BA7A">
                  <w:pPr>
                    <w:spacing w:line="249" w:lineRule="auto"/>
                    <w:rPr>
                      <w:rFonts w:ascii="Arial"/>
                      <w:sz w:val="21"/>
                    </w:rPr>
                  </w:pPr>
                </w:p>
                <w:p w14:paraId="5B750B67">
                  <w:pPr>
                    <w:spacing w:line="249" w:lineRule="auto"/>
                    <w:rPr>
                      <w:rFonts w:ascii="Arial"/>
                      <w:sz w:val="21"/>
                    </w:rPr>
                  </w:pPr>
                </w:p>
                <w:p w14:paraId="3D17CB70">
                  <w:pPr>
                    <w:spacing w:line="249" w:lineRule="auto"/>
                    <w:rPr>
                      <w:rFonts w:ascii="Arial"/>
                      <w:sz w:val="21"/>
                    </w:rPr>
                  </w:pPr>
                </w:p>
                <w:p w14:paraId="29FF34B4">
                  <w:pPr>
                    <w:spacing w:line="250" w:lineRule="auto"/>
                    <w:rPr>
                      <w:rFonts w:ascii="Arial"/>
                      <w:sz w:val="21"/>
                    </w:rPr>
                  </w:pPr>
                </w:p>
                <w:p w14:paraId="4F43EB47">
                  <w:pPr>
                    <w:spacing w:line="250" w:lineRule="auto"/>
                    <w:rPr>
                      <w:rFonts w:ascii="Arial"/>
                      <w:sz w:val="21"/>
                    </w:rPr>
                  </w:pPr>
                </w:p>
                <w:p w14:paraId="1DF83B65">
                  <w:pPr>
                    <w:spacing w:line="250" w:lineRule="auto"/>
                    <w:rPr>
                      <w:rFonts w:ascii="Arial"/>
                      <w:sz w:val="21"/>
                    </w:rPr>
                  </w:pPr>
                </w:p>
                <w:p w14:paraId="5C21DAB9">
                  <w:pPr>
                    <w:pStyle w:val="6"/>
                    <w:spacing w:before="65" w:line="245" w:lineRule="auto"/>
                    <w:ind w:left="236" w:right="120" w:firstLine="15"/>
                    <w:jc w:val="both"/>
                    <w:rPr>
                      <w:sz w:val="20"/>
                      <w:szCs w:val="20"/>
                    </w:rPr>
                  </w:pPr>
                  <w:r>
                    <w:rPr>
                      <w:spacing w:val="-3"/>
                      <w:sz w:val="20"/>
                      <w:szCs w:val="20"/>
                    </w:rPr>
                    <w:t>引导</w:t>
                  </w:r>
                  <w:r>
                    <w:rPr>
                      <w:sz w:val="20"/>
                      <w:szCs w:val="20"/>
                    </w:rPr>
                    <w:t xml:space="preserve"> </w:t>
                  </w:r>
                  <w:r>
                    <w:rPr>
                      <w:spacing w:val="4"/>
                      <w:sz w:val="20"/>
                      <w:szCs w:val="20"/>
                    </w:rPr>
                    <w:t>项目</w:t>
                  </w:r>
                  <w:r>
                    <w:rPr>
                      <w:sz w:val="20"/>
                      <w:szCs w:val="20"/>
                    </w:rPr>
                    <w:t xml:space="preserve"> </w:t>
                  </w:r>
                  <w:r>
                    <w:rPr>
                      <w:spacing w:val="4"/>
                      <w:sz w:val="20"/>
                      <w:szCs w:val="20"/>
                    </w:rPr>
                    <w:t>合理</w:t>
                  </w:r>
                  <w:r>
                    <w:rPr>
                      <w:sz w:val="20"/>
                      <w:szCs w:val="20"/>
                    </w:rPr>
                    <w:t xml:space="preserve"> </w:t>
                  </w:r>
                  <w:r>
                    <w:rPr>
                      <w:spacing w:val="4"/>
                      <w:sz w:val="20"/>
                      <w:szCs w:val="20"/>
                    </w:rPr>
                    <w:t>布局</w:t>
                  </w:r>
                </w:p>
              </w:tc>
              <w:tc>
                <w:tcPr>
                  <w:tcW w:w="3244" w:type="dxa"/>
                  <w:vAlign w:val="top"/>
                </w:tcPr>
                <w:p w14:paraId="724CAC21">
                  <w:pPr>
                    <w:pStyle w:val="6"/>
                    <w:spacing w:before="29" w:line="250" w:lineRule="auto"/>
                    <w:ind w:left="112" w:right="36" w:firstLine="44"/>
                    <w:rPr>
                      <w:sz w:val="20"/>
                      <w:szCs w:val="20"/>
                    </w:rPr>
                  </w:pPr>
                  <w:r>
                    <w:rPr>
                      <w:spacing w:val="9"/>
                      <w:sz w:val="20"/>
                      <w:szCs w:val="20"/>
                    </w:rPr>
                    <w:t>鼓励利用未利用地和存量建设用</w:t>
                  </w:r>
                  <w:r>
                    <w:rPr>
                      <w:sz w:val="20"/>
                      <w:szCs w:val="20"/>
                    </w:rPr>
                    <w:t xml:space="preserve">  </w:t>
                  </w:r>
                  <w:r>
                    <w:rPr>
                      <w:spacing w:val="12"/>
                      <w:sz w:val="20"/>
                      <w:szCs w:val="20"/>
                    </w:rPr>
                    <w:t>地发展光伏发电产业。在严格保</w:t>
                  </w:r>
                  <w:r>
                    <w:rPr>
                      <w:spacing w:val="1"/>
                      <w:sz w:val="20"/>
                      <w:szCs w:val="20"/>
                    </w:rPr>
                    <w:t xml:space="preserve">  </w:t>
                  </w:r>
                  <w:r>
                    <w:rPr>
                      <w:spacing w:val="12"/>
                      <w:sz w:val="20"/>
                      <w:szCs w:val="20"/>
                    </w:rPr>
                    <w:t>护生态前提下，鼓励在沙漠、戈</w:t>
                  </w:r>
                  <w:r>
                    <w:rPr>
                      <w:spacing w:val="1"/>
                      <w:sz w:val="20"/>
                      <w:szCs w:val="20"/>
                    </w:rPr>
                    <w:t xml:space="preserve">  </w:t>
                  </w:r>
                  <w:r>
                    <w:rPr>
                      <w:spacing w:val="12"/>
                      <w:sz w:val="20"/>
                      <w:szCs w:val="20"/>
                    </w:rPr>
                    <w:t>壁、荒漠等区域选址建设大型光</w:t>
                  </w:r>
                  <w:r>
                    <w:rPr>
                      <w:spacing w:val="1"/>
                      <w:sz w:val="20"/>
                      <w:szCs w:val="20"/>
                    </w:rPr>
                    <w:t xml:space="preserve">  </w:t>
                  </w:r>
                  <w:r>
                    <w:rPr>
                      <w:spacing w:val="12"/>
                      <w:sz w:val="20"/>
                      <w:szCs w:val="20"/>
                    </w:rPr>
                    <w:t>伏基地；对于油田、气田以及难</w:t>
                  </w:r>
                  <w:r>
                    <w:rPr>
                      <w:spacing w:val="1"/>
                      <w:sz w:val="20"/>
                      <w:szCs w:val="20"/>
                    </w:rPr>
                    <w:t xml:space="preserve">  </w:t>
                  </w:r>
                  <w:r>
                    <w:rPr>
                      <w:spacing w:val="12"/>
                      <w:sz w:val="20"/>
                      <w:szCs w:val="20"/>
                    </w:rPr>
                    <w:t>以复垦或修复的采煤沉陷区，推</w:t>
                  </w:r>
                  <w:r>
                    <w:rPr>
                      <w:spacing w:val="1"/>
                      <w:sz w:val="20"/>
                      <w:szCs w:val="20"/>
                    </w:rPr>
                    <w:t xml:space="preserve">  </w:t>
                  </w:r>
                  <w:r>
                    <w:rPr>
                      <w:spacing w:val="12"/>
                      <w:sz w:val="20"/>
                      <w:szCs w:val="20"/>
                    </w:rPr>
                    <w:t>进其中的非耕地区域规划建设光</w:t>
                  </w:r>
                  <w:r>
                    <w:rPr>
                      <w:spacing w:val="1"/>
                      <w:sz w:val="20"/>
                      <w:szCs w:val="20"/>
                    </w:rPr>
                    <w:t xml:space="preserve">  </w:t>
                  </w:r>
                  <w:r>
                    <w:rPr>
                      <w:spacing w:val="5"/>
                      <w:sz w:val="20"/>
                      <w:szCs w:val="20"/>
                    </w:rPr>
                    <w:t>伏基地。项目选址应当避让耕地、</w:t>
                  </w:r>
                  <w:r>
                    <w:rPr>
                      <w:spacing w:val="13"/>
                      <w:sz w:val="20"/>
                      <w:szCs w:val="20"/>
                    </w:rPr>
                    <w:t xml:space="preserve"> </w:t>
                  </w:r>
                  <w:r>
                    <w:rPr>
                      <w:spacing w:val="5"/>
                      <w:sz w:val="20"/>
                      <w:szCs w:val="20"/>
                    </w:rPr>
                    <w:t>生态保护红线、历史文化保护线、</w:t>
                  </w:r>
                  <w:r>
                    <w:rPr>
                      <w:spacing w:val="13"/>
                      <w:sz w:val="20"/>
                      <w:szCs w:val="20"/>
                    </w:rPr>
                    <w:t xml:space="preserve"> </w:t>
                  </w:r>
                  <w:r>
                    <w:rPr>
                      <w:spacing w:val="12"/>
                      <w:sz w:val="20"/>
                      <w:szCs w:val="20"/>
                    </w:rPr>
                    <w:t>特殊自然景观价值和文化标识区</w:t>
                  </w:r>
                  <w:r>
                    <w:rPr>
                      <w:spacing w:val="1"/>
                      <w:sz w:val="20"/>
                      <w:szCs w:val="20"/>
                    </w:rPr>
                    <w:t xml:space="preserve">  </w:t>
                  </w:r>
                  <w:r>
                    <w:rPr>
                      <w:spacing w:val="12"/>
                      <w:sz w:val="20"/>
                      <w:szCs w:val="20"/>
                    </w:rPr>
                    <w:t>域、天然林地、国家沙化土地封</w:t>
                  </w:r>
                  <w:r>
                    <w:rPr>
                      <w:spacing w:val="1"/>
                      <w:sz w:val="20"/>
                      <w:szCs w:val="20"/>
                    </w:rPr>
                    <w:t xml:space="preserve">  </w:t>
                  </w:r>
                  <w:r>
                    <w:rPr>
                      <w:spacing w:val="12"/>
                      <w:sz w:val="20"/>
                      <w:szCs w:val="20"/>
                    </w:rPr>
                    <w:t>禁保护区（光伏发电项目输出线</w:t>
                  </w:r>
                  <w:r>
                    <w:rPr>
                      <w:spacing w:val="1"/>
                      <w:sz w:val="20"/>
                      <w:szCs w:val="20"/>
                    </w:rPr>
                    <w:t xml:space="preserve">  </w:t>
                  </w:r>
                  <w:r>
                    <w:rPr>
                      <w:spacing w:val="12"/>
                      <w:sz w:val="20"/>
                      <w:szCs w:val="20"/>
                    </w:rPr>
                    <w:t>路允许穿越国家沙化土地封禁保</w:t>
                  </w:r>
                  <w:r>
                    <w:rPr>
                      <w:spacing w:val="1"/>
                      <w:sz w:val="20"/>
                      <w:szCs w:val="20"/>
                    </w:rPr>
                    <w:t xml:space="preserve">  </w:t>
                  </w:r>
                  <w:r>
                    <w:rPr>
                      <w:spacing w:val="13"/>
                      <w:sz w:val="20"/>
                      <w:szCs w:val="20"/>
                    </w:rPr>
                    <w:t>护区）等；涉及自然保护地的，</w:t>
                  </w:r>
                  <w:r>
                    <w:rPr>
                      <w:spacing w:val="3"/>
                      <w:sz w:val="20"/>
                      <w:szCs w:val="20"/>
                    </w:rPr>
                    <w:t xml:space="preserve">  </w:t>
                  </w:r>
                  <w:r>
                    <w:rPr>
                      <w:spacing w:val="12"/>
                      <w:sz w:val="20"/>
                      <w:szCs w:val="20"/>
                    </w:rPr>
                    <w:t>还应当符合自然保护地相关法规</w:t>
                  </w:r>
                  <w:r>
                    <w:rPr>
                      <w:spacing w:val="1"/>
                      <w:sz w:val="20"/>
                      <w:szCs w:val="20"/>
                    </w:rPr>
                    <w:t xml:space="preserve">  </w:t>
                  </w:r>
                  <w:r>
                    <w:rPr>
                      <w:spacing w:val="12"/>
                      <w:sz w:val="20"/>
                      <w:szCs w:val="20"/>
                    </w:rPr>
                    <w:t>和政策要求。新建、扩建光伏发</w:t>
                  </w:r>
                  <w:r>
                    <w:rPr>
                      <w:spacing w:val="1"/>
                      <w:sz w:val="20"/>
                      <w:szCs w:val="20"/>
                    </w:rPr>
                    <w:t xml:space="preserve">  </w:t>
                  </w:r>
                  <w:r>
                    <w:rPr>
                      <w:spacing w:val="12"/>
                      <w:sz w:val="20"/>
                      <w:szCs w:val="20"/>
                    </w:rPr>
                    <w:t>电项目，一律不得占用永久基本</w:t>
                  </w:r>
                  <w:r>
                    <w:rPr>
                      <w:spacing w:val="1"/>
                      <w:sz w:val="20"/>
                      <w:szCs w:val="20"/>
                    </w:rPr>
                    <w:t xml:space="preserve">  </w:t>
                  </w:r>
                  <w:r>
                    <w:rPr>
                      <w:spacing w:val="9"/>
                      <w:sz w:val="20"/>
                      <w:szCs w:val="20"/>
                    </w:rPr>
                    <w:t>农田、基本草原、</w:t>
                  </w:r>
                  <w:r>
                    <w:rPr>
                      <w:rFonts w:ascii="Times New Roman" w:hAnsi="Times New Roman" w:eastAsia="Times New Roman" w:cs="Times New Roman"/>
                      <w:spacing w:val="9"/>
                      <w:sz w:val="20"/>
                      <w:szCs w:val="20"/>
                    </w:rPr>
                    <w:t>Ⅰ</w:t>
                  </w:r>
                  <w:r>
                    <w:rPr>
                      <w:spacing w:val="9"/>
                      <w:sz w:val="20"/>
                      <w:szCs w:val="20"/>
                    </w:rPr>
                    <w:t>级保护林地和</w:t>
                  </w:r>
                </w:p>
                <w:p w14:paraId="6E78E2EA">
                  <w:pPr>
                    <w:pStyle w:val="6"/>
                    <w:spacing w:before="25" w:line="217" w:lineRule="auto"/>
                    <w:ind w:left="374"/>
                    <w:rPr>
                      <w:sz w:val="20"/>
                      <w:szCs w:val="20"/>
                    </w:rPr>
                  </w:pPr>
                  <w:r>
                    <w:rPr>
                      <w:spacing w:val="7"/>
                      <w:sz w:val="20"/>
                      <w:szCs w:val="20"/>
                    </w:rPr>
                    <w:t>东北内蒙古重点国有林区。</w:t>
                  </w:r>
                </w:p>
              </w:tc>
              <w:tc>
                <w:tcPr>
                  <w:tcW w:w="3118" w:type="dxa"/>
                  <w:vAlign w:val="top"/>
                </w:tcPr>
                <w:p w14:paraId="2B823C2A">
                  <w:pPr>
                    <w:spacing w:line="295" w:lineRule="auto"/>
                    <w:rPr>
                      <w:rFonts w:ascii="Arial"/>
                      <w:sz w:val="21"/>
                    </w:rPr>
                  </w:pPr>
                </w:p>
                <w:p w14:paraId="5EDDB23E">
                  <w:pPr>
                    <w:spacing w:line="296" w:lineRule="auto"/>
                    <w:rPr>
                      <w:rFonts w:ascii="Arial"/>
                      <w:sz w:val="21"/>
                    </w:rPr>
                  </w:pPr>
                </w:p>
                <w:p w14:paraId="6CB75A4F">
                  <w:pPr>
                    <w:spacing w:line="296" w:lineRule="auto"/>
                    <w:rPr>
                      <w:rFonts w:ascii="Arial"/>
                      <w:sz w:val="21"/>
                    </w:rPr>
                  </w:pPr>
                </w:p>
                <w:p w14:paraId="06B85CD2">
                  <w:pPr>
                    <w:spacing w:line="296" w:lineRule="auto"/>
                    <w:rPr>
                      <w:rFonts w:ascii="Arial"/>
                      <w:sz w:val="21"/>
                    </w:rPr>
                  </w:pPr>
                </w:p>
                <w:p w14:paraId="362A1C98">
                  <w:pPr>
                    <w:pStyle w:val="6"/>
                    <w:spacing w:before="65" w:line="249" w:lineRule="auto"/>
                    <w:ind w:left="113" w:right="102"/>
                    <w:rPr>
                      <w:sz w:val="20"/>
                      <w:szCs w:val="20"/>
                    </w:rPr>
                  </w:pPr>
                  <w:r>
                    <w:rPr>
                      <w:spacing w:val="9"/>
                      <w:sz w:val="20"/>
                      <w:szCs w:val="20"/>
                    </w:rPr>
                    <w:t>根据各部门的查询意见及叠图</w:t>
                  </w:r>
                  <w:r>
                    <w:rPr>
                      <w:spacing w:val="1"/>
                      <w:sz w:val="20"/>
                      <w:szCs w:val="20"/>
                    </w:rPr>
                    <w:t xml:space="preserve">  </w:t>
                  </w:r>
                  <w:r>
                    <w:rPr>
                      <w:spacing w:val="6"/>
                      <w:sz w:val="20"/>
                      <w:szCs w:val="20"/>
                    </w:rPr>
                    <w:t>分析，项目选址已避让耕地、生</w:t>
                  </w:r>
                  <w:r>
                    <w:rPr>
                      <w:spacing w:val="11"/>
                      <w:sz w:val="20"/>
                      <w:szCs w:val="20"/>
                    </w:rPr>
                    <w:t xml:space="preserve"> </w:t>
                  </w:r>
                  <w:r>
                    <w:rPr>
                      <w:spacing w:val="6"/>
                      <w:sz w:val="20"/>
                      <w:szCs w:val="20"/>
                    </w:rPr>
                    <w:t>态保护红线、文物保护单位、特</w:t>
                  </w:r>
                  <w:r>
                    <w:rPr>
                      <w:spacing w:val="11"/>
                      <w:sz w:val="20"/>
                      <w:szCs w:val="20"/>
                    </w:rPr>
                    <w:t xml:space="preserve"> </w:t>
                  </w:r>
                  <w:r>
                    <w:rPr>
                      <w:spacing w:val="9"/>
                      <w:sz w:val="20"/>
                      <w:szCs w:val="20"/>
                    </w:rPr>
                    <w:t>殊自然景观价值和文化标识区</w:t>
                  </w:r>
                  <w:r>
                    <w:rPr>
                      <w:spacing w:val="1"/>
                      <w:sz w:val="20"/>
                      <w:szCs w:val="20"/>
                    </w:rPr>
                    <w:t xml:space="preserve">  </w:t>
                  </w:r>
                  <w:r>
                    <w:rPr>
                      <w:spacing w:val="6"/>
                      <w:sz w:val="20"/>
                      <w:szCs w:val="20"/>
                    </w:rPr>
                    <w:t>域、天然林地、不占用国家沙化</w:t>
                  </w:r>
                  <w:r>
                    <w:rPr>
                      <w:spacing w:val="8"/>
                      <w:sz w:val="20"/>
                      <w:szCs w:val="20"/>
                    </w:rPr>
                    <w:t xml:space="preserve"> </w:t>
                  </w:r>
                  <w:r>
                    <w:rPr>
                      <w:spacing w:val="6"/>
                      <w:sz w:val="20"/>
                      <w:szCs w:val="20"/>
                    </w:rPr>
                    <w:t>土地封禁保护区（位于内蒙古、</w:t>
                  </w:r>
                  <w:r>
                    <w:rPr>
                      <w:spacing w:val="12"/>
                      <w:sz w:val="20"/>
                      <w:szCs w:val="20"/>
                    </w:rPr>
                    <w:t xml:space="preserve"> </w:t>
                  </w:r>
                  <w:r>
                    <w:rPr>
                      <w:spacing w:val="4"/>
                      <w:sz w:val="20"/>
                      <w:szCs w:val="20"/>
                    </w:rPr>
                    <w:t>青海等黄河流域</w:t>
                  </w:r>
                  <w:r>
                    <w:rPr>
                      <w:spacing w:val="-37"/>
                      <w:sz w:val="20"/>
                      <w:szCs w:val="20"/>
                    </w:rPr>
                    <w:t xml:space="preserve"> </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16"/>
                      <w:sz w:val="20"/>
                      <w:szCs w:val="20"/>
                    </w:rPr>
                    <w:t xml:space="preserve"> </w:t>
                  </w:r>
                  <w:r>
                    <w:rPr>
                      <w:spacing w:val="4"/>
                      <w:sz w:val="20"/>
                      <w:szCs w:val="20"/>
                    </w:rPr>
                    <w:t>省（区</w:t>
                  </w:r>
                  <w:r>
                    <w:rPr>
                      <w:spacing w:val="9"/>
                      <w:sz w:val="20"/>
                      <w:szCs w:val="20"/>
                    </w:rPr>
                    <w:t>），</w:t>
                  </w:r>
                  <w:r>
                    <w:rPr>
                      <w:spacing w:val="4"/>
                      <w:sz w:val="20"/>
                      <w:szCs w:val="20"/>
                    </w:rPr>
                    <w:t>寻</w:t>
                  </w:r>
                  <w:r>
                    <w:rPr>
                      <w:sz w:val="20"/>
                      <w:szCs w:val="20"/>
                    </w:rPr>
                    <w:t xml:space="preserve"> </w:t>
                  </w:r>
                  <w:r>
                    <w:rPr>
                      <w:spacing w:val="6"/>
                      <w:sz w:val="20"/>
                      <w:szCs w:val="20"/>
                    </w:rPr>
                    <w:t>甸县不涉及）、自然保护地、永</w:t>
                  </w:r>
                  <w:r>
                    <w:rPr>
                      <w:spacing w:val="11"/>
                      <w:sz w:val="20"/>
                      <w:szCs w:val="20"/>
                    </w:rPr>
                    <w:t xml:space="preserve"> </w:t>
                  </w:r>
                  <w:r>
                    <w:rPr>
                      <w:spacing w:val="8"/>
                      <w:sz w:val="20"/>
                      <w:szCs w:val="20"/>
                    </w:rPr>
                    <w:t>久基本农田、基本草原、</w:t>
                  </w:r>
                  <w:r>
                    <w:rPr>
                      <w:rFonts w:ascii="Times New Roman" w:hAnsi="Times New Roman" w:eastAsia="Times New Roman" w:cs="Times New Roman"/>
                      <w:spacing w:val="8"/>
                      <w:sz w:val="20"/>
                      <w:szCs w:val="20"/>
                    </w:rPr>
                    <w:t>Ⅰ</w:t>
                  </w:r>
                  <w:r>
                    <w:rPr>
                      <w:spacing w:val="8"/>
                      <w:sz w:val="20"/>
                      <w:szCs w:val="20"/>
                    </w:rPr>
                    <w:t>级保</w:t>
                  </w:r>
                  <w:r>
                    <w:rPr>
                      <w:spacing w:val="4"/>
                      <w:sz w:val="20"/>
                      <w:szCs w:val="20"/>
                    </w:rPr>
                    <w:t xml:space="preserve">  </w:t>
                  </w:r>
                  <w:r>
                    <w:rPr>
                      <w:spacing w:val="5"/>
                      <w:sz w:val="20"/>
                      <w:szCs w:val="20"/>
                    </w:rPr>
                    <w:t>护林地。</w:t>
                  </w:r>
                </w:p>
              </w:tc>
              <w:tc>
                <w:tcPr>
                  <w:tcW w:w="821" w:type="dxa"/>
                  <w:vAlign w:val="top"/>
                </w:tcPr>
                <w:p w14:paraId="12EE3271">
                  <w:pPr>
                    <w:rPr>
                      <w:rFonts w:ascii="Arial"/>
                      <w:sz w:val="21"/>
                    </w:rPr>
                  </w:pPr>
                </w:p>
                <w:p w14:paraId="0F82DBD2">
                  <w:pPr>
                    <w:rPr>
                      <w:rFonts w:ascii="Arial"/>
                      <w:sz w:val="21"/>
                    </w:rPr>
                  </w:pPr>
                </w:p>
                <w:p w14:paraId="4651DBBD">
                  <w:pPr>
                    <w:rPr>
                      <w:rFonts w:ascii="Arial"/>
                      <w:sz w:val="21"/>
                    </w:rPr>
                  </w:pPr>
                </w:p>
                <w:p w14:paraId="7E786BFB">
                  <w:pPr>
                    <w:rPr>
                      <w:rFonts w:ascii="Arial"/>
                      <w:sz w:val="21"/>
                    </w:rPr>
                  </w:pPr>
                </w:p>
                <w:p w14:paraId="282EE3F3">
                  <w:pPr>
                    <w:rPr>
                      <w:rFonts w:ascii="Arial"/>
                      <w:sz w:val="21"/>
                    </w:rPr>
                  </w:pPr>
                </w:p>
                <w:p w14:paraId="0BC25443">
                  <w:pPr>
                    <w:rPr>
                      <w:rFonts w:ascii="Arial"/>
                      <w:sz w:val="21"/>
                    </w:rPr>
                  </w:pPr>
                </w:p>
                <w:p w14:paraId="6B9CCF56">
                  <w:pPr>
                    <w:rPr>
                      <w:rFonts w:ascii="Arial"/>
                      <w:sz w:val="21"/>
                    </w:rPr>
                  </w:pPr>
                </w:p>
                <w:p w14:paraId="464474AE">
                  <w:pPr>
                    <w:rPr>
                      <w:rFonts w:ascii="Arial"/>
                      <w:sz w:val="21"/>
                    </w:rPr>
                  </w:pPr>
                </w:p>
                <w:p w14:paraId="29C1A990">
                  <w:pPr>
                    <w:rPr>
                      <w:rFonts w:ascii="Arial"/>
                      <w:sz w:val="21"/>
                    </w:rPr>
                  </w:pPr>
                </w:p>
                <w:p w14:paraId="21716154">
                  <w:pPr>
                    <w:rPr>
                      <w:rFonts w:ascii="Arial"/>
                      <w:sz w:val="21"/>
                    </w:rPr>
                  </w:pPr>
                </w:p>
                <w:p w14:paraId="67858ED2">
                  <w:pPr>
                    <w:pStyle w:val="6"/>
                    <w:spacing w:before="65" w:line="228" w:lineRule="auto"/>
                    <w:ind w:left="208"/>
                    <w:rPr>
                      <w:sz w:val="20"/>
                      <w:szCs w:val="20"/>
                    </w:rPr>
                  </w:pPr>
                  <w:r>
                    <w:rPr>
                      <w:spacing w:val="3"/>
                      <w:sz w:val="20"/>
                      <w:szCs w:val="20"/>
                    </w:rPr>
                    <w:t>符合</w:t>
                  </w:r>
                </w:p>
              </w:tc>
            </w:tr>
            <w:tr w14:paraId="340C4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6" w:hRule="atLeast"/>
              </w:trPr>
              <w:tc>
                <w:tcPr>
                  <w:tcW w:w="772" w:type="dxa"/>
                  <w:vAlign w:val="top"/>
                </w:tcPr>
                <w:p w14:paraId="694CF459">
                  <w:pPr>
                    <w:spacing w:line="255" w:lineRule="auto"/>
                    <w:rPr>
                      <w:rFonts w:ascii="Arial"/>
                      <w:sz w:val="21"/>
                    </w:rPr>
                  </w:pPr>
                </w:p>
                <w:p w14:paraId="0B0231B8">
                  <w:pPr>
                    <w:spacing w:line="255" w:lineRule="auto"/>
                    <w:rPr>
                      <w:rFonts w:ascii="Arial"/>
                      <w:sz w:val="21"/>
                    </w:rPr>
                  </w:pPr>
                </w:p>
                <w:p w14:paraId="08C43714">
                  <w:pPr>
                    <w:spacing w:line="255" w:lineRule="auto"/>
                    <w:rPr>
                      <w:rFonts w:ascii="Arial"/>
                      <w:sz w:val="21"/>
                    </w:rPr>
                  </w:pPr>
                </w:p>
                <w:p w14:paraId="7DA3A061">
                  <w:pPr>
                    <w:spacing w:line="255" w:lineRule="auto"/>
                    <w:rPr>
                      <w:rFonts w:ascii="Arial"/>
                      <w:sz w:val="21"/>
                    </w:rPr>
                  </w:pPr>
                </w:p>
                <w:p w14:paraId="1288A8E9">
                  <w:pPr>
                    <w:spacing w:line="255" w:lineRule="auto"/>
                    <w:rPr>
                      <w:rFonts w:ascii="Arial"/>
                      <w:sz w:val="21"/>
                    </w:rPr>
                  </w:pPr>
                </w:p>
                <w:p w14:paraId="79F74E51">
                  <w:pPr>
                    <w:spacing w:line="255" w:lineRule="auto"/>
                    <w:rPr>
                      <w:rFonts w:ascii="Arial"/>
                      <w:sz w:val="21"/>
                    </w:rPr>
                  </w:pPr>
                </w:p>
                <w:p w14:paraId="6AA62F1F">
                  <w:pPr>
                    <w:spacing w:line="255" w:lineRule="auto"/>
                    <w:rPr>
                      <w:rFonts w:ascii="Arial"/>
                      <w:sz w:val="21"/>
                    </w:rPr>
                  </w:pPr>
                </w:p>
                <w:p w14:paraId="4DF38913">
                  <w:pPr>
                    <w:spacing w:line="255" w:lineRule="auto"/>
                    <w:rPr>
                      <w:rFonts w:ascii="Arial"/>
                      <w:sz w:val="21"/>
                    </w:rPr>
                  </w:pPr>
                </w:p>
                <w:p w14:paraId="6DB79C05">
                  <w:pPr>
                    <w:spacing w:line="255" w:lineRule="auto"/>
                    <w:rPr>
                      <w:rFonts w:ascii="Arial"/>
                      <w:sz w:val="21"/>
                    </w:rPr>
                  </w:pPr>
                </w:p>
                <w:p w14:paraId="0759D580">
                  <w:pPr>
                    <w:spacing w:line="255" w:lineRule="auto"/>
                    <w:rPr>
                      <w:rFonts w:ascii="Arial"/>
                      <w:sz w:val="21"/>
                    </w:rPr>
                  </w:pPr>
                </w:p>
                <w:p w14:paraId="4625DD14">
                  <w:pPr>
                    <w:spacing w:line="256" w:lineRule="auto"/>
                    <w:rPr>
                      <w:rFonts w:ascii="Arial"/>
                      <w:sz w:val="21"/>
                    </w:rPr>
                  </w:pPr>
                </w:p>
                <w:p w14:paraId="148FD978">
                  <w:pPr>
                    <w:pStyle w:val="6"/>
                    <w:spacing w:before="65" w:line="248" w:lineRule="auto"/>
                    <w:ind w:left="238" w:right="120"/>
                    <w:jc w:val="both"/>
                    <w:rPr>
                      <w:sz w:val="20"/>
                      <w:szCs w:val="20"/>
                    </w:rPr>
                  </w:pPr>
                  <w:r>
                    <w:rPr>
                      <w:spacing w:val="3"/>
                      <w:sz w:val="20"/>
                      <w:szCs w:val="20"/>
                    </w:rPr>
                    <w:t>光伏</w:t>
                  </w:r>
                  <w:r>
                    <w:rPr>
                      <w:sz w:val="20"/>
                      <w:szCs w:val="20"/>
                    </w:rPr>
                    <w:t xml:space="preserve"> </w:t>
                  </w:r>
                  <w:r>
                    <w:rPr>
                      <w:spacing w:val="3"/>
                      <w:sz w:val="20"/>
                      <w:szCs w:val="20"/>
                    </w:rPr>
                    <w:t>发电</w:t>
                  </w:r>
                  <w:r>
                    <w:rPr>
                      <w:sz w:val="20"/>
                      <w:szCs w:val="20"/>
                    </w:rPr>
                    <w:t xml:space="preserve"> </w:t>
                  </w:r>
                  <w:r>
                    <w:rPr>
                      <w:spacing w:val="3"/>
                      <w:sz w:val="20"/>
                      <w:szCs w:val="20"/>
                    </w:rPr>
                    <w:t>项目</w:t>
                  </w:r>
                  <w:r>
                    <w:rPr>
                      <w:sz w:val="20"/>
                      <w:szCs w:val="20"/>
                    </w:rPr>
                    <w:t xml:space="preserve"> </w:t>
                  </w:r>
                  <w:r>
                    <w:rPr>
                      <w:spacing w:val="3"/>
                      <w:sz w:val="20"/>
                      <w:szCs w:val="20"/>
                    </w:rPr>
                    <w:t>用地</w:t>
                  </w:r>
                  <w:r>
                    <w:rPr>
                      <w:sz w:val="20"/>
                      <w:szCs w:val="20"/>
                    </w:rPr>
                    <w:t xml:space="preserve"> </w:t>
                  </w:r>
                  <w:r>
                    <w:rPr>
                      <w:spacing w:val="3"/>
                      <w:sz w:val="20"/>
                      <w:szCs w:val="20"/>
                    </w:rPr>
                    <w:t>实行</w:t>
                  </w:r>
                  <w:r>
                    <w:rPr>
                      <w:sz w:val="20"/>
                      <w:szCs w:val="20"/>
                    </w:rPr>
                    <w:t xml:space="preserve"> </w:t>
                  </w:r>
                  <w:r>
                    <w:rPr>
                      <w:spacing w:val="3"/>
                      <w:sz w:val="20"/>
                      <w:szCs w:val="20"/>
                    </w:rPr>
                    <w:t>分类</w:t>
                  </w:r>
                  <w:r>
                    <w:rPr>
                      <w:sz w:val="20"/>
                      <w:szCs w:val="20"/>
                    </w:rPr>
                    <w:t xml:space="preserve"> </w:t>
                  </w:r>
                  <w:r>
                    <w:rPr>
                      <w:spacing w:val="3"/>
                      <w:sz w:val="20"/>
                      <w:szCs w:val="20"/>
                    </w:rPr>
                    <w:t>管理</w:t>
                  </w:r>
                </w:p>
              </w:tc>
              <w:tc>
                <w:tcPr>
                  <w:tcW w:w="3244" w:type="dxa"/>
                  <w:vAlign w:val="top"/>
                </w:tcPr>
                <w:p w14:paraId="4DE105FE">
                  <w:pPr>
                    <w:pStyle w:val="6"/>
                    <w:spacing w:before="34" w:line="243" w:lineRule="auto"/>
                    <w:ind w:left="156" w:right="150" w:firstLine="10"/>
                    <w:rPr>
                      <w:sz w:val="20"/>
                      <w:szCs w:val="20"/>
                    </w:rPr>
                  </w:pPr>
                  <w:r>
                    <w:rPr>
                      <w:spacing w:val="8"/>
                      <w:sz w:val="20"/>
                      <w:szCs w:val="20"/>
                    </w:rPr>
                    <w:t xml:space="preserve">（一）光伏阵列用地不得占用耕 </w:t>
                  </w:r>
                  <w:r>
                    <w:rPr>
                      <w:spacing w:val="5"/>
                      <w:sz w:val="20"/>
                      <w:szCs w:val="20"/>
                    </w:rPr>
                    <w:t>地，</w:t>
                  </w:r>
                  <w:r>
                    <w:rPr>
                      <w:spacing w:val="-42"/>
                      <w:sz w:val="20"/>
                      <w:szCs w:val="20"/>
                    </w:rPr>
                    <w:t xml:space="preserve"> </w:t>
                  </w:r>
                  <w:r>
                    <w:rPr>
                      <w:spacing w:val="5"/>
                      <w:sz w:val="20"/>
                      <w:szCs w:val="20"/>
                    </w:rPr>
                    <w:t>占用其他农用地的，应根据</w:t>
                  </w:r>
                  <w:r>
                    <w:rPr>
                      <w:sz w:val="20"/>
                      <w:szCs w:val="20"/>
                    </w:rPr>
                    <w:t xml:space="preserve"> </w:t>
                  </w:r>
                  <w:r>
                    <w:rPr>
                      <w:spacing w:val="8"/>
                      <w:sz w:val="20"/>
                      <w:szCs w:val="20"/>
                    </w:rPr>
                    <w:t>实际合理控制，节约集约用地，</w:t>
                  </w:r>
                </w:p>
                <w:p w14:paraId="1FF46FAA">
                  <w:pPr>
                    <w:pStyle w:val="6"/>
                    <w:spacing w:before="20" w:line="250" w:lineRule="auto"/>
                    <w:ind w:left="112" w:right="105" w:firstLine="44"/>
                    <w:rPr>
                      <w:sz w:val="20"/>
                      <w:szCs w:val="20"/>
                    </w:rPr>
                  </w:pPr>
                  <w:r>
                    <w:rPr>
                      <w:spacing w:val="9"/>
                      <w:sz w:val="20"/>
                      <w:szCs w:val="20"/>
                    </w:rPr>
                    <w:t>尽量避免对生态和农业生产造成</w:t>
                  </w:r>
                  <w:r>
                    <w:rPr>
                      <w:spacing w:val="1"/>
                      <w:sz w:val="20"/>
                      <w:szCs w:val="20"/>
                    </w:rPr>
                    <w:t xml:space="preserve"> </w:t>
                  </w:r>
                  <w:r>
                    <w:rPr>
                      <w:spacing w:val="12"/>
                      <w:sz w:val="20"/>
                      <w:szCs w:val="20"/>
                    </w:rPr>
                    <w:t>影响。光伏阵列用地涉及使用林</w:t>
                  </w:r>
                  <w:r>
                    <w:rPr>
                      <w:spacing w:val="7"/>
                      <w:sz w:val="20"/>
                      <w:szCs w:val="20"/>
                    </w:rPr>
                    <w:t xml:space="preserve"> </w:t>
                  </w:r>
                  <w:r>
                    <w:rPr>
                      <w:spacing w:val="12"/>
                      <w:sz w:val="20"/>
                      <w:szCs w:val="20"/>
                    </w:rPr>
                    <w:t>地的，须采用林光互补模式，可</w:t>
                  </w:r>
                  <w:r>
                    <w:rPr>
                      <w:spacing w:val="7"/>
                      <w:sz w:val="20"/>
                      <w:szCs w:val="20"/>
                    </w:rPr>
                    <w:t xml:space="preserve"> </w:t>
                  </w:r>
                  <w:r>
                    <w:rPr>
                      <w:spacing w:val="14"/>
                      <w:sz w:val="20"/>
                      <w:szCs w:val="20"/>
                    </w:rPr>
                    <w:t>使用年降水量</w:t>
                  </w:r>
                  <w:r>
                    <w:rPr>
                      <w:rFonts w:ascii="Times New Roman" w:hAnsi="Times New Roman" w:eastAsia="Times New Roman" w:cs="Times New Roman"/>
                      <w:spacing w:val="14"/>
                      <w:sz w:val="20"/>
                      <w:szCs w:val="20"/>
                    </w:rPr>
                    <w:t>400</w:t>
                  </w:r>
                  <w:r>
                    <w:rPr>
                      <w:spacing w:val="14"/>
                      <w:sz w:val="20"/>
                      <w:szCs w:val="20"/>
                    </w:rPr>
                    <w:t>毫米以下区域</w:t>
                  </w:r>
                  <w:r>
                    <w:rPr>
                      <w:spacing w:val="4"/>
                      <w:sz w:val="20"/>
                      <w:szCs w:val="20"/>
                    </w:rPr>
                    <w:t xml:space="preserve">  </w:t>
                  </w:r>
                  <w:r>
                    <w:rPr>
                      <w:spacing w:val="12"/>
                      <w:sz w:val="20"/>
                      <w:szCs w:val="20"/>
                    </w:rPr>
                    <w:t>的灌木林地以及其他区域覆盖度</w:t>
                  </w:r>
                  <w:r>
                    <w:rPr>
                      <w:spacing w:val="4"/>
                      <w:sz w:val="20"/>
                      <w:szCs w:val="20"/>
                    </w:rPr>
                    <w:t xml:space="preserve"> </w:t>
                  </w:r>
                  <w:r>
                    <w:rPr>
                      <w:spacing w:val="3"/>
                      <w:sz w:val="20"/>
                      <w:szCs w:val="20"/>
                    </w:rPr>
                    <w:t>低于</w:t>
                  </w:r>
                  <w:r>
                    <w:rPr>
                      <w:rFonts w:ascii="Times New Roman" w:hAnsi="Times New Roman" w:eastAsia="Times New Roman" w:cs="Times New Roman"/>
                      <w:spacing w:val="3"/>
                      <w:sz w:val="20"/>
                      <w:szCs w:val="20"/>
                    </w:rPr>
                    <w:t>50%</w:t>
                  </w:r>
                  <w:r>
                    <w:rPr>
                      <w:spacing w:val="3"/>
                      <w:sz w:val="20"/>
                      <w:szCs w:val="20"/>
                    </w:rPr>
                    <w:t>的灌木林地，不得采伐林</w:t>
                  </w:r>
                  <w:r>
                    <w:rPr>
                      <w:spacing w:val="6"/>
                      <w:sz w:val="20"/>
                      <w:szCs w:val="20"/>
                    </w:rPr>
                    <w:t xml:space="preserve"> </w:t>
                  </w:r>
                  <w:r>
                    <w:rPr>
                      <w:spacing w:val="12"/>
                      <w:sz w:val="20"/>
                      <w:szCs w:val="20"/>
                    </w:rPr>
                    <w:t>木、割灌及破坏原有植被，不得</w:t>
                  </w:r>
                  <w:r>
                    <w:rPr>
                      <w:spacing w:val="4"/>
                      <w:sz w:val="20"/>
                      <w:szCs w:val="20"/>
                    </w:rPr>
                    <w:t xml:space="preserve"> </w:t>
                  </w:r>
                  <w:r>
                    <w:rPr>
                      <w:spacing w:val="12"/>
                      <w:sz w:val="20"/>
                      <w:szCs w:val="20"/>
                    </w:rPr>
                    <w:t>将乔木林地、竹林地等采伐改造</w:t>
                  </w:r>
                  <w:r>
                    <w:rPr>
                      <w:spacing w:val="4"/>
                      <w:sz w:val="20"/>
                      <w:szCs w:val="20"/>
                    </w:rPr>
                    <w:t xml:space="preserve"> </w:t>
                  </w:r>
                  <w:r>
                    <w:rPr>
                      <w:spacing w:val="12"/>
                      <w:sz w:val="20"/>
                      <w:szCs w:val="20"/>
                    </w:rPr>
                    <w:t>为灌木林地后架设光伏板；光伏</w:t>
                  </w:r>
                  <w:r>
                    <w:rPr>
                      <w:spacing w:val="4"/>
                      <w:sz w:val="20"/>
                      <w:szCs w:val="20"/>
                    </w:rPr>
                    <w:t xml:space="preserve"> </w:t>
                  </w:r>
                  <w:r>
                    <w:rPr>
                      <w:spacing w:val="15"/>
                      <w:sz w:val="20"/>
                      <w:szCs w:val="20"/>
                    </w:rPr>
                    <w:t>支架最低点应高于灌木高度</w:t>
                  </w:r>
                  <w:r>
                    <w:rPr>
                      <w:rFonts w:ascii="Times New Roman" w:hAnsi="Times New Roman" w:eastAsia="Times New Roman" w:cs="Times New Roman"/>
                      <w:spacing w:val="15"/>
                      <w:sz w:val="20"/>
                      <w:szCs w:val="20"/>
                    </w:rPr>
                    <w:t>1</w:t>
                  </w:r>
                  <w:r>
                    <w:rPr>
                      <w:spacing w:val="15"/>
                      <w:sz w:val="20"/>
                      <w:szCs w:val="20"/>
                    </w:rPr>
                    <w:t>米</w:t>
                  </w:r>
                  <w:r>
                    <w:rPr>
                      <w:spacing w:val="6"/>
                      <w:sz w:val="20"/>
                      <w:szCs w:val="20"/>
                    </w:rPr>
                    <w:t xml:space="preserve">  </w:t>
                  </w:r>
                  <w:r>
                    <w:rPr>
                      <w:spacing w:val="12"/>
                      <w:sz w:val="20"/>
                      <w:szCs w:val="20"/>
                    </w:rPr>
                    <w:t>以上，每列光伏板南北方向应合</w:t>
                  </w:r>
                  <w:r>
                    <w:rPr>
                      <w:spacing w:val="4"/>
                      <w:sz w:val="20"/>
                      <w:szCs w:val="20"/>
                    </w:rPr>
                    <w:t xml:space="preserve"> </w:t>
                  </w:r>
                  <w:r>
                    <w:rPr>
                      <w:spacing w:val="12"/>
                      <w:sz w:val="20"/>
                      <w:szCs w:val="20"/>
                    </w:rPr>
                    <w:t>理设置净间距，具体由各地结合</w:t>
                  </w:r>
                  <w:r>
                    <w:rPr>
                      <w:spacing w:val="4"/>
                      <w:sz w:val="20"/>
                      <w:szCs w:val="20"/>
                    </w:rPr>
                    <w:t xml:space="preserve"> </w:t>
                  </w:r>
                  <w:r>
                    <w:rPr>
                      <w:spacing w:val="12"/>
                      <w:sz w:val="20"/>
                      <w:szCs w:val="20"/>
                    </w:rPr>
                    <w:t>实地确定，并采取有效水土保持</w:t>
                  </w:r>
                  <w:r>
                    <w:rPr>
                      <w:spacing w:val="4"/>
                      <w:sz w:val="20"/>
                      <w:szCs w:val="20"/>
                    </w:rPr>
                    <w:t xml:space="preserve"> </w:t>
                  </w:r>
                  <w:r>
                    <w:rPr>
                      <w:spacing w:val="12"/>
                      <w:sz w:val="20"/>
                      <w:szCs w:val="20"/>
                    </w:rPr>
                    <w:t>措施，确保灌木覆盖度等生长状</w:t>
                  </w:r>
                  <w:r>
                    <w:rPr>
                      <w:spacing w:val="4"/>
                      <w:sz w:val="20"/>
                      <w:szCs w:val="20"/>
                    </w:rPr>
                    <w:t xml:space="preserve"> </w:t>
                  </w:r>
                  <w:r>
                    <w:rPr>
                      <w:spacing w:val="12"/>
                      <w:sz w:val="20"/>
                      <w:szCs w:val="20"/>
                    </w:rPr>
                    <w:t>态不低于林光互补前水平。光伏</w:t>
                  </w:r>
                  <w:r>
                    <w:rPr>
                      <w:spacing w:val="4"/>
                      <w:sz w:val="20"/>
                      <w:szCs w:val="20"/>
                    </w:rPr>
                    <w:t xml:space="preserve"> </w:t>
                  </w:r>
                  <w:r>
                    <w:rPr>
                      <w:spacing w:val="12"/>
                      <w:sz w:val="20"/>
                      <w:szCs w:val="20"/>
                    </w:rPr>
                    <w:t>阵列按规定使用灌木林地的，施</w:t>
                  </w:r>
                </w:p>
                <w:p w14:paraId="14D02CFB">
                  <w:pPr>
                    <w:pStyle w:val="6"/>
                    <w:spacing w:before="27" w:line="239" w:lineRule="auto"/>
                    <w:ind w:left="158" w:right="204" w:firstLine="105"/>
                    <w:rPr>
                      <w:sz w:val="20"/>
                      <w:szCs w:val="20"/>
                    </w:rPr>
                  </w:pPr>
                  <w:r>
                    <w:rPr>
                      <w:spacing w:val="9"/>
                      <w:sz w:val="20"/>
                      <w:szCs w:val="20"/>
                    </w:rPr>
                    <w:t>工期间应办理临时使用林地手</w:t>
                  </w:r>
                  <w:r>
                    <w:rPr>
                      <w:sz w:val="20"/>
                      <w:szCs w:val="20"/>
                    </w:rPr>
                    <w:t xml:space="preserve"> </w:t>
                  </w:r>
                  <w:r>
                    <w:rPr>
                      <w:spacing w:val="5"/>
                      <w:sz w:val="20"/>
                      <w:szCs w:val="20"/>
                    </w:rPr>
                    <w:t>续，运营期间相关方签订协议，</w:t>
                  </w:r>
                </w:p>
                <w:p w14:paraId="6D39F070">
                  <w:pPr>
                    <w:pStyle w:val="6"/>
                    <w:spacing w:before="25" w:line="239" w:lineRule="auto"/>
                    <w:ind w:left="1415" w:right="153" w:hanging="1256"/>
                    <w:rPr>
                      <w:sz w:val="20"/>
                      <w:szCs w:val="20"/>
                    </w:rPr>
                  </w:pPr>
                  <w:r>
                    <w:rPr>
                      <w:spacing w:val="9"/>
                      <w:sz w:val="20"/>
                      <w:szCs w:val="20"/>
                    </w:rPr>
                    <w:t>项目服务期满后应当恢复林地原</w:t>
                  </w:r>
                  <w:r>
                    <w:rPr>
                      <w:sz w:val="20"/>
                      <w:szCs w:val="20"/>
                    </w:rPr>
                    <w:t xml:space="preserve"> 状。</w:t>
                  </w:r>
                </w:p>
                <w:p w14:paraId="37E4A5EB">
                  <w:pPr>
                    <w:pStyle w:val="6"/>
                    <w:spacing w:before="26" w:line="246" w:lineRule="auto"/>
                    <w:ind w:left="156" w:right="153" w:firstLine="107"/>
                    <w:jc w:val="both"/>
                    <w:rPr>
                      <w:sz w:val="20"/>
                      <w:szCs w:val="20"/>
                    </w:rPr>
                  </w:pPr>
                  <w:r>
                    <w:rPr>
                      <w:spacing w:val="9"/>
                      <w:sz w:val="20"/>
                      <w:szCs w:val="20"/>
                    </w:rPr>
                    <w:t>光伏阵列用地不得改变地表形</w:t>
                  </w:r>
                  <w:r>
                    <w:rPr>
                      <w:sz w:val="20"/>
                      <w:szCs w:val="20"/>
                    </w:rPr>
                    <w:t xml:space="preserve">  </w:t>
                  </w:r>
                  <w:r>
                    <w:rPr>
                      <w:spacing w:val="6"/>
                      <w:sz w:val="20"/>
                      <w:szCs w:val="20"/>
                    </w:rPr>
                    <w:t>态，</w:t>
                  </w:r>
                  <w:r>
                    <w:rPr>
                      <w:spacing w:val="-56"/>
                      <w:sz w:val="20"/>
                      <w:szCs w:val="20"/>
                    </w:rPr>
                    <w:t xml:space="preserve"> </w:t>
                  </w:r>
                  <w:r>
                    <w:rPr>
                      <w:spacing w:val="6"/>
                      <w:sz w:val="20"/>
                      <w:szCs w:val="20"/>
                    </w:rPr>
                    <w:t>以第三次全国国土调查及后</w:t>
                  </w:r>
                  <w:r>
                    <w:rPr>
                      <w:sz w:val="20"/>
                      <w:szCs w:val="20"/>
                    </w:rPr>
                    <w:t xml:space="preserve"> </w:t>
                  </w:r>
                  <w:r>
                    <w:rPr>
                      <w:spacing w:val="9"/>
                      <w:sz w:val="20"/>
                      <w:szCs w:val="20"/>
                    </w:rPr>
                    <w:t>续开展的年度国土变更调查成果</w:t>
                  </w:r>
                  <w:r>
                    <w:rPr>
                      <w:spacing w:val="2"/>
                      <w:sz w:val="20"/>
                      <w:szCs w:val="20"/>
                    </w:rPr>
                    <w:t xml:space="preserve"> </w:t>
                  </w:r>
                  <w:r>
                    <w:rPr>
                      <w:spacing w:val="9"/>
                      <w:sz w:val="20"/>
                      <w:szCs w:val="20"/>
                    </w:rPr>
                    <w:t>为底版，依法依规进行管理。实</w:t>
                  </w:r>
                  <w:r>
                    <w:rPr>
                      <w:spacing w:val="2"/>
                      <w:sz w:val="20"/>
                      <w:szCs w:val="20"/>
                    </w:rPr>
                    <w:t xml:space="preserve"> </w:t>
                  </w:r>
                  <w:r>
                    <w:rPr>
                      <w:spacing w:val="9"/>
                      <w:sz w:val="20"/>
                      <w:szCs w:val="20"/>
                    </w:rPr>
                    <w:t>行用地备案，不需按非农建设用</w:t>
                  </w:r>
                </w:p>
              </w:tc>
              <w:tc>
                <w:tcPr>
                  <w:tcW w:w="3118" w:type="dxa"/>
                  <w:vAlign w:val="top"/>
                </w:tcPr>
                <w:p w14:paraId="785A1F44">
                  <w:pPr>
                    <w:spacing w:line="253" w:lineRule="auto"/>
                    <w:rPr>
                      <w:rFonts w:ascii="Arial"/>
                      <w:sz w:val="21"/>
                    </w:rPr>
                  </w:pPr>
                </w:p>
                <w:p w14:paraId="6429460A">
                  <w:pPr>
                    <w:spacing w:line="253" w:lineRule="auto"/>
                    <w:rPr>
                      <w:rFonts w:ascii="Arial"/>
                      <w:sz w:val="21"/>
                    </w:rPr>
                  </w:pPr>
                </w:p>
                <w:p w14:paraId="4CCE409A">
                  <w:pPr>
                    <w:spacing w:line="253" w:lineRule="auto"/>
                    <w:rPr>
                      <w:rFonts w:ascii="Arial"/>
                      <w:sz w:val="21"/>
                    </w:rPr>
                  </w:pPr>
                </w:p>
                <w:p w14:paraId="70E734F5">
                  <w:pPr>
                    <w:spacing w:line="253" w:lineRule="auto"/>
                    <w:rPr>
                      <w:rFonts w:ascii="Arial"/>
                      <w:sz w:val="21"/>
                    </w:rPr>
                  </w:pPr>
                </w:p>
                <w:p w14:paraId="2FC2B677">
                  <w:pPr>
                    <w:spacing w:line="253" w:lineRule="auto"/>
                    <w:rPr>
                      <w:rFonts w:ascii="Arial"/>
                      <w:sz w:val="21"/>
                    </w:rPr>
                  </w:pPr>
                </w:p>
                <w:p w14:paraId="06F7306A">
                  <w:pPr>
                    <w:spacing w:line="254" w:lineRule="auto"/>
                    <w:rPr>
                      <w:rFonts w:ascii="Arial"/>
                      <w:sz w:val="21"/>
                    </w:rPr>
                  </w:pPr>
                </w:p>
                <w:p w14:paraId="5283F3F4">
                  <w:pPr>
                    <w:spacing w:line="254" w:lineRule="auto"/>
                    <w:rPr>
                      <w:rFonts w:ascii="Arial"/>
                      <w:sz w:val="21"/>
                    </w:rPr>
                  </w:pPr>
                </w:p>
                <w:p w14:paraId="4F246D3C">
                  <w:pPr>
                    <w:spacing w:line="254" w:lineRule="auto"/>
                    <w:rPr>
                      <w:rFonts w:ascii="Arial"/>
                      <w:sz w:val="21"/>
                    </w:rPr>
                  </w:pPr>
                </w:p>
                <w:p w14:paraId="17A56EEA">
                  <w:pPr>
                    <w:spacing w:line="254" w:lineRule="auto"/>
                    <w:rPr>
                      <w:rFonts w:ascii="Arial"/>
                      <w:sz w:val="21"/>
                    </w:rPr>
                  </w:pPr>
                </w:p>
                <w:p w14:paraId="6B9EDA3C">
                  <w:pPr>
                    <w:spacing w:line="254" w:lineRule="auto"/>
                    <w:rPr>
                      <w:rFonts w:ascii="Arial"/>
                      <w:sz w:val="21"/>
                    </w:rPr>
                  </w:pPr>
                </w:p>
                <w:p w14:paraId="5FB8AEC2">
                  <w:pPr>
                    <w:pStyle w:val="6"/>
                    <w:spacing w:before="65" w:line="227" w:lineRule="auto"/>
                    <w:ind w:left="130"/>
                    <w:rPr>
                      <w:sz w:val="20"/>
                      <w:szCs w:val="20"/>
                    </w:rPr>
                  </w:pPr>
                  <w:r>
                    <w:rPr>
                      <w:rFonts w:ascii="Times New Roman" w:hAnsi="Times New Roman" w:eastAsia="Times New Roman" w:cs="Times New Roman"/>
                      <w:spacing w:val="7"/>
                      <w:sz w:val="20"/>
                      <w:szCs w:val="20"/>
                    </w:rPr>
                    <w:t>1.</w:t>
                  </w:r>
                  <w:r>
                    <w:rPr>
                      <w:spacing w:val="7"/>
                      <w:sz w:val="20"/>
                      <w:szCs w:val="20"/>
                    </w:rPr>
                    <w:t>项目光伏阵列用地不涉及林</w:t>
                  </w:r>
                </w:p>
                <w:p w14:paraId="3D9D21C7">
                  <w:pPr>
                    <w:pStyle w:val="6"/>
                    <w:spacing w:before="28" w:line="245" w:lineRule="auto"/>
                    <w:ind w:left="113" w:right="105"/>
                    <w:rPr>
                      <w:sz w:val="20"/>
                      <w:szCs w:val="20"/>
                    </w:rPr>
                  </w:pPr>
                  <w:r>
                    <w:rPr>
                      <w:spacing w:val="6"/>
                      <w:sz w:val="20"/>
                      <w:szCs w:val="20"/>
                    </w:rPr>
                    <w:t>地，光伏阵列用地占地类型现状</w:t>
                  </w:r>
                  <w:r>
                    <w:rPr>
                      <w:spacing w:val="8"/>
                      <w:sz w:val="20"/>
                      <w:szCs w:val="20"/>
                    </w:rPr>
                    <w:t xml:space="preserve"> </w:t>
                  </w:r>
                  <w:r>
                    <w:rPr>
                      <w:spacing w:val="6"/>
                      <w:sz w:val="20"/>
                      <w:szCs w:val="20"/>
                    </w:rPr>
                    <w:t>主要为草地、设施农用地和裸岩</w:t>
                  </w:r>
                  <w:r>
                    <w:rPr>
                      <w:spacing w:val="7"/>
                      <w:sz w:val="20"/>
                      <w:szCs w:val="20"/>
                    </w:rPr>
                    <w:t xml:space="preserve"> </w:t>
                  </w:r>
                  <w:r>
                    <w:rPr>
                      <w:spacing w:val="6"/>
                      <w:sz w:val="20"/>
                      <w:szCs w:val="20"/>
                    </w:rPr>
                    <w:t>石砾地，未占用永久基本农田和</w:t>
                  </w:r>
                  <w:r>
                    <w:rPr>
                      <w:spacing w:val="7"/>
                      <w:sz w:val="20"/>
                      <w:szCs w:val="20"/>
                    </w:rPr>
                    <w:t xml:space="preserve"> </w:t>
                  </w:r>
                  <w:r>
                    <w:rPr>
                      <w:spacing w:val="6"/>
                      <w:sz w:val="20"/>
                      <w:szCs w:val="20"/>
                    </w:rPr>
                    <w:t>其他农用地。</w:t>
                  </w:r>
                </w:p>
                <w:p w14:paraId="5E4145C7">
                  <w:pPr>
                    <w:pStyle w:val="6"/>
                    <w:spacing w:before="25" w:line="239" w:lineRule="auto"/>
                    <w:ind w:left="113" w:right="103" w:hanging="4"/>
                    <w:rPr>
                      <w:sz w:val="20"/>
                      <w:szCs w:val="20"/>
                    </w:rPr>
                  </w:pPr>
                  <w:r>
                    <w:rPr>
                      <w:rFonts w:ascii="Times New Roman" w:hAnsi="Times New Roman" w:eastAsia="Times New Roman" w:cs="Times New Roman"/>
                      <w:spacing w:val="8"/>
                      <w:sz w:val="20"/>
                      <w:szCs w:val="20"/>
                    </w:rPr>
                    <w:t>2.</w:t>
                  </w:r>
                  <w:r>
                    <w:rPr>
                      <w:spacing w:val="8"/>
                      <w:sz w:val="20"/>
                      <w:szCs w:val="20"/>
                    </w:rPr>
                    <w:t>项目运营过程中将在光伏板下</w:t>
                  </w:r>
                  <w:r>
                    <w:rPr>
                      <w:spacing w:val="9"/>
                      <w:sz w:val="20"/>
                      <w:szCs w:val="20"/>
                    </w:rPr>
                    <w:t xml:space="preserve"> </w:t>
                  </w:r>
                  <w:r>
                    <w:rPr>
                      <w:spacing w:val="6"/>
                      <w:sz w:val="20"/>
                      <w:szCs w:val="20"/>
                    </w:rPr>
                    <w:t>保护原有用地类型，保证地表不</w:t>
                  </w:r>
                </w:p>
                <w:p w14:paraId="61CE0246">
                  <w:pPr>
                    <w:pStyle w:val="6"/>
                    <w:spacing w:before="27" w:line="242" w:lineRule="auto"/>
                    <w:ind w:left="113" w:right="278"/>
                    <w:rPr>
                      <w:sz w:val="20"/>
                      <w:szCs w:val="20"/>
                    </w:rPr>
                  </w:pPr>
                  <w:r>
                    <w:rPr>
                      <w:spacing w:val="9"/>
                      <w:sz w:val="20"/>
                      <w:szCs w:val="20"/>
                    </w:rPr>
                    <w:t>裸露、地面不硬化或作其他用</w:t>
                  </w:r>
                  <w:r>
                    <w:rPr>
                      <w:spacing w:val="2"/>
                      <w:sz w:val="20"/>
                      <w:szCs w:val="20"/>
                    </w:rPr>
                    <w:t xml:space="preserve"> </w:t>
                  </w:r>
                  <w:r>
                    <w:rPr>
                      <w:sz w:val="20"/>
                      <w:szCs w:val="20"/>
                    </w:rPr>
                    <w:t>途。</w:t>
                  </w:r>
                </w:p>
              </w:tc>
              <w:tc>
                <w:tcPr>
                  <w:tcW w:w="821" w:type="dxa"/>
                  <w:vAlign w:val="top"/>
                </w:tcPr>
                <w:p w14:paraId="4E6CE823">
                  <w:pPr>
                    <w:spacing w:line="241" w:lineRule="auto"/>
                    <w:rPr>
                      <w:rFonts w:ascii="Arial"/>
                      <w:sz w:val="21"/>
                    </w:rPr>
                  </w:pPr>
                </w:p>
                <w:p w14:paraId="1BAE02EB">
                  <w:pPr>
                    <w:spacing w:line="241" w:lineRule="auto"/>
                    <w:rPr>
                      <w:rFonts w:ascii="Arial"/>
                      <w:sz w:val="21"/>
                    </w:rPr>
                  </w:pPr>
                </w:p>
                <w:p w14:paraId="3F88AE19">
                  <w:pPr>
                    <w:spacing w:line="241" w:lineRule="auto"/>
                    <w:rPr>
                      <w:rFonts w:ascii="Arial"/>
                      <w:sz w:val="21"/>
                    </w:rPr>
                  </w:pPr>
                </w:p>
                <w:p w14:paraId="18CD7C89">
                  <w:pPr>
                    <w:spacing w:line="241" w:lineRule="auto"/>
                    <w:rPr>
                      <w:rFonts w:ascii="Arial"/>
                      <w:sz w:val="21"/>
                    </w:rPr>
                  </w:pPr>
                </w:p>
                <w:p w14:paraId="0E950C07">
                  <w:pPr>
                    <w:spacing w:line="241" w:lineRule="auto"/>
                    <w:rPr>
                      <w:rFonts w:ascii="Arial"/>
                      <w:sz w:val="21"/>
                    </w:rPr>
                  </w:pPr>
                </w:p>
                <w:p w14:paraId="5BF06E9B">
                  <w:pPr>
                    <w:spacing w:line="241" w:lineRule="auto"/>
                    <w:rPr>
                      <w:rFonts w:ascii="Arial"/>
                      <w:sz w:val="21"/>
                    </w:rPr>
                  </w:pPr>
                </w:p>
                <w:p w14:paraId="778DEB98">
                  <w:pPr>
                    <w:spacing w:line="241" w:lineRule="auto"/>
                    <w:rPr>
                      <w:rFonts w:ascii="Arial"/>
                      <w:sz w:val="21"/>
                    </w:rPr>
                  </w:pPr>
                </w:p>
                <w:p w14:paraId="1A220C61">
                  <w:pPr>
                    <w:spacing w:line="241" w:lineRule="auto"/>
                    <w:rPr>
                      <w:rFonts w:ascii="Arial"/>
                      <w:sz w:val="21"/>
                    </w:rPr>
                  </w:pPr>
                </w:p>
                <w:p w14:paraId="304547FE">
                  <w:pPr>
                    <w:spacing w:line="241" w:lineRule="auto"/>
                    <w:rPr>
                      <w:rFonts w:ascii="Arial"/>
                      <w:sz w:val="21"/>
                    </w:rPr>
                  </w:pPr>
                </w:p>
                <w:p w14:paraId="6559627E">
                  <w:pPr>
                    <w:spacing w:line="241" w:lineRule="auto"/>
                    <w:rPr>
                      <w:rFonts w:ascii="Arial"/>
                      <w:sz w:val="21"/>
                    </w:rPr>
                  </w:pPr>
                </w:p>
                <w:p w14:paraId="5FBBADE0">
                  <w:pPr>
                    <w:spacing w:line="241" w:lineRule="auto"/>
                    <w:rPr>
                      <w:rFonts w:ascii="Arial"/>
                      <w:sz w:val="21"/>
                    </w:rPr>
                  </w:pPr>
                </w:p>
                <w:p w14:paraId="53E3A036">
                  <w:pPr>
                    <w:spacing w:line="242" w:lineRule="auto"/>
                    <w:rPr>
                      <w:rFonts w:ascii="Arial"/>
                      <w:sz w:val="21"/>
                    </w:rPr>
                  </w:pPr>
                </w:p>
                <w:p w14:paraId="5CFF82FB">
                  <w:pPr>
                    <w:spacing w:line="242" w:lineRule="auto"/>
                    <w:rPr>
                      <w:rFonts w:ascii="Arial"/>
                      <w:sz w:val="21"/>
                    </w:rPr>
                  </w:pPr>
                </w:p>
                <w:p w14:paraId="37BA4130">
                  <w:pPr>
                    <w:spacing w:line="242" w:lineRule="auto"/>
                    <w:rPr>
                      <w:rFonts w:ascii="Arial"/>
                      <w:sz w:val="21"/>
                    </w:rPr>
                  </w:pPr>
                </w:p>
                <w:p w14:paraId="36753C49">
                  <w:pPr>
                    <w:spacing w:line="242" w:lineRule="auto"/>
                    <w:rPr>
                      <w:rFonts w:ascii="Arial"/>
                      <w:sz w:val="21"/>
                    </w:rPr>
                  </w:pPr>
                </w:p>
                <w:p w14:paraId="0BC7F850">
                  <w:pPr>
                    <w:pStyle w:val="6"/>
                    <w:spacing w:before="65" w:line="228" w:lineRule="auto"/>
                    <w:ind w:left="208"/>
                    <w:rPr>
                      <w:sz w:val="20"/>
                      <w:szCs w:val="20"/>
                    </w:rPr>
                  </w:pPr>
                  <w:r>
                    <w:rPr>
                      <w:spacing w:val="3"/>
                      <w:sz w:val="20"/>
                      <w:szCs w:val="20"/>
                    </w:rPr>
                    <w:t>符合</w:t>
                  </w:r>
                </w:p>
              </w:tc>
            </w:tr>
          </w:tbl>
          <w:p w14:paraId="71904170">
            <w:pPr>
              <w:spacing w:line="14" w:lineRule="auto"/>
              <w:rPr>
                <w:rFonts w:ascii="Arial"/>
                <w:sz w:val="2"/>
              </w:rPr>
            </w:pPr>
          </w:p>
        </w:tc>
      </w:tr>
    </w:tbl>
    <w:p w14:paraId="5CAD8E73">
      <w:pPr>
        <w:rPr>
          <w:rFonts w:ascii="Arial"/>
          <w:sz w:val="21"/>
        </w:rPr>
      </w:pPr>
    </w:p>
    <w:p w14:paraId="10461398">
      <w:pPr>
        <w:rPr>
          <w:rFonts w:ascii="Arial" w:hAnsi="Arial" w:eastAsia="Arial" w:cs="Arial"/>
          <w:sz w:val="21"/>
          <w:szCs w:val="21"/>
        </w:rPr>
        <w:sectPr>
          <w:footerReference r:id="rId33" w:type="default"/>
          <w:pgSz w:w="11906" w:h="16839"/>
          <w:pgMar w:top="1431" w:right="1407" w:bottom="1278" w:left="1407" w:header="0" w:footer="1116" w:gutter="0"/>
          <w:cols w:space="720" w:num="1"/>
        </w:sectPr>
      </w:pPr>
    </w:p>
    <w:p w14:paraId="034D7200">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162E4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70" w:hRule="atLeast"/>
        </w:trPr>
        <w:tc>
          <w:tcPr>
            <w:tcW w:w="1014" w:type="dxa"/>
            <w:tcBorders>
              <w:top w:val="single" w:color="000000" w:sz="4" w:space="0"/>
              <w:right w:val="single" w:color="000000" w:sz="2" w:space="0"/>
            </w:tcBorders>
            <w:vAlign w:val="top"/>
          </w:tcPr>
          <w:p w14:paraId="3D395A00">
            <w:pPr>
              <w:rPr>
                <w:rFonts w:ascii="Arial"/>
                <w:sz w:val="21"/>
              </w:rPr>
            </w:pPr>
          </w:p>
        </w:tc>
        <w:tc>
          <w:tcPr>
            <w:tcW w:w="8062" w:type="dxa"/>
            <w:tcBorders>
              <w:top w:val="single" w:color="000000" w:sz="4" w:space="0"/>
              <w:left w:val="single" w:color="000000" w:sz="2" w:space="0"/>
            </w:tcBorders>
            <w:vAlign w:val="top"/>
          </w:tcPr>
          <w:p w14:paraId="6C262559">
            <w:pPr>
              <w:spacing w:line="15" w:lineRule="exact"/>
            </w:pPr>
          </w:p>
          <w:tbl>
            <w:tblPr>
              <w:tblStyle w:val="5"/>
              <w:tblW w:w="784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3244"/>
              <w:gridCol w:w="3118"/>
              <w:gridCol w:w="821"/>
            </w:tblGrid>
            <w:tr w14:paraId="58FDC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659" w:type="dxa"/>
                  <w:vMerge w:val="restart"/>
                  <w:tcBorders>
                    <w:top w:val="nil"/>
                    <w:bottom w:val="nil"/>
                  </w:tcBorders>
                  <w:vAlign w:val="top"/>
                </w:tcPr>
                <w:p w14:paraId="076E1AF2">
                  <w:pPr>
                    <w:rPr>
                      <w:rFonts w:ascii="Arial"/>
                      <w:sz w:val="21"/>
                    </w:rPr>
                  </w:pPr>
                </w:p>
              </w:tc>
              <w:tc>
                <w:tcPr>
                  <w:tcW w:w="3244" w:type="dxa"/>
                  <w:tcBorders>
                    <w:top w:val="nil"/>
                  </w:tcBorders>
                  <w:vAlign w:val="top"/>
                </w:tcPr>
                <w:p w14:paraId="106CF527">
                  <w:pPr>
                    <w:pStyle w:val="6"/>
                    <w:spacing w:before="40" w:line="218" w:lineRule="auto"/>
                    <w:ind w:left="1207"/>
                    <w:rPr>
                      <w:sz w:val="20"/>
                      <w:szCs w:val="20"/>
                    </w:rPr>
                  </w:pPr>
                  <w:r>
                    <w:rPr>
                      <w:spacing w:val="5"/>
                      <w:sz w:val="20"/>
                      <w:szCs w:val="20"/>
                    </w:rPr>
                    <w:t>地审批。</w:t>
                  </w:r>
                </w:p>
              </w:tc>
              <w:tc>
                <w:tcPr>
                  <w:tcW w:w="3118" w:type="dxa"/>
                  <w:tcBorders>
                    <w:top w:val="nil"/>
                  </w:tcBorders>
                  <w:vAlign w:val="top"/>
                </w:tcPr>
                <w:p w14:paraId="1FC8A09C">
                  <w:pPr>
                    <w:rPr>
                      <w:rFonts w:ascii="Arial"/>
                      <w:sz w:val="21"/>
                    </w:rPr>
                  </w:pPr>
                </w:p>
              </w:tc>
              <w:tc>
                <w:tcPr>
                  <w:tcW w:w="821" w:type="dxa"/>
                  <w:tcBorders>
                    <w:top w:val="nil"/>
                  </w:tcBorders>
                  <w:vAlign w:val="top"/>
                </w:tcPr>
                <w:p w14:paraId="279E7D9B">
                  <w:pPr>
                    <w:rPr>
                      <w:rFonts w:ascii="Arial"/>
                      <w:sz w:val="21"/>
                    </w:rPr>
                  </w:pPr>
                </w:p>
              </w:tc>
            </w:tr>
            <w:tr w14:paraId="6E13B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659" w:type="dxa"/>
                  <w:vMerge w:val="continue"/>
                  <w:tcBorders>
                    <w:top w:val="nil"/>
                  </w:tcBorders>
                  <w:vAlign w:val="top"/>
                </w:tcPr>
                <w:p w14:paraId="7BE9EC1F">
                  <w:pPr>
                    <w:rPr>
                      <w:rFonts w:ascii="Arial"/>
                      <w:sz w:val="21"/>
                    </w:rPr>
                  </w:pPr>
                </w:p>
              </w:tc>
              <w:tc>
                <w:tcPr>
                  <w:tcW w:w="3244" w:type="dxa"/>
                  <w:vAlign w:val="top"/>
                </w:tcPr>
                <w:p w14:paraId="3231C826">
                  <w:pPr>
                    <w:pStyle w:val="6"/>
                    <w:spacing w:before="31" w:line="245" w:lineRule="auto"/>
                    <w:ind w:left="156" w:right="153" w:firstLine="10"/>
                    <w:jc w:val="both"/>
                    <w:rPr>
                      <w:sz w:val="20"/>
                      <w:szCs w:val="20"/>
                    </w:rPr>
                  </w:pPr>
                  <w:r>
                    <w:rPr>
                      <w:spacing w:val="8"/>
                      <w:sz w:val="20"/>
                      <w:szCs w:val="20"/>
                    </w:rPr>
                    <w:t>（二）光伏发电项目配套设施用</w:t>
                  </w:r>
                  <w:r>
                    <w:rPr>
                      <w:spacing w:val="6"/>
                      <w:sz w:val="20"/>
                      <w:szCs w:val="20"/>
                    </w:rPr>
                    <w:t xml:space="preserve"> </w:t>
                  </w:r>
                  <w:r>
                    <w:rPr>
                      <w:spacing w:val="9"/>
                      <w:sz w:val="20"/>
                      <w:szCs w:val="20"/>
                    </w:rPr>
                    <w:t>地，按建设用地进行管理，依法</w:t>
                  </w:r>
                  <w:r>
                    <w:rPr>
                      <w:spacing w:val="2"/>
                      <w:sz w:val="20"/>
                      <w:szCs w:val="20"/>
                    </w:rPr>
                    <w:t xml:space="preserve"> </w:t>
                  </w:r>
                  <w:r>
                    <w:rPr>
                      <w:spacing w:val="9"/>
                      <w:sz w:val="20"/>
                      <w:szCs w:val="20"/>
                    </w:rPr>
                    <w:t>依规办理建设用地审批手续。其</w:t>
                  </w:r>
                  <w:r>
                    <w:rPr>
                      <w:spacing w:val="2"/>
                      <w:sz w:val="20"/>
                      <w:szCs w:val="20"/>
                    </w:rPr>
                    <w:t xml:space="preserve"> </w:t>
                  </w:r>
                  <w:r>
                    <w:rPr>
                      <w:spacing w:val="9"/>
                      <w:sz w:val="20"/>
                      <w:szCs w:val="20"/>
                    </w:rPr>
                    <w:t>中，涉及占用耕地的，按规定落</w:t>
                  </w:r>
                </w:p>
                <w:p w14:paraId="328E2967">
                  <w:pPr>
                    <w:pStyle w:val="6"/>
                    <w:spacing w:before="27" w:line="227" w:lineRule="auto"/>
                    <w:ind w:right="13"/>
                    <w:jc w:val="right"/>
                    <w:rPr>
                      <w:sz w:val="20"/>
                      <w:szCs w:val="20"/>
                    </w:rPr>
                  </w:pPr>
                  <w:r>
                    <w:rPr>
                      <w:spacing w:val="7"/>
                      <w:sz w:val="20"/>
                      <w:szCs w:val="20"/>
                    </w:rPr>
                    <w:t>实占补平衡。符合光伏用地标准，</w:t>
                  </w:r>
                </w:p>
                <w:p w14:paraId="2B868DD9">
                  <w:pPr>
                    <w:pStyle w:val="6"/>
                    <w:spacing w:before="24" w:line="228" w:lineRule="auto"/>
                    <w:ind w:left="156"/>
                    <w:rPr>
                      <w:sz w:val="20"/>
                      <w:szCs w:val="20"/>
                    </w:rPr>
                  </w:pPr>
                  <w:r>
                    <w:rPr>
                      <w:spacing w:val="9"/>
                      <w:sz w:val="20"/>
                      <w:szCs w:val="20"/>
                    </w:rPr>
                    <w:t>位于阵列内部和四周，直接配套</w:t>
                  </w:r>
                </w:p>
                <w:p w14:paraId="5E7BF6B7">
                  <w:pPr>
                    <w:pStyle w:val="6"/>
                    <w:spacing w:before="27" w:line="227" w:lineRule="auto"/>
                    <w:ind w:left="157"/>
                    <w:rPr>
                      <w:sz w:val="20"/>
                      <w:szCs w:val="20"/>
                    </w:rPr>
                  </w:pPr>
                  <w:r>
                    <w:rPr>
                      <w:spacing w:val="9"/>
                      <w:sz w:val="20"/>
                      <w:szCs w:val="20"/>
                    </w:rPr>
                    <w:t>光伏阵列的道路，可按农村道路</w:t>
                  </w:r>
                </w:p>
                <w:p w14:paraId="623445E6">
                  <w:pPr>
                    <w:pStyle w:val="6"/>
                    <w:spacing w:before="25" w:line="227" w:lineRule="auto"/>
                    <w:ind w:left="157"/>
                    <w:rPr>
                      <w:sz w:val="20"/>
                      <w:szCs w:val="20"/>
                    </w:rPr>
                  </w:pPr>
                  <w:r>
                    <w:rPr>
                      <w:spacing w:val="9"/>
                      <w:sz w:val="20"/>
                      <w:szCs w:val="20"/>
                    </w:rPr>
                    <w:t>用地管理，涉及占用耕地的，按</w:t>
                  </w:r>
                </w:p>
                <w:p w14:paraId="00C64CBD">
                  <w:pPr>
                    <w:pStyle w:val="6"/>
                    <w:spacing w:before="25" w:line="228" w:lineRule="auto"/>
                    <w:ind w:left="156"/>
                    <w:rPr>
                      <w:sz w:val="20"/>
                      <w:szCs w:val="20"/>
                    </w:rPr>
                  </w:pPr>
                  <w:r>
                    <w:rPr>
                      <w:spacing w:val="9"/>
                      <w:sz w:val="20"/>
                      <w:szCs w:val="20"/>
                    </w:rPr>
                    <w:t>规定落实进出平衡。其他道路按</w:t>
                  </w:r>
                </w:p>
                <w:p w14:paraId="033FD741">
                  <w:pPr>
                    <w:pStyle w:val="6"/>
                    <w:spacing w:before="27" w:line="217" w:lineRule="auto"/>
                    <w:ind w:left="895"/>
                    <w:rPr>
                      <w:sz w:val="20"/>
                      <w:szCs w:val="20"/>
                    </w:rPr>
                  </w:pPr>
                  <w:r>
                    <w:rPr>
                      <w:spacing w:val="6"/>
                      <w:sz w:val="20"/>
                      <w:szCs w:val="20"/>
                    </w:rPr>
                    <w:t>建设用地管理。</w:t>
                  </w:r>
                </w:p>
              </w:tc>
              <w:tc>
                <w:tcPr>
                  <w:tcW w:w="3118" w:type="dxa"/>
                  <w:vAlign w:val="top"/>
                </w:tcPr>
                <w:p w14:paraId="72EACB92">
                  <w:pPr>
                    <w:spacing w:line="320" w:lineRule="auto"/>
                    <w:rPr>
                      <w:rFonts w:ascii="Arial"/>
                      <w:sz w:val="21"/>
                    </w:rPr>
                  </w:pPr>
                </w:p>
                <w:p w14:paraId="4026F9C2">
                  <w:pPr>
                    <w:spacing w:line="320" w:lineRule="auto"/>
                    <w:rPr>
                      <w:rFonts w:ascii="Arial"/>
                      <w:sz w:val="21"/>
                    </w:rPr>
                  </w:pPr>
                </w:p>
                <w:p w14:paraId="1B6437AD">
                  <w:pPr>
                    <w:pStyle w:val="6"/>
                    <w:spacing w:before="65" w:line="247" w:lineRule="auto"/>
                    <w:ind w:left="112" w:right="103" w:firstLine="4"/>
                    <w:rPr>
                      <w:sz w:val="20"/>
                      <w:szCs w:val="20"/>
                    </w:rPr>
                  </w:pPr>
                  <w:r>
                    <w:rPr>
                      <w:spacing w:val="9"/>
                      <w:sz w:val="20"/>
                      <w:szCs w:val="20"/>
                    </w:rPr>
                    <w:t>项目直接配套光伏阵列的道路</w:t>
                  </w:r>
                  <w:r>
                    <w:rPr>
                      <w:sz w:val="20"/>
                      <w:szCs w:val="20"/>
                    </w:rPr>
                    <w:t xml:space="preserve">  </w:t>
                  </w:r>
                  <w:r>
                    <w:rPr>
                      <w:spacing w:val="6"/>
                      <w:sz w:val="20"/>
                      <w:szCs w:val="20"/>
                    </w:rPr>
                    <w:t>用地按照防火通道单独立项，采</w:t>
                  </w:r>
                  <w:r>
                    <w:rPr>
                      <w:spacing w:val="11"/>
                      <w:sz w:val="20"/>
                      <w:szCs w:val="20"/>
                    </w:rPr>
                    <w:t xml:space="preserve"> </w:t>
                  </w:r>
                  <w:r>
                    <w:rPr>
                      <w:spacing w:val="6"/>
                      <w:sz w:val="20"/>
                      <w:szCs w:val="20"/>
                    </w:rPr>
                    <w:t>用农村道路的要求进行管理，不</w:t>
                  </w:r>
                  <w:r>
                    <w:rPr>
                      <w:spacing w:val="11"/>
                      <w:sz w:val="20"/>
                      <w:szCs w:val="20"/>
                    </w:rPr>
                    <w:t xml:space="preserve"> </w:t>
                  </w:r>
                  <w:r>
                    <w:rPr>
                      <w:spacing w:val="6"/>
                      <w:sz w:val="20"/>
                      <w:szCs w:val="20"/>
                    </w:rPr>
                    <w:t>在本次评价范围内，其他道路按</w:t>
                  </w:r>
                  <w:r>
                    <w:rPr>
                      <w:spacing w:val="9"/>
                      <w:sz w:val="20"/>
                      <w:szCs w:val="20"/>
                    </w:rPr>
                    <w:t xml:space="preserve"> </w:t>
                  </w:r>
                  <w:r>
                    <w:rPr>
                      <w:spacing w:val="7"/>
                      <w:sz w:val="20"/>
                      <w:szCs w:val="20"/>
                    </w:rPr>
                    <w:t>建设用地管理。</w:t>
                  </w:r>
                </w:p>
              </w:tc>
              <w:tc>
                <w:tcPr>
                  <w:tcW w:w="821" w:type="dxa"/>
                  <w:vAlign w:val="top"/>
                </w:tcPr>
                <w:p w14:paraId="38CD7704">
                  <w:pPr>
                    <w:spacing w:line="295" w:lineRule="auto"/>
                    <w:rPr>
                      <w:rFonts w:ascii="Arial"/>
                      <w:sz w:val="21"/>
                    </w:rPr>
                  </w:pPr>
                </w:p>
                <w:p w14:paraId="1E486933">
                  <w:pPr>
                    <w:spacing w:line="295" w:lineRule="auto"/>
                    <w:rPr>
                      <w:rFonts w:ascii="Arial"/>
                      <w:sz w:val="21"/>
                    </w:rPr>
                  </w:pPr>
                </w:p>
                <w:p w14:paraId="5DD1A16C">
                  <w:pPr>
                    <w:spacing w:line="296" w:lineRule="auto"/>
                    <w:rPr>
                      <w:rFonts w:ascii="Arial"/>
                      <w:sz w:val="21"/>
                    </w:rPr>
                  </w:pPr>
                </w:p>
                <w:p w14:paraId="6F2FDA35">
                  <w:pPr>
                    <w:spacing w:line="296" w:lineRule="auto"/>
                    <w:rPr>
                      <w:rFonts w:ascii="Arial"/>
                      <w:sz w:val="21"/>
                    </w:rPr>
                  </w:pPr>
                </w:p>
                <w:p w14:paraId="4CB336E7">
                  <w:pPr>
                    <w:pStyle w:val="6"/>
                    <w:spacing w:before="65" w:line="228" w:lineRule="auto"/>
                    <w:ind w:left="208"/>
                    <w:rPr>
                      <w:sz w:val="20"/>
                      <w:szCs w:val="20"/>
                    </w:rPr>
                  </w:pPr>
                  <w:r>
                    <w:rPr>
                      <w:spacing w:val="3"/>
                      <w:sz w:val="20"/>
                      <w:szCs w:val="20"/>
                    </w:rPr>
                    <w:t>符合</w:t>
                  </w:r>
                </w:p>
              </w:tc>
            </w:tr>
            <w:tr w14:paraId="55225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3" w:hRule="atLeast"/>
              </w:trPr>
              <w:tc>
                <w:tcPr>
                  <w:tcW w:w="659" w:type="dxa"/>
                  <w:vMerge w:val="restart"/>
                  <w:tcBorders>
                    <w:bottom w:val="nil"/>
                  </w:tcBorders>
                  <w:vAlign w:val="top"/>
                </w:tcPr>
                <w:p w14:paraId="2178206C">
                  <w:pPr>
                    <w:spacing w:line="241" w:lineRule="auto"/>
                    <w:rPr>
                      <w:rFonts w:ascii="Arial"/>
                      <w:sz w:val="21"/>
                    </w:rPr>
                  </w:pPr>
                </w:p>
                <w:p w14:paraId="328C31E3">
                  <w:pPr>
                    <w:spacing w:line="241" w:lineRule="auto"/>
                    <w:rPr>
                      <w:rFonts w:ascii="Arial"/>
                      <w:sz w:val="21"/>
                    </w:rPr>
                  </w:pPr>
                </w:p>
                <w:p w14:paraId="71209A08">
                  <w:pPr>
                    <w:spacing w:line="241" w:lineRule="auto"/>
                    <w:rPr>
                      <w:rFonts w:ascii="Arial"/>
                      <w:sz w:val="21"/>
                    </w:rPr>
                  </w:pPr>
                </w:p>
                <w:p w14:paraId="56E0B43C">
                  <w:pPr>
                    <w:spacing w:line="241" w:lineRule="auto"/>
                    <w:rPr>
                      <w:rFonts w:ascii="Arial"/>
                      <w:sz w:val="21"/>
                    </w:rPr>
                  </w:pPr>
                </w:p>
                <w:p w14:paraId="60055F8F">
                  <w:pPr>
                    <w:spacing w:line="241" w:lineRule="auto"/>
                    <w:rPr>
                      <w:rFonts w:ascii="Arial"/>
                      <w:sz w:val="21"/>
                    </w:rPr>
                  </w:pPr>
                </w:p>
                <w:p w14:paraId="2CA53665">
                  <w:pPr>
                    <w:spacing w:line="241" w:lineRule="auto"/>
                    <w:rPr>
                      <w:rFonts w:ascii="Arial"/>
                      <w:sz w:val="21"/>
                    </w:rPr>
                  </w:pPr>
                </w:p>
                <w:p w14:paraId="6E09F98F">
                  <w:pPr>
                    <w:spacing w:line="241" w:lineRule="auto"/>
                    <w:rPr>
                      <w:rFonts w:ascii="Arial"/>
                      <w:sz w:val="21"/>
                    </w:rPr>
                  </w:pPr>
                </w:p>
                <w:p w14:paraId="11FA9FE9">
                  <w:pPr>
                    <w:spacing w:line="241" w:lineRule="auto"/>
                    <w:rPr>
                      <w:rFonts w:ascii="Arial"/>
                      <w:sz w:val="21"/>
                    </w:rPr>
                  </w:pPr>
                </w:p>
                <w:p w14:paraId="169AF9C2">
                  <w:pPr>
                    <w:spacing w:line="241" w:lineRule="auto"/>
                    <w:rPr>
                      <w:rFonts w:ascii="Arial"/>
                      <w:sz w:val="21"/>
                    </w:rPr>
                  </w:pPr>
                </w:p>
                <w:p w14:paraId="72A7F83F">
                  <w:pPr>
                    <w:spacing w:line="241" w:lineRule="auto"/>
                    <w:rPr>
                      <w:rFonts w:ascii="Arial"/>
                      <w:sz w:val="21"/>
                    </w:rPr>
                  </w:pPr>
                </w:p>
                <w:p w14:paraId="0831AB94">
                  <w:pPr>
                    <w:pStyle w:val="6"/>
                    <w:spacing w:before="65" w:line="246" w:lineRule="auto"/>
                    <w:ind w:left="123" w:right="120"/>
                    <w:jc w:val="both"/>
                    <w:rPr>
                      <w:sz w:val="20"/>
                      <w:szCs w:val="20"/>
                    </w:rPr>
                  </w:pPr>
                  <w:r>
                    <w:rPr>
                      <w:spacing w:val="4"/>
                      <w:sz w:val="20"/>
                      <w:szCs w:val="20"/>
                    </w:rPr>
                    <w:t>加快</w:t>
                  </w:r>
                  <w:r>
                    <w:rPr>
                      <w:sz w:val="20"/>
                      <w:szCs w:val="20"/>
                    </w:rPr>
                    <w:t xml:space="preserve"> </w:t>
                  </w:r>
                  <w:r>
                    <w:rPr>
                      <w:spacing w:val="4"/>
                      <w:sz w:val="20"/>
                      <w:szCs w:val="20"/>
                    </w:rPr>
                    <w:t>办理</w:t>
                  </w:r>
                  <w:r>
                    <w:rPr>
                      <w:sz w:val="20"/>
                      <w:szCs w:val="20"/>
                    </w:rPr>
                    <w:t xml:space="preserve"> </w:t>
                  </w:r>
                  <w:r>
                    <w:rPr>
                      <w:spacing w:val="4"/>
                      <w:sz w:val="20"/>
                      <w:szCs w:val="20"/>
                    </w:rPr>
                    <w:t>项目</w:t>
                  </w:r>
                  <w:r>
                    <w:rPr>
                      <w:sz w:val="20"/>
                      <w:szCs w:val="20"/>
                    </w:rPr>
                    <w:t xml:space="preserve"> </w:t>
                  </w:r>
                  <w:r>
                    <w:rPr>
                      <w:spacing w:val="4"/>
                      <w:sz w:val="20"/>
                      <w:szCs w:val="20"/>
                    </w:rPr>
                    <w:t>用地</w:t>
                  </w:r>
                  <w:r>
                    <w:rPr>
                      <w:sz w:val="20"/>
                      <w:szCs w:val="20"/>
                    </w:rPr>
                    <w:t xml:space="preserve"> </w:t>
                  </w:r>
                  <w:r>
                    <w:rPr>
                      <w:spacing w:val="4"/>
                      <w:sz w:val="20"/>
                      <w:szCs w:val="20"/>
                    </w:rPr>
                    <w:t>手续</w:t>
                  </w:r>
                </w:p>
              </w:tc>
              <w:tc>
                <w:tcPr>
                  <w:tcW w:w="3244" w:type="dxa"/>
                  <w:vAlign w:val="top"/>
                </w:tcPr>
                <w:p w14:paraId="4677A0C6">
                  <w:pPr>
                    <w:pStyle w:val="6"/>
                    <w:spacing w:before="38" w:line="249" w:lineRule="auto"/>
                    <w:ind w:left="155" w:right="150" w:firstLine="10"/>
                    <w:jc w:val="both"/>
                    <w:rPr>
                      <w:sz w:val="20"/>
                      <w:szCs w:val="20"/>
                    </w:rPr>
                  </w:pPr>
                  <w:r>
                    <w:rPr>
                      <w:spacing w:val="8"/>
                      <w:sz w:val="20"/>
                      <w:szCs w:val="20"/>
                    </w:rPr>
                    <w:t>（一）建立用地用林用草联审机</w:t>
                  </w:r>
                  <w:r>
                    <w:rPr>
                      <w:spacing w:val="6"/>
                      <w:sz w:val="20"/>
                      <w:szCs w:val="20"/>
                    </w:rPr>
                    <w:t xml:space="preserve"> </w:t>
                  </w:r>
                  <w:r>
                    <w:rPr>
                      <w:spacing w:val="9"/>
                      <w:sz w:val="20"/>
                      <w:szCs w:val="20"/>
                    </w:rPr>
                    <w:t>制。各地自然资源、林草主管部</w:t>
                  </w:r>
                  <w:r>
                    <w:rPr>
                      <w:spacing w:val="3"/>
                      <w:sz w:val="20"/>
                      <w:szCs w:val="20"/>
                    </w:rPr>
                    <w:t xml:space="preserve"> </w:t>
                  </w:r>
                  <w:r>
                    <w:rPr>
                      <w:spacing w:val="9"/>
                      <w:sz w:val="20"/>
                      <w:szCs w:val="20"/>
                    </w:rPr>
                    <w:t>门要建立项目用地用林用草审查</w:t>
                  </w:r>
                  <w:r>
                    <w:rPr>
                      <w:spacing w:val="3"/>
                      <w:sz w:val="20"/>
                      <w:szCs w:val="20"/>
                    </w:rPr>
                    <w:t xml:space="preserve"> </w:t>
                  </w:r>
                  <w:r>
                    <w:rPr>
                      <w:spacing w:val="9"/>
                      <w:sz w:val="20"/>
                      <w:szCs w:val="20"/>
                    </w:rPr>
                    <w:t>协调联动机制，对于符合国土空</w:t>
                  </w:r>
                  <w:r>
                    <w:rPr>
                      <w:spacing w:val="3"/>
                      <w:sz w:val="20"/>
                      <w:szCs w:val="20"/>
                    </w:rPr>
                    <w:t xml:space="preserve"> </w:t>
                  </w:r>
                  <w:r>
                    <w:rPr>
                      <w:spacing w:val="9"/>
                      <w:sz w:val="20"/>
                      <w:szCs w:val="20"/>
                    </w:rPr>
                    <w:t>间规划和用途管制要求、纳入国</w:t>
                  </w:r>
                  <w:r>
                    <w:rPr>
                      <w:spacing w:val="3"/>
                      <w:sz w:val="20"/>
                      <w:szCs w:val="20"/>
                    </w:rPr>
                    <w:t xml:space="preserve"> </w:t>
                  </w:r>
                  <w:r>
                    <w:rPr>
                      <w:spacing w:val="7"/>
                      <w:sz w:val="20"/>
                      <w:szCs w:val="20"/>
                    </w:rPr>
                    <w:t>土空间规划“一张图</w:t>
                  </w:r>
                  <w:r>
                    <w:rPr>
                      <w:spacing w:val="-67"/>
                      <w:sz w:val="20"/>
                      <w:szCs w:val="20"/>
                    </w:rPr>
                    <w:t xml:space="preserve"> </w:t>
                  </w:r>
                  <w:r>
                    <w:rPr>
                      <w:spacing w:val="7"/>
                      <w:sz w:val="20"/>
                      <w:szCs w:val="20"/>
                    </w:rPr>
                    <w:t>”的国家大</w:t>
                  </w:r>
                  <w:r>
                    <w:rPr>
                      <w:sz w:val="20"/>
                      <w:szCs w:val="20"/>
                    </w:rPr>
                    <w:t xml:space="preserve"> </w:t>
                  </w:r>
                  <w:r>
                    <w:rPr>
                      <w:spacing w:val="9"/>
                      <w:sz w:val="20"/>
                      <w:szCs w:val="20"/>
                    </w:rPr>
                    <w:t>型光伏基地建设范围项目，在项</w:t>
                  </w:r>
                  <w:r>
                    <w:rPr>
                      <w:spacing w:val="3"/>
                      <w:sz w:val="20"/>
                      <w:szCs w:val="20"/>
                    </w:rPr>
                    <w:t xml:space="preserve"> </w:t>
                  </w:r>
                  <w:r>
                    <w:rPr>
                      <w:spacing w:val="9"/>
                      <w:sz w:val="20"/>
                      <w:szCs w:val="20"/>
                    </w:rPr>
                    <w:t>目立项与论证时，要对项目用地</w:t>
                  </w:r>
                  <w:r>
                    <w:rPr>
                      <w:spacing w:val="3"/>
                      <w:sz w:val="20"/>
                      <w:szCs w:val="20"/>
                    </w:rPr>
                    <w:t xml:space="preserve"> </w:t>
                  </w:r>
                  <w:r>
                    <w:rPr>
                      <w:spacing w:val="9"/>
                      <w:sz w:val="20"/>
                      <w:szCs w:val="20"/>
                    </w:rPr>
                    <w:t>用林用草提出意见与要求，严格</w:t>
                  </w:r>
                  <w:r>
                    <w:rPr>
                      <w:spacing w:val="3"/>
                      <w:sz w:val="20"/>
                      <w:szCs w:val="20"/>
                    </w:rPr>
                    <w:t xml:space="preserve"> </w:t>
                  </w:r>
                  <w:r>
                    <w:rPr>
                      <w:spacing w:val="9"/>
                      <w:sz w:val="20"/>
                      <w:szCs w:val="20"/>
                    </w:rPr>
                    <w:t>执行《光伏发电站工程项目用地</w:t>
                  </w:r>
                  <w:r>
                    <w:rPr>
                      <w:spacing w:val="3"/>
                      <w:sz w:val="20"/>
                      <w:szCs w:val="20"/>
                    </w:rPr>
                    <w:t xml:space="preserve"> </w:t>
                  </w:r>
                  <w:r>
                    <w:rPr>
                      <w:spacing w:val="9"/>
                      <w:sz w:val="20"/>
                      <w:szCs w:val="20"/>
                    </w:rPr>
                    <w:t>控制指标》和光伏电站使用林地</w:t>
                  </w:r>
                  <w:r>
                    <w:rPr>
                      <w:spacing w:val="3"/>
                      <w:sz w:val="20"/>
                      <w:szCs w:val="20"/>
                    </w:rPr>
                    <w:t xml:space="preserve"> </w:t>
                  </w:r>
                  <w:r>
                    <w:rPr>
                      <w:spacing w:val="9"/>
                      <w:sz w:val="20"/>
                      <w:szCs w:val="20"/>
                    </w:rPr>
                    <w:t>有关规定，保障项目用地用林用</w:t>
                  </w:r>
                </w:p>
                <w:p w14:paraId="1A290885">
                  <w:pPr>
                    <w:pStyle w:val="6"/>
                    <w:spacing w:before="25" w:line="215" w:lineRule="auto"/>
                    <w:ind w:left="997"/>
                    <w:rPr>
                      <w:sz w:val="20"/>
                      <w:szCs w:val="20"/>
                    </w:rPr>
                  </w:pPr>
                  <w:r>
                    <w:rPr>
                      <w:spacing w:val="6"/>
                      <w:sz w:val="20"/>
                      <w:szCs w:val="20"/>
                    </w:rPr>
                    <w:t>草合理需求。</w:t>
                  </w:r>
                </w:p>
              </w:tc>
              <w:tc>
                <w:tcPr>
                  <w:tcW w:w="3118" w:type="dxa"/>
                  <w:vAlign w:val="top"/>
                </w:tcPr>
                <w:p w14:paraId="318E12F3">
                  <w:pPr>
                    <w:spacing w:line="305" w:lineRule="auto"/>
                    <w:rPr>
                      <w:rFonts w:ascii="Arial"/>
                      <w:sz w:val="21"/>
                    </w:rPr>
                  </w:pPr>
                </w:p>
                <w:p w14:paraId="29FDE65A">
                  <w:pPr>
                    <w:spacing w:line="305" w:lineRule="auto"/>
                    <w:rPr>
                      <w:rFonts w:ascii="Arial"/>
                      <w:sz w:val="21"/>
                    </w:rPr>
                  </w:pPr>
                </w:p>
                <w:p w14:paraId="6534CA89">
                  <w:pPr>
                    <w:spacing w:line="305" w:lineRule="auto"/>
                    <w:rPr>
                      <w:rFonts w:ascii="Arial"/>
                      <w:sz w:val="21"/>
                    </w:rPr>
                  </w:pPr>
                </w:p>
                <w:p w14:paraId="14B9A5EF">
                  <w:pPr>
                    <w:pStyle w:val="6"/>
                    <w:spacing w:before="65" w:line="247" w:lineRule="auto"/>
                    <w:ind w:left="113" w:right="103"/>
                    <w:jc w:val="both"/>
                    <w:rPr>
                      <w:sz w:val="20"/>
                      <w:szCs w:val="20"/>
                    </w:rPr>
                  </w:pPr>
                  <w:r>
                    <w:rPr>
                      <w:spacing w:val="6"/>
                      <w:sz w:val="20"/>
                      <w:szCs w:val="20"/>
                    </w:rPr>
                    <w:t>根据寻甸县自然资源局、林草局</w:t>
                  </w:r>
                  <w:r>
                    <w:rPr>
                      <w:spacing w:val="11"/>
                      <w:sz w:val="20"/>
                      <w:szCs w:val="20"/>
                    </w:rPr>
                    <w:t xml:space="preserve"> </w:t>
                  </w:r>
                  <w:r>
                    <w:rPr>
                      <w:spacing w:val="6"/>
                      <w:sz w:val="20"/>
                      <w:szCs w:val="20"/>
                    </w:rPr>
                    <w:t>等部门选址意见，项目将严格执</w:t>
                  </w:r>
                  <w:r>
                    <w:rPr>
                      <w:spacing w:val="10"/>
                      <w:sz w:val="20"/>
                      <w:szCs w:val="20"/>
                    </w:rPr>
                    <w:t xml:space="preserve"> </w:t>
                  </w:r>
                  <w:r>
                    <w:rPr>
                      <w:spacing w:val="6"/>
                      <w:sz w:val="20"/>
                      <w:szCs w:val="20"/>
                    </w:rPr>
                    <w:t>行《光伏发电站工程项目用地控</w:t>
                  </w:r>
                  <w:r>
                    <w:rPr>
                      <w:spacing w:val="7"/>
                      <w:sz w:val="20"/>
                      <w:szCs w:val="20"/>
                    </w:rPr>
                    <w:t xml:space="preserve"> </w:t>
                  </w:r>
                  <w:r>
                    <w:rPr>
                      <w:spacing w:val="6"/>
                      <w:sz w:val="20"/>
                      <w:szCs w:val="20"/>
                    </w:rPr>
                    <w:t>制指标》和光伏电站使用林地有</w:t>
                  </w:r>
                  <w:r>
                    <w:rPr>
                      <w:spacing w:val="7"/>
                      <w:sz w:val="20"/>
                      <w:szCs w:val="20"/>
                    </w:rPr>
                    <w:t xml:space="preserve"> </w:t>
                  </w:r>
                  <w:r>
                    <w:rPr>
                      <w:spacing w:val="6"/>
                      <w:sz w:val="20"/>
                      <w:szCs w:val="20"/>
                    </w:rPr>
                    <w:t>关规定，保障项目用地用林用草</w:t>
                  </w:r>
                  <w:r>
                    <w:rPr>
                      <w:spacing w:val="7"/>
                      <w:sz w:val="20"/>
                      <w:szCs w:val="20"/>
                    </w:rPr>
                    <w:t xml:space="preserve"> </w:t>
                  </w:r>
                  <w:r>
                    <w:rPr>
                      <w:spacing w:val="5"/>
                      <w:sz w:val="20"/>
                      <w:szCs w:val="20"/>
                    </w:rPr>
                    <w:t>合理需求。</w:t>
                  </w:r>
                </w:p>
              </w:tc>
              <w:tc>
                <w:tcPr>
                  <w:tcW w:w="821" w:type="dxa"/>
                  <w:vAlign w:val="top"/>
                </w:tcPr>
                <w:p w14:paraId="377966F2">
                  <w:pPr>
                    <w:spacing w:line="265" w:lineRule="auto"/>
                    <w:rPr>
                      <w:rFonts w:ascii="Arial"/>
                      <w:sz w:val="21"/>
                    </w:rPr>
                  </w:pPr>
                </w:p>
                <w:p w14:paraId="78893E05">
                  <w:pPr>
                    <w:spacing w:line="265" w:lineRule="auto"/>
                    <w:rPr>
                      <w:rFonts w:ascii="Arial"/>
                      <w:sz w:val="21"/>
                    </w:rPr>
                  </w:pPr>
                </w:p>
                <w:p w14:paraId="2D2BA045">
                  <w:pPr>
                    <w:spacing w:line="265" w:lineRule="auto"/>
                    <w:rPr>
                      <w:rFonts w:ascii="Arial"/>
                      <w:sz w:val="21"/>
                    </w:rPr>
                  </w:pPr>
                </w:p>
                <w:p w14:paraId="3558FF21">
                  <w:pPr>
                    <w:spacing w:line="265" w:lineRule="auto"/>
                    <w:rPr>
                      <w:rFonts w:ascii="Arial"/>
                      <w:sz w:val="21"/>
                    </w:rPr>
                  </w:pPr>
                </w:p>
                <w:p w14:paraId="3B328B43">
                  <w:pPr>
                    <w:spacing w:line="265" w:lineRule="auto"/>
                    <w:rPr>
                      <w:rFonts w:ascii="Arial"/>
                      <w:sz w:val="21"/>
                    </w:rPr>
                  </w:pPr>
                </w:p>
                <w:p w14:paraId="5EFC3D2B">
                  <w:pPr>
                    <w:spacing w:line="265" w:lineRule="auto"/>
                    <w:rPr>
                      <w:rFonts w:ascii="Arial"/>
                      <w:sz w:val="21"/>
                    </w:rPr>
                  </w:pPr>
                </w:p>
                <w:p w14:paraId="287A9C58">
                  <w:pPr>
                    <w:pStyle w:val="6"/>
                    <w:spacing w:before="65" w:line="228" w:lineRule="auto"/>
                    <w:ind w:left="208"/>
                    <w:rPr>
                      <w:sz w:val="20"/>
                      <w:szCs w:val="20"/>
                    </w:rPr>
                  </w:pPr>
                  <w:r>
                    <w:rPr>
                      <w:spacing w:val="3"/>
                      <w:sz w:val="20"/>
                      <w:szCs w:val="20"/>
                    </w:rPr>
                    <w:t>符合</w:t>
                  </w:r>
                </w:p>
              </w:tc>
            </w:tr>
            <w:tr w14:paraId="4D8EE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2" w:hRule="atLeast"/>
              </w:trPr>
              <w:tc>
                <w:tcPr>
                  <w:tcW w:w="659" w:type="dxa"/>
                  <w:vMerge w:val="continue"/>
                  <w:tcBorders>
                    <w:top w:val="nil"/>
                  </w:tcBorders>
                  <w:vAlign w:val="top"/>
                </w:tcPr>
                <w:p w14:paraId="2C17B687">
                  <w:pPr>
                    <w:rPr>
                      <w:rFonts w:ascii="Arial"/>
                      <w:sz w:val="21"/>
                    </w:rPr>
                  </w:pPr>
                </w:p>
              </w:tc>
              <w:tc>
                <w:tcPr>
                  <w:tcW w:w="3244" w:type="dxa"/>
                  <w:vAlign w:val="top"/>
                </w:tcPr>
                <w:p w14:paraId="37A7E55E">
                  <w:pPr>
                    <w:pStyle w:val="6"/>
                    <w:spacing w:before="32" w:line="249" w:lineRule="auto"/>
                    <w:ind w:left="156" w:right="153" w:firstLine="10"/>
                    <w:jc w:val="right"/>
                    <w:rPr>
                      <w:sz w:val="20"/>
                      <w:szCs w:val="20"/>
                    </w:rPr>
                  </w:pPr>
                  <w:r>
                    <w:rPr>
                      <w:spacing w:val="8"/>
                      <w:sz w:val="20"/>
                      <w:szCs w:val="20"/>
                    </w:rPr>
                    <w:t>（二）及时办理征地或租赁等用</w:t>
                  </w:r>
                  <w:r>
                    <w:rPr>
                      <w:spacing w:val="6"/>
                      <w:sz w:val="20"/>
                      <w:szCs w:val="20"/>
                    </w:rPr>
                    <w:t xml:space="preserve"> </w:t>
                  </w:r>
                  <w:r>
                    <w:rPr>
                      <w:spacing w:val="9"/>
                      <w:sz w:val="20"/>
                      <w:szCs w:val="20"/>
                    </w:rPr>
                    <w:t>地手续。光伏发电项目用地涉及</w:t>
                  </w:r>
                  <w:r>
                    <w:rPr>
                      <w:spacing w:val="2"/>
                      <w:sz w:val="20"/>
                      <w:szCs w:val="20"/>
                    </w:rPr>
                    <w:t xml:space="preserve"> </w:t>
                  </w:r>
                  <w:r>
                    <w:rPr>
                      <w:spacing w:val="9"/>
                      <w:sz w:val="20"/>
                      <w:szCs w:val="20"/>
                    </w:rPr>
                    <w:t>使用建设用地的，可依照土地征</w:t>
                  </w:r>
                  <w:r>
                    <w:rPr>
                      <w:spacing w:val="2"/>
                      <w:sz w:val="20"/>
                      <w:szCs w:val="20"/>
                    </w:rPr>
                    <w:t xml:space="preserve"> </w:t>
                  </w:r>
                  <w:r>
                    <w:rPr>
                      <w:spacing w:val="9"/>
                      <w:sz w:val="20"/>
                      <w:szCs w:val="20"/>
                    </w:rPr>
                    <w:t>收规定办理土地征收手续。光伏</w:t>
                  </w:r>
                  <w:r>
                    <w:rPr>
                      <w:spacing w:val="2"/>
                      <w:sz w:val="20"/>
                      <w:szCs w:val="20"/>
                    </w:rPr>
                    <w:t xml:space="preserve"> </w:t>
                  </w:r>
                  <w:r>
                    <w:rPr>
                      <w:spacing w:val="17"/>
                      <w:sz w:val="20"/>
                      <w:szCs w:val="20"/>
                    </w:rPr>
                    <w:t>阵列用地允许以租赁等方式取</w:t>
                  </w:r>
                  <w:r>
                    <w:rPr>
                      <w:spacing w:val="2"/>
                      <w:sz w:val="20"/>
                      <w:szCs w:val="20"/>
                    </w:rPr>
                    <w:t xml:space="preserve">  </w:t>
                  </w:r>
                  <w:r>
                    <w:rPr>
                      <w:spacing w:val="9"/>
                      <w:sz w:val="20"/>
                      <w:szCs w:val="20"/>
                    </w:rPr>
                    <w:t>得，用地单位与农村集体经济组</w:t>
                  </w:r>
                  <w:r>
                    <w:rPr>
                      <w:spacing w:val="2"/>
                      <w:sz w:val="20"/>
                      <w:szCs w:val="20"/>
                    </w:rPr>
                    <w:t xml:space="preserve"> </w:t>
                  </w:r>
                  <w:r>
                    <w:rPr>
                      <w:spacing w:val="9"/>
                      <w:sz w:val="20"/>
                      <w:szCs w:val="20"/>
                    </w:rPr>
                    <w:t>织或国有土地权利主体、当地乡</w:t>
                  </w:r>
                  <w:r>
                    <w:rPr>
                      <w:spacing w:val="2"/>
                      <w:sz w:val="20"/>
                      <w:szCs w:val="20"/>
                    </w:rPr>
                    <w:t xml:space="preserve"> </w:t>
                  </w:r>
                  <w:r>
                    <w:rPr>
                      <w:spacing w:val="9"/>
                      <w:sz w:val="20"/>
                      <w:szCs w:val="20"/>
                    </w:rPr>
                    <w:t>镇政府签订用地与补偿协议，报</w:t>
                  </w:r>
                  <w:r>
                    <w:rPr>
                      <w:spacing w:val="2"/>
                      <w:sz w:val="20"/>
                      <w:szCs w:val="20"/>
                    </w:rPr>
                    <w:t xml:space="preserve"> </w:t>
                  </w:r>
                  <w:r>
                    <w:rPr>
                      <w:spacing w:val="8"/>
                      <w:sz w:val="20"/>
                      <w:szCs w:val="20"/>
                    </w:rPr>
                    <w:t>当地县级自然资源和林草主管部</w:t>
                  </w:r>
                </w:p>
                <w:p w14:paraId="70EA4170">
                  <w:pPr>
                    <w:pStyle w:val="6"/>
                    <w:spacing w:before="24" w:line="219" w:lineRule="auto"/>
                    <w:ind w:left="1230"/>
                    <w:rPr>
                      <w:sz w:val="20"/>
                      <w:szCs w:val="20"/>
                    </w:rPr>
                  </w:pPr>
                  <w:r>
                    <w:rPr>
                      <w:spacing w:val="-1"/>
                      <w:sz w:val="20"/>
                      <w:szCs w:val="20"/>
                    </w:rPr>
                    <w:t>门备案。</w:t>
                  </w:r>
                </w:p>
              </w:tc>
              <w:tc>
                <w:tcPr>
                  <w:tcW w:w="3118" w:type="dxa"/>
                  <w:vAlign w:val="top"/>
                </w:tcPr>
                <w:p w14:paraId="0A9BACB0">
                  <w:pPr>
                    <w:spacing w:line="375" w:lineRule="auto"/>
                    <w:rPr>
                      <w:rFonts w:ascii="Arial"/>
                      <w:sz w:val="21"/>
                    </w:rPr>
                  </w:pPr>
                </w:p>
                <w:p w14:paraId="1F04ADAA">
                  <w:pPr>
                    <w:pStyle w:val="6"/>
                    <w:spacing w:before="65" w:line="248" w:lineRule="auto"/>
                    <w:ind w:left="112" w:right="105" w:firstLine="4"/>
                    <w:rPr>
                      <w:sz w:val="20"/>
                      <w:szCs w:val="20"/>
                    </w:rPr>
                  </w:pPr>
                  <w:r>
                    <w:rPr>
                      <w:spacing w:val="9"/>
                      <w:sz w:val="20"/>
                      <w:szCs w:val="20"/>
                    </w:rPr>
                    <w:t>项目已与用地范围内现状土地</w:t>
                  </w:r>
                  <w:r>
                    <w:rPr>
                      <w:sz w:val="20"/>
                      <w:szCs w:val="20"/>
                    </w:rPr>
                    <w:t xml:space="preserve">  </w:t>
                  </w:r>
                  <w:r>
                    <w:rPr>
                      <w:spacing w:val="9"/>
                      <w:sz w:val="20"/>
                      <w:szCs w:val="20"/>
                    </w:rPr>
                    <w:t>使用权属人签署了土地租赁协</w:t>
                  </w:r>
                  <w:r>
                    <w:rPr>
                      <w:spacing w:val="1"/>
                      <w:sz w:val="20"/>
                      <w:szCs w:val="20"/>
                    </w:rPr>
                    <w:t xml:space="preserve">  </w:t>
                  </w:r>
                  <w:r>
                    <w:rPr>
                      <w:spacing w:val="6"/>
                      <w:sz w:val="20"/>
                      <w:szCs w:val="20"/>
                    </w:rPr>
                    <w:t>议。项目光伏阵列用地以租赁方</w:t>
                  </w:r>
                  <w:r>
                    <w:rPr>
                      <w:spacing w:val="9"/>
                      <w:sz w:val="20"/>
                      <w:szCs w:val="20"/>
                    </w:rPr>
                    <w:t xml:space="preserve"> </w:t>
                  </w:r>
                  <w:r>
                    <w:rPr>
                      <w:spacing w:val="6"/>
                      <w:sz w:val="20"/>
                      <w:szCs w:val="20"/>
                    </w:rPr>
                    <w:t>式使用，建设单位后期征地过程</w:t>
                  </w:r>
                  <w:r>
                    <w:rPr>
                      <w:spacing w:val="9"/>
                      <w:sz w:val="20"/>
                      <w:szCs w:val="20"/>
                    </w:rPr>
                    <w:t xml:space="preserve"> 中将与相关组织部门签订用地</w:t>
                  </w:r>
                  <w:r>
                    <w:rPr>
                      <w:spacing w:val="1"/>
                      <w:sz w:val="20"/>
                      <w:szCs w:val="20"/>
                    </w:rPr>
                    <w:t xml:space="preserve">  </w:t>
                  </w:r>
                  <w:r>
                    <w:rPr>
                      <w:spacing w:val="6"/>
                      <w:sz w:val="20"/>
                      <w:szCs w:val="20"/>
                    </w:rPr>
                    <w:t>补偿协议，并报当地县级自然资</w:t>
                  </w:r>
                  <w:r>
                    <w:rPr>
                      <w:spacing w:val="9"/>
                      <w:sz w:val="20"/>
                      <w:szCs w:val="20"/>
                    </w:rPr>
                    <w:t xml:space="preserve"> </w:t>
                  </w:r>
                  <w:r>
                    <w:rPr>
                      <w:spacing w:val="8"/>
                      <w:sz w:val="20"/>
                      <w:szCs w:val="20"/>
                    </w:rPr>
                    <w:t>源和林草主管部门备案。</w:t>
                  </w:r>
                </w:p>
              </w:tc>
              <w:tc>
                <w:tcPr>
                  <w:tcW w:w="821" w:type="dxa"/>
                  <w:vAlign w:val="top"/>
                </w:tcPr>
                <w:p w14:paraId="50C2BF95">
                  <w:pPr>
                    <w:spacing w:line="297" w:lineRule="auto"/>
                    <w:rPr>
                      <w:rFonts w:ascii="Arial"/>
                      <w:sz w:val="21"/>
                    </w:rPr>
                  </w:pPr>
                </w:p>
                <w:p w14:paraId="304F1B6F">
                  <w:pPr>
                    <w:spacing w:line="297" w:lineRule="auto"/>
                    <w:rPr>
                      <w:rFonts w:ascii="Arial"/>
                      <w:sz w:val="21"/>
                    </w:rPr>
                  </w:pPr>
                </w:p>
                <w:p w14:paraId="25412B2A">
                  <w:pPr>
                    <w:spacing w:line="297" w:lineRule="auto"/>
                    <w:rPr>
                      <w:rFonts w:ascii="Arial"/>
                      <w:sz w:val="21"/>
                    </w:rPr>
                  </w:pPr>
                </w:p>
                <w:p w14:paraId="62CBE110">
                  <w:pPr>
                    <w:spacing w:line="297" w:lineRule="auto"/>
                    <w:rPr>
                      <w:rFonts w:ascii="Arial"/>
                      <w:sz w:val="21"/>
                    </w:rPr>
                  </w:pPr>
                </w:p>
                <w:p w14:paraId="090F28B2">
                  <w:pPr>
                    <w:pStyle w:val="6"/>
                    <w:spacing w:before="65" w:line="228" w:lineRule="auto"/>
                    <w:ind w:left="208"/>
                    <w:rPr>
                      <w:sz w:val="20"/>
                      <w:szCs w:val="20"/>
                    </w:rPr>
                  </w:pPr>
                  <w:r>
                    <w:rPr>
                      <w:spacing w:val="3"/>
                      <w:sz w:val="20"/>
                      <w:szCs w:val="20"/>
                    </w:rPr>
                    <w:t>符合</w:t>
                  </w:r>
                </w:p>
              </w:tc>
            </w:tr>
          </w:tbl>
          <w:p w14:paraId="5D64F6BC">
            <w:pPr>
              <w:pStyle w:val="6"/>
              <w:spacing w:before="34" w:line="345" w:lineRule="auto"/>
              <w:ind w:left="110" w:right="103" w:firstLine="485"/>
            </w:pPr>
            <w:r>
              <w:rPr>
                <w:rFonts w:ascii="Times New Roman" w:hAnsi="Times New Roman" w:eastAsia="Times New Roman" w:cs="Times New Roman"/>
                <w:b/>
                <w:bCs/>
                <w:spacing w:val="-2"/>
              </w:rPr>
              <w:t>13</w:t>
            </w:r>
            <w:r>
              <w:rPr>
                <w:rFonts w:ascii="Times New Roman" w:hAnsi="Times New Roman" w:eastAsia="Times New Roman" w:cs="Times New Roman"/>
                <w:b/>
                <w:bCs/>
                <w:spacing w:val="-34"/>
              </w:rPr>
              <w:t xml:space="preserve"> </w:t>
            </w:r>
            <w:r>
              <w:rPr>
                <w:b/>
                <w:bCs/>
                <w:spacing w:val="-2"/>
              </w:rPr>
              <w:t>、与《云南省自然资源厅</w:t>
            </w:r>
            <w:r>
              <w:rPr>
                <w:spacing w:val="-2"/>
              </w:rPr>
              <w:t xml:space="preserve"> </w:t>
            </w:r>
            <w:r>
              <w:rPr>
                <w:b/>
                <w:bCs/>
                <w:spacing w:val="-2"/>
              </w:rPr>
              <w:t>云南省能源局关于进一步支持</w:t>
            </w:r>
            <w:r>
              <w:rPr>
                <w:b/>
                <w:bCs/>
                <w:spacing w:val="-3"/>
              </w:rPr>
              <w:t>光伏扶贫和</w:t>
            </w:r>
            <w:r>
              <w:t xml:space="preserve"> </w:t>
            </w:r>
            <w:r>
              <w:rPr>
                <w:b/>
                <w:bCs/>
                <w:spacing w:val="-2"/>
              </w:rPr>
              <w:t>规范光伏发电产业用地的通知》（云自然资〔</w:t>
            </w:r>
            <w:r>
              <w:rPr>
                <w:rFonts w:ascii="Times New Roman" w:hAnsi="Times New Roman" w:eastAsia="Times New Roman" w:cs="Times New Roman"/>
                <w:b/>
                <w:bCs/>
                <w:spacing w:val="-2"/>
              </w:rPr>
              <w:t>2019</w:t>
            </w:r>
            <w:r>
              <w:rPr>
                <w:b/>
                <w:bCs/>
                <w:spacing w:val="-2"/>
              </w:rPr>
              <w:t>〕</w:t>
            </w:r>
            <w:r>
              <w:rPr>
                <w:rFonts w:ascii="Times New Roman" w:hAnsi="Times New Roman" w:eastAsia="Times New Roman" w:cs="Times New Roman"/>
                <w:b/>
                <w:bCs/>
                <w:spacing w:val="-2"/>
              </w:rPr>
              <w:t>196</w:t>
            </w:r>
            <w:r>
              <w:rPr>
                <w:b/>
                <w:bCs/>
                <w:spacing w:val="-2"/>
              </w:rPr>
              <w:t>号）的符合性</w:t>
            </w:r>
          </w:p>
          <w:p w14:paraId="1E411F30">
            <w:pPr>
              <w:pStyle w:val="6"/>
              <w:spacing w:before="33" w:line="223" w:lineRule="auto"/>
              <w:ind w:left="1627"/>
              <w:rPr>
                <w:sz w:val="20"/>
                <w:szCs w:val="20"/>
              </w:rPr>
            </w:pPr>
            <w:r>
              <w:rPr>
                <w:b/>
                <w:bCs/>
                <w:spacing w:val="5"/>
                <w:sz w:val="20"/>
                <w:szCs w:val="20"/>
              </w:rPr>
              <w:t>表</w:t>
            </w:r>
            <w:r>
              <w:rPr>
                <w:spacing w:val="-24"/>
                <w:sz w:val="20"/>
                <w:szCs w:val="20"/>
              </w:rPr>
              <w:t xml:space="preserve"> </w:t>
            </w:r>
            <w:r>
              <w:rPr>
                <w:rFonts w:ascii="Times New Roman" w:hAnsi="Times New Roman" w:eastAsia="Times New Roman" w:cs="Times New Roman"/>
                <w:b/>
                <w:bCs/>
                <w:spacing w:val="5"/>
                <w:sz w:val="20"/>
                <w:szCs w:val="20"/>
              </w:rPr>
              <w:t xml:space="preserve">1-12    </w:t>
            </w:r>
            <w:r>
              <w:rPr>
                <w:b/>
                <w:bCs/>
                <w:spacing w:val="5"/>
                <w:sz w:val="20"/>
                <w:szCs w:val="20"/>
              </w:rPr>
              <w:t>与云自然资〔</w:t>
            </w:r>
            <w:r>
              <w:rPr>
                <w:rFonts w:ascii="Times New Roman" w:hAnsi="Times New Roman" w:eastAsia="Times New Roman" w:cs="Times New Roman"/>
                <w:b/>
                <w:bCs/>
                <w:spacing w:val="5"/>
                <w:sz w:val="20"/>
                <w:szCs w:val="20"/>
              </w:rPr>
              <w:t>2019</w:t>
            </w:r>
            <w:r>
              <w:rPr>
                <w:b/>
                <w:bCs/>
                <w:spacing w:val="5"/>
                <w:sz w:val="20"/>
                <w:szCs w:val="20"/>
              </w:rPr>
              <w:t>〕</w:t>
            </w:r>
            <w:r>
              <w:rPr>
                <w:rFonts w:ascii="Times New Roman" w:hAnsi="Times New Roman" w:eastAsia="Times New Roman" w:cs="Times New Roman"/>
                <w:b/>
                <w:bCs/>
                <w:spacing w:val="5"/>
                <w:sz w:val="20"/>
                <w:szCs w:val="20"/>
              </w:rPr>
              <w:t>196</w:t>
            </w:r>
            <w:r>
              <w:rPr>
                <w:rFonts w:ascii="Times New Roman" w:hAnsi="Times New Roman" w:eastAsia="Times New Roman" w:cs="Times New Roman"/>
                <w:b/>
                <w:bCs/>
                <w:spacing w:val="17"/>
                <w:w w:val="101"/>
                <w:sz w:val="20"/>
                <w:szCs w:val="20"/>
              </w:rPr>
              <w:t xml:space="preserve"> </w:t>
            </w:r>
            <w:r>
              <w:rPr>
                <w:b/>
                <w:bCs/>
                <w:spacing w:val="5"/>
                <w:sz w:val="20"/>
                <w:szCs w:val="20"/>
              </w:rPr>
              <w:t>号文件符合性分析</w:t>
            </w:r>
          </w:p>
          <w:tbl>
            <w:tblPr>
              <w:tblStyle w:val="5"/>
              <w:tblW w:w="783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3293"/>
              <w:gridCol w:w="3008"/>
              <w:gridCol w:w="883"/>
            </w:tblGrid>
            <w:tr w14:paraId="2C457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655" w:type="dxa"/>
                  <w:vAlign w:val="top"/>
                </w:tcPr>
                <w:p w14:paraId="28D7D28F">
                  <w:pPr>
                    <w:pStyle w:val="6"/>
                    <w:spacing w:before="35" w:line="217" w:lineRule="auto"/>
                    <w:ind w:left="120"/>
                    <w:rPr>
                      <w:sz w:val="20"/>
                      <w:szCs w:val="20"/>
                    </w:rPr>
                  </w:pPr>
                  <w:r>
                    <w:rPr>
                      <w:b/>
                      <w:bCs/>
                      <w:spacing w:val="4"/>
                      <w:sz w:val="20"/>
                      <w:szCs w:val="20"/>
                    </w:rPr>
                    <w:t>序号</w:t>
                  </w:r>
                </w:p>
              </w:tc>
              <w:tc>
                <w:tcPr>
                  <w:tcW w:w="3293" w:type="dxa"/>
                  <w:vAlign w:val="top"/>
                </w:tcPr>
                <w:p w14:paraId="1604042D">
                  <w:pPr>
                    <w:pStyle w:val="6"/>
                    <w:spacing w:before="35" w:line="217" w:lineRule="auto"/>
                    <w:ind w:left="1235"/>
                    <w:rPr>
                      <w:sz w:val="20"/>
                      <w:szCs w:val="20"/>
                    </w:rPr>
                  </w:pPr>
                  <w:r>
                    <w:rPr>
                      <w:b/>
                      <w:bCs/>
                      <w:spacing w:val="5"/>
                      <w:sz w:val="20"/>
                      <w:szCs w:val="20"/>
                    </w:rPr>
                    <w:t>管控要求</w:t>
                  </w:r>
                </w:p>
              </w:tc>
              <w:tc>
                <w:tcPr>
                  <w:tcW w:w="3008" w:type="dxa"/>
                  <w:vAlign w:val="top"/>
                </w:tcPr>
                <w:p w14:paraId="36691839">
                  <w:pPr>
                    <w:pStyle w:val="6"/>
                    <w:spacing w:before="35" w:line="217" w:lineRule="auto"/>
                    <w:ind w:left="1092"/>
                    <w:rPr>
                      <w:sz w:val="20"/>
                      <w:szCs w:val="20"/>
                    </w:rPr>
                  </w:pPr>
                  <w:r>
                    <w:rPr>
                      <w:b/>
                      <w:bCs/>
                      <w:spacing w:val="5"/>
                      <w:sz w:val="20"/>
                      <w:szCs w:val="20"/>
                    </w:rPr>
                    <w:t>项目实际</w:t>
                  </w:r>
                </w:p>
              </w:tc>
              <w:tc>
                <w:tcPr>
                  <w:tcW w:w="883" w:type="dxa"/>
                  <w:vAlign w:val="top"/>
                </w:tcPr>
                <w:p w14:paraId="6A9E3E24">
                  <w:pPr>
                    <w:pStyle w:val="6"/>
                    <w:spacing w:before="35" w:line="217" w:lineRule="auto"/>
                    <w:ind w:left="132"/>
                    <w:rPr>
                      <w:sz w:val="20"/>
                      <w:szCs w:val="20"/>
                    </w:rPr>
                  </w:pPr>
                  <w:r>
                    <w:rPr>
                      <w:b/>
                      <w:bCs/>
                      <w:spacing w:val="5"/>
                      <w:sz w:val="20"/>
                      <w:szCs w:val="20"/>
                    </w:rPr>
                    <w:t>符合性</w:t>
                  </w:r>
                </w:p>
              </w:tc>
            </w:tr>
            <w:tr w14:paraId="4EB35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655" w:type="dxa"/>
                  <w:vAlign w:val="top"/>
                </w:tcPr>
                <w:p w14:paraId="76CC3819">
                  <w:pPr>
                    <w:spacing w:line="292" w:lineRule="auto"/>
                    <w:rPr>
                      <w:rFonts w:ascii="Arial"/>
                      <w:sz w:val="21"/>
                    </w:rPr>
                  </w:pPr>
                </w:p>
                <w:p w14:paraId="4B9E9FCC">
                  <w:pPr>
                    <w:spacing w:line="292" w:lineRule="auto"/>
                    <w:rPr>
                      <w:rFonts w:ascii="Arial"/>
                      <w:sz w:val="21"/>
                    </w:rPr>
                  </w:pPr>
                </w:p>
                <w:p w14:paraId="08A9253D">
                  <w:pPr>
                    <w:spacing w:line="292" w:lineRule="auto"/>
                    <w:rPr>
                      <w:rFonts w:ascii="Arial"/>
                      <w:sz w:val="21"/>
                    </w:rPr>
                  </w:pPr>
                </w:p>
                <w:p w14:paraId="697AE514">
                  <w:pPr>
                    <w:spacing w:line="292" w:lineRule="auto"/>
                    <w:rPr>
                      <w:rFonts w:ascii="Arial"/>
                      <w:sz w:val="21"/>
                    </w:rPr>
                  </w:pPr>
                </w:p>
                <w:p w14:paraId="006F7B57">
                  <w:pPr>
                    <w:spacing w:before="5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93" w:type="dxa"/>
                  <w:vAlign w:val="top"/>
                </w:tcPr>
                <w:p w14:paraId="4AAE4DB8">
                  <w:pPr>
                    <w:pStyle w:val="6"/>
                    <w:spacing w:before="30" w:line="248" w:lineRule="auto"/>
                    <w:ind w:left="111" w:right="107"/>
                    <w:rPr>
                      <w:sz w:val="20"/>
                      <w:szCs w:val="20"/>
                    </w:rPr>
                  </w:pPr>
                  <w:r>
                    <w:rPr>
                      <w:spacing w:val="6"/>
                      <w:sz w:val="20"/>
                      <w:szCs w:val="20"/>
                    </w:rPr>
                    <w:t>对国土资规〔</w:t>
                  </w:r>
                  <w:r>
                    <w:rPr>
                      <w:rFonts w:ascii="Times New Roman" w:hAnsi="Times New Roman" w:eastAsia="Times New Roman" w:cs="Times New Roman"/>
                      <w:spacing w:val="6"/>
                      <w:sz w:val="20"/>
                      <w:szCs w:val="20"/>
                    </w:rPr>
                    <w:t>2017</w:t>
                  </w:r>
                  <w:r>
                    <w:rPr>
                      <w:spacing w:val="6"/>
                      <w:sz w:val="20"/>
                      <w:szCs w:val="20"/>
                    </w:rPr>
                    <w:t>〕</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17"/>
                      <w:sz w:val="20"/>
                      <w:szCs w:val="20"/>
                    </w:rPr>
                    <w:t xml:space="preserve"> </w:t>
                  </w:r>
                  <w:r>
                    <w:rPr>
                      <w:spacing w:val="6"/>
                      <w:sz w:val="20"/>
                      <w:szCs w:val="20"/>
                    </w:rPr>
                    <w:t>号文件确定</w:t>
                  </w:r>
                  <w:r>
                    <w:rPr>
                      <w:sz w:val="20"/>
                      <w:szCs w:val="20"/>
                    </w:rPr>
                    <w:t xml:space="preserve"> </w:t>
                  </w:r>
                  <w:r>
                    <w:rPr>
                      <w:spacing w:val="9"/>
                      <w:sz w:val="20"/>
                      <w:szCs w:val="20"/>
                    </w:rPr>
                    <w:t>利用农用地复合建设的光伏发电</w:t>
                  </w:r>
                  <w:r>
                    <w:rPr>
                      <w:spacing w:val="1"/>
                      <w:sz w:val="20"/>
                      <w:szCs w:val="20"/>
                    </w:rPr>
                    <w:t xml:space="preserve">  </w:t>
                  </w:r>
                  <w:r>
                    <w:rPr>
                      <w:spacing w:val="4"/>
                      <w:sz w:val="20"/>
                      <w:szCs w:val="20"/>
                    </w:rPr>
                    <w:t>项目（以下简称光伏复合项目）以</w:t>
                  </w:r>
                  <w:r>
                    <w:rPr>
                      <w:spacing w:val="7"/>
                      <w:sz w:val="20"/>
                      <w:szCs w:val="20"/>
                    </w:rPr>
                    <w:t xml:space="preserve"> </w:t>
                  </w:r>
                  <w:r>
                    <w:rPr>
                      <w:spacing w:val="4"/>
                      <w:sz w:val="20"/>
                      <w:szCs w:val="20"/>
                    </w:rPr>
                    <w:t>外的其他光伏发电项目用地，应严</w:t>
                  </w:r>
                  <w:r>
                    <w:rPr>
                      <w:spacing w:val="7"/>
                      <w:sz w:val="20"/>
                      <w:szCs w:val="20"/>
                    </w:rPr>
                    <w:t xml:space="preserve"> </w:t>
                  </w:r>
                  <w:r>
                    <w:rPr>
                      <w:spacing w:val="5"/>
                      <w:sz w:val="20"/>
                      <w:szCs w:val="20"/>
                    </w:rPr>
                    <w:t>格执行国土资规〔</w:t>
                  </w:r>
                  <w:r>
                    <w:rPr>
                      <w:rFonts w:ascii="Times New Roman" w:hAnsi="Times New Roman" w:eastAsia="Times New Roman" w:cs="Times New Roman"/>
                      <w:spacing w:val="5"/>
                      <w:sz w:val="20"/>
                      <w:szCs w:val="20"/>
                    </w:rPr>
                    <w:t>2015</w:t>
                  </w:r>
                  <w:r>
                    <w:rPr>
                      <w:spacing w:val="5"/>
                      <w:sz w:val="20"/>
                      <w:szCs w:val="20"/>
                    </w:rPr>
                    <w:t>〕</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32"/>
                      <w:w w:val="101"/>
                      <w:sz w:val="20"/>
                      <w:szCs w:val="20"/>
                    </w:rPr>
                    <w:t xml:space="preserve"> </w:t>
                  </w:r>
                  <w:r>
                    <w:rPr>
                      <w:spacing w:val="5"/>
                      <w:sz w:val="20"/>
                      <w:szCs w:val="20"/>
                    </w:rPr>
                    <w:t>号文件</w:t>
                  </w:r>
                  <w:r>
                    <w:rPr>
                      <w:sz w:val="20"/>
                      <w:szCs w:val="20"/>
                    </w:rPr>
                    <w:t xml:space="preserve"> </w:t>
                  </w:r>
                  <w:r>
                    <w:rPr>
                      <w:spacing w:val="4"/>
                      <w:sz w:val="20"/>
                      <w:szCs w:val="20"/>
                    </w:rPr>
                    <w:t>规定，使用未利用地的，对不占压</w:t>
                  </w:r>
                  <w:r>
                    <w:rPr>
                      <w:spacing w:val="7"/>
                      <w:sz w:val="20"/>
                      <w:szCs w:val="20"/>
                    </w:rPr>
                    <w:t xml:space="preserve"> </w:t>
                  </w:r>
                  <w:r>
                    <w:rPr>
                      <w:spacing w:val="4"/>
                      <w:sz w:val="20"/>
                      <w:szCs w:val="20"/>
                    </w:rPr>
                    <w:t>土地、不改变地表形态的光伏阵列</w:t>
                  </w:r>
                  <w:r>
                    <w:rPr>
                      <w:spacing w:val="7"/>
                      <w:sz w:val="20"/>
                      <w:szCs w:val="20"/>
                    </w:rPr>
                    <w:t xml:space="preserve"> </w:t>
                  </w:r>
                  <w:r>
                    <w:rPr>
                      <w:spacing w:val="4"/>
                      <w:sz w:val="20"/>
                      <w:szCs w:val="20"/>
                    </w:rPr>
                    <w:t>用地部分可按原地类认定，不改变</w:t>
                  </w:r>
                  <w:r>
                    <w:rPr>
                      <w:spacing w:val="7"/>
                      <w:sz w:val="20"/>
                      <w:szCs w:val="20"/>
                    </w:rPr>
                    <w:t xml:space="preserve"> </w:t>
                  </w:r>
                  <w:r>
                    <w:rPr>
                      <w:spacing w:val="4"/>
                      <w:sz w:val="20"/>
                      <w:szCs w:val="20"/>
                    </w:rPr>
                    <w:t>土地用途，用地允许以租赁等方式</w:t>
                  </w:r>
                  <w:r>
                    <w:rPr>
                      <w:spacing w:val="7"/>
                      <w:sz w:val="20"/>
                      <w:szCs w:val="20"/>
                    </w:rPr>
                    <w:t xml:space="preserve"> </w:t>
                  </w:r>
                  <w:r>
                    <w:rPr>
                      <w:spacing w:val="4"/>
                      <w:sz w:val="20"/>
                      <w:szCs w:val="20"/>
                    </w:rPr>
                    <w:t>取得，双方签订好补偿协议，报当</w:t>
                  </w:r>
                </w:p>
              </w:tc>
              <w:tc>
                <w:tcPr>
                  <w:tcW w:w="3008" w:type="dxa"/>
                  <w:vAlign w:val="top"/>
                </w:tcPr>
                <w:p w14:paraId="7952D0AB">
                  <w:pPr>
                    <w:pStyle w:val="6"/>
                    <w:spacing w:before="30" w:line="248" w:lineRule="auto"/>
                    <w:ind w:left="112" w:right="167" w:firstLine="5"/>
                    <w:jc w:val="both"/>
                    <w:rPr>
                      <w:sz w:val="20"/>
                      <w:szCs w:val="20"/>
                    </w:rPr>
                  </w:pPr>
                  <w:r>
                    <w:rPr>
                      <w:spacing w:val="9"/>
                      <w:sz w:val="20"/>
                      <w:szCs w:val="20"/>
                    </w:rPr>
                    <w:t>项目通过租赁和流转方式使用</w:t>
                  </w:r>
                  <w:r>
                    <w:rPr>
                      <w:sz w:val="20"/>
                      <w:szCs w:val="20"/>
                    </w:rPr>
                    <w:t xml:space="preserve"> </w:t>
                  </w:r>
                  <w:r>
                    <w:rPr>
                      <w:spacing w:val="9"/>
                      <w:sz w:val="20"/>
                      <w:szCs w:val="20"/>
                    </w:rPr>
                    <w:t>土地，将与林权权利人签订协</w:t>
                  </w:r>
                  <w:r>
                    <w:rPr>
                      <w:spacing w:val="4"/>
                      <w:sz w:val="20"/>
                      <w:szCs w:val="20"/>
                    </w:rPr>
                    <w:t xml:space="preserve"> </w:t>
                  </w:r>
                  <w:r>
                    <w:rPr>
                      <w:spacing w:val="5"/>
                      <w:sz w:val="20"/>
                      <w:szCs w:val="20"/>
                    </w:rPr>
                    <w:t>议，</w:t>
                  </w:r>
                  <w:r>
                    <w:rPr>
                      <w:spacing w:val="-44"/>
                      <w:sz w:val="20"/>
                      <w:szCs w:val="20"/>
                    </w:rPr>
                    <w:t xml:space="preserve"> </w:t>
                  </w:r>
                  <w:r>
                    <w:rPr>
                      <w:spacing w:val="5"/>
                      <w:sz w:val="20"/>
                      <w:szCs w:val="20"/>
                    </w:rPr>
                    <w:t>目前还在办理中。项目用</w:t>
                  </w:r>
                  <w:r>
                    <w:rPr>
                      <w:sz w:val="20"/>
                      <w:szCs w:val="20"/>
                    </w:rPr>
                    <w:t xml:space="preserve"> </w:t>
                  </w:r>
                  <w:r>
                    <w:rPr>
                      <w:spacing w:val="9"/>
                      <w:sz w:val="20"/>
                      <w:szCs w:val="20"/>
                    </w:rPr>
                    <w:t>地现状为草地、乔木林地、设</w:t>
                  </w:r>
                  <w:r>
                    <w:rPr>
                      <w:spacing w:val="2"/>
                      <w:sz w:val="20"/>
                      <w:szCs w:val="20"/>
                    </w:rPr>
                    <w:t xml:space="preserve"> </w:t>
                  </w:r>
                  <w:r>
                    <w:rPr>
                      <w:spacing w:val="9"/>
                      <w:sz w:val="20"/>
                      <w:szCs w:val="20"/>
                    </w:rPr>
                    <w:t>施农用地和裸岩石砾地，阵列</w:t>
                  </w:r>
                  <w:r>
                    <w:rPr>
                      <w:spacing w:val="4"/>
                      <w:sz w:val="20"/>
                      <w:szCs w:val="20"/>
                    </w:rPr>
                    <w:t xml:space="preserve"> </w:t>
                  </w:r>
                  <w:r>
                    <w:rPr>
                      <w:spacing w:val="9"/>
                      <w:sz w:val="20"/>
                      <w:szCs w:val="20"/>
                    </w:rPr>
                    <w:t>架设完成后及时完成组件下方</w:t>
                  </w:r>
                  <w:r>
                    <w:rPr>
                      <w:spacing w:val="4"/>
                      <w:sz w:val="20"/>
                      <w:szCs w:val="20"/>
                    </w:rPr>
                    <w:t xml:space="preserve"> </w:t>
                  </w:r>
                  <w:r>
                    <w:rPr>
                      <w:spacing w:val="9"/>
                      <w:sz w:val="20"/>
                      <w:szCs w:val="20"/>
                    </w:rPr>
                    <w:t>草地的生产条件恢复，积极推</w:t>
                  </w:r>
                  <w:r>
                    <w:rPr>
                      <w:spacing w:val="2"/>
                      <w:sz w:val="20"/>
                      <w:szCs w:val="20"/>
                    </w:rPr>
                    <w:t xml:space="preserve"> </w:t>
                  </w:r>
                  <w:r>
                    <w:rPr>
                      <w:spacing w:val="9"/>
                      <w:sz w:val="20"/>
                      <w:szCs w:val="20"/>
                    </w:rPr>
                    <w:t>进复牧，严禁抛荒、撂荒，极</w:t>
                  </w:r>
                  <w:r>
                    <w:rPr>
                      <w:spacing w:val="2"/>
                      <w:sz w:val="20"/>
                      <w:szCs w:val="20"/>
                    </w:rPr>
                    <w:t xml:space="preserve"> </w:t>
                  </w:r>
                  <w:r>
                    <w:rPr>
                      <w:spacing w:val="9"/>
                      <w:sz w:val="20"/>
                      <w:szCs w:val="20"/>
                    </w:rPr>
                    <w:t>大提高土地利用率，在项目服</w:t>
                  </w:r>
                  <w:r>
                    <w:rPr>
                      <w:spacing w:val="4"/>
                      <w:sz w:val="20"/>
                      <w:szCs w:val="20"/>
                    </w:rPr>
                    <w:t xml:space="preserve"> </w:t>
                  </w:r>
                  <w:r>
                    <w:rPr>
                      <w:spacing w:val="9"/>
                      <w:sz w:val="20"/>
                      <w:szCs w:val="20"/>
                    </w:rPr>
                    <w:t>务结束期满后，将对光伏阵列</w:t>
                  </w:r>
                </w:p>
              </w:tc>
              <w:tc>
                <w:tcPr>
                  <w:tcW w:w="883" w:type="dxa"/>
                  <w:vAlign w:val="top"/>
                </w:tcPr>
                <w:p w14:paraId="1FA85ACD">
                  <w:pPr>
                    <w:spacing w:line="279" w:lineRule="auto"/>
                    <w:rPr>
                      <w:rFonts w:ascii="Arial"/>
                      <w:sz w:val="21"/>
                    </w:rPr>
                  </w:pPr>
                </w:p>
                <w:p w14:paraId="754C6AD0">
                  <w:pPr>
                    <w:spacing w:line="279" w:lineRule="auto"/>
                    <w:rPr>
                      <w:rFonts w:ascii="Arial"/>
                      <w:sz w:val="21"/>
                    </w:rPr>
                  </w:pPr>
                </w:p>
                <w:p w14:paraId="51A395E8">
                  <w:pPr>
                    <w:spacing w:line="279" w:lineRule="auto"/>
                    <w:rPr>
                      <w:rFonts w:ascii="Arial"/>
                      <w:sz w:val="21"/>
                    </w:rPr>
                  </w:pPr>
                </w:p>
                <w:p w14:paraId="6FF8A309">
                  <w:pPr>
                    <w:spacing w:line="280" w:lineRule="auto"/>
                    <w:rPr>
                      <w:rFonts w:ascii="Arial"/>
                      <w:sz w:val="21"/>
                    </w:rPr>
                  </w:pPr>
                </w:p>
                <w:p w14:paraId="5A80961A">
                  <w:pPr>
                    <w:pStyle w:val="6"/>
                    <w:spacing w:before="65" w:line="228" w:lineRule="auto"/>
                    <w:ind w:left="237"/>
                    <w:rPr>
                      <w:sz w:val="20"/>
                      <w:szCs w:val="20"/>
                    </w:rPr>
                  </w:pPr>
                  <w:r>
                    <w:rPr>
                      <w:spacing w:val="3"/>
                      <w:sz w:val="20"/>
                      <w:szCs w:val="20"/>
                    </w:rPr>
                    <w:t>符合</w:t>
                  </w:r>
                </w:p>
              </w:tc>
            </w:tr>
          </w:tbl>
          <w:p w14:paraId="69EA1D30">
            <w:pPr>
              <w:spacing w:line="46" w:lineRule="auto"/>
              <w:rPr>
                <w:rFonts w:ascii="Arial"/>
                <w:sz w:val="2"/>
              </w:rPr>
            </w:pPr>
          </w:p>
        </w:tc>
      </w:tr>
    </w:tbl>
    <w:p w14:paraId="0FD7C40F">
      <w:pPr>
        <w:rPr>
          <w:rFonts w:ascii="Arial"/>
          <w:sz w:val="21"/>
        </w:rPr>
      </w:pPr>
    </w:p>
    <w:p w14:paraId="44010059">
      <w:pPr>
        <w:rPr>
          <w:rFonts w:ascii="Arial" w:hAnsi="Arial" w:eastAsia="Arial" w:cs="Arial"/>
          <w:sz w:val="21"/>
          <w:szCs w:val="21"/>
        </w:rPr>
        <w:sectPr>
          <w:footerReference r:id="rId34" w:type="default"/>
          <w:pgSz w:w="11906" w:h="16839"/>
          <w:pgMar w:top="1431" w:right="1407" w:bottom="1278" w:left="1407" w:header="0" w:footer="1116" w:gutter="0"/>
          <w:cols w:space="720" w:num="1"/>
        </w:sectPr>
      </w:pPr>
    </w:p>
    <w:p w14:paraId="268FD2B2">
      <w:pPr>
        <w:spacing w:line="99" w:lineRule="exact"/>
      </w:pPr>
    </w:p>
    <w:tbl>
      <w:tblPr>
        <w:tblStyle w:val="5"/>
        <w:tblW w:w="9076"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5F476AEF">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06" w:hRule="atLeast"/>
        </w:trPr>
        <w:tc>
          <w:tcPr>
            <w:tcW w:w="9076" w:type="dxa"/>
            <w:vAlign w:val="top"/>
          </w:tcPr>
          <w:p w14:paraId="7780410A">
            <w:pPr>
              <w:spacing w:line="96" w:lineRule="auto"/>
              <w:rPr>
                <w:rFonts w:ascii="Arial"/>
                <w:sz w:val="2"/>
              </w:rPr>
            </w:pPr>
            <w:r>
              <w:pict>
                <v:shape id="_x0000_s1045" o:spid="_x0000_s1045" style="position:absolute;left:0pt;margin-left:55.85pt;margin-top:1.25pt;height:546.25pt;width:0.5pt;mso-position-horizontal-relative:page;mso-position-vertical-relative:page;z-index:251680768;mso-width-relative:page;mso-height-relative:page;" filled="f" stroked="t" coordsize="10,10925" path="m4,0l4,10924e">
                  <v:fill on="f" focussize="0,0"/>
                  <v:stroke weight="0.48pt" color="#000000" miterlimit="2" joinstyle="bevel"/>
                  <v:imagedata o:title=""/>
                  <o:lock v:ext="edit"/>
                </v:shape>
              </w:pict>
            </w:r>
          </w:p>
          <w:tbl>
            <w:tblPr>
              <w:tblStyle w:val="5"/>
              <w:tblW w:w="7956"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3293"/>
              <w:gridCol w:w="3008"/>
              <w:gridCol w:w="887"/>
            </w:tblGrid>
            <w:tr w14:paraId="73A6A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768" w:type="dxa"/>
                  <w:tcBorders>
                    <w:top w:val="nil"/>
                  </w:tcBorders>
                  <w:vAlign w:val="top"/>
                </w:tcPr>
                <w:p w14:paraId="3396D64F">
                  <w:pPr>
                    <w:rPr>
                      <w:rFonts w:ascii="Arial"/>
                      <w:sz w:val="21"/>
                    </w:rPr>
                  </w:pPr>
                </w:p>
              </w:tc>
              <w:tc>
                <w:tcPr>
                  <w:tcW w:w="3293" w:type="dxa"/>
                  <w:tcBorders>
                    <w:top w:val="nil"/>
                  </w:tcBorders>
                  <w:vAlign w:val="top"/>
                </w:tcPr>
                <w:p w14:paraId="0C36EA81">
                  <w:pPr>
                    <w:pStyle w:val="6"/>
                    <w:spacing w:before="45" w:line="245" w:lineRule="auto"/>
                    <w:ind w:left="113" w:right="107" w:hanging="1"/>
                    <w:jc w:val="both"/>
                    <w:rPr>
                      <w:sz w:val="20"/>
                      <w:szCs w:val="20"/>
                    </w:rPr>
                  </w:pPr>
                  <w:r>
                    <w:rPr>
                      <w:spacing w:val="4"/>
                      <w:sz w:val="20"/>
                      <w:szCs w:val="20"/>
                    </w:rPr>
                    <w:t>地县（市、区）自然资源主管部门</w:t>
                  </w:r>
                  <w:r>
                    <w:rPr>
                      <w:spacing w:val="7"/>
                      <w:sz w:val="20"/>
                      <w:szCs w:val="20"/>
                    </w:rPr>
                    <w:t xml:space="preserve"> </w:t>
                  </w:r>
                  <w:r>
                    <w:rPr>
                      <w:spacing w:val="4"/>
                      <w:sz w:val="20"/>
                      <w:szCs w:val="20"/>
                    </w:rPr>
                    <w:t>备案；其他用地部分，应依法办理</w:t>
                  </w:r>
                  <w:r>
                    <w:rPr>
                      <w:spacing w:val="6"/>
                      <w:sz w:val="20"/>
                      <w:szCs w:val="20"/>
                    </w:rPr>
                    <w:t xml:space="preserve"> </w:t>
                  </w:r>
                  <w:r>
                    <w:rPr>
                      <w:spacing w:val="4"/>
                      <w:sz w:val="20"/>
                      <w:szCs w:val="20"/>
                    </w:rPr>
                    <w:t>建设用地审批手续；对建设占用农</w:t>
                  </w:r>
                  <w:r>
                    <w:rPr>
                      <w:spacing w:val="6"/>
                      <w:sz w:val="20"/>
                      <w:szCs w:val="20"/>
                    </w:rPr>
                    <w:t xml:space="preserve"> </w:t>
                  </w:r>
                  <w:r>
                    <w:rPr>
                      <w:spacing w:val="4"/>
                      <w:sz w:val="20"/>
                      <w:szCs w:val="20"/>
                    </w:rPr>
                    <w:t>用地的，所有用地部分均应按建设</w:t>
                  </w:r>
                  <w:r>
                    <w:rPr>
                      <w:spacing w:val="6"/>
                      <w:sz w:val="20"/>
                      <w:szCs w:val="20"/>
                    </w:rPr>
                    <w:t xml:space="preserve"> </w:t>
                  </w:r>
                  <w:r>
                    <w:rPr>
                      <w:spacing w:val="5"/>
                      <w:sz w:val="20"/>
                      <w:szCs w:val="20"/>
                    </w:rPr>
                    <w:t>用地管理。</w:t>
                  </w:r>
                </w:p>
              </w:tc>
              <w:tc>
                <w:tcPr>
                  <w:tcW w:w="3008" w:type="dxa"/>
                  <w:tcBorders>
                    <w:top w:val="nil"/>
                  </w:tcBorders>
                  <w:vAlign w:val="top"/>
                </w:tcPr>
                <w:p w14:paraId="033179D9">
                  <w:pPr>
                    <w:pStyle w:val="6"/>
                    <w:spacing w:before="48" w:line="243" w:lineRule="auto"/>
                    <w:ind w:left="116" w:right="167" w:firstLine="1"/>
                    <w:jc w:val="both"/>
                    <w:rPr>
                      <w:sz w:val="20"/>
                      <w:szCs w:val="20"/>
                    </w:rPr>
                  </w:pPr>
                  <w:r>
                    <w:rPr>
                      <w:spacing w:val="9"/>
                      <w:sz w:val="20"/>
                      <w:szCs w:val="20"/>
                    </w:rPr>
                    <w:t>设备进行拆除，项目用地进行</w:t>
                  </w:r>
                  <w:r>
                    <w:rPr>
                      <w:sz w:val="20"/>
                      <w:szCs w:val="20"/>
                    </w:rPr>
                    <w:t xml:space="preserve"> </w:t>
                  </w:r>
                  <w:r>
                    <w:rPr>
                      <w:spacing w:val="9"/>
                      <w:sz w:val="20"/>
                      <w:szCs w:val="20"/>
                    </w:rPr>
                    <w:t>草地复牧。本项目的建设不会</w:t>
                  </w:r>
                  <w:r>
                    <w:rPr>
                      <w:spacing w:val="1"/>
                      <w:sz w:val="20"/>
                      <w:szCs w:val="20"/>
                    </w:rPr>
                    <w:t xml:space="preserve"> </w:t>
                  </w:r>
                  <w:r>
                    <w:rPr>
                      <w:spacing w:val="7"/>
                      <w:sz w:val="20"/>
                      <w:szCs w:val="20"/>
                    </w:rPr>
                    <w:t>改变项目用地性质。</w:t>
                  </w:r>
                </w:p>
              </w:tc>
              <w:tc>
                <w:tcPr>
                  <w:tcW w:w="887" w:type="dxa"/>
                  <w:tcBorders>
                    <w:top w:val="nil"/>
                  </w:tcBorders>
                  <w:vAlign w:val="top"/>
                </w:tcPr>
                <w:p w14:paraId="248EB564">
                  <w:pPr>
                    <w:rPr>
                      <w:rFonts w:ascii="Arial"/>
                      <w:sz w:val="21"/>
                    </w:rPr>
                  </w:pPr>
                </w:p>
              </w:tc>
            </w:tr>
            <w:tr w14:paraId="18D92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5" w:hRule="atLeast"/>
              </w:trPr>
              <w:tc>
                <w:tcPr>
                  <w:tcW w:w="768" w:type="dxa"/>
                  <w:vAlign w:val="top"/>
                </w:tcPr>
                <w:p w14:paraId="476E115C">
                  <w:pPr>
                    <w:spacing w:line="243" w:lineRule="auto"/>
                    <w:rPr>
                      <w:rFonts w:ascii="Arial"/>
                      <w:sz w:val="21"/>
                    </w:rPr>
                  </w:pPr>
                </w:p>
                <w:p w14:paraId="02989DB6">
                  <w:pPr>
                    <w:spacing w:line="243" w:lineRule="auto"/>
                    <w:rPr>
                      <w:rFonts w:ascii="Arial"/>
                      <w:sz w:val="21"/>
                    </w:rPr>
                  </w:pPr>
                </w:p>
                <w:p w14:paraId="3AF6848E">
                  <w:pPr>
                    <w:spacing w:line="243" w:lineRule="auto"/>
                    <w:rPr>
                      <w:rFonts w:ascii="Arial"/>
                      <w:sz w:val="21"/>
                    </w:rPr>
                  </w:pPr>
                </w:p>
                <w:p w14:paraId="791EF403">
                  <w:pPr>
                    <w:spacing w:line="244" w:lineRule="auto"/>
                    <w:rPr>
                      <w:rFonts w:ascii="Arial"/>
                      <w:sz w:val="21"/>
                    </w:rPr>
                  </w:pPr>
                </w:p>
                <w:p w14:paraId="79532046">
                  <w:pPr>
                    <w:spacing w:line="244" w:lineRule="auto"/>
                    <w:rPr>
                      <w:rFonts w:ascii="Arial"/>
                      <w:sz w:val="21"/>
                    </w:rPr>
                  </w:pPr>
                </w:p>
                <w:p w14:paraId="72A96A34">
                  <w:pPr>
                    <w:spacing w:line="244" w:lineRule="auto"/>
                    <w:rPr>
                      <w:rFonts w:ascii="Arial"/>
                      <w:sz w:val="21"/>
                    </w:rPr>
                  </w:pPr>
                </w:p>
                <w:p w14:paraId="420733B1">
                  <w:pPr>
                    <w:spacing w:line="244" w:lineRule="auto"/>
                    <w:rPr>
                      <w:rFonts w:ascii="Arial"/>
                      <w:sz w:val="21"/>
                    </w:rPr>
                  </w:pPr>
                </w:p>
                <w:p w14:paraId="0B263DD0">
                  <w:pPr>
                    <w:spacing w:line="244" w:lineRule="auto"/>
                    <w:rPr>
                      <w:rFonts w:ascii="Arial"/>
                      <w:sz w:val="21"/>
                    </w:rPr>
                  </w:pPr>
                </w:p>
                <w:p w14:paraId="2908BA97">
                  <w:pPr>
                    <w:spacing w:line="244" w:lineRule="auto"/>
                    <w:rPr>
                      <w:rFonts w:ascii="Arial"/>
                      <w:sz w:val="21"/>
                    </w:rPr>
                  </w:pPr>
                </w:p>
                <w:p w14:paraId="4B91B3E7">
                  <w:pPr>
                    <w:spacing w:line="244" w:lineRule="auto"/>
                    <w:rPr>
                      <w:rFonts w:ascii="Arial"/>
                      <w:sz w:val="21"/>
                    </w:rPr>
                  </w:pPr>
                </w:p>
                <w:p w14:paraId="0461F791">
                  <w:pPr>
                    <w:spacing w:line="244" w:lineRule="auto"/>
                    <w:rPr>
                      <w:rFonts w:ascii="Arial"/>
                      <w:sz w:val="21"/>
                    </w:rPr>
                  </w:pPr>
                </w:p>
                <w:p w14:paraId="6EAA7812">
                  <w:pPr>
                    <w:spacing w:line="244" w:lineRule="auto"/>
                    <w:rPr>
                      <w:rFonts w:ascii="Arial"/>
                      <w:sz w:val="21"/>
                    </w:rPr>
                  </w:pPr>
                </w:p>
                <w:p w14:paraId="38015E24">
                  <w:pPr>
                    <w:spacing w:before="57" w:line="195"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93" w:type="dxa"/>
                  <w:vAlign w:val="top"/>
                </w:tcPr>
                <w:p w14:paraId="6DF04665">
                  <w:pPr>
                    <w:pStyle w:val="6"/>
                    <w:spacing w:before="24" w:line="250" w:lineRule="auto"/>
                    <w:ind w:left="111" w:right="52" w:firstLine="2"/>
                    <w:jc w:val="both"/>
                    <w:rPr>
                      <w:sz w:val="20"/>
                      <w:szCs w:val="20"/>
                    </w:rPr>
                  </w:pPr>
                  <w:r>
                    <w:rPr>
                      <w:spacing w:val="4"/>
                      <w:sz w:val="20"/>
                      <w:szCs w:val="20"/>
                    </w:rPr>
                    <w:t>光伏复合项目，架设在一般耕地或</w:t>
                  </w:r>
                  <w:r>
                    <w:rPr>
                      <w:spacing w:val="6"/>
                      <w:sz w:val="20"/>
                      <w:szCs w:val="20"/>
                    </w:rPr>
                    <w:t xml:space="preserve"> </w:t>
                  </w:r>
                  <w:r>
                    <w:rPr>
                      <w:spacing w:val="4"/>
                      <w:sz w:val="20"/>
                      <w:szCs w:val="20"/>
                    </w:rPr>
                    <w:t>其他农用地上的光伏阵列用地，满</w:t>
                  </w:r>
                  <w:r>
                    <w:rPr>
                      <w:spacing w:val="8"/>
                      <w:sz w:val="20"/>
                      <w:szCs w:val="20"/>
                    </w:rPr>
                    <w:t xml:space="preserve"> </w:t>
                  </w:r>
                  <w:r>
                    <w:rPr>
                      <w:spacing w:val="6"/>
                      <w:sz w:val="20"/>
                      <w:szCs w:val="20"/>
                    </w:rPr>
                    <w:t>足光伏组件最低沿高于地面</w:t>
                  </w:r>
                  <w:r>
                    <w:rPr>
                      <w:rFonts w:ascii="Times New Roman" w:hAnsi="Times New Roman" w:eastAsia="Times New Roman" w:cs="Times New Roman"/>
                      <w:spacing w:val="6"/>
                      <w:sz w:val="20"/>
                      <w:szCs w:val="20"/>
                    </w:rPr>
                    <w:t>2.5m</w:t>
                  </w:r>
                  <w:r>
                    <w:rPr>
                      <w:spacing w:val="6"/>
                      <w:sz w:val="20"/>
                      <w:szCs w:val="20"/>
                    </w:rPr>
                    <w:t>、</w:t>
                  </w:r>
                  <w:r>
                    <w:rPr>
                      <w:spacing w:val="15"/>
                      <w:sz w:val="20"/>
                      <w:szCs w:val="20"/>
                    </w:rPr>
                    <w:t xml:space="preserve"> </w:t>
                  </w:r>
                  <w:r>
                    <w:rPr>
                      <w:spacing w:val="3"/>
                      <w:sz w:val="20"/>
                      <w:szCs w:val="20"/>
                    </w:rPr>
                    <w:t>高于最高水位</w:t>
                  </w:r>
                  <w:r>
                    <w:rPr>
                      <w:rFonts w:ascii="Times New Roman" w:hAnsi="Times New Roman" w:eastAsia="Times New Roman" w:cs="Times New Roman"/>
                      <w:spacing w:val="3"/>
                      <w:sz w:val="20"/>
                      <w:szCs w:val="20"/>
                    </w:rPr>
                    <w:t>0.6m</w:t>
                  </w:r>
                  <w:r>
                    <w:rPr>
                      <w:spacing w:val="3"/>
                      <w:sz w:val="20"/>
                      <w:szCs w:val="20"/>
                    </w:rPr>
                    <w:t>，桩基间列间距</w:t>
                  </w:r>
                  <w:r>
                    <w:rPr>
                      <w:spacing w:val="12"/>
                      <w:sz w:val="20"/>
                      <w:szCs w:val="20"/>
                    </w:rPr>
                    <w:t xml:space="preserve"> </w:t>
                  </w:r>
                  <w:r>
                    <w:rPr>
                      <w:spacing w:val="10"/>
                      <w:sz w:val="20"/>
                      <w:szCs w:val="20"/>
                    </w:rPr>
                    <w:t>大于</w:t>
                  </w:r>
                  <w:r>
                    <w:rPr>
                      <w:rFonts w:ascii="Times New Roman" w:hAnsi="Times New Roman" w:eastAsia="Times New Roman" w:cs="Times New Roman"/>
                      <w:spacing w:val="10"/>
                      <w:sz w:val="20"/>
                      <w:szCs w:val="20"/>
                    </w:rPr>
                    <w:t>4m</w:t>
                  </w:r>
                  <w:r>
                    <w:rPr>
                      <w:rFonts w:ascii="Times New Roman" w:hAnsi="Times New Roman" w:eastAsia="Times New Roman" w:cs="Times New Roman"/>
                      <w:spacing w:val="-13"/>
                      <w:sz w:val="20"/>
                      <w:szCs w:val="20"/>
                    </w:rPr>
                    <w:t xml:space="preserve"> </w:t>
                  </w:r>
                  <w:r>
                    <w:rPr>
                      <w:spacing w:val="10"/>
                      <w:sz w:val="20"/>
                      <w:szCs w:val="20"/>
                    </w:rPr>
                    <w:t>、行间距大于</w:t>
                  </w:r>
                  <w:r>
                    <w:rPr>
                      <w:rFonts w:ascii="Times New Roman" w:hAnsi="Times New Roman" w:eastAsia="Times New Roman" w:cs="Times New Roman"/>
                      <w:spacing w:val="10"/>
                      <w:sz w:val="20"/>
                      <w:szCs w:val="20"/>
                    </w:rPr>
                    <w:t>6.5m</w:t>
                  </w:r>
                  <w:r>
                    <w:rPr>
                      <w:spacing w:val="10"/>
                      <w:sz w:val="20"/>
                      <w:szCs w:val="20"/>
                    </w:rPr>
                    <w:t>的架设</w:t>
                  </w:r>
                  <w:r>
                    <w:rPr>
                      <w:sz w:val="20"/>
                      <w:szCs w:val="20"/>
                    </w:rPr>
                    <w:t xml:space="preserve"> </w:t>
                  </w:r>
                  <w:r>
                    <w:rPr>
                      <w:spacing w:val="4"/>
                      <w:sz w:val="20"/>
                      <w:szCs w:val="20"/>
                    </w:rPr>
                    <w:t>要求，不破坏林业或农业生产条件</w:t>
                  </w:r>
                  <w:r>
                    <w:rPr>
                      <w:spacing w:val="8"/>
                      <w:sz w:val="20"/>
                      <w:szCs w:val="20"/>
                    </w:rPr>
                    <w:t xml:space="preserve"> </w:t>
                  </w:r>
                  <w:r>
                    <w:rPr>
                      <w:spacing w:val="4"/>
                      <w:sz w:val="20"/>
                      <w:szCs w:val="20"/>
                    </w:rPr>
                    <w:t>的可不改变原用地性质，除桩基用</w:t>
                  </w:r>
                  <w:r>
                    <w:rPr>
                      <w:spacing w:val="8"/>
                      <w:sz w:val="20"/>
                      <w:szCs w:val="20"/>
                    </w:rPr>
                    <w:t xml:space="preserve"> </w:t>
                  </w:r>
                  <w:r>
                    <w:rPr>
                      <w:spacing w:val="-5"/>
                      <w:sz w:val="20"/>
                      <w:szCs w:val="20"/>
                    </w:rPr>
                    <w:t>地外，严禁硬化地面、破坏耕作层，</w:t>
                  </w:r>
                  <w:r>
                    <w:rPr>
                      <w:spacing w:val="3"/>
                      <w:sz w:val="20"/>
                      <w:szCs w:val="20"/>
                    </w:rPr>
                    <w:t xml:space="preserve"> </w:t>
                  </w:r>
                  <w:r>
                    <w:rPr>
                      <w:spacing w:val="4"/>
                      <w:sz w:val="20"/>
                      <w:szCs w:val="20"/>
                    </w:rPr>
                    <w:t>严禁抛荒、撂荒。采用直埋电缆方</w:t>
                  </w:r>
                  <w:r>
                    <w:rPr>
                      <w:spacing w:val="8"/>
                      <w:sz w:val="20"/>
                      <w:szCs w:val="20"/>
                    </w:rPr>
                    <w:t xml:space="preserve"> </w:t>
                  </w:r>
                  <w:r>
                    <w:rPr>
                      <w:spacing w:val="4"/>
                      <w:sz w:val="20"/>
                      <w:szCs w:val="20"/>
                    </w:rPr>
                    <w:t>式敷设的集电线路用地，实行与项</w:t>
                  </w:r>
                  <w:r>
                    <w:rPr>
                      <w:spacing w:val="8"/>
                      <w:sz w:val="20"/>
                      <w:szCs w:val="20"/>
                    </w:rPr>
                    <w:t xml:space="preserve"> 目光伏阵列用地同样的管理方式，</w:t>
                  </w:r>
                  <w:r>
                    <w:rPr>
                      <w:spacing w:val="3"/>
                      <w:sz w:val="20"/>
                      <w:szCs w:val="20"/>
                    </w:rPr>
                    <w:t xml:space="preserve"> </w:t>
                  </w:r>
                  <w:r>
                    <w:rPr>
                      <w:spacing w:val="8"/>
                      <w:sz w:val="20"/>
                      <w:szCs w:val="20"/>
                    </w:rPr>
                    <w:t>场内道路可按农村道路用地管理。</w:t>
                  </w:r>
                  <w:r>
                    <w:rPr>
                      <w:spacing w:val="3"/>
                      <w:sz w:val="20"/>
                      <w:szCs w:val="20"/>
                    </w:rPr>
                    <w:t xml:space="preserve"> </w:t>
                  </w:r>
                  <w:r>
                    <w:rPr>
                      <w:spacing w:val="4"/>
                      <w:sz w:val="20"/>
                      <w:szCs w:val="20"/>
                    </w:rPr>
                    <w:t>变电站、运行管理中心、集电线路</w:t>
                  </w:r>
                  <w:r>
                    <w:rPr>
                      <w:spacing w:val="8"/>
                      <w:sz w:val="20"/>
                      <w:szCs w:val="20"/>
                    </w:rPr>
                    <w:t xml:space="preserve"> </w:t>
                  </w:r>
                  <w:r>
                    <w:rPr>
                      <w:spacing w:val="19"/>
                      <w:sz w:val="20"/>
                      <w:szCs w:val="20"/>
                    </w:rPr>
                    <w:t>杆塔基础等其他设施用地按建设</w:t>
                  </w:r>
                  <w:r>
                    <w:rPr>
                      <w:spacing w:val="2"/>
                      <w:sz w:val="20"/>
                      <w:szCs w:val="20"/>
                    </w:rPr>
                    <w:t xml:space="preserve"> </w:t>
                  </w:r>
                  <w:r>
                    <w:rPr>
                      <w:spacing w:val="6"/>
                      <w:sz w:val="20"/>
                      <w:szCs w:val="20"/>
                    </w:rPr>
                    <w:t>用地管理。</w:t>
                  </w:r>
                </w:p>
              </w:tc>
              <w:tc>
                <w:tcPr>
                  <w:tcW w:w="3008" w:type="dxa"/>
                  <w:vAlign w:val="top"/>
                </w:tcPr>
                <w:p w14:paraId="6DC83335">
                  <w:pPr>
                    <w:pStyle w:val="6"/>
                    <w:spacing w:before="25" w:line="250" w:lineRule="auto"/>
                    <w:ind w:left="113" w:right="38" w:firstLine="1"/>
                    <w:rPr>
                      <w:sz w:val="20"/>
                      <w:szCs w:val="20"/>
                    </w:rPr>
                  </w:pPr>
                  <w:r>
                    <w:rPr>
                      <w:spacing w:val="9"/>
                      <w:sz w:val="20"/>
                      <w:szCs w:val="20"/>
                    </w:rPr>
                    <w:t>本项目光伏阵列用地现状为草</w:t>
                  </w:r>
                  <w:r>
                    <w:rPr>
                      <w:spacing w:val="1"/>
                      <w:sz w:val="20"/>
                      <w:szCs w:val="20"/>
                    </w:rPr>
                    <w:t xml:space="preserve">  </w:t>
                  </w:r>
                  <w:r>
                    <w:rPr>
                      <w:spacing w:val="3"/>
                      <w:sz w:val="20"/>
                      <w:szCs w:val="20"/>
                    </w:rPr>
                    <w:t>地、设施农用地和裸岩石砾地，</w:t>
                  </w:r>
                  <w:r>
                    <w:rPr>
                      <w:spacing w:val="7"/>
                      <w:sz w:val="20"/>
                      <w:szCs w:val="20"/>
                    </w:rPr>
                    <w:t xml:space="preserve"> </w:t>
                  </w:r>
                  <w:r>
                    <w:rPr>
                      <w:spacing w:val="3"/>
                      <w:sz w:val="20"/>
                      <w:szCs w:val="20"/>
                    </w:rPr>
                    <w:t>根据《自然资源部办公厅</w:t>
                  </w:r>
                  <w:r>
                    <w:rPr>
                      <w:spacing w:val="44"/>
                      <w:sz w:val="20"/>
                      <w:szCs w:val="20"/>
                    </w:rPr>
                    <w:t xml:space="preserve"> </w:t>
                  </w:r>
                  <w:r>
                    <w:rPr>
                      <w:spacing w:val="3"/>
                      <w:sz w:val="20"/>
                      <w:szCs w:val="20"/>
                    </w:rPr>
                    <w:t>国家</w:t>
                  </w:r>
                  <w:r>
                    <w:rPr>
                      <w:sz w:val="20"/>
                      <w:szCs w:val="20"/>
                    </w:rPr>
                    <w:t xml:space="preserve"> </w:t>
                  </w:r>
                  <w:r>
                    <w:rPr>
                      <w:spacing w:val="6"/>
                      <w:sz w:val="20"/>
                      <w:szCs w:val="20"/>
                    </w:rPr>
                    <w:t>林业和草原局办公室</w:t>
                  </w:r>
                  <w:r>
                    <w:rPr>
                      <w:spacing w:val="43"/>
                      <w:sz w:val="20"/>
                      <w:szCs w:val="20"/>
                    </w:rPr>
                    <w:t xml:space="preserve"> </w:t>
                  </w:r>
                  <w:r>
                    <w:rPr>
                      <w:spacing w:val="6"/>
                      <w:sz w:val="20"/>
                      <w:szCs w:val="20"/>
                    </w:rPr>
                    <w:t>国家能</w:t>
                  </w:r>
                  <w:r>
                    <w:rPr>
                      <w:sz w:val="20"/>
                      <w:szCs w:val="20"/>
                    </w:rPr>
                    <w:t xml:space="preserve">   </w:t>
                  </w:r>
                  <w:r>
                    <w:rPr>
                      <w:spacing w:val="9"/>
                      <w:sz w:val="20"/>
                      <w:szCs w:val="20"/>
                    </w:rPr>
                    <w:t>源局综合司关于支持光伏发电</w:t>
                  </w:r>
                  <w:r>
                    <w:rPr>
                      <w:spacing w:val="1"/>
                      <w:sz w:val="20"/>
                      <w:szCs w:val="20"/>
                    </w:rPr>
                    <w:t xml:space="preserve">  </w:t>
                  </w:r>
                  <w:r>
                    <w:rPr>
                      <w:spacing w:val="9"/>
                      <w:sz w:val="20"/>
                      <w:szCs w:val="20"/>
                    </w:rPr>
                    <w:t>产业发展规范用地管理有关工</w:t>
                  </w:r>
                  <w:r>
                    <w:rPr>
                      <w:spacing w:val="1"/>
                      <w:sz w:val="20"/>
                      <w:szCs w:val="20"/>
                    </w:rPr>
                    <w:t xml:space="preserve">  </w:t>
                  </w:r>
                  <w:r>
                    <w:rPr>
                      <w:spacing w:val="-9"/>
                      <w:sz w:val="20"/>
                      <w:szCs w:val="20"/>
                    </w:rPr>
                    <w:t>作的通知》（自然资办发〔</w:t>
                  </w:r>
                  <w:r>
                    <w:rPr>
                      <w:rFonts w:ascii="Times New Roman" w:hAnsi="Times New Roman" w:eastAsia="Times New Roman" w:cs="Times New Roman"/>
                      <w:spacing w:val="-9"/>
                      <w:sz w:val="20"/>
                      <w:szCs w:val="20"/>
                    </w:rPr>
                    <w:t>2023</w:t>
                  </w:r>
                  <w:r>
                    <w:rPr>
                      <w:spacing w:val="-9"/>
                      <w:sz w:val="20"/>
                      <w:szCs w:val="20"/>
                    </w:rPr>
                    <w:t>〕</w:t>
                  </w:r>
                  <w:r>
                    <w:rPr>
                      <w:spacing w:val="2"/>
                      <w:sz w:val="20"/>
                      <w:szCs w:val="20"/>
                    </w:rPr>
                    <w:t xml:space="preserve"> </w:t>
                  </w:r>
                  <w:r>
                    <w:rPr>
                      <w:rFonts w:ascii="Times New Roman" w:hAnsi="Times New Roman" w:eastAsia="Times New Roman" w:cs="Times New Roman"/>
                      <w:spacing w:val="6"/>
                      <w:sz w:val="20"/>
                      <w:szCs w:val="20"/>
                    </w:rPr>
                    <w:t xml:space="preserve">12 </w:t>
                  </w:r>
                  <w:r>
                    <w:rPr>
                      <w:spacing w:val="6"/>
                      <w:sz w:val="20"/>
                      <w:szCs w:val="20"/>
                    </w:rPr>
                    <w:t>号</w:t>
                  </w:r>
                  <w:r>
                    <w:rPr>
                      <w:spacing w:val="21"/>
                      <w:sz w:val="20"/>
                      <w:szCs w:val="20"/>
                    </w:rPr>
                    <w:t>），</w:t>
                  </w:r>
                  <w:r>
                    <w:rPr>
                      <w:spacing w:val="6"/>
                      <w:sz w:val="20"/>
                      <w:szCs w:val="20"/>
                    </w:rPr>
                    <w:t>需实施林光互补，光</w:t>
                  </w:r>
                  <w:r>
                    <w:rPr>
                      <w:spacing w:val="1"/>
                      <w:sz w:val="20"/>
                      <w:szCs w:val="20"/>
                    </w:rPr>
                    <w:t xml:space="preserve"> </w:t>
                  </w:r>
                  <w:r>
                    <w:rPr>
                      <w:spacing w:val="9"/>
                      <w:sz w:val="20"/>
                      <w:szCs w:val="20"/>
                    </w:rPr>
                    <w:t>伏支架最低点应高于灌木高度</w:t>
                  </w:r>
                  <w:r>
                    <w:rPr>
                      <w:spacing w:val="1"/>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米以上，每列光伏板南北方向</w:t>
                  </w:r>
                  <w:r>
                    <w:rPr>
                      <w:spacing w:val="3"/>
                      <w:sz w:val="20"/>
                      <w:szCs w:val="20"/>
                    </w:rPr>
                    <w:t xml:space="preserve"> </w:t>
                  </w:r>
                  <w:r>
                    <w:rPr>
                      <w:spacing w:val="9"/>
                      <w:sz w:val="20"/>
                      <w:szCs w:val="20"/>
                    </w:rPr>
                    <w:t>应合理设置净间距，具体由各</w:t>
                  </w:r>
                  <w:r>
                    <w:rPr>
                      <w:spacing w:val="1"/>
                      <w:sz w:val="20"/>
                      <w:szCs w:val="20"/>
                    </w:rPr>
                    <w:t xml:space="preserve">  </w:t>
                  </w:r>
                  <w:r>
                    <w:rPr>
                      <w:spacing w:val="9"/>
                      <w:sz w:val="20"/>
                      <w:szCs w:val="20"/>
                    </w:rPr>
                    <w:t>地结合实地进行建设；项目光</w:t>
                  </w:r>
                  <w:r>
                    <w:rPr>
                      <w:spacing w:val="1"/>
                      <w:sz w:val="20"/>
                      <w:szCs w:val="20"/>
                    </w:rPr>
                    <w:t xml:space="preserve">  </w:t>
                  </w:r>
                  <w:r>
                    <w:rPr>
                      <w:spacing w:val="9"/>
                      <w:sz w:val="20"/>
                      <w:szCs w:val="20"/>
                    </w:rPr>
                    <w:t>伏区仅对光伏支架基坑进行硬</w:t>
                  </w:r>
                  <w:r>
                    <w:rPr>
                      <w:spacing w:val="1"/>
                      <w:sz w:val="20"/>
                      <w:szCs w:val="20"/>
                    </w:rPr>
                    <w:t xml:space="preserve">  </w:t>
                  </w:r>
                  <w:r>
                    <w:rPr>
                      <w:spacing w:val="9"/>
                      <w:sz w:val="20"/>
                      <w:szCs w:val="20"/>
                    </w:rPr>
                    <w:t>化，阵列架设完成后及时完成</w:t>
                  </w:r>
                  <w:r>
                    <w:rPr>
                      <w:spacing w:val="1"/>
                      <w:sz w:val="20"/>
                      <w:szCs w:val="20"/>
                    </w:rPr>
                    <w:t xml:space="preserve">  </w:t>
                  </w:r>
                  <w:r>
                    <w:rPr>
                      <w:spacing w:val="9"/>
                      <w:sz w:val="20"/>
                      <w:szCs w:val="20"/>
                    </w:rPr>
                    <w:t>组件下方林草植被的恢复，严</w:t>
                  </w:r>
                  <w:r>
                    <w:rPr>
                      <w:sz w:val="20"/>
                      <w:szCs w:val="20"/>
                    </w:rPr>
                    <w:t xml:space="preserve">  </w:t>
                  </w:r>
                  <w:r>
                    <w:rPr>
                      <w:spacing w:val="9"/>
                      <w:sz w:val="20"/>
                      <w:szCs w:val="20"/>
                    </w:rPr>
                    <w:t>禁抛荒、撂荒；采用直埋电缆</w:t>
                  </w:r>
                  <w:r>
                    <w:rPr>
                      <w:sz w:val="20"/>
                      <w:szCs w:val="20"/>
                    </w:rPr>
                    <w:t xml:space="preserve">  </w:t>
                  </w:r>
                  <w:r>
                    <w:rPr>
                      <w:spacing w:val="9"/>
                      <w:sz w:val="20"/>
                      <w:szCs w:val="20"/>
                    </w:rPr>
                    <w:t>方式敷设的集电线路用地，实</w:t>
                  </w:r>
                  <w:r>
                    <w:rPr>
                      <w:spacing w:val="1"/>
                      <w:sz w:val="20"/>
                      <w:szCs w:val="20"/>
                    </w:rPr>
                    <w:t xml:space="preserve">  </w:t>
                  </w:r>
                  <w:r>
                    <w:rPr>
                      <w:spacing w:val="9"/>
                      <w:sz w:val="20"/>
                      <w:szCs w:val="20"/>
                    </w:rPr>
                    <w:t>行与项目光伏阵列用地同样的</w:t>
                  </w:r>
                  <w:r>
                    <w:rPr>
                      <w:spacing w:val="1"/>
                      <w:sz w:val="20"/>
                      <w:szCs w:val="20"/>
                    </w:rPr>
                    <w:t xml:space="preserve">  </w:t>
                  </w:r>
                  <w:r>
                    <w:rPr>
                      <w:spacing w:val="9"/>
                      <w:sz w:val="20"/>
                      <w:szCs w:val="20"/>
                    </w:rPr>
                    <w:t>管理方式；场内道路按农村道</w:t>
                  </w:r>
                  <w:r>
                    <w:rPr>
                      <w:sz w:val="20"/>
                      <w:szCs w:val="20"/>
                    </w:rPr>
                    <w:t xml:space="preserve">  </w:t>
                  </w:r>
                  <w:r>
                    <w:rPr>
                      <w:spacing w:val="6"/>
                      <w:sz w:val="20"/>
                      <w:szCs w:val="20"/>
                    </w:rPr>
                    <w:t>路用地管理；升压站、</w:t>
                  </w: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架</w:t>
                  </w:r>
                  <w:r>
                    <w:rPr>
                      <w:spacing w:val="4"/>
                      <w:sz w:val="20"/>
                      <w:szCs w:val="20"/>
                    </w:rPr>
                    <w:t xml:space="preserve"> </w:t>
                  </w:r>
                  <w:r>
                    <w:rPr>
                      <w:spacing w:val="9"/>
                      <w:sz w:val="20"/>
                      <w:szCs w:val="20"/>
                    </w:rPr>
                    <w:t>空集电线路杆塔基础按建设用</w:t>
                  </w:r>
                  <w:r>
                    <w:rPr>
                      <w:sz w:val="20"/>
                      <w:szCs w:val="20"/>
                    </w:rPr>
                    <w:t xml:space="preserve">  </w:t>
                  </w:r>
                  <w:r>
                    <w:rPr>
                      <w:spacing w:val="8"/>
                      <w:sz w:val="20"/>
                      <w:szCs w:val="20"/>
                    </w:rPr>
                    <w:t>地管理；</w:t>
                  </w:r>
                  <w:r>
                    <w:rPr>
                      <w:rFonts w:ascii="Times New Roman" w:hAnsi="Times New Roman" w:eastAsia="Times New Roman" w:cs="Times New Roman"/>
                      <w:spacing w:val="8"/>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8"/>
                      <w:sz w:val="20"/>
                      <w:szCs w:val="20"/>
                    </w:rPr>
                    <w:t xml:space="preserve"> </w:t>
                  </w:r>
                  <w:r>
                    <w:rPr>
                      <w:spacing w:val="8"/>
                      <w:sz w:val="20"/>
                      <w:szCs w:val="20"/>
                    </w:rPr>
                    <w:t>架空线路不包</w:t>
                  </w:r>
                  <w:r>
                    <w:rPr>
                      <w:spacing w:val="3"/>
                      <w:sz w:val="20"/>
                      <w:szCs w:val="20"/>
                    </w:rPr>
                    <w:t xml:space="preserve">  </w:t>
                  </w:r>
                  <w:r>
                    <w:rPr>
                      <w:spacing w:val="8"/>
                      <w:sz w:val="20"/>
                      <w:szCs w:val="20"/>
                    </w:rPr>
                    <w:t>含在本次评价范围内。</w:t>
                  </w:r>
                </w:p>
              </w:tc>
              <w:tc>
                <w:tcPr>
                  <w:tcW w:w="887" w:type="dxa"/>
                  <w:vAlign w:val="top"/>
                </w:tcPr>
                <w:p w14:paraId="027676A5">
                  <w:pPr>
                    <w:spacing w:line="261" w:lineRule="auto"/>
                    <w:rPr>
                      <w:rFonts w:ascii="Arial"/>
                      <w:sz w:val="21"/>
                    </w:rPr>
                  </w:pPr>
                </w:p>
                <w:p w14:paraId="32C6189C">
                  <w:pPr>
                    <w:spacing w:line="261" w:lineRule="auto"/>
                    <w:rPr>
                      <w:rFonts w:ascii="Arial"/>
                      <w:sz w:val="21"/>
                    </w:rPr>
                  </w:pPr>
                </w:p>
                <w:p w14:paraId="033FA1F3">
                  <w:pPr>
                    <w:spacing w:line="261" w:lineRule="auto"/>
                    <w:rPr>
                      <w:rFonts w:ascii="Arial"/>
                      <w:sz w:val="21"/>
                    </w:rPr>
                  </w:pPr>
                </w:p>
                <w:p w14:paraId="36011CA6">
                  <w:pPr>
                    <w:spacing w:line="261" w:lineRule="auto"/>
                    <w:rPr>
                      <w:rFonts w:ascii="Arial"/>
                      <w:sz w:val="21"/>
                    </w:rPr>
                  </w:pPr>
                </w:p>
                <w:p w14:paraId="531EDABA">
                  <w:pPr>
                    <w:spacing w:line="261" w:lineRule="auto"/>
                    <w:rPr>
                      <w:rFonts w:ascii="Arial"/>
                      <w:sz w:val="21"/>
                    </w:rPr>
                  </w:pPr>
                </w:p>
                <w:p w14:paraId="76742C31">
                  <w:pPr>
                    <w:spacing w:line="261" w:lineRule="auto"/>
                    <w:rPr>
                      <w:rFonts w:ascii="Arial"/>
                      <w:sz w:val="21"/>
                    </w:rPr>
                  </w:pPr>
                </w:p>
                <w:p w14:paraId="14B26F97">
                  <w:pPr>
                    <w:spacing w:line="261" w:lineRule="auto"/>
                    <w:rPr>
                      <w:rFonts w:ascii="Arial"/>
                      <w:sz w:val="21"/>
                    </w:rPr>
                  </w:pPr>
                </w:p>
                <w:p w14:paraId="3204BC6B">
                  <w:pPr>
                    <w:spacing w:line="261" w:lineRule="auto"/>
                    <w:rPr>
                      <w:rFonts w:ascii="Arial"/>
                      <w:sz w:val="21"/>
                    </w:rPr>
                  </w:pPr>
                </w:p>
                <w:p w14:paraId="742EE9C5">
                  <w:pPr>
                    <w:spacing w:line="261" w:lineRule="auto"/>
                    <w:rPr>
                      <w:rFonts w:ascii="Arial"/>
                      <w:sz w:val="21"/>
                    </w:rPr>
                  </w:pPr>
                </w:p>
                <w:p w14:paraId="01E61DDB">
                  <w:pPr>
                    <w:spacing w:line="261" w:lineRule="auto"/>
                    <w:rPr>
                      <w:rFonts w:ascii="Arial"/>
                      <w:sz w:val="21"/>
                    </w:rPr>
                  </w:pPr>
                </w:p>
                <w:p w14:paraId="4DBFFAC5">
                  <w:pPr>
                    <w:spacing w:line="262" w:lineRule="auto"/>
                    <w:rPr>
                      <w:rFonts w:ascii="Arial"/>
                      <w:sz w:val="21"/>
                    </w:rPr>
                  </w:pPr>
                </w:p>
                <w:p w14:paraId="5A182EA8">
                  <w:pPr>
                    <w:pStyle w:val="6"/>
                    <w:spacing w:before="65" w:line="228" w:lineRule="auto"/>
                    <w:ind w:left="237"/>
                    <w:rPr>
                      <w:sz w:val="20"/>
                      <w:szCs w:val="20"/>
                    </w:rPr>
                  </w:pPr>
                  <w:r>
                    <w:rPr>
                      <w:spacing w:val="3"/>
                      <w:sz w:val="20"/>
                      <w:szCs w:val="20"/>
                    </w:rPr>
                    <w:t>符合</w:t>
                  </w:r>
                </w:p>
              </w:tc>
            </w:tr>
            <w:tr w14:paraId="2975F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1" w:hRule="atLeast"/>
              </w:trPr>
              <w:tc>
                <w:tcPr>
                  <w:tcW w:w="768" w:type="dxa"/>
                  <w:vAlign w:val="top"/>
                </w:tcPr>
                <w:p w14:paraId="067891C0">
                  <w:pPr>
                    <w:spacing w:line="287" w:lineRule="auto"/>
                    <w:rPr>
                      <w:rFonts w:ascii="Arial"/>
                      <w:sz w:val="21"/>
                    </w:rPr>
                  </w:pPr>
                </w:p>
                <w:p w14:paraId="1D902816">
                  <w:pPr>
                    <w:spacing w:line="287" w:lineRule="auto"/>
                    <w:rPr>
                      <w:rFonts w:ascii="Arial"/>
                      <w:sz w:val="21"/>
                    </w:rPr>
                  </w:pPr>
                </w:p>
                <w:p w14:paraId="269E767F">
                  <w:pPr>
                    <w:spacing w:line="287" w:lineRule="auto"/>
                    <w:rPr>
                      <w:rFonts w:ascii="Arial"/>
                      <w:sz w:val="21"/>
                    </w:rPr>
                  </w:pPr>
                </w:p>
                <w:p w14:paraId="484DB5E8">
                  <w:pPr>
                    <w:spacing w:line="288" w:lineRule="auto"/>
                    <w:rPr>
                      <w:rFonts w:ascii="Arial"/>
                      <w:sz w:val="21"/>
                    </w:rPr>
                  </w:pPr>
                </w:p>
                <w:p w14:paraId="1D51DA45">
                  <w:pPr>
                    <w:spacing w:line="288" w:lineRule="auto"/>
                    <w:rPr>
                      <w:rFonts w:ascii="Arial"/>
                      <w:sz w:val="21"/>
                    </w:rPr>
                  </w:pPr>
                </w:p>
                <w:p w14:paraId="05C6DF32">
                  <w:pPr>
                    <w:spacing w:before="58"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293" w:type="dxa"/>
                  <w:vAlign w:val="top"/>
                </w:tcPr>
                <w:p w14:paraId="62E2FBD5">
                  <w:pPr>
                    <w:pStyle w:val="6"/>
                    <w:spacing w:before="37" w:line="248" w:lineRule="auto"/>
                    <w:ind w:left="111" w:right="69" w:firstLine="2"/>
                    <w:jc w:val="both"/>
                    <w:rPr>
                      <w:sz w:val="20"/>
                      <w:szCs w:val="20"/>
                    </w:rPr>
                  </w:pPr>
                  <w:r>
                    <w:rPr>
                      <w:spacing w:val="4"/>
                      <w:sz w:val="20"/>
                      <w:szCs w:val="20"/>
                    </w:rPr>
                    <w:t>光伏发电项目用地中按农用地、未</w:t>
                  </w:r>
                  <w:r>
                    <w:rPr>
                      <w:spacing w:val="6"/>
                      <w:sz w:val="20"/>
                      <w:szCs w:val="20"/>
                    </w:rPr>
                    <w:t xml:space="preserve"> </w:t>
                  </w:r>
                  <w:r>
                    <w:rPr>
                      <w:spacing w:val="4"/>
                      <w:sz w:val="20"/>
                      <w:szCs w:val="20"/>
                    </w:rPr>
                    <w:t>利用地管理的，除桩基用地外，场</w:t>
                  </w:r>
                  <w:r>
                    <w:rPr>
                      <w:spacing w:val="8"/>
                      <w:sz w:val="20"/>
                      <w:szCs w:val="20"/>
                    </w:rPr>
                    <w:t xml:space="preserve"> </w:t>
                  </w:r>
                  <w:r>
                    <w:rPr>
                      <w:spacing w:val="19"/>
                      <w:sz w:val="20"/>
                      <w:szCs w:val="20"/>
                    </w:rPr>
                    <w:t>内道路等功能分区用地不得硬化</w:t>
                  </w:r>
                  <w:r>
                    <w:rPr>
                      <w:spacing w:val="2"/>
                      <w:sz w:val="20"/>
                      <w:szCs w:val="20"/>
                    </w:rPr>
                    <w:t xml:space="preserve"> </w:t>
                  </w:r>
                  <w:r>
                    <w:rPr>
                      <w:spacing w:val="4"/>
                      <w:sz w:val="20"/>
                      <w:szCs w:val="20"/>
                    </w:rPr>
                    <w:t>地面、破坏耕作层，否则，应当依</w:t>
                  </w:r>
                  <w:r>
                    <w:rPr>
                      <w:spacing w:val="8"/>
                      <w:sz w:val="20"/>
                      <w:szCs w:val="20"/>
                    </w:rPr>
                    <w:t xml:space="preserve"> </w:t>
                  </w:r>
                  <w:r>
                    <w:rPr>
                      <w:spacing w:val="4"/>
                      <w:sz w:val="20"/>
                      <w:szCs w:val="20"/>
                    </w:rPr>
                    <w:t>法办理建设用地审批手续，未办理</w:t>
                  </w:r>
                  <w:r>
                    <w:rPr>
                      <w:spacing w:val="8"/>
                      <w:sz w:val="20"/>
                      <w:szCs w:val="20"/>
                    </w:rPr>
                    <w:t xml:space="preserve"> </w:t>
                  </w:r>
                  <w:r>
                    <w:rPr>
                      <w:spacing w:val="19"/>
                      <w:sz w:val="20"/>
                      <w:szCs w:val="20"/>
                    </w:rPr>
                    <w:t>审批手续的，按违法用地依法查</w:t>
                  </w:r>
                  <w:r>
                    <w:rPr>
                      <w:spacing w:val="2"/>
                      <w:sz w:val="20"/>
                      <w:szCs w:val="20"/>
                    </w:rPr>
                    <w:t xml:space="preserve"> </w:t>
                  </w:r>
                  <w:r>
                    <w:rPr>
                      <w:spacing w:val="4"/>
                      <w:sz w:val="20"/>
                      <w:szCs w:val="20"/>
                    </w:rPr>
                    <w:t>处。对于布设后未能并网发电的光</w:t>
                  </w:r>
                  <w:r>
                    <w:rPr>
                      <w:spacing w:val="8"/>
                      <w:sz w:val="20"/>
                      <w:szCs w:val="20"/>
                    </w:rPr>
                    <w:t xml:space="preserve"> </w:t>
                  </w:r>
                  <w:r>
                    <w:rPr>
                      <w:spacing w:val="4"/>
                      <w:sz w:val="20"/>
                      <w:szCs w:val="20"/>
                    </w:rPr>
                    <w:t>伏阵列，由项目所在地能源主管部</w:t>
                  </w:r>
                  <w:r>
                    <w:rPr>
                      <w:spacing w:val="8"/>
                      <w:sz w:val="20"/>
                      <w:szCs w:val="20"/>
                    </w:rPr>
                    <w:t xml:space="preserve"> </w:t>
                  </w:r>
                  <w:r>
                    <w:rPr>
                      <w:spacing w:val="7"/>
                      <w:sz w:val="20"/>
                      <w:szCs w:val="20"/>
                    </w:rPr>
                    <w:t>门清理。光伏阵列用地按农用地、</w:t>
                  </w:r>
                  <w:r>
                    <w:rPr>
                      <w:sz w:val="20"/>
                      <w:szCs w:val="20"/>
                    </w:rPr>
                    <w:t xml:space="preserve"> </w:t>
                  </w:r>
                  <w:r>
                    <w:rPr>
                      <w:spacing w:val="4"/>
                      <w:sz w:val="20"/>
                      <w:szCs w:val="20"/>
                    </w:rPr>
                    <w:t>未利用地管理的项目退出时，未按</w:t>
                  </w:r>
                  <w:r>
                    <w:rPr>
                      <w:spacing w:val="8"/>
                      <w:sz w:val="20"/>
                      <w:szCs w:val="20"/>
                    </w:rPr>
                    <w:t xml:space="preserve"> </w:t>
                  </w:r>
                  <w:r>
                    <w:rPr>
                      <w:spacing w:val="4"/>
                      <w:sz w:val="20"/>
                      <w:szCs w:val="20"/>
                    </w:rPr>
                    <w:t>规定恢复原状的，由项目所在地能</w:t>
                  </w:r>
                  <w:r>
                    <w:rPr>
                      <w:spacing w:val="8"/>
                      <w:sz w:val="20"/>
                      <w:szCs w:val="20"/>
                    </w:rPr>
                    <w:t xml:space="preserve"> 源主管部门责令整改到位。</w:t>
                  </w:r>
                </w:p>
              </w:tc>
              <w:tc>
                <w:tcPr>
                  <w:tcW w:w="3008" w:type="dxa"/>
                  <w:vAlign w:val="top"/>
                </w:tcPr>
                <w:p w14:paraId="6868D84C">
                  <w:pPr>
                    <w:pStyle w:val="6"/>
                    <w:spacing w:before="28" w:line="249" w:lineRule="auto"/>
                    <w:ind w:left="143" w:right="136" w:firstLine="2"/>
                    <w:rPr>
                      <w:sz w:val="20"/>
                      <w:szCs w:val="20"/>
                    </w:rPr>
                  </w:pPr>
                  <w:r>
                    <w:rPr>
                      <w:spacing w:val="9"/>
                      <w:sz w:val="20"/>
                      <w:szCs w:val="20"/>
                    </w:rPr>
                    <w:t>本项目光伏电池组件阵列区仅</w:t>
                  </w:r>
                  <w:r>
                    <w:rPr>
                      <w:spacing w:val="1"/>
                      <w:sz w:val="20"/>
                      <w:szCs w:val="20"/>
                    </w:rPr>
                    <w:t xml:space="preserve"> </w:t>
                  </w:r>
                  <w:r>
                    <w:rPr>
                      <w:spacing w:val="9"/>
                      <w:sz w:val="20"/>
                      <w:szCs w:val="20"/>
                    </w:rPr>
                    <w:t>对桩基用地进行硬化，场内道</w:t>
                  </w:r>
                  <w:r>
                    <w:rPr>
                      <w:spacing w:val="4"/>
                      <w:sz w:val="20"/>
                      <w:szCs w:val="20"/>
                    </w:rPr>
                    <w:t xml:space="preserve"> </w:t>
                  </w:r>
                  <w:r>
                    <w:rPr>
                      <w:spacing w:val="9"/>
                      <w:sz w:val="20"/>
                      <w:szCs w:val="20"/>
                    </w:rPr>
                    <w:t>路按防火通道单独立项，不在</w:t>
                  </w:r>
                  <w:r>
                    <w:rPr>
                      <w:spacing w:val="4"/>
                      <w:sz w:val="20"/>
                      <w:szCs w:val="20"/>
                    </w:rPr>
                    <w:t xml:space="preserve"> </w:t>
                  </w:r>
                  <w:r>
                    <w:rPr>
                      <w:spacing w:val="9"/>
                      <w:sz w:val="20"/>
                      <w:szCs w:val="20"/>
                    </w:rPr>
                    <w:t>本次评价范围内；升压站用地</w:t>
                  </w:r>
                  <w:r>
                    <w:rPr>
                      <w:spacing w:val="4"/>
                      <w:sz w:val="20"/>
                      <w:szCs w:val="20"/>
                    </w:rPr>
                    <w:t xml:space="preserve"> </w:t>
                  </w:r>
                  <w:r>
                    <w:rPr>
                      <w:spacing w:val="9"/>
                      <w:sz w:val="20"/>
                      <w:szCs w:val="20"/>
                    </w:rPr>
                    <w:t>进行硬化，在项目服务结束期</w:t>
                  </w:r>
                  <w:r>
                    <w:rPr>
                      <w:spacing w:val="4"/>
                      <w:sz w:val="20"/>
                      <w:szCs w:val="20"/>
                    </w:rPr>
                    <w:t xml:space="preserve"> </w:t>
                  </w:r>
                  <w:r>
                    <w:rPr>
                      <w:spacing w:val="9"/>
                      <w:sz w:val="20"/>
                      <w:szCs w:val="20"/>
                    </w:rPr>
                    <w:t>满后，将光伏阵列设备进行拆</w:t>
                  </w:r>
                  <w:r>
                    <w:rPr>
                      <w:spacing w:val="4"/>
                      <w:sz w:val="20"/>
                      <w:szCs w:val="20"/>
                    </w:rPr>
                    <w:t xml:space="preserve"> </w:t>
                  </w:r>
                  <w:r>
                    <w:rPr>
                      <w:spacing w:val="9"/>
                      <w:sz w:val="20"/>
                      <w:szCs w:val="20"/>
                    </w:rPr>
                    <w:t>除，项目用地进行植被恢复。</w:t>
                  </w:r>
                  <w:r>
                    <w:rPr>
                      <w:spacing w:val="4"/>
                      <w:sz w:val="20"/>
                      <w:szCs w:val="20"/>
                    </w:rPr>
                    <w:t xml:space="preserve"> </w:t>
                  </w:r>
                  <w:r>
                    <w:rPr>
                      <w:spacing w:val="9"/>
                      <w:sz w:val="20"/>
                      <w:szCs w:val="20"/>
                    </w:rPr>
                    <w:t>本项目建成后占用人工牧草地</w:t>
                  </w:r>
                  <w:r>
                    <w:rPr>
                      <w:spacing w:val="4"/>
                      <w:sz w:val="20"/>
                      <w:szCs w:val="20"/>
                    </w:rPr>
                    <w:t xml:space="preserve"> </w:t>
                  </w:r>
                  <w:r>
                    <w:rPr>
                      <w:spacing w:val="9"/>
                      <w:sz w:val="20"/>
                      <w:szCs w:val="20"/>
                    </w:rPr>
                    <w:t>的部分实施光伏发电与放牧相</w:t>
                  </w:r>
                  <w:r>
                    <w:rPr>
                      <w:spacing w:val="4"/>
                      <w:sz w:val="20"/>
                      <w:szCs w:val="20"/>
                    </w:rPr>
                    <w:t xml:space="preserve"> </w:t>
                  </w:r>
                  <w:r>
                    <w:rPr>
                      <w:spacing w:val="9"/>
                      <w:sz w:val="20"/>
                      <w:szCs w:val="20"/>
                    </w:rPr>
                    <w:t>结合，项目建设不会改变项目</w:t>
                  </w:r>
                </w:p>
                <w:p w14:paraId="0C9B0061">
                  <w:pPr>
                    <w:pStyle w:val="6"/>
                    <w:spacing w:before="25" w:line="228" w:lineRule="auto"/>
                    <w:ind w:left="987"/>
                    <w:rPr>
                      <w:sz w:val="20"/>
                      <w:szCs w:val="20"/>
                    </w:rPr>
                  </w:pPr>
                  <w:r>
                    <w:rPr>
                      <w:spacing w:val="5"/>
                      <w:sz w:val="20"/>
                      <w:szCs w:val="20"/>
                    </w:rPr>
                    <w:t>用地性质。</w:t>
                  </w:r>
                </w:p>
              </w:tc>
              <w:tc>
                <w:tcPr>
                  <w:tcW w:w="887" w:type="dxa"/>
                  <w:vAlign w:val="top"/>
                </w:tcPr>
                <w:p w14:paraId="317D8E32">
                  <w:pPr>
                    <w:spacing w:line="276" w:lineRule="auto"/>
                    <w:rPr>
                      <w:rFonts w:ascii="Arial"/>
                      <w:sz w:val="21"/>
                    </w:rPr>
                  </w:pPr>
                </w:p>
                <w:p w14:paraId="0D489ECF">
                  <w:pPr>
                    <w:spacing w:line="277" w:lineRule="auto"/>
                    <w:rPr>
                      <w:rFonts w:ascii="Arial"/>
                      <w:sz w:val="21"/>
                    </w:rPr>
                  </w:pPr>
                </w:p>
                <w:p w14:paraId="3669E23D">
                  <w:pPr>
                    <w:spacing w:line="277" w:lineRule="auto"/>
                    <w:rPr>
                      <w:rFonts w:ascii="Arial"/>
                      <w:sz w:val="21"/>
                    </w:rPr>
                  </w:pPr>
                </w:p>
                <w:p w14:paraId="352F9D24">
                  <w:pPr>
                    <w:spacing w:line="277" w:lineRule="auto"/>
                    <w:rPr>
                      <w:rFonts w:ascii="Arial"/>
                      <w:sz w:val="21"/>
                    </w:rPr>
                  </w:pPr>
                </w:p>
                <w:p w14:paraId="42473DBC">
                  <w:pPr>
                    <w:spacing w:line="277" w:lineRule="auto"/>
                    <w:rPr>
                      <w:rFonts w:ascii="Arial"/>
                      <w:sz w:val="21"/>
                    </w:rPr>
                  </w:pPr>
                </w:p>
                <w:p w14:paraId="58D9A70B">
                  <w:pPr>
                    <w:pStyle w:val="6"/>
                    <w:spacing w:before="65" w:line="228" w:lineRule="auto"/>
                    <w:ind w:left="237"/>
                    <w:rPr>
                      <w:sz w:val="20"/>
                      <w:szCs w:val="20"/>
                    </w:rPr>
                  </w:pPr>
                  <w:r>
                    <w:rPr>
                      <w:spacing w:val="3"/>
                      <w:sz w:val="20"/>
                      <w:szCs w:val="20"/>
                    </w:rPr>
                    <w:t>符合</w:t>
                  </w:r>
                </w:p>
              </w:tc>
            </w:tr>
            <w:tr w14:paraId="07712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1" w:hRule="atLeast"/>
              </w:trPr>
              <w:tc>
                <w:tcPr>
                  <w:tcW w:w="7956" w:type="dxa"/>
                  <w:gridSpan w:val="4"/>
                  <w:tcBorders>
                    <w:bottom w:val="nil"/>
                    <w:right w:val="nil"/>
                  </w:tcBorders>
                  <w:vAlign w:val="top"/>
                </w:tcPr>
                <w:p w14:paraId="58344DC6">
                  <w:pPr>
                    <w:pStyle w:val="6"/>
                    <w:spacing w:before="37" w:line="350" w:lineRule="auto"/>
                    <w:ind w:left="121" w:firstLine="477"/>
                    <w:jc w:val="both"/>
                  </w:pPr>
                  <w:r>
                    <w:rPr>
                      <w:spacing w:val="-3"/>
                    </w:rPr>
                    <w:t>经上表分析可知，本项目符合《云南省自然资源厅云南省能源局关于进</w:t>
                  </w:r>
                  <w:r>
                    <w:rPr>
                      <w:spacing w:val="5"/>
                    </w:rPr>
                    <w:t xml:space="preserve"> </w:t>
                  </w:r>
                  <w:r>
                    <w:rPr>
                      <w:spacing w:val="-6"/>
                    </w:rPr>
                    <w:t>一步支持光伏扶贫和规范光伏发电产业用地的通知》（云自然资〔</w:t>
                  </w:r>
                  <w:r>
                    <w:rPr>
                      <w:rFonts w:ascii="Times New Roman" w:hAnsi="Times New Roman" w:eastAsia="Times New Roman" w:cs="Times New Roman"/>
                      <w:spacing w:val="-6"/>
                    </w:rPr>
                    <w:t>2019</w:t>
                  </w:r>
                  <w:r>
                    <w:rPr>
                      <w:spacing w:val="-6"/>
                    </w:rPr>
                    <w:t>〕</w:t>
                  </w:r>
                  <w:r>
                    <w:rPr>
                      <w:rFonts w:ascii="Times New Roman" w:hAnsi="Times New Roman" w:eastAsia="Times New Roman" w:cs="Times New Roman"/>
                      <w:spacing w:val="-6"/>
                    </w:rPr>
                    <w:t>196</w:t>
                  </w:r>
                  <w:r>
                    <w:rPr>
                      <w:rFonts w:ascii="Times New Roman" w:hAnsi="Times New Roman" w:eastAsia="Times New Roman" w:cs="Times New Roman"/>
                      <w:spacing w:val="12"/>
                    </w:rPr>
                    <w:t xml:space="preserve"> </w:t>
                  </w:r>
                  <w:r>
                    <w:rPr>
                      <w:spacing w:val="-2"/>
                    </w:rPr>
                    <w:t>号）的相关要求。</w:t>
                  </w:r>
                </w:p>
                <w:p w14:paraId="2F6CD0F5">
                  <w:pPr>
                    <w:pStyle w:val="6"/>
                    <w:spacing w:before="31" w:line="347" w:lineRule="auto"/>
                    <w:ind w:left="127" w:firstLine="476"/>
                  </w:pPr>
                  <w:r>
                    <w:rPr>
                      <w:rFonts w:ascii="Times New Roman" w:hAnsi="Times New Roman" w:eastAsia="Times New Roman" w:cs="Times New Roman"/>
                      <w:b/>
                      <w:bCs/>
                      <w:spacing w:val="-5"/>
                    </w:rPr>
                    <w:t>14</w:t>
                  </w:r>
                  <w:r>
                    <w:rPr>
                      <w:b/>
                      <w:bCs/>
                      <w:spacing w:val="-5"/>
                    </w:rPr>
                    <w:t>、与《云南省能源局关于推进太阳能光伏开发利用</w:t>
                  </w:r>
                  <w:r>
                    <w:rPr>
                      <w:b/>
                      <w:bCs/>
                      <w:spacing w:val="-6"/>
                    </w:rPr>
                    <w:t>的指导意见》（云</w:t>
                  </w:r>
                  <w:r>
                    <w:t xml:space="preserve"> </w:t>
                  </w:r>
                  <w:r>
                    <w:rPr>
                      <w:b/>
                      <w:bCs/>
                      <w:spacing w:val="-3"/>
                    </w:rPr>
                    <w:t>能源水电〔</w:t>
                  </w:r>
                  <w:r>
                    <w:rPr>
                      <w:rFonts w:ascii="Times New Roman" w:hAnsi="Times New Roman" w:eastAsia="Times New Roman" w:cs="Times New Roman"/>
                      <w:b/>
                      <w:bCs/>
                      <w:spacing w:val="-3"/>
                    </w:rPr>
                    <w:t>2016</w:t>
                  </w:r>
                  <w:r>
                    <w:rPr>
                      <w:b/>
                      <w:bCs/>
                      <w:spacing w:val="-3"/>
                    </w:rPr>
                    <w:t>〕</w:t>
                  </w:r>
                  <w:r>
                    <w:rPr>
                      <w:rFonts w:ascii="Times New Roman" w:hAnsi="Times New Roman" w:eastAsia="Times New Roman" w:cs="Times New Roman"/>
                      <w:b/>
                      <w:bCs/>
                      <w:spacing w:val="-3"/>
                    </w:rPr>
                    <w:t>15</w:t>
                  </w:r>
                  <w:r>
                    <w:rPr>
                      <w:b/>
                      <w:bCs/>
                      <w:spacing w:val="-3"/>
                    </w:rPr>
                    <w:t>号）的符合性分析</w:t>
                  </w:r>
                </w:p>
              </w:tc>
            </w:tr>
          </w:tbl>
          <w:p w14:paraId="481669A4">
            <w:pPr>
              <w:spacing w:line="14" w:lineRule="auto"/>
              <w:rPr>
                <w:rFonts w:ascii="Arial"/>
                <w:sz w:val="2"/>
              </w:rPr>
            </w:pPr>
          </w:p>
        </w:tc>
      </w:tr>
    </w:tbl>
    <w:p w14:paraId="469451B6">
      <w:pPr>
        <w:rPr>
          <w:rFonts w:ascii="Arial"/>
          <w:sz w:val="21"/>
        </w:rPr>
      </w:pPr>
    </w:p>
    <w:p w14:paraId="75ACFEFD">
      <w:pPr>
        <w:rPr>
          <w:rFonts w:ascii="Arial" w:hAnsi="Arial" w:eastAsia="Arial" w:cs="Arial"/>
          <w:sz w:val="21"/>
          <w:szCs w:val="21"/>
        </w:rPr>
        <w:sectPr>
          <w:footerReference r:id="rId35" w:type="default"/>
          <w:pgSz w:w="11906" w:h="16839"/>
          <w:pgMar w:top="1431" w:right="1407" w:bottom="1278" w:left="1407" w:header="0" w:footer="1116" w:gutter="0"/>
          <w:cols w:space="720" w:num="1"/>
        </w:sectPr>
      </w:pPr>
    </w:p>
    <w:p w14:paraId="7D3D2059">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46D87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72" w:hRule="atLeast"/>
        </w:trPr>
        <w:tc>
          <w:tcPr>
            <w:tcW w:w="1014" w:type="dxa"/>
            <w:tcBorders>
              <w:right w:val="single" w:color="000000" w:sz="2" w:space="0"/>
            </w:tcBorders>
            <w:vAlign w:val="top"/>
          </w:tcPr>
          <w:p w14:paraId="13BB3D79">
            <w:pPr>
              <w:rPr>
                <w:rFonts w:ascii="Arial"/>
                <w:sz w:val="21"/>
              </w:rPr>
            </w:pPr>
          </w:p>
        </w:tc>
        <w:tc>
          <w:tcPr>
            <w:tcW w:w="8062" w:type="dxa"/>
            <w:tcBorders>
              <w:left w:val="single" w:color="000000" w:sz="2" w:space="0"/>
            </w:tcBorders>
            <w:vAlign w:val="top"/>
          </w:tcPr>
          <w:p w14:paraId="6A287758">
            <w:pPr>
              <w:pStyle w:val="6"/>
              <w:spacing w:before="40" w:line="357" w:lineRule="auto"/>
              <w:ind w:left="109" w:right="71" w:firstLine="475"/>
              <w:jc w:val="both"/>
            </w:pPr>
            <w:r>
              <w:rPr>
                <w:rFonts w:ascii="Times New Roman" w:hAnsi="Times New Roman" w:eastAsia="Times New Roman" w:cs="Times New Roman"/>
                <w:spacing w:val="-2"/>
              </w:rPr>
              <w:t xml:space="preserve">2016 </w:t>
            </w:r>
            <w:r>
              <w:rPr>
                <w:spacing w:val="-2"/>
              </w:rPr>
              <w:t>年</w:t>
            </w:r>
            <w:r>
              <w:rPr>
                <w:spacing w:val="-57"/>
              </w:rPr>
              <w:t xml:space="preserve"> </w:t>
            </w:r>
            <w:r>
              <w:rPr>
                <w:rFonts w:ascii="Times New Roman" w:hAnsi="Times New Roman" w:eastAsia="Times New Roman" w:cs="Times New Roman"/>
                <w:spacing w:val="-2"/>
              </w:rPr>
              <w:t xml:space="preserve">2 </w:t>
            </w:r>
            <w:r>
              <w:rPr>
                <w:spacing w:val="-2"/>
              </w:rPr>
              <w:t>月</w:t>
            </w:r>
            <w:r>
              <w:rPr>
                <w:spacing w:val="-58"/>
              </w:rPr>
              <w:t xml:space="preserve"> </w:t>
            </w:r>
            <w:r>
              <w:rPr>
                <w:rFonts w:ascii="Times New Roman" w:hAnsi="Times New Roman" w:eastAsia="Times New Roman" w:cs="Times New Roman"/>
                <w:spacing w:val="-2"/>
              </w:rPr>
              <w:t xml:space="preserve">23  </w:t>
            </w:r>
            <w:r>
              <w:rPr>
                <w:spacing w:val="-2"/>
              </w:rPr>
              <w:t>日云南省能源局下发了关于推进</w:t>
            </w:r>
            <w:r>
              <w:rPr>
                <w:spacing w:val="-3"/>
              </w:rPr>
              <w:t>太阳能光伏开发利用的</w:t>
            </w:r>
            <w:r>
              <w:t xml:space="preserve"> </w:t>
            </w:r>
            <w:r>
              <w:rPr>
                <w:spacing w:val="-3"/>
              </w:rPr>
              <w:t>指导意见，《意见》指出，云南不再发展纯地面光伏电站，未来发展重点主</w:t>
            </w:r>
            <w:r>
              <w:rPr>
                <w:spacing w:val="16"/>
              </w:rPr>
              <w:t xml:space="preserve"> </w:t>
            </w:r>
            <w:r>
              <w:rPr>
                <w:spacing w:val="-3"/>
              </w:rPr>
              <w:t>要在光伏农（林、牧、渔）业、光伏提水、光伏制冷（脱水、保鲜）、光伏</w:t>
            </w:r>
            <w:r>
              <w:rPr>
                <w:spacing w:val="16"/>
              </w:rPr>
              <w:t xml:space="preserve"> </w:t>
            </w:r>
            <w:r>
              <w:rPr>
                <w:spacing w:val="-3"/>
              </w:rPr>
              <w:t>制热（烘干、食品加工）、户用光伏扶贫，以及城市、工业园区的屋顶分布</w:t>
            </w:r>
            <w:r>
              <w:rPr>
                <w:spacing w:val="16"/>
              </w:rPr>
              <w:t xml:space="preserve"> </w:t>
            </w:r>
            <w:r>
              <w:rPr>
                <w:spacing w:val="-2"/>
              </w:rPr>
              <w:t>式光伏领域。《意见》强调，云南光伏电站建设要坚决避让环境敏感区域。</w:t>
            </w:r>
            <w:r>
              <w:rPr>
                <w:spacing w:val="15"/>
              </w:rPr>
              <w:t xml:space="preserve"> </w:t>
            </w:r>
            <w:r>
              <w:rPr>
                <w:spacing w:val="-3"/>
              </w:rPr>
              <w:t>这些地方包括生物多样性富集区域、拥有特殊生态环境及特有物种区域、鸟</w:t>
            </w:r>
            <w:r>
              <w:rPr>
                <w:spacing w:val="16"/>
              </w:rPr>
              <w:t xml:space="preserve"> </w:t>
            </w:r>
            <w:r>
              <w:rPr>
                <w:spacing w:val="-3"/>
              </w:rPr>
              <w:t>类通道、自然保护区、湿地、风景名胜区、民俗保护区等。《意见》提出要</w:t>
            </w:r>
            <w:r>
              <w:rPr>
                <w:spacing w:val="16"/>
              </w:rPr>
              <w:t xml:space="preserve"> </w:t>
            </w:r>
            <w:r>
              <w:rPr>
                <w:spacing w:val="-3"/>
              </w:rPr>
              <w:t>利用能源企业的资金和技术优势，在农业、科技等部门的指导下大力发展高</w:t>
            </w:r>
            <w:r>
              <w:rPr>
                <w:spacing w:val="16"/>
              </w:rPr>
              <w:t xml:space="preserve"> </w:t>
            </w:r>
            <w:r>
              <w:rPr>
                <w:spacing w:val="-3"/>
              </w:rPr>
              <w:t>原特色农（林）业、养殖业，为当地经济社会发展、农民脱贫致富探索一条</w:t>
            </w:r>
            <w:r>
              <w:rPr>
                <w:spacing w:val="16"/>
              </w:rPr>
              <w:t xml:space="preserve"> </w:t>
            </w:r>
            <w:r>
              <w:rPr>
                <w:spacing w:val="-1"/>
              </w:rPr>
              <w:t>创新、绿色发展道路。</w:t>
            </w:r>
          </w:p>
          <w:p w14:paraId="4EA12055">
            <w:pPr>
              <w:pStyle w:val="6"/>
              <w:spacing w:before="27" w:line="357" w:lineRule="auto"/>
              <w:ind w:left="105" w:right="23" w:firstLine="486"/>
              <w:jc w:val="both"/>
            </w:pPr>
            <w:r>
              <w:rPr>
                <w:b/>
                <w:bCs/>
                <w:spacing w:val="-3"/>
              </w:rPr>
              <w:t>符合性分析：</w:t>
            </w:r>
            <w:r>
              <w:rPr>
                <w:spacing w:val="-3"/>
              </w:rPr>
              <w:t>根据云南省林业和草原局、云南省能源局</w:t>
            </w:r>
            <w:r>
              <w:rPr>
                <w:spacing w:val="-4"/>
              </w:rPr>
              <w:t>以《关于进一步</w:t>
            </w:r>
            <w:r>
              <w:t xml:space="preserve"> </w:t>
            </w:r>
            <w:r>
              <w:rPr>
                <w:spacing w:val="-1"/>
              </w:rPr>
              <w:t>规范光伏复合项目使用林草地有关事项的通知》（云林规〔</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5</w:t>
            </w:r>
            <w:r>
              <w:rPr>
                <w:rFonts w:ascii="Times New Roman" w:hAnsi="Times New Roman" w:eastAsia="Times New Roman" w:cs="Times New Roman"/>
                <w:spacing w:val="16"/>
                <w:w w:val="101"/>
              </w:rPr>
              <w:t xml:space="preserve"> </w:t>
            </w:r>
            <w:r>
              <w:rPr>
                <w:spacing w:val="-1"/>
              </w:rPr>
              <w:t>号）对</w:t>
            </w:r>
            <w:r>
              <w:t xml:space="preserve"> </w:t>
            </w:r>
            <w:r>
              <w:rPr>
                <w:spacing w:val="-2"/>
              </w:rPr>
              <w:t>云南省内光伏发电项目依法依规使用林地的详</w:t>
            </w:r>
            <w:r>
              <w:rPr>
                <w:spacing w:val="-3"/>
              </w:rPr>
              <w:t>细规定，本项目在满足正常运</w:t>
            </w:r>
            <w:r>
              <w:t xml:space="preserve"> 营的同时，须保证电池组件阵列下方不得改变林草地用途，不得裸露地表、</w:t>
            </w:r>
            <w:r>
              <w:rPr>
                <w:spacing w:val="2"/>
              </w:rPr>
              <w:t xml:space="preserve"> </w:t>
            </w:r>
            <w:r>
              <w:rPr>
                <w:spacing w:val="-2"/>
              </w:rPr>
              <w:t>硬化或作其他用途。项目选址选线均已避让生</w:t>
            </w:r>
            <w:r>
              <w:rPr>
                <w:spacing w:val="-3"/>
              </w:rPr>
              <w:t>物多样性富集区域、拥有特殊</w:t>
            </w:r>
            <w:r>
              <w:t xml:space="preserve"> </w:t>
            </w:r>
            <w:r>
              <w:rPr>
                <w:spacing w:val="-2"/>
              </w:rPr>
              <w:t>生态环境及特有物种区域、鸟类通道、自然保</w:t>
            </w:r>
            <w:r>
              <w:rPr>
                <w:spacing w:val="-3"/>
              </w:rPr>
              <w:t>护区、湿地、风景名胜区、民</w:t>
            </w:r>
            <w:r>
              <w:t xml:space="preserve"> </w:t>
            </w:r>
            <w:r>
              <w:rPr>
                <w:spacing w:val="2"/>
              </w:rPr>
              <w:t>俗保护区和饮用水水源保护区等环境敏感区。根据云南省林</w:t>
            </w:r>
            <w:r>
              <w:rPr>
                <w:spacing w:val="1"/>
              </w:rPr>
              <w:t>业和草原局于</w:t>
            </w:r>
            <w:r>
              <w:t xml:space="preserve">  </w:t>
            </w:r>
            <w:r>
              <w:rPr>
                <w:rFonts w:ascii="Times New Roman" w:hAnsi="Times New Roman" w:eastAsia="Times New Roman" w:cs="Times New Roman"/>
                <w:spacing w:val="1"/>
              </w:rPr>
              <w:t xml:space="preserve">2023 </w:t>
            </w:r>
            <w:r>
              <w:rPr>
                <w:spacing w:val="1"/>
              </w:rPr>
              <w:t>年</w:t>
            </w:r>
            <w:r>
              <w:rPr>
                <w:spacing w:val="-27"/>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20"/>
              </w:rPr>
              <w:t xml:space="preserve"> </w:t>
            </w:r>
            <w:r>
              <w:rPr>
                <w:spacing w:val="1"/>
              </w:rPr>
              <w:t>月</w:t>
            </w:r>
            <w:r>
              <w:rPr>
                <w:spacing w:val="-27"/>
              </w:rPr>
              <w:t xml:space="preserve"> </w:t>
            </w:r>
            <w:r>
              <w:rPr>
                <w:rFonts w:ascii="Times New Roman" w:hAnsi="Times New Roman" w:eastAsia="Times New Roman" w:cs="Times New Roman"/>
                <w:spacing w:val="1"/>
              </w:rPr>
              <w:t xml:space="preserve">19  </w:t>
            </w:r>
            <w:r>
              <w:rPr>
                <w:spacing w:val="1"/>
              </w:rPr>
              <w:t>日公布的云南省候鸟迁徙通道重点区域范围（第一批</w:t>
            </w:r>
            <w:r>
              <w:t>）。 在划定的</w:t>
            </w:r>
            <w:r>
              <w:rPr>
                <w:spacing w:val="-21"/>
              </w:rPr>
              <w:t xml:space="preserve"> </w:t>
            </w:r>
            <w:r>
              <w:rPr>
                <w:rFonts w:ascii="Times New Roman" w:hAnsi="Times New Roman" w:eastAsia="Times New Roman" w:cs="Times New Roman"/>
              </w:rPr>
              <w:t xml:space="preserve">10 </w:t>
            </w:r>
            <w:r>
              <w:t xml:space="preserve">个重点区域中，距离项目最近的为开远市大黑山，距最近的占 </w:t>
            </w:r>
            <w:r>
              <w:rPr>
                <w:spacing w:val="-3"/>
              </w:rPr>
              <w:t>地直线距离</w:t>
            </w:r>
            <w:r>
              <w:rPr>
                <w:spacing w:val="-53"/>
              </w:rPr>
              <w:t xml:space="preserve"> </w:t>
            </w:r>
            <w:r>
              <w:rPr>
                <w:rFonts w:ascii="Times New Roman" w:hAnsi="Times New Roman" w:eastAsia="Times New Roman" w:cs="Times New Roman"/>
                <w:spacing w:val="-3"/>
              </w:rPr>
              <w:t>221km</w:t>
            </w:r>
            <w:r>
              <w:rPr>
                <w:spacing w:val="-3"/>
              </w:rPr>
              <w:t>，其他候鸟迁徙通道距离占</w:t>
            </w:r>
            <w:r>
              <w:rPr>
                <w:spacing w:val="-4"/>
              </w:rPr>
              <w:t>地直线距离均在</w:t>
            </w:r>
            <w:r>
              <w:rPr>
                <w:spacing w:val="-52"/>
              </w:rPr>
              <w:t xml:space="preserve"> </w:t>
            </w:r>
            <w:r>
              <w:rPr>
                <w:rFonts w:ascii="Times New Roman" w:hAnsi="Times New Roman" w:eastAsia="Times New Roman" w:cs="Times New Roman"/>
                <w:spacing w:val="-4"/>
              </w:rPr>
              <w:t>221km</w:t>
            </w:r>
            <w:r>
              <w:rPr>
                <w:rFonts w:ascii="Times New Roman" w:hAnsi="Times New Roman" w:eastAsia="Times New Roman" w:cs="Times New Roman"/>
                <w:spacing w:val="39"/>
                <w:w w:val="101"/>
              </w:rPr>
              <w:t xml:space="preserve"> </w:t>
            </w:r>
            <w:r>
              <w:rPr>
                <w:spacing w:val="-4"/>
              </w:rPr>
              <w:t>以上。</w:t>
            </w:r>
          </w:p>
          <w:p w14:paraId="013994AC">
            <w:pPr>
              <w:pStyle w:val="6"/>
              <w:spacing w:before="34" w:line="354" w:lineRule="auto"/>
              <w:ind w:left="109" w:right="89" w:firstLine="483"/>
              <w:jc w:val="both"/>
            </w:pPr>
            <w:r>
              <w:rPr>
                <w:spacing w:val="-3"/>
              </w:rPr>
              <w:t>项目所在地占地类型为草地、乔木林地、交通运输用地、设施农用地和</w:t>
            </w:r>
            <w:r>
              <w:rPr>
                <w:spacing w:val="6"/>
              </w:rPr>
              <w:t xml:space="preserve"> </w:t>
            </w:r>
            <w:r>
              <w:rPr>
                <w:spacing w:val="-2"/>
              </w:rPr>
              <w:t>裸岩石砾地，其中光伏阵列本用地类型为草地、设施农用地、裸岩石</w:t>
            </w:r>
            <w:r>
              <w:rPr>
                <w:spacing w:val="-3"/>
              </w:rPr>
              <w:t>砾地，</w:t>
            </w:r>
            <w:r>
              <w:t xml:space="preserve"> </w:t>
            </w:r>
            <w:r>
              <w:rPr>
                <w:spacing w:val="-3"/>
              </w:rPr>
              <w:t>项目在进行光伏发电的同时，光伏场区进行牛羊放牧，对土地合理利用。因</w:t>
            </w:r>
            <w:r>
              <w:rPr>
                <w:spacing w:val="16"/>
              </w:rPr>
              <w:t xml:space="preserve"> </w:t>
            </w:r>
            <w:r>
              <w:rPr>
                <w:spacing w:val="-3"/>
              </w:rPr>
              <w:t>此，项目与《云南省能源局关于推进太阳能光伏开发利用的指导意见》（云</w:t>
            </w:r>
            <w:r>
              <w:rPr>
                <w:spacing w:val="16"/>
              </w:rPr>
              <w:t xml:space="preserve"> </w:t>
            </w:r>
            <w:r>
              <w:rPr>
                <w:spacing w:val="-2"/>
              </w:rPr>
              <w:t>能源水电〔</w:t>
            </w:r>
            <w:r>
              <w:rPr>
                <w:rFonts w:ascii="Times New Roman" w:hAnsi="Times New Roman" w:eastAsia="Times New Roman" w:cs="Times New Roman"/>
                <w:spacing w:val="-2"/>
              </w:rPr>
              <w:t>2016</w:t>
            </w:r>
            <w:r>
              <w:rPr>
                <w:spacing w:val="-2"/>
              </w:rPr>
              <w:t>〕</w:t>
            </w:r>
            <w:r>
              <w:rPr>
                <w:rFonts w:ascii="Times New Roman" w:hAnsi="Times New Roman" w:eastAsia="Times New Roman" w:cs="Times New Roman"/>
                <w:spacing w:val="-2"/>
              </w:rPr>
              <w:t>15</w:t>
            </w:r>
            <w:r>
              <w:rPr>
                <w:rFonts w:ascii="Times New Roman" w:hAnsi="Times New Roman" w:eastAsia="Times New Roman" w:cs="Times New Roman"/>
                <w:spacing w:val="23"/>
                <w:w w:val="101"/>
              </w:rPr>
              <w:t xml:space="preserve"> </w:t>
            </w:r>
            <w:r>
              <w:rPr>
                <w:spacing w:val="-2"/>
              </w:rPr>
              <w:t>号）相符。</w:t>
            </w:r>
          </w:p>
          <w:p w14:paraId="03CE54D2">
            <w:pPr>
              <w:pStyle w:val="6"/>
              <w:spacing w:before="32" w:line="347" w:lineRule="auto"/>
              <w:ind w:left="114" w:right="103" w:firstLine="481"/>
            </w:pPr>
            <w:r>
              <w:rPr>
                <w:rFonts w:ascii="Times New Roman" w:hAnsi="Times New Roman" w:eastAsia="Times New Roman" w:cs="Times New Roman"/>
                <w:b/>
                <w:bCs/>
                <w:spacing w:val="-5"/>
              </w:rPr>
              <w:t>15</w:t>
            </w:r>
            <w:r>
              <w:rPr>
                <w:b/>
                <w:bCs/>
                <w:spacing w:val="-5"/>
              </w:rPr>
              <w:t>、与《云南省人民政府印发关于加快光伏发电发展若干政</w:t>
            </w:r>
            <w:r>
              <w:rPr>
                <w:b/>
                <w:bCs/>
                <w:spacing w:val="-6"/>
              </w:rPr>
              <w:t>策措施的通</w:t>
            </w:r>
            <w:r>
              <w:t xml:space="preserve"> </w:t>
            </w:r>
            <w:r>
              <w:rPr>
                <w:b/>
                <w:bCs/>
                <w:spacing w:val="-4"/>
              </w:rPr>
              <w:t>知》的相符性分析</w:t>
            </w:r>
          </w:p>
          <w:p w14:paraId="31D6FBAB">
            <w:pPr>
              <w:pStyle w:val="6"/>
              <w:spacing w:before="33" w:line="346" w:lineRule="auto"/>
              <w:ind w:left="113" w:right="103" w:firstLine="471"/>
            </w:pPr>
            <w:r>
              <w:rPr>
                <w:rFonts w:ascii="Times New Roman" w:hAnsi="Times New Roman" w:eastAsia="Times New Roman" w:cs="Times New Roman"/>
                <w:spacing w:val="1"/>
              </w:rPr>
              <w:t>2022</w:t>
            </w:r>
            <w:r>
              <w:rPr>
                <w:spacing w:val="1"/>
              </w:rPr>
              <w:t>年</w:t>
            </w:r>
            <w:r>
              <w:rPr>
                <w:rFonts w:ascii="Times New Roman" w:hAnsi="Times New Roman" w:eastAsia="Times New Roman" w:cs="Times New Roman"/>
                <w:spacing w:val="1"/>
              </w:rPr>
              <w:t>3</w:t>
            </w:r>
            <w:r>
              <w:rPr>
                <w:spacing w:val="1"/>
              </w:rPr>
              <w:t>月</w:t>
            </w:r>
            <w:r>
              <w:rPr>
                <w:rFonts w:ascii="Times New Roman" w:hAnsi="Times New Roman" w:eastAsia="Times New Roman" w:cs="Times New Roman"/>
                <w:spacing w:val="1"/>
              </w:rPr>
              <w:t>24</w:t>
            </w:r>
            <w:r>
              <w:rPr>
                <w:spacing w:val="1"/>
              </w:rPr>
              <w:t>日云南省人民政府以《云南省人民政府印发关于加快光伏</w:t>
            </w:r>
            <w:r>
              <w:rPr>
                <w:spacing w:val="7"/>
              </w:rPr>
              <w:t xml:space="preserve"> </w:t>
            </w:r>
            <w:r>
              <w:rPr>
                <w:spacing w:val="-3"/>
              </w:rPr>
              <w:t>发电发展若干政策措施的通知》（云政发〔</w:t>
            </w:r>
            <w:r>
              <w:rPr>
                <w:rFonts w:ascii="Times New Roman" w:hAnsi="Times New Roman" w:eastAsia="Times New Roman" w:cs="Times New Roman"/>
                <w:spacing w:val="-3"/>
              </w:rPr>
              <w:t>2022</w:t>
            </w:r>
            <w:r>
              <w:rPr>
                <w:spacing w:val="-3"/>
              </w:rPr>
              <w:t>〕</w:t>
            </w:r>
            <w:r>
              <w:rPr>
                <w:rFonts w:ascii="Times New Roman" w:hAnsi="Times New Roman" w:eastAsia="Times New Roman" w:cs="Times New Roman"/>
                <w:spacing w:val="-3"/>
              </w:rPr>
              <w:t>16</w:t>
            </w:r>
            <w:r>
              <w:rPr>
                <w:spacing w:val="-3"/>
              </w:rPr>
              <w:t>号</w:t>
            </w:r>
            <w:r>
              <w:rPr>
                <w:spacing w:val="7"/>
              </w:rPr>
              <w:t>），</w:t>
            </w:r>
            <w:r>
              <w:rPr>
                <w:spacing w:val="-3"/>
              </w:rPr>
              <w:t>印发了《关于加</w:t>
            </w:r>
          </w:p>
        </w:tc>
      </w:tr>
    </w:tbl>
    <w:p w14:paraId="35693CB9">
      <w:pPr>
        <w:rPr>
          <w:rFonts w:ascii="Arial"/>
          <w:sz w:val="21"/>
        </w:rPr>
      </w:pPr>
    </w:p>
    <w:p w14:paraId="70BAE68C">
      <w:pPr>
        <w:rPr>
          <w:rFonts w:ascii="Arial" w:hAnsi="Arial" w:eastAsia="Arial" w:cs="Arial"/>
          <w:sz w:val="21"/>
          <w:szCs w:val="21"/>
        </w:rPr>
        <w:sectPr>
          <w:footerReference r:id="rId36" w:type="default"/>
          <w:pgSz w:w="11906" w:h="16839"/>
          <w:pgMar w:top="1431" w:right="1407" w:bottom="1278" w:left="1407" w:header="0" w:footer="1116" w:gutter="0"/>
          <w:cols w:space="720" w:num="1"/>
        </w:sectPr>
      </w:pPr>
    </w:p>
    <w:p w14:paraId="17B4EFFB">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68718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56" w:hRule="atLeast"/>
        </w:trPr>
        <w:tc>
          <w:tcPr>
            <w:tcW w:w="1014" w:type="dxa"/>
            <w:tcBorders>
              <w:right w:val="single" w:color="000000" w:sz="2" w:space="0"/>
            </w:tcBorders>
            <w:vAlign w:val="top"/>
          </w:tcPr>
          <w:p w14:paraId="593FA791">
            <w:pPr>
              <w:rPr>
                <w:rFonts w:ascii="Arial"/>
                <w:sz w:val="21"/>
              </w:rPr>
            </w:pPr>
          </w:p>
        </w:tc>
        <w:tc>
          <w:tcPr>
            <w:tcW w:w="8062" w:type="dxa"/>
            <w:tcBorders>
              <w:left w:val="single" w:color="000000" w:sz="2" w:space="0"/>
            </w:tcBorders>
            <w:vAlign w:val="top"/>
          </w:tcPr>
          <w:p w14:paraId="1766BF84">
            <w:pPr>
              <w:pStyle w:val="6"/>
              <w:spacing w:before="46" w:line="345" w:lineRule="auto"/>
              <w:ind w:left="111" w:right="103"/>
            </w:pPr>
            <w:r>
              <w:rPr>
                <w:spacing w:val="-3"/>
              </w:rPr>
              <w:t>快光伏发电发展若干政策措施》。本项目与《关于加快光伏发电发展若干政</w:t>
            </w:r>
            <w:r>
              <w:rPr>
                <w:spacing w:val="13"/>
              </w:rPr>
              <w:t xml:space="preserve"> </w:t>
            </w:r>
            <w:r>
              <w:rPr>
                <w:spacing w:val="-1"/>
              </w:rPr>
              <w:t>策措施》中有关要求的符合性分析详见下表。</w:t>
            </w:r>
          </w:p>
          <w:p w14:paraId="08EB99F8">
            <w:pPr>
              <w:pStyle w:val="6"/>
              <w:spacing w:before="32" w:line="223" w:lineRule="auto"/>
              <w:ind w:left="782"/>
              <w:rPr>
                <w:sz w:val="20"/>
                <w:szCs w:val="20"/>
              </w:rPr>
            </w:pPr>
            <w:r>
              <w:rPr>
                <w:b/>
                <w:bCs/>
                <w:spacing w:val="7"/>
                <w:sz w:val="20"/>
                <w:szCs w:val="20"/>
              </w:rPr>
              <w:t>表</w:t>
            </w:r>
            <w:r>
              <w:rPr>
                <w:rFonts w:ascii="Times New Roman" w:hAnsi="Times New Roman" w:eastAsia="Times New Roman" w:cs="Times New Roman"/>
                <w:b/>
                <w:bCs/>
                <w:spacing w:val="7"/>
                <w:sz w:val="20"/>
                <w:szCs w:val="20"/>
              </w:rPr>
              <w:t xml:space="preserve">1-13    </w:t>
            </w:r>
            <w:r>
              <w:rPr>
                <w:b/>
                <w:bCs/>
                <w:spacing w:val="7"/>
                <w:sz w:val="20"/>
                <w:szCs w:val="20"/>
              </w:rPr>
              <w:t>项目与《关于加快光伏发电发展若干政策措施》的符合性分析</w:t>
            </w:r>
          </w:p>
          <w:tbl>
            <w:tblPr>
              <w:tblStyle w:val="5"/>
              <w:tblW w:w="7841"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4"/>
              <w:gridCol w:w="3484"/>
              <w:gridCol w:w="2792"/>
              <w:gridCol w:w="681"/>
            </w:tblGrid>
            <w:tr w14:paraId="00C26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84" w:type="dxa"/>
                  <w:vAlign w:val="top"/>
                </w:tcPr>
                <w:p w14:paraId="6B956A50">
                  <w:pPr>
                    <w:pStyle w:val="6"/>
                    <w:spacing w:before="170" w:line="228" w:lineRule="auto"/>
                    <w:ind w:left="237"/>
                    <w:rPr>
                      <w:sz w:val="20"/>
                      <w:szCs w:val="20"/>
                    </w:rPr>
                  </w:pPr>
                  <w:r>
                    <w:rPr>
                      <w:b/>
                      <w:bCs/>
                      <w:spacing w:val="3"/>
                      <w:sz w:val="20"/>
                      <w:szCs w:val="20"/>
                    </w:rPr>
                    <w:t>条目</w:t>
                  </w:r>
                </w:p>
              </w:tc>
              <w:tc>
                <w:tcPr>
                  <w:tcW w:w="3484" w:type="dxa"/>
                  <w:vAlign w:val="top"/>
                </w:tcPr>
                <w:p w14:paraId="06C08A61">
                  <w:pPr>
                    <w:pStyle w:val="6"/>
                    <w:spacing w:before="170" w:line="228" w:lineRule="auto"/>
                    <w:ind w:left="1349"/>
                    <w:rPr>
                      <w:sz w:val="20"/>
                      <w:szCs w:val="20"/>
                    </w:rPr>
                  </w:pPr>
                  <w:r>
                    <w:rPr>
                      <w:b/>
                      <w:bCs/>
                      <w:sz w:val="20"/>
                      <w:szCs w:val="20"/>
                    </w:rPr>
                    <w:t>内容要求</w:t>
                  </w:r>
                </w:p>
              </w:tc>
              <w:tc>
                <w:tcPr>
                  <w:tcW w:w="2792" w:type="dxa"/>
                  <w:vAlign w:val="top"/>
                </w:tcPr>
                <w:p w14:paraId="0985C136">
                  <w:pPr>
                    <w:pStyle w:val="6"/>
                    <w:spacing w:before="171" w:line="228" w:lineRule="auto"/>
                    <w:ind w:left="983"/>
                    <w:rPr>
                      <w:sz w:val="20"/>
                      <w:szCs w:val="20"/>
                    </w:rPr>
                  </w:pPr>
                  <w:r>
                    <w:rPr>
                      <w:b/>
                      <w:bCs/>
                      <w:spacing w:val="5"/>
                      <w:sz w:val="20"/>
                      <w:szCs w:val="20"/>
                    </w:rPr>
                    <w:t>项目情况</w:t>
                  </w:r>
                </w:p>
              </w:tc>
              <w:tc>
                <w:tcPr>
                  <w:tcW w:w="681" w:type="dxa"/>
                  <w:vAlign w:val="top"/>
                </w:tcPr>
                <w:p w14:paraId="47F6C095">
                  <w:pPr>
                    <w:pStyle w:val="6"/>
                    <w:spacing w:before="37" w:line="234" w:lineRule="auto"/>
                    <w:ind w:left="241" w:right="129" w:hanging="106"/>
                    <w:rPr>
                      <w:sz w:val="20"/>
                      <w:szCs w:val="20"/>
                    </w:rPr>
                  </w:pPr>
                  <w:r>
                    <w:rPr>
                      <w:b/>
                      <w:bCs/>
                      <w:spacing w:val="3"/>
                      <w:sz w:val="20"/>
                      <w:szCs w:val="20"/>
                    </w:rPr>
                    <w:t>符合</w:t>
                  </w:r>
                  <w:r>
                    <w:rPr>
                      <w:sz w:val="20"/>
                      <w:szCs w:val="20"/>
                    </w:rPr>
                    <w:t xml:space="preserve"> </w:t>
                  </w:r>
                  <w:r>
                    <w:rPr>
                      <w:b/>
                      <w:bCs/>
                      <w:spacing w:val="-3"/>
                      <w:sz w:val="20"/>
                      <w:szCs w:val="20"/>
                    </w:rPr>
                    <w:t>性</w:t>
                  </w:r>
                </w:p>
              </w:tc>
            </w:tr>
            <w:tr w14:paraId="21AC6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9" w:hRule="atLeast"/>
              </w:trPr>
              <w:tc>
                <w:tcPr>
                  <w:tcW w:w="884" w:type="dxa"/>
                  <w:vAlign w:val="top"/>
                </w:tcPr>
                <w:p w14:paraId="5C593F10">
                  <w:pPr>
                    <w:spacing w:line="295" w:lineRule="auto"/>
                    <w:rPr>
                      <w:rFonts w:ascii="Arial"/>
                      <w:sz w:val="21"/>
                    </w:rPr>
                  </w:pPr>
                </w:p>
                <w:p w14:paraId="2D6D0FC5">
                  <w:pPr>
                    <w:spacing w:line="296" w:lineRule="auto"/>
                    <w:rPr>
                      <w:rFonts w:ascii="Arial"/>
                      <w:sz w:val="21"/>
                    </w:rPr>
                  </w:pPr>
                </w:p>
                <w:p w14:paraId="7554545F">
                  <w:pPr>
                    <w:spacing w:line="296" w:lineRule="auto"/>
                    <w:rPr>
                      <w:rFonts w:ascii="Arial"/>
                      <w:sz w:val="21"/>
                    </w:rPr>
                  </w:pPr>
                </w:p>
                <w:p w14:paraId="7C5D9C60">
                  <w:pPr>
                    <w:spacing w:line="296" w:lineRule="auto"/>
                    <w:rPr>
                      <w:rFonts w:ascii="Arial"/>
                      <w:sz w:val="21"/>
                    </w:rPr>
                  </w:pPr>
                </w:p>
                <w:p w14:paraId="3DC42574">
                  <w:pPr>
                    <w:pStyle w:val="6"/>
                    <w:spacing w:before="65"/>
                    <w:ind w:left="131" w:right="125"/>
                    <w:rPr>
                      <w:sz w:val="20"/>
                      <w:szCs w:val="20"/>
                    </w:rPr>
                  </w:pPr>
                  <w:r>
                    <w:rPr>
                      <w:spacing w:val="6"/>
                      <w:sz w:val="20"/>
                      <w:szCs w:val="20"/>
                    </w:rPr>
                    <w:t>全面有</w:t>
                  </w:r>
                  <w:r>
                    <w:rPr>
                      <w:spacing w:val="1"/>
                      <w:sz w:val="20"/>
                      <w:szCs w:val="20"/>
                    </w:rPr>
                    <w:t xml:space="preserve"> </w:t>
                  </w:r>
                  <w:r>
                    <w:rPr>
                      <w:spacing w:val="7"/>
                      <w:sz w:val="20"/>
                      <w:szCs w:val="20"/>
                    </w:rPr>
                    <w:t>序放开</w:t>
                  </w:r>
                </w:p>
              </w:tc>
              <w:tc>
                <w:tcPr>
                  <w:tcW w:w="3484" w:type="dxa"/>
                  <w:vAlign w:val="top"/>
                </w:tcPr>
                <w:p w14:paraId="20F0F9E1">
                  <w:pPr>
                    <w:pStyle w:val="6"/>
                    <w:spacing w:before="33" w:line="248" w:lineRule="auto"/>
                    <w:ind w:left="111" w:right="53" w:firstLine="3"/>
                    <w:rPr>
                      <w:sz w:val="20"/>
                      <w:szCs w:val="20"/>
                    </w:rPr>
                  </w:pPr>
                  <w:r>
                    <w:rPr>
                      <w:spacing w:val="3"/>
                      <w:sz w:val="20"/>
                      <w:szCs w:val="20"/>
                    </w:rPr>
                    <w:t>建立资源图和项目库。严守“三线一</w:t>
                  </w:r>
                  <w:r>
                    <w:rPr>
                      <w:spacing w:val="9"/>
                      <w:sz w:val="20"/>
                      <w:szCs w:val="20"/>
                    </w:rPr>
                    <w:t xml:space="preserve"> </w:t>
                  </w:r>
                  <w:r>
                    <w:rPr>
                      <w:spacing w:val="1"/>
                      <w:sz w:val="20"/>
                      <w:szCs w:val="20"/>
                    </w:rPr>
                    <w:t>单</w:t>
                  </w:r>
                  <w:r>
                    <w:rPr>
                      <w:spacing w:val="-58"/>
                      <w:sz w:val="20"/>
                      <w:szCs w:val="20"/>
                    </w:rPr>
                    <w:t xml:space="preserve"> </w:t>
                  </w:r>
                  <w:r>
                    <w:rPr>
                      <w:spacing w:val="1"/>
                      <w:sz w:val="20"/>
                      <w:szCs w:val="20"/>
                    </w:rPr>
                    <w:t>”，组织各州、市开展光伏发电资</w:t>
                  </w:r>
                  <w:r>
                    <w:rPr>
                      <w:sz w:val="20"/>
                      <w:szCs w:val="20"/>
                    </w:rPr>
                    <w:t xml:space="preserve"> </w:t>
                  </w:r>
                  <w:r>
                    <w:rPr>
                      <w:spacing w:val="3"/>
                      <w:sz w:val="20"/>
                      <w:szCs w:val="20"/>
                    </w:rPr>
                    <w:t>源全面清查，统筹资源条件、电力供</w:t>
                  </w:r>
                  <w:r>
                    <w:rPr>
                      <w:spacing w:val="12"/>
                      <w:sz w:val="20"/>
                      <w:szCs w:val="20"/>
                    </w:rPr>
                    <w:t xml:space="preserve"> </w:t>
                  </w:r>
                  <w:r>
                    <w:rPr>
                      <w:spacing w:val="-6"/>
                      <w:sz w:val="20"/>
                      <w:szCs w:val="20"/>
                    </w:rPr>
                    <w:t>需、生态环境保护、要素保障等因素，</w:t>
                  </w:r>
                  <w:r>
                    <w:rPr>
                      <w:spacing w:val="14"/>
                      <w:sz w:val="20"/>
                      <w:szCs w:val="20"/>
                    </w:rPr>
                    <w:t xml:space="preserve"> </w:t>
                  </w:r>
                  <w:r>
                    <w:rPr>
                      <w:spacing w:val="1"/>
                      <w:sz w:val="20"/>
                      <w:szCs w:val="20"/>
                    </w:rPr>
                    <w:t>形成资源分布“一张图</w:t>
                  </w:r>
                  <w:r>
                    <w:rPr>
                      <w:spacing w:val="-58"/>
                      <w:sz w:val="20"/>
                      <w:szCs w:val="20"/>
                    </w:rPr>
                    <w:t xml:space="preserve"> </w:t>
                  </w:r>
                  <w:r>
                    <w:rPr>
                      <w:spacing w:val="1"/>
                      <w:sz w:val="20"/>
                      <w:szCs w:val="20"/>
                    </w:rPr>
                    <w:t>”。发挥规划</w:t>
                  </w:r>
                  <w:r>
                    <w:rPr>
                      <w:sz w:val="20"/>
                      <w:szCs w:val="20"/>
                    </w:rPr>
                    <w:t xml:space="preserve"> </w:t>
                  </w:r>
                  <w:r>
                    <w:rPr>
                      <w:spacing w:val="3"/>
                      <w:sz w:val="20"/>
                      <w:szCs w:val="20"/>
                    </w:rPr>
                    <w:t>统筹和引领作用，将光伏发电项目及</w:t>
                  </w:r>
                  <w:r>
                    <w:rPr>
                      <w:spacing w:val="10"/>
                      <w:sz w:val="20"/>
                      <w:szCs w:val="20"/>
                    </w:rPr>
                    <w:t xml:space="preserve"> </w:t>
                  </w:r>
                  <w:r>
                    <w:rPr>
                      <w:spacing w:val="9"/>
                      <w:sz w:val="20"/>
                      <w:szCs w:val="20"/>
                    </w:rPr>
                    <w:t>配套接网工程统一纳入国土空间规</w:t>
                  </w:r>
                  <w:r>
                    <w:rPr>
                      <w:spacing w:val="2"/>
                      <w:sz w:val="20"/>
                      <w:szCs w:val="20"/>
                    </w:rPr>
                    <w:t xml:space="preserve">  </w:t>
                  </w:r>
                  <w:r>
                    <w:rPr>
                      <w:spacing w:val="3"/>
                      <w:sz w:val="20"/>
                      <w:szCs w:val="20"/>
                    </w:rPr>
                    <w:t>划，搭建省级统一管理的项目库，入</w:t>
                  </w:r>
                  <w:r>
                    <w:rPr>
                      <w:spacing w:val="12"/>
                      <w:sz w:val="20"/>
                      <w:szCs w:val="20"/>
                    </w:rPr>
                    <w:t xml:space="preserve"> </w:t>
                  </w:r>
                  <w:r>
                    <w:rPr>
                      <w:spacing w:val="9"/>
                      <w:sz w:val="20"/>
                      <w:szCs w:val="20"/>
                    </w:rPr>
                    <w:t>库项目须充分衔接省级和州、市规</w:t>
                  </w:r>
                  <w:r>
                    <w:rPr>
                      <w:spacing w:val="2"/>
                      <w:sz w:val="20"/>
                      <w:szCs w:val="20"/>
                    </w:rPr>
                    <w:t xml:space="preserve">  </w:t>
                  </w:r>
                  <w:r>
                    <w:rPr>
                      <w:spacing w:val="3"/>
                      <w:sz w:val="20"/>
                      <w:szCs w:val="20"/>
                    </w:rPr>
                    <w:t>划，未入库项目各州、市不得开发建</w:t>
                  </w:r>
                  <w:r>
                    <w:rPr>
                      <w:spacing w:val="10"/>
                      <w:sz w:val="20"/>
                      <w:szCs w:val="20"/>
                    </w:rPr>
                    <w:t xml:space="preserve"> </w:t>
                  </w:r>
                  <w:r>
                    <w:rPr>
                      <w:sz w:val="20"/>
                      <w:szCs w:val="20"/>
                    </w:rPr>
                    <w:t>设。</w:t>
                  </w:r>
                </w:p>
              </w:tc>
              <w:tc>
                <w:tcPr>
                  <w:tcW w:w="2792" w:type="dxa"/>
                  <w:vAlign w:val="top"/>
                </w:tcPr>
                <w:p w14:paraId="5B6D5192">
                  <w:pPr>
                    <w:spacing w:line="376" w:lineRule="auto"/>
                    <w:rPr>
                      <w:rFonts w:ascii="Arial"/>
                      <w:sz w:val="21"/>
                    </w:rPr>
                  </w:pPr>
                </w:p>
                <w:p w14:paraId="4883F813">
                  <w:pPr>
                    <w:pStyle w:val="6"/>
                    <w:spacing w:before="65" w:line="248" w:lineRule="auto"/>
                    <w:ind w:left="115" w:right="33" w:firstLine="29"/>
                    <w:jc w:val="both"/>
                    <w:rPr>
                      <w:sz w:val="20"/>
                      <w:szCs w:val="20"/>
                    </w:rPr>
                  </w:pPr>
                  <w:r>
                    <w:rPr>
                      <w:spacing w:val="8"/>
                      <w:sz w:val="20"/>
                      <w:szCs w:val="20"/>
                    </w:rPr>
                    <w:t>项目建设符合《昆明市生态</w:t>
                  </w:r>
                  <w:r>
                    <w:rPr>
                      <w:spacing w:val="4"/>
                      <w:sz w:val="20"/>
                      <w:szCs w:val="20"/>
                    </w:rPr>
                    <w:t xml:space="preserve">  </w:t>
                  </w:r>
                  <w:r>
                    <w:rPr>
                      <w:spacing w:val="11"/>
                      <w:sz w:val="20"/>
                      <w:szCs w:val="20"/>
                    </w:rPr>
                    <w:t>环境分区管控动态更新方案</w:t>
                  </w:r>
                  <w:r>
                    <w:rPr>
                      <w:spacing w:val="1"/>
                      <w:sz w:val="20"/>
                      <w:szCs w:val="20"/>
                    </w:rPr>
                    <w:t xml:space="preserve">  </w:t>
                  </w:r>
                  <w:r>
                    <w:rPr>
                      <w:spacing w:val="7"/>
                      <w:sz w:val="20"/>
                      <w:szCs w:val="20"/>
                    </w:rPr>
                    <w:t>（</w:t>
                  </w:r>
                  <w:r>
                    <w:rPr>
                      <w:rFonts w:ascii="Times New Roman" w:hAnsi="Times New Roman" w:eastAsia="Times New Roman" w:cs="Times New Roman"/>
                      <w:spacing w:val="7"/>
                      <w:sz w:val="20"/>
                      <w:szCs w:val="20"/>
                    </w:rPr>
                    <w:t xml:space="preserve">2023 </w:t>
                  </w:r>
                  <w:r>
                    <w:rPr>
                      <w:spacing w:val="7"/>
                      <w:sz w:val="20"/>
                      <w:szCs w:val="20"/>
                    </w:rPr>
                    <w:t>年）》控制要求，具</w:t>
                  </w:r>
                  <w:r>
                    <w:rPr>
                      <w:spacing w:val="6"/>
                      <w:sz w:val="20"/>
                      <w:szCs w:val="20"/>
                    </w:rPr>
                    <w:t xml:space="preserve"> </w:t>
                  </w:r>
                  <w:r>
                    <w:rPr>
                      <w:spacing w:val="11"/>
                      <w:sz w:val="20"/>
                      <w:szCs w:val="20"/>
                    </w:rPr>
                    <w:t>体分析详见上文；项目拟用</w:t>
                  </w:r>
                  <w:r>
                    <w:rPr>
                      <w:spacing w:val="1"/>
                      <w:sz w:val="20"/>
                      <w:szCs w:val="20"/>
                    </w:rPr>
                    <w:t xml:space="preserve">  </w:t>
                  </w:r>
                  <w:r>
                    <w:rPr>
                      <w:spacing w:val="11"/>
                      <w:sz w:val="20"/>
                      <w:szCs w:val="20"/>
                    </w:rPr>
                    <w:t>地未占用永久基本农田、生</w:t>
                  </w:r>
                  <w:r>
                    <w:rPr>
                      <w:spacing w:val="1"/>
                      <w:sz w:val="20"/>
                      <w:szCs w:val="20"/>
                    </w:rPr>
                    <w:t xml:space="preserve">  </w:t>
                  </w:r>
                  <w:r>
                    <w:rPr>
                      <w:spacing w:val="11"/>
                      <w:sz w:val="20"/>
                      <w:szCs w:val="20"/>
                    </w:rPr>
                    <w:t>态保护红线。项目属于《云</w:t>
                  </w:r>
                  <w:r>
                    <w:rPr>
                      <w:spacing w:val="1"/>
                      <w:sz w:val="20"/>
                      <w:szCs w:val="20"/>
                    </w:rPr>
                    <w:t xml:space="preserve">  </w:t>
                  </w:r>
                  <w:r>
                    <w:rPr>
                      <w:spacing w:val="9"/>
                      <w:sz w:val="20"/>
                      <w:szCs w:val="20"/>
                    </w:rPr>
                    <w:t>南省</w:t>
                  </w:r>
                  <w:r>
                    <w:rPr>
                      <w:rFonts w:ascii="Times New Roman" w:hAnsi="Times New Roman" w:eastAsia="Times New Roman" w:cs="Times New Roman"/>
                      <w:spacing w:val="9"/>
                      <w:sz w:val="20"/>
                      <w:szCs w:val="20"/>
                    </w:rPr>
                    <w:t>2023</w:t>
                  </w:r>
                  <w:r>
                    <w:rPr>
                      <w:rFonts w:ascii="Times New Roman" w:hAnsi="Times New Roman" w:eastAsia="Times New Roman" w:cs="Times New Roman"/>
                      <w:spacing w:val="-13"/>
                      <w:sz w:val="20"/>
                      <w:szCs w:val="20"/>
                    </w:rPr>
                    <w:t xml:space="preserve"> </w:t>
                  </w:r>
                  <w:r>
                    <w:rPr>
                      <w:spacing w:val="9"/>
                      <w:sz w:val="20"/>
                      <w:szCs w:val="20"/>
                    </w:rPr>
                    <w:t>年第一批新能源项</w:t>
                  </w:r>
                  <w:r>
                    <w:rPr>
                      <w:sz w:val="20"/>
                      <w:szCs w:val="20"/>
                    </w:rPr>
                    <w:t xml:space="preserve"> </w:t>
                  </w:r>
                  <w:r>
                    <w:rPr>
                      <w:spacing w:val="2"/>
                      <w:sz w:val="20"/>
                      <w:szCs w:val="20"/>
                    </w:rPr>
                    <w:t>目开发建设方案》中的工程。</w:t>
                  </w:r>
                </w:p>
              </w:tc>
              <w:tc>
                <w:tcPr>
                  <w:tcW w:w="681" w:type="dxa"/>
                  <w:vAlign w:val="top"/>
                </w:tcPr>
                <w:p w14:paraId="7EC7C39F">
                  <w:pPr>
                    <w:spacing w:line="263" w:lineRule="auto"/>
                    <w:rPr>
                      <w:rFonts w:ascii="Arial"/>
                      <w:sz w:val="21"/>
                    </w:rPr>
                  </w:pPr>
                </w:p>
                <w:p w14:paraId="6098BFE3">
                  <w:pPr>
                    <w:spacing w:line="264" w:lineRule="auto"/>
                    <w:rPr>
                      <w:rFonts w:ascii="Arial"/>
                      <w:sz w:val="21"/>
                    </w:rPr>
                  </w:pPr>
                </w:p>
                <w:p w14:paraId="10ABCDAE">
                  <w:pPr>
                    <w:spacing w:line="264" w:lineRule="auto"/>
                    <w:rPr>
                      <w:rFonts w:ascii="Arial"/>
                      <w:sz w:val="21"/>
                    </w:rPr>
                  </w:pPr>
                </w:p>
                <w:p w14:paraId="53043F90">
                  <w:pPr>
                    <w:spacing w:line="264" w:lineRule="auto"/>
                    <w:rPr>
                      <w:rFonts w:ascii="Arial"/>
                      <w:sz w:val="21"/>
                    </w:rPr>
                  </w:pPr>
                </w:p>
                <w:p w14:paraId="4C0709F9">
                  <w:pPr>
                    <w:spacing w:line="264" w:lineRule="auto"/>
                    <w:rPr>
                      <w:rFonts w:ascii="Arial"/>
                      <w:sz w:val="21"/>
                    </w:rPr>
                  </w:pPr>
                </w:p>
                <w:p w14:paraId="1F37EFCE">
                  <w:pPr>
                    <w:pStyle w:val="6"/>
                    <w:spacing w:before="65" w:line="228" w:lineRule="auto"/>
                    <w:ind w:left="138"/>
                    <w:rPr>
                      <w:sz w:val="20"/>
                      <w:szCs w:val="20"/>
                    </w:rPr>
                  </w:pPr>
                  <w:r>
                    <w:rPr>
                      <w:spacing w:val="3"/>
                      <w:sz w:val="20"/>
                      <w:szCs w:val="20"/>
                    </w:rPr>
                    <w:t>符合</w:t>
                  </w:r>
                </w:p>
              </w:tc>
            </w:tr>
            <w:tr w14:paraId="661A0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9" w:hRule="atLeast"/>
              </w:trPr>
              <w:tc>
                <w:tcPr>
                  <w:tcW w:w="884" w:type="dxa"/>
                  <w:vMerge w:val="restart"/>
                  <w:tcBorders>
                    <w:bottom w:val="nil"/>
                  </w:tcBorders>
                  <w:vAlign w:val="top"/>
                </w:tcPr>
                <w:p w14:paraId="522F4F0F">
                  <w:pPr>
                    <w:spacing w:line="247" w:lineRule="auto"/>
                    <w:rPr>
                      <w:rFonts w:ascii="Arial"/>
                      <w:sz w:val="21"/>
                    </w:rPr>
                  </w:pPr>
                </w:p>
                <w:p w14:paraId="0EEC6651">
                  <w:pPr>
                    <w:spacing w:line="248" w:lineRule="auto"/>
                    <w:rPr>
                      <w:rFonts w:ascii="Arial"/>
                      <w:sz w:val="21"/>
                    </w:rPr>
                  </w:pPr>
                </w:p>
                <w:p w14:paraId="19DCA37B">
                  <w:pPr>
                    <w:spacing w:line="248" w:lineRule="auto"/>
                    <w:rPr>
                      <w:rFonts w:ascii="Arial"/>
                      <w:sz w:val="21"/>
                    </w:rPr>
                  </w:pPr>
                </w:p>
                <w:p w14:paraId="1B1C4741">
                  <w:pPr>
                    <w:spacing w:line="248" w:lineRule="auto"/>
                    <w:rPr>
                      <w:rFonts w:ascii="Arial"/>
                      <w:sz w:val="21"/>
                    </w:rPr>
                  </w:pPr>
                </w:p>
                <w:p w14:paraId="599C829D">
                  <w:pPr>
                    <w:spacing w:line="248" w:lineRule="auto"/>
                    <w:rPr>
                      <w:rFonts w:ascii="Arial"/>
                      <w:sz w:val="21"/>
                    </w:rPr>
                  </w:pPr>
                </w:p>
                <w:p w14:paraId="18E93407">
                  <w:pPr>
                    <w:spacing w:line="248" w:lineRule="auto"/>
                    <w:rPr>
                      <w:rFonts w:ascii="Arial"/>
                      <w:sz w:val="21"/>
                    </w:rPr>
                  </w:pPr>
                </w:p>
                <w:p w14:paraId="41E9AF94">
                  <w:pPr>
                    <w:spacing w:line="248" w:lineRule="auto"/>
                    <w:rPr>
                      <w:rFonts w:ascii="Arial"/>
                      <w:sz w:val="21"/>
                    </w:rPr>
                  </w:pPr>
                </w:p>
                <w:p w14:paraId="3EFDC044">
                  <w:pPr>
                    <w:spacing w:line="248" w:lineRule="auto"/>
                    <w:rPr>
                      <w:rFonts w:ascii="Arial"/>
                      <w:sz w:val="21"/>
                    </w:rPr>
                  </w:pPr>
                </w:p>
                <w:p w14:paraId="69737125">
                  <w:pPr>
                    <w:spacing w:line="248" w:lineRule="auto"/>
                    <w:rPr>
                      <w:rFonts w:ascii="Arial"/>
                      <w:sz w:val="21"/>
                    </w:rPr>
                  </w:pPr>
                </w:p>
                <w:p w14:paraId="14353EDA">
                  <w:pPr>
                    <w:pStyle w:val="6"/>
                    <w:spacing w:before="65"/>
                    <w:ind w:left="135" w:right="125" w:firstLine="2"/>
                    <w:rPr>
                      <w:sz w:val="20"/>
                      <w:szCs w:val="20"/>
                    </w:rPr>
                  </w:pPr>
                  <w:r>
                    <w:rPr>
                      <w:spacing w:val="5"/>
                      <w:sz w:val="20"/>
                      <w:szCs w:val="20"/>
                    </w:rPr>
                    <w:t>强化要</w:t>
                  </w:r>
                  <w:r>
                    <w:rPr>
                      <w:sz w:val="20"/>
                      <w:szCs w:val="20"/>
                    </w:rPr>
                    <w:t xml:space="preserve"> </w:t>
                  </w:r>
                  <w:r>
                    <w:rPr>
                      <w:spacing w:val="6"/>
                      <w:sz w:val="20"/>
                      <w:szCs w:val="20"/>
                    </w:rPr>
                    <w:t>素保障</w:t>
                  </w:r>
                </w:p>
              </w:tc>
              <w:tc>
                <w:tcPr>
                  <w:tcW w:w="3484" w:type="dxa"/>
                  <w:vAlign w:val="top"/>
                </w:tcPr>
                <w:p w14:paraId="0630840F">
                  <w:pPr>
                    <w:spacing w:line="276" w:lineRule="auto"/>
                    <w:rPr>
                      <w:rFonts w:ascii="Arial"/>
                      <w:sz w:val="21"/>
                    </w:rPr>
                  </w:pPr>
                </w:p>
                <w:p w14:paraId="700397DB">
                  <w:pPr>
                    <w:pStyle w:val="6"/>
                    <w:spacing w:before="65" w:line="247" w:lineRule="auto"/>
                    <w:ind w:left="113" w:right="105"/>
                    <w:jc w:val="both"/>
                    <w:rPr>
                      <w:sz w:val="20"/>
                      <w:szCs w:val="20"/>
                    </w:rPr>
                  </w:pPr>
                  <w:r>
                    <w:rPr>
                      <w:spacing w:val="3"/>
                      <w:sz w:val="20"/>
                      <w:szCs w:val="20"/>
                    </w:rPr>
                    <w:t>保障用地用林指标。严格落实耕地保</w:t>
                  </w:r>
                  <w:r>
                    <w:rPr>
                      <w:spacing w:val="10"/>
                      <w:sz w:val="20"/>
                      <w:szCs w:val="20"/>
                    </w:rPr>
                    <w:t xml:space="preserve"> </w:t>
                  </w:r>
                  <w:r>
                    <w:rPr>
                      <w:spacing w:val="3"/>
                      <w:sz w:val="20"/>
                      <w:szCs w:val="20"/>
                    </w:rPr>
                    <w:t>护和节约集约用地的规定和要求，强</w:t>
                  </w:r>
                  <w:r>
                    <w:rPr>
                      <w:spacing w:val="11"/>
                      <w:sz w:val="20"/>
                      <w:szCs w:val="20"/>
                    </w:rPr>
                    <w:t xml:space="preserve"> </w:t>
                  </w:r>
                  <w:r>
                    <w:rPr>
                      <w:spacing w:val="3"/>
                      <w:sz w:val="20"/>
                      <w:szCs w:val="20"/>
                    </w:rPr>
                    <w:t>化前期选址踏勘论证，光伏复合项目</w:t>
                  </w:r>
                  <w:r>
                    <w:rPr>
                      <w:spacing w:val="8"/>
                      <w:sz w:val="20"/>
                      <w:szCs w:val="20"/>
                    </w:rPr>
                    <w:t xml:space="preserve"> </w:t>
                  </w:r>
                  <w:r>
                    <w:rPr>
                      <w:spacing w:val="3"/>
                      <w:sz w:val="20"/>
                      <w:szCs w:val="20"/>
                    </w:rPr>
                    <w:t>用地不得占用永久基本农田，尽量避</w:t>
                  </w:r>
                  <w:r>
                    <w:rPr>
                      <w:spacing w:val="10"/>
                      <w:sz w:val="20"/>
                      <w:szCs w:val="20"/>
                    </w:rPr>
                    <w:t xml:space="preserve"> </w:t>
                  </w:r>
                  <w:r>
                    <w:rPr>
                      <w:spacing w:val="3"/>
                      <w:sz w:val="20"/>
                      <w:szCs w:val="20"/>
                    </w:rPr>
                    <w:t>让长期稳定利用耕地，特别是坝区集</w:t>
                  </w:r>
                  <w:r>
                    <w:rPr>
                      <w:spacing w:val="8"/>
                      <w:sz w:val="20"/>
                      <w:szCs w:val="20"/>
                    </w:rPr>
                    <w:t xml:space="preserve"> </w:t>
                  </w:r>
                  <w:r>
                    <w:rPr>
                      <w:spacing w:val="7"/>
                      <w:sz w:val="20"/>
                      <w:szCs w:val="20"/>
                    </w:rPr>
                    <w:t>中连片优质耕地。</w:t>
                  </w:r>
                </w:p>
              </w:tc>
              <w:tc>
                <w:tcPr>
                  <w:tcW w:w="2792" w:type="dxa"/>
                  <w:vAlign w:val="top"/>
                </w:tcPr>
                <w:p w14:paraId="1169513D">
                  <w:pPr>
                    <w:spacing w:line="273" w:lineRule="auto"/>
                    <w:rPr>
                      <w:rFonts w:ascii="Arial"/>
                      <w:sz w:val="21"/>
                    </w:rPr>
                  </w:pPr>
                </w:p>
                <w:p w14:paraId="0ADD9A43">
                  <w:pPr>
                    <w:pStyle w:val="6"/>
                    <w:spacing w:before="65" w:line="247" w:lineRule="auto"/>
                    <w:ind w:left="141" w:right="132" w:firstLine="4"/>
                    <w:jc w:val="both"/>
                    <w:rPr>
                      <w:sz w:val="20"/>
                      <w:szCs w:val="20"/>
                    </w:rPr>
                  </w:pPr>
                  <w:r>
                    <w:rPr>
                      <w:spacing w:val="9"/>
                      <w:sz w:val="20"/>
                      <w:szCs w:val="20"/>
                    </w:rPr>
                    <w:t>项目用地现状为草地、乔木</w:t>
                  </w:r>
                  <w:r>
                    <w:rPr>
                      <w:sz w:val="20"/>
                      <w:szCs w:val="20"/>
                    </w:rPr>
                    <w:t xml:space="preserve"> </w:t>
                  </w:r>
                  <w:r>
                    <w:rPr>
                      <w:spacing w:val="9"/>
                      <w:sz w:val="20"/>
                      <w:szCs w:val="20"/>
                    </w:rPr>
                    <w:t>林地、设施农用地和裸岩石</w:t>
                  </w:r>
                  <w:r>
                    <w:rPr>
                      <w:spacing w:val="3"/>
                      <w:sz w:val="20"/>
                      <w:szCs w:val="20"/>
                    </w:rPr>
                    <w:t xml:space="preserve"> </w:t>
                  </w:r>
                  <w:r>
                    <w:rPr>
                      <w:spacing w:val="9"/>
                      <w:sz w:val="20"/>
                      <w:szCs w:val="20"/>
                    </w:rPr>
                    <w:t>砾地，项目拟用地未占用永</w:t>
                  </w:r>
                  <w:r>
                    <w:rPr>
                      <w:spacing w:val="1"/>
                      <w:sz w:val="20"/>
                      <w:szCs w:val="20"/>
                    </w:rPr>
                    <w:t xml:space="preserve"> </w:t>
                  </w:r>
                  <w:r>
                    <w:rPr>
                      <w:spacing w:val="9"/>
                      <w:sz w:val="20"/>
                      <w:szCs w:val="20"/>
                    </w:rPr>
                    <w:t>久基本农田，不占用长期稳</w:t>
                  </w:r>
                  <w:r>
                    <w:rPr>
                      <w:spacing w:val="3"/>
                      <w:sz w:val="20"/>
                      <w:szCs w:val="20"/>
                    </w:rPr>
                    <w:t xml:space="preserve"> </w:t>
                  </w:r>
                  <w:r>
                    <w:rPr>
                      <w:spacing w:val="9"/>
                      <w:sz w:val="20"/>
                      <w:szCs w:val="20"/>
                    </w:rPr>
                    <w:t>定利用耕地或坝区集中连片</w:t>
                  </w:r>
                </w:p>
                <w:p w14:paraId="203D3E67">
                  <w:pPr>
                    <w:pStyle w:val="6"/>
                    <w:spacing w:before="25" w:line="227" w:lineRule="auto"/>
                    <w:ind w:left="878"/>
                    <w:rPr>
                      <w:sz w:val="20"/>
                      <w:szCs w:val="20"/>
                    </w:rPr>
                  </w:pPr>
                  <w:r>
                    <w:rPr>
                      <w:spacing w:val="6"/>
                      <w:sz w:val="20"/>
                      <w:szCs w:val="20"/>
                    </w:rPr>
                    <w:t>优质耕地。</w:t>
                  </w:r>
                </w:p>
              </w:tc>
              <w:tc>
                <w:tcPr>
                  <w:tcW w:w="681" w:type="dxa"/>
                  <w:vAlign w:val="top"/>
                </w:tcPr>
                <w:p w14:paraId="111C591A">
                  <w:pPr>
                    <w:spacing w:line="317" w:lineRule="auto"/>
                    <w:rPr>
                      <w:rFonts w:ascii="Arial"/>
                      <w:sz w:val="21"/>
                    </w:rPr>
                  </w:pPr>
                </w:p>
                <w:p w14:paraId="42ACC45A">
                  <w:pPr>
                    <w:spacing w:line="317" w:lineRule="auto"/>
                    <w:rPr>
                      <w:rFonts w:ascii="Arial"/>
                      <w:sz w:val="21"/>
                    </w:rPr>
                  </w:pPr>
                </w:p>
                <w:p w14:paraId="28F0EEED">
                  <w:pPr>
                    <w:spacing w:line="318" w:lineRule="auto"/>
                    <w:rPr>
                      <w:rFonts w:ascii="Arial"/>
                      <w:sz w:val="21"/>
                    </w:rPr>
                  </w:pPr>
                </w:p>
                <w:p w14:paraId="3037CFE3">
                  <w:pPr>
                    <w:pStyle w:val="6"/>
                    <w:spacing w:before="65" w:line="228" w:lineRule="auto"/>
                    <w:ind w:left="138"/>
                    <w:rPr>
                      <w:sz w:val="20"/>
                      <w:szCs w:val="20"/>
                    </w:rPr>
                  </w:pPr>
                  <w:r>
                    <w:rPr>
                      <w:spacing w:val="3"/>
                      <w:sz w:val="20"/>
                      <w:szCs w:val="20"/>
                    </w:rPr>
                    <w:t>符合</w:t>
                  </w:r>
                </w:p>
              </w:tc>
            </w:tr>
            <w:tr w14:paraId="1E4D8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4" w:hRule="atLeast"/>
              </w:trPr>
              <w:tc>
                <w:tcPr>
                  <w:tcW w:w="884" w:type="dxa"/>
                  <w:vMerge w:val="continue"/>
                  <w:tcBorders>
                    <w:top w:val="nil"/>
                  </w:tcBorders>
                  <w:vAlign w:val="top"/>
                </w:tcPr>
                <w:p w14:paraId="40D05028">
                  <w:pPr>
                    <w:rPr>
                      <w:rFonts w:ascii="Arial"/>
                      <w:sz w:val="21"/>
                    </w:rPr>
                  </w:pPr>
                </w:p>
              </w:tc>
              <w:tc>
                <w:tcPr>
                  <w:tcW w:w="3484" w:type="dxa"/>
                  <w:vAlign w:val="top"/>
                </w:tcPr>
                <w:p w14:paraId="269A569D">
                  <w:pPr>
                    <w:pStyle w:val="6"/>
                    <w:spacing w:before="90" w:line="249" w:lineRule="auto"/>
                    <w:ind w:left="111" w:right="20" w:firstLine="2"/>
                    <w:rPr>
                      <w:sz w:val="20"/>
                      <w:szCs w:val="20"/>
                    </w:rPr>
                  </w:pPr>
                  <w:r>
                    <w:rPr>
                      <w:spacing w:val="3"/>
                      <w:sz w:val="20"/>
                      <w:szCs w:val="20"/>
                    </w:rPr>
                    <w:t>落实用地用林支持。对符合我省光伏</w:t>
                  </w:r>
                  <w:r>
                    <w:rPr>
                      <w:spacing w:val="5"/>
                      <w:sz w:val="20"/>
                      <w:szCs w:val="20"/>
                    </w:rPr>
                    <w:t xml:space="preserve">  </w:t>
                  </w:r>
                  <w:r>
                    <w:rPr>
                      <w:spacing w:val="9"/>
                      <w:sz w:val="20"/>
                      <w:szCs w:val="20"/>
                    </w:rPr>
                    <w:t>复合项目建设要求和认定标准的项</w:t>
                  </w:r>
                  <w:r>
                    <w:rPr>
                      <w:spacing w:val="1"/>
                      <w:sz w:val="20"/>
                      <w:szCs w:val="20"/>
                    </w:rPr>
                    <w:t xml:space="preserve">   </w:t>
                  </w:r>
                  <w:r>
                    <w:rPr>
                      <w:spacing w:val="5"/>
                      <w:sz w:val="20"/>
                      <w:szCs w:val="20"/>
                    </w:rPr>
                    <w:t>目，利用</w:t>
                  </w:r>
                  <w:r>
                    <w:rPr>
                      <w:rFonts w:ascii="Times New Roman" w:hAnsi="Times New Roman" w:eastAsia="Times New Roman" w:cs="Times New Roman"/>
                      <w:spacing w:val="5"/>
                      <w:sz w:val="20"/>
                      <w:szCs w:val="20"/>
                    </w:rPr>
                    <w:t xml:space="preserve">25 </w:t>
                  </w:r>
                  <w:r>
                    <w:rPr>
                      <w:spacing w:val="5"/>
                      <w:sz w:val="20"/>
                      <w:szCs w:val="20"/>
                    </w:rPr>
                    <w:t xml:space="preserve">度以上耕地（水田除外） </w:t>
                  </w:r>
                  <w:r>
                    <w:rPr>
                      <w:spacing w:val="3"/>
                      <w:sz w:val="20"/>
                      <w:szCs w:val="20"/>
                    </w:rPr>
                    <w:t>或其他农用地布设的光伏阵列，在不</w:t>
                  </w:r>
                  <w:r>
                    <w:rPr>
                      <w:spacing w:val="5"/>
                      <w:sz w:val="20"/>
                      <w:szCs w:val="20"/>
                    </w:rPr>
                    <w:t xml:space="preserve">  </w:t>
                  </w:r>
                  <w:r>
                    <w:rPr>
                      <w:spacing w:val="9"/>
                      <w:sz w:val="20"/>
                      <w:szCs w:val="20"/>
                    </w:rPr>
                    <w:t>破坏耕地耕作层及农用地生产条件</w:t>
                  </w:r>
                  <w:r>
                    <w:rPr>
                      <w:spacing w:val="1"/>
                      <w:sz w:val="20"/>
                      <w:szCs w:val="20"/>
                    </w:rPr>
                    <w:t xml:space="preserve">   </w:t>
                  </w:r>
                  <w:r>
                    <w:rPr>
                      <w:spacing w:val="3"/>
                      <w:sz w:val="20"/>
                      <w:szCs w:val="20"/>
                    </w:rPr>
                    <w:t>和不改变原用地性质的条件下，允许</w:t>
                  </w:r>
                  <w:r>
                    <w:rPr>
                      <w:spacing w:val="5"/>
                      <w:sz w:val="20"/>
                      <w:szCs w:val="20"/>
                    </w:rPr>
                    <w:t xml:space="preserve">  </w:t>
                  </w:r>
                  <w:r>
                    <w:rPr>
                      <w:spacing w:val="3"/>
                      <w:sz w:val="20"/>
                      <w:szCs w:val="20"/>
                    </w:rPr>
                    <w:t>以租赁等方式使用；采用直埋电缆方</w:t>
                  </w:r>
                  <w:r>
                    <w:rPr>
                      <w:spacing w:val="6"/>
                      <w:sz w:val="20"/>
                      <w:szCs w:val="20"/>
                    </w:rPr>
                    <w:t xml:space="preserve">  </w:t>
                  </w:r>
                  <w:r>
                    <w:rPr>
                      <w:spacing w:val="3"/>
                      <w:sz w:val="20"/>
                      <w:szCs w:val="20"/>
                    </w:rPr>
                    <w:t>式敷设集电线路的用地，实行与光伏</w:t>
                  </w:r>
                  <w:r>
                    <w:rPr>
                      <w:spacing w:val="6"/>
                      <w:sz w:val="20"/>
                      <w:szCs w:val="20"/>
                    </w:rPr>
                    <w:t xml:space="preserve">  </w:t>
                  </w:r>
                  <w:r>
                    <w:rPr>
                      <w:spacing w:val="3"/>
                      <w:sz w:val="20"/>
                      <w:szCs w:val="20"/>
                    </w:rPr>
                    <w:t>阵列用地同样的管理方式；场内道路</w:t>
                  </w:r>
                  <w:r>
                    <w:rPr>
                      <w:spacing w:val="5"/>
                      <w:sz w:val="20"/>
                      <w:szCs w:val="20"/>
                    </w:rPr>
                    <w:t xml:space="preserve">  </w:t>
                  </w:r>
                  <w:r>
                    <w:rPr>
                      <w:spacing w:val="8"/>
                      <w:sz w:val="20"/>
                      <w:szCs w:val="20"/>
                    </w:rPr>
                    <w:t>用地可按照农村道路用地管理。</w:t>
                  </w:r>
                </w:p>
              </w:tc>
              <w:tc>
                <w:tcPr>
                  <w:tcW w:w="2792" w:type="dxa"/>
                  <w:vAlign w:val="top"/>
                </w:tcPr>
                <w:p w14:paraId="6D139D24">
                  <w:pPr>
                    <w:pStyle w:val="6"/>
                    <w:spacing w:before="226" w:line="227" w:lineRule="auto"/>
                    <w:ind w:left="145"/>
                    <w:rPr>
                      <w:sz w:val="20"/>
                      <w:szCs w:val="20"/>
                    </w:rPr>
                  </w:pPr>
                  <w:r>
                    <w:rPr>
                      <w:spacing w:val="9"/>
                      <w:sz w:val="20"/>
                      <w:szCs w:val="20"/>
                    </w:rPr>
                    <w:t>项目光伏阵列用地现状为草</w:t>
                  </w:r>
                </w:p>
                <w:p w14:paraId="57F83E78">
                  <w:pPr>
                    <w:pStyle w:val="6"/>
                    <w:spacing w:before="25" w:line="228" w:lineRule="auto"/>
                    <w:ind w:left="142"/>
                    <w:rPr>
                      <w:sz w:val="20"/>
                      <w:szCs w:val="20"/>
                    </w:rPr>
                  </w:pPr>
                  <w:r>
                    <w:rPr>
                      <w:spacing w:val="9"/>
                      <w:sz w:val="20"/>
                      <w:szCs w:val="20"/>
                    </w:rPr>
                    <w:t>地、设施农用地和裸岩石砾</w:t>
                  </w:r>
                </w:p>
                <w:p w14:paraId="2DC2ABBD">
                  <w:pPr>
                    <w:pStyle w:val="6"/>
                    <w:spacing w:before="26" w:line="227" w:lineRule="auto"/>
                    <w:ind w:left="113"/>
                    <w:rPr>
                      <w:sz w:val="20"/>
                      <w:szCs w:val="20"/>
                    </w:rPr>
                  </w:pPr>
                  <w:r>
                    <w:rPr>
                      <w:spacing w:val="-5"/>
                      <w:sz w:val="20"/>
                      <w:szCs w:val="20"/>
                    </w:rPr>
                    <w:t>地，不占用</w:t>
                  </w:r>
                  <w:r>
                    <w:rPr>
                      <w:rFonts w:ascii="Times New Roman" w:hAnsi="Times New Roman" w:eastAsia="Times New Roman" w:cs="Times New Roman"/>
                      <w:spacing w:val="-5"/>
                      <w:sz w:val="20"/>
                      <w:szCs w:val="20"/>
                    </w:rPr>
                    <w:t>25</w:t>
                  </w:r>
                  <w:r>
                    <w:rPr>
                      <w:rFonts w:ascii="Times New Roman" w:hAnsi="Times New Roman" w:eastAsia="Times New Roman" w:cs="Times New Roman"/>
                      <w:spacing w:val="-12"/>
                      <w:sz w:val="20"/>
                      <w:szCs w:val="20"/>
                    </w:rPr>
                    <w:t xml:space="preserve"> </w:t>
                  </w:r>
                  <w:r>
                    <w:rPr>
                      <w:spacing w:val="-5"/>
                      <w:sz w:val="20"/>
                      <w:szCs w:val="20"/>
                    </w:rPr>
                    <w:t>度以上耕地（水</w:t>
                  </w:r>
                </w:p>
                <w:p w14:paraId="52D26E3F">
                  <w:pPr>
                    <w:pStyle w:val="6"/>
                    <w:spacing w:before="24" w:line="228" w:lineRule="auto"/>
                    <w:ind w:left="167"/>
                    <w:rPr>
                      <w:sz w:val="20"/>
                      <w:szCs w:val="20"/>
                    </w:rPr>
                  </w:pPr>
                  <w:r>
                    <w:rPr>
                      <w:spacing w:val="7"/>
                      <w:sz w:val="20"/>
                      <w:szCs w:val="20"/>
                    </w:rPr>
                    <w:t>田除外）或其他农用地。项</w:t>
                  </w:r>
                </w:p>
                <w:p w14:paraId="4879D854">
                  <w:pPr>
                    <w:pStyle w:val="6"/>
                    <w:spacing w:before="26" w:line="228" w:lineRule="auto"/>
                    <w:ind w:left="287"/>
                    <w:rPr>
                      <w:sz w:val="20"/>
                      <w:szCs w:val="20"/>
                    </w:rPr>
                  </w:pPr>
                  <w:r>
                    <w:rPr>
                      <w:spacing w:val="5"/>
                      <w:sz w:val="20"/>
                      <w:szCs w:val="20"/>
                    </w:rPr>
                    <w:t>目集电线路用地类型为草</w:t>
                  </w:r>
                </w:p>
                <w:p w14:paraId="7F9E9308">
                  <w:pPr>
                    <w:pStyle w:val="6"/>
                    <w:spacing w:before="25" w:line="227" w:lineRule="auto"/>
                    <w:ind w:left="142"/>
                    <w:rPr>
                      <w:sz w:val="20"/>
                      <w:szCs w:val="20"/>
                    </w:rPr>
                  </w:pPr>
                  <w:r>
                    <w:rPr>
                      <w:spacing w:val="9"/>
                      <w:sz w:val="20"/>
                      <w:szCs w:val="20"/>
                    </w:rPr>
                    <w:t>地、林地采用直埋敷实行与</w:t>
                  </w:r>
                </w:p>
                <w:p w14:paraId="5AF31658">
                  <w:pPr>
                    <w:pStyle w:val="6"/>
                    <w:spacing w:before="28" w:line="227" w:lineRule="auto"/>
                    <w:ind w:left="143"/>
                    <w:rPr>
                      <w:sz w:val="20"/>
                      <w:szCs w:val="20"/>
                    </w:rPr>
                  </w:pPr>
                  <w:r>
                    <w:rPr>
                      <w:spacing w:val="8"/>
                      <w:sz w:val="20"/>
                      <w:szCs w:val="20"/>
                    </w:rPr>
                    <w:t>光伏阵列用地同样的管理方</w:t>
                  </w:r>
                </w:p>
                <w:p w14:paraId="7F6552AE">
                  <w:pPr>
                    <w:pStyle w:val="6"/>
                    <w:spacing w:before="25" w:line="228" w:lineRule="auto"/>
                    <w:ind w:left="146"/>
                    <w:rPr>
                      <w:sz w:val="20"/>
                      <w:szCs w:val="20"/>
                    </w:rPr>
                  </w:pPr>
                  <w:r>
                    <w:rPr>
                      <w:spacing w:val="8"/>
                      <w:sz w:val="20"/>
                      <w:szCs w:val="20"/>
                    </w:rPr>
                    <w:t>式；场内道路用地可按照农</w:t>
                  </w:r>
                </w:p>
                <w:p w14:paraId="0ED34A8E">
                  <w:pPr>
                    <w:pStyle w:val="6"/>
                    <w:spacing w:before="24" w:line="227" w:lineRule="auto"/>
                    <w:ind w:left="459"/>
                    <w:rPr>
                      <w:sz w:val="20"/>
                      <w:szCs w:val="20"/>
                    </w:rPr>
                  </w:pPr>
                  <w:r>
                    <w:rPr>
                      <w:spacing w:val="6"/>
                      <w:sz w:val="20"/>
                      <w:szCs w:val="20"/>
                    </w:rPr>
                    <w:t>村道路用地管理。。</w:t>
                  </w:r>
                </w:p>
              </w:tc>
              <w:tc>
                <w:tcPr>
                  <w:tcW w:w="681" w:type="dxa"/>
                  <w:vAlign w:val="top"/>
                </w:tcPr>
                <w:p w14:paraId="3A026BD3">
                  <w:pPr>
                    <w:spacing w:line="248" w:lineRule="auto"/>
                    <w:rPr>
                      <w:rFonts w:ascii="Arial"/>
                      <w:sz w:val="21"/>
                    </w:rPr>
                  </w:pPr>
                </w:p>
                <w:p w14:paraId="3EA6E3F6">
                  <w:pPr>
                    <w:spacing w:line="248" w:lineRule="auto"/>
                    <w:rPr>
                      <w:rFonts w:ascii="Arial"/>
                      <w:sz w:val="21"/>
                    </w:rPr>
                  </w:pPr>
                </w:p>
                <w:p w14:paraId="5F824959">
                  <w:pPr>
                    <w:spacing w:line="249" w:lineRule="auto"/>
                    <w:rPr>
                      <w:rFonts w:ascii="Arial"/>
                      <w:sz w:val="21"/>
                    </w:rPr>
                  </w:pPr>
                </w:p>
                <w:p w14:paraId="420E4B34">
                  <w:pPr>
                    <w:spacing w:line="249" w:lineRule="auto"/>
                    <w:rPr>
                      <w:rFonts w:ascii="Arial"/>
                      <w:sz w:val="21"/>
                    </w:rPr>
                  </w:pPr>
                </w:p>
                <w:p w14:paraId="4BD099CB">
                  <w:pPr>
                    <w:spacing w:line="249" w:lineRule="auto"/>
                    <w:rPr>
                      <w:rFonts w:ascii="Arial"/>
                      <w:sz w:val="21"/>
                    </w:rPr>
                  </w:pPr>
                </w:p>
                <w:p w14:paraId="5BD8BD18">
                  <w:pPr>
                    <w:pStyle w:val="6"/>
                    <w:spacing w:before="65" w:line="228" w:lineRule="auto"/>
                    <w:ind w:left="138"/>
                    <w:rPr>
                      <w:sz w:val="20"/>
                      <w:szCs w:val="20"/>
                    </w:rPr>
                  </w:pPr>
                  <w:r>
                    <w:rPr>
                      <w:spacing w:val="3"/>
                      <w:sz w:val="20"/>
                      <w:szCs w:val="20"/>
                    </w:rPr>
                    <w:t>符合</w:t>
                  </w:r>
                </w:p>
              </w:tc>
            </w:tr>
          </w:tbl>
          <w:p w14:paraId="4F76473C">
            <w:pPr>
              <w:pStyle w:val="6"/>
              <w:spacing w:before="35" w:line="345" w:lineRule="auto"/>
              <w:ind w:left="110" w:right="103" w:firstLine="508"/>
            </w:pPr>
            <w:r>
              <w:rPr>
                <w:spacing w:val="-4"/>
              </w:rPr>
              <w:t>由上表可知，本项目与《关于加快光伏发电发展若干政策措施》中有关</w:t>
            </w:r>
            <w:r>
              <w:rPr>
                <w:spacing w:val="12"/>
              </w:rPr>
              <w:t xml:space="preserve"> </w:t>
            </w:r>
            <w:r>
              <w:rPr>
                <w:spacing w:val="-3"/>
              </w:rPr>
              <w:t>要求相符。</w:t>
            </w:r>
          </w:p>
          <w:p w14:paraId="4C93CBBD">
            <w:pPr>
              <w:pStyle w:val="6"/>
              <w:spacing w:before="36" w:line="345" w:lineRule="auto"/>
              <w:ind w:left="110" w:right="103" w:firstLine="485"/>
            </w:pPr>
            <w:r>
              <w:rPr>
                <w:rFonts w:ascii="Times New Roman" w:hAnsi="Times New Roman" w:eastAsia="Times New Roman" w:cs="Times New Roman"/>
                <w:b/>
                <w:bCs/>
                <w:spacing w:val="2"/>
              </w:rPr>
              <w:t>16</w:t>
            </w:r>
            <w:r>
              <w:rPr>
                <w:rFonts w:ascii="Times New Roman" w:hAnsi="Times New Roman" w:eastAsia="Times New Roman" w:cs="Times New Roman"/>
                <w:b/>
                <w:bCs/>
                <w:spacing w:val="-29"/>
              </w:rPr>
              <w:t xml:space="preserve"> </w:t>
            </w:r>
            <w:r>
              <w:rPr>
                <w:b/>
                <w:bCs/>
                <w:spacing w:val="2"/>
              </w:rPr>
              <w:t>、与云南省自然资源厅《云南省产业用</w:t>
            </w:r>
            <w:r>
              <w:rPr>
                <w:b/>
                <w:bCs/>
                <w:spacing w:val="1"/>
              </w:rPr>
              <w:t>地政策实施工作指引（</w:t>
            </w:r>
            <w:r>
              <w:rPr>
                <w:rFonts w:ascii="Times New Roman" w:hAnsi="Times New Roman" w:eastAsia="Times New Roman" w:cs="Times New Roman"/>
                <w:b/>
                <w:bCs/>
                <w:spacing w:val="1"/>
              </w:rPr>
              <w:t>2022</w:t>
            </w:r>
            <w:r>
              <w:rPr>
                <w:rFonts w:ascii="Times New Roman" w:hAnsi="Times New Roman" w:eastAsia="Times New Roman" w:cs="Times New Roman"/>
                <w:b/>
                <w:bCs/>
              </w:rPr>
              <w:t xml:space="preserve">  </w:t>
            </w:r>
            <w:r>
              <w:rPr>
                <w:b/>
                <w:bCs/>
                <w:spacing w:val="-2"/>
              </w:rPr>
              <w:t>年版）》（云自然资利用〔</w:t>
            </w:r>
            <w:r>
              <w:rPr>
                <w:rFonts w:ascii="Times New Roman" w:hAnsi="Times New Roman" w:eastAsia="Times New Roman" w:cs="Times New Roman"/>
                <w:b/>
                <w:bCs/>
                <w:spacing w:val="-2"/>
              </w:rPr>
              <w:t>2022</w:t>
            </w:r>
            <w:r>
              <w:rPr>
                <w:b/>
                <w:bCs/>
                <w:spacing w:val="-2"/>
              </w:rPr>
              <w:t>〕</w:t>
            </w:r>
            <w:r>
              <w:rPr>
                <w:rFonts w:ascii="Times New Roman" w:hAnsi="Times New Roman" w:eastAsia="Times New Roman" w:cs="Times New Roman"/>
                <w:b/>
                <w:bCs/>
                <w:spacing w:val="-2"/>
              </w:rPr>
              <w:t>525</w:t>
            </w:r>
            <w:r>
              <w:rPr>
                <w:b/>
                <w:bCs/>
                <w:spacing w:val="-2"/>
              </w:rPr>
              <w:t>号）符合性分析</w:t>
            </w:r>
          </w:p>
          <w:p w14:paraId="63D98AA4">
            <w:pPr>
              <w:pStyle w:val="6"/>
              <w:spacing w:before="37" w:line="352" w:lineRule="auto"/>
              <w:ind w:left="110" w:right="103" w:firstLine="479"/>
              <w:jc w:val="both"/>
            </w:pPr>
            <w:r>
              <w:rPr>
                <w:spacing w:val="-3"/>
              </w:rPr>
              <w:t>根据《云南省产业用地政策实施工作指引（</w:t>
            </w:r>
            <w:r>
              <w:rPr>
                <w:rFonts w:ascii="Times New Roman" w:hAnsi="Times New Roman" w:eastAsia="Times New Roman" w:cs="Times New Roman"/>
                <w:spacing w:val="-3"/>
              </w:rPr>
              <w:t>2022</w:t>
            </w:r>
            <w:r>
              <w:rPr>
                <w:spacing w:val="-3"/>
              </w:rPr>
              <w:t>年版）》（云自然资利</w:t>
            </w:r>
            <w:r>
              <w:rPr>
                <w:spacing w:val="16"/>
              </w:rPr>
              <w:t xml:space="preserve"> </w:t>
            </w:r>
            <w:r>
              <w:t>用〔</w:t>
            </w:r>
            <w:r>
              <w:rPr>
                <w:rFonts w:ascii="Times New Roman" w:hAnsi="Times New Roman" w:eastAsia="Times New Roman" w:cs="Times New Roman"/>
              </w:rPr>
              <w:t>2022</w:t>
            </w:r>
            <w:r>
              <w:t>〕</w:t>
            </w:r>
            <w:r>
              <w:rPr>
                <w:rFonts w:ascii="Times New Roman" w:hAnsi="Times New Roman" w:eastAsia="Times New Roman" w:cs="Times New Roman"/>
              </w:rPr>
              <w:t>525</w:t>
            </w:r>
            <w:r>
              <w:t>号）中有关光伏发电产业用地政</w:t>
            </w:r>
            <w:r>
              <w:rPr>
                <w:spacing w:val="-1"/>
              </w:rPr>
              <w:t>策。本项目属于符合条件的</w:t>
            </w:r>
            <w:r>
              <w:t xml:space="preserve"> </w:t>
            </w:r>
            <w:r>
              <w:rPr>
                <w:spacing w:val="-6"/>
              </w:rPr>
              <w:t>利用农用地复合建设的光伏发电项目（以下简称光伏复合项目</w:t>
            </w:r>
            <w:r>
              <w:rPr>
                <w:spacing w:val="-61"/>
                <w:w w:val="98"/>
              </w:rPr>
              <w:t>），</w:t>
            </w:r>
            <w:r>
              <w:rPr>
                <w:spacing w:val="-6"/>
              </w:rPr>
              <w:t>项目与《云</w:t>
            </w:r>
            <w:r>
              <w:t xml:space="preserve"> 南省产业用地政策实施工作指引（</w:t>
            </w:r>
            <w:r>
              <w:rPr>
                <w:rFonts w:ascii="Times New Roman" w:hAnsi="Times New Roman" w:eastAsia="Times New Roman" w:cs="Times New Roman"/>
              </w:rPr>
              <w:t>2022</w:t>
            </w:r>
            <w:r>
              <w:t>年</w:t>
            </w:r>
            <w:r>
              <w:rPr>
                <w:spacing w:val="-1"/>
              </w:rPr>
              <w:t>版）》符合性分析见表</w:t>
            </w:r>
            <w:r>
              <w:rPr>
                <w:rFonts w:ascii="Times New Roman" w:hAnsi="Times New Roman" w:eastAsia="Times New Roman" w:cs="Times New Roman"/>
                <w:spacing w:val="-1"/>
              </w:rPr>
              <w:t>1-14</w:t>
            </w:r>
            <w:r>
              <w:rPr>
                <w:spacing w:val="-1"/>
              </w:rPr>
              <w:t>。</w:t>
            </w:r>
          </w:p>
        </w:tc>
      </w:tr>
    </w:tbl>
    <w:p w14:paraId="6DA54027">
      <w:pPr>
        <w:rPr>
          <w:rFonts w:ascii="Arial"/>
          <w:sz w:val="21"/>
        </w:rPr>
      </w:pPr>
    </w:p>
    <w:p w14:paraId="7EA3AEAA">
      <w:pPr>
        <w:rPr>
          <w:rFonts w:ascii="Arial" w:hAnsi="Arial" w:eastAsia="Arial" w:cs="Arial"/>
          <w:sz w:val="21"/>
          <w:szCs w:val="21"/>
        </w:rPr>
        <w:sectPr>
          <w:footerReference r:id="rId37" w:type="default"/>
          <w:pgSz w:w="11906" w:h="16839"/>
          <w:pgMar w:top="1431" w:right="1407" w:bottom="1278" w:left="1407" w:header="0" w:footer="1116" w:gutter="0"/>
          <w:cols w:space="720" w:num="1"/>
        </w:sectPr>
      </w:pPr>
    </w:p>
    <w:p w14:paraId="3057C4E6">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18790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03" w:hRule="atLeast"/>
        </w:trPr>
        <w:tc>
          <w:tcPr>
            <w:tcW w:w="1014" w:type="dxa"/>
            <w:tcBorders>
              <w:right w:val="single" w:color="000000" w:sz="2" w:space="0"/>
            </w:tcBorders>
            <w:vAlign w:val="top"/>
          </w:tcPr>
          <w:p w14:paraId="447A0972">
            <w:pPr>
              <w:rPr>
                <w:rFonts w:ascii="Arial"/>
                <w:sz w:val="21"/>
              </w:rPr>
            </w:pPr>
          </w:p>
        </w:tc>
        <w:tc>
          <w:tcPr>
            <w:tcW w:w="8062" w:type="dxa"/>
            <w:tcBorders>
              <w:left w:val="single" w:color="000000" w:sz="2" w:space="0"/>
            </w:tcBorders>
            <w:vAlign w:val="top"/>
          </w:tcPr>
          <w:p w14:paraId="6D58A46F">
            <w:pPr>
              <w:pStyle w:val="6"/>
              <w:spacing w:before="41" w:line="223" w:lineRule="auto"/>
              <w:ind w:left="1415"/>
              <w:rPr>
                <w:sz w:val="20"/>
                <w:szCs w:val="20"/>
              </w:rPr>
            </w:pPr>
            <w:r>
              <w:rPr>
                <w:b/>
                <w:bCs/>
                <w:spacing w:val="6"/>
                <w:sz w:val="20"/>
                <w:szCs w:val="20"/>
              </w:rPr>
              <w:t>表</w:t>
            </w:r>
            <w:r>
              <w:rPr>
                <w:spacing w:val="-31"/>
                <w:sz w:val="20"/>
                <w:szCs w:val="20"/>
              </w:rPr>
              <w:t xml:space="preserve"> </w:t>
            </w:r>
            <w:r>
              <w:rPr>
                <w:rFonts w:ascii="Times New Roman" w:hAnsi="Times New Roman" w:eastAsia="Times New Roman" w:cs="Times New Roman"/>
                <w:b/>
                <w:bCs/>
                <w:spacing w:val="6"/>
                <w:sz w:val="20"/>
                <w:szCs w:val="20"/>
              </w:rPr>
              <w:t xml:space="preserve">1-14    </w:t>
            </w:r>
            <w:r>
              <w:rPr>
                <w:b/>
                <w:bCs/>
                <w:spacing w:val="6"/>
                <w:sz w:val="20"/>
                <w:szCs w:val="20"/>
              </w:rPr>
              <w:t>项目与云自然资利用〔</w:t>
            </w:r>
            <w:r>
              <w:rPr>
                <w:rFonts w:ascii="Times New Roman" w:hAnsi="Times New Roman" w:eastAsia="Times New Roman" w:cs="Times New Roman"/>
                <w:b/>
                <w:bCs/>
                <w:spacing w:val="6"/>
                <w:sz w:val="20"/>
                <w:szCs w:val="20"/>
              </w:rPr>
              <w:t>2022</w:t>
            </w:r>
            <w:r>
              <w:rPr>
                <w:b/>
                <w:bCs/>
                <w:spacing w:val="6"/>
                <w:sz w:val="20"/>
                <w:szCs w:val="20"/>
              </w:rPr>
              <w:t>〕</w:t>
            </w:r>
            <w:r>
              <w:rPr>
                <w:rFonts w:ascii="Times New Roman" w:hAnsi="Times New Roman" w:eastAsia="Times New Roman" w:cs="Times New Roman"/>
                <w:b/>
                <w:bCs/>
                <w:spacing w:val="6"/>
                <w:sz w:val="20"/>
                <w:szCs w:val="20"/>
              </w:rPr>
              <w:t>5</w:t>
            </w:r>
            <w:r>
              <w:rPr>
                <w:rFonts w:ascii="Times New Roman" w:hAnsi="Times New Roman" w:eastAsia="Times New Roman" w:cs="Times New Roman"/>
                <w:b/>
                <w:bCs/>
                <w:spacing w:val="5"/>
                <w:sz w:val="20"/>
                <w:szCs w:val="20"/>
              </w:rPr>
              <w:t xml:space="preserve">25 </w:t>
            </w:r>
            <w:r>
              <w:rPr>
                <w:b/>
                <w:bCs/>
                <w:spacing w:val="5"/>
                <w:sz w:val="20"/>
                <w:szCs w:val="20"/>
              </w:rPr>
              <w:t>号符合性分析</w:t>
            </w:r>
          </w:p>
          <w:tbl>
            <w:tblPr>
              <w:tblStyle w:val="5"/>
              <w:tblW w:w="7842"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62"/>
              <w:gridCol w:w="3332"/>
              <w:gridCol w:w="948"/>
            </w:tblGrid>
            <w:tr w14:paraId="23FA5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3562" w:type="dxa"/>
                  <w:vAlign w:val="top"/>
                </w:tcPr>
                <w:p w14:paraId="12793499">
                  <w:pPr>
                    <w:pStyle w:val="6"/>
                    <w:spacing w:before="36" w:line="218" w:lineRule="auto"/>
                    <w:ind w:left="949"/>
                    <w:rPr>
                      <w:sz w:val="20"/>
                      <w:szCs w:val="20"/>
                    </w:rPr>
                  </w:pPr>
                  <w:r>
                    <w:rPr>
                      <w:b/>
                      <w:bCs/>
                      <w:spacing w:val="6"/>
                      <w:sz w:val="20"/>
                      <w:szCs w:val="20"/>
                    </w:rPr>
                    <w:t>《工作指引》要求</w:t>
                  </w:r>
                </w:p>
              </w:tc>
              <w:tc>
                <w:tcPr>
                  <w:tcW w:w="3332" w:type="dxa"/>
                  <w:vAlign w:val="top"/>
                </w:tcPr>
                <w:p w14:paraId="6FA2AEA8">
                  <w:pPr>
                    <w:pStyle w:val="6"/>
                    <w:spacing w:before="36" w:line="218" w:lineRule="auto"/>
                    <w:ind w:left="1145"/>
                    <w:rPr>
                      <w:sz w:val="20"/>
                      <w:szCs w:val="20"/>
                    </w:rPr>
                  </w:pPr>
                  <w:r>
                    <w:rPr>
                      <w:b/>
                      <w:bCs/>
                      <w:spacing w:val="6"/>
                      <w:sz w:val="20"/>
                      <w:szCs w:val="20"/>
                    </w:rPr>
                    <w:t>本项目情况</w:t>
                  </w:r>
                </w:p>
              </w:tc>
              <w:tc>
                <w:tcPr>
                  <w:tcW w:w="948" w:type="dxa"/>
                  <w:vAlign w:val="top"/>
                </w:tcPr>
                <w:p w14:paraId="17D71CBE">
                  <w:pPr>
                    <w:pStyle w:val="6"/>
                    <w:spacing w:before="36" w:line="218" w:lineRule="auto"/>
                    <w:ind w:left="166"/>
                    <w:rPr>
                      <w:sz w:val="20"/>
                      <w:szCs w:val="20"/>
                    </w:rPr>
                  </w:pPr>
                  <w:r>
                    <w:rPr>
                      <w:b/>
                      <w:bCs/>
                      <w:spacing w:val="5"/>
                      <w:sz w:val="20"/>
                      <w:szCs w:val="20"/>
                    </w:rPr>
                    <w:t>符合性</w:t>
                  </w:r>
                </w:p>
              </w:tc>
            </w:tr>
            <w:tr w14:paraId="28D7C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5" w:hRule="atLeast"/>
              </w:trPr>
              <w:tc>
                <w:tcPr>
                  <w:tcW w:w="3562" w:type="dxa"/>
                  <w:vAlign w:val="top"/>
                </w:tcPr>
                <w:p w14:paraId="33A5A225">
                  <w:pPr>
                    <w:spacing w:line="258" w:lineRule="auto"/>
                    <w:rPr>
                      <w:rFonts w:ascii="Arial"/>
                      <w:sz w:val="21"/>
                    </w:rPr>
                  </w:pPr>
                </w:p>
                <w:p w14:paraId="3A1843CF">
                  <w:pPr>
                    <w:spacing w:line="259" w:lineRule="auto"/>
                    <w:rPr>
                      <w:rFonts w:ascii="Arial"/>
                      <w:sz w:val="21"/>
                    </w:rPr>
                  </w:pPr>
                </w:p>
                <w:p w14:paraId="7E141081">
                  <w:pPr>
                    <w:spacing w:line="259" w:lineRule="auto"/>
                    <w:rPr>
                      <w:rFonts w:ascii="Arial"/>
                      <w:sz w:val="21"/>
                    </w:rPr>
                  </w:pPr>
                </w:p>
                <w:p w14:paraId="51525B1E">
                  <w:pPr>
                    <w:pStyle w:val="6"/>
                    <w:spacing w:before="65" w:line="248" w:lineRule="auto"/>
                    <w:ind w:left="114" w:right="106" w:firstLine="1"/>
                    <w:jc w:val="both"/>
                    <w:rPr>
                      <w:sz w:val="20"/>
                      <w:szCs w:val="20"/>
                    </w:rPr>
                  </w:pPr>
                  <w:r>
                    <w:rPr>
                      <w:spacing w:val="7"/>
                      <w:sz w:val="20"/>
                      <w:szCs w:val="20"/>
                    </w:rPr>
                    <w:t>架设在</w:t>
                  </w:r>
                  <w:r>
                    <w:rPr>
                      <w:rFonts w:ascii="Times New Roman" w:hAnsi="Times New Roman" w:eastAsia="Times New Roman" w:cs="Times New Roman"/>
                      <w:spacing w:val="7"/>
                      <w:sz w:val="20"/>
                      <w:szCs w:val="20"/>
                    </w:rPr>
                    <w:t>25</w:t>
                  </w:r>
                  <w:r>
                    <w:rPr>
                      <w:spacing w:val="7"/>
                      <w:sz w:val="20"/>
                      <w:szCs w:val="20"/>
                    </w:rPr>
                    <w:t>度以上耕地（水田除外）或</w:t>
                  </w:r>
                  <w:r>
                    <w:rPr>
                      <w:spacing w:val="14"/>
                      <w:sz w:val="20"/>
                      <w:szCs w:val="20"/>
                    </w:rPr>
                    <w:t xml:space="preserve"> </w:t>
                  </w:r>
                  <w:r>
                    <w:rPr>
                      <w:spacing w:val="8"/>
                      <w:sz w:val="20"/>
                      <w:szCs w:val="20"/>
                    </w:rPr>
                    <w:t>其他农用地上的光伏阵列用地，满足</w:t>
                  </w:r>
                  <w:r>
                    <w:rPr>
                      <w:spacing w:val="4"/>
                      <w:sz w:val="20"/>
                      <w:szCs w:val="20"/>
                    </w:rPr>
                    <w:t xml:space="preserve"> 光伏组件最低沿高于地面</w:t>
                  </w:r>
                  <w:r>
                    <w:rPr>
                      <w:rFonts w:ascii="Times New Roman" w:hAnsi="Times New Roman" w:eastAsia="Times New Roman" w:cs="Times New Roman"/>
                      <w:spacing w:val="4"/>
                      <w:sz w:val="20"/>
                      <w:szCs w:val="20"/>
                    </w:rPr>
                    <w:t>2.5</w:t>
                  </w:r>
                  <w:r>
                    <w:rPr>
                      <w:spacing w:val="4"/>
                      <w:sz w:val="20"/>
                      <w:szCs w:val="20"/>
                    </w:rPr>
                    <w:t>米、高于</w:t>
                  </w:r>
                  <w:r>
                    <w:rPr>
                      <w:spacing w:val="10"/>
                      <w:sz w:val="20"/>
                      <w:szCs w:val="20"/>
                    </w:rPr>
                    <w:t xml:space="preserve"> </w:t>
                  </w:r>
                  <w:r>
                    <w:rPr>
                      <w:spacing w:val="9"/>
                      <w:sz w:val="20"/>
                      <w:szCs w:val="20"/>
                    </w:rPr>
                    <w:t>最高水位</w:t>
                  </w:r>
                  <w:r>
                    <w:rPr>
                      <w:rFonts w:ascii="Times New Roman" w:hAnsi="Times New Roman" w:eastAsia="Times New Roman" w:cs="Times New Roman"/>
                      <w:spacing w:val="9"/>
                      <w:sz w:val="20"/>
                      <w:szCs w:val="20"/>
                    </w:rPr>
                    <w:t>0.6</w:t>
                  </w:r>
                  <w:r>
                    <w:rPr>
                      <w:spacing w:val="9"/>
                      <w:sz w:val="20"/>
                      <w:szCs w:val="20"/>
                    </w:rPr>
                    <w:t>米，桩基间列间距大于</w:t>
                  </w:r>
                  <w:r>
                    <w:rPr>
                      <w:rFonts w:ascii="Times New Roman" w:hAnsi="Times New Roman" w:eastAsia="Times New Roman" w:cs="Times New Roman"/>
                      <w:spacing w:val="9"/>
                      <w:sz w:val="20"/>
                      <w:szCs w:val="20"/>
                    </w:rPr>
                    <w:t>4</w:t>
                  </w:r>
                  <w:r>
                    <w:rPr>
                      <w:rFonts w:ascii="Times New Roman" w:hAnsi="Times New Roman" w:eastAsia="Times New Roman" w:cs="Times New Roman"/>
                      <w:spacing w:val="4"/>
                      <w:sz w:val="20"/>
                      <w:szCs w:val="20"/>
                    </w:rPr>
                    <w:t xml:space="preserve"> </w:t>
                  </w:r>
                  <w:r>
                    <w:rPr>
                      <w:spacing w:val="4"/>
                      <w:sz w:val="20"/>
                      <w:szCs w:val="20"/>
                    </w:rPr>
                    <w:t>米，行间距大于</w:t>
                  </w:r>
                  <w:r>
                    <w:rPr>
                      <w:rFonts w:ascii="Times New Roman" w:hAnsi="Times New Roman" w:eastAsia="Times New Roman" w:cs="Times New Roman"/>
                      <w:spacing w:val="4"/>
                      <w:sz w:val="20"/>
                      <w:szCs w:val="20"/>
                    </w:rPr>
                    <w:t>6.5</w:t>
                  </w:r>
                  <w:r>
                    <w:rPr>
                      <w:spacing w:val="4"/>
                      <w:sz w:val="20"/>
                      <w:szCs w:val="20"/>
                    </w:rPr>
                    <w:t>米的架设要求，在</w:t>
                  </w:r>
                  <w:r>
                    <w:rPr>
                      <w:spacing w:val="13"/>
                      <w:sz w:val="20"/>
                      <w:szCs w:val="20"/>
                    </w:rPr>
                    <w:t xml:space="preserve"> </w:t>
                  </w:r>
                  <w:r>
                    <w:rPr>
                      <w:spacing w:val="15"/>
                      <w:sz w:val="20"/>
                      <w:szCs w:val="20"/>
                    </w:rPr>
                    <w:t>不破坏耕地耕作层及农用地生产条</w:t>
                  </w:r>
                  <w:r>
                    <w:rPr>
                      <w:spacing w:val="5"/>
                      <w:sz w:val="20"/>
                      <w:szCs w:val="20"/>
                    </w:rPr>
                    <w:t xml:space="preserve">  </w:t>
                  </w:r>
                  <w:r>
                    <w:rPr>
                      <w:spacing w:val="8"/>
                      <w:sz w:val="20"/>
                      <w:szCs w:val="20"/>
                    </w:rPr>
                    <w:t>件和不改变原用地性质的条件下，允</w:t>
                  </w:r>
                </w:p>
                <w:p w14:paraId="2E809F96">
                  <w:pPr>
                    <w:pStyle w:val="6"/>
                    <w:spacing w:before="24" w:line="228" w:lineRule="auto"/>
                    <w:ind w:left="738"/>
                    <w:rPr>
                      <w:sz w:val="20"/>
                      <w:szCs w:val="20"/>
                    </w:rPr>
                  </w:pPr>
                  <w:r>
                    <w:rPr>
                      <w:spacing w:val="7"/>
                      <w:sz w:val="20"/>
                      <w:szCs w:val="20"/>
                    </w:rPr>
                    <w:t>许以租赁等方式使用。</w:t>
                  </w:r>
                </w:p>
              </w:tc>
              <w:tc>
                <w:tcPr>
                  <w:tcW w:w="3332" w:type="dxa"/>
                  <w:vAlign w:val="top"/>
                </w:tcPr>
                <w:p w14:paraId="37B41254">
                  <w:pPr>
                    <w:pStyle w:val="6"/>
                    <w:spacing w:before="30" w:line="243" w:lineRule="auto"/>
                    <w:ind w:left="112" w:right="104" w:firstLine="89"/>
                    <w:jc w:val="both"/>
                    <w:rPr>
                      <w:sz w:val="20"/>
                      <w:szCs w:val="20"/>
                    </w:rPr>
                  </w:pPr>
                  <w:r>
                    <w:rPr>
                      <w:spacing w:val="9"/>
                      <w:sz w:val="20"/>
                      <w:szCs w:val="20"/>
                    </w:rPr>
                    <w:t>本项目光伏阵列用地不占用耕地</w:t>
                  </w:r>
                  <w:r>
                    <w:rPr>
                      <w:sz w:val="20"/>
                      <w:szCs w:val="20"/>
                    </w:rPr>
                    <w:t xml:space="preserve">  </w:t>
                  </w:r>
                  <w:r>
                    <w:rPr>
                      <w:spacing w:val="7"/>
                      <w:sz w:val="20"/>
                      <w:szCs w:val="20"/>
                    </w:rPr>
                    <w:t>和水田；主要占用草地、设施农用</w:t>
                  </w:r>
                  <w:r>
                    <w:rPr>
                      <w:spacing w:val="3"/>
                      <w:sz w:val="20"/>
                      <w:szCs w:val="20"/>
                    </w:rPr>
                    <w:t xml:space="preserve"> </w:t>
                  </w:r>
                  <w:r>
                    <w:rPr>
                      <w:spacing w:val="7"/>
                      <w:sz w:val="20"/>
                      <w:szCs w:val="20"/>
                    </w:rPr>
                    <w:t>地、裸岩石砾地不破坏耕地耕作层</w:t>
                  </w:r>
                </w:p>
                <w:p w14:paraId="3ED8E136">
                  <w:pPr>
                    <w:pStyle w:val="6"/>
                    <w:spacing w:before="28" w:line="239" w:lineRule="auto"/>
                    <w:ind w:left="1252" w:right="195" w:hanging="1052"/>
                    <w:rPr>
                      <w:sz w:val="20"/>
                      <w:szCs w:val="20"/>
                    </w:rPr>
                  </w:pPr>
                  <w:r>
                    <w:rPr>
                      <w:spacing w:val="9"/>
                      <w:sz w:val="20"/>
                      <w:szCs w:val="20"/>
                    </w:rPr>
                    <w:t>及农用地生产条件和不改变原用</w:t>
                  </w:r>
                  <w:r>
                    <w:rPr>
                      <w:spacing w:val="3"/>
                      <w:sz w:val="20"/>
                      <w:szCs w:val="20"/>
                    </w:rPr>
                    <w:t xml:space="preserve"> </w:t>
                  </w:r>
                  <w:r>
                    <w:rPr>
                      <w:spacing w:val="5"/>
                      <w:sz w:val="20"/>
                      <w:szCs w:val="20"/>
                    </w:rPr>
                    <w:t>地性质。</w:t>
                  </w:r>
                </w:p>
                <w:p w14:paraId="2B5665BD">
                  <w:pPr>
                    <w:pStyle w:val="6"/>
                    <w:spacing w:before="21" w:line="249" w:lineRule="auto"/>
                    <w:ind w:left="112" w:right="38" w:firstLine="39"/>
                    <w:jc w:val="both"/>
                    <w:rPr>
                      <w:sz w:val="20"/>
                      <w:szCs w:val="20"/>
                    </w:rPr>
                  </w:pPr>
                  <w:r>
                    <w:rPr>
                      <w:spacing w:val="6"/>
                      <w:sz w:val="20"/>
                      <w:szCs w:val="20"/>
                    </w:rPr>
                    <w:t>项目根据《自然资源部办公厅</w:t>
                  </w:r>
                  <w:r>
                    <w:rPr>
                      <w:spacing w:val="49"/>
                      <w:sz w:val="20"/>
                      <w:szCs w:val="20"/>
                    </w:rPr>
                    <w:t xml:space="preserve"> </w:t>
                  </w:r>
                  <w:r>
                    <w:rPr>
                      <w:spacing w:val="6"/>
                      <w:sz w:val="20"/>
                      <w:szCs w:val="20"/>
                    </w:rPr>
                    <w:t>国</w:t>
                  </w:r>
                  <w:r>
                    <w:rPr>
                      <w:sz w:val="20"/>
                      <w:szCs w:val="20"/>
                    </w:rPr>
                    <w:t xml:space="preserve">  </w:t>
                  </w:r>
                  <w:r>
                    <w:rPr>
                      <w:spacing w:val="9"/>
                      <w:sz w:val="20"/>
                      <w:szCs w:val="20"/>
                    </w:rPr>
                    <w:t>家林业和草原局办公室</w:t>
                  </w:r>
                  <w:r>
                    <w:rPr>
                      <w:spacing w:val="44"/>
                      <w:sz w:val="20"/>
                      <w:szCs w:val="20"/>
                    </w:rPr>
                    <w:t xml:space="preserve"> </w:t>
                  </w:r>
                  <w:r>
                    <w:rPr>
                      <w:spacing w:val="9"/>
                      <w:sz w:val="20"/>
                      <w:szCs w:val="20"/>
                    </w:rPr>
                    <w:t>国家能源</w:t>
                  </w:r>
                  <w:r>
                    <w:rPr>
                      <w:sz w:val="20"/>
                      <w:szCs w:val="20"/>
                    </w:rPr>
                    <w:t xml:space="preserve">  </w:t>
                  </w:r>
                  <w:r>
                    <w:rPr>
                      <w:spacing w:val="15"/>
                      <w:sz w:val="20"/>
                      <w:szCs w:val="20"/>
                    </w:rPr>
                    <w:t>局综合司关于支持光伏发电产业</w:t>
                  </w:r>
                  <w:r>
                    <w:rPr>
                      <w:spacing w:val="3"/>
                      <w:sz w:val="20"/>
                      <w:szCs w:val="20"/>
                    </w:rPr>
                    <w:t xml:space="preserve">  </w:t>
                  </w:r>
                  <w:r>
                    <w:rPr>
                      <w:spacing w:val="15"/>
                      <w:sz w:val="20"/>
                      <w:szCs w:val="20"/>
                    </w:rPr>
                    <w:t>发展规范用地管理有关工作的通</w:t>
                  </w:r>
                  <w:r>
                    <w:rPr>
                      <w:spacing w:val="3"/>
                      <w:sz w:val="20"/>
                      <w:szCs w:val="20"/>
                    </w:rPr>
                    <w:t xml:space="preserve">  </w:t>
                  </w:r>
                  <w:r>
                    <w:rPr>
                      <w:spacing w:val="6"/>
                      <w:sz w:val="20"/>
                      <w:szCs w:val="20"/>
                    </w:rPr>
                    <w:t>知》（自然资办发〔</w:t>
                  </w:r>
                  <w:r>
                    <w:rPr>
                      <w:rFonts w:ascii="Times New Roman" w:hAnsi="Times New Roman" w:eastAsia="Times New Roman" w:cs="Times New Roman"/>
                      <w:spacing w:val="6"/>
                      <w:sz w:val="20"/>
                      <w:szCs w:val="20"/>
                    </w:rPr>
                    <w:t>2023</w:t>
                  </w:r>
                  <w:r>
                    <w:rPr>
                      <w:spacing w:val="6"/>
                      <w:sz w:val="20"/>
                      <w:szCs w:val="20"/>
                    </w:rPr>
                    <w:t>〕</w:t>
                  </w:r>
                  <w:r>
                    <w:rPr>
                      <w:rFonts w:ascii="Times New Roman" w:hAnsi="Times New Roman" w:eastAsia="Times New Roman" w:cs="Times New Roman"/>
                      <w:spacing w:val="6"/>
                      <w:sz w:val="20"/>
                      <w:szCs w:val="20"/>
                    </w:rPr>
                    <w:t>12</w:t>
                  </w:r>
                  <w:r>
                    <w:rPr>
                      <w:rFonts w:ascii="Times New Roman" w:hAnsi="Times New Roman" w:eastAsia="Times New Roman" w:cs="Times New Roman"/>
                      <w:spacing w:val="17"/>
                      <w:sz w:val="20"/>
                      <w:szCs w:val="20"/>
                    </w:rPr>
                    <w:t xml:space="preserve"> </w:t>
                  </w:r>
                  <w:r>
                    <w:rPr>
                      <w:spacing w:val="6"/>
                      <w:sz w:val="20"/>
                      <w:szCs w:val="20"/>
                    </w:rPr>
                    <w:t>号）</w:t>
                  </w:r>
                  <w:r>
                    <w:rPr>
                      <w:sz w:val="20"/>
                      <w:szCs w:val="20"/>
                    </w:rPr>
                    <w:t xml:space="preserve"> </w:t>
                  </w:r>
                  <w:r>
                    <w:rPr>
                      <w:spacing w:val="7"/>
                      <w:sz w:val="20"/>
                      <w:szCs w:val="20"/>
                    </w:rPr>
                    <w:t>光伏支架最低点应高于灌木高度</w:t>
                  </w:r>
                  <w:r>
                    <w:rPr>
                      <w:spacing w:val="-17"/>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 xml:space="preserve">   </w:t>
                  </w:r>
                  <w:r>
                    <w:rPr>
                      <w:spacing w:val="7"/>
                      <w:sz w:val="20"/>
                      <w:szCs w:val="20"/>
                    </w:rPr>
                    <w:t>米以上，每列光伏板南北方向应合</w:t>
                  </w:r>
                  <w:r>
                    <w:rPr>
                      <w:spacing w:val="3"/>
                      <w:sz w:val="20"/>
                      <w:szCs w:val="20"/>
                    </w:rPr>
                    <w:t xml:space="preserve"> </w:t>
                  </w:r>
                  <w:r>
                    <w:rPr>
                      <w:spacing w:val="7"/>
                      <w:sz w:val="20"/>
                      <w:szCs w:val="20"/>
                    </w:rPr>
                    <w:t>理设置净间距，具体由各地结合实</w:t>
                  </w:r>
                </w:p>
                <w:p w14:paraId="0E54DB7F">
                  <w:pPr>
                    <w:pStyle w:val="6"/>
                    <w:spacing w:before="23" w:line="217" w:lineRule="auto"/>
                    <w:ind w:left="1041"/>
                    <w:rPr>
                      <w:sz w:val="20"/>
                      <w:szCs w:val="20"/>
                    </w:rPr>
                  </w:pPr>
                  <w:r>
                    <w:rPr>
                      <w:spacing w:val="6"/>
                      <w:sz w:val="20"/>
                      <w:szCs w:val="20"/>
                    </w:rPr>
                    <w:t>地进行建设。</w:t>
                  </w:r>
                </w:p>
              </w:tc>
              <w:tc>
                <w:tcPr>
                  <w:tcW w:w="948" w:type="dxa"/>
                  <w:vAlign w:val="top"/>
                </w:tcPr>
                <w:p w14:paraId="21BDF213">
                  <w:pPr>
                    <w:spacing w:line="246" w:lineRule="auto"/>
                    <w:rPr>
                      <w:rFonts w:ascii="Arial"/>
                      <w:sz w:val="21"/>
                    </w:rPr>
                  </w:pPr>
                </w:p>
                <w:p w14:paraId="320280DA">
                  <w:pPr>
                    <w:spacing w:line="246" w:lineRule="auto"/>
                    <w:rPr>
                      <w:rFonts w:ascii="Arial"/>
                      <w:sz w:val="21"/>
                    </w:rPr>
                  </w:pPr>
                </w:p>
                <w:p w14:paraId="1D836977">
                  <w:pPr>
                    <w:spacing w:line="246" w:lineRule="auto"/>
                    <w:rPr>
                      <w:rFonts w:ascii="Arial"/>
                      <w:sz w:val="21"/>
                    </w:rPr>
                  </w:pPr>
                </w:p>
                <w:p w14:paraId="72F2A22A">
                  <w:pPr>
                    <w:spacing w:line="246" w:lineRule="auto"/>
                    <w:rPr>
                      <w:rFonts w:ascii="Arial"/>
                      <w:sz w:val="21"/>
                    </w:rPr>
                  </w:pPr>
                </w:p>
                <w:p w14:paraId="76733317">
                  <w:pPr>
                    <w:spacing w:line="246" w:lineRule="auto"/>
                    <w:rPr>
                      <w:rFonts w:ascii="Arial"/>
                      <w:sz w:val="21"/>
                    </w:rPr>
                  </w:pPr>
                </w:p>
                <w:p w14:paraId="53A23A15">
                  <w:pPr>
                    <w:spacing w:line="246" w:lineRule="auto"/>
                    <w:rPr>
                      <w:rFonts w:ascii="Arial"/>
                      <w:sz w:val="21"/>
                    </w:rPr>
                  </w:pPr>
                </w:p>
                <w:p w14:paraId="467D6BF4">
                  <w:pPr>
                    <w:spacing w:line="246" w:lineRule="auto"/>
                    <w:rPr>
                      <w:rFonts w:ascii="Arial"/>
                      <w:sz w:val="21"/>
                    </w:rPr>
                  </w:pPr>
                </w:p>
                <w:p w14:paraId="548EF049">
                  <w:pPr>
                    <w:pStyle w:val="6"/>
                    <w:spacing w:before="65" w:line="228" w:lineRule="auto"/>
                    <w:ind w:left="272"/>
                    <w:rPr>
                      <w:sz w:val="20"/>
                      <w:szCs w:val="20"/>
                    </w:rPr>
                  </w:pPr>
                  <w:r>
                    <w:rPr>
                      <w:spacing w:val="3"/>
                      <w:sz w:val="20"/>
                      <w:szCs w:val="20"/>
                    </w:rPr>
                    <w:t>符合</w:t>
                  </w:r>
                </w:p>
              </w:tc>
            </w:tr>
            <w:tr w14:paraId="11D2E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3562" w:type="dxa"/>
                  <w:vAlign w:val="top"/>
                </w:tcPr>
                <w:p w14:paraId="2958F728">
                  <w:pPr>
                    <w:pStyle w:val="6"/>
                    <w:spacing w:before="303"/>
                    <w:ind w:left="528" w:right="108" w:hanging="400"/>
                    <w:rPr>
                      <w:sz w:val="20"/>
                      <w:szCs w:val="20"/>
                    </w:rPr>
                  </w:pPr>
                  <w:r>
                    <w:rPr>
                      <w:spacing w:val="7"/>
                      <w:sz w:val="20"/>
                      <w:szCs w:val="20"/>
                    </w:rPr>
                    <w:t xml:space="preserve">除桩基用地外，严禁硬化地面、破坏 </w:t>
                  </w:r>
                  <w:r>
                    <w:rPr>
                      <w:spacing w:val="8"/>
                      <w:sz w:val="20"/>
                      <w:szCs w:val="20"/>
                    </w:rPr>
                    <w:t>耕作层，严禁抛荒、撂荒。</w:t>
                  </w:r>
                </w:p>
              </w:tc>
              <w:tc>
                <w:tcPr>
                  <w:tcW w:w="3332" w:type="dxa"/>
                  <w:vAlign w:val="top"/>
                </w:tcPr>
                <w:p w14:paraId="1EA989AD">
                  <w:pPr>
                    <w:pStyle w:val="6"/>
                    <w:spacing w:before="33" w:line="243" w:lineRule="auto"/>
                    <w:ind w:left="112" w:right="104" w:firstLine="2"/>
                    <w:jc w:val="both"/>
                    <w:rPr>
                      <w:sz w:val="20"/>
                      <w:szCs w:val="20"/>
                    </w:rPr>
                  </w:pPr>
                  <w:r>
                    <w:rPr>
                      <w:spacing w:val="7"/>
                      <w:sz w:val="20"/>
                      <w:szCs w:val="20"/>
                    </w:rPr>
                    <w:t>光伏阵列区域除桩基用地外，不涉</w:t>
                  </w:r>
                  <w:r>
                    <w:rPr>
                      <w:spacing w:val="1"/>
                      <w:sz w:val="20"/>
                      <w:szCs w:val="20"/>
                    </w:rPr>
                    <w:t xml:space="preserve"> </w:t>
                  </w:r>
                  <w:r>
                    <w:rPr>
                      <w:spacing w:val="7"/>
                      <w:sz w:val="20"/>
                      <w:szCs w:val="20"/>
                    </w:rPr>
                    <w:t>及硬化地面，项目不占用耕地，在</w:t>
                  </w:r>
                  <w:r>
                    <w:rPr>
                      <w:spacing w:val="4"/>
                      <w:sz w:val="20"/>
                      <w:szCs w:val="20"/>
                    </w:rPr>
                    <w:t xml:space="preserve"> </w:t>
                  </w:r>
                  <w:r>
                    <w:rPr>
                      <w:spacing w:val="7"/>
                      <w:sz w:val="20"/>
                      <w:szCs w:val="20"/>
                    </w:rPr>
                    <w:t>施工结束将进行植被恢复，不会对</w:t>
                  </w:r>
                </w:p>
                <w:p w14:paraId="4B9D771E">
                  <w:pPr>
                    <w:pStyle w:val="6"/>
                    <w:spacing w:before="27" w:line="214" w:lineRule="auto"/>
                    <w:ind w:left="833"/>
                    <w:rPr>
                      <w:sz w:val="20"/>
                      <w:szCs w:val="20"/>
                    </w:rPr>
                  </w:pPr>
                  <w:r>
                    <w:rPr>
                      <w:spacing w:val="7"/>
                      <w:sz w:val="20"/>
                      <w:szCs w:val="20"/>
                    </w:rPr>
                    <w:t>土地抛荒、撂荒。</w:t>
                  </w:r>
                </w:p>
              </w:tc>
              <w:tc>
                <w:tcPr>
                  <w:tcW w:w="948" w:type="dxa"/>
                  <w:vAlign w:val="top"/>
                </w:tcPr>
                <w:p w14:paraId="68DAF04E">
                  <w:pPr>
                    <w:spacing w:line="373" w:lineRule="auto"/>
                    <w:rPr>
                      <w:rFonts w:ascii="Arial"/>
                      <w:sz w:val="21"/>
                    </w:rPr>
                  </w:pPr>
                </w:p>
                <w:p w14:paraId="231D52DA">
                  <w:pPr>
                    <w:pStyle w:val="6"/>
                    <w:spacing w:before="65" w:line="228" w:lineRule="auto"/>
                    <w:ind w:left="272"/>
                    <w:rPr>
                      <w:sz w:val="20"/>
                      <w:szCs w:val="20"/>
                    </w:rPr>
                  </w:pPr>
                  <w:r>
                    <w:rPr>
                      <w:spacing w:val="3"/>
                      <w:sz w:val="20"/>
                      <w:szCs w:val="20"/>
                    </w:rPr>
                    <w:t>符合</w:t>
                  </w:r>
                </w:p>
              </w:tc>
            </w:tr>
            <w:tr w14:paraId="446A5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3562" w:type="dxa"/>
                  <w:vAlign w:val="top"/>
                </w:tcPr>
                <w:p w14:paraId="54913183">
                  <w:pPr>
                    <w:pStyle w:val="6"/>
                    <w:spacing w:before="168" w:line="227" w:lineRule="auto"/>
                    <w:ind w:left="210"/>
                    <w:rPr>
                      <w:sz w:val="20"/>
                      <w:szCs w:val="20"/>
                    </w:rPr>
                  </w:pPr>
                  <w:r>
                    <w:rPr>
                      <w:spacing w:val="9"/>
                      <w:sz w:val="20"/>
                      <w:szCs w:val="20"/>
                    </w:rPr>
                    <w:t>采用直埋电缆方式敷设的集电线路</w:t>
                  </w:r>
                </w:p>
                <w:p w14:paraId="6A491FCD">
                  <w:pPr>
                    <w:pStyle w:val="6"/>
                    <w:spacing w:before="27" w:line="239" w:lineRule="auto"/>
                    <w:ind w:left="1174" w:right="108" w:hanging="1057"/>
                    <w:rPr>
                      <w:sz w:val="20"/>
                      <w:szCs w:val="20"/>
                    </w:rPr>
                  </w:pPr>
                  <w:r>
                    <w:rPr>
                      <w:spacing w:val="8"/>
                      <w:sz w:val="20"/>
                      <w:szCs w:val="20"/>
                    </w:rPr>
                    <w:t>用地，实行与项目光伏阵列用地同样</w:t>
                  </w:r>
                  <w:r>
                    <w:rPr>
                      <w:spacing w:val="2"/>
                      <w:sz w:val="20"/>
                      <w:szCs w:val="20"/>
                    </w:rPr>
                    <w:t xml:space="preserve"> </w:t>
                  </w:r>
                  <w:r>
                    <w:rPr>
                      <w:spacing w:val="3"/>
                      <w:sz w:val="20"/>
                      <w:szCs w:val="20"/>
                    </w:rPr>
                    <w:t>的管理方式。</w:t>
                  </w:r>
                </w:p>
              </w:tc>
              <w:tc>
                <w:tcPr>
                  <w:tcW w:w="3332" w:type="dxa"/>
                  <w:vAlign w:val="top"/>
                </w:tcPr>
                <w:p w14:paraId="5190FF14">
                  <w:pPr>
                    <w:pStyle w:val="6"/>
                    <w:spacing w:before="35" w:line="243" w:lineRule="auto"/>
                    <w:ind w:left="114" w:right="104" w:firstLine="63"/>
                    <w:jc w:val="both"/>
                    <w:rPr>
                      <w:sz w:val="20"/>
                      <w:szCs w:val="20"/>
                    </w:rPr>
                  </w:pPr>
                  <w:r>
                    <w:rPr>
                      <w:spacing w:val="9"/>
                      <w:sz w:val="20"/>
                      <w:szCs w:val="20"/>
                    </w:rPr>
                    <w:t>本项目</w:t>
                  </w:r>
                  <w:r>
                    <w:rPr>
                      <w:rFonts w:ascii="Times New Roman" w:hAnsi="Times New Roman" w:eastAsia="Times New Roman" w:cs="Times New Roman"/>
                      <w:spacing w:val="9"/>
                      <w:sz w:val="20"/>
                      <w:szCs w:val="20"/>
                    </w:rPr>
                    <w:t>35</w:t>
                  </w:r>
                  <w:r>
                    <w:rPr>
                      <w:rFonts w:ascii="Times New Roman" w:hAnsi="Times New Roman" w:eastAsia="Times New Roman" w:cs="Times New Roman"/>
                      <w:sz w:val="20"/>
                      <w:szCs w:val="20"/>
                    </w:rPr>
                    <w:t>kV</w:t>
                  </w:r>
                  <w:r>
                    <w:rPr>
                      <w:spacing w:val="9"/>
                      <w:sz w:val="20"/>
                      <w:szCs w:val="20"/>
                    </w:rPr>
                    <w:t>集电线路采用直埋电</w:t>
                  </w:r>
                  <w:r>
                    <w:rPr>
                      <w:spacing w:val="5"/>
                      <w:sz w:val="20"/>
                      <w:szCs w:val="20"/>
                    </w:rPr>
                    <w:t xml:space="preserve"> </w:t>
                  </w:r>
                  <w:r>
                    <w:rPr>
                      <w:spacing w:val="7"/>
                      <w:sz w:val="20"/>
                      <w:szCs w:val="20"/>
                    </w:rPr>
                    <w:t>缆方式敷设，集电线路用地实行与</w:t>
                  </w:r>
                  <w:r>
                    <w:rPr>
                      <w:spacing w:val="1"/>
                      <w:sz w:val="20"/>
                      <w:szCs w:val="20"/>
                    </w:rPr>
                    <w:t xml:space="preserve"> </w:t>
                  </w:r>
                  <w:r>
                    <w:rPr>
                      <w:spacing w:val="15"/>
                      <w:sz w:val="20"/>
                      <w:szCs w:val="20"/>
                    </w:rPr>
                    <w:t>项目光伏阵列用地同样的管理方</w:t>
                  </w:r>
                </w:p>
                <w:p w14:paraId="5274C7FA">
                  <w:pPr>
                    <w:pStyle w:val="6"/>
                    <w:spacing w:before="25" w:line="215" w:lineRule="auto"/>
                    <w:ind w:left="1465"/>
                    <w:rPr>
                      <w:sz w:val="20"/>
                      <w:szCs w:val="20"/>
                    </w:rPr>
                  </w:pPr>
                  <w:r>
                    <w:rPr>
                      <w:spacing w:val="-2"/>
                      <w:sz w:val="20"/>
                      <w:szCs w:val="20"/>
                    </w:rPr>
                    <w:t>式。</w:t>
                  </w:r>
                </w:p>
              </w:tc>
              <w:tc>
                <w:tcPr>
                  <w:tcW w:w="948" w:type="dxa"/>
                  <w:vAlign w:val="top"/>
                </w:tcPr>
                <w:p w14:paraId="3C5955B0">
                  <w:pPr>
                    <w:spacing w:line="374" w:lineRule="auto"/>
                    <w:rPr>
                      <w:rFonts w:ascii="Arial"/>
                      <w:sz w:val="21"/>
                    </w:rPr>
                  </w:pPr>
                </w:p>
                <w:p w14:paraId="627A055C">
                  <w:pPr>
                    <w:pStyle w:val="6"/>
                    <w:spacing w:before="65" w:line="228" w:lineRule="auto"/>
                    <w:ind w:left="272"/>
                    <w:rPr>
                      <w:sz w:val="20"/>
                      <w:szCs w:val="20"/>
                    </w:rPr>
                  </w:pPr>
                  <w:r>
                    <w:rPr>
                      <w:spacing w:val="3"/>
                      <w:sz w:val="20"/>
                      <w:szCs w:val="20"/>
                    </w:rPr>
                    <w:t>符合</w:t>
                  </w:r>
                </w:p>
              </w:tc>
            </w:tr>
            <w:tr w14:paraId="60434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562" w:type="dxa"/>
                  <w:vAlign w:val="top"/>
                </w:tcPr>
                <w:p w14:paraId="58651E6A">
                  <w:pPr>
                    <w:pStyle w:val="6"/>
                    <w:spacing w:before="35" w:line="233" w:lineRule="auto"/>
                    <w:ind w:left="1578" w:right="204" w:hanging="1368"/>
                    <w:rPr>
                      <w:sz w:val="20"/>
                      <w:szCs w:val="20"/>
                    </w:rPr>
                  </w:pPr>
                  <w:r>
                    <w:rPr>
                      <w:spacing w:val="9"/>
                      <w:sz w:val="20"/>
                      <w:szCs w:val="20"/>
                    </w:rPr>
                    <w:t>场内道路用地可按农村道路用地管</w:t>
                  </w:r>
                  <w:r>
                    <w:rPr>
                      <w:spacing w:val="5"/>
                      <w:sz w:val="20"/>
                      <w:szCs w:val="20"/>
                    </w:rPr>
                    <w:t xml:space="preserve"> </w:t>
                  </w:r>
                  <w:r>
                    <w:rPr>
                      <w:spacing w:val="-1"/>
                      <w:sz w:val="20"/>
                      <w:szCs w:val="20"/>
                    </w:rPr>
                    <w:t>理。</w:t>
                  </w:r>
                </w:p>
              </w:tc>
              <w:tc>
                <w:tcPr>
                  <w:tcW w:w="3332" w:type="dxa"/>
                  <w:vAlign w:val="top"/>
                </w:tcPr>
                <w:p w14:paraId="21BC1C15">
                  <w:pPr>
                    <w:pStyle w:val="6"/>
                    <w:spacing w:before="35" w:line="233" w:lineRule="auto"/>
                    <w:ind w:left="1042" w:right="195" w:hanging="842"/>
                    <w:rPr>
                      <w:sz w:val="20"/>
                      <w:szCs w:val="20"/>
                    </w:rPr>
                  </w:pPr>
                  <w:r>
                    <w:rPr>
                      <w:spacing w:val="9"/>
                      <w:sz w:val="20"/>
                      <w:szCs w:val="20"/>
                    </w:rPr>
                    <w:t>场区道路用地采用农村道路的要</w:t>
                  </w:r>
                  <w:r>
                    <w:rPr>
                      <w:spacing w:val="3"/>
                      <w:sz w:val="20"/>
                      <w:szCs w:val="20"/>
                    </w:rPr>
                    <w:t xml:space="preserve"> </w:t>
                  </w:r>
                  <w:r>
                    <w:rPr>
                      <w:spacing w:val="6"/>
                      <w:sz w:val="20"/>
                      <w:szCs w:val="20"/>
                    </w:rPr>
                    <w:t>求进行管理。</w:t>
                  </w:r>
                </w:p>
              </w:tc>
              <w:tc>
                <w:tcPr>
                  <w:tcW w:w="948" w:type="dxa"/>
                  <w:vAlign w:val="top"/>
                </w:tcPr>
                <w:p w14:paraId="5F38E889">
                  <w:pPr>
                    <w:pStyle w:val="6"/>
                    <w:spacing w:before="171" w:line="228" w:lineRule="auto"/>
                    <w:ind w:left="272"/>
                    <w:rPr>
                      <w:sz w:val="20"/>
                      <w:szCs w:val="20"/>
                    </w:rPr>
                  </w:pPr>
                  <w:r>
                    <w:rPr>
                      <w:spacing w:val="3"/>
                      <w:sz w:val="20"/>
                      <w:szCs w:val="20"/>
                    </w:rPr>
                    <w:t>符合</w:t>
                  </w:r>
                </w:p>
              </w:tc>
            </w:tr>
            <w:tr w14:paraId="3BE74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3562" w:type="dxa"/>
                  <w:vAlign w:val="top"/>
                </w:tcPr>
                <w:p w14:paraId="4DDC24FA">
                  <w:pPr>
                    <w:pStyle w:val="6"/>
                    <w:spacing w:before="34" w:line="228" w:lineRule="auto"/>
                    <w:ind w:left="115"/>
                    <w:rPr>
                      <w:sz w:val="20"/>
                      <w:szCs w:val="20"/>
                    </w:rPr>
                  </w:pPr>
                  <w:r>
                    <w:rPr>
                      <w:spacing w:val="8"/>
                      <w:sz w:val="20"/>
                      <w:szCs w:val="20"/>
                    </w:rPr>
                    <w:t>变电站、运行管理中心、集电线路杆</w:t>
                  </w:r>
                </w:p>
                <w:p w14:paraId="2EA68875">
                  <w:pPr>
                    <w:pStyle w:val="6"/>
                    <w:spacing w:before="27" w:line="234" w:lineRule="auto"/>
                    <w:ind w:left="1476" w:right="204" w:hanging="1265"/>
                    <w:rPr>
                      <w:sz w:val="20"/>
                      <w:szCs w:val="20"/>
                    </w:rPr>
                  </w:pPr>
                  <w:r>
                    <w:rPr>
                      <w:spacing w:val="9"/>
                      <w:sz w:val="20"/>
                      <w:szCs w:val="20"/>
                    </w:rPr>
                    <w:t>塔基础等其他设施用地按建设用地</w:t>
                  </w:r>
                  <w:r>
                    <w:rPr>
                      <w:spacing w:val="4"/>
                      <w:sz w:val="20"/>
                      <w:szCs w:val="20"/>
                    </w:rPr>
                    <w:t xml:space="preserve"> </w:t>
                  </w:r>
                  <w:r>
                    <w:rPr>
                      <w:spacing w:val="1"/>
                      <w:sz w:val="20"/>
                      <w:szCs w:val="20"/>
                    </w:rPr>
                    <w:t>管理。</w:t>
                  </w:r>
                </w:p>
              </w:tc>
              <w:tc>
                <w:tcPr>
                  <w:tcW w:w="3332" w:type="dxa"/>
                  <w:vAlign w:val="top"/>
                </w:tcPr>
                <w:p w14:paraId="07E39258">
                  <w:pPr>
                    <w:pStyle w:val="6"/>
                    <w:spacing w:before="34" w:line="227" w:lineRule="auto"/>
                    <w:ind w:left="202"/>
                    <w:rPr>
                      <w:sz w:val="20"/>
                      <w:szCs w:val="20"/>
                    </w:rPr>
                  </w:pPr>
                  <w:r>
                    <w:rPr>
                      <w:spacing w:val="8"/>
                      <w:sz w:val="20"/>
                      <w:szCs w:val="20"/>
                    </w:rPr>
                    <w:t>本项目变电站、运行管理中心、</w:t>
                  </w:r>
                </w:p>
                <w:p w14:paraId="4F4C2F0D">
                  <w:pPr>
                    <w:pStyle w:val="6"/>
                    <w:spacing w:before="28" w:line="234" w:lineRule="auto"/>
                    <w:ind w:left="834" w:right="171" w:hanging="656"/>
                    <w:rPr>
                      <w:sz w:val="20"/>
                      <w:szCs w:val="20"/>
                    </w:rPr>
                  </w:pPr>
                  <w:r>
                    <w:rPr>
                      <w:rFonts w:ascii="Times New Roman" w:hAnsi="Times New Roman" w:eastAsia="Times New Roman" w:cs="Times New Roman"/>
                      <w:spacing w:val="9"/>
                      <w:sz w:val="20"/>
                      <w:szCs w:val="20"/>
                    </w:rPr>
                    <w:t>35</w:t>
                  </w:r>
                  <w:r>
                    <w:rPr>
                      <w:rFonts w:ascii="Times New Roman" w:hAnsi="Times New Roman" w:eastAsia="Times New Roman" w:cs="Times New Roman"/>
                      <w:sz w:val="20"/>
                      <w:szCs w:val="20"/>
                    </w:rPr>
                    <w:t>kV</w:t>
                  </w:r>
                  <w:r>
                    <w:rPr>
                      <w:spacing w:val="9"/>
                      <w:sz w:val="20"/>
                      <w:szCs w:val="20"/>
                    </w:rPr>
                    <w:t>架空集电线路杆塔基础用地</w:t>
                  </w:r>
                  <w:r>
                    <w:rPr>
                      <w:spacing w:val="5"/>
                      <w:sz w:val="20"/>
                      <w:szCs w:val="20"/>
                    </w:rPr>
                    <w:t xml:space="preserve"> </w:t>
                  </w:r>
                  <w:r>
                    <w:rPr>
                      <w:spacing w:val="7"/>
                      <w:sz w:val="20"/>
                      <w:szCs w:val="20"/>
                    </w:rPr>
                    <w:t>按建设用地管理。</w:t>
                  </w:r>
                </w:p>
              </w:tc>
              <w:tc>
                <w:tcPr>
                  <w:tcW w:w="948" w:type="dxa"/>
                  <w:vAlign w:val="top"/>
                </w:tcPr>
                <w:p w14:paraId="3677BA22">
                  <w:pPr>
                    <w:spacing w:line="241" w:lineRule="auto"/>
                    <w:rPr>
                      <w:rFonts w:ascii="Arial"/>
                      <w:sz w:val="21"/>
                    </w:rPr>
                  </w:pPr>
                </w:p>
                <w:p w14:paraId="1A3F4770">
                  <w:pPr>
                    <w:pStyle w:val="6"/>
                    <w:spacing w:before="65" w:line="228" w:lineRule="auto"/>
                    <w:ind w:left="272"/>
                    <w:rPr>
                      <w:sz w:val="20"/>
                      <w:szCs w:val="20"/>
                    </w:rPr>
                  </w:pPr>
                  <w:r>
                    <w:rPr>
                      <w:spacing w:val="3"/>
                      <w:sz w:val="20"/>
                      <w:szCs w:val="20"/>
                    </w:rPr>
                    <w:t>符合</w:t>
                  </w:r>
                </w:p>
              </w:tc>
            </w:tr>
          </w:tbl>
          <w:p w14:paraId="20777486">
            <w:pPr>
              <w:pStyle w:val="6"/>
              <w:spacing w:before="35" w:line="345" w:lineRule="auto"/>
              <w:ind w:left="111" w:right="103" w:firstLine="478"/>
            </w:pPr>
            <w:r>
              <w:rPr>
                <w:spacing w:val="-3"/>
              </w:rPr>
              <w:t>根据上表分析结果，本项目符合云南省自然资源厅《云南省产业用地政</w:t>
            </w:r>
            <w:r>
              <w:rPr>
                <w:spacing w:val="10"/>
              </w:rPr>
              <w:t xml:space="preserve"> </w:t>
            </w:r>
            <w:r>
              <w:t>策实施工作指引（</w:t>
            </w:r>
            <w:r>
              <w:rPr>
                <w:rFonts w:ascii="Times New Roman" w:hAnsi="Times New Roman" w:eastAsia="Times New Roman" w:cs="Times New Roman"/>
              </w:rPr>
              <w:t>2022</w:t>
            </w:r>
            <w:r>
              <w:t>年版）》（云自然资利用〔</w:t>
            </w:r>
            <w:r>
              <w:rPr>
                <w:rFonts w:ascii="Times New Roman" w:hAnsi="Times New Roman" w:eastAsia="Times New Roman" w:cs="Times New Roman"/>
              </w:rPr>
              <w:t>2</w:t>
            </w:r>
            <w:r>
              <w:rPr>
                <w:rFonts w:ascii="Times New Roman" w:hAnsi="Times New Roman" w:eastAsia="Times New Roman" w:cs="Times New Roman"/>
                <w:spacing w:val="-1"/>
              </w:rPr>
              <w:t>022</w:t>
            </w:r>
            <w:r>
              <w:rPr>
                <w:spacing w:val="-1"/>
              </w:rPr>
              <w:t>〕</w:t>
            </w:r>
            <w:r>
              <w:rPr>
                <w:rFonts w:ascii="Times New Roman" w:hAnsi="Times New Roman" w:eastAsia="Times New Roman" w:cs="Times New Roman"/>
                <w:spacing w:val="-1"/>
              </w:rPr>
              <w:t>525</w:t>
            </w:r>
            <w:r>
              <w:rPr>
                <w:spacing w:val="-1"/>
              </w:rPr>
              <w:t>号）的要求。</w:t>
            </w:r>
          </w:p>
          <w:p w14:paraId="31D729FA">
            <w:pPr>
              <w:pStyle w:val="6"/>
              <w:spacing w:before="37" w:line="219" w:lineRule="auto"/>
              <w:ind w:left="596"/>
            </w:pPr>
            <w:r>
              <w:rPr>
                <w:rFonts w:ascii="Times New Roman" w:hAnsi="Times New Roman" w:eastAsia="Times New Roman" w:cs="Times New Roman"/>
                <w:b/>
                <w:bCs/>
                <w:spacing w:val="-4"/>
              </w:rPr>
              <w:t>17</w:t>
            </w:r>
            <w:r>
              <w:rPr>
                <w:rFonts w:ascii="Times New Roman" w:hAnsi="Times New Roman" w:eastAsia="Times New Roman" w:cs="Times New Roman"/>
                <w:b/>
                <w:bCs/>
                <w:spacing w:val="-24"/>
              </w:rPr>
              <w:t xml:space="preserve"> </w:t>
            </w:r>
            <w:r>
              <w:rPr>
                <w:b/>
                <w:bCs/>
                <w:spacing w:val="-4"/>
              </w:rPr>
              <w:t>、与《国家级公益林管理办法》符合性分析</w:t>
            </w:r>
          </w:p>
          <w:p w14:paraId="4BC29550">
            <w:pPr>
              <w:pStyle w:val="6"/>
              <w:spacing w:before="181" w:line="351" w:lineRule="auto"/>
              <w:ind w:left="111" w:right="103" w:firstLine="473"/>
              <w:jc w:val="both"/>
            </w:pPr>
            <w:r>
              <w:rPr>
                <w:rFonts w:ascii="Times New Roman" w:hAnsi="Times New Roman" w:eastAsia="Times New Roman" w:cs="Times New Roman"/>
                <w:spacing w:val="-8"/>
              </w:rPr>
              <w:t xml:space="preserve">2017 </w:t>
            </w:r>
            <w:r>
              <w:rPr>
                <w:spacing w:val="-8"/>
              </w:rPr>
              <w:t>年</w:t>
            </w:r>
            <w:r>
              <w:rPr>
                <w:spacing w:val="-48"/>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5"/>
              </w:rPr>
              <w:t xml:space="preserve"> </w:t>
            </w:r>
            <w:r>
              <w:rPr>
                <w:spacing w:val="-8"/>
              </w:rPr>
              <w:t>月</w:t>
            </w:r>
            <w:r>
              <w:rPr>
                <w:spacing w:val="-46"/>
              </w:rPr>
              <w:t xml:space="preserve"> </w:t>
            </w:r>
            <w:r>
              <w:rPr>
                <w:rFonts w:ascii="Times New Roman" w:hAnsi="Times New Roman" w:eastAsia="Times New Roman" w:cs="Times New Roman"/>
                <w:spacing w:val="-8"/>
              </w:rPr>
              <w:t xml:space="preserve">8  </w:t>
            </w:r>
            <w:r>
              <w:rPr>
                <w:spacing w:val="-8"/>
              </w:rPr>
              <w:t>日，国家林业局、财政部以林资发〔</w:t>
            </w:r>
            <w:r>
              <w:rPr>
                <w:rFonts w:ascii="Times New Roman" w:hAnsi="Times New Roman" w:eastAsia="Times New Roman" w:cs="Times New Roman"/>
                <w:spacing w:val="-8"/>
              </w:rPr>
              <w:t>2017</w:t>
            </w:r>
            <w:r>
              <w:rPr>
                <w:spacing w:val="-8"/>
              </w:rPr>
              <w:t>〕</w:t>
            </w:r>
            <w:r>
              <w:rPr>
                <w:rFonts w:ascii="Times New Roman" w:hAnsi="Times New Roman" w:eastAsia="Times New Roman" w:cs="Times New Roman"/>
                <w:spacing w:val="-8"/>
              </w:rPr>
              <w:t>34</w:t>
            </w:r>
            <w:r>
              <w:rPr>
                <w:rFonts w:ascii="Times New Roman" w:hAnsi="Times New Roman" w:eastAsia="Times New Roman" w:cs="Times New Roman"/>
                <w:spacing w:val="15"/>
                <w:w w:val="101"/>
              </w:rPr>
              <w:t xml:space="preserve"> </w:t>
            </w:r>
            <w:r>
              <w:rPr>
                <w:spacing w:val="-8"/>
              </w:rPr>
              <w:t>号印</w:t>
            </w:r>
            <w:r>
              <w:rPr>
                <w:spacing w:val="-9"/>
              </w:rPr>
              <w:t>发《国</w:t>
            </w:r>
            <w:r>
              <w:t xml:space="preserve"> </w:t>
            </w:r>
            <w:r>
              <w:rPr>
                <w:spacing w:val="-2"/>
              </w:rPr>
              <w:t>家级公益林管理办法》，有效期至</w:t>
            </w:r>
            <w:r>
              <w:rPr>
                <w:spacing w:val="-55"/>
              </w:rPr>
              <w:t xml:space="preserve"> </w:t>
            </w:r>
            <w:r>
              <w:rPr>
                <w:rFonts w:ascii="Times New Roman" w:hAnsi="Times New Roman" w:eastAsia="Times New Roman" w:cs="Times New Roman"/>
                <w:spacing w:val="-2"/>
              </w:rPr>
              <w:t xml:space="preserve">2025 </w:t>
            </w:r>
            <w:r>
              <w:rPr>
                <w:spacing w:val="-2"/>
              </w:rPr>
              <w:t>年</w:t>
            </w:r>
            <w:r>
              <w:rPr>
                <w:spacing w:val="-29"/>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15"/>
              </w:rPr>
              <w:t xml:space="preserve"> </w:t>
            </w:r>
            <w:r>
              <w:rPr>
                <w:spacing w:val="-2"/>
              </w:rPr>
              <w:t>月</w:t>
            </w:r>
            <w:r>
              <w:rPr>
                <w:spacing w:val="-48"/>
              </w:rPr>
              <w:t xml:space="preserve"> </w:t>
            </w:r>
            <w:r>
              <w:rPr>
                <w:rFonts w:ascii="Times New Roman" w:hAnsi="Times New Roman" w:eastAsia="Times New Roman" w:cs="Times New Roman"/>
                <w:spacing w:val="-2"/>
              </w:rPr>
              <w:t>31</w:t>
            </w:r>
            <w:r>
              <w:rPr>
                <w:rFonts w:ascii="Times New Roman" w:hAnsi="Times New Roman" w:eastAsia="Times New Roman" w:cs="Times New Roman"/>
                <w:spacing w:val="-3"/>
              </w:rPr>
              <w:t xml:space="preserve">  </w:t>
            </w:r>
            <w:r>
              <w:rPr>
                <w:spacing w:val="-3"/>
              </w:rPr>
              <w:t>日。《国家级公益林管</w:t>
            </w:r>
            <w:r>
              <w:t xml:space="preserve"> </w:t>
            </w:r>
            <w:r>
              <w:rPr>
                <w:spacing w:val="-2"/>
              </w:rPr>
              <w:t>理办法》规定如下：</w:t>
            </w:r>
          </w:p>
          <w:p w14:paraId="779F2596">
            <w:pPr>
              <w:pStyle w:val="6"/>
              <w:spacing w:before="33" w:line="312" w:lineRule="auto"/>
              <w:ind w:left="109" w:right="103" w:firstLine="479"/>
            </w:pPr>
            <w:r>
              <w:rPr>
                <w:spacing w:val="-3"/>
              </w:rPr>
              <w:t>①严格控制勘查、开采矿藏和工程建设使用国家级公益林地。确需使用</w:t>
            </w:r>
            <w:r>
              <w:rPr>
                <w:spacing w:val="11"/>
              </w:rPr>
              <w:t xml:space="preserve"> </w:t>
            </w:r>
            <w:r>
              <w:rPr>
                <w:spacing w:val="-3"/>
              </w:rPr>
              <w:t>的，严格按照《建设项目使用林地审核审批管理办法》有关规定办理使用林</w:t>
            </w:r>
            <w:r>
              <w:rPr>
                <w:spacing w:val="16"/>
              </w:rPr>
              <w:t xml:space="preserve"> </w:t>
            </w:r>
            <w:r>
              <w:rPr>
                <w:spacing w:val="-1"/>
              </w:rPr>
              <w:t>地手续。涉及林木采伐的，按相关规定依法办理林木采伐手续。</w:t>
            </w:r>
          </w:p>
          <w:p w14:paraId="5AF80D91">
            <w:pPr>
              <w:pStyle w:val="6"/>
              <w:spacing w:before="185" w:line="312" w:lineRule="auto"/>
              <w:ind w:left="110" w:right="101" w:firstLine="477"/>
            </w:pPr>
            <w:r>
              <w:rPr>
                <w:spacing w:val="-3"/>
              </w:rPr>
              <w:t>②经审核审批同意使用的国家级公益林地，可按照本办法第十八条、第</w:t>
            </w:r>
            <w:r>
              <w:rPr>
                <w:spacing w:val="12"/>
              </w:rPr>
              <w:t xml:space="preserve"> </w:t>
            </w:r>
            <w:r>
              <w:rPr>
                <w:spacing w:val="-3"/>
              </w:rPr>
              <w:t>十九条的规定实行占补平衡，并按本办法第二十三条“省级林业主管部门应</w:t>
            </w:r>
            <w:r>
              <w:rPr>
                <w:spacing w:val="15"/>
              </w:rPr>
              <w:t xml:space="preserve"> </w:t>
            </w:r>
            <w:r>
              <w:rPr>
                <w:spacing w:val="5"/>
              </w:rPr>
              <w:t>当组织开展国家级公益林资源变化情况年度监测和生态状况定期定点</w:t>
            </w:r>
            <w:r>
              <w:rPr>
                <w:spacing w:val="4"/>
              </w:rPr>
              <w:t>监测</w:t>
            </w:r>
          </w:p>
        </w:tc>
      </w:tr>
    </w:tbl>
    <w:p w14:paraId="069FE316">
      <w:pPr>
        <w:rPr>
          <w:rFonts w:ascii="Arial"/>
          <w:sz w:val="21"/>
        </w:rPr>
      </w:pPr>
    </w:p>
    <w:p w14:paraId="1E800CAE">
      <w:pPr>
        <w:rPr>
          <w:rFonts w:ascii="Arial" w:hAnsi="Arial" w:eastAsia="Arial" w:cs="Arial"/>
          <w:sz w:val="21"/>
          <w:szCs w:val="21"/>
        </w:rPr>
        <w:sectPr>
          <w:footerReference r:id="rId38" w:type="default"/>
          <w:pgSz w:w="11906" w:h="16839"/>
          <w:pgMar w:top="1431" w:right="1407" w:bottom="1278" w:left="1407" w:header="0" w:footer="1116" w:gutter="0"/>
          <w:cols w:space="720" w:num="1"/>
        </w:sectPr>
      </w:pPr>
    </w:p>
    <w:p w14:paraId="047B63FC">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7497A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72" w:hRule="atLeast"/>
        </w:trPr>
        <w:tc>
          <w:tcPr>
            <w:tcW w:w="1014" w:type="dxa"/>
            <w:tcBorders>
              <w:right w:val="single" w:color="000000" w:sz="2" w:space="0"/>
            </w:tcBorders>
            <w:vAlign w:val="top"/>
          </w:tcPr>
          <w:p w14:paraId="1909E95C">
            <w:pPr>
              <w:rPr>
                <w:rFonts w:ascii="Arial"/>
                <w:sz w:val="21"/>
              </w:rPr>
            </w:pPr>
          </w:p>
        </w:tc>
        <w:tc>
          <w:tcPr>
            <w:tcW w:w="8062" w:type="dxa"/>
            <w:tcBorders>
              <w:left w:val="single" w:color="000000" w:sz="2" w:space="0"/>
            </w:tcBorders>
            <w:vAlign w:val="top"/>
          </w:tcPr>
          <w:p w14:paraId="70CB93D2">
            <w:pPr>
              <w:pStyle w:val="6"/>
              <w:spacing w:before="46" w:line="218" w:lineRule="auto"/>
              <w:jc w:val="right"/>
            </w:pPr>
            <w:r>
              <w:rPr>
                <w:spacing w:val="-8"/>
              </w:rPr>
              <w:t>评价，并依法向社会发布监测、评价结果</w:t>
            </w:r>
            <w:r>
              <w:rPr>
                <w:spacing w:val="-88"/>
              </w:rPr>
              <w:t xml:space="preserve"> </w:t>
            </w:r>
            <w:r>
              <w:rPr>
                <w:spacing w:val="-8"/>
              </w:rPr>
              <w:t>”的规定报告国家林业局和财政</w:t>
            </w:r>
            <w:r>
              <w:rPr>
                <w:spacing w:val="-9"/>
              </w:rPr>
              <w:t>部。</w:t>
            </w:r>
          </w:p>
          <w:p w14:paraId="08FFAA5B">
            <w:pPr>
              <w:pStyle w:val="6"/>
              <w:spacing w:before="181" w:line="290" w:lineRule="auto"/>
              <w:ind w:left="111" w:right="71" w:firstLine="476"/>
            </w:pPr>
            <w:r>
              <w:rPr>
                <w:spacing w:val="-2"/>
              </w:rPr>
              <w:t>③一级国家级公益林原则上不得开展生产经营活动，严禁打枝、采脂、</w:t>
            </w:r>
            <w:r>
              <w:rPr>
                <w:spacing w:val="13"/>
              </w:rPr>
              <w:t xml:space="preserve"> </w:t>
            </w:r>
            <w:r>
              <w:rPr>
                <w:spacing w:val="-1"/>
              </w:rPr>
              <w:t>割漆、剥树皮、掘根等行为。</w:t>
            </w:r>
          </w:p>
          <w:p w14:paraId="50F1F333">
            <w:pPr>
              <w:pStyle w:val="6"/>
              <w:spacing w:before="181" w:line="289" w:lineRule="auto"/>
              <w:ind w:left="137" w:right="103" w:firstLine="450"/>
            </w:pPr>
            <w:r>
              <w:rPr>
                <w:spacing w:val="-3"/>
              </w:rPr>
              <w:t>④二级国家级公益林在不影响整体森林生态系统功能发挥的前提下，可</w:t>
            </w:r>
            <w:r>
              <w:rPr>
                <w:spacing w:val="12"/>
              </w:rPr>
              <w:t xml:space="preserve"> </w:t>
            </w:r>
            <w:r>
              <w:rPr>
                <w:spacing w:val="-1"/>
              </w:rPr>
              <w:t>以按照第十二条第三款相关技术规程的规定开展抚育和更新</w:t>
            </w:r>
            <w:r>
              <w:rPr>
                <w:spacing w:val="-2"/>
              </w:rPr>
              <w:t>性质的采伐。</w:t>
            </w:r>
          </w:p>
          <w:p w14:paraId="4AB9ABAF">
            <w:pPr>
              <w:pStyle w:val="6"/>
              <w:spacing w:before="183" w:line="352" w:lineRule="auto"/>
              <w:ind w:left="113" w:right="103" w:firstLine="478"/>
              <w:jc w:val="both"/>
            </w:pPr>
            <w:r>
              <w:rPr>
                <w:b/>
                <w:bCs/>
                <w:spacing w:val="-1"/>
              </w:rPr>
              <w:t>符合性分析：</w:t>
            </w:r>
            <w:r>
              <w:rPr>
                <w:spacing w:val="-1"/>
              </w:rPr>
              <w:t>根据寻甸回族彝族自治县林业和草原局</w:t>
            </w:r>
            <w:r>
              <w:rPr>
                <w:rFonts w:ascii="Times New Roman" w:hAnsi="Times New Roman" w:eastAsia="Times New Roman" w:cs="Times New Roman"/>
                <w:spacing w:val="-1"/>
              </w:rPr>
              <w:t xml:space="preserve">2024 </w:t>
            </w:r>
            <w:r>
              <w:rPr>
                <w:spacing w:val="-1"/>
              </w:rPr>
              <w:t>年</w:t>
            </w:r>
            <w:r>
              <w:rPr>
                <w:spacing w:val="-36"/>
              </w:rPr>
              <w:t xml:space="preserve"> </w:t>
            </w:r>
            <w:r>
              <w:rPr>
                <w:rFonts w:ascii="Times New Roman" w:hAnsi="Times New Roman" w:eastAsia="Times New Roman" w:cs="Times New Roman"/>
                <w:spacing w:val="-1"/>
              </w:rPr>
              <w:t>6</w:t>
            </w:r>
            <w:r>
              <w:rPr>
                <w:rFonts w:ascii="Times New Roman" w:hAnsi="Times New Roman" w:eastAsia="Times New Roman" w:cs="Times New Roman"/>
                <w:spacing w:val="17"/>
                <w:w w:val="101"/>
              </w:rPr>
              <w:t xml:space="preserve"> </w:t>
            </w:r>
            <w:r>
              <w:rPr>
                <w:spacing w:val="-1"/>
              </w:rPr>
              <w:t>月</w:t>
            </w:r>
            <w:r>
              <w:rPr>
                <w:spacing w:val="-47"/>
              </w:rPr>
              <w:t xml:space="preserve"> </w:t>
            </w:r>
            <w:r>
              <w:rPr>
                <w:rFonts w:ascii="Times New Roman" w:hAnsi="Times New Roman" w:eastAsia="Times New Roman" w:cs="Times New Roman"/>
                <w:spacing w:val="-1"/>
              </w:rPr>
              <w:t xml:space="preserve">5  </w:t>
            </w:r>
            <w:r>
              <w:rPr>
                <w:spacing w:val="-1"/>
              </w:rPr>
              <w:t>日</w:t>
            </w:r>
            <w:r>
              <w:t xml:space="preserve"> </w:t>
            </w:r>
            <w:r>
              <w:rPr>
                <w:spacing w:val="-3"/>
              </w:rPr>
              <w:t>出具的《寻甸回族彝族自治县林业和草原局关于化桃箐光伏发电项目选址意</w:t>
            </w:r>
            <w:r>
              <w:rPr>
                <w:spacing w:val="12"/>
              </w:rPr>
              <w:t xml:space="preserve"> </w:t>
            </w:r>
            <w:r>
              <w:rPr>
                <w:spacing w:val="-3"/>
              </w:rPr>
              <w:t>见的复函》，项目不涉及国家公园、各级自然保护区、森林公园、风景名胜</w:t>
            </w:r>
            <w:r>
              <w:rPr>
                <w:spacing w:val="12"/>
              </w:rPr>
              <w:t xml:space="preserve"> </w:t>
            </w:r>
            <w:r>
              <w:rPr>
                <w:spacing w:val="-2"/>
              </w:rPr>
              <w:t>区、草原公园、</w:t>
            </w:r>
            <w:r>
              <w:rPr>
                <w:spacing w:val="-71"/>
              </w:rPr>
              <w:t xml:space="preserve"> </w:t>
            </w:r>
            <w:r>
              <w:rPr>
                <w:spacing w:val="-2"/>
              </w:rPr>
              <w:t>自然保护区、基本草原，不涉及项目禁用的林草地地类。</w:t>
            </w:r>
          </w:p>
          <w:p w14:paraId="6365A80A">
            <w:pPr>
              <w:pStyle w:val="6"/>
              <w:spacing w:before="38" w:line="357" w:lineRule="auto"/>
              <w:ind w:left="104" w:right="101" w:firstLine="485"/>
              <w:jc w:val="both"/>
            </w:pPr>
            <w:r>
              <w:rPr>
                <w:spacing w:val="-3"/>
              </w:rPr>
              <w:t>根据项目使用林地可行性报告可知，光伏阵列区涉林部分森林类别为国</w:t>
            </w:r>
            <w:r>
              <w:rPr>
                <w:spacing w:val="10"/>
              </w:rPr>
              <w:t xml:space="preserve"> </w:t>
            </w:r>
            <w:r>
              <w:rPr>
                <w:spacing w:val="-2"/>
              </w:rPr>
              <w:t>家二级公益林</w:t>
            </w:r>
            <w:r>
              <w:rPr>
                <w:spacing w:val="-55"/>
              </w:rPr>
              <w:t xml:space="preserve"> </w:t>
            </w:r>
            <w:r>
              <w:rPr>
                <w:rFonts w:ascii="Times New Roman" w:hAnsi="Times New Roman" w:eastAsia="Times New Roman" w:cs="Times New Roman"/>
                <w:spacing w:val="-2"/>
              </w:rPr>
              <w:t>205m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0"/>
                <w:position w:val="7"/>
                <w:sz w:val="15"/>
                <w:szCs w:val="15"/>
              </w:rPr>
              <w:t xml:space="preserve"> </w:t>
            </w:r>
            <w:r>
              <w:rPr>
                <w:spacing w:val="-2"/>
              </w:rPr>
              <w:t>、省级公益林</w:t>
            </w:r>
            <w:r>
              <w:rPr>
                <w:spacing w:val="-55"/>
              </w:rPr>
              <w:t xml:space="preserve"> </w:t>
            </w:r>
            <w:r>
              <w:rPr>
                <w:rFonts w:ascii="Times New Roman" w:hAnsi="Times New Roman" w:eastAsia="Times New Roman" w:cs="Times New Roman"/>
                <w:spacing w:val="-2"/>
              </w:rPr>
              <w:t>214m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0"/>
                <w:position w:val="7"/>
                <w:sz w:val="15"/>
                <w:szCs w:val="15"/>
              </w:rPr>
              <w:t xml:space="preserve"> </w:t>
            </w:r>
            <w:r>
              <w:rPr>
                <w:spacing w:val="-2"/>
              </w:rPr>
              <w:t>、其他公益林</w:t>
            </w:r>
            <w:r>
              <w:rPr>
                <w:spacing w:val="-32"/>
              </w:rPr>
              <w:t xml:space="preserve"> </w:t>
            </w:r>
            <w:r>
              <w:rPr>
                <w:rFonts w:ascii="Times New Roman" w:hAnsi="Times New Roman" w:eastAsia="Times New Roman" w:cs="Times New Roman"/>
                <w:spacing w:val="-2"/>
              </w:rPr>
              <w:t>127m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0"/>
                <w:position w:val="7"/>
                <w:sz w:val="15"/>
                <w:szCs w:val="15"/>
              </w:rPr>
              <w:t xml:space="preserve"> </w:t>
            </w:r>
            <w:r>
              <w:rPr>
                <w:spacing w:val="-2"/>
              </w:rPr>
              <w:t>、</w:t>
            </w:r>
            <w:r>
              <w:rPr>
                <w:spacing w:val="-3"/>
              </w:rPr>
              <w:t>一般商品林</w:t>
            </w:r>
            <w:r>
              <w:t xml:space="preserve"> 地</w:t>
            </w:r>
            <w:r>
              <w:rPr>
                <w:spacing w:val="-54"/>
              </w:rPr>
              <w:t xml:space="preserve"> </w:t>
            </w:r>
            <w:r>
              <w:rPr>
                <w:rFonts w:ascii="Times New Roman" w:hAnsi="Times New Roman" w:eastAsia="Times New Roman" w:cs="Times New Roman"/>
              </w:rPr>
              <w:t>230m</w:t>
            </w:r>
            <w:r>
              <w:rPr>
                <w:rFonts w:ascii="Times New Roman" w:hAnsi="Times New Roman" w:eastAsia="Times New Roman" w:cs="Times New Roman"/>
                <w:position w:val="8"/>
                <w:sz w:val="15"/>
                <w:szCs w:val="15"/>
              </w:rPr>
              <w:t>2</w:t>
            </w:r>
            <w:r>
              <w:rPr>
                <w:rFonts w:ascii="Times New Roman" w:hAnsi="Times New Roman" w:eastAsia="Times New Roman" w:cs="Times New Roman"/>
                <w:spacing w:val="15"/>
                <w:w w:val="101"/>
                <w:position w:val="8"/>
                <w:sz w:val="15"/>
                <w:szCs w:val="15"/>
              </w:rPr>
              <w:t xml:space="preserve"> </w:t>
            </w:r>
            <w:r>
              <w:t>和重点商品林地</w:t>
            </w:r>
            <w:r>
              <w:rPr>
                <w:spacing w:val="-27"/>
              </w:rPr>
              <w:t xml:space="preserve"> </w:t>
            </w:r>
            <w:r>
              <w:rPr>
                <w:rFonts w:ascii="Times New Roman" w:hAnsi="Times New Roman" w:eastAsia="Times New Roman" w:cs="Times New Roman"/>
              </w:rPr>
              <w:t>13m</w:t>
            </w:r>
            <w:r>
              <w:rPr>
                <w:rFonts w:ascii="Times New Roman" w:hAnsi="Times New Roman" w:eastAsia="Times New Roman" w:cs="Times New Roman"/>
                <w:position w:val="8"/>
                <w:sz w:val="15"/>
                <w:szCs w:val="15"/>
              </w:rPr>
              <w:t>2</w:t>
            </w:r>
            <w:r>
              <w:rPr>
                <w:rFonts w:ascii="Times New Roman" w:hAnsi="Times New Roman" w:eastAsia="Times New Roman" w:cs="Times New Roman"/>
                <w:spacing w:val="-8"/>
                <w:position w:val="8"/>
                <w:sz w:val="15"/>
                <w:szCs w:val="15"/>
              </w:rPr>
              <w:t xml:space="preserve"> </w:t>
            </w:r>
            <w:r>
              <w:t xml:space="preserve">，地类为乔木林地木和其他林地，依据规划 </w:t>
            </w:r>
            <w:r>
              <w:rPr>
                <w:spacing w:val="5"/>
              </w:rPr>
              <w:t>数据，可满足光伏项目用地条件。其使用林地的条件符合国家林业局令第</w:t>
            </w:r>
            <w:r>
              <w:rPr>
                <w:spacing w:val="3"/>
              </w:rPr>
              <w:t xml:space="preserve"> </w:t>
            </w:r>
            <w:r>
              <w:rPr>
                <w:rFonts w:ascii="Times New Roman" w:hAnsi="Times New Roman" w:eastAsia="Times New Roman" w:cs="Times New Roman"/>
                <w:spacing w:val="3"/>
              </w:rPr>
              <w:t>42</w:t>
            </w:r>
            <w:r>
              <w:rPr>
                <w:rFonts w:ascii="Times New Roman" w:hAnsi="Times New Roman" w:eastAsia="Times New Roman" w:cs="Times New Roman"/>
                <w:spacing w:val="17"/>
                <w:w w:val="101"/>
              </w:rPr>
              <w:t xml:space="preserve"> </w:t>
            </w:r>
            <w:r>
              <w:rPr>
                <w:spacing w:val="3"/>
              </w:rPr>
              <w:t>号《建设项目使用林地审核审批管理办</w:t>
            </w:r>
            <w:r>
              <w:rPr>
                <w:spacing w:val="2"/>
              </w:rPr>
              <w:t>法》《国家林业和草原局关于规</w:t>
            </w:r>
            <w:r>
              <w:t xml:space="preserve"> </w:t>
            </w:r>
            <w:r>
              <w:rPr>
                <w:spacing w:val="2"/>
              </w:rPr>
              <w:t>范风电场项目建设使用林地的通知》（林资发〔</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17</w:t>
            </w:r>
            <w:r>
              <w:rPr>
                <w:rFonts w:ascii="Times New Roman" w:hAnsi="Times New Roman" w:eastAsia="Times New Roman" w:cs="Times New Roman"/>
                <w:spacing w:val="33"/>
              </w:rPr>
              <w:t xml:space="preserve"> </w:t>
            </w:r>
            <w:r>
              <w:rPr>
                <w:spacing w:val="2"/>
              </w:rPr>
              <w:t>号）、《云南省</w:t>
            </w:r>
            <w:r>
              <w:t xml:space="preserve"> </w:t>
            </w:r>
            <w:r>
              <w:rPr>
                <w:spacing w:val="-9"/>
              </w:rPr>
              <w:t>林业和草原局关于落实〈建设项目使用林地审核审批</w:t>
            </w:r>
            <w:r>
              <w:rPr>
                <w:spacing w:val="-10"/>
              </w:rPr>
              <w:t>管理规范〉的通知》（云</w:t>
            </w:r>
            <w:r>
              <w:t xml:space="preserve"> </w:t>
            </w:r>
            <w:r>
              <w:rPr>
                <w:spacing w:val="-1"/>
              </w:rPr>
              <w:t>林规〔</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1</w:t>
            </w:r>
            <w:r>
              <w:rPr>
                <w:rFonts w:ascii="Times New Roman" w:hAnsi="Times New Roman" w:eastAsia="Times New Roman" w:cs="Times New Roman"/>
                <w:spacing w:val="18"/>
              </w:rPr>
              <w:t xml:space="preserve"> </w:t>
            </w:r>
            <w:r>
              <w:rPr>
                <w:spacing w:val="-1"/>
              </w:rPr>
              <w:t>号）的规定，项目严格按照《建设项目使用林地审核审批管</w:t>
            </w:r>
            <w:r>
              <w:t xml:space="preserve"> </w:t>
            </w:r>
            <w:r>
              <w:rPr>
                <w:spacing w:val="-2"/>
              </w:rPr>
              <w:t>理办法》有关规定办理使用林地手续，且按《国家</w:t>
            </w:r>
            <w:r>
              <w:rPr>
                <w:spacing w:val="-3"/>
              </w:rPr>
              <w:t>级公益林管理办法》第十</w:t>
            </w:r>
            <w:r>
              <w:t xml:space="preserve"> </w:t>
            </w:r>
            <w:r>
              <w:rPr>
                <w:spacing w:val="-2"/>
              </w:rPr>
              <w:t>八条、第十九条的规定实行占补平衡，按《国家级</w:t>
            </w:r>
            <w:r>
              <w:rPr>
                <w:spacing w:val="-3"/>
              </w:rPr>
              <w:t>公益林管理办法》第十二</w:t>
            </w:r>
            <w:r>
              <w:t xml:space="preserve"> </w:t>
            </w:r>
            <w:r>
              <w:rPr>
                <w:spacing w:val="-2"/>
              </w:rPr>
              <w:t>条第三款“公示无异议后，按采伐管理权限由相应</w:t>
            </w:r>
            <w:r>
              <w:rPr>
                <w:spacing w:val="-3"/>
              </w:rPr>
              <w:t>林业主管部门依法核发林</w:t>
            </w:r>
            <w:r>
              <w:t xml:space="preserve"> </w:t>
            </w:r>
            <w:r>
              <w:rPr>
                <w:spacing w:val="-3"/>
              </w:rPr>
              <w:t>木采伐许可证</w:t>
            </w:r>
            <w:r>
              <w:rPr>
                <w:spacing w:val="-88"/>
              </w:rPr>
              <w:t xml:space="preserve"> </w:t>
            </w:r>
            <w:r>
              <w:rPr>
                <w:spacing w:val="-3"/>
              </w:rPr>
              <w:t>”要求开展更新性质的采伐。建设单位</w:t>
            </w:r>
            <w:r>
              <w:rPr>
                <w:spacing w:val="-4"/>
              </w:rPr>
              <w:t>承诺在取得用林用草手</w:t>
            </w:r>
            <w:r>
              <w:t xml:space="preserve"> </w:t>
            </w:r>
            <w:r>
              <w:rPr>
                <w:spacing w:val="-1"/>
              </w:rPr>
              <w:t>续后再开工建设。</w:t>
            </w:r>
          </w:p>
          <w:p w14:paraId="52CC30A9">
            <w:pPr>
              <w:pStyle w:val="6"/>
              <w:spacing w:before="35" w:line="219" w:lineRule="auto"/>
              <w:ind w:left="592"/>
            </w:pPr>
            <w:r>
              <w:rPr>
                <w:spacing w:val="-1"/>
              </w:rPr>
              <w:t>综上，项目符合《国家级公益林管理办法》要求。</w:t>
            </w:r>
          </w:p>
          <w:p w14:paraId="1C3DB529">
            <w:pPr>
              <w:pStyle w:val="6"/>
              <w:spacing w:before="181" w:line="219" w:lineRule="auto"/>
              <w:ind w:left="596"/>
            </w:pPr>
            <w:r>
              <w:rPr>
                <w:rFonts w:ascii="Times New Roman" w:hAnsi="Times New Roman" w:eastAsia="Times New Roman" w:cs="Times New Roman"/>
                <w:b/>
                <w:bCs/>
                <w:spacing w:val="-4"/>
              </w:rPr>
              <w:t>18</w:t>
            </w:r>
            <w:r>
              <w:rPr>
                <w:rFonts w:ascii="Times New Roman" w:hAnsi="Times New Roman" w:eastAsia="Times New Roman" w:cs="Times New Roman"/>
                <w:b/>
                <w:bCs/>
                <w:spacing w:val="-24"/>
              </w:rPr>
              <w:t xml:space="preserve"> </w:t>
            </w:r>
            <w:r>
              <w:rPr>
                <w:b/>
                <w:bCs/>
                <w:spacing w:val="-4"/>
              </w:rPr>
              <w:t>、与《云南省林地管理条例》的符合性分析</w:t>
            </w:r>
          </w:p>
          <w:p w14:paraId="3830E251">
            <w:pPr>
              <w:pStyle w:val="6"/>
              <w:spacing w:before="183" w:line="352" w:lineRule="auto"/>
              <w:ind w:left="108" w:right="103" w:firstLine="480"/>
              <w:jc w:val="both"/>
            </w:pPr>
            <w:r>
              <w:rPr>
                <w:spacing w:val="-3"/>
              </w:rPr>
              <w:t>根据《云南省林地管理条例》第三十三条使用林地的单位和个人，应当</w:t>
            </w:r>
            <w:r>
              <w:rPr>
                <w:spacing w:val="10"/>
              </w:rPr>
              <w:t xml:space="preserve"> </w:t>
            </w:r>
            <w:r>
              <w:rPr>
                <w:spacing w:val="-3"/>
              </w:rPr>
              <w:t>保护生态，增加投入，合理利用林地，科学选择造林树种，开发利用林下资</w:t>
            </w:r>
            <w:r>
              <w:rPr>
                <w:spacing w:val="17"/>
              </w:rPr>
              <w:t xml:space="preserve"> </w:t>
            </w:r>
            <w:r>
              <w:rPr>
                <w:spacing w:val="-3"/>
              </w:rPr>
              <w:t>源，发展林产业，提高林地综合效益；履行森林防火、有害生物防治以及野</w:t>
            </w:r>
            <w:r>
              <w:rPr>
                <w:spacing w:val="17"/>
              </w:rPr>
              <w:t xml:space="preserve"> </w:t>
            </w:r>
            <w:r>
              <w:rPr>
                <w:spacing w:val="-1"/>
              </w:rPr>
              <w:t>生动物、重点保护野生植物及古树名木等管护义务。</w:t>
            </w:r>
          </w:p>
          <w:p w14:paraId="34249106">
            <w:pPr>
              <w:pStyle w:val="6"/>
              <w:spacing w:before="37" w:line="219" w:lineRule="auto"/>
              <w:ind w:left="589"/>
            </w:pPr>
            <w:r>
              <w:t>第三十四条 林地权利人的合法权益受法律保</w:t>
            </w:r>
            <w:r>
              <w:rPr>
                <w:spacing w:val="-1"/>
              </w:rPr>
              <w:t>护，任何单位和个人不得</w:t>
            </w:r>
          </w:p>
        </w:tc>
      </w:tr>
    </w:tbl>
    <w:p w14:paraId="1CAFECC1">
      <w:pPr>
        <w:rPr>
          <w:rFonts w:ascii="Arial"/>
          <w:sz w:val="21"/>
        </w:rPr>
      </w:pPr>
    </w:p>
    <w:p w14:paraId="7954C010">
      <w:pPr>
        <w:rPr>
          <w:rFonts w:ascii="Arial" w:hAnsi="Arial" w:eastAsia="Arial" w:cs="Arial"/>
          <w:sz w:val="21"/>
          <w:szCs w:val="21"/>
        </w:rPr>
        <w:sectPr>
          <w:footerReference r:id="rId39" w:type="default"/>
          <w:pgSz w:w="11906" w:h="16839"/>
          <w:pgMar w:top="1431" w:right="1407" w:bottom="1278" w:left="1407" w:header="0" w:footer="1116" w:gutter="0"/>
          <w:cols w:space="720" w:num="1"/>
        </w:sectPr>
      </w:pPr>
    </w:p>
    <w:p w14:paraId="4AB259B7">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60F9C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72" w:hRule="atLeast"/>
        </w:trPr>
        <w:tc>
          <w:tcPr>
            <w:tcW w:w="1014" w:type="dxa"/>
            <w:tcBorders>
              <w:right w:val="single" w:color="000000" w:sz="2" w:space="0"/>
            </w:tcBorders>
            <w:vAlign w:val="top"/>
          </w:tcPr>
          <w:p w14:paraId="0DA21C46">
            <w:pPr>
              <w:rPr>
                <w:rFonts w:ascii="Arial"/>
                <w:sz w:val="21"/>
              </w:rPr>
            </w:pPr>
          </w:p>
        </w:tc>
        <w:tc>
          <w:tcPr>
            <w:tcW w:w="8062" w:type="dxa"/>
            <w:tcBorders>
              <w:left w:val="single" w:color="000000" w:sz="2" w:space="0"/>
            </w:tcBorders>
            <w:vAlign w:val="top"/>
          </w:tcPr>
          <w:p w14:paraId="3DD720B5">
            <w:pPr>
              <w:pStyle w:val="6"/>
              <w:spacing w:before="46" w:line="220" w:lineRule="auto"/>
              <w:ind w:left="111"/>
            </w:pPr>
            <w:r>
              <w:rPr>
                <w:spacing w:val="-4"/>
              </w:rPr>
              <w:t>侵害。</w:t>
            </w:r>
          </w:p>
          <w:p w14:paraId="2B2773AA">
            <w:pPr>
              <w:pStyle w:val="6"/>
              <w:spacing w:before="178" w:line="347" w:lineRule="auto"/>
              <w:ind w:left="109" w:right="103" w:firstLine="479"/>
            </w:pPr>
            <w:r>
              <w:rPr>
                <w:spacing w:val="-3"/>
              </w:rPr>
              <w:t>任何单位和个人不得非法占用、征收、征用林地，不得擅自改变林地用</w:t>
            </w:r>
            <w:r>
              <w:rPr>
                <w:spacing w:val="11"/>
              </w:rPr>
              <w:t xml:space="preserve"> </w:t>
            </w:r>
            <w:r>
              <w:rPr>
                <w:spacing w:val="-1"/>
              </w:rPr>
              <w:t>途，不得超过批准范围使用林地。</w:t>
            </w:r>
          </w:p>
          <w:p w14:paraId="58A5CFCB">
            <w:pPr>
              <w:pStyle w:val="6"/>
              <w:spacing w:before="31" w:line="351" w:lineRule="auto"/>
              <w:ind w:left="109" w:right="103" w:firstLine="480"/>
              <w:jc w:val="both"/>
            </w:pPr>
            <w:r>
              <w:t>第三十六条 采伐被占用、征收、征用或者流</w:t>
            </w:r>
            <w:r>
              <w:rPr>
                <w:spacing w:val="-1"/>
              </w:rPr>
              <w:t>转林地上林木的，应当向</w:t>
            </w:r>
            <w:r>
              <w:t xml:space="preserve"> </w:t>
            </w:r>
            <w:r>
              <w:rPr>
                <w:spacing w:val="-3"/>
              </w:rPr>
              <w:t>所在地县级以上人民政府林业主管部门申请办理林木采伐许可证，未经批准</w:t>
            </w:r>
            <w:r>
              <w:rPr>
                <w:spacing w:val="16"/>
              </w:rPr>
              <w:t xml:space="preserve"> </w:t>
            </w:r>
            <w:r>
              <w:rPr>
                <w:spacing w:val="-2"/>
              </w:rPr>
              <w:t>不得采伐。</w:t>
            </w:r>
          </w:p>
          <w:p w14:paraId="1F6BF8DF">
            <w:pPr>
              <w:pStyle w:val="6"/>
              <w:spacing w:before="33" w:line="350" w:lineRule="auto"/>
              <w:ind w:left="109" w:right="103" w:firstLine="480"/>
              <w:jc w:val="both"/>
            </w:pPr>
            <w:r>
              <w:rPr>
                <w:spacing w:val="-2"/>
              </w:rPr>
              <w:t>第三十九条</w:t>
            </w:r>
            <w:r>
              <w:rPr>
                <w:spacing w:val="49"/>
              </w:rPr>
              <w:t xml:space="preserve"> </w:t>
            </w:r>
            <w:r>
              <w:rPr>
                <w:spacing w:val="-2"/>
              </w:rPr>
              <w:t>占用、征收、征用林地的单位或者个人应当向被占用、征</w:t>
            </w:r>
            <w:r>
              <w:t xml:space="preserve"> </w:t>
            </w:r>
            <w:r>
              <w:rPr>
                <w:spacing w:val="-3"/>
              </w:rPr>
              <w:t>收、征用林地的所有权人或者使用权人支付林地补偿费，向林木所有权人支</w:t>
            </w:r>
            <w:r>
              <w:rPr>
                <w:spacing w:val="16"/>
              </w:rPr>
              <w:t xml:space="preserve"> </w:t>
            </w:r>
            <w:r>
              <w:rPr>
                <w:spacing w:val="-1"/>
              </w:rPr>
              <w:t>付林木补偿费，向林地使用权人支付安置补助费。</w:t>
            </w:r>
          </w:p>
          <w:p w14:paraId="0DEA4052">
            <w:pPr>
              <w:pStyle w:val="6"/>
              <w:spacing w:before="36" w:line="345" w:lineRule="auto"/>
              <w:ind w:left="110" w:right="103" w:firstLine="492"/>
            </w:pPr>
            <w:r>
              <w:rPr>
                <w:spacing w:val="-3"/>
              </w:rPr>
              <w:t>临时占用林地的，应当向所有权人或者使用权人支付林地补偿费</w:t>
            </w:r>
            <w:r>
              <w:rPr>
                <w:spacing w:val="-4"/>
              </w:rPr>
              <w:t>，向林</w:t>
            </w:r>
            <w:r>
              <w:t xml:space="preserve"> </w:t>
            </w:r>
            <w:r>
              <w:rPr>
                <w:spacing w:val="-1"/>
              </w:rPr>
              <w:t>木所有权人支付林木补偿费。</w:t>
            </w:r>
          </w:p>
          <w:p w14:paraId="273D6E0C">
            <w:pPr>
              <w:pStyle w:val="6"/>
              <w:spacing w:before="38" w:line="355" w:lineRule="auto"/>
              <w:ind w:left="108" w:right="41" w:firstLine="483"/>
              <w:jc w:val="both"/>
            </w:pPr>
            <w:r>
              <w:rPr>
                <w:b/>
                <w:bCs/>
                <w:spacing w:val="-1"/>
              </w:rPr>
              <w:t>符合性分析：</w:t>
            </w:r>
            <w:r>
              <w:rPr>
                <w:spacing w:val="-1"/>
              </w:rPr>
              <w:t>根据项目使用林地可行性报告，光伏阵列</w:t>
            </w:r>
            <w:r>
              <w:rPr>
                <w:spacing w:val="-2"/>
              </w:rPr>
              <w:t>区不涉及林地，</w:t>
            </w:r>
            <w:r>
              <w:t xml:space="preserve"> </w:t>
            </w:r>
            <w:r>
              <w:rPr>
                <w:spacing w:val="1"/>
              </w:rPr>
              <w:t>仅</w:t>
            </w:r>
            <w:r>
              <w:rPr>
                <w:spacing w:val="-50"/>
              </w:rPr>
              <w:t xml:space="preserve"> </w:t>
            </w:r>
            <w:r>
              <w:rPr>
                <w:rFonts w:ascii="Times New Roman" w:hAnsi="Times New Roman" w:eastAsia="Times New Roman" w:cs="Times New Roman"/>
                <w:spacing w:val="1"/>
              </w:rPr>
              <w:t>35</w:t>
            </w:r>
            <w:r>
              <w:rPr>
                <w:rFonts w:ascii="Times New Roman" w:hAnsi="Times New Roman" w:eastAsia="Times New Roman" w:cs="Times New Roman"/>
              </w:rPr>
              <w:t>kv</w:t>
            </w:r>
            <w:r>
              <w:rPr>
                <w:rFonts w:ascii="Times New Roman" w:hAnsi="Times New Roman" w:eastAsia="Times New Roman" w:cs="Times New Roman"/>
                <w:spacing w:val="1"/>
              </w:rPr>
              <w:t xml:space="preserve"> </w:t>
            </w:r>
            <w:r>
              <w:rPr>
                <w:spacing w:val="1"/>
              </w:rPr>
              <w:t>集电线路一部分塔基涉及林地，其涉林部分森林类别为国</w:t>
            </w:r>
            <w:r>
              <w:t xml:space="preserve">家二级公 </w:t>
            </w:r>
            <w:r>
              <w:rPr>
                <w:spacing w:val="-3"/>
              </w:rPr>
              <w:t>益林、省级公益林、其他公益林、一般商品林地和重点商品林地，地类为乔</w:t>
            </w:r>
            <w:r>
              <w:rPr>
                <w:spacing w:val="18"/>
              </w:rPr>
              <w:t xml:space="preserve"> </w:t>
            </w:r>
            <w:r>
              <w:rPr>
                <w:spacing w:val="-4"/>
              </w:rPr>
              <w:t>木林地和其他林地，项目所占林地总面积较少</w:t>
            </w:r>
            <w:r>
              <w:rPr>
                <w:spacing w:val="-5"/>
              </w:rPr>
              <w:t>为</w:t>
            </w:r>
            <w:r>
              <w:rPr>
                <w:spacing w:val="-51"/>
              </w:rPr>
              <w:t xml:space="preserve"> </w:t>
            </w:r>
            <w:r>
              <w:rPr>
                <w:rFonts w:ascii="Times New Roman" w:hAnsi="Times New Roman" w:eastAsia="Times New Roman" w:cs="Times New Roman"/>
                <w:spacing w:val="-5"/>
              </w:rPr>
              <w:t>0.0789hm</w:t>
            </w:r>
            <w:r>
              <w:rPr>
                <w:rFonts w:ascii="Times New Roman" w:hAnsi="Times New Roman" w:eastAsia="Times New Roman" w:cs="Times New Roman"/>
                <w:spacing w:val="-5"/>
                <w:position w:val="7"/>
                <w:sz w:val="15"/>
                <w:szCs w:val="15"/>
              </w:rPr>
              <w:t>2</w:t>
            </w:r>
            <w:r>
              <w:rPr>
                <w:spacing w:val="-5"/>
              </w:rPr>
              <w:t>，依据规划数据，</w:t>
            </w:r>
            <w:r>
              <w:t xml:space="preserve"> </w:t>
            </w:r>
            <w:r>
              <w:rPr>
                <w:spacing w:val="-3"/>
              </w:rPr>
              <w:t>可满足光伏项目用地条件。根据《云南省林地管理条例》文件，项目建设必</w:t>
            </w:r>
            <w:r>
              <w:rPr>
                <w:spacing w:val="18"/>
              </w:rPr>
              <w:t xml:space="preserve"> </w:t>
            </w:r>
            <w:r>
              <w:rPr>
                <w:spacing w:val="-3"/>
              </w:rPr>
              <w:t>须依法依规办理征收占用林地审批手续后方能使用林地，未取得使用林地审</w:t>
            </w:r>
            <w:r>
              <w:rPr>
                <w:spacing w:val="18"/>
              </w:rPr>
              <w:t xml:space="preserve"> </w:t>
            </w:r>
            <w:r>
              <w:rPr>
                <w:spacing w:val="-1"/>
              </w:rPr>
              <w:t>核同意书不得开工建设。</w:t>
            </w:r>
          </w:p>
          <w:p w14:paraId="419EB48A">
            <w:pPr>
              <w:pStyle w:val="6"/>
              <w:spacing w:before="34" w:line="347" w:lineRule="auto"/>
              <w:ind w:left="112" w:right="71" w:firstLine="480"/>
            </w:pPr>
            <w:r>
              <w:rPr>
                <w:spacing w:val="-3"/>
              </w:rPr>
              <w:t>项目使用林地可行性报告正在送审中，还尚未取得批复，业主承诺在办</w:t>
            </w:r>
            <w:r>
              <w:rPr>
                <w:spacing w:val="6"/>
              </w:rPr>
              <w:t xml:space="preserve"> </w:t>
            </w:r>
            <w:r>
              <w:rPr>
                <w:spacing w:val="-2"/>
              </w:rPr>
              <w:t>理相关手续后再进行建设，能够满足《云南省林地管理条例》中相关要求。</w:t>
            </w:r>
          </w:p>
          <w:p w14:paraId="61723984">
            <w:pPr>
              <w:pStyle w:val="6"/>
              <w:spacing w:before="35" w:line="219" w:lineRule="auto"/>
              <w:ind w:left="596"/>
            </w:pPr>
            <w:r>
              <w:rPr>
                <w:rFonts w:ascii="Times New Roman" w:hAnsi="Times New Roman" w:eastAsia="Times New Roman" w:cs="Times New Roman"/>
                <w:b/>
                <w:bCs/>
                <w:spacing w:val="-2"/>
              </w:rPr>
              <w:t>19</w:t>
            </w:r>
            <w:r>
              <w:rPr>
                <w:rFonts w:ascii="Times New Roman" w:hAnsi="Times New Roman" w:eastAsia="Times New Roman" w:cs="Times New Roman"/>
                <w:b/>
                <w:bCs/>
                <w:spacing w:val="-32"/>
              </w:rPr>
              <w:t xml:space="preserve"> </w:t>
            </w:r>
            <w:r>
              <w:rPr>
                <w:b/>
                <w:bCs/>
                <w:spacing w:val="-2"/>
              </w:rPr>
              <w:t>、与《云南省公益林管理办法》（云林规〔</w:t>
            </w:r>
            <w:r>
              <w:rPr>
                <w:rFonts w:ascii="Times New Roman" w:hAnsi="Times New Roman" w:eastAsia="Times New Roman" w:cs="Times New Roman"/>
                <w:b/>
                <w:bCs/>
                <w:spacing w:val="-2"/>
              </w:rPr>
              <w:t>2019</w:t>
            </w:r>
            <w:r>
              <w:rPr>
                <w:b/>
                <w:bCs/>
                <w:spacing w:val="-2"/>
              </w:rPr>
              <w:t>〕</w:t>
            </w:r>
            <w:r>
              <w:rPr>
                <w:rFonts w:ascii="Times New Roman" w:hAnsi="Times New Roman" w:eastAsia="Times New Roman" w:cs="Times New Roman"/>
                <w:b/>
                <w:bCs/>
                <w:spacing w:val="-2"/>
              </w:rPr>
              <w:t>2</w:t>
            </w:r>
            <w:r>
              <w:rPr>
                <w:b/>
                <w:bCs/>
                <w:spacing w:val="-2"/>
              </w:rPr>
              <w:t>号）的符合性分</w:t>
            </w:r>
          </w:p>
          <w:p w14:paraId="23B3DFF1">
            <w:pPr>
              <w:pStyle w:val="6"/>
              <w:spacing w:before="181" w:line="220" w:lineRule="auto"/>
              <w:ind w:left="111"/>
            </w:pPr>
            <w:r>
              <w:rPr>
                <w:b/>
                <w:bCs/>
                <w:spacing w:val="-3"/>
              </w:rPr>
              <w:t>析</w:t>
            </w:r>
          </w:p>
          <w:p w14:paraId="21854F5F">
            <w:pPr>
              <w:pStyle w:val="6"/>
              <w:spacing w:before="179" w:line="354" w:lineRule="auto"/>
              <w:ind w:left="57" w:right="103" w:firstLine="532"/>
            </w:pPr>
            <w:r>
              <w:rPr>
                <w:spacing w:val="-1"/>
              </w:rPr>
              <w:t>根据《云南省公益林管理办法》（云林规〔</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15"/>
                <w:w w:val="101"/>
              </w:rPr>
              <w:t xml:space="preserve"> </w:t>
            </w:r>
            <w:r>
              <w:rPr>
                <w:spacing w:val="-1"/>
              </w:rPr>
              <w:t>号）第</w:t>
            </w:r>
            <w:r>
              <w:rPr>
                <w:spacing w:val="-2"/>
              </w:rPr>
              <w:t>二十五条：</w:t>
            </w:r>
            <w:r>
              <w:t xml:space="preserve"> </w:t>
            </w:r>
            <w:r>
              <w:rPr>
                <w:rFonts w:ascii="Times New Roman" w:hAnsi="Times New Roman" w:eastAsia="Times New Roman" w:cs="Times New Roman"/>
                <w:spacing w:val="3"/>
              </w:rPr>
              <w:t>“</w:t>
            </w:r>
            <w:r>
              <w:rPr>
                <w:spacing w:val="3"/>
              </w:rPr>
              <w:t>严格控制勘查、采矿和工程建设使用公益林地。纳入生态红线范围的公益</w:t>
            </w:r>
            <w:r>
              <w:rPr>
                <w:spacing w:val="4"/>
              </w:rPr>
              <w:t xml:space="preserve"> </w:t>
            </w:r>
            <w:r>
              <w:rPr>
                <w:spacing w:val="-1"/>
              </w:rPr>
              <w:t>林，按生态管控红线相关要求执行；未纳入生态红线范围、确需使用的公益</w:t>
            </w:r>
            <w:r>
              <w:rPr>
                <w:spacing w:val="3"/>
              </w:rPr>
              <w:t xml:space="preserve"> </w:t>
            </w:r>
            <w:r>
              <w:rPr>
                <w:spacing w:val="-1"/>
              </w:rPr>
              <w:t>林，由县级以上林业和草原主管部门进行核查，严格按照相关规定办理使用</w:t>
            </w:r>
            <w:r>
              <w:rPr>
                <w:spacing w:val="3"/>
              </w:rPr>
              <w:t xml:space="preserve"> </w:t>
            </w:r>
            <w:r>
              <w:rPr>
                <w:spacing w:val="1"/>
              </w:rPr>
              <w:t>林地和林木采伐手续</w:t>
            </w:r>
            <w:r>
              <w:rPr>
                <w:spacing w:val="-90"/>
              </w:rPr>
              <w:t xml:space="preserve"> </w:t>
            </w:r>
            <w:r>
              <w:rPr>
                <w:rFonts w:ascii="Times New Roman" w:hAnsi="Times New Roman" w:eastAsia="Times New Roman" w:cs="Times New Roman"/>
                <w:spacing w:val="1"/>
              </w:rPr>
              <w:t>…</w:t>
            </w:r>
            <w:r>
              <w:rPr>
                <w:spacing w:val="1"/>
              </w:rPr>
              <w:t>…</w:t>
            </w:r>
            <w:r>
              <w:rPr>
                <w:spacing w:val="-88"/>
              </w:rPr>
              <w:t xml:space="preserve"> </w:t>
            </w:r>
            <w:r>
              <w:rPr>
                <w:spacing w:val="1"/>
              </w:rPr>
              <w:t>”。</w:t>
            </w:r>
          </w:p>
          <w:p w14:paraId="33F24DDD">
            <w:pPr>
              <w:pStyle w:val="6"/>
              <w:spacing w:before="33" w:line="347" w:lineRule="auto"/>
              <w:ind w:left="117" w:right="103" w:firstLine="472"/>
            </w:pPr>
            <w:r>
              <w:rPr>
                <w:spacing w:val="-3"/>
              </w:rPr>
              <w:t>第二十八条：“国家级公益林开展生产经营活动，要严格按照《国家级</w:t>
            </w:r>
            <w:r>
              <w:rPr>
                <w:spacing w:val="10"/>
              </w:rPr>
              <w:t xml:space="preserve"> </w:t>
            </w:r>
            <w:r>
              <w:rPr>
                <w:spacing w:val="-3"/>
              </w:rPr>
              <w:t>公益林管理办法》相关规定执行。”第二十九条：“省级公益林在不影响整</w:t>
            </w:r>
          </w:p>
        </w:tc>
      </w:tr>
    </w:tbl>
    <w:p w14:paraId="0A1AEE56">
      <w:pPr>
        <w:rPr>
          <w:rFonts w:ascii="Arial"/>
          <w:sz w:val="21"/>
        </w:rPr>
      </w:pPr>
    </w:p>
    <w:p w14:paraId="23745260">
      <w:pPr>
        <w:rPr>
          <w:rFonts w:ascii="Arial" w:hAnsi="Arial" w:eastAsia="Arial" w:cs="Arial"/>
          <w:sz w:val="21"/>
          <w:szCs w:val="21"/>
        </w:rPr>
        <w:sectPr>
          <w:footerReference r:id="rId40" w:type="default"/>
          <w:pgSz w:w="11906" w:h="16839"/>
          <w:pgMar w:top="1431" w:right="1407" w:bottom="1278" w:left="1407" w:header="0" w:footer="1116" w:gutter="0"/>
          <w:cols w:space="720" w:num="1"/>
        </w:sectPr>
      </w:pPr>
    </w:p>
    <w:p w14:paraId="3FD3F7B1">
      <w:pPr>
        <w:spacing w:line="99" w:lineRule="exact"/>
      </w:pPr>
    </w:p>
    <w:tbl>
      <w:tblPr>
        <w:tblStyle w:val="5"/>
        <w:tblW w:w="9076"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57D4C0C7">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46" w:hRule="atLeast"/>
        </w:trPr>
        <w:tc>
          <w:tcPr>
            <w:tcW w:w="9076" w:type="dxa"/>
            <w:vAlign w:val="top"/>
          </w:tcPr>
          <w:p w14:paraId="3C520238">
            <w:pPr>
              <w:spacing w:line="43" w:lineRule="auto"/>
              <w:rPr>
                <w:rFonts w:ascii="Arial"/>
                <w:sz w:val="2"/>
              </w:rPr>
            </w:pPr>
          </w:p>
          <w:tbl>
            <w:tblPr>
              <w:tblStyle w:val="5"/>
              <w:tblW w:w="7959"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05"/>
              <w:gridCol w:w="3557"/>
              <w:gridCol w:w="497"/>
            </w:tblGrid>
            <w:tr w14:paraId="4A98F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6" w:hRule="atLeast"/>
              </w:trPr>
              <w:tc>
                <w:tcPr>
                  <w:tcW w:w="7959" w:type="dxa"/>
                  <w:gridSpan w:val="3"/>
                  <w:tcBorders>
                    <w:top w:val="nil"/>
                    <w:right w:val="nil"/>
                  </w:tcBorders>
                  <w:vAlign w:val="top"/>
                </w:tcPr>
                <w:p w14:paraId="08CD87FB">
                  <w:pPr>
                    <w:pStyle w:val="6"/>
                    <w:spacing w:before="41" w:line="352" w:lineRule="auto"/>
                    <w:ind w:left="117"/>
                    <w:jc w:val="both"/>
                  </w:pPr>
                  <w:r>
                    <w:rPr>
                      <w:spacing w:val="-3"/>
                    </w:rPr>
                    <w:t>体森林生态系统功能发挥的前提下，应当参照《国家级公益林管理办法》第</w:t>
                  </w:r>
                  <w:r>
                    <w:rPr>
                      <w:spacing w:val="16"/>
                    </w:rPr>
                    <w:t xml:space="preserve"> </w:t>
                  </w:r>
                  <w:r>
                    <w:rPr>
                      <w:spacing w:val="-3"/>
                    </w:rPr>
                    <w:t>十二条第三款的规定开展抚育和更新性质的采伐。在不破坏森林植被的前提</w:t>
                  </w:r>
                  <w:r>
                    <w:rPr>
                      <w:spacing w:val="17"/>
                    </w:rPr>
                    <w:t xml:space="preserve"> </w:t>
                  </w:r>
                  <w:r>
                    <w:rPr>
                      <w:spacing w:val="-3"/>
                    </w:rPr>
                    <w:t>下，可以合理利用林地资源，适度开展林下种植养殖和森林游憩等非木质资</w:t>
                  </w:r>
                  <w:r>
                    <w:rPr>
                      <w:spacing w:val="17"/>
                    </w:rPr>
                    <w:t xml:space="preserve"> </w:t>
                  </w:r>
                  <w:r>
                    <w:rPr>
                      <w:spacing w:val="-1"/>
                    </w:rPr>
                    <w:t>源开发与利用，科学发展林下经济……</w:t>
                  </w:r>
                  <w:r>
                    <w:rPr>
                      <w:spacing w:val="-78"/>
                    </w:rPr>
                    <w:t xml:space="preserve"> </w:t>
                  </w:r>
                  <w:r>
                    <w:rPr>
                      <w:spacing w:val="-1"/>
                    </w:rPr>
                    <w:t>”。</w:t>
                  </w:r>
                </w:p>
                <w:p w14:paraId="1BCD8050">
                  <w:pPr>
                    <w:pStyle w:val="6"/>
                    <w:spacing w:before="38" w:line="355" w:lineRule="auto"/>
                    <w:ind w:left="113" w:firstLine="481"/>
                    <w:jc w:val="both"/>
                  </w:pPr>
                  <w:r>
                    <w:rPr>
                      <w:b/>
                      <w:bCs/>
                      <w:spacing w:val="-3"/>
                    </w:rPr>
                    <w:t>符合性分析：</w:t>
                  </w:r>
                  <w:r>
                    <w:rPr>
                      <w:spacing w:val="-3"/>
                    </w:rPr>
                    <w:t>根据项目使用林地可行性报告，光伏阵列区不涉及</w:t>
                  </w:r>
                  <w:r>
                    <w:rPr>
                      <w:spacing w:val="-4"/>
                    </w:rPr>
                    <w:t>林地，</w:t>
                  </w:r>
                  <w:r>
                    <w:t xml:space="preserve"> </w:t>
                  </w:r>
                  <w:r>
                    <w:rPr>
                      <w:spacing w:val="-1"/>
                    </w:rPr>
                    <w:t>仅</w:t>
                  </w:r>
                  <w:r>
                    <w:rPr>
                      <w:spacing w:val="-51"/>
                    </w:rPr>
                    <w:t xml:space="preserve"> </w:t>
                  </w:r>
                  <w:r>
                    <w:rPr>
                      <w:rFonts w:ascii="Times New Roman" w:hAnsi="Times New Roman" w:eastAsia="Times New Roman" w:cs="Times New Roman"/>
                      <w:spacing w:val="-1"/>
                    </w:rPr>
                    <w:t xml:space="preserve">35kv </w:t>
                  </w:r>
                  <w:r>
                    <w:rPr>
                      <w:spacing w:val="-1"/>
                    </w:rPr>
                    <w:t>集电线路一部分塔基涉及林地，其涉林部分森林</w:t>
                  </w:r>
                  <w:r>
                    <w:rPr>
                      <w:spacing w:val="-2"/>
                    </w:rPr>
                    <w:t>类别为国家二级公</w:t>
                  </w:r>
                  <w:r>
                    <w:t xml:space="preserve"> </w:t>
                  </w:r>
                  <w:r>
                    <w:rPr>
                      <w:spacing w:val="-5"/>
                    </w:rPr>
                    <w:t>益林、省级公益林、其他公益林、一般商品林地和重点商品林地，地类为乔</w:t>
                  </w:r>
                  <w:r>
                    <w:rPr>
                      <w:spacing w:val="11"/>
                    </w:rPr>
                    <w:t xml:space="preserve"> </w:t>
                  </w:r>
                  <w:r>
                    <w:rPr>
                      <w:spacing w:val="-6"/>
                    </w:rPr>
                    <w:t>木林地和其他林地，项目所占林地总面积较少为</w:t>
                  </w:r>
                  <w:r>
                    <w:rPr>
                      <w:spacing w:val="-53"/>
                    </w:rPr>
                    <w:t xml:space="preserve"> </w:t>
                  </w:r>
                  <w:r>
                    <w:rPr>
                      <w:rFonts w:ascii="Times New Roman" w:hAnsi="Times New Roman" w:eastAsia="Times New Roman" w:cs="Times New Roman"/>
                      <w:spacing w:val="-6"/>
                    </w:rPr>
                    <w:t>0.0789hm</w:t>
                  </w:r>
                  <w:r>
                    <w:rPr>
                      <w:rFonts w:ascii="Times New Roman" w:hAnsi="Times New Roman" w:eastAsia="Times New Roman" w:cs="Times New Roman"/>
                      <w:spacing w:val="-6"/>
                      <w:position w:val="8"/>
                      <w:sz w:val="15"/>
                      <w:szCs w:val="15"/>
                    </w:rPr>
                    <w:t>2</w:t>
                  </w:r>
                  <w:r>
                    <w:rPr>
                      <w:spacing w:val="-6"/>
                    </w:rPr>
                    <w:t>，依据规划数据，</w:t>
                  </w:r>
                  <w:r>
                    <w:t xml:space="preserve"> </w:t>
                  </w:r>
                  <w:r>
                    <w:rPr>
                      <w:spacing w:val="-9"/>
                    </w:rPr>
                    <w:t>可满足光伏项目用地条件。根据《云南省公益林管理办法》（云林规〔</w:t>
                  </w:r>
                  <w:r>
                    <w:rPr>
                      <w:rFonts w:ascii="Times New Roman" w:hAnsi="Times New Roman" w:eastAsia="Times New Roman" w:cs="Times New Roman"/>
                      <w:spacing w:val="-9"/>
                    </w:rPr>
                    <w:t>2019</w:t>
                  </w:r>
                  <w:r>
                    <w:rPr>
                      <w:spacing w:val="-9"/>
                    </w:rPr>
                    <w:t>〕</w:t>
                  </w:r>
                  <w:r>
                    <w:rPr>
                      <w:spacing w:val="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4"/>
                    </w:rPr>
                    <w:t xml:space="preserve"> </w:t>
                  </w:r>
                  <w:r>
                    <w:rPr>
                      <w:spacing w:val="-3"/>
                    </w:rPr>
                    <w:t>号）文件，项目建设必须依法依规办理征收占用林地</w:t>
                  </w:r>
                  <w:r>
                    <w:rPr>
                      <w:spacing w:val="-4"/>
                    </w:rPr>
                    <w:t>审批手续后方能使用</w:t>
                  </w:r>
                  <w:r>
                    <w:t xml:space="preserve"> </w:t>
                  </w:r>
                  <w:r>
                    <w:rPr>
                      <w:spacing w:val="-3"/>
                    </w:rPr>
                    <w:t>林地，未取得使用林地审核同意书不得开工建设。</w:t>
                  </w:r>
                </w:p>
                <w:p w14:paraId="740DF62A">
                  <w:pPr>
                    <w:pStyle w:val="6"/>
                    <w:spacing w:before="38" w:line="350" w:lineRule="auto"/>
                    <w:ind w:left="121" w:firstLine="480"/>
                  </w:pPr>
                  <w:r>
                    <w:rPr>
                      <w:spacing w:val="-3"/>
                    </w:rPr>
                    <w:t>项目使用林地可行性报告正在送审中，还尚未取得批复，业主承诺在办</w:t>
                  </w:r>
                  <w:r>
                    <w:rPr>
                      <w:spacing w:val="4"/>
                    </w:rPr>
                    <w:t xml:space="preserve"> </w:t>
                  </w:r>
                  <w:r>
                    <w:rPr>
                      <w:spacing w:val="5"/>
                    </w:rPr>
                    <w:t>理相关手续后再进行建设，能够满足《云南省公益林管理办</w:t>
                  </w:r>
                  <w:r>
                    <w:rPr>
                      <w:spacing w:val="4"/>
                    </w:rPr>
                    <w:t>法》（云林规</w:t>
                  </w:r>
                  <w:r>
                    <w:t xml:space="preserve"> </w:t>
                  </w:r>
                  <w:r>
                    <w:rPr>
                      <w:spacing w:val="-1"/>
                    </w:rPr>
                    <w:t>〔</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2</w:t>
                  </w:r>
                  <w:r>
                    <w:rPr>
                      <w:spacing w:val="-1"/>
                    </w:rPr>
                    <w:t>号）中相关要求。</w:t>
                  </w:r>
                </w:p>
                <w:p w14:paraId="709C8789">
                  <w:pPr>
                    <w:pStyle w:val="6"/>
                    <w:spacing w:before="32" w:line="219" w:lineRule="auto"/>
                    <w:ind w:left="594"/>
                  </w:pPr>
                  <w:r>
                    <w:rPr>
                      <w:rFonts w:ascii="Times New Roman" w:hAnsi="Times New Roman" w:eastAsia="Times New Roman" w:cs="Times New Roman"/>
                      <w:b/>
                      <w:bCs/>
                      <w:spacing w:val="-4"/>
                    </w:rPr>
                    <w:t>20</w:t>
                  </w:r>
                  <w:r>
                    <w:rPr>
                      <w:rFonts w:ascii="Times New Roman" w:hAnsi="Times New Roman" w:eastAsia="Times New Roman" w:cs="Times New Roman"/>
                      <w:b/>
                      <w:bCs/>
                      <w:spacing w:val="-25"/>
                    </w:rPr>
                    <w:t xml:space="preserve"> </w:t>
                  </w:r>
                  <w:r>
                    <w:rPr>
                      <w:b/>
                      <w:bCs/>
                      <w:spacing w:val="-4"/>
                    </w:rPr>
                    <w:t>、其它使用林地的规定符合性分析</w:t>
                  </w:r>
                </w:p>
                <w:p w14:paraId="5FCC6A52">
                  <w:pPr>
                    <w:pStyle w:val="6"/>
                    <w:spacing w:before="182" w:line="219" w:lineRule="auto"/>
                    <w:jc w:val="right"/>
                  </w:pPr>
                  <w:r>
                    <w:rPr>
                      <w:spacing w:val="-3"/>
                    </w:rPr>
                    <w:t>（</w:t>
                  </w:r>
                  <w:r>
                    <w:rPr>
                      <w:rFonts w:ascii="Times New Roman" w:hAnsi="Times New Roman" w:eastAsia="Times New Roman" w:cs="Times New Roman"/>
                      <w:spacing w:val="-3"/>
                    </w:rPr>
                    <w:t>1</w:t>
                  </w:r>
                  <w:r>
                    <w:rPr>
                      <w:spacing w:val="-3"/>
                    </w:rPr>
                    <w:t>）与《云南省林业和草原局 云南省能源局关于进一步规范光伏复合</w:t>
                  </w:r>
                </w:p>
                <w:p w14:paraId="0F98C160">
                  <w:pPr>
                    <w:pStyle w:val="6"/>
                    <w:spacing w:before="183" w:line="345" w:lineRule="auto"/>
                    <w:ind w:left="601" w:right="287" w:hanging="480"/>
                  </w:pPr>
                  <w:r>
                    <w:t>项目使用林草地有关事项的通知》（云林规</w:t>
                  </w: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5</w:t>
                  </w:r>
                  <w:r>
                    <w:rPr>
                      <w:spacing w:val="-1"/>
                    </w:rPr>
                    <w:t>号）的符合性分析</w:t>
                  </w:r>
                  <w:r>
                    <w:t xml:space="preserve"> </w:t>
                  </w:r>
                  <w:r>
                    <w:rPr>
                      <w:spacing w:val="-1"/>
                    </w:rPr>
                    <w:t>项目与云林规〔</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5</w:t>
                  </w:r>
                  <w:r>
                    <w:rPr>
                      <w:spacing w:val="-1"/>
                    </w:rPr>
                    <w:t>号通知的符合性分析见下表。</w:t>
                  </w:r>
                </w:p>
                <w:p w14:paraId="63925870">
                  <w:pPr>
                    <w:pStyle w:val="6"/>
                    <w:spacing w:before="30" w:line="219" w:lineRule="auto"/>
                    <w:ind w:left="1740"/>
                    <w:rPr>
                      <w:sz w:val="20"/>
                      <w:szCs w:val="20"/>
                    </w:rPr>
                  </w:pPr>
                  <w:r>
                    <w:rPr>
                      <w:b/>
                      <w:bCs/>
                      <w:spacing w:val="5"/>
                      <w:sz w:val="20"/>
                      <w:szCs w:val="20"/>
                    </w:rPr>
                    <w:t>表</w:t>
                  </w:r>
                  <w:r>
                    <w:rPr>
                      <w:spacing w:val="-34"/>
                      <w:sz w:val="20"/>
                      <w:szCs w:val="20"/>
                    </w:rPr>
                    <w:t xml:space="preserve"> </w:t>
                  </w:r>
                  <w:r>
                    <w:rPr>
                      <w:rFonts w:ascii="Times New Roman" w:hAnsi="Times New Roman" w:eastAsia="Times New Roman" w:cs="Times New Roman"/>
                      <w:b/>
                      <w:bCs/>
                      <w:spacing w:val="5"/>
                      <w:sz w:val="20"/>
                      <w:szCs w:val="20"/>
                    </w:rPr>
                    <w:t xml:space="preserve">1-15    </w:t>
                  </w:r>
                  <w:r>
                    <w:rPr>
                      <w:b/>
                      <w:bCs/>
                      <w:spacing w:val="5"/>
                      <w:sz w:val="20"/>
                      <w:szCs w:val="20"/>
                    </w:rPr>
                    <w:t>项目与“云林规〔</w:t>
                  </w:r>
                  <w:r>
                    <w:rPr>
                      <w:rFonts w:ascii="Times New Roman" w:hAnsi="Times New Roman" w:eastAsia="Times New Roman" w:cs="Times New Roman"/>
                      <w:b/>
                      <w:bCs/>
                      <w:spacing w:val="5"/>
                      <w:sz w:val="20"/>
                      <w:szCs w:val="20"/>
                    </w:rPr>
                    <w:t>2021</w:t>
                  </w:r>
                  <w:r>
                    <w:rPr>
                      <w:b/>
                      <w:bCs/>
                      <w:spacing w:val="5"/>
                      <w:sz w:val="20"/>
                      <w:szCs w:val="20"/>
                    </w:rPr>
                    <w:t>〕</w:t>
                  </w:r>
                  <w:r>
                    <w:rPr>
                      <w:rFonts w:ascii="Times New Roman" w:hAnsi="Times New Roman" w:eastAsia="Times New Roman" w:cs="Times New Roman"/>
                      <w:b/>
                      <w:bCs/>
                      <w:spacing w:val="5"/>
                      <w:sz w:val="20"/>
                      <w:szCs w:val="20"/>
                    </w:rPr>
                    <w:t xml:space="preserve">5 </w:t>
                  </w:r>
                  <w:r>
                    <w:rPr>
                      <w:b/>
                      <w:bCs/>
                      <w:spacing w:val="5"/>
                      <w:sz w:val="20"/>
                      <w:szCs w:val="20"/>
                    </w:rPr>
                    <w:t>号</w:t>
                  </w:r>
                  <w:r>
                    <w:rPr>
                      <w:spacing w:val="-71"/>
                      <w:sz w:val="20"/>
                      <w:szCs w:val="20"/>
                    </w:rPr>
                    <w:t xml:space="preserve"> </w:t>
                  </w:r>
                  <w:r>
                    <w:rPr>
                      <w:b/>
                      <w:bCs/>
                      <w:spacing w:val="5"/>
                      <w:sz w:val="20"/>
                      <w:szCs w:val="20"/>
                    </w:rPr>
                    <w:t>”的符合性分析</w:t>
                  </w:r>
                </w:p>
              </w:tc>
            </w:tr>
            <w:tr w14:paraId="44B23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905" w:type="dxa"/>
                  <w:vAlign w:val="top"/>
                </w:tcPr>
                <w:p w14:paraId="6D52FB4B">
                  <w:pPr>
                    <w:pStyle w:val="6"/>
                    <w:spacing w:before="304" w:line="229" w:lineRule="auto"/>
                    <w:ind w:left="1387"/>
                    <w:rPr>
                      <w:sz w:val="20"/>
                      <w:szCs w:val="20"/>
                    </w:rPr>
                  </w:pPr>
                  <w:r>
                    <w:rPr>
                      <w:b/>
                      <w:bCs/>
                      <w:spacing w:val="6"/>
                      <w:sz w:val="20"/>
                      <w:szCs w:val="20"/>
                    </w:rPr>
                    <w:t>《通知》要求</w:t>
                  </w:r>
                </w:p>
              </w:tc>
              <w:tc>
                <w:tcPr>
                  <w:tcW w:w="3557" w:type="dxa"/>
                  <w:vAlign w:val="top"/>
                </w:tcPr>
                <w:p w14:paraId="255843CE">
                  <w:pPr>
                    <w:pStyle w:val="6"/>
                    <w:spacing w:before="304" w:line="227" w:lineRule="auto"/>
                    <w:ind w:left="1257"/>
                    <w:rPr>
                      <w:sz w:val="20"/>
                      <w:szCs w:val="20"/>
                    </w:rPr>
                  </w:pPr>
                  <w:r>
                    <w:rPr>
                      <w:b/>
                      <w:bCs/>
                      <w:spacing w:val="6"/>
                      <w:sz w:val="20"/>
                      <w:szCs w:val="20"/>
                    </w:rPr>
                    <w:t>本项目情况</w:t>
                  </w:r>
                </w:p>
              </w:tc>
              <w:tc>
                <w:tcPr>
                  <w:tcW w:w="497" w:type="dxa"/>
                  <w:textDirection w:val="tbRlV"/>
                  <w:vAlign w:val="top"/>
                </w:tcPr>
                <w:p w14:paraId="4BCDB404">
                  <w:pPr>
                    <w:pStyle w:val="6"/>
                    <w:spacing w:before="143" w:line="215" w:lineRule="auto"/>
                    <w:ind w:left="30"/>
                    <w:rPr>
                      <w:sz w:val="20"/>
                      <w:szCs w:val="20"/>
                    </w:rPr>
                  </w:pPr>
                  <w:r>
                    <w:rPr>
                      <w:b/>
                      <w:bCs/>
                      <w:spacing w:val="6"/>
                      <w:sz w:val="20"/>
                      <w:szCs w:val="20"/>
                    </w:rPr>
                    <w:t>符</w:t>
                  </w:r>
                  <w:r>
                    <w:rPr>
                      <w:spacing w:val="-35"/>
                      <w:sz w:val="20"/>
                      <w:szCs w:val="20"/>
                    </w:rPr>
                    <w:t xml:space="preserve"> </w:t>
                  </w:r>
                  <w:r>
                    <w:rPr>
                      <w:b/>
                      <w:bCs/>
                      <w:spacing w:val="6"/>
                      <w:sz w:val="20"/>
                      <w:szCs w:val="20"/>
                    </w:rPr>
                    <w:t>合</w:t>
                  </w:r>
                  <w:r>
                    <w:rPr>
                      <w:spacing w:val="-37"/>
                      <w:sz w:val="20"/>
                      <w:szCs w:val="20"/>
                    </w:rPr>
                    <w:t xml:space="preserve"> </w:t>
                  </w:r>
                  <w:r>
                    <w:rPr>
                      <w:b/>
                      <w:bCs/>
                      <w:spacing w:val="6"/>
                      <w:sz w:val="20"/>
                      <w:szCs w:val="20"/>
                    </w:rPr>
                    <w:t>性</w:t>
                  </w:r>
                </w:p>
              </w:tc>
            </w:tr>
            <w:tr w14:paraId="0ACF1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trPr>
              <w:tc>
                <w:tcPr>
                  <w:tcW w:w="3905" w:type="dxa"/>
                  <w:vAlign w:val="top"/>
                </w:tcPr>
                <w:p w14:paraId="7CFAF34D">
                  <w:pPr>
                    <w:spacing w:line="320" w:lineRule="auto"/>
                    <w:rPr>
                      <w:rFonts w:ascii="Arial"/>
                      <w:sz w:val="21"/>
                    </w:rPr>
                  </w:pPr>
                </w:p>
                <w:p w14:paraId="5A55BA1D">
                  <w:pPr>
                    <w:spacing w:line="321" w:lineRule="auto"/>
                    <w:rPr>
                      <w:rFonts w:ascii="Arial"/>
                      <w:sz w:val="21"/>
                    </w:rPr>
                  </w:pPr>
                </w:p>
                <w:p w14:paraId="464E8C85">
                  <w:pPr>
                    <w:pStyle w:val="6"/>
                    <w:spacing w:before="65" w:line="227" w:lineRule="auto"/>
                    <w:ind w:left="228"/>
                    <w:rPr>
                      <w:sz w:val="20"/>
                      <w:szCs w:val="20"/>
                    </w:rPr>
                  </w:pPr>
                  <w:r>
                    <w:rPr>
                      <w:spacing w:val="3"/>
                      <w:sz w:val="20"/>
                      <w:szCs w:val="20"/>
                    </w:rPr>
                    <w:t>选址要求</w:t>
                  </w:r>
                  <w:r>
                    <w:rPr>
                      <w:rFonts w:ascii="Times New Roman" w:hAnsi="Times New Roman" w:eastAsia="Times New Roman" w:cs="Times New Roman"/>
                      <w:spacing w:val="3"/>
                      <w:sz w:val="20"/>
                      <w:szCs w:val="20"/>
                    </w:rPr>
                    <w:t>1</w:t>
                  </w:r>
                  <w:r>
                    <w:rPr>
                      <w:spacing w:val="3"/>
                      <w:sz w:val="20"/>
                      <w:szCs w:val="20"/>
                    </w:rPr>
                    <w:t>：光伏复合项目禁止在国家公</w:t>
                  </w:r>
                </w:p>
                <w:p w14:paraId="48D9D1E6">
                  <w:pPr>
                    <w:pStyle w:val="6"/>
                    <w:spacing w:before="27" w:line="228" w:lineRule="auto"/>
                    <w:ind w:left="246"/>
                    <w:rPr>
                      <w:sz w:val="20"/>
                      <w:szCs w:val="20"/>
                    </w:rPr>
                  </w:pPr>
                  <w:r>
                    <w:rPr>
                      <w:spacing w:val="5"/>
                      <w:sz w:val="20"/>
                      <w:szCs w:val="20"/>
                    </w:rPr>
                    <w:t>园、</w:t>
                  </w:r>
                  <w:r>
                    <w:rPr>
                      <w:spacing w:val="-43"/>
                      <w:sz w:val="20"/>
                      <w:szCs w:val="20"/>
                    </w:rPr>
                    <w:t xml:space="preserve"> </w:t>
                  </w:r>
                  <w:r>
                    <w:rPr>
                      <w:spacing w:val="5"/>
                      <w:sz w:val="20"/>
                      <w:szCs w:val="20"/>
                    </w:rPr>
                    <w:t>自然保护区、森林公园、风景名胜</w:t>
                  </w:r>
                </w:p>
                <w:p w14:paraId="772F076C">
                  <w:pPr>
                    <w:pStyle w:val="6"/>
                    <w:spacing w:before="24" w:line="228" w:lineRule="auto"/>
                    <w:ind w:left="245"/>
                    <w:rPr>
                      <w:sz w:val="20"/>
                      <w:szCs w:val="20"/>
                    </w:rPr>
                  </w:pPr>
                  <w:r>
                    <w:rPr>
                      <w:spacing w:val="8"/>
                      <w:sz w:val="20"/>
                      <w:szCs w:val="20"/>
                    </w:rPr>
                    <w:t>区、草原公园等各类自然保护地，世界</w:t>
                  </w:r>
                </w:p>
                <w:p w14:paraId="79723083">
                  <w:pPr>
                    <w:pStyle w:val="6"/>
                    <w:spacing w:before="26" w:line="228" w:lineRule="auto"/>
                    <w:ind w:left="264"/>
                    <w:rPr>
                      <w:sz w:val="20"/>
                      <w:szCs w:val="20"/>
                    </w:rPr>
                  </w:pPr>
                  <w:r>
                    <w:rPr>
                      <w:spacing w:val="7"/>
                      <w:sz w:val="20"/>
                      <w:szCs w:val="20"/>
                    </w:rPr>
                    <w:t>自然遗产地，野生动物重要栖息地，珍</w:t>
                  </w:r>
                </w:p>
                <w:p w14:paraId="43571C15">
                  <w:pPr>
                    <w:pStyle w:val="6"/>
                    <w:spacing w:before="24" w:line="228" w:lineRule="auto"/>
                    <w:ind w:left="334"/>
                    <w:rPr>
                      <w:sz w:val="20"/>
                      <w:szCs w:val="20"/>
                    </w:rPr>
                  </w:pPr>
                  <w:r>
                    <w:rPr>
                      <w:spacing w:val="9"/>
                      <w:sz w:val="20"/>
                      <w:szCs w:val="20"/>
                    </w:rPr>
                    <w:t>稀濒危和极小种群野生植物重要原生</w:t>
                  </w:r>
                </w:p>
                <w:p w14:paraId="3EDA694E">
                  <w:pPr>
                    <w:pStyle w:val="6"/>
                    <w:spacing w:before="24" w:line="227" w:lineRule="auto"/>
                    <w:ind w:left="230"/>
                    <w:rPr>
                      <w:sz w:val="20"/>
                      <w:szCs w:val="20"/>
                    </w:rPr>
                  </w:pPr>
                  <w:r>
                    <w:rPr>
                      <w:spacing w:val="9"/>
                      <w:sz w:val="20"/>
                      <w:szCs w:val="20"/>
                    </w:rPr>
                    <w:t>境，天然林保护重点区域、基本草原以</w:t>
                  </w:r>
                </w:p>
                <w:p w14:paraId="6F5787AC">
                  <w:pPr>
                    <w:pStyle w:val="6"/>
                    <w:spacing w:before="27" w:line="228" w:lineRule="auto"/>
                    <w:ind w:left="965"/>
                    <w:rPr>
                      <w:sz w:val="20"/>
                      <w:szCs w:val="20"/>
                    </w:rPr>
                  </w:pPr>
                  <w:r>
                    <w:rPr>
                      <w:spacing w:val="9"/>
                      <w:sz w:val="20"/>
                      <w:szCs w:val="20"/>
                    </w:rPr>
                    <w:t>及生态保护红线内建设</w:t>
                  </w:r>
                </w:p>
              </w:tc>
              <w:tc>
                <w:tcPr>
                  <w:tcW w:w="3557" w:type="dxa"/>
                  <w:vAlign w:val="top"/>
                </w:tcPr>
                <w:p w14:paraId="0F9E8B05">
                  <w:pPr>
                    <w:pStyle w:val="6"/>
                    <w:spacing w:before="26" w:line="249" w:lineRule="auto"/>
                    <w:ind w:left="117" w:right="104" w:firstLine="92"/>
                    <w:rPr>
                      <w:sz w:val="20"/>
                      <w:szCs w:val="20"/>
                    </w:rPr>
                  </w:pPr>
                  <w:r>
                    <w:rPr>
                      <w:spacing w:val="9"/>
                      <w:sz w:val="20"/>
                      <w:szCs w:val="20"/>
                    </w:rPr>
                    <w:t>根据寻甸回族彝族自治县林业和草</w:t>
                  </w:r>
                  <w:r>
                    <w:rPr>
                      <w:spacing w:val="1"/>
                      <w:sz w:val="20"/>
                      <w:szCs w:val="20"/>
                    </w:rPr>
                    <w:t xml:space="preserve">  </w:t>
                  </w:r>
                  <w:r>
                    <w:rPr>
                      <w:spacing w:val="6"/>
                      <w:sz w:val="20"/>
                      <w:szCs w:val="20"/>
                    </w:rPr>
                    <w:t>原局</w:t>
                  </w:r>
                  <w:r>
                    <w:rPr>
                      <w:rFonts w:ascii="Times New Roman" w:hAnsi="Times New Roman" w:eastAsia="Times New Roman" w:cs="Times New Roman"/>
                      <w:spacing w:val="6"/>
                      <w:sz w:val="20"/>
                      <w:szCs w:val="20"/>
                    </w:rPr>
                    <w:t>2024</w:t>
                  </w:r>
                  <w:r>
                    <w:rPr>
                      <w:spacing w:val="6"/>
                      <w:sz w:val="20"/>
                      <w:szCs w:val="20"/>
                    </w:rPr>
                    <w:t>年</w:t>
                  </w:r>
                  <w:r>
                    <w:rPr>
                      <w:rFonts w:ascii="Times New Roman" w:hAnsi="Times New Roman" w:eastAsia="Times New Roman" w:cs="Times New Roman"/>
                      <w:spacing w:val="6"/>
                      <w:sz w:val="20"/>
                      <w:szCs w:val="20"/>
                    </w:rPr>
                    <w:t>6</w:t>
                  </w:r>
                  <w:r>
                    <w:rPr>
                      <w:spacing w:val="6"/>
                      <w:sz w:val="20"/>
                      <w:szCs w:val="20"/>
                    </w:rPr>
                    <w:t>月</w:t>
                  </w:r>
                  <w:r>
                    <w:rPr>
                      <w:rFonts w:ascii="Times New Roman" w:hAnsi="Times New Roman" w:eastAsia="Times New Roman" w:cs="Times New Roman"/>
                      <w:spacing w:val="6"/>
                      <w:sz w:val="20"/>
                      <w:szCs w:val="20"/>
                    </w:rPr>
                    <w:t>5</w:t>
                  </w:r>
                  <w:r>
                    <w:rPr>
                      <w:spacing w:val="6"/>
                      <w:sz w:val="20"/>
                      <w:szCs w:val="20"/>
                    </w:rPr>
                    <w:t>日出具的《寻甸回族</w:t>
                  </w:r>
                  <w:r>
                    <w:rPr>
                      <w:spacing w:val="14"/>
                      <w:sz w:val="20"/>
                      <w:szCs w:val="20"/>
                    </w:rPr>
                    <w:t xml:space="preserve"> </w:t>
                  </w:r>
                  <w:r>
                    <w:rPr>
                      <w:spacing w:val="15"/>
                      <w:sz w:val="20"/>
                      <w:szCs w:val="20"/>
                    </w:rPr>
                    <w:t>彝族自治县林业和草原局关于化桃</w:t>
                  </w:r>
                  <w:r>
                    <w:rPr>
                      <w:spacing w:val="3"/>
                      <w:sz w:val="20"/>
                      <w:szCs w:val="20"/>
                    </w:rPr>
                    <w:t xml:space="preserve">  </w:t>
                  </w:r>
                  <w:r>
                    <w:rPr>
                      <w:spacing w:val="8"/>
                      <w:sz w:val="20"/>
                      <w:szCs w:val="20"/>
                    </w:rPr>
                    <w:t>箐光伏发电项目选址意见的复函》，</w:t>
                  </w:r>
                  <w:r>
                    <w:rPr>
                      <w:sz w:val="20"/>
                      <w:szCs w:val="20"/>
                    </w:rPr>
                    <w:t xml:space="preserve"> </w:t>
                  </w:r>
                  <w:r>
                    <w:rPr>
                      <w:spacing w:val="8"/>
                      <w:sz w:val="20"/>
                      <w:szCs w:val="20"/>
                    </w:rPr>
                    <w:t>项目不涉及国家公园、各级自然保护</w:t>
                  </w:r>
                  <w:r>
                    <w:rPr>
                      <w:sz w:val="20"/>
                      <w:szCs w:val="20"/>
                    </w:rPr>
                    <w:t xml:space="preserve"> </w:t>
                  </w:r>
                  <w:r>
                    <w:rPr>
                      <w:spacing w:val="8"/>
                      <w:sz w:val="20"/>
                      <w:szCs w:val="20"/>
                    </w:rPr>
                    <w:t>区、森林公园、风景名胜区、草原公</w:t>
                  </w:r>
                  <w:r>
                    <w:rPr>
                      <w:sz w:val="20"/>
                      <w:szCs w:val="20"/>
                    </w:rPr>
                    <w:t xml:space="preserve"> </w:t>
                  </w:r>
                  <w:r>
                    <w:rPr>
                      <w:spacing w:val="5"/>
                      <w:sz w:val="20"/>
                      <w:szCs w:val="20"/>
                    </w:rPr>
                    <w:t>园、</w:t>
                  </w:r>
                  <w:r>
                    <w:rPr>
                      <w:spacing w:val="-52"/>
                      <w:sz w:val="20"/>
                      <w:szCs w:val="20"/>
                    </w:rPr>
                    <w:t xml:space="preserve"> </w:t>
                  </w:r>
                  <w:r>
                    <w:rPr>
                      <w:spacing w:val="5"/>
                      <w:sz w:val="20"/>
                      <w:szCs w:val="20"/>
                    </w:rPr>
                    <w:t>自然保护区、基本草原，不涉及</w:t>
                  </w:r>
                  <w:r>
                    <w:rPr>
                      <w:sz w:val="20"/>
                      <w:szCs w:val="20"/>
                    </w:rPr>
                    <w:t xml:space="preserve"> </w:t>
                  </w:r>
                  <w:r>
                    <w:rPr>
                      <w:spacing w:val="8"/>
                      <w:sz w:val="20"/>
                      <w:szCs w:val="20"/>
                    </w:rPr>
                    <w:t>项目禁用的林草地地类；根据查阅相</w:t>
                  </w:r>
                  <w:r>
                    <w:rPr>
                      <w:sz w:val="20"/>
                      <w:szCs w:val="20"/>
                    </w:rPr>
                    <w:t xml:space="preserve"> </w:t>
                  </w:r>
                  <w:r>
                    <w:rPr>
                      <w:spacing w:val="8"/>
                      <w:sz w:val="20"/>
                      <w:szCs w:val="20"/>
                    </w:rPr>
                    <w:t>关资料和对当地林业部门的走访，项</w:t>
                  </w:r>
                </w:p>
                <w:p w14:paraId="5C852152">
                  <w:pPr>
                    <w:pStyle w:val="6"/>
                    <w:spacing w:before="27" w:line="226" w:lineRule="auto"/>
                    <w:ind w:left="250"/>
                    <w:rPr>
                      <w:sz w:val="20"/>
                      <w:szCs w:val="20"/>
                    </w:rPr>
                  </w:pPr>
                  <w:r>
                    <w:rPr>
                      <w:spacing w:val="6"/>
                      <w:sz w:val="20"/>
                      <w:szCs w:val="20"/>
                    </w:rPr>
                    <w:t>目评价范围内不涉及野生动物重要</w:t>
                  </w:r>
                </w:p>
                <w:p w14:paraId="5F319233">
                  <w:pPr>
                    <w:pStyle w:val="6"/>
                    <w:spacing w:before="28" w:line="234" w:lineRule="auto"/>
                    <w:ind w:left="1050" w:right="104" w:hanging="935"/>
                    <w:rPr>
                      <w:sz w:val="20"/>
                      <w:szCs w:val="20"/>
                    </w:rPr>
                  </w:pPr>
                  <w:r>
                    <w:rPr>
                      <w:spacing w:val="8"/>
                      <w:sz w:val="20"/>
                      <w:szCs w:val="20"/>
                    </w:rPr>
                    <w:t>栖息地，珍稀濒危和极小种群野生植</w:t>
                  </w:r>
                  <w:r>
                    <w:rPr>
                      <w:spacing w:val="2"/>
                      <w:sz w:val="20"/>
                      <w:szCs w:val="20"/>
                    </w:rPr>
                    <w:t xml:space="preserve"> </w:t>
                  </w:r>
                  <w:r>
                    <w:rPr>
                      <w:spacing w:val="7"/>
                      <w:sz w:val="20"/>
                      <w:szCs w:val="20"/>
                    </w:rPr>
                    <w:t>物重要原生境。</w:t>
                  </w:r>
                </w:p>
              </w:tc>
              <w:tc>
                <w:tcPr>
                  <w:tcW w:w="497" w:type="dxa"/>
                  <w:textDirection w:val="tbRlV"/>
                  <w:vAlign w:val="top"/>
                </w:tcPr>
                <w:p w14:paraId="12E3046A">
                  <w:pPr>
                    <w:pStyle w:val="6"/>
                    <w:spacing w:before="143" w:line="215" w:lineRule="auto"/>
                    <w:ind w:left="1392"/>
                    <w:rPr>
                      <w:sz w:val="20"/>
                      <w:szCs w:val="20"/>
                    </w:rPr>
                  </w:pPr>
                  <w:r>
                    <w:rPr>
                      <w:spacing w:val="8"/>
                      <w:sz w:val="20"/>
                      <w:szCs w:val="20"/>
                    </w:rPr>
                    <w:t>符</w:t>
                  </w:r>
                  <w:r>
                    <w:rPr>
                      <w:spacing w:val="-38"/>
                      <w:sz w:val="20"/>
                      <w:szCs w:val="20"/>
                    </w:rPr>
                    <w:t xml:space="preserve"> </w:t>
                  </w:r>
                  <w:r>
                    <w:rPr>
                      <w:spacing w:val="8"/>
                      <w:sz w:val="20"/>
                      <w:szCs w:val="20"/>
                    </w:rPr>
                    <w:t>合</w:t>
                  </w:r>
                </w:p>
              </w:tc>
            </w:tr>
            <w:tr w14:paraId="5D185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3905" w:type="dxa"/>
                  <w:tcBorders>
                    <w:bottom w:val="nil"/>
                  </w:tcBorders>
                  <w:vAlign w:val="top"/>
                </w:tcPr>
                <w:p w14:paraId="4628A8F3">
                  <w:pPr>
                    <w:pStyle w:val="6"/>
                    <w:spacing w:before="31" w:line="243" w:lineRule="auto"/>
                    <w:ind w:left="228" w:right="107"/>
                    <w:jc w:val="both"/>
                    <w:rPr>
                      <w:sz w:val="20"/>
                      <w:szCs w:val="20"/>
                    </w:rPr>
                  </w:pPr>
                  <w:r>
                    <w:rPr>
                      <w:spacing w:val="3"/>
                      <w:sz w:val="20"/>
                      <w:szCs w:val="20"/>
                    </w:rPr>
                    <w:t>选址要求</w:t>
                  </w:r>
                  <w:r>
                    <w:rPr>
                      <w:rFonts w:ascii="Times New Roman" w:hAnsi="Times New Roman" w:eastAsia="Times New Roman" w:cs="Times New Roman"/>
                      <w:spacing w:val="3"/>
                      <w:sz w:val="20"/>
                      <w:szCs w:val="20"/>
                    </w:rPr>
                    <w:t>2</w:t>
                  </w:r>
                  <w:r>
                    <w:rPr>
                      <w:spacing w:val="3"/>
                      <w:sz w:val="20"/>
                      <w:szCs w:val="20"/>
                    </w:rPr>
                    <w:t>：光伏复合项目的生产区（包</w:t>
                  </w:r>
                  <w:r>
                    <w:rPr>
                      <w:spacing w:val="9"/>
                      <w:sz w:val="20"/>
                      <w:szCs w:val="20"/>
                    </w:rPr>
                    <w:t xml:space="preserve"> 括升压站、配电室、控制室、新建进场</w:t>
                  </w:r>
                  <w:r>
                    <w:rPr>
                      <w:spacing w:val="7"/>
                      <w:sz w:val="20"/>
                      <w:szCs w:val="20"/>
                    </w:rPr>
                    <w:t xml:space="preserve"> </w:t>
                  </w:r>
                  <w:r>
                    <w:rPr>
                      <w:spacing w:val="9"/>
                      <w:sz w:val="20"/>
                      <w:szCs w:val="20"/>
                    </w:rPr>
                    <w:t>道路、新建场内检修道路、集电线路塔</w:t>
                  </w:r>
                </w:p>
              </w:tc>
              <w:tc>
                <w:tcPr>
                  <w:tcW w:w="3557" w:type="dxa"/>
                  <w:tcBorders>
                    <w:bottom w:val="nil"/>
                  </w:tcBorders>
                  <w:vAlign w:val="top"/>
                </w:tcPr>
                <w:p w14:paraId="175A483B">
                  <w:pPr>
                    <w:pStyle w:val="6"/>
                    <w:spacing w:before="31" w:line="243" w:lineRule="auto"/>
                    <w:ind w:left="113" w:right="104" w:firstLine="1"/>
                    <w:rPr>
                      <w:sz w:val="20"/>
                      <w:szCs w:val="20"/>
                    </w:rPr>
                  </w:pPr>
                  <w:r>
                    <w:rPr>
                      <w:spacing w:val="8"/>
                      <w:sz w:val="20"/>
                      <w:szCs w:val="20"/>
                    </w:rPr>
                    <w:t>本项目生产区未占用天然乔木林地；</w:t>
                  </w:r>
                  <w:r>
                    <w:rPr>
                      <w:spacing w:val="3"/>
                      <w:sz w:val="20"/>
                      <w:szCs w:val="20"/>
                    </w:rPr>
                    <w:t xml:space="preserve"> </w:t>
                  </w:r>
                  <w:r>
                    <w:rPr>
                      <w:spacing w:val="8"/>
                      <w:sz w:val="20"/>
                      <w:szCs w:val="20"/>
                    </w:rPr>
                    <w:t>施工期临时设置的堆料场、拌合区、</w:t>
                  </w:r>
                  <w:r>
                    <w:rPr>
                      <w:spacing w:val="4"/>
                      <w:sz w:val="20"/>
                      <w:szCs w:val="20"/>
                    </w:rPr>
                    <w:t xml:space="preserve"> </w:t>
                  </w:r>
                  <w:r>
                    <w:rPr>
                      <w:spacing w:val="8"/>
                      <w:sz w:val="20"/>
                      <w:szCs w:val="20"/>
                    </w:rPr>
                    <w:t>工棚、临时施工道路等，未占用乔木</w:t>
                  </w:r>
                </w:p>
              </w:tc>
              <w:tc>
                <w:tcPr>
                  <w:tcW w:w="497" w:type="dxa"/>
                  <w:tcBorders>
                    <w:bottom w:val="nil"/>
                  </w:tcBorders>
                  <w:textDirection w:val="tbRlV"/>
                  <w:vAlign w:val="top"/>
                </w:tcPr>
                <w:p w14:paraId="70CCC623">
                  <w:pPr>
                    <w:pStyle w:val="6"/>
                    <w:spacing w:before="143" w:line="215" w:lineRule="auto"/>
                    <w:ind w:left="166"/>
                    <w:rPr>
                      <w:sz w:val="20"/>
                      <w:szCs w:val="20"/>
                    </w:rPr>
                  </w:pPr>
                  <w:r>
                    <w:rPr>
                      <w:spacing w:val="8"/>
                      <w:sz w:val="20"/>
                      <w:szCs w:val="20"/>
                    </w:rPr>
                    <w:t>符</w:t>
                  </w:r>
                  <w:r>
                    <w:rPr>
                      <w:spacing w:val="-35"/>
                      <w:sz w:val="20"/>
                      <w:szCs w:val="20"/>
                    </w:rPr>
                    <w:t xml:space="preserve"> </w:t>
                  </w:r>
                  <w:r>
                    <w:rPr>
                      <w:spacing w:val="8"/>
                      <w:sz w:val="20"/>
                      <w:szCs w:val="20"/>
                    </w:rPr>
                    <w:t>合</w:t>
                  </w:r>
                </w:p>
              </w:tc>
            </w:tr>
          </w:tbl>
          <w:p w14:paraId="33A13071">
            <w:pPr>
              <w:spacing w:line="14" w:lineRule="auto"/>
              <w:rPr>
                <w:rFonts w:ascii="Arial"/>
                <w:sz w:val="2"/>
              </w:rPr>
            </w:pPr>
          </w:p>
        </w:tc>
      </w:tr>
    </w:tbl>
    <w:p w14:paraId="72DAE12F">
      <w:pPr>
        <w:rPr>
          <w:rFonts w:ascii="Arial"/>
          <w:sz w:val="21"/>
        </w:rPr>
      </w:pPr>
    </w:p>
    <w:p w14:paraId="1A1CB0BF">
      <w:pPr>
        <w:rPr>
          <w:rFonts w:ascii="Arial" w:hAnsi="Arial" w:eastAsia="Arial" w:cs="Arial"/>
          <w:sz w:val="21"/>
          <w:szCs w:val="21"/>
        </w:rPr>
        <w:sectPr>
          <w:footerReference r:id="rId41" w:type="default"/>
          <w:pgSz w:w="11906" w:h="16839"/>
          <w:pgMar w:top="1431" w:right="1407" w:bottom="1278" w:left="1407" w:header="0" w:footer="1116" w:gutter="0"/>
          <w:cols w:space="720" w:num="1"/>
        </w:sectPr>
      </w:pPr>
    </w:p>
    <w:p w14:paraId="42EE2225">
      <w:pPr>
        <w:spacing w:line="99" w:lineRule="exact"/>
      </w:pPr>
      <w:r>
        <w:pict>
          <v:shape id="_x0000_s1046" o:spid="_x0000_s1046" style="position:absolute;left:0pt;margin-left:518.55pt;margin-top:77.85pt;height:683.75pt;width:0.5pt;mso-position-horizontal-relative:page;mso-position-vertical-relative:page;z-index:251682816;mso-width-relative:page;mso-height-relative:page;" filled="f" stroked="t" coordsize="10,13675" o:allowincell="f" path="m4,0l4,13675e">
            <v:fill on="f" focussize="0,0"/>
            <v:stroke weight="0.48pt" color="#000000" miterlimit="2" joinstyle="bevel"/>
            <v:imagedata o:title=""/>
            <o:lock v:ext="edit"/>
          </v:shape>
        </w:pict>
      </w:r>
    </w:p>
    <w:tbl>
      <w:tblPr>
        <w:tblStyle w:val="5"/>
        <w:tblW w:w="90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7"/>
        <w:gridCol w:w="3784"/>
        <w:gridCol w:w="3553"/>
        <w:gridCol w:w="612"/>
      </w:tblGrid>
      <w:tr w14:paraId="75295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9" w:hRule="atLeast"/>
        </w:trPr>
        <w:tc>
          <w:tcPr>
            <w:tcW w:w="1127" w:type="dxa"/>
            <w:vMerge w:val="restart"/>
            <w:tcBorders>
              <w:top w:val="single" w:color="000000" w:sz="6" w:space="0"/>
              <w:left w:val="single" w:color="000000" w:sz="6" w:space="0"/>
              <w:bottom w:val="nil"/>
            </w:tcBorders>
            <w:vAlign w:val="top"/>
          </w:tcPr>
          <w:p w14:paraId="4E7BFCA7">
            <w:pPr>
              <w:rPr>
                <w:rFonts w:ascii="Arial"/>
                <w:sz w:val="21"/>
              </w:rPr>
            </w:pPr>
            <w:r>
              <w:pict>
                <v:shape id="_x0000_s1047" o:spid="_x0000_s1047" style="position:absolute;left:0pt;margin-left:50.2pt;margin-top:0.95pt;height:685.1pt;width:0.5pt;mso-position-horizontal-relative:page;mso-position-vertical-relative:page;z-index:251681792;mso-width-relative:page;mso-height-relative:page;" filled="f" stroked="t" coordsize="10,13701" path="m4,0l4,13701e">
                  <v:fill on="f" focussize="0,0"/>
                  <v:stroke weight="0.48pt" color="#000000" miterlimit="2" joinstyle="bevel"/>
                  <v:imagedata o:title=""/>
                  <o:lock v:ext="edit"/>
                </v:shape>
              </w:pict>
            </w:r>
          </w:p>
        </w:tc>
        <w:tc>
          <w:tcPr>
            <w:tcW w:w="3784" w:type="dxa"/>
            <w:tcBorders>
              <w:top w:val="single" w:color="000000" w:sz="6" w:space="0"/>
            </w:tcBorders>
            <w:vAlign w:val="top"/>
          </w:tcPr>
          <w:p w14:paraId="19360EB3">
            <w:pPr>
              <w:pStyle w:val="6"/>
              <w:spacing w:before="53" w:line="249" w:lineRule="auto"/>
              <w:ind w:left="107" w:right="107"/>
              <w:rPr>
                <w:sz w:val="20"/>
                <w:szCs w:val="20"/>
              </w:rPr>
            </w:pPr>
            <w:r>
              <w:rPr>
                <w:spacing w:val="9"/>
                <w:sz w:val="20"/>
                <w:szCs w:val="20"/>
              </w:rPr>
              <w:t>基等）、生活区（包括办公、住宿、食</w:t>
            </w:r>
            <w:r>
              <w:rPr>
                <w:spacing w:val="6"/>
                <w:sz w:val="20"/>
                <w:szCs w:val="20"/>
              </w:rPr>
              <w:t xml:space="preserve"> </w:t>
            </w:r>
            <w:r>
              <w:rPr>
                <w:spacing w:val="8"/>
                <w:sz w:val="20"/>
                <w:szCs w:val="20"/>
              </w:rPr>
              <w:t>堂、活动场所、仓库等附属设施</w:t>
            </w:r>
            <w:r>
              <w:rPr>
                <w:spacing w:val="20"/>
                <w:sz w:val="20"/>
                <w:szCs w:val="20"/>
              </w:rPr>
              <w:t>），</w:t>
            </w:r>
            <w:r>
              <w:rPr>
                <w:spacing w:val="8"/>
                <w:sz w:val="20"/>
                <w:szCs w:val="20"/>
              </w:rPr>
              <w:t>禁</w:t>
            </w:r>
            <w:r>
              <w:rPr>
                <w:sz w:val="20"/>
                <w:szCs w:val="20"/>
              </w:rPr>
              <w:t xml:space="preserve"> </w:t>
            </w:r>
            <w:r>
              <w:rPr>
                <w:spacing w:val="9"/>
                <w:sz w:val="20"/>
                <w:szCs w:val="20"/>
              </w:rPr>
              <w:t>止使用天然乔木林地；施工期临时设置</w:t>
            </w:r>
            <w:r>
              <w:rPr>
                <w:spacing w:val="7"/>
                <w:sz w:val="20"/>
                <w:szCs w:val="20"/>
              </w:rPr>
              <w:t xml:space="preserve"> </w:t>
            </w:r>
            <w:r>
              <w:rPr>
                <w:spacing w:val="9"/>
                <w:sz w:val="20"/>
                <w:szCs w:val="20"/>
              </w:rPr>
              <w:t>的弃渣场、取土场、砂石场、堆料场、</w:t>
            </w:r>
            <w:r>
              <w:rPr>
                <w:spacing w:val="10"/>
                <w:sz w:val="20"/>
                <w:szCs w:val="20"/>
              </w:rPr>
              <w:t xml:space="preserve"> </w:t>
            </w:r>
            <w:r>
              <w:rPr>
                <w:spacing w:val="9"/>
                <w:sz w:val="20"/>
                <w:szCs w:val="20"/>
              </w:rPr>
              <w:t>拌合站、工棚、临时施工道路等，禁止</w:t>
            </w:r>
            <w:r>
              <w:rPr>
                <w:spacing w:val="7"/>
                <w:sz w:val="20"/>
                <w:szCs w:val="20"/>
              </w:rPr>
              <w:t xml:space="preserve"> </w:t>
            </w:r>
            <w:r>
              <w:rPr>
                <w:spacing w:val="6"/>
                <w:sz w:val="20"/>
                <w:szCs w:val="20"/>
              </w:rPr>
              <w:t>使用乔木林地；</w:t>
            </w:r>
            <w:r>
              <w:rPr>
                <w:spacing w:val="-42"/>
                <w:sz w:val="20"/>
                <w:szCs w:val="20"/>
              </w:rPr>
              <w:t xml:space="preserve"> </w:t>
            </w:r>
            <w:r>
              <w:rPr>
                <w:spacing w:val="6"/>
                <w:sz w:val="20"/>
                <w:szCs w:val="20"/>
              </w:rPr>
              <w:t>电池组件阵列禁止使用</w:t>
            </w:r>
            <w:r>
              <w:rPr>
                <w:sz w:val="20"/>
                <w:szCs w:val="20"/>
              </w:rPr>
              <w:t xml:space="preserve"> </w:t>
            </w:r>
            <w:r>
              <w:rPr>
                <w:spacing w:val="9"/>
                <w:sz w:val="20"/>
                <w:szCs w:val="20"/>
              </w:rPr>
              <w:t>有林地、疏林地、未成林造林地、采伐</w:t>
            </w:r>
            <w:r>
              <w:rPr>
                <w:spacing w:val="7"/>
                <w:sz w:val="20"/>
                <w:szCs w:val="20"/>
              </w:rPr>
              <w:t xml:space="preserve"> </w:t>
            </w:r>
            <w:r>
              <w:rPr>
                <w:spacing w:val="3"/>
                <w:sz w:val="20"/>
                <w:szCs w:val="20"/>
              </w:rPr>
              <w:t>迹地、火烧迹地，以及年降雨量</w:t>
            </w:r>
            <w:r>
              <w:rPr>
                <w:rFonts w:ascii="Times New Roman" w:hAnsi="Times New Roman" w:eastAsia="Times New Roman" w:cs="Times New Roman"/>
                <w:spacing w:val="3"/>
                <w:sz w:val="20"/>
                <w:szCs w:val="20"/>
              </w:rPr>
              <w:t>400</w:t>
            </w:r>
            <w:r>
              <w:rPr>
                <w:spacing w:val="3"/>
                <w:sz w:val="20"/>
                <w:szCs w:val="20"/>
              </w:rPr>
              <w:t>毫米</w:t>
            </w:r>
            <w:r>
              <w:rPr>
                <w:spacing w:val="6"/>
                <w:sz w:val="20"/>
                <w:szCs w:val="20"/>
              </w:rPr>
              <w:t xml:space="preserve"> </w:t>
            </w:r>
            <w:r>
              <w:rPr>
                <w:spacing w:val="9"/>
                <w:sz w:val="20"/>
                <w:szCs w:val="20"/>
              </w:rPr>
              <w:t>以下区域覆盖度高于</w:t>
            </w:r>
            <w:r>
              <w:rPr>
                <w:rFonts w:ascii="Times New Roman" w:hAnsi="Times New Roman" w:eastAsia="Times New Roman" w:cs="Times New Roman"/>
                <w:spacing w:val="9"/>
                <w:sz w:val="20"/>
                <w:szCs w:val="20"/>
              </w:rPr>
              <w:t>30%</w:t>
            </w:r>
            <w:r>
              <w:rPr>
                <w:spacing w:val="9"/>
                <w:sz w:val="20"/>
                <w:szCs w:val="20"/>
              </w:rPr>
              <w:t>的灌木林地和</w:t>
            </w:r>
            <w:r>
              <w:rPr>
                <w:spacing w:val="12"/>
                <w:sz w:val="20"/>
                <w:szCs w:val="20"/>
              </w:rPr>
              <w:t xml:space="preserve"> </w:t>
            </w:r>
            <w:r>
              <w:rPr>
                <w:spacing w:val="11"/>
                <w:sz w:val="20"/>
                <w:szCs w:val="20"/>
              </w:rPr>
              <w:t>年降雨量</w:t>
            </w:r>
            <w:r>
              <w:rPr>
                <w:rFonts w:ascii="Times New Roman" w:hAnsi="Times New Roman" w:eastAsia="Times New Roman" w:cs="Times New Roman"/>
                <w:spacing w:val="11"/>
                <w:sz w:val="20"/>
                <w:szCs w:val="20"/>
              </w:rPr>
              <w:t>400</w:t>
            </w:r>
            <w:r>
              <w:rPr>
                <w:spacing w:val="11"/>
                <w:sz w:val="20"/>
                <w:szCs w:val="20"/>
              </w:rPr>
              <w:t>毫米以上区域覆盖度高于</w:t>
            </w:r>
          </w:p>
          <w:p w14:paraId="152CC0BE">
            <w:pPr>
              <w:pStyle w:val="6"/>
              <w:spacing w:before="24" w:line="216" w:lineRule="auto"/>
              <w:ind w:left="1178"/>
              <w:rPr>
                <w:sz w:val="20"/>
                <w:szCs w:val="20"/>
              </w:rPr>
            </w:pPr>
            <w:r>
              <w:rPr>
                <w:rFonts w:ascii="Times New Roman" w:hAnsi="Times New Roman" w:eastAsia="Times New Roman" w:cs="Times New Roman"/>
                <w:spacing w:val="7"/>
                <w:sz w:val="20"/>
                <w:szCs w:val="20"/>
              </w:rPr>
              <w:t>50%</w:t>
            </w:r>
            <w:r>
              <w:rPr>
                <w:spacing w:val="7"/>
                <w:sz w:val="20"/>
                <w:szCs w:val="20"/>
              </w:rPr>
              <w:t>的灌木林地</w:t>
            </w:r>
          </w:p>
        </w:tc>
        <w:tc>
          <w:tcPr>
            <w:tcW w:w="3553" w:type="dxa"/>
            <w:tcBorders>
              <w:top w:val="single" w:color="000000" w:sz="6" w:space="0"/>
            </w:tcBorders>
            <w:vAlign w:val="top"/>
          </w:tcPr>
          <w:p w14:paraId="6DC696A2">
            <w:pPr>
              <w:pStyle w:val="6"/>
              <w:spacing w:before="51" w:line="248" w:lineRule="auto"/>
              <w:ind w:left="111" w:right="99" w:firstLine="3"/>
              <w:jc w:val="both"/>
              <w:rPr>
                <w:sz w:val="20"/>
                <w:szCs w:val="20"/>
              </w:rPr>
            </w:pPr>
            <w:r>
              <w:rPr>
                <w:spacing w:val="8"/>
                <w:sz w:val="20"/>
                <w:szCs w:val="20"/>
              </w:rPr>
              <w:t>林地；电池组件阵列使用的地类为草</w:t>
            </w:r>
            <w:r>
              <w:rPr>
                <w:spacing w:val="2"/>
                <w:sz w:val="20"/>
                <w:szCs w:val="20"/>
              </w:rPr>
              <w:t xml:space="preserve"> </w:t>
            </w:r>
            <w:r>
              <w:rPr>
                <w:spacing w:val="8"/>
                <w:sz w:val="20"/>
                <w:szCs w:val="20"/>
              </w:rPr>
              <w:t>地、其他草地和设施农用地，未使用</w:t>
            </w:r>
            <w:r>
              <w:rPr>
                <w:spacing w:val="6"/>
                <w:sz w:val="20"/>
                <w:szCs w:val="20"/>
              </w:rPr>
              <w:t xml:space="preserve"> </w:t>
            </w:r>
            <w:r>
              <w:rPr>
                <w:spacing w:val="8"/>
                <w:sz w:val="20"/>
                <w:szCs w:val="20"/>
              </w:rPr>
              <w:t>有林地、疏林地、未成林造林地、采</w:t>
            </w:r>
            <w:r>
              <w:rPr>
                <w:spacing w:val="6"/>
                <w:sz w:val="20"/>
                <w:szCs w:val="20"/>
              </w:rPr>
              <w:t xml:space="preserve"> </w:t>
            </w:r>
            <w:r>
              <w:rPr>
                <w:spacing w:val="2"/>
                <w:sz w:val="20"/>
                <w:szCs w:val="20"/>
              </w:rPr>
              <w:t>伐迹地、火烧迹地，以及年降雨量</w:t>
            </w:r>
            <w:r>
              <w:rPr>
                <w:rFonts w:ascii="Times New Roman" w:hAnsi="Times New Roman" w:eastAsia="Times New Roman" w:cs="Times New Roman"/>
                <w:spacing w:val="2"/>
                <w:sz w:val="20"/>
                <w:szCs w:val="20"/>
              </w:rPr>
              <w:t>400</w:t>
            </w:r>
            <w:r>
              <w:rPr>
                <w:rFonts w:ascii="Times New Roman" w:hAnsi="Times New Roman" w:eastAsia="Times New Roman" w:cs="Times New Roman"/>
                <w:sz w:val="20"/>
                <w:szCs w:val="20"/>
              </w:rPr>
              <w:t xml:space="preserve"> </w:t>
            </w:r>
            <w:r>
              <w:rPr>
                <w:spacing w:val="9"/>
                <w:sz w:val="20"/>
                <w:szCs w:val="20"/>
              </w:rPr>
              <w:t>毫米以下区域覆盖度高于</w:t>
            </w:r>
            <w:r>
              <w:rPr>
                <w:rFonts w:ascii="Times New Roman" w:hAnsi="Times New Roman" w:eastAsia="Times New Roman" w:cs="Times New Roman"/>
                <w:spacing w:val="9"/>
                <w:sz w:val="20"/>
                <w:szCs w:val="20"/>
              </w:rPr>
              <w:t>30%</w:t>
            </w:r>
            <w:r>
              <w:rPr>
                <w:spacing w:val="9"/>
                <w:sz w:val="20"/>
                <w:szCs w:val="20"/>
              </w:rPr>
              <w:t>的灌木</w:t>
            </w:r>
            <w:r>
              <w:rPr>
                <w:spacing w:val="14"/>
                <w:sz w:val="20"/>
                <w:szCs w:val="20"/>
              </w:rPr>
              <w:t xml:space="preserve"> </w:t>
            </w:r>
            <w:r>
              <w:rPr>
                <w:spacing w:val="13"/>
                <w:sz w:val="20"/>
                <w:szCs w:val="20"/>
              </w:rPr>
              <w:t>林地和年降雨量</w:t>
            </w:r>
            <w:r>
              <w:rPr>
                <w:rFonts w:ascii="Times New Roman" w:hAnsi="Times New Roman" w:eastAsia="Times New Roman" w:cs="Times New Roman"/>
                <w:spacing w:val="13"/>
                <w:sz w:val="20"/>
                <w:szCs w:val="20"/>
              </w:rPr>
              <w:t>400</w:t>
            </w:r>
            <w:r>
              <w:rPr>
                <w:spacing w:val="13"/>
                <w:sz w:val="20"/>
                <w:szCs w:val="20"/>
              </w:rPr>
              <w:t xml:space="preserve">毫米以上区域覆 </w:t>
            </w:r>
            <w:r>
              <w:rPr>
                <w:spacing w:val="7"/>
                <w:sz w:val="20"/>
                <w:szCs w:val="20"/>
              </w:rPr>
              <w:t>盖度高于</w:t>
            </w:r>
            <w:r>
              <w:rPr>
                <w:rFonts w:ascii="Times New Roman" w:hAnsi="Times New Roman" w:eastAsia="Times New Roman" w:cs="Times New Roman"/>
                <w:spacing w:val="7"/>
                <w:sz w:val="20"/>
                <w:szCs w:val="20"/>
              </w:rPr>
              <w:t>50%</w:t>
            </w:r>
            <w:r>
              <w:rPr>
                <w:spacing w:val="7"/>
                <w:sz w:val="20"/>
                <w:szCs w:val="20"/>
              </w:rPr>
              <w:t>的灌木林地。</w:t>
            </w:r>
          </w:p>
        </w:tc>
        <w:tc>
          <w:tcPr>
            <w:tcW w:w="612" w:type="dxa"/>
            <w:tcBorders>
              <w:top w:val="single" w:color="000000" w:sz="6" w:space="0"/>
              <w:right w:val="single" w:color="000000" w:sz="6" w:space="0"/>
            </w:tcBorders>
            <w:vAlign w:val="top"/>
          </w:tcPr>
          <w:p w14:paraId="2976D33A">
            <w:pPr>
              <w:rPr>
                <w:rFonts w:ascii="Arial"/>
                <w:sz w:val="21"/>
              </w:rPr>
            </w:pPr>
          </w:p>
        </w:tc>
      </w:tr>
      <w:tr w14:paraId="2F1F3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1127" w:type="dxa"/>
            <w:vMerge w:val="continue"/>
            <w:tcBorders>
              <w:top w:val="nil"/>
              <w:left w:val="single" w:color="000000" w:sz="6" w:space="0"/>
              <w:bottom w:val="nil"/>
            </w:tcBorders>
            <w:vAlign w:val="top"/>
          </w:tcPr>
          <w:p w14:paraId="7BC38E79">
            <w:pPr>
              <w:rPr>
                <w:rFonts w:ascii="Arial"/>
                <w:sz w:val="21"/>
              </w:rPr>
            </w:pPr>
          </w:p>
        </w:tc>
        <w:tc>
          <w:tcPr>
            <w:tcW w:w="3784" w:type="dxa"/>
            <w:vAlign w:val="top"/>
          </w:tcPr>
          <w:p w14:paraId="410ADEE8">
            <w:pPr>
              <w:spacing w:line="322" w:lineRule="auto"/>
              <w:rPr>
                <w:rFonts w:ascii="Arial"/>
                <w:sz w:val="21"/>
              </w:rPr>
            </w:pPr>
          </w:p>
          <w:p w14:paraId="1800342F">
            <w:pPr>
              <w:spacing w:line="322" w:lineRule="auto"/>
              <w:rPr>
                <w:rFonts w:ascii="Arial"/>
                <w:sz w:val="21"/>
              </w:rPr>
            </w:pPr>
          </w:p>
          <w:p w14:paraId="691F007D">
            <w:pPr>
              <w:pStyle w:val="6"/>
              <w:spacing w:before="65" w:line="228" w:lineRule="auto"/>
              <w:ind w:left="111"/>
              <w:rPr>
                <w:sz w:val="20"/>
                <w:szCs w:val="20"/>
              </w:rPr>
            </w:pPr>
            <w:r>
              <w:rPr>
                <w:spacing w:val="6"/>
                <w:sz w:val="20"/>
                <w:szCs w:val="20"/>
              </w:rPr>
              <w:t>建设标准：</w:t>
            </w:r>
            <w:r>
              <w:rPr>
                <w:spacing w:val="-45"/>
                <w:sz w:val="20"/>
                <w:szCs w:val="20"/>
              </w:rPr>
              <w:t xml:space="preserve"> </w:t>
            </w:r>
            <w:r>
              <w:rPr>
                <w:spacing w:val="6"/>
                <w:sz w:val="20"/>
                <w:szCs w:val="20"/>
              </w:rPr>
              <w:t>电池组件阵列区在设计方面</w:t>
            </w:r>
          </w:p>
          <w:p w14:paraId="0EAF557F">
            <w:pPr>
              <w:pStyle w:val="6"/>
              <w:spacing w:before="24" w:line="227" w:lineRule="auto"/>
              <w:ind w:left="108"/>
              <w:rPr>
                <w:sz w:val="20"/>
                <w:szCs w:val="20"/>
              </w:rPr>
            </w:pPr>
            <w:r>
              <w:rPr>
                <w:spacing w:val="9"/>
                <w:sz w:val="20"/>
                <w:szCs w:val="20"/>
              </w:rPr>
              <w:t>应当尽可能节约集约使用林地，光伏板</w:t>
            </w:r>
          </w:p>
          <w:p w14:paraId="589117E6">
            <w:pPr>
              <w:pStyle w:val="6"/>
              <w:spacing w:before="24" w:line="228" w:lineRule="auto"/>
              <w:ind w:left="111"/>
              <w:rPr>
                <w:sz w:val="20"/>
                <w:szCs w:val="20"/>
              </w:rPr>
            </w:pPr>
            <w:r>
              <w:rPr>
                <w:spacing w:val="6"/>
                <w:sz w:val="20"/>
                <w:szCs w:val="20"/>
              </w:rPr>
              <w:t>最低沿与地面距离不得低于</w:t>
            </w:r>
            <w:r>
              <w:rPr>
                <w:rFonts w:ascii="Times New Roman" w:hAnsi="Times New Roman" w:eastAsia="Times New Roman" w:cs="Times New Roman"/>
                <w:spacing w:val="6"/>
                <w:sz w:val="20"/>
                <w:szCs w:val="20"/>
              </w:rPr>
              <w:t>2.5m</w:t>
            </w:r>
            <w:r>
              <w:rPr>
                <w:rFonts w:ascii="Times New Roman" w:hAnsi="Times New Roman" w:eastAsia="Times New Roman" w:cs="Times New Roman"/>
                <w:spacing w:val="-10"/>
                <w:sz w:val="20"/>
                <w:szCs w:val="20"/>
              </w:rPr>
              <w:t xml:space="preserve"> </w:t>
            </w:r>
            <w:r>
              <w:rPr>
                <w:spacing w:val="6"/>
                <w:sz w:val="20"/>
                <w:szCs w:val="20"/>
              </w:rPr>
              <w:t>，电池</w:t>
            </w:r>
          </w:p>
          <w:p w14:paraId="3A3DAC9A">
            <w:pPr>
              <w:pStyle w:val="6"/>
              <w:spacing w:before="26" w:line="227" w:lineRule="auto"/>
              <w:ind w:left="111"/>
              <w:rPr>
                <w:sz w:val="20"/>
                <w:szCs w:val="20"/>
              </w:rPr>
            </w:pPr>
            <w:r>
              <w:rPr>
                <w:spacing w:val="9"/>
                <w:sz w:val="20"/>
                <w:szCs w:val="20"/>
              </w:rPr>
              <w:t>组件阵列各排、列的布置间距应当符合</w:t>
            </w:r>
          </w:p>
          <w:p w14:paraId="46779E18">
            <w:pPr>
              <w:pStyle w:val="6"/>
              <w:spacing w:before="28" w:line="227" w:lineRule="auto"/>
              <w:ind w:right="11"/>
              <w:jc w:val="right"/>
              <w:rPr>
                <w:sz w:val="20"/>
                <w:szCs w:val="20"/>
              </w:rPr>
            </w:pPr>
            <w:r>
              <w:rPr>
                <w:spacing w:val="-3"/>
                <w:sz w:val="20"/>
                <w:szCs w:val="20"/>
              </w:rPr>
              <w:t>《光伏电站设计规范》（</w:t>
            </w:r>
            <w:r>
              <w:rPr>
                <w:rFonts w:ascii="Times New Roman" w:hAnsi="Times New Roman" w:eastAsia="Times New Roman" w:cs="Times New Roman"/>
                <w:spacing w:val="-3"/>
                <w:sz w:val="20"/>
                <w:szCs w:val="20"/>
              </w:rPr>
              <w:t>GB</w:t>
            </w:r>
            <w:r>
              <w:rPr>
                <w:rFonts w:ascii="Times New Roman" w:hAnsi="Times New Roman" w:eastAsia="Times New Roman" w:cs="Times New Roman"/>
                <w:spacing w:val="29"/>
                <w:w w:val="101"/>
                <w:sz w:val="20"/>
                <w:szCs w:val="20"/>
              </w:rPr>
              <w:t xml:space="preserve"> </w:t>
            </w:r>
            <w:r>
              <w:rPr>
                <w:rFonts w:ascii="Times New Roman" w:hAnsi="Times New Roman" w:eastAsia="Times New Roman" w:cs="Times New Roman"/>
                <w:spacing w:val="-3"/>
                <w:sz w:val="20"/>
                <w:szCs w:val="20"/>
              </w:rPr>
              <w:t>50797-2012</w:t>
            </w:r>
            <w:r>
              <w:rPr>
                <w:spacing w:val="-3"/>
                <w:sz w:val="20"/>
                <w:szCs w:val="20"/>
              </w:rPr>
              <w:t>）</w:t>
            </w:r>
          </w:p>
          <w:p w14:paraId="37A456CF">
            <w:pPr>
              <w:pStyle w:val="6"/>
              <w:spacing w:before="25" w:line="227" w:lineRule="auto"/>
              <w:ind w:left="387"/>
              <w:rPr>
                <w:rFonts w:ascii="Times New Roman" w:hAnsi="Times New Roman" w:eastAsia="Times New Roman" w:cs="Times New Roman"/>
                <w:sz w:val="20"/>
                <w:szCs w:val="20"/>
              </w:rPr>
            </w:pPr>
            <w:r>
              <w:rPr>
                <w:spacing w:val="10"/>
                <w:sz w:val="20"/>
                <w:szCs w:val="20"/>
              </w:rPr>
              <w:t>或《光伏发电站设计规范》（</w:t>
            </w:r>
            <w:r>
              <w:rPr>
                <w:rFonts w:ascii="Times New Roman" w:hAnsi="Times New Roman" w:eastAsia="Times New Roman" w:cs="Times New Roman"/>
                <w:sz w:val="20"/>
                <w:szCs w:val="20"/>
              </w:rPr>
              <w:t>GB</w:t>
            </w:r>
          </w:p>
          <w:p w14:paraId="65B6E7E4">
            <w:pPr>
              <w:pStyle w:val="6"/>
              <w:spacing w:before="29" w:line="228" w:lineRule="auto"/>
              <w:ind w:left="818"/>
              <w:rPr>
                <w:sz w:val="20"/>
                <w:szCs w:val="20"/>
              </w:rPr>
            </w:pPr>
            <w:r>
              <w:rPr>
                <w:rFonts w:ascii="Times New Roman" w:hAnsi="Times New Roman" w:eastAsia="Times New Roman" w:cs="Times New Roman"/>
                <w:spacing w:val="6"/>
                <w:sz w:val="20"/>
                <w:szCs w:val="20"/>
              </w:rPr>
              <w:t>50797-20</w:t>
            </w:r>
            <w:r>
              <w:rPr>
                <w:rFonts w:ascii="Times New Roman" w:hAnsi="Times New Roman" w:eastAsia="Times New Roman" w:cs="Times New Roman"/>
                <w:sz w:val="20"/>
                <w:szCs w:val="20"/>
              </w:rPr>
              <w:t>XX</w:t>
            </w:r>
            <w:r>
              <w:rPr>
                <w:spacing w:val="6"/>
                <w:sz w:val="20"/>
                <w:szCs w:val="20"/>
              </w:rPr>
              <w:t>）相关规定</w:t>
            </w:r>
          </w:p>
        </w:tc>
        <w:tc>
          <w:tcPr>
            <w:tcW w:w="3553" w:type="dxa"/>
            <w:vAlign w:val="top"/>
          </w:tcPr>
          <w:p w14:paraId="046C44C0">
            <w:pPr>
              <w:pStyle w:val="6"/>
              <w:spacing w:before="34" w:line="249" w:lineRule="auto"/>
              <w:ind w:left="110" w:right="101" w:firstLine="47"/>
              <w:rPr>
                <w:sz w:val="20"/>
                <w:szCs w:val="20"/>
              </w:rPr>
            </w:pPr>
            <w:r>
              <w:rPr>
                <w:spacing w:val="7"/>
                <w:sz w:val="20"/>
                <w:szCs w:val="20"/>
              </w:rPr>
              <w:t>本项目根据《自然资源部办公厅</w:t>
            </w:r>
            <w:r>
              <w:rPr>
                <w:spacing w:val="39"/>
                <w:sz w:val="20"/>
                <w:szCs w:val="20"/>
              </w:rPr>
              <w:t xml:space="preserve"> </w:t>
            </w:r>
            <w:r>
              <w:rPr>
                <w:spacing w:val="7"/>
                <w:sz w:val="20"/>
                <w:szCs w:val="20"/>
              </w:rPr>
              <w:t>国</w:t>
            </w:r>
            <w:r>
              <w:rPr>
                <w:sz w:val="20"/>
                <w:szCs w:val="20"/>
              </w:rPr>
              <w:t xml:space="preserve"> </w:t>
            </w:r>
            <w:r>
              <w:rPr>
                <w:spacing w:val="10"/>
                <w:sz w:val="20"/>
                <w:szCs w:val="20"/>
              </w:rPr>
              <w:t>家林业和草原局办公室</w:t>
            </w:r>
            <w:r>
              <w:rPr>
                <w:spacing w:val="42"/>
                <w:sz w:val="20"/>
                <w:szCs w:val="20"/>
              </w:rPr>
              <w:t xml:space="preserve"> </w:t>
            </w:r>
            <w:r>
              <w:rPr>
                <w:spacing w:val="10"/>
                <w:sz w:val="20"/>
                <w:szCs w:val="20"/>
              </w:rPr>
              <w:t>国家能源局</w:t>
            </w:r>
            <w:r>
              <w:rPr>
                <w:sz w:val="20"/>
                <w:szCs w:val="20"/>
              </w:rPr>
              <w:t xml:space="preserve"> </w:t>
            </w:r>
            <w:r>
              <w:rPr>
                <w:spacing w:val="16"/>
                <w:sz w:val="20"/>
                <w:szCs w:val="20"/>
              </w:rPr>
              <w:t>综合司关于支持光伏发电产业发展</w:t>
            </w:r>
            <w:r>
              <w:rPr>
                <w:sz w:val="20"/>
                <w:szCs w:val="20"/>
              </w:rPr>
              <w:t xml:space="preserve">  </w:t>
            </w:r>
            <w:r>
              <w:rPr>
                <w:spacing w:val="8"/>
                <w:sz w:val="20"/>
                <w:szCs w:val="20"/>
              </w:rPr>
              <w:t>规范用地管理有关工作的通知》（自</w:t>
            </w:r>
            <w:r>
              <w:rPr>
                <w:spacing w:val="7"/>
                <w:sz w:val="20"/>
                <w:szCs w:val="20"/>
              </w:rPr>
              <w:t xml:space="preserve"> 然资办发〔</w:t>
            </w:r>
            <w:r>
              <w:rPr>
                <w:rFonts w:ascii="Times New Roman" w:hAnsi="Times New Roman" w:eastAsia="Times New Roman" w:cs="Times New Roman"/>
                <w:spacing w:val="7"/>
                <w:sz w:val="20"/>
                <w:szCs w:val="20"/>
              </w:rPr>
              <w:t>2023</w:t>
            </w:r>
            <w:r>
              <w:rPr>
                <w:spacing w:val="7"/>
                <w:sz w:val="20"/>
                <w:szCs w:val="20"/>
              </w:rPr>
              <w:t>〕</w:t>
            </w:r>
            <w:r>
              <w:rPr>
                <w:rFonts w:ascii="Times New Roman" w:hAnsi="Times New Roman" w:eastAsia="Times New Roman" w:cs="Times New Roman"/>
                <w:spacing w:val="7"/>
                <w:sz w:val="20"/>
                <w:szCs w:val="20"/>
              </w:rPr>
              <w:t>12</w:t>
            </w:r>
            <w:r>
              <w:rPr>
                <w:spacing w:val="7"/>
                <w:sz w:val="20"/>
                <w:szCs w:val="20"/>
              </w:rPr>
              <w:t>号）光伏支架最</w:t>
            </w:r>
            <w:r>
              <w:rPr>
                <w:spacing w:val="2"/>
                <w:sz w:val="20"/>
                <w:szCs w:val="20"/>
              </w:rPr>
              <w:t xml:space="preserve"> </w:t>
            </w:r>
            <w:r>
              <w:rPr>
                <w:spacing w:val="11"/>
                <w:sz w:val="20"/>
                <w:szCs w:val="20"/>
              </w:rPr>
              <w:t>低点应高于灌木高度</w:t>
            </w:r>
            <w:r>
              <w:rPr>
                <w:rFonts w:ascii="Times New Roman" w:hAnsi="Times New Roman" w:eastAsia="Times New Roman" w:cs="Times New Roman"/>
                <w:spacing w:val="11"/>
                <w:sz w:val="20"/>
                <w:szCs w:val="20"/>
              </w:rPr>
              <w:t>1</w:t>
            </w:r>
            <w:r>
              <w:rPr>
                <w:spacing w:val="11"/>
                <w:sz w:val="20"/>
                <w:szCs w:val="20"/>
              </w:rPr>
              <w:t>米以上，每列</w:t>
            </w:r>
            <w:r>
              <w:rPr>
                <w:spacing w:val="13"/>
                <w:sz w:val="20"/>
                <w:szCs w:val="20"/>
              </w:rPr>
              <w:t xml:space="preserve"> </w:t>
            </w:r>
            <w:r>
              <w:rPr>
                <w:spacing w:val="8"/>
                <w:sz w:val="20"/>
                <w:szCs w:val="20"/>
              </w:rPr>
              <w:t>光伏板南北方向应合理设置净间距，</w:t>
            </w:r>
            <w:r>
              <w:rPr>
                <w:spacing w:val="7"/>
                <w:sz w:val="20"/>
                <w:szCs w:val="20"/>
              </w:rPr>
              <w:t xml:space="preserve"> </w:t>
            </w:r>
            <w:r>
              <w:rPr>
                <w:spacing w:val="8"/>
                <w:sz w:val="20"/>
                <w:szCs w:val="20"/>
              </w:rPr>
              <w:t>具体由各地结合实地进行建设；电池</w:t>
            </w:r>
            <w:r>
              <w:rPr>
                <w:spacing w:val="7"/>
                <w:sz w:val="20"/>
                <w:szCs w:val="20"/>
              </w:rPr>
              <w:t xml:space="preserve"> </w:t>
            </w:r>
            <w:r>
              <w:rPr>
                <w:spacing w:val="16"/>
                <w:sz w:val="20"/>
                <w:szCs w:val="20"/>
              </w:rPr>
              <w:t>组件阵列各排、列的布置间距符合</w:t>
            </w:r>
            <w:r>
              <w:rPr>
                <w:sz w:val="20"/>
                <w:szCs w:val="20"/>
              </w:rPr>
              <w:t xml:space="preserve">  </w:t>
            </w:r>
            <w:r>
              <w:rPr>
                <w:spacing w:val="13"/>
                <w:sz w:val="20"/>
                <w:szCs w:val="20"/>
              </w:rPr>
              <w:t>《光伏电站设计规范》（</w:t>
            </w:r>
            <w:r>
              <w:rPr>
                <w:rFonts w:ascii="Times New Roman" w:hAnsi="Times New Roman" w:eastAsia="Times New Roman" w:cs="Times New Roman"/>
                <w:sz w:val="20"/>
                <w:szCs w:val="20"/>
              </w:rPr>
              <w:t>GB</w:t>
            </w:r>
            <w:r>
              <w:rPr>
                <w:rFonts w:ascii="Times New Roman" w:hAnsi="Times New Roman" w:eastAsia="Times New Roman" w:cs="Times New Roman"/>
                <w:spacing w:val="13"/>
                <w:sz w:val="20"/>
                <w:szCs w:val="20"/>
              </w:rPr>
              <w:t>50797-</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7"/>
                <w:sz w:val="20"/>
                <w:szCs w:val="20"/>
              </w:rPr>
              <w:t>2012</w:t>
            </w:r>
            <w:r>
              <w:rPr>
                <w:spacing w:val="7"/>
                <w:sz w:val="20"/>
                <w:szCs w:val="20"/>
              </w:rPr>
              <w:t>）或《光伏发电站设计规范》相</w:t>
            </w:r>
          </w:p>
          <w:p w14:paraId="1C608AA3">
            <w:pPr>
              <w:pStyle w:val="6"/>
              <w:spacing w:before="25" w:line="214" w:lineRule="auto"/>
              <w:ind w:left="1262"/>
              <w:rPr>
                <w:sz w:val="20"/>
                <w:szCs w:val="20"/>
              </w:rPr>
            </w:pPr>
            <w:r>
              <w:rPr>
                <w:spacing w:val="7"/>
                <w:sz w:val="20"/>
                <w:szCs w:val="20"/>
              </w:rPr>
              <w:t>关规定要求</w:t>
            </w:r>
          </w:p>
        </w:tc>
        <w:tc>
          <w:tcPr>
            <w:tcW w:w="612" w:type="dxa"/>
            <w:tcBorders>
              <w:right w:val="single" w:color="000000" w:sz="6" w:space="0"/>
            </w:tcBorders>
            <w:textDirection w:val="tbRlV"/>
            <w:vAlign w:val="top"/>
          </w:tcPr>
          <w:p w14:paraId="47F6A174">
            <w:pPr>
              <w:pStyle w:val="6"/>
              <w:spacing w:before="249" w:line="215" w:lineRule="auto"/>
              <w:ind w:left="1395"/>
              <w:rPr>
                <w:sz w:val="20"/>
                <w:szCs w:val="20"/>
              </w:rPr>
            </w:pPr>
            <w:r>
              <w:rPr>
                <w:spacing w:val="8"/>
                <w:sz w:val="20"/>
                <w:szCs w:val="20"/>
              </w:rPr>
              <w:t>符</w:t>
            </w:r>
            <w:r>
              <w:rPr>
                <w:spacing w:val="-38"/>
                <w:sz w:val="20"/>
                <w:szCs w:val="20"/>
              </w:rPr>
              <w:t xml:space="preserve"> </w:t>
            </w:r>
            <w:r>
              <w:rPr>
                <w:spacing w:val="8"/>
                <w:sz w:val="20"/>
                <w:szCs w:val="20"/>
              </w:rPr>
              <w:t>合</w:t>
            </w:r>
          </w:p>
        </w:tc>
      </w:tr>
      <w:tr w14:paraId="08FAB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127" w:type="dxa"/>
            <w:vMerge w:val="continue"/>
            <w:tcBorders>
              <w:top w:val="nil"/>
              <w:left w:val="single" w:color="000000" w:sz="6" w:space="0"/>
              <w:bottom w:val="nil"/>
            </w:tcBorders>
            <w:vAlign w:val="top"/>
          </w:tcPr>
          <w:p w14:paraId="31D2CC05">
            <w:pPr>
              <w:rPr>
                <w:rFonts w:ascii="Arial"/>
                <w:sz w:val="21"/>
              </w:rPr>
            </w:pPr>
          </w:p>
        </w:tc>
        <w:tc>
          <w:tcPr>
            <w:tcW w:w="3784" w:type="dxa"/>
            <w:vAlign w:val="top"/>
          </w:tcPr>
          <w:p w14:paraId="101721E1">
            <w:pPr>
              <w:pStyle w:val="6"/>
              <w:spacing w:before="36" w:line="227" w:lineRule="auto"/>
              <w:ind w:left="109"/>
              <w:rPr>
                <w:sz w:val="20"/>
                <w:szCs w:val="20"/>
              </w:rPr>
            </w:pPr>
            <w:r>
              <w:rPr>
                <w:spacing w:val="9"/>
                <w:sz w:val="20"/>
                <w:szCs w:val="20"/>
              </w:rPr>
              <w:t>植被保护：光伏复合项目在满足正常运</w:t>
            </w:r>
          </w:p>
          <w:p w14:paraId="06E2731B">
            <w:pPr>
              <w:pStyle w:val="6"/>
              <w:spacing w:before="27" w:line="228" w:lineRule="auto"/>
              <w:ind w:left="115"/>
              <w:rPr>
                <w:sz w:val="20"/>
                <w:szCs w:val="20"/>
              </w:rPr>
            </w:pPr>
            <w:r>
              <w:rPr>
                <w:spacing w:val="9"/>
                <w:sz w:val="20"/>
                <w:szCs w:val="20"/>
              </w:rPr>
              <w:t>营的同时，须保证电池组件阵列下方不</w:t>
            </w:r>
          </w:p>
          <w:p w14:paraId="171F8170">
            <w:pPr>
              <w:pStyle w:val="6"/>
              <w:spacing w:before="24" w:line="228" w:lineRule="auto"/>
              <w:ind w:left="109"/>
              <w:rPr>
                <w:sz w:val="20"/>
                <w:szCs w:val="20"/>
              </w:rPr>
            </w:pPr>
            <w:r>
              <w:rPr>
                <w:spacing w:val="9"/>
                <w:sz w:val="20"/>
                <w:szCs w:val="20"/>
              </w:rPr>
              <w:t>得改变林草地用途，不得裸露地表、硬</w:t>
            </w:r>
          </w:p>
          <w:p w14:paraId="1EEF766B">
            <w:pPr>
              <w:pStyle w:val="6"/>
              <w:spacing w:before="27" w:line="210" w:lineRule="auto"/>
              <w:ind w:left="1160"/>
              <w:rPr>
                <w:sz w:val="20"/>
                <w:szCs w:val="20"/>
              </w:rPr>
            </w:pPr>
            <w:r>
              <w:rPr>
                <w:spacing w:val="8"/>
                <w:sz w:val="20"/>
                <w:szCs w:val="20"/>
              </w:rPr>
              <w:t>化或作其他用途</w:t>
            </w:r>
          </w:p>
        </w:tc>
        <w:tc>
          <w:tcPr>
            <w:tcW w:w="3553" w:type="dxa"/>
            <w:vAlign w:val="top"/>
          </w:tcPr>
          <w:p w14:paraId="50475834">
            <w:pPr>
              <w:pStyle w:val="6"/>
              <w:spacing w:before="35" w:line="244" w:lineRule="auto"/>
              <w:ind w:left="114" w:right="101" w:firstLine="98"/>
              <w:jc w:val="both"/>
              <w:rPr>
                <w:sz w:val="20"/>
                <w:szCs w:val="20"/>
              </w:rPr>
            </w:pPr>
            <w:r>
              <w:rPr>
                <w:spacing w:val="9"/>
                <w:sz w:val="20"/>
                <w:szCs w:val="20"/>
              </w:rPr>
              <w:t>项目运营过程中将对占用草地的部</w:t>
            </w:r>
            <w:r>
              <w:rPr>
                <w:sz w:val="20"/>
                <w:szCs w:val="20"/>
              </w:rPr>
              <w:t xml:space="preserve">  </w:t>
            </w:r>
            <w:r>
              <w:rPr>
                <w:spacing w:val="8"/>
                <w:sz w:val="20"/>
                <w:szCs w:val="20"/>
              </w:rPr>
              <w:t>分实施草光互补工程，保护原有的灌</w:t>
            </w:r>
            <w:r>
              <w:rPr>
                <w:spacing w:val="2"/>
                <w:sz w:val="20"/>
                <w:szCs w:val="20"/>
              </w:rPr>
              <w:t xml:space="preserve"> </w:t>
            </w:r>
            <w:r>
              <w:rPr>
                <w:spacing w:val="8"/>
                <w:sz w:val="20"/>
                <w:szCs w:val="20"/>
              </w:rPr>
              <w:t>木草丛，保证地表不裸露、地面不硬</w:t>
            </w:r>
          </w:p>
          <w:p w14:paraId="493F9323">
            <w:pPr>
              <w:pStyle w:val="6"/>
              <w:spacing w:before="27" w:line="210" w:lineRule="auto"/>
              <w:ind w:left="945"/>
              <w:rPr>
                <w:sz w:val="20"/>
                <w:szCs w:val="20"/>
              </w:rPr>
            </w:pPr>
            <w:r>
              <w:rPr>
                <w:spacing w:val="7"/>
                <w:sz w:val="20"/>
                <w:szCs w:val="20"/>
              </w:rPr>
              <w:t>化或作其他用途。</w:t>
            </w:r>
          </w:p>
        </w:tc>
        <w:tc>
          <w:tcPr>
            <w:tcW w:w="612" w:type="dxa"/>
            <w:tcBorders>
              <w:right w:val="single" w:color="000000" w:sz="6" w:space="0"/>
            </w:tcBorders>
            <w:textDirection w:val="tbRlV"/>
            <w:vAlign w:val="top"/>
          </w:tcPr>
          <w:p w14:paraId="3F51A597">
            <w:pPr>
              <w:pStyle w:val="6"/>
              <w:spacing w:before="249" w:line="215" w:lineRule="auto"/>
              <w:ind w:left="310"/>
              <w:rPr>
                <w:sz w:val="20"/>
                <w:szCs w:val="20"/>
              </w:rPr>
            </w:pPr>
            <w:r>
              <w:rPr>
                <w:spacing w:val="8"/>
                <w:sz w:val="20"/>
                <w:szCs w:val="20"/>
              </w:rPr>
              <w:t>符</w:t>
            </w:r>
            <w:r>
              <w:rPr>
                <w:spacing w:val="-38"/>
                <w:sz w:val="20"/>
                <w:szCs w:val="20"/>
              </w:rPr>
              <w:t xml:space="preserve"> </w:t>
            </w:r>
            <w:r>
              <w:rPr>
                <w:spacing w:val="8"/>
                <w:sz w:val="20"/>
                <w:szCs w:val="20"/>
              </w:rPr>
              <w:t>合</w:t>
            </w:r>
          </w:p>
        </w:tc>
      </w:tr>
      <w:tr w14:paraId="6ED34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2" w:hRule="atLeast"/>
        </w:trPr>
        <w:tc>
          <w:tcPr>
            <w:tcW w:w="1127" w:type="dxa"/>
            <w:vMerge w:val="continue"/>
            <w:tcBorders>
              <w:top w:val="nil"/>
              <w:left w:val="single" w:color="000000" w:sz="6" w:space="0"/>
              <w:bottom w:val="nil"/>
            </w:tcBorders>
            <w:vAlign w:val="top"/>
          </w:tcPr>
          <w:p w14:paraId="563CD8B9">
            <w:pPr>
              <w:rPr>
                <w:rFonts w:ascii="Arial"/>
                <w:sz w:val="21"/>
              </w:rPr>
            </w:pPr>
          </w:p>
        </w:tc>
        <w:tc>
          <w:tcPr>
            <w:tcW w:w="3784" w:type="dxa"/>
            <w:vAlign w:val="top"/>
          </w:tcPr>
          <w:p w14:paraId="5A59EFE1">
            <w:pPr>
              <w:pStyle w:val="6"/>
              <w:spacing w:before="41" w:line="245" w:lineRule="auto"/>
              <w:ind w:left="107" w:right="109" w:firstLine="422"/>
              <w:rPr>
                <w:sz w:val="20"/>
                <w:szCs w:val="20"/>
              </w:rPr>
            </w:pPr>
            <w:r>
              <w:rPr>
                <w:spacing w:val="9"/>
                <w:sz w:val="20"/>
                <w:szCs w:val="20"/>
              </w:rPr>
              <w:t>光伏复合项目施工期要切实做好项</w:t>
            </w:r>
            <w:r>
              <w:rPr>
                <w:spacing w:val="3"/>
                <w:sz w:val="20"/>
                <w:szCs w:val="20"/>
              </w:rPr>
              <w:t xml:space="preserve"> </w:t>
            </w:r>
            <w:r>
              <w:rPr>
                <w:spacing w:val="9"/>
                <w:sz w:val="20"/>
                <w:szCs w:val="20"/>
              </w:rPr>
              <w:t>目区原生植被的保护，最大程度减少对</w:t>
            </w:r>
            <w:r>
              <w:rPr>
                <w:spacing w:val="7"/>
                <w:sz w:val="20"/>
                <w:szCs w:val="20"/>
              </w:rPr>
              <w:t xml:space="preserve"> </w:t>
            </w:r>
            <w:r>
              <w:rPr>
                <w:spacing w:val="9"/>
                <w:sz w:val="20"/>
                <w:szCs w:val="20"/>
              </w:rPr>
              <w:t>植被的破坏。施工车辆、设备、人员进</w:t>
            </w:r>
            <w:r>
              <w:rPr>
                <w:spacing w:val="7"/>
                <w:sz w:val="20"/>
                <w:szCs w:val="20"/>
              </w:rPr>
              <w:t xml:space="preserve"> </w:t>
            </w:r>
            <w:r>
              <w:rPr>
                <w:spacing w:val="9"/>
                <w:sz w:val="20"/>
                <w:szCs w:val="20"/>
              </w:rPr>
              <w:t>场后应尽量不破坏原有土层和地表植</w:t>
            </w:r>
          </w:p>
          <w:p w14:paraId="46124407">
            <w:pPr>
              <w:pStyle w:val="6"/>
              <w:spacing w:before="20" w:line="247" w:lineRule="auto"/>
              <w:ind w:left="107" w:right="109"/>
              <w:rPr>
                <w:sz w:val="20"/>
                <w:szCs w:val="20"/>
              </w:rPr>
            </w:pPr>
            <w:r>
              <w:rPr>
                <w:spacing w:val="9"/>
                <w:sz w:val="20"/>
                <w:szCs w:val="20"/>
              </w:rPr>
              <w:t>被，地埋电缆槽、临时弃渣场等确需对</w:t>
            </w:r>
            <w:r>
              <w:rPr>
                <w:spacing w:val="4"/>
                <w:sz w:val="20"/>
                <w:szCs w:val="20"/>
              </w:rPr>
              <w:t xml:space="preserve"> </w:t>
            </w:r>
            <w:r>
              <w:rPr>
                <w:spacing w:val="9"/>
                <w:sz w:val="20"/>
                <w:szCs w:val="20"/>
              </w:rPr>
              <w:t>地表进行开挖的，施工单位应当严格按</w:t>
            </w:r>
            <w:r>
              <w:rPr>
                <w:spacing w:val="7"/>
                <w:sz w:val="20"/>
                <w:szCs w:val="20"/>
              </w:rPr>
              <w:t xml:space="preserve"> </w:t>
            </w:r>
            <w:r>
              <w:rPr>
                <w:spacing w:val="9"/>
                <w:sz w:val="20"/>
                <w:szCs w:val="20"/>
              </w:rPr>
              <w:t>照设计范围进行施工，施工结束后立即</w:t>
            </w:r>
            <w:r>
              <w:rPr>
                <w:spacing w:val="7"/>
                <w:sz w:val="20"/>
                <w:szCs w:val="20"/>
              </w:rPr>
              <w:t xml:space="preserve"> </w:t>
            </w:r>
            <w:r>
              <w:rPr>
                <w:spacing w:val="9"/>
                <w:sz w:val="20"/>
                <w:szCs w:val="20"/>
              </w:rPr>
              <w:t>开展植被恢复工作，县级林草主管部门</w:t>
            </w:r>
            <w:r>
              <w:rPr>
                <w:spacing w:val="7"/>
                <w:sz w:val="20"/>
                <w:szCs w:val="20"/>
              </w:rPr>
              <w:t xml:space="preserve"> 对恢复情况进行检查验收。</w:t>
            </w:r>
            <w:r>
              <w:rPr>
                <w:spacing w:val="-59"/>
                <w:sz w:val="20"/>
                <w:szCs w:val="20"/>
              </w:rPr>
              <w:t xml:space="preserve"> </w:t>
            </w:r>
            <w:r>
              <w:rPr>
                <w:spacing w:val="7"/>
                <w:sz w:val="20"/>
                <w:szCs w:val="20"/>
              </w:rPr>
              <w:t>电池组件阵</w:t>
            </w:r>
            <w:r>
              <w:rPr>
                <w:sz w:val="20"/>
                <w:szCs w:val="20"/>
              </w:rPr>
              <w:t xml:space="preserve"> </w:t>
            </w:r>
            <w:r>
              <w:rPr>
                <w:spacing w:val="9"/>
                <w:sz w:val="20"/>
                <w:szCs w:val="20"/>
              </w:rPr>
              <w:t>列区内林地上涉及散生木的，应当优化</w:t>
            </w:r>
            <w:r>
              <w:rPr>
                <w:spacing w:val="7"/>
                <w:sz w:val="20"/>
                <w:szCs w:val="20"/>
              </w:rPr>
              <w:t xml:space="preserve"> </w:t>
            </w:r>
            <w:r>
              <w:rPr>
                <w:spacing w:val="9"/>
                <w:sz w:val="20"/>
                <w:szCs w:val="20"/>
              </w:rPr>
              <w:t>设计、尽量避让，在满足光伏电站正常</w:t>
            </w:r>
            <w:r>
              <w:rPr>
                <w:spacing w:val="7"/>
                <w:sz w:val="20"/>
                <w:szCs w:val="20"/>
              </w:rPr>
              <w:t xml:space="preserve"> </w:t>
            </w:r>
            <w:r>
              <w:rPr>
                <w:spacing w:val="9"/>
                <w:sz w:val="20"/>
                <w:szCs w:val="20"/>
              </w:rPr>
              <w:t>建设运营的同时，尽可能减少对散生木</w:t>
            </w:r>
            <w:r>
              <w:rPr>
                <w:spacing w:val="7"/>
                <w:sz w:val="20"/>
                <w:szCs w:val="20"/>
              </w:rPr>
              <w:t xml:space="preserve"> </w:t>
            </w:r>
            <w:r>
              <w:rPr>
                <w:spacing w:val="8"/>
                <w:sz w:val="20"/>
                <w:szCs w:val="20"/>
              </w:rPr>
              <w:t>的采伐。涉及古树名木的，一律避让。</w:t>
            </w:r>
          </w:p>
        </w:tc>
        <w:tc>
          <w:tcPr>
            <w:tcW w:w="3553" w:type="dxa"/>
            <w:vAlign w:val="top"/>
          </w:tcPr>
          <w:p w14:paraId="7EBFD8A6">
            <w:pPr>
              <w:spacing w:line="257" w:lineRule="auto"/>
              <w:rPr>
                <w:rFonts w:ascii="Arial"/>
                <w:sz w:val="21"/>
              </w:rPr>
            </w:pPr>
          </w:p>
          <w:p w14:paraId="0C28A699">
            <w:pPr>
              <w:spacing w:line="257" w:lineRule="auto"/>
              <w:rPr>
                <w:rFonts w:ascii="Arial"/>
                <w:sz w:val="21"/>
              </w:rPr>
            </w:pPr>
          </w:p>
          <w:p w14:paraId="0904D106">
            <w:pPr>
              <w:pStyle w:val="6"/>
              <w:spacing w:before="65" w:line="228" w:lineRule="auto"/>
              <w:ind w:left="534"/>
              <w:rPr>
                <w:sz w:val="20"/>
                <w:szCs w:val="20"/>
              </w:rPr>
            </w:pPr>
            <w:r>
              <w:rPr>
                <w:spacing w:val="9"/>
                <w:sz w:val="20"/>
                <w:szCs w:val="20"/>
              </w:rPr>
              <w:t>严格落实动植物、水土保持措</w:t>
            </w:r>
          </w:p>
          <w:p w14:paraId="5CDF38BD">
            <w:pPr>
              <w:pStyle w:val="6"/>
              <w:spacing w:before="29" w:line="248" w:lineRule="auto"/>
              <w:ind w:left="113" w:right="101"/>
              <w:rPr>
                <w:sz w:val="20"/>
                <w:szCs w:val="20"/>
              </w:rPr>
            </w:pPr>
            <w:r>
              <w:rPr>
                <w:spacing w:val="8"/>
                <w:sz w:val="20"/>
                <w:szCs w:val="20"/>
              </w:rPr>
              <w:t>施，施工结束后按相关部门要求对施</w:t>
            </w:r>
            <w:r>
              <w:rPr>
                <w:spacing w:val="4"/>
                <w:sz w:val="20"/>
                <w:szCs w:val="20"/>
              </w:rPr>
              <w:t xml:space="preserve"> </w:t>
            </w:r>
            <w:r>
              <w:rPr>
                <w:spacing w:val="8"/>
                <w:sz w:val="20"/>
                <w:szCs w:val="20"/>
              </w:rPr>
              <w:t>工临时占地、施工迹地进行清理和恢</w:t>
            </w:r>
            <w:r>
              <w:rPr>
                <w:spacing w:val="4"/>
                <w:sz w:val="20"/>
                <w:szCs w:val="20"/>
              </w:rPr>
              <w:t xml:space="preserve"> </w:t>
            </w:r>
            <w:r>
              <w:rPr>
                <w:spacing w:val="8"/>
                <w:sz w:val="20"/>
                <w:szCs w:val="20"/>
              </w:rPr>
              <w:t>复等措施，降低和缓解施工期生态环</w:t>
            </w:r>
            <w:r>
              <w:rPr>
                <w:spacing w:val="4"/>
                <w:sz w:val="20"/>
                <w:szCs w:val="20"/>
              </w:rPr>
              <w:t xml:space="preserve"> </w:t>
            </w:r>
            <w:r>
              <w:rPr>
                <w:spacing w:val="8"/>
                <w:sz w:val="20"/>
                <w:szCs w:val="20"/>
              </w:rPr>
              <w:t>境影响。项目电池组件阵列区内林地</w:t>
            </w:r>
            <w:r>
              <w:rPr>
                <w:spacing w:val="4"/>
                <w:sz w:val="20"/>
                <w:szCs w:val="20"/>
              </w:rPr>
              <w:t xml:space="preserve"> </w:t>
            </w:r>
            <w:r>
              <w:rPr>
                <w:spacing w:val="8"/>
                <w:sz w:val="20"/>
                <w:szCs w:val="20"/>
              </w:rPr>
              <w:t>上涉及散生木的，已进行优化设计、</w:t>
            </w:r>
            <w:r>
              <w:rPr>
                <w:spacing w:val="4"/>
                <w:sz w:val="20"/>
                <w:szCs w:val="20"/>
              </w:rPr>
              <w:t xml:space="preserve"> </w:t>
            </w:r>
            <w:r>
              <w:rPr>
                <w:spacing w:val="8"/>
                <w:sz w:val="20"/>
                <w:szCs w:val="20"/>
              </w:rPr>
              <w:t>尽量避让，在满足光伏电站正常建设</w:t>
            </w:r>
            <w:r>
              <w:rPr>
                <w:spacing w:val="4"/>
                <w:sz w:val="20"/>
                <w:szCs w:val="20"/>
              </w:rPr>
              <w:t xml:space="preserve"> </w:t>
            </w:r>
            <w:r>
              <w:rPr>
                <w:spacing w:val="8"/>
                <w:sz w:val="20"/>
                <w:szCs w:val="20"/>
              </w:rPr>
              <w:t>运营的同时，尽可能减少对散生木的</w:t>
            </w:r>
            <w:r>
              <w:rPr>
                <w:spacing w:val="4"/>
                <w:sz w:val="20"/>
                <w:szCs w:val="20"/>
              </w:rPr>
              <w:t xml:space="preserve"> </w:t>
            </w:r>
            <w:r>
              <w:rPr>
                <w:spacing w:val="3"/>
                <w:sz w:val="20"/>
                <w:szCs w:val="20"/>
              </w:rPr>
              <w:t>采伐。</w:t>
            </w:r>
          </w:p>
        </w:tc>
        <w:tc>
          <w:tcPr>
            <w:tcW w:w="612" w:type="dxa"/>
            <w:tcBorders>
              <w:right w:val="single" w:color="000000" w:sz="6" w:space="0"/>
            </w:tcBorders>
            <w:textDirection w:val="tbRlV"/>
            <w:vAlign w:val="top"/>
          </w:tcPr>
          <w:p w14:paraId="363048DC">
            <w:pPr>
              <w:pStyle w:val="6"/>
              <w:spacing w:before="249" w:line="215" w:lineRule="auto"/>
              <w:ind w:left="1535"/>
              <w:rPr>
                <w:sz w:val="20"/>
                <w:szCs w:val="20"/>
              </w:rPr>
            </w:pPr>
            <w:r>
              <w:rPr>
                <w:spacing w:val="8"/>
                <w:sz w:val="20"/>
                <w:szCs w:val="20"/>
              </w:rPr>
              <w:t>符</w:t>
            </w:r>
            <w:r>
              <w:rPr>
                <w:spacing w:val="-35"/>
                <w:sz w:val="20"/>
                <w:szCs w:val="20"/>
              </w:rPr>
              <w:t xml:space="preserve"> </w:t>
            </w:r>
            <w:r>
              <w:rPr>
                <w:spacing w:val="8"/>
                <w:sz w:val="20"/>
                <w:szCs w:val="20"/>
              </w:rPr>
              <w:t>合</w:t>
            </w:r>
          </w:p>
        </w:tc>
      </w:tr>
      <w:tr w14:paraId="2617C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7" w:hRule="atLeast"/>
        </w:trPr>
        <w:tc>
          <w:tcPr>
            <w:tcW w:w="1127" w:type="dxa"/>
            <w:vMerge w:val="continue"/>
            <w:tcBorders>
              <w:top w:val="nil"/>
              <w:left w:val="single" w:color="000000" w:sz="6" w:space="0"/>
              <w:bottom w:val="single" w:color="000000" w:sz="6" w:space="0"/>
            </w:tcBorders>
            <w:vAlign w:val="top"/>
          </w:tcPr>
          <w:p w14:paraId="6D11D02A">
            <w:pPr>
              <w:rPr>
                <w:rFonts w:ascii="Arial"/>
                <w:sz w:val="21"/>
              </w:rPr>
            </w:pPr>
          </w:p>
        </w:tc>
        <w:tc>
          <w:tcPr>
            <w:tcW w:w="3784" w:type="dxa"/>
            <w:tcBorders>
              <w:bottom w:val="single" w:color="000000" w:sz="6" w:space="0"/>
            </w:tcBorders>
            <w:vAlign w:val="top"/>
          </w:tcPr>
          <w:p w14:paraId="3349F986">
            <w:pPr>
              <w:pStyle w:val="6"/>
              <w:spacing w:before="41" w:line="249" w:lineRule="auto"/>
              <w:ind w:left="107" w:right="36" w:firstLine="422"/>
              <w:jc w:val="both"/>
              <w:rPr>
                <w:sz w:val="20"/>
                <w:szCs w:val="20"/>
              </w:rPr>
            </w:pPr>
            <w:r>
              <w:rPr>
                <w:spacing w:val="9"/>
                <w:sz w:val="20"/>
                <w:szCs w:val="20"/>
              </w:rPr>
              <w:t>光伏复合项目运营期要采取多种综</w:t>
            </w:r>
            <w:r>
              <w:rPr>
                <w:spacing w:val="3"/>
                <w:sz w:val="20"/>
                <w:szCs w:val="20"/>
              </w:rPr>
              <w:t xml:space="preserve"> </w:t>
            </w:r>
            <w:r>
              <w:rPr>
                <w:spacing w:val="1"/>
                <w:sz w:val="20"/>
                <w:szCs w:val="20"/>
              </w:rPr>
              <w:t>合措施，确保项目区原生植被正常生长。</w:t>
            </w:r>
            <w:r>
              <w:rPr>
                <w:spacing w:val="15"/>
                <w:sz w:val="20"/>
                <w:szCs w:val="20"/>
              </w:rPr>
              <w:t xml:space="preserve"> </w:t>
            </w:r>
            <w:r>
              <w:rPr>
                <w:spacing w:val="9"/>
                <w:sz w:val="20"/>
                <w:szCs w:val="20"/>
              </w:rPr>
              <w:t>施工前项目业主单位应当对项目区植被</w:t>
            </w:r>
            <w:r>
              <w:rPr>
                <w:spacing w:val="7"/>
                <w:sz w:val="20"/>
                <w:szCs w:val="20"/>
              </w:rPr>
              <w:t xml:space="preserve"> 情况以图文或影像方式进行记录，</w:t>
            </w:r>
            <w:r>
              <w:rPr>
                <w:spacing w:val="-59"/>
                <w:sz w:val="20"/>
                <w:szCs w:val="20"/>
              </w:rPr>
              <w:t xml:space="preserve"> </w:t>
            </w:r>
            <w:r>
              <w:rPr>
                <w:spacing w:val="7"/>
                <w:sz w:val="20"/>
                <w:szCs w:val="20"/>
              </w:rPr>
              <w:t>申报</w:t>
            </w:r>
            <w:r>
              <w:rPr>
                <w:sz w:val="20"/>
                <w:szCs w:val="20"/>
              </w:rPr>
              <w:t xml:space="preserve"> </w:t>
            </w:r>
            <w:r>
              <w:rPr>
                <w:spacing w:val="9"/>
                <w:sz w:val="20"/>
                <w:szCs w:val="20"/>
              </w:rPr>
              <w:t>办理许可手续时，将记录材料提交县级</w:t>
            </w:r>
            <w:r>
              <w:rPr>
                <w:spacing w:val="7"/>
                <w:sz w:val="20"/>
                <w:szCs w:val="20"/>
              </w:rPr>
              <w:t xml:space="preserve"> </w:t>
            </w:r>
            <w:r>
              <w:rPr>
                <w:spacing w:val="9"/>
                <w:sz w:val="20"/>
                <w:szCs w:val="20"/>
              </w:rPr>
              <w:t>林草主管部门存档。运营期电池组件阵</w:t>
            </w:r>
            <w:r>
              <w:rPr>
                <w:spacing w:val="7"/>
                <w:sz w:val="20"/>
                <w:szCs w:val="20"/>
              </w:rPr>
              <w:t xml:space="preserve"> </w:t>
            </w:r>
            <w:r>
              <w:rPr>
                <w:spacing w:val="10"/>
                <w:sz w:val="20"/>
                <w:szCs w:val="20"/>
              </w:rPr>
              <w:t>列下方原有植被盖度达到</w:t>
            </w:r>
            <w:r>
              <w:rPr>
                <w:rFonts w:ascii="Times New Roman" w:hAnsi="Times New Roman" w:eastAsia="Times New Roman" w:cs="Times New Roman"/>
                <w:spacing w:val="10"/>
                <w:sz w:val="20"/>
                <w:szCs w:val="20"/>
              </w:rPr>
              <w:t>30%</w:t>
            </w:r>
            <w:r>
              <w:rPr>
                <w:spacing w:val="10"/>
                <w:sz w:val="20"/>
                <w:szCs w:val="20"/>
              </w:rPr>
              <w:t>以上，且</w:t>
            </w:r>
            <w:r>
              <w:rPr>
                <w:spacing w:val="16"/>
                <w:sz w:val="20"/>
                <w:szCs w:val="20"/>
              </w:rPr>
              <w:t xml:space="preserve"> </w:t>
            </w:r>
            <w:r>
              <w:rPr>
                <w:spacing w:val="7"/>
                <w:sz w:val="20"/>
                <w:szCs w:val="20"/>
              </w:rPr>
              <w:t>具备自然恢复条件的，</w:t>
            </w:r>
            <w:r>
              <w:rPr>
                <w:spacing w:val="-59"/>
                <w:sz w:val="20"/>
                <w:szCs w:val="20"/>
              </w:rPr>
              <w:t xml:space="preserve"> </w:t>
            </w:r>
            <w:r>
              <w:rPr>
                <w:spacing w:val="7"/>
                <w:sz w:val="20"/>
                <w:szCs w:val="20"/>
              </w:rPr>
              <w:t>以自然恢复植被</w:t>
            </w:r>
            <w:r>
              <w:rPr>
                <w:sz w:val="20"/>
                <w:szCs w:val="20"/>
              </w:rPr>
              <w:t xml:space="preserve"> </w:t>
            </w:r>
            <w:r>
              <w:rPr>
                <w:spacing w:val="9"/>
                <w:sz w:val="20"/>
                <w:szCs w:val="20"/>
              </w:rPr>
              <w:t>为主，不采取开挖补种、更替树种、除</w:t>
            </w:r>
            <w:r>
              <w:rPr>
                <w:spacing w:val="7"/>
                <w:sz w:val="20"/>
                <w:szCs w:val="20"/>
              </w:rPr>
              <w:t xml:space="preserve"> </w:t>
            </w:r>
            <w:r>
              <w:rPr>
                <w:spacing w:val="9"/>
                <w:sz w:val="20"/>
                <w:szCs w:val="20"/>
              </w:rPr>
              <w:t>草等人工干预措施；原有植被盖度达到</w:t>
            </w:r>
          </w:p>
        </w:tc>
        <w:tc>
          <w:tcPr>
            <w:tcW w:w="3553" w:type="dxa"/>
            <w:tcBorders>
              <w:bottom w:val="single" w:color="000000" w:sz="6" w:space="0"/>
            </w:tcBorders>
            <w:vAlign w:val="top"/>
          </w:tcPr>
          <w:p w14:paraId="1A338BD8">
            <w:pPr>
              <w:pStyle w:val="6"/>
              <w:spacing w:before="43" w:line="228" w:lineRule="auto"/>
              <w:ind w:left="535"/>
              <w:rPr>
                <w:sz w:val="20"/>
                <w:szCs w:val="20"/>
              </w:rPr>
            </w:pPr>
            <w:r>
              <w:rPr>
                <w:spacing w:val="9"/>
                <w:sz w:val="20"/>
                <w:szCs w:val="20"/>
              </w:rPr>
              <w:t>现阶段为项目施工前期工作开</w:t>
            </w:r>
          </w:p>
          <w:p w14:paraId="1CD9D69F">
            <w:pPr>
              <w:pStyle w:val="6"/>
              <w:spacing w:before="22" w:line="249" w:lineRule="auto"/>
              <w:ind w:left="112" w:right="101" w:firstLine="3"/>
              <w:rPr>
                <w:sz w:val="20"/>
                <w:szCs w:val="20"/>
              </w:rPr>
            </w:pPr>
            <w:r>
              <w:rPr>
                <w:spacing w:val="8"/>
                <w:sz w:val="20"/>
                <w:szCs w:val="20"/>
              </w:rPr>
              <w:t>展阶段，建设单位在使用林草地前，</w:t>
            </w:r>
            <w:r>
              <w:rPr>
                <w:spacing w:val="2"/>
                <w:sz w:val="20"/>
                <w:szCs w:val="20"/>
              </w:rPr>
              <w:t xml:space="preserve"> </w:t>
            </w:r>
            <w:r>
              <w:rPr>
                <w:spacing w:val="8"/>
                <w:sz w:val="20"/>
                <w:szCs w:val="20"/>
              </w:rPr>
              <w:t>将编制《光伏复合项目使用林草地植</w:t>
            </w:r>
            <w:r>
              <w:rPr>
                <w:spacing w:val="5"/>
                <w:sz w:val="20"/>
                <w:szCs w:val="20"/>
              </w:rPr>
              <w:t xml:space="preserve"> </w:t>
            </w:r>
            <w:r>
              <w:rPr>
                <w:spacing w:val="8"/>
                <w:sz w:val="20"/>
                <w:szCs w:val="20"/>
              </w:rPr>
              <w:t>被保护方案》，按要求对光伏板下植</w:t>
            </w:r>
            <w:r>
              <w:rPr>
                <w:spacing w:val="5"/>
                <w:sz w:val="20"/>
                <w:szCs w:val="20"/>
              </w:rPr>
              <w:t xml:space="preserve"> </w:t>
            </w:r>
            <w:r>
              <w:rPr>
                <w:spacing w:val="8"/>
                <w:sz w:val="20"/>
                <w:szCs w:val="20"/>
              </w:rPr>
              <w:t>被进行保护，保证运营期电池组件阵</w:t>
            </w:r>
            <w:r>
              <w:rPr>
                <w:spacing w:val="5"/>
                <w:sz w:val="20"/>
                <w:szCs w:val="20"/>
              </w:rPr>
              <w:t xml:space="preserve"> </w:t>
            </w:r>
            <w:r>
              <w:rPr>
                <w:spacing w:val="9"/>
                <w:sz w:val="20"/>
                <w:szCs w:val="20"/>
              </w:rPr>
              <w:t>列下方原有植被盖度达到</w:t>
            </w:r>
            <w:r>
              <w:rPr>
                <w:rFonts w:ascii="Times New Roman" w:hAnsi="Times New Roman" w:eastAsia="Times New Roman" w:cs="Times New Roman"/>
                <w:spacing w:val="9"/>
                <w:sz w:val="20"/>
                <w:szCs w:val="20"/>
              </w:rPr>
              <w:t>30%</w:t>
            </w:r>
            <w:r>
              <w:rPr>
                <w:spacing w:val="9"/>
                <w:sz w:val="20"/>
                <w:szCs w:val="20"/>
              </w:rPr>
              <w:t>以上，</w:t>
            </w:r>
            <w:r>
              <w:rPr>
                <w:spacing w:val="13"/>
                <w:sz w:val="20"/>
                <w:szCs w:val="20"/>
              </w:rPr>
              <w:t xml:space="preserve"> </w:t>
            </w:r>
            <w:r>
              <w:rPr>
                <w:spacing w:val="8"/>
                <w:sz w:val="20"/>
                <w:szCs w:val="20"/>
              </w:rPr>
              <w:t>且具备自然恢复条件的，以自然恢复</w:t>
            </w:r>
            <w:r>
              <w:rPr>
                <w:spacing w:val="5"/>
                <w:sz w:val="20"/>
                <w:szCs w:val="20"/>
              </w:rPr>
              <w:t xml:space="preserve"> </w:t>
            </w:r>
            <w:r>
              <w:rPr>
                <w:spacing w:val="8"/>
                <w:sz w:val="20"/>
                <w:szCs w:val="20"/>
              </w:rPr>
              <w:t>植被为主，不采取开挖补种、更替树</w:t>
            </w:r>
            <w:r>
              <w:rPr>
                <w:spacing w:val="5"/>
                <w:sz w:val="20"/>
                <w:szCs w:val="20"/>
              </w:rPr>
              <w:t xml:space="preserve"> </w:t>
            </w:r>
            <w:r>
              <w:rPr>
                <w:spacing w:val="8"/>
                <w:sz w:val="20"/>
                <w:szCs w:val="20"/>
              </w:rPr>
              <w:t>种、除草等人工干预措施；原有植被</w:t>
            </w:r>
            <w:r>
              <w:rPr>
                <w:spacing w:val="5"/>
                <w:sz w:val="20"/>
                <w:szCs w:val="20"/>
              </w:rPr>
              <w:t xml:space="preserve"> </w:t>
            </w:r>
            <w:r>
              <w:rPr>
                <w:spacing w:val="4"/>
                <w:sz w:val="20"/>
                <w:szCs w:val="20"/>
              </w:rPr>
              <w:t>盖度达到</w:t>
            </w:r>
            <w:r>
              <w:rPr>
                <w:spacing w:val="-36"/>
                <w:sz w:val="20"/>
                <w:szCs w:val="20"/>
              </w:rPr>
              <w:t xml:space="preserve"> </w:t>
            </w:r>
            <w:r>
              <w:rPr>
                <w:rFonts w:ascii="Times New Roman" w:hAnsi="Times New Roman" w:eastAsia="Times New Roman" w:cs="Times New Roman"/>
                <w:spacing w:val="4"/>
                <w:sz w:val="20"/>
                <w:szCs w:val="20"/>
              </w:rPr>
              <w:t>20%</w:t>
            </w:r>
            <w:r>
              <w:rPr>
                <w:spacing w:val="4"/>
                <w:sz w:val="20"/>
                <w:szCs w:val="20"/>
              </w:rPr>
              <w:t>以上</w:t>
            </w:r>
            <w:r>
              <w:rPr>
                <w:spacing w:val="-36"/>
                <w:sz w:val="20"/>
                <w:szCs w:val="20"/>
              </w:rPr>
              <w:t xml:space="preserve"> </w:t>
            </w:r>
            <w:r>
              <w:rPr>
                <w:rFonts w:ascii="Times New Roman" w:hAnsi="Times New Roman" w:eastAsia="Times New Roman" w:cs="Times New Roman"/>
                <w:spacing w:val="4"/>
                <w:sz w:val="20"/>
                <w:szCs w:val="20"/>
              </w:rPr>
              <w:t>30%</w:t>
            </w:r>
            <w:r>
              <w:rPr>
                <w:spacing w:val="4"/>
                <w:sz w:val="20"/>
                <w:szCs w:val="20"/>
              </w:rPr>
              <w:t>以下，且具备</w:t>
            </w:r>
          </w:p>
        </w:tc>
        <w:tc>
          <w:tcPr>
            <w:tcW w:w="612" w:type="dxa"/>
            <w:tcBorders>
              <w:bottom w:val="single" w:color="000000" w:sz="6" w:space="0"/>
              <w:right w:val="single" w:color="000000" w:sz="6" w:space="0"/>
            </w:tcBorders>
            <w:textDirection w:val="tbRlV"/>
            <w:vAlign w:val="top"/>
          </w:tcPr>
          <w:p w14:paraId="6E253DC3">
            <w:pPr>
              <w:pStyle w:val="6"/>
              <w:spacing w:before="249" w:line="215" w:lineRule="auto"/>
              <w:ind w:left="1132"/>
              <w:rPr>
                <w:sz w:val="20"/>
                <w:szCs w:val="20"/>
              </w:rPr>
            </w:pPr>
            <w:r>
              <w:rPr>
                <w:spacing w:val="8"/>
                <w:sz w:val="20"/>
                <w:szCs w:val="20"/>
              </w:rPr>
              <w:t>符</w:t>
            </w:r>
            <w:r>
              <w:rPr>
                <w:spacing w:val="-38"/>
                <w:sz w:val="20"/>
                <w:szCs w:val="20"/>
              </w:rPr>
              <w:t xml:space="preserve"> </w:t>
            </w:r>
            <w:r>
              <w:rPr>
                <w:spacing w:val="8"/>
                <w:sz w:val="20"/>
                <w:szCs w:val="20"/>
              </w:rPr>
              <w:t>合</w:t>
            </w:r>
          </w:p>
        </w:tc>
      </w:tr>
    </w:tbl>
    <w:p w14:paraId="64CAC29A">
      <w:pPr>
        <w:rPr>
          <w:rFonts w:ascii="Arial"/>
          <w:sz w:val="21"/>
        </w:rPr>
      </w:pPr>
    </w:p>
    <w:p w14:paraId="4B4D7272">
      <w:pPr>
        <w:rPr>
          <w:rFonts w:ascii="Arial" w:hAnsi="Arial" w:eastAsia="Arial" w:cs="Arial"/>
          <w:sz w:val="21"/>
          <w:szCs w:val="21"/>
        </w:rPr>
        <w:sectPr>
          <w:footerReference r:id="rId42" w:type="default"/>
          <w:pgSz w:w="11906" w:h="16839"/>
          <w:pgMar w:top="1431" w:right="1407" w:bottom="1278" w:left="1407" w:header="0" w:footer="1116" w:gutter="0"/>
          <w:cols w:space="720" w:num="1"/>
        </w:sectPr>
      </w:pPr>
    </w:p>
    <w:p w14:paraId="4F094761">
      <w:pPr>
        <w:spacing w:line="99" w:lineRule="exact"/>
      </w:pPr>
    </w:p>
    <w:tbl>
      <w:tblPr>
        <w:tblStyle w:val="5"/>
        <w:tblW w:w="9076"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26C064C3">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481" w:hRule="atLeast"/>
        </w:trPr>
        <w:tc>
          <w:tcPr>
            <w:tcW w:w="9076" w:type="dxa"/>
            <w:vAlign w:val="top"/>
          </w:tcPr>
          <w:p w14:paraId="5771CC50">
            <w:pPr>
              <w:spacing w:line="96" w:lineRule="auto"/>
              <w:rPr>
                <w:rFonts w:ascii="Arial"/>
                <w:sz w:val="2"/>
              </w:rPr>
            </w:pPr>
          </w:p>
          <w:tbl>
            <w:tblPr>
              <w:tblStyle w:val="5"/>
              <w:tblW w:w="7959"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05"/>
              <w:gridCol w:w="3557"/>
              <w:gridCol w:w="497"/>
            </w:tblGrid>
            <w:tr w14:paraId="4DAC7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4" w:hRule="atLeast"/>
              </w:trPr>
              <w:tc>
                <w:tcPr>
                  <w:tcW w:w="3905" w:type="dxa"/>
                  <w:tcBorders>
                    <w:top w:val="nil"/>
                  </w:tcBorders>
                  <w:vAlign w:val="top"/>
                </w:tcPr>
                <w:p w14:paraId="23CDDB8F">
                  <w:pPr>
                    <w:pStyle w:val="6"/>
                    <w:spacing w:before="53" w:line="249" w:lineRule="auto"/>
                    <w:ind w:left="227" w:right="52" w:hanging="2"/>
                    <w:rPr>
                      <w:sz w:val="20"/>
                      <w:szCs w:val="20"/>
                    </w:rPr>
                  </w:pPr>
                  <w:r>
                    <w:rPr>
                      <w:rFonts w:ascii="Times New Roman" w:hAnsi="Times New Roman" w:eastAsia="Times New Roman" w:cs="Times New Roman"/>
                      <w:spacing w:val="7"/>
                      <w:sz w:val="20"/>
                      <w:szCs w:val="20"/>
                    </w:rPr>
                    <w:t>20%</w:t>
                  </w:r>
                  <w:r>
                    <w:rPr>
                      <w:spacing w:val="7"/>
                      <w:sz w:val="20"/>
                      <w:szCs w:val="20"/>
                    </w:rPr>
                    <w:t>以上</w:t>
                  </w:r>
                  <w:r>
                    <w:rPr>
                      <w:spacing w:val="-22"/>
                      <w:sz w:val="20"/>
                      <w:szCs w:val="20"/>
                    </w:rPr>
                    <w:t xml:space="preserve"> </w:t>
                  </w:r>
                  <w:r>
                    <w:rPr>
                      <w:rFonts w:ascii="Times New Roman" w:hAnsi="Times New Roman" w:eastAsia="Times New Roman" w:cs="Times New Roman"/>
                      <w:spacing w:val="7"/>
                      <w:sz w:val="20"/>
                      <w:szCs w:val="20"/>
                    </w:rPr>
                    <w:t>30%</w:t>
                  </w:r>
                  <w:r>
                    <w:rPr>
                      <w:spacing w:val="7"/>
                      <w:sz w:val="20"/>
                      <w:szCs w:val="20"/>
                    </w:rPr>
                    <w:t>以下，且具备自然恢复条</w:t>
                  </w:r>
                  <w:r>
                    <w:rPr>
                      <w:sz w:val="20"/>
                      <w:szCs w:val="20"/>
                    </w:rPr>
                    <w:t xml:space="preserve"> </w:t>
                  </w:r>
                  <w:r>
                    <w:rPr>
                      <w:spacing w:val="9"/>
                      <w:sz w:val="20"/>
                      <w:szCs w:val="20"/>
                    </w:rPr>
                    <w:t>件的，采取补植补种修复植被；原有植</w:t>
                  </w:r>
                  <w:r>
                    <w:rPr>
                      <w:spacing w:val="7"/>
                      <w:sz w:val="20"/>
                      <w:szCs w:val="20"/>
                    </w:rPr>
                    <w:t xml:space="preserve"> 被盖度低于</w:t>
                  </w:r>
                  <w:r>
                    <w:rPr>
                      <w:spacing w:val="-30"/>
                      <w:sz w:val="20"/>
                      <w:szCs w:val="20"/>
                    </w:rPr>
                    <w:t xml:space="preserve"> </w:t>
                  </w:r>
                  <w:r>
                    <w:rPr>
                      <w:rFonts w:ascii="Times New Roman" w:hAnsi="Times New Roman" w:eastAsia="Times New Roman" w:cs="Times New Roman"/>
                      <w:spacing w:val="7"/>
                      <w:sz w:val="20"/>
                      <w:szCs w:val="20"/>
                    </w:rPr>
                    <w:t>20%</w:t>
                  </w:r>
                  <w:r>
                    <w:rPr>
                      <w:spacing w:val="7"/>
                      <w:sz w:val="20"/>
                      <w:szCs w:val="20"/>
                    </w:rPr>
                    <w:t>的，采取人工种草等措</w:t>
                  </w:r>
                  <w:r>
                    <w:rPr>
                      <w:sz w:val="20"/>
                      <w:szCs w:val="20"/>
                    </w:rPr>
                    <w:t xml:space="preserve"> </w:t>
                  </w:r>
                  <w:r>
                    <w:rPr>
                      <w:spacing w:val="9"/>
                      <w:sz w:val="20"/>
                      <w:szCs w:val="20"/>
                    </w:rPr>
                    <w:t>施改良植被及土壤条件，防止水土流失</w:t>
                  </w:r>
                  <w:r>
                    <w:rPr>
                      <w:spacing w:val="7"/>
                      <w:sz w:val="20"/>
                      <w:szCs w:val="20"/>
                    </w:rPr>
                    <w:t xml:space="preserve"> </w:t>
                  </w:r>
                  <w:r>
                    <w:rPr>
                      <w:spacing w:val="9"/>
                      <w:sz w:val="20"/>
                      <w:szCs w:val="20"/>
                    </w:rPr>
                    <w:t>和土壤侵蚀。项目区内未设计建设的空</w:t>
                  </w:r>
                  <w:r>
                    <w:rPr>
                      <w:spacing w:val="7"/>
                      <w:sz w:val="20"/>
                      <w:szCs w:val="20"/>
                    </w:rPr>
                    <w:t xml:space="preserve"> </w:t>
                  </w:r>
                  <w:r>
                    <w:rPr>
                      <w:spacing w:val="1"/>
                      <w:sz w:val="20"/>
                      <w:szCs w:val="20"/>
                    </w:rPr>
                    <w:t>地区域，不得破坏原有植被和损毁地表，</w:t>
                  </w:r>
                  <w:r>
                    <w:rPr>
                      <w:sz w:val="20"/>
                      <w:szCs w:val="20"/>
                    </w:rPr>
                    <w:t xml:space="preserve"> </w:t>
                  </w:r>
                  <w:r>
                    <w:rPr>
                      <w:spacing w:val="9"/>
                      <w:sz w:val="20"/>
                      <w:szCs w:val="20"/>
                    </w:rPr>
                    <w:t>项目业主单位可在不影响光伏复合项目</w:t>
                  </w:r>
                  <w:r>
                    <w:rPr>
                      <w:spacing w:val="7"/>
                      <w:sz w:val="20"/>
                      <w:szCs w:val="20"/>
                    </w:rPr>
                    <w:t xml:space="preserve"> </w:t>
                  </w:r>
                  <w:r>
                    <w:rPr>
                      <w:spacing w:val="1"/>
                      <w:sz w:val="20"/>
                      <w:szCs w:val="20"/>
                    </w:rPr>
                    <w:t>运营安全的前提下，科学制定绿化方案，</w:t>
                  </w:r>
                  <w:r>
                    <w:rPr>
                      <w:sz w:val="20"/>
                      <w:szCs w:val="20"/>
                    </w:rPr>
                    <w:t xml:space="preserve"> </w:t>
                  </w:r>
                  <w:r>
                    <w:rPr>
                      <w:spacing w:val="9"/>
                      <w:sz w:val="20"/>
                      <w:szCs w:val="20"/>
                    </w:rPr>
                    <w:t>适度补植补种乡土树种、草种。项目业</w:t>
                  </w:r>
                  <w:r>
                    <w:rPr>
                      <w:spacing w:val="7"/>
                      <w:sz w:val="20"/>
                      <w:szCs w:val="20"/>
                    </w:rPr>
                    <w:t xml:space="preserve"> </w:t>
                  </w:r>
                  <w:r>
                    <w:rPr>
                      <w:spacing w:val="10"/>
                      <w:sz w:val="20"/>
                      <w:szCs w:val="20"/>
                    </w:rPr>
                    <w:t>主在申报使用林地、草原行政许可时，</w:t>
                  </w:r>
                  <w:r>
                    <w:rPr>
                      <w:spacing w:val="6"/>
                      <w:sz w:val="20"/>
                      <w:szCs w:val="20"/>
                    </w:rPr>
                    <w:t xml:space="preserve"> </w:t>
                  </w:r>
                  <w:r>
                    <w:rPr>
                      <w:spacing w:val="9"/>
                      <w:sz w:val="20"/>
                      <w:szCs w:val="20"/>
                    </w:rPr>
                    <w:t>应当同步提交编制《光伏复合项目使用</w:t>
                  </w:r>
                  <w:r>
                    <w:rPr>
                      <w:spacing w:val="7"/>
                      <w:sz w:val="20"/>
                      <w:szCs w:val="20"/>
                    </w:rPr>
                    <w:t xml:space="preserve"> </w:t>
                  </w:r>
                  <w:r>
                    <w:rPr>
                      <w:spacing w:val="9"/>
                      <w:sz w:val="20"/>
                      <w:szCs w:val="20"/>
                    </w:rPr>
                    <w:t>林草地植被保护方案》的承诺书，并在</w:t>
                  </w:r>
                  <w:r>
                    <w:rPr>
                      <w:spacing w:val="7"/>
                      <w:sz w:val="20"/>
                      <w:szCs w:val="20"/>
                    </w:rPr>
                    <w:t xml:space="preserve"> 项目取得使用林地许可批复后</w:t>
                  </w:r>
                  <w:r>
                    <w:rPr>
                      <w:spacing w:val="-20"/>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个月</w:t>
                  </w:r>
                </w:p>
                <w:p w14:paraId="0A44AFDA">
                  <w:pPr>
                    <w:pStyle w:val="6"/>
                    <w:spacing w:before="24" w:line="235" w:lineRule="auto"/>
                    <w:ind w:left="229" w:right="36" w:firstLine="25"/>
                    <w:rPr>
                      <w:sz w:val="20"/>
                      <w:szCs w:val="20"/>
                    </w:rPr>
                  </w:pPr>
                  <w:r>
                    <w:rPr>
                      <w:spacing w:val="7"/>
                      <w:sz w:val="20"/>
                      <w:szCs w:val="20"/>
                    </w:rPr>
                    <w:t>内，向县林草局提交按规定编制的《光</w:t>
                  </w:r>
                  <w:r>
                    <w:rPr>
                      <w:spacing w:val="15"/>
                      <w:sz w:val="20"/>
                      <w:szCs w:val="20"/>
                    </w:rPr>
                    <w:t xml:space="preserve"> </w:t>
                  </w:r>
                  <w:r>
                    <w:rPr>
                      <w:spacing w:val="1"/>
                      <w:sz w:val="20"/>
                      <w:szCs w:val="20"/>
                    </w:rPr>
                    <w:t>伏复合项目使用林草地植被保护方案》。</w:t>
                  </w:r>
                </w:p>
              </w:tc>
              <w:tc>
                <w:tcPr>
                  <w:tcW w:w="3557" w:type="dxa"/>
                  <w:tcBorders>
                    <w:top w:val="nil"/>
                  </w:tcBorders>
                  <w:vAlign w:val="top"/>
                </w:tcPr>
                <w:p w14:paraId="0223037A">
                  <w:pPr>
                    <w:pStyle w:val="6"/>
                    <w:spacing w:before="48" w:line="243" w:lineRule="auto"/>
                    <w:ind w:left="115" w:right="104" w:firstLine="33"/>
                    <w:rPr>
                      <w:sz w:val="20"/>
                      <w:szCs w:val="20"/>
                    </w:rPr>
                  </w:pPr>
                  <w:r>
                    <w:rPr>
                      <w:spacing w:val="6"/>
                      <w:sz w:val="20"/>
                      <w:szCs w:val="20"/>
                    </w:rPr>
                    <w:t>自然恢复条件的，采取补植补种修复</w:t>
                  </w:r>
                  <w:r>
                    <w:rPr>
                      <w:spacing w:val="1"/>
                      <w:sz w:val="20"/>
                      <w:szCs w:val="20"/>
                    </w:rPr>
                    <w:t xml:space="preserve"> </w:t>
                  </w:r>
                  <w:r>
                    <w:rPr>
                      <w:spacing w:val="6"/>
                      <w:sz w:val="20"/>
                      <w:szCs w:val="20"/>
                    </w:rPr>
                    <w:t>植被；原有植被盖度低于</w:t>
                  </w:r>
                  <w:r>
                    <w:rPr>
                      <w:spacing w:val="-38"/>
                      <w:sz w:val="20"/>
                      <w:szCs w:val="20"/>
                    </w:rPr>
                    <w:t xml:space="preserve"> </w:t>
                  </w:r>
                  <w:r>
                    <w:rPr>
                      <w:rFonts w:ascii="Times New Roman" w:hAnsi="Times New Roman" w:eastAsia="Times New Roman" w:cs="Times New Roman"/>
                      <w:spacing w:val="6"/>
                      <w:sz w:val="20"/>
                      <w:szCs w:val="20"/>
                    </w:rPr>
                    <w:t>20%</w:t>
                  </w:r>
                  <w:r>
                    <w:rPr>
                      <w:spacing w:val="6"/>
                      <w:sz w:val="20"/>
                      <w:szCs w:val="20"/>
                    </w:rPr>
                    <w:t>的，采</w:t>
                  </w:r>
                  <w:r>
                    <w:rPr>
                      <w:sz w:val="20"/>
                      <w:szCs w:val="20"/>
                    </w:rPr>
                    <w:t xml:space="preserve"> </w:t>
                  </w:r>
                  <w:r>
                    <w:rPr>
                      <w:spacing w:val="9"/>
                      <w:sz w:val="20"/>
                      <w:szCs w:val="20"/>
                    </w:rPr>
                    <w:t>取人工种草等措施改良植被及土壤</w:t>
                  </w:r>
                </w:p>
                <w:p w14:paraId="044DB62C">
                  <w:pPr>
                    <w:pStyle w:val="6"/>
                    <w:spacing w:before="26" w:line="228" w:lineRule="auto"/>
                    <w:ind w:left="116"/>
                    <w:rPr>
                      <w:sz w:val="20"/>
                      <w:szCs w:val="20"/>
                    </w:rPr>
                  </w:pPr>
                  <w:r>
                    <w:rPr>
                      <w:spacing w:val="8"/>
                      <w:sz w:val="20"/>
                      <w:szCs w:val="20"/>
                    </w:rPr>
                    <w:t>条件，防止水土流失和土壤侵蚀。</w:t>
                  </w:r>
                </w:p>
              </w:tc>
              <w:tc>
                <w:tcPr>
                  <w:tcW w:w="497" w:type="dxa"/>
                  <w:tcBorders>
                    <w:top w:val="nil"/>
                  </w:tcBorders>
                  <w:vAlign w:val="top"/>
                </w:tcPr>
                <w:p w14:paraId="7BB44EA3">
                  <w:pPr>
                    <w:rPr>
                      <w:rFonts w:ascii="Arial"/>
                      <w:sz w:val="21"/>
                    </w:rPr>
                  </w:pPr>
                </w:p>
              </w:tc>
            </w:tr>
            <w:tr w14:paraId="797DC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1" w:hRule="atLeast"/>
              </w:trPr>
              <w:tc>
                <w:tcPr>
                  <w:tcW w:w="7959" w:type="dxa"/>
                  <w:gridSpan w:val="3"/>
                  <w:tcBorders>
                    <w:bottom w:val="nil"/>
                    <w:right w:val="nil"/>
                  </w:tcBorders>
                  <w:vAlign w:val="top"/>
                </w:tcPr>
                <w:p w14:paraId="24B12FE3">
                  <w:pPr>
                    <w:pStyle w:val="6"/>
                    <w:spacing w:before="35" w:line="350" w:lineRule="auto"/>
                    <w:ind w:left="119" w:firstLine="481"/>
                    <w:jc w:val="both"/>
                  </w:pPr>
                  <w:r>
                    <w:rPr>
                      <w:spacing w:val="1"/>
                    </w:rPr>
                    <w:t>综上，本项目的选址符合当地城镇规划及《云南省林业和草原局 云南</w:t>
                  </w:r>
                  <w:r>
                    <w:rPr>
                      <w:spacing w:val="3"/>
                    </w:rPr>
                    <w:t xml:space="preserve"> </w:t>
                  </w:r>
                  <w:r>
                    <w:rPr>
                      <w:spacing w:val="-3"/>
                    </w:rPr>
                    <w:t>省能源局关于进一步规范光伏复合项目使用林草地有关事项的通知》（云林</w:t>
                  </w:r>
                  <w:r>
                    <w:rPr>
                      <w:spacing w:val="12"/>
                    </w:rPr>
                    <w:t xml:space="preserve"> </w:t>
                  </w:r>
                  <w:r>
                    <w:rPr>
                      <w:spacing w:val="-1"/>
                    </w:rPr>
                    <w:t>规〔</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5</w:t>
                  </w:r>
                  <w:r>
                    <w:rPr>
                      <w:spacing w:val="-1"/>
                    </w:rPr>
                    <w:t>号）的要求。</w:t>
                  </w:r>
                </w:p>
                <w:p w14:paraId="3BC52D13">
                  <w:pPr>
                    <w:pStyle w:val="6"/>
                    <w:spacing w:before="34" w:line="335" w:lineRule="auto"/>
                    <w:ind w:left="119" w:firstLine="490"/>
                  </w:pPr>
                  <w:r>
                    <w:rPr>
                      <w:spacing w:val="-2"/>
                    </w:rPr>
                    <w:t>（</w:t>
                  </w:r>
                  <w:r>
                    <w:rPr>
                      <w:rFonts w:ascii="Times New Roman" w:hAnsi="Times New Roman" w:eastAsia="Times New Roman" w:cs="Times New Roman"/>
                      <w:spacing w:val="-2"/>
                    </w:rPr>
                    <w:t>2</w:t>
                  </w:r>
                  <w:r>
                    <w:rPr>
                      <w:spacing w:val="-2"/>
                    </w:rPr>
                    <w:t>）与《云南省林业厅关于规范光伏电站建设使用林地的通知》</w:t>
                  </w:r>
                  <w:r>
                    <w:rPr>
                      <w:rFonts w:ascii="Times New Roman" w:hAnsi="Times New Roman" w:eastAsia="Times New Roman" w:cs="Times New Roman"/>
                      <w:spacing w:val="-2"/>
                    </w:rPr>
                    <w:t>(</w:t>
                  </w:r>
                  <w:r>
                    <w:rPr>
                      <w:spacing w:val="-2"/>
                    </w:rPr>
                    <w:t>云林</w:t>
                  </w:r>
                  <w:r>
                    <w:rPr>
                      <w:spacing w:val="9"/>
                    </w:rPr>
                    <w:t xml:space="preserve"> </w:t>
                  </w:r>
                  <w:r>
                    <w:rPr>
                      <w:spacing w:val="-2"/>
                    </w:rPr>
                    <w:t>林政（</w:t>
                  </w:r>
                  <w:r>
                    <w:rPr>
                      <w:rFonts w:ascii="Times New Roman" w:hAnsi="Times New Roman" w:eastAsia="Times New Roman" w:cs="Times New Roman"/>
                      <w:spacing w:val="-2"/>
                    </w:rPr>
                    <w:t>2016</w:t>
                  </w:r>
                  <w:r>
                    <w:rPr>
                      <w:spacing w:val="-2"/>
                    </w:rPr>
                    <w:t>）</w:t>
                  </w:r>
                  <w:r>
                    <w:rPr>
                      <w:rFonts w:ascii="Times New Roman" w:hAnsi="Times New Roman" w:eastAsia="Times New Roman" w:cs="Times New Roman"/>
                      <w:spacing w:val="-2"/>
                    </w:rPr>
                    <w:t>17</w:t>
                  </w:r>
                  <w:r>
                    <w:rPr>
                      <w:rFonts w:ascii="Times New Roman" w:hAnsi="Times New Roman" w:eastAsia="Times New Roman" w:cs="Times New Roman"/>
                      <w:spacing w:val="22"/>
                    </w:rPr>
                    <w:t xml:space="preserve"> </w:t>
                  </w:r>
                  <w:r>
                    <w:rPr>
                      <w:spacing w:val="-2"/>
                    </w:rPr>
                    <w:t>号）符合性分析</w:t>
                  </w:r>
                </w:p>
                <w:p w14:paraId="17A01043">
                  <w:pPr>
                    <w:pStyle w:val="6"/>
                    <w:spacing w:before="68" w:line="356" w:lineRule="auto"/>
                    <w:ind w:left="112" w:firstLine="480"/>
                    <w:jc w:val="both"/>
                  </w:pPr>
                  <w:r>
                    <w:rPr>
                      <w:spacing w:val="-5"/>
                    </w:rPr>
                    <w:t>根据《云南省林业厅关于规范光伏电站建设使用林地的通知》（</w:t>
                  </w:r>
                  <w:r>
                    <w:rPr>
                      <w:spacing w:val="-6"/>
                    </w:rPr>
                    <w:t>云林林</w:t>
                  </w:r>
                  <w:r>
                    <w:t xml:space="preserve"> </w:t>
                  </w:r>
                  <w:r>
                    <w:rPr>
                      <w:spacing w:val="-4"/>
                    </w:rPr>
                    <w:t>政（</w:t>
                  </w:r>
                  <w:r>
                    <w:rPr>
                      <w:rFonts w:ascii="Times New Roman" w:hAnsi="Times New Roman" w:eastAsia="Times New Roman" w:cs="Times New Roman"/>
                      <w:spacing w:val="-4"/>
                    </w:rPr>
                    <w:t>2016</w:t>
                  </w:r>
                  <w:r>
                    <w:rPr>
                      <w:spacing w:val="-4"/>
                    </w:rPr>
                    <w:t>）</w:t>
                  </w:r>
                  <w:r>
                    <w:rPr>
                      <w:rFonts w:ascii="Times New Roman" w:hAnsi="Times New Roman" w:eastAsia="Times New Roman" w:cs="Times New Roman"/>
                      <w:spacing w:val="-4"/>
                    </w:rPr>
                    <w:t>17</w:t>
                  </w:r>
                  <w:r>
                    <w:rPr>
                      <w:rFonts w:ascii="Times New Roman" w:hAnsi="Times New Roman" w:eastAsia="Times New Roman" w:cs="Times New Roman"/>
                      <w:spacing w:val="15"/>
                      <w:w w:val="101"/>
                    </w:rPr>
                    <w:t xml:space="preserve"> </w:t>
                  </w:r>
                  <w:r>
                    <w:rPr>
                      <w:spacing w:val="-4"/>
                    </w:rPr>
                    <w:t>号</w:t>
                  </w:r>
                  <w:r>
                    <w:rPr>
                      <w:spacing w:val="-2"/>
                    </w:rPr>
                    <w:t>）：</w:t>
                  </w:r>
                  <w:r>
                    <w:rPr>
                      <w:spacing w:val="-4"/>
                    </w:rPr>
                    <w:t>“禁止占用自然保护区、</w:t>
                  </w:r>
                  <w:r>
                    <w:rPr>
                      <w:spacing w:val="-5"/>
                    </w:rPr>
                    <w:t>国家公园、湿地、森林公园、</w:t>
                  </w:r>
                  <w:r>
                    <w:t xml:space="preserve"> </w:t>
                  </w:r>
                  <w:r>
                    <w:rPr>
                      <w:spacing w:val="-2"/>
                    </w:rPr>
                    <w:t>濒危物种栖息地、天然林保护工程区等环境敏感</w:t>
                  </w:r>
                  <w:r>
                    <w:rPr>
                      <w:spacing w:val="-3"/>
                    </w:rPr>
                    <w:t>区域的林地建设光伏电站。</w:t>
                  </w:r>
                  <w:r>
                    <w:t xml:space="preserve"> </w:t>
                  </w:r>
                  <w:r>
                    <w:rPr>
                      <w:spacing w:val="3"/>
                    </w:rPr>
                    <w:t>我省天然林保护工程区系指纳入全省天然林保护</w:t>
                  </w:r>
                  <w:r>
                    <w:rPr>
                      <w:spacing w:val="2"/>
                    </w:rPr>
                    <w:t>二期工程森林管护的国有</w:t>
                  </w:r>
                  <w:r>
                    <w:t xml:space="preserve"> </w:t>
                  </w:r>
                  <w:r>
                    <w:rPr>
                      <w:spacing w:val="-5"/>
                    </w:rPr>
                    <w:t>林、集体所有的国家级公益林和地方公益林。光伏电站的电池组件阵列仅限</w:t>
                  </w:r>
                  <w:r>
                    <w:rPr>
                      <w:spacing w:val="8"/>
                    </w:rPr>
                    <w:t xml:space="preserve"> </w:t>
                  </w:r>
                  <w:r>
                    <w:rPr>
                      <w:spacing w:val="-5"/>
                    </w:rPr>
                    <w:t>于使用三种类型的林地一是县级以上人民政府规划的宜林地，二是年降雨量</w:t>
                  </w:r>
                  <w:r>
                    <w:rPr>
                      <w:spacing w:val="8"/>
                    </w:rPr>
                    <w:t xml:space="preserve"> </w:t>
                  </w:r>
                  <w:r>
                    <w:rPr>
                      <w:rFonts w:ascii="Times New Roman" w:hAnsi="Times New Roman" w:eastAsia="Times New Roman" w:cs="Times New Roman"/>
                      <w:spacing w:val="-3"/>
                    </w:rPr>
                    <w:t xml:space="preserve">400 </w:t>
                  </w:r>
                  <w:r>
                    <w:rPr>
                      <w:spacing w:val="-3"/>
                    </w:rPr>
                    <w:t>毫米以下区域覆盖度低于</w:t>
                  </w:r>
                  <w:r>
                    <w:rPr>
                      <w:spacing w:val="-51"/>
                    </w:rPr>
                    <w:t xml:space="preserve"> </w:t>
                  </w:r>
                  <w:r>
                    <w:rPr>
                      <w:rFonts w:ascii="Times New Roman" w:hAnsi="Times New Roman" w:eastAsia="Times New Roman" w:cs="Times New Roman"/>
                      <w:spacing w:val="-3"/>
                    </w:rPr>
                    <w:t>30%</w:t>
                  </w:r>
                  <w:r>
                    <w:rPr>
                      <w:spacing w:val="-3"/>
                    </w:rPr>
                    <w:t>的灌木林地</w:t>
                  </w:r>
                  <w:r>
                    <w:rPr>
                      <w:spacing w:val="-4"/>
                    </w:rPr>
                    <w:t>，三是年降雨量</w:t>
                  </w:r>
                  <w:r>
                    <w:rPr>
                      <w:spacing w:val="-57"/>
                    </w:rPr>
                    <w:t xml:space="preserve"> </w:t>
                  </w:r>
                  <w:r>
                    <w:rPr>
                      <w:rFonts w:ascii="Times New Roman" w:hAnsi="Times New Roman" w:eastAsia="Times New Roman" w:cs="Times New Roman"/>
                      <w:spacing w:val="-4"/>
                    </w:rPr>
                    <w:t xml:space="preserve">400 </w:t>
                  </w:r>
                  <w:r>
                    <w:rPr>
                      <w:spacing w:val="-4"/>
                    </w:rPr>
                    <w:t>毫米以上</w:t>
                  </w:r>
                  <w:r>
                    <w:t xml:space="preserve"> </w:t>
                  </w:r>
                  <w:r>
                    <w:rPr>
                      <w:spacing w:val="-3"/>
                    </w:rPr>
                    <w:t>区域覆盖度低于</w:t>
                  </w:r>
                  <w:r>
                    <w:rPr>
                      <w:spacing w:val="-50"/>
                    </w:rPr>
                    <w:t xml:space="preserve"> </w:t>
                  </w:r>
                  <w:r>
                    <w:rPr>
                      <w:rFonts w:ascii="Times New Roman" w:hAnsi="Times New Roman" w:eastAsia="Times New Roman" w:cs="Times New Roman"/>
                      <w:spacing w:val="-3"/>
                    </w:rPr>
                    <w:t>50%</w:t>
                  </w:r>
                  <w:r>
                    <w:rPr>
                      <w:spacing w:val="-3"/>
                    </w:rPr>
                    <w:t>的灌木林地。此外，建设光伏电站所使用</w:t>
                  </w:r>
                  <w:r>
                    <w:rPr>
                      <w:spacing w:val="-4"/>
                    </w:rPr>
                    <w:t>林地的范围，</w:t>
                  </w:r>
                  <w:r>
                    <w:t xml:space="preserve"> </w:t>
                  </w:r>
                  <w:r>
                    <w:rPr>
                      <w:spacing w:val="3"/>
                    </w:rPr>
                    <w:t>必须严格按照林地保护利用规划进行界定决不允</w:t>
                  </w:r>
                  <w:r>
                    <w:rPr>
                      <w:spacing w:val="2"/>
                    </w:rPr>
                    <w:t>许擅自修改调整林地保护</w:t>
                  </w:r>
                  <w:r>
                    <w:t xml:space="preserve"> </w:t>
                  </w:r>
                  <w:r>
                    <w:rPr>
                      <w:spacing w:val="11"/>
                    </w:rPr>
                    <w:t>利用规划。</w:t>
                  </w:r>
                  <w:r>
                    <w:rPr>
                      <w:spacing w:val="-86"/>
                    </w:rPr>
                    <w:t xml:space="preserve"> </w:t>
                  </w:r>
                  <w:r>
                    <w:rPr>
                      <w:spacing w:val="11"/>
                    </w:rPr>
                    <w:t>”</w:t>
                  </w:r>
                </w:p>
                <w:p w14:paraId="21BDA942">
                  <w:pPr>
                    <w:pStyle w:val="6"/>
                    <w:spacing w:before="33" w:line="352" w:lineRule="auto"/>
                    <w:ind w:left="121" w:firstLine="471"/>
                    <w:jc w:val="both"/>
                  </w:pPr>
                  <w:r>
                    <w:rPr>
                      <w:spacing w:val="-2"/>
                    </w:rPr>
                    <w:t>根据寻甸回族彝族自治县林业和草原局</w:t>
                  </w:r>
                  <w:r>
                    <w:rPr>
                      <w:rFonts w:ascii="Times New Roman" w:hAnsi="Times New Roman" w:eastAsia="Times New Roman" w:cs="Times New Roman"/>
                      <w:spacing w:val="-2"/>
                    </w:rPr>
                    <w:t xml:space="preserve">2024 </w:t>
                  </w:r>
                  <w:r>
                    <w:rPr>
                      <w:spacing w:val="-2"/>
                    </w:rPr>
                    <w:t>年</w:t>
                  </w:r>
                  <w:r>
                    <w:rPr>
                      <w:spacing w:val="-51"/>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17"/>
                      <w:w w:val="101"/>
                    </w:rPr>
                    <w:t xml:space="preserve"> </w:t>
                  </w:r>
                  <w:r>
                    <w:rPr>
                      <w:spacing w:val="-2"/>
                    </w:rPr>
                    <w:t>月</w:t>
                  </w:r>
                  <w:r>
                    <w:rPr>
                      <w:spacing w:val="-47"/>
                    </w:rPr>
                    <w:t xml:space="preserve"> </w:t>
                  </w:r>
                  <w:r>
                    <w:rPr>
                      <w:rFonts w:ascii="Times New Roman" w:hAnsi="Times New Roman" w:eastAsia="Times New Roman" w:cs="Times New Roman"/>
                      <w:spacing w:val="-2"/>
                    </w:rPr>
                    <w:t xml:space="preserve">5  </w:t>
                  </w:r>
                  <w:r>
                    <w:rPr>
                      <w:spacing w:val="-3"/>
                    </w:rPr>
                    <w:t>日出具的《寻甸</w:t>
                  </w:r>
                  <w:r>
                    <w:t xml:space="preserve"> </w:t>
                  </w:r>
                  <w:r>
                    <w:rPr>
                      <w:spacing w:val="-3"/>
                    </w:rPr>
                    <w:t>回族彝族自治县林业和草原局关于化桃箐光伏发电项目选址意见的复函》，</w:t>
                  </w:r>
                  <w:r>
                    <w:rPr>
                      <w:spacing w:val="12"/>
                    </w:rPr>
                    <w:t xml:space="preserve"> </w:t>
                  </w:r>
                  <w:r>
                    <w:rPr>
                      <w:spacing w:val="-10"/>
                    </w:rPr>
                    <w:t>项目不涉及国家公园、各级自然保护区、森林公园、风景名胜区、草原公园、</w:t>
                  </w:r>
                  <w:r>
                    <w:rPr>
                      <w:spacing w:val="13"/>
                    </w:rPr>
                    <w:t xml:space="preserve"> </w:t>
                  </w:r>
                  <w:r>
                    <w:rPr>
                      <w:spacing w:val="-3"/>
                    </w:rPr>
                    <w:t>自然保护区、基本草原，不涉及项目禁用的林草地地类。</w:t>
                  </w:r>
                </w:p>
                <w:p w14:paraId="745EA560">
                  <w:pPr>
                    <w:pStyle w:val="6"/>
                    <w:spacing w:before="33" w:line="219" w:lineRule="auto"/>
                    <w:jc w:val="right"/>
                  </w:pPr>
                  <w:r>
                    <w:rPr>
                      <w:spacing w:val="-2"/>
                    </w:rPr>
                    <w:t>本项目场区年降雨量</w:t>
                  </w:r>
                  <w:r>
                    <w:rPr>
                      <w:spacing w:val="-31"/>
                    </w:rPr>
                    <w:t xml:space="preserve"> </w:t>
                  </w:r>
                  <w:r>
                    <w:rPr>
                      <w:rFonts w:ascii="Times New Roman" w:hAnsi="Times New Roman" w:eastAsia="Times New Roman" w:cs="Times New Roman"/>
                      <w:spacing w:val="-2"/>
                    </w:rPr>
                    <w:t>1045mm</w:t>
                  </w:r>
                  <w:r>
                    <w:rPr>
                      <w:spacing w:val="-2"/>
                    </w:rPr>
                    <w:t>，项目占用乔木林地面积小且仅用于集电</w:t>
                  </w:r>
                </w:p>
              </w:tc>
            </w:tr>
          </w:tbl>
          <w:p w14:paraId="0E50C97C">
            <w:pPr>
              <w:spacing w:line="14" w:lineRule="auto"/>
              <w:rPr>
                <w:rFonts w:ascii="Arial"/>
                <w:sz w:val="2"/>
              </w:rPr>
            </w:pPr>
          </w:p>
        </w:tc>
      </w:tr>
    </w:tbl>
    <w:p w14:paraId="25674DD0">
      <w:pPr>
        <w:rPr>
          <w:rFonts w:ascii="Arial"/>
          <w:sz w:val="21"/>
        </w:rPr>
      </w:pPr>
    </w:p>
    <w:p w14:paraId="6FC9475F">
      <w:pPr>
        <w:rPr>
          <w:rFonts w:ascii="Arial" w:hAnsi="Arial" w:eastAsia="Arial" w:cs="Arial"/>
          <w:sz w:val="21"/>
          <w:szCs w:val="21"/>
        </w:rPr>
        <w:sectPr>
          <w:footerReference r:id="rId43" w:type="default"/>
          <w:pgSz w:w="11906" w:h="16839"/>
          <w:pgMar w:top="1431" w:right="1407" w:bottom="1278" w:left="1407" w:header="0" w:footer="1116" w:gutter="0"/>
          <w:cols w:space="720" w:num="1"/>
        </w:sectPr>
      </w:pPr>
    </w:p>
    <w:p w14:paraId="43BCE81F">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2CA3B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72" w:hRule="atLeast"/>
        </w:trPr>
        <w:tc>
          <w:tcPr>
            <w:tcW w:w="1014" w:type="dxa"/>
            <w:tcBorders>
              <w:right w:val="single" w:color="000000" w:sz="2" w:space="0"/>
            </w:tcBorders>
            <w:vAlign w:val="top"/>
          </w:tcPr>
          <w:p w14:paraId="0F567B3F">
            <w:pPr>
              <w:rPr>
                <w:rFonts w:ascii="Arial"/>
                <w:sz w:val="21"/>
              </w:rPr>
            </w:pPr>
          </w:p>
        </w:tc>
        <w:tc>
          <w:tcPr>
            <w:tcW w:w="8062" w:type="dxa"/>
            <w:tcBorders>
              <w:left w:val="single" w:color="000000" w:sz="2" w:space="0"/>
            </w:tcBorders>
            <w:vAlign w:val="top"/>
          </w:tcPr>
          <w:p w14:paraId="5013BE54">
            <w:pPr>
              <w:pStyle w:val="6"/>
              <w:spacing w:before="47" w:line="352" w:lineRule="auto"/>
              <w:ind w:left="109" w:right="103" w:firstLine="2"/>
              <w:jc w:val="both"/>
            </w:pPr>
            <w:r>
              <w:rPr>
                <w:spacing w:val="-3"/>
              </w:rPr>
              <w:t>线路塔基建设，符合《云南省林业和草原局云南省能源局关于进一步规范光</w:t>
            </w:r>
            <w:r>
              <w:rPr>
                <w:spacing w:val="13"/>
              </w:rPr>
              <w:t xml:space="preserve"> </w:t>
            </w:r>
            <w:r>
              <w:rPr>
                <w:spacing w:val="-1"/>
              </w:rPr>
              <w:t>伏符合项目使用林草地有关事项的通知》（云林规（</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5</w:t>
            </w:r>
            <w:r>
              <w:rPr>
                <w:rFonts w:ascii="Times New Roman" w:hAnsi="Times New Roman" w:eastAsia="Times New Roman" w:cs="Times New Roman"/>
                <w:spacing w:val="15"/>
                <w:w w:val="101"/>
              </w:rPr>
              <w:t xml:space="preserve"> </w:t>
            </w:r>
            <w:r>
              <w:rPr>
                <w:spacing w:val="-1"/>
              </w:rPr>
              <w:t>号）“</w:t>
            </w:r>
            <w:r>
              <w:rPr>
                <w:spacing w:val="-2"/>
              </w:rPr>
              <w:t>光伏电</w:t>
            </w:r>
            <w:r>
              <w:t xml:space="preserve"> </w:t>
            </w:r>
            <w:r>
              <w:rPr>
                <w:spacing w:val="-3"/>
              </w:rPr>
              <w:t>站的电池组件阵列仅限于使用三种类型的林地：……三是年降雨量</w:t>
            </w:r>
            <w:r>
              <w:rPr>
                <w:spacing w:val="-38"/>
              </w:rPr>
              <w:t xml:space="preserve"> </w:t>
            </w:r>
            <w:r>
              <w:rPr>
                <w:rFonts w:ascii="Times New Roman" w:hAnsi="Times New Roman" w:eastAsia="Times New Roman" w:cs="Times New Roman"/>
                <w:spacing w:val="-3"/>
              </w:rPr>
              <w:t xml:space="preserve">400 </w:t>
            </w:r>
            <w:r>
              <w:rPr>
                <w:spacing w:val="-3"/>
              </w:rPr>
              <w:t>毫米</w:t>
            </w:r>
            <w:r>
              <w:t xml:space="preserve"> </w:t>
            </w:r>
            <w:r>
              <w:rPr>
                <w:spacing w:val="-3"/>
              </w:rPr>
              <w:t>以上区域覆盖度低于</w:t>
            </w:r>
            <w:r>
              <w:rPr>
                <w:spacing w:val="-43"/>
              </w:rPr>
              <w:t xml:space="preserve"> </w:t>
            </w:r>
            <w:r>
              <w:rPr>
                <w:rFonts w:ascii="Times New Roman" w:hAnsi="Times New Roman" w:eastAsia="Times New Roman" w:cs="Times New Roman"/>
                <w:spacing w:val="-3"/>
              </w:rPr>
              <w:t>50%</w:t>
            </w:r>
            <w:r>
              <w:rPr>
                <w:spacing w:val="-3"/>
              </w:rPr>
              <w:t>的灌木林地</w:t>
            </w:r>
            <w:r>
              <w:rPr>
                <w:spacing w:val="-88"/>
              </w:rPr>
              <w:t xml:space="preserve"> </w:t>
            </w:r>
            <w:r>
              <w:rPr>
                <w:spacing w:val="-3"/>
              </w:rPr>
              <w:t>”要求。</w:t>
            </w:r>
          </w:p>
          <w:p w14:paraId="41AD0868">
            <w:pPr>
              <w:pStyle w:val="6"/>
              <w:spacing w:before="35" w:line="347" w:lineRule="auto"/>
              <w:ind w:left="109" w:right="103" w:firstLine="482"/>
            </w:pPr>
            <w:r>
              <w:rPr>
                <w:spacing w:val="-3"/>
              </w:rPr>
              <w:t>综上，项目建设符合《云南省林业厅关于规范光伏电站建设使用林地的</w:t>
            </w:r>
            <w:r>
              <w:rPr>
                <w:spacing w:val="7"/>
              </w:rPr>
              <w:t xml:space="preserve"> </w:t>
            </w:r>
            <w:r>
              <w:rPr>
                <w:spacing w:val="-1"/>
              </w:rPr>
              <w:t>通知》（云林林政（</w:t>
            </w:r>
            <w:r>
              <w:rPr>
                <w:rFonts w:ascii="Times New Roman" w:hAnsi="Times New Roman" w:eastAsia="Times New Roman" w:cs="Times New Roman"/>
                <w:spacing w:val="-1"/>
              </w:rPr>
              <w:t>2016</w:t>
            </w:r>
            <w:r>
              <w:rPr>
                <w:spacing w:val="-1"/>
              </w:rPr>
              <w:t>）</w:t>
            </w:r>
            <w:r>
              <w:rPr>
                <w:rFonts w:ascii="Times New Roman" w:hAnsi="Times New Roman" w:eastAsia="Times New Roman" w:cs="Times New Roman"/>
                <w:spacing w:val="-1"/>
              </w:rPr>
              <w:t>17</w:t>
            </w:r>
            <w:r>
              <w:rPr>
                <w:spacing w:val="-1"/>
              </w:rPr>
              <w:t>号）要求。</w:t>
            </w:r>
          </w:p>
          <w:p w14:paraId="5E45D978">
            <w:pPr>
              <w:pStyle w:val="6"/>
              <w:spacing w:before="32" w:line="219" w:lineRule="auto"/>
              <w:ind w:left="601"/>
            </w:pPr>
            <w:r>
              <w:rPr>
                <w:b/>
                <w:bCs/>
                <w:spacing w:val="-4"/>
              </w:rPr>
              <w:t>（</w:t>
            </w:r>
            <w:r>
              <w:rPr>
                <w:rFonts w:ascii="Times New Roman" w:hAnsi="Times New Roman" w:eastAsia="Times New Roman" w:cs="Times New Roman"/>
                <w:b/>
                <w:bCs/>
                <w:spacing w:val="-4"/>
              </w:rPr>
              <w:t>3</w:t>
            </w:r>
            <w:r>
              <w:rPr>
                <w:b/>
                <w:bCs/>
                <w:spacing w:val="-4"/>
              </w:rPr>
              <w:t>）与《云南省建设项目使用林地指南》（</w:t>
            </w:r>
            <w:r>
              <w:rPr>
                <w:rFonts w:ascii="Times New Roman" w:hAnsi="Times New Roman" w:eastAsia="Times New Roman" w:cs="Times New Roman"/>
                <w:b/>
                <w:bCs/>
                <w:spacing w:val="-4"/>
              </w:rPr>
              <w:t xml:space="preserve">2022 </w:t>
            </w:r>
            <w:r>
              <w:rPr>
                <w:b/>
                <w:bCs/>
                <w:spacing w:val="-4"/>
              </w:rPr>
              <w:t>年</w:t>
            </w:r>
            <w:r>
              <w:rPr>
                <w:spacing w:val="-42"/>
              </w:rPr>
              <w:t xml:space="preserve"> </w:t>
            </w:r>
            <w:r>
              <w:rPr>
                <w:rFonts w:ascii="Times New Roman" w:hAnsi="Times New Roman" w:eastAsia="Times New Roman" w:cs="Times New Roman"/>
                <w:b/>
                <w:bCs/>
                <w:spacing w:val="-4"/>
              </w:rPr>
              <w:t>4</w:t>
            </w:r>
            <w:r>
              <w:rPr>
                <w:rFonts w:ascii="Times New Roman" w:hAnsi="Times New Roman" w:eastAsia="Times New Roman" w:cs="Times New Roman"/>
                <w:b/>
                <w:bCs/>
                <w:spacing w:val="16"/>
              </w:rPr>
              <w:t xml:space="preserve"> </w:t>
            </w:r>
            <w:r>
              <w:rPr>
                <w:b/>
                <w:bCs/>
                <w:spacing w:val="-4"/>
              </w:rPr>
              <w:t>月）的符合性分</w:t>
            </w:r>
          </w:p>
          <w:p w14:paraId="29C7B086">
            <w:pPr>
              <w:pStyle w:val="6"/>
              <w:spacing w:before="182" w:line="220" w:lineRule="auto"/>
              <w:ind w:left="111"/>
            </w:pPr>
            <w:r>
              <w:rPr>
                <w:b/>
                <w:bCs/>
                <w:spacing w:val="-3"/>
              </w:rPr>
              <w:t>析</w:t>
            </w:r>
          </w:p>
          <w:p w14:paraId="42858198">
            <w:pPr>
              <w:pStyle w:val="6"/>
              <w:spacing w:before="177" w:line="355" w:lineRule="auto"/>
              <w:ind w:left="109" w:right="4" w:firstLine="482"/>
              <w:jc w:val="both"/>
            </w:pPr>
            <w:r>
              <w:rPr>
                <w:spacing w:val="-3"/>
              </w:rPr>
              <w:t>建设项目使用林地必须符合国土空间规划、林地保护利用规划、自然保</w:t>
            </w:r>
            <w:r>
              <w:rPr>
                <w:spacing w:val="7"/>
              </w:rPr>
              <w:t xml:space="preserve"> </w:t>
            </w:r>
            <w:r>
              <w:rPr>
                <w:spacing w:val="-3"/>
              </w:rPr>
              <w:t>护地规划和县级以上人民政府批准的各类专项规划，同时结合建设项目立项</w:t>
            </w:r>
            <w:r>
              <w:rPr>
                <w:spacing w:val="16"/>
              </w:rPr>
              <w:t xml:space="preserve"> </w:t>
            </w:r>
            <w:r>
              <w:rPr>
                <w:spacing w:val="-3"/>
              </w:rPr>
              <w:t>的级别（国家、省级、地方）、性质（基础设施、公共事业、民生建设、国</w:t>
            </w:r>
            <w:r>
              <w:rPr>
                <w:spacing w:val="16"/>
              </w:rPr>
              <w:t xml:space="preserve"> </w:t>
            </w:r>
            <w:r>
              <w:rPr>
                <w:spacing w:val="-3"/>
              </w:rPr>
              <w:t>防、外交等）按照《建设项目使用林地审核审批管理办法》（国家林业局令</w:t>
            </w:r>
            <w:r>
              <w:rPr>
                <w:spacing w:val="16"/>
              </w:rPr>
              <w:t xml:space="preserve"> </w:t>
            </w:r>
            <w:r>
              <w:rPr>
                <w:spacing w:val="-2"/>
              </w:rPr>
              <w:t>第</w:t>
            </w:r>
            <w:r>
              <w:rPr>
                <w:spacing w:val="-50"/>
              </w:rPr>
              <w:t xml:space="preserve"> </w:t>
            </w:r>
            <w:r>
              <w:rPr>
                <w:rFonts w:ascii="Times New Roman" w:hAnsi="Times New Roman" w:eastAsia="Times New Roman" w:cs="Times New Roman"/>
                <w:spacing w:val="-2"/>
              </w:rPr>
              <w:t>35</w:t>
            </w:r>
            <w:r>
              <w:rPr>
                <w:rFonts w:ascii="Times New Roman" w:hAnsi="Times New Roman" w:eastAsia="Times New Roman" w:cs="Times New Roman"/>
                <w:spacing w:val="15"/>
                <w:w w:val="101"/>
              </w:rPr>
              <w:t xml:space="preserve"> </w:t>
            </w:r>
            <w:r>
              <w:rPr>
                <w:spacing w:val="-2"/>
              </w:rPr>
              <w:t>号）《建设项目使用林地审核审批管理规范》（</w:t>
            </w:r>
            <w:r>
              <w:rPr>
                <w:spacing w:val="-3"/>
              </w:rPr>
              <w:t>林资规〔</w:t>
            </w:r>
            <w:r>
              <w:rPr>
                <w:rFonts w:ascii="Times New Roman" w:hAnsi="Times New Roman" w:eastAsia="Times New Roman" w:cs="Times New Roman"/>
                <w:spacing w:val="-3"/>
              </w:rPr>
              <w:t>2021</w:t>
            </w:r>
            <w:r>
              <w:rPr>
                <w:spacing w:val="-3"/>
              </w:rPr>
              <w:t>〕</w:t>
            </w:r>
            <w:r>
              <w:rPr>
                <w:rFonts w:ascii="Times New Roman" w:hAnsi="Times New Roman" w:eastAsia="Times New Roman" w:cs="Times New Roman"/>
                <w:spacing w:val="-3"/>
              </w:rPr>
              <w:t>5</w:t>
            </w:r>
            <w:r>
              <w:rPr>
                <w:rFonts w:ascii="Times New Roman" w:hAnsi="Times New Roman" w:eastAsia="Times New Roman" w:cs="Times New Roman"/>
                <w:spacing w:val="15"/>
              </w:rPr>
              <w:t xml:space="preserve"> </w:t>
            </w:r>
            <w:r>
              <w:rPr>
                <w:spacing w:val="-3"/>
              </w:rPr>
              <w:t>号）</w:t>
            </w:r>
            <w:r>
              <w:t xml:space="preserve"> </w:t>
            </w:r>
            <w:r>
              <w:rPr>
                <w:spacing w:val="-1"/>
              </w:rPr>
              <w:t>规定，确定用地范围和等级，依法办理涉林手续。</w:t>
            </w:r>
          </w:p>
          <w:p w14:paraId="7B017892">
            <w:pPr>
              <w:pStyle w:val="6"/>
              <w:spacing w:before="34" w:line="351" w:lineRule="auto"/>
              <w:ind w:left="111" w:right="103" w:firstLine="481"/>
              <w:jc w:val="both"/>
            </w:pPr>
            <w:r>
              <w:rPr>
                <w:spacing w:val="-3"/>
              </w:rPr>
              <w:t>项目用地原则上限制使用生态区位重要和生态脆弱地区的林地，限制使</w:t>
            </w:r>
            <w:r>
              <w:rPr>
                <w:spacing w:val="6"/>
              </w:rPr>
              <w:t xml:space="preserve"> </w:t>
            </w:r>
            <w:r>
              <w:rPr>
                <w:spacing w:val="-3"/>
              </w:rPr>
              <w:t>用天然林和单位面积蓄积量高的林地，限制经营性建设项目使用林地，要坚</w:t>
            </w:r>
            <w:r>
              <w:rPr>
                <w:spacing w:val="14"/>
              </w:rPr>
              <w:t xml:space="preserve"> </w:t>
            </w:r>
            <w:r>
              <w:rPr>
                <w:spacing w:val="-2"/>
              </w:rPr>
              <w:t>持林地保护等级管理。</w:t>
            </w:r>
          </w:p>
          <w:p w14:paraId="370165C0">
            <w:pPr>
              <w:pStyle w:val="6"/>
              <w:spacing w:before="31" w:line="354" w:lineRule="auto"/>
              <w:ind w:left="111" w:right="71" w:firstLine="480"/>
              <w:jc w:val="both"/>
            </w:pPr>
            <w:r>
              <w:rPr>
                <w:b/>
                <w:bCs/>
                <w:spacing w:val="-3"/>
              </w:rPr>
              <w:t>符合性分析：</w:t>
            </w:r>
            <w:r>
              <w:rPr>
                <w:spacing w:val="-3"/>
              </w:rPr>
              <w:t>根据寻甸回族彝族自治县林业和草原局</w:t>
            </w:r>
            <w:r>
              <w:rPr>
                <w:rFonts w:ascii="Times New Roman" w:hAnsi="Times New Roman" w:eastAsia="Times New Roman" w:cs="Times New Roman"/>
                <w:spacing w:val="-3"/>
              </w:rPr>
              <w:t>2024</w:t>
            </w:r>
            <w:r>
              <w:rPr>
                <w:spacing w:val="-3"/>
              </w:rPr>
              <w:t>年</w:t>
            </w:r>
            <w:r>
              <w:rPr>
                <w:rFonts w:ascii="Times New Roman" w:hAnsi="Times New Roman" w:eastAsia="Times New Roman" w:cs="Times New Roman"/>
                <w:spacing w:val="-3"/>
              </w:rPr>
              <w:t>6</w:t>
            </w:r>
            <w:r>
              <w:rPr>
                <w:spacing w:val="-3"/>
              </w:rPr>
              <w:t>月</w:t>
            </w:r>
            <w:r>
              <w:rPr>
                <w:rFonts w:ascii="Times New Roman" w:hAnsi="Times New Roman" w:eastAsia="Times New Roman" w:cs="Times New Roman"/>
                <w:spacing w:val="-3"/>
              </w:rPr>
              <w:t>5</w:t>
            </w:r>
            <w:r>
              <w:rPr>
                <w:spacing w:val="-3"/>
              </w:rPr>
              <w:t>日出具</w:t>
            </w:r>
            <w:r>
              <w:rPr>
                <w:spacing w:val="2"/>
              </w:rPr>
              <w:t xml:space="preserve"> </w:t>
            </w:r>
            <w:r>
              <w:rPr>
                <w:spacing w:val="-3"/>
              </w:rPr>
              <w:t>的《寻甸回族彝族自治县林业和草原局关于化桃箐光伏发电项目选址意见的</w:t>
            </w:r>
            <w:r>
              <w:rPr>
                <w:spacing w:val="14"/>
              </w:rPr>
              <w:t xml:space="preserve"> </w:t>
            </w:r>
            <w:r>
              <w:rPr>
                <w:spacing w:val="-2"/>
              </w:rPr>
              <w:t>复函》，项目不涉及国家公园、各级自然保护区、森林公园、风景名胜区、</w:t>
            </w:r>
            <w:r>
              <w:rPr>
                <w:spacing w:val="13"/>
              </w:rPr>
              <w:t xml:space="preserve"> </w:t>
            </w:r>
            <w:r>
              <w:rPr>
                <w:spacing w:val="-3"/>
              </w:rPr>
              <w:t>草原公园、</w:t>
            </w:r>
            <w:r>
              <w:rPr>
                <w:spacing w:val="-72"/>
              </w:rPr>
              <w:t xml:space="preserve"> </w:t>
            </w:r>
            <w:r>
              <w:rPr>
                <w:spacing w:val="-3"/>
              </w:rPr>
              <w:t>自然保护区、基本草原，不涉及项目禁用的林草地地类，因</w:t>
            </w:r>
            <w:r>
              <w:rPr>
                <w:spacing w:val="-4"/>
              </w:rPr>
              <w:t>此，</w:t>
            </w:r>
            <w:r>
              <w:t xml:space="preserve"> </w:t>
            </w:r>
            <w:r>
              <w:rPr>
                <w:spacing w:val="-1"/>
              </w:rPr>
              <w:t>项目选址符合《云南省建设项目使用林地指南》的相关要求。</w:t>
            </w:r>
          </w:p>
          <w:p w14:paraId="54AFB6EF">
            <w:pPr>
              <w:pStyle w:val="6"/>
              <w:spacing w:before="36" w:line="219" w:lineRule="auto"/>
              <w:ind w:left="586"/>
            </w:pPr>
            <w:r>
              <w:rPr>
                <w:rFonts w:ascii="Times New Roman" w:hAnsi="Times New Roman" w:eastAsia="Times New Roman" w:cs="Times New Roman"/>
                <w:b/>
                <w:bCs/>
                <w:spacing w:val="-3"/>
              </w:rPr>
              <w:t>21</w:t>
            </w:r>
            <w:r>
              <w:rPr>
                <w:rFonts w:ascii="Times New Roman" w:hAnsi="Times New Roman" w:eastAsia="Times New Roman" w:cs="Times New Roman"/>
                <w:b/>
                <w:bCs/>
                <w:spacing w:val="-29"/>
              </w:rPr>
              <w:t xml:space="preserve"> </w:t>
            </w:r>
            <w:r>
              <w:rPr>
                <w:b/>
                <w:bCs/>
                <w:spacing w:val="-3"/>
              </w:rPr>
              <w:t>、与饮用水水源保护区相关法律法规符合性对照分析</w:t>
            </w:r>
          </w:p>
          <w:p w14:paraId="269FB1DB">
            <w:pPr>
              <w:pStyle w:val="6"/>
              <w:spacing w:before="181" w:line="219" w:lineRule="auto"/>
              <w:ind w:left="601"/>
            </w:pPr>
            <w:r>
              <w:rPr>
                <w:spacing w:val="-1"/>
              </w:rPr>
              <w:t>（</w:t>
            </w:r>
            <w:r>
              <w:rPr>
                <w:rFonts w:ascii="Times New Roman" w:hAnsi="Times New Roman" w:eastAsia="Times New Roman" w:cs="Times New Roman"/>
                <w:spacing w:val="-1"/>
              </w:rPr>
              <w:t>1</w:t>
            </w:r>
            <w:r>
              <w:rPr>
                <w:spacing w:val="-1"/>
              </w:rPr>
              <w:t>）昆明市寻甸县河口镇化桃箐水库饮用水水源保护区</w:t>
            </w:r>
          </w:p>
          <w:p w14:paraId="7DFC7B02">
            <w:pPr>
              <w:pStyle w:val="6"/>
              <w:spacing w:before="181" w:line="354" w:lineRule="auto"/>
              <w:ind w:left="110" w:right="103" w:firstLine="478"/>
              <w:jc w:val="both"/>
            </w:pPr>
            <w:r>
              <w:rPr>
                <w:spacing w:val="-3"/>
              </w:rPr>
              <w:t>河口镇化桃箐水库饮用水源地为水库型水源地，取水口位置经纬度为东</w:t>
            </w:r>
            <w:r>
              <w:rPr>
                <w:spacing w:val="11"/>
              </w:rPr>
              <w:t xml:space="preserve"> </w:t>
            </w:r>
            <w:r>
              <w:rPr>
                <w:spacing w:val="-1"/>
              </w:rPr>
              <w:t>经</w:t>
            </w:r>
            <w:r>
              <w:rPr>
                <w:spacing w:val="-32"/>
              </w:rPr>
              <w:t xml:space="preserve"> </w:t>
            </w:r>
            <w:r>
              <w:rPr>
                <w:rFonts w:ascii="Times New Roman" w:hAnsi="Times New Roman" w:eastAsia="Times New Roman" w:cs="Times New Roman"/>
                <w:spacing w:val="-1"/>
              </w:rPr>
              <w:t>103°24′26.11″</w:t>
            </w:r>
            <w:r>
              <w:rPr>
                <w:spacing w:val="-1"/>
              </w:rPr>
              <w:t>北纬</w:t>
            </w:r>
            <w:r>
              <w:rPr>
                <w:spacing w:val="-55"/>
              </w:rPr>
              <w:t xml:space="preserve"> </w:t>
            </w:r>
            <w:r>
              <w:rPr>
                <w:rFonts w:ascii="Times New Roman" w:hAnsi="Times New Roman" w:eastAsia="Times New Roman" w:cs="Times New Roman"/>
                <w:spacing w:val="-1"/>
              </w:rPr>
              <w:t>25°42′50.17″</w:t>
            </w:r>
            <w:r>
              <w:rPr>
                <w:rFonts w:ascii="Times New Roman" w:hAnsi="Times New Roman" w:eastAsia="Times New Roman" w:cs="Times New Roman"/>
                <w:spacing w:val="-28"/>
              </w:rPr>
              <w:t xml:space="preserve"> </w:t>
            </w:r>
            <w:r>
              <w:rPr>
                <w:spacing w:val="-1"/>
              </w:rPr>
              <w:t>，不涉及水上交通及航道分布。化桃箐水</w:t>
            </w:r>
            <w:r>
              <w:t xml:space="preserve"> </w:t>
            </w:r>
            <w:r>
              <w:rPr>
                <w:spacing w:val="-3"/>
              </w:rPr>
              <w:t>库于</w:t>
            </w:r>
            <w:r>
              <w:rPr>
                <w:spacing w:val="-51"/>
              </w:rPr>
              <w:t xml:space="preserve"> </w:t>
            </w:r>
            <w:r>
              <w:rPr>
                <w:rFonts w:ascii="Times New Roman" w:hAnsi="Times New Roman" w:eastAsia="Times New Roman" w:cs="Times New Roman"/>
                <w:spacing w:val="-3"/>
              </w:rPr>
              <w:t xml:space="preserve">2011 </w:t>
            </w:r>
            <w:r>
              <w:rPr>
                <w:spacing w:val="-3"/>
              </w:rPr>
              <w:t>年</w:t>
            </w:r>
            <w:r>
              <w:rPr>
                <w:spacing w:val="-27"/>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5"/>
                <w:w w:val="101"/>
              </w:rPr>
              <w:t xml:space="preserve"> </w:t>
            </w:r>
            <w:r>
              <w:rPr>
                <w:spacing w:val="-3"/>
              </w:rPr>
              <w:t>月开工建设，于</w:t>
            </w:r>
            <w:r>
              <w:rPr>
                <w:spacing w:val="-27"/>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7"/>
                <w:w w:val="101"/>
              </w:rPr>
              <w:t xml:space="preserve"> </w:t>
            </w:r>
            <w:r>
              <w:rPr>
                <w:spacing w:val="-3"/>
              </w:rPr>
              <w:t>月</w:t>
            </w:r>
            <w:r>
              <w:rPr>
                <w:spacing w:val="-43"/>
              </w:rPr>
              <w:t xml:space="preserve"> </w:t>
            </w:r>
            <w:r>
              <w:rPr>
                <w:rFonts w:ascii="Times New Roman" w:hAnsi="Times New Roman" w:eastAsia="Times New Roman" w:cs="Times New Roman"/>
                <w:spacing w:val="-3"/>
              </w:rPr>
              <w:t xml:space="preserve">30  </w:t>
            </w:r>
            <w:r>
              <w:rPr>
                <w:spacing w:val="-3"/>
              </w:rPr>
              <w:t>日主管道正式通水。在</w:t>
            </w:r>
            <w:r>
              <w:rPr>
                <w:spacing w:val="-53"/>
              </w:rPr>
              <w:t xml:space="preserve"> </w:t>
            </w:r>
            <w:r>
              <w:rPr>
                <w:rFonts w:ascii="Times New Roman" w:hAnsi="Times New Roman" w:eastAsia="Times New Roman" w:cs="Times New Roman"/>
                <w:spacing w:val="-4"/>
              </w:rPr>
              <w:t>2012</w:t>
            </w:r>
            <w:r>
              <w:rPr>
                <w:rFonts w:ascii="Times New Roman" w:hAnsi="Times New Roman" w:eastAsia="Times New Roman" w:cs="Times New Roman"/>
                <w:spacing w:val="15"/>
                <w:w w:val="101"/>
              </w:rPr>
              <w:t xml:space="preserve"> </w:t>
            </w:r>
            <w:r>
              <w:rPr>
                <w:spacing w:val="-4"/>
              </w:rPr>
              <w:t>年</w:t>
            </w:r>
            <w:r>
              <w:rPr>
                <w:spacing w:val="-46"/>
              </w:rPr>
              <w:t xml:space="preserve"> </w:t>
            </w:r>
            <w:r>
              <w:rPr>
                <w:rFonts w:ascii="Times New Roman" w:hAnsi="Times New Roman" w:eastAsia="Times New Roman" w:cs="Times New Roman"/>
                <w:spacing w:val="-4"/>
              </w:rPr>
              <w:t>3</w:t>
            </w:r>
            <w:r>
              <w:rPr>
                <w:rFonts w:ascii="Times New Roman" w:hAnsi="Times New Roman" w:eastAsia="Times New Roman" w:cs="Times New Roman"/>
              </w:rPr>
              <w:t xml:space="preserve"> </w:t>
            </w:r>
            <w:r>
              <w:rPr>
                <w:spacing w:val="-4"/>
              </w:rPr>
              <w:t>月又整合资金开工建设自来水厂，于</w:t>
            </w:r>
            <w:r>
              <w:rPr>
                <w:spacing w:val="-43"/>
              </w:rPr>
              <w:t xml:space="preserve"> </w:t>
            </w:r>
            <w:r>
              <w:rPr>
                <w:rFonts w:ascii="Times New Roman" w:hAnsi="Times New Roman" w:eastAsia="Times New Roman" w:cs="Times New Roman"/>
                <w:spacing w:val="-4"/>
              </w:rPr>
              <w:t xml:space="preserve">2012 </w:t>
            </w:r>
            <w:r>
              <w:rPr>
                <w:spacing w:val="-4"/>
              </w:rPr>
              <w:t>年</w:t>
            </w:r>
            <w:r>
              <w:rPr>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5"/>
                <w:w w:val="101"/>
              </w:rPr>
              <w:t xml:space="preserve"> </w:t>
            </w:r>
            <w:r>
              <w:rPr>
                <w:spacing w:val="-4"/>
              </w:rPr>
              <w:t>月建设完毕。水库位于寻甸</w:t>
            </w:r>
            <w:r>
              <w:t xml:space="preserve"> 县河口镇化桃箐河上游，属于小（</w:t>
            </w:r>
            <w:r>
              <w:rPr>
                <w:rFonts w:ascii="Times New Roman" w:hAnsi="Times New Roman" w:eastAsia="Times New Roman" w:cs="Times New Roman"/>
              </w:rPr>
              <w:t>1</w:t>
            </w:r>
            <w:r>
              <w:t>）型水库，大坝坝高</w:t>
            </w:r>
            <w:r>
              <w:rPr>
                <w:spacing w:val="-52"/>
              </w:rPr>
              <w:t xml:space="preserve"> </w:t>
            </w:r>
            <w:r>
              <w:rPr>
                <w:rFonts w:ascii="Times New Roman" w:hAnsi="Times New Roman" w:eastAsia="Times New Roman" w:cs="Times New Roman"/>
              </w:rPr>
              <w:t>2</w:t>
            </w:r>
            <w:r>
              <w:rPr>
                <w:rFonts w:ascii="Times New Roman" w:hAnsi="Times New Roman" w:eastAsia="Times New Roman" w:cs="Times New Roman"/>
                <w:spacing w:val="-1"/>
              </w:rPr>
              <w:t>6m</w:t>
            </w:r>
            <w:r>
              <w:rPr>
                <w:rFonts w:ascii="Times New Roman" w:hAnsi="Times New Roman" w:eastAsia="Times New Roman" w:cs="Times New Roman"/>
                <w:spacing w:val="-31"/>
              </w:rPr>
              <w:t xml:space="preserve"> </w:t>
            </w:r>
            <w:r>
              <w:rPr>
                <w:spacing w:val="-1"/>
              </w:rPr>
              <w:t>，水库多年平</w:t>
            </w:r>
          </w:p>
        </w:tc>
      </w:tr>
    </w:tbl>
    <w:p w14:paraId="1C636E65">
      <w:pPr>
        <w:rPr>
          <w:rFonts w:ascii="Arial"/>
          <w:sz w:val="21"/>
        </w:rPr>
      </w:pPr>
    </w:p>
    <w:p w14:paraId="7A95C92F">
      <w:pPr>
        <w:rPr>
          <w:rFonts w:ascii="Arial" w:hAnsi="Arial" w:eastAsia="Arial" w:cs="Arial"/>
          <w:sz w:val="21"/>
          <w:szCs w:val="21"/>
        </w:rPr>
        <w:sectPr>
          <w:footerReference r:id="rId44" w:type="default"/>
          <w:pgSz w:w="11906" w:h="16839"/>
          <w:pgMar w:top="1431" w:right="1407" w:bottom="1278" w:left="1407" w:header="0" w:footer="1116" w:gutter="0"/>
          <w:cols w:space="720" w:num="1"/>
        </w:sectPr>
      </w:pPr>
    </w:p>
    <w:p w14:paraId="2E4CDDA1">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38A1C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67" w:hRule="atLeast"/>
        </w:trPr>
        <w:tc>
          <w:tcPr>
            <w:tcW w:w="1014" w:type="dxa"/>
            <w:tcBorders>
              <w:right w:val="single" w:color="000000" w:sz="2" w:space="0"/>
            </w:tcBorders>
            <w:vAlign w:val="top"/>
          </w:tcPr>
          <w:p w14:paraId="4363A1B0">
            <w:pPr>
              <w:rPr>
                <w:rFonts w:ascii="Arial"/>
                <w:sz w:val="21"/>
              </w:rPr>
            </w:pPr>
          </w:p>
        </w:tc>
        <w:tc>
          <w:tcPr>
            <w:tcW w:w="8062" w:type="dxa"/>
            <w:tcBorders>
              <w:left w:val="single" w:color="000000" w:sz="2" w:space="0"/>
            </w:tcBorders>
            <w:vAlign w:val="top"/>
          </w:tcPr>
          <w:p w14:paraId="4B49C41C">
            <w:pPr>
              <w:pStyle w:val="6"/>
              <w:spacing w:before="46" w:line="350" w:lineRule="auto"/>
              <w:ind w:left="110" w:right="103"/>
              <w:jc w:val="both"/>
            </w:pPr>
            <w:r>
              <w:rPr>
                <w:spacing w:val="-3"/>
              </w:rPr>
              <w:t>均水位</w:t>
            </w:r>
            <w:r>
              <w:rPr>
                <w:spacing w:val="-27"/>
              </w:rPr>
              <w:t xml:space="preserve"> </w:t>
            </w:r>
            <w:r>
              <w:rPr>
                <w:rFonts w:ascii="Times New Roman" w:hAnsi="Times New Roman" w:eastAsia="Times New Roman" w:cs="Times New Roman"/>
                <w:spacing w:val="-3"/>
              </w:rPr>
              <w:t>1990.26m</w:t>
            </w:r>
            <w:r>
              <w:rPr>
                <w:rFonts w:ascii="Times New Roman" w:hAnsi="Times New Roman" w:eastAsia="Times New Roman" w:cs="Times New Roman"/>
                <w:spacing w:val="-26"/>
              </w:rPr>
              <w:t xml:space="preserve"> </w:t>
            </w:r>
            <w:r>
              <w:rPr>
                <w:spacing w:val="-3"/>
              </w:rPr>
              <w:t>，水域面积</w:t>
            </w:r>
            <w:r>
              <w:rPr>
                <w:spacing w:val="-46"/>
              </w:rPr>
              <w:t xml:space="preserve"> </w:t>
            </w:r>
            <w:r>
              <w:rPr>
                <w:rFonts w:ascii="Times New Roman" w:hAnsi="Times New Roman" w:eastAsia="Times New Roman" w:cs="Times New Roman"/>
                <w:spacing w:val="-3"/>
              </w:rPr>
              <w:t>0.1446 km</w:t>
            </w:r>
            <w:r>
              <w:rPr>
                <w:rFonts w:ascii="Times New Roman" w:hAnsi="Times New Roman" w:eastAsia="Times New Roman" w:cs="Times New Roman"/>
                <w:spacing w:val="-3"/>
                <w:position w:val="8"/>
                <w:sz w:val="15"/>
                <w:szCs w:val="15"/>
              </w:rPr>
              <w:t xml:space="preserve">2 </w:t>
            </w:r>
            <w:r>
              <w:rPr>
                <w:spacing w:val="-3"/>
              </w:rPr>
              <w:t>，总库容</w:t>
            </w:r>
            <w:r>
              <w:rPr>
                <w:spacing w:val="-27"/>
              </w:rPr>
              <w:t xml:space="preserve"> </w:t>
            </w:r>
            <w:r>
              <w:rPr>
                <w:rFonts w:ascii="Times New Roman" w:hAnsi="Times New Roman" w:eastAsia="Times New Roman" w:cs="Times New Roman"/>
                <w:spacing w:val="-3"/>
              </w:rPr>
              <w:t>136</w:t>
            </w:r>
            <w:r>
              <w:rPr>
                <w:rFonts w:ascii="Times New Roman" w:hAnsi="Times New Roman" w:eastAsia="Times New Roman" w:cs="Times New Roman"/>
                <w:spacing w:val="19"/>
                <w:w w:val="101"/>
              </w:rPr>
              <w:t xml:space="preserve"> </w:t>
            </w:r>
            <w:r>
              <w:rPr>
                <w:spacing w:val="-3"/>
              </w:rPr>
              <w:t>万</w:t>
            </w:r>
            <w:r>
              <w:rPr>
                <w:spacing w:val="-53"/>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8"/>
                <w:sz w:val="15"/>
                <w:szCs w:val="15"/>
              </w:rPr>
              <w:t xml:space="preserve">3 </w:t>
            </w:r>
            <w:r>
              <w:rPr>
                <w:spacing w:val="-3"/>
              </w:rPr>
              <w:t>，兴利库</w:t>
            </w:r>
            <w:r>
              <w:rPr>
                <w:spacing w:val="-4"/>
              </w:rPr>
              <w:t>容</w:t>
            </w:r>
            <w:r>
              <w:rPr>
                <w:spacing w:val="-27"/>
              </w:rPr>
              <w:t xml:space="preserve"> </w:t>
            </w:r>
            <w:r>
              <w:rPr>
                <w:rFonts w:ascii="Times New Roman" w:hAnsi="Times New Roman" w:eastAsia="Times New Roman" w:cs="Times New Roman"/>
                <w:spacing w:val="-4"/>
              </w:rPr>
              <w:t>116</w:t>
            </w:r>
            <w:r>
              <w:rPr>
                <w:rFonts w:ascii="Times New Roman" w:hAnsi="Times New Roman" w:eastAsia="Times New Roman" w:cs="Times New Roman"/>
              </w:rPr>
              <w:t xml:space="preserve"> </w:t>
            </w:r>
            <w:r>
              <w:rPr>
                <w:spacing w:val="-3"/>
              </w:rPr>
              <w:t>万</w:t>
            </w:r>
            <w:r>
              <w:rPr>
                <w:spacing w:val="-49"/>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spacing w:val="-3"/>
              </w:rPr>
              <w:t>。水库取水量</w:t>
            </w:r>
            <w:r>
              <w:rPr>
                <w:spacing w:val="-55"/>
              </w:rPr>
              <w:t xml:space="preserve"> </w:t>
            </w:r>
            <w:r>
              <w:rPr>
                <w:rFonts w:ascii="Times New Roman" w:hAnsi="Times New Roman" w:eastAsia="Times New Roman" w:cs="Times New Roman"/>
                <w:spacing w:val="-3"/>
              </w:rPr>
              <w:t>23.73</w:t>
            </w:r>
            <w:r>
              <w:rPr>
                <w:rFonts w:ascii="Times New Roman" w:hAnsi="Times New Roman" w:eastAsia="Times New Roman" w:cs="Times New Roman"/>
                <w:spacing w:val="15"/>
                <w:w w:val="101"/>
              </w:rPr>
              <w:t xml:space="preserve">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w:t>
            </w:r>
            <w:r>
              <w:rPr>
                <w:spacing w:val="-3"/>
              </w:rPr>
              <w:t>年，供水对象为河口镇集镇，供水人口</w:t>
            </w:r>
            <w:r>
              <w:rPr>
                <w:spacing w:val="-51"/>
              </w:rPr>
              <w:t xml:space="preserve"> </w:t>
            </w:r>
            <w:r>
              <w:rPr>
                <w:rFonts w:ascii="Times New Roman" w:hAnsi="Times New Roman" w:eastAsia="Times New Roman" w:cs="Times New Roman"/>
                <w:spacing w:val="-3"/>
              </w:rPr>
              <w:t>7230</w:t>
            </w:r>
            <w:r>
              <w:rPr>
                <w:rFonts w:ascii="Times New Roman" w:hAnsi="Times New Roman" w:eastAsia="Times New Roman" w:cs="Times New Roman"/>
              </w:rPr>
              <w:t xml:space="preserve"> </w:t>
            </w:r>
            <w:r>
              <w:rPr>
                <w:spacing w:val="-3"/>
              </w:rPr>
              <w:t>人，供水量</w:t>
            </w:r>
            <w:r>
              <w:rPr>
                <w:spacing w:val="-41"/>
              </w:rPr>
              <w:t xml:space="preserve"> </w:t>
            </w:r>
            <w:r>
              <w:rPr>
                <w:rFonts w:ascii="Times New Roman" w:hAnsi="Times New Roman" w:eastAsia="Times New Roman" w:cs="Times New Roman"/>
                <w:spacing w:val="-3"/>
              </w:rPr>
              <w:t>23.73</w:t>
            </w:r>
            <w:r>
              <w:rPr>
                <w:rFonts w:ascii="Times New Roman" w:hAnsi="Times New Roman" w:eastAsia="Times New Roman" w:cs="Times New Roman"/>
                <w:spacing w:val="15"/>
              </w:rPr>
              <w:t xml:space="preserve">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w:t>
            </w:r>
            <w:r>
              <w:rPr>
                <w:spacing w:val="-3"/>
              </w:rPr>
              <w:t>年。</w:t>
            </w:r>
          </w:p>
          <w:p w14:paraId="1A629551">
            <w:pPr>
              <w:pStyle w:val="6"/>
              <w:spacing w:before="33" w:line="355" w:lineRule="auto"/>
              <w:ind w:left="108" w:right="103" w:firstLine="480"/>
            </w:pPr>
            <w:r>
              <w:rPr>
                <w:spacing w:val="-3"/>
              </w:rPr>
              <w:t>根据《昆明市寻甸县河口镇化桃箐水库饮用水水源保护区划定方案》可</w:t>
            </w:r>
            <w:r>
              <w:rPr>
                <w:spacing w:val="10"/>
              </w:rPr>
              <w:t xml:space="preserve"> </w:t>
            </w:r>
            <w:r>
              <w:t>知，化桃箐水库一级保护区水域范围为：多年平均水位</w:t>
            </w:r>
            <w:r>
              <w:rPr>
                <w:spacing w:val="-29"/>
              </w:rPr>
              <w:t xml:space="preserve"> </w:t>
            </w:r>
            <w:r>
              <w:rPr>
                <w:rFonts w:ascii="Times New Roman" w:hAnsi="Times New Roman" w:eastAsia="Times New Roman" w:cs="Times New Roman"/>
              </w:rPr>
              <w:t xml:space="preserve">1990.26m </w:t>
            </w:r>
            <w:r>
              <w:t xml:space="preserve">对应的高 </w:t>
            </w:r>
            <w:r>
              <w:rPr>
                <w:spacing w:val="-3"/>
              </w:rPr>
              <w:t>程线以下的全部水域，面积为：</w:t>
            </w:r>
            <w:r>
              <w:rPr>
                <w:rFonts w:ascii="Times New Roman" w:hAnsi="Times New Roman" w:eastAsia="Times New Roman" w:cs="Times New Roman"/>
                <w:spacing w:val="-3"/>
              </w:rPr>
              <w:t>0.</w:t>
            </w:r>
            <w:r>
              <w:rPr>
                <w:rFonts w:ascii="Times New Roman" w:hAnsi="Times New Roman" w:eastAsia="Times New Roman" w:cs="Times New Roman"/>
                <w:spacing w:val="-21"/>
              </w:rPr>
              <w:t xml:space="preserve"> </w:t>
            </w:r>
            <w:r>
              <w:rPr>
                <w:rFonts w:ascii="Times New Roman" w:hAnsi="Times New Roman" w:eastAsia="Times New Roman" w:cs="Times New Roman"/>
                <w:spacing w:val="-3"/>
              </w:rPr>
              <w:t>128km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9"/>
                <w:position w:val="8"/>
                <w:sz w:val="15"/>
                <w:szCs w:val="15"/>
              </w:rPr>
              <w:t xml:space="preserve"> </w:t>
            </w:r>
            <w:r>
              <w:rPr>
                <w:spacing w:val="-3"/>
              </w:rPr>
              <w:t>；陆域范围为：水库多年平均水位</w:t>
            </w:r>
            <w:r>
              <w:t xml:space="preserve"> </w:t>
            </w:r>
            <w:r>
              <w:rPr>
                <w:spacing w:val="-1"/>
              </w:rPr>
              <w:t>对应高程线外延</w:t>
            </w:r>
            <w:r>
              <w:rPr>
                <w:spacing w:val="-54"/>
              </w:rPr>
              <w:t xml:space="preserve"> </w:t>
            </w:r>
            <w:r>
              <w:rPr>
                <w:rFonts w:ascii="Times New Roman" w:hAnsi="Times New Roman" w:eastAsia="Times New Roman" w:cs="Times New Roman"/>
                <w:spacing w:val="-1"/>
              </w:rPr>
              <w:t xml:space="preserve">200m </w:t>
            </w:r>
            <w:r>
              <w:rPr>
                <w:spacing w:val="-1"/>
              </w:rPr>
              <w:t>范围内的陆域，但不超过流域分水岭范围，面积为：</w:t>
            </w:r>
            <w:r>
              <w:t xml:space="preserve"> </w:t>
            </w:r>
            <w:r>
              <w:rPr>
                <w:rFonts w:ascii="Times New Roman" w:hAnsi="Times New Roman" w:eastAsia="Times New Roman" w:cs="Times New Roman"/>
                <w:spacing w:val="4"/>
              </w:rPr>
              <w:t>0.597</w:t>
            </w:r>
            <w:r>
              <w:rPr>
                <w:rFonts w:ascii="Times New Roman" w:hAnsi="Times New Roman" w:eastAsia="Times New Roman" w:cs="Times New Roman"/>
              </w:rPr>
              <w:t>km</w:t>
            </w:r>
            <w:r>
              <w:rPr>
                <w:rFonts w:ascii="Times New Roman" w:hAnsi="Times New Roman" w:eastAsia="Times New Roman" w:cs="Times New Roman"/>
                <w:spacing w:val="4"/>
                <w:position w:val="8"/>
                <w:sz w:val="15"/>
                <w:szCs w:val="15"/>
              </w:rPr>
              <w:t xml:space="preserve">2 </w:t>
            </w:r>
            <w:r>
              <w:rPr>
                <w:spacing w:val="4"/>
              </w:rPr>
              <w:t>。二级保护区范围为：一级保护区外，整个汇水区域，面积为：</w:t>
            </w:r>
            <w:r>
              <w:rPr>
                <w:spacing w:val="12"/>
              </w:rPr>
              <w:t xml:space="preserve"> </w:t>
            </w:r>
            <w:r>
              <w:rPr>
                <w:rFonts w:ascii="Times New Roman" w:hAnsi="Times New Roman" w:eastAsia="Times New Roman" w:cs="Times New Roman"/>
                <w:spacing w:val="-1"/>
              </w:rPr>
              <w:t>19.956km</w:t>
            </w:r>
            <w:r>
              <w:rPr>
                <w:rFonts w:ascii="Calibri" w:hAnsi="Calibri" w:eastAsia="Calibri" w:cs="Calibri"/>
                <w:spacing w:val="-1"/>
                <w:position w:val="8"/>
                <w:sz w:val="15"/>
                <w:szCs w:val="15"/>
              </w:rPr>
              <w:t xml:space="preserve">2 </w:t>
            </w:r>
            <w:r>
              <w:rPr>
                <w:spacing w:val="-1"/>
              </w:rPr>
              <w:t>。化桃箐水库饮用水水源地保护区</w:t>
            </w:r>
            <w:r>
              <w:rPr>
                <w:spacing w:val="-2"/>
              </w:rPr>
              <w:t>划界结果统计下表。</w:t>
            </w:r>
          </w:p>
          <w:p w14:paraId="3ADEF706">
            <w:pPr>
              <w:pStyle w:val="6"/>
              <w:spacing w:before="31" w:line="222" w:lineRule="auto"/>
              <w:ind w:left="1915"/>
              <w:rPr>
                <w:sz w:val="20"/>
                <w:szCs w:val="20"/>
              </w:rPr>
            </w:pPr>
            <w:r>
              <w:rPr>
                <w:b/>
                <w:bCs/>
                <w:spacing w:val="6"/>
                <w:sz w:val="20"/>
                <w:szCs w:val="20"/>
              </w:rPr>
              <w:t>表</w:t>
            </w:r>
            <w:r>
              <w:rPr>
                <w:spacing w:val="-32"/>
                <w:sz w:val="20"/>
                <w:szCs w:val="20"/>
              </w:rPr>
              <w:t xml:space="preserve"> </w:t>
            </w:r>
            <w:r>
              <w:rPr>
                <w:rFonts w:ascii="Times New Roman" w:hAnsi="Times New Roman" w:eastAsia="Times New Roman" w:cs="Times New Roman"/>
                <w:b/>
                <w:bCs/>
                <w:spacing w:val="6"/>
                <w:sz w:val="20"/>
                <w:szCs w:val="20"/>
              </w:rPr>
              <w:t xml:space="preserve">1-16    </w:t>
            </w:r>
            <w:r>
              <w:rPr>
                <w:b/>
                <w:bCs/>
                <w:spacing w:val="6"/>
                <w:sz w:val="20"/>
                <w:szCs w:val="20"/>
              </w:rPr>
              <w:t>化桃箐水库水源保护区划界结果统计</w:t>
            </w:r>
          </w:p>
          <w:tbl>
            <w:tblPr>
              <w:tblStyle w:val="5"/>
              <w:tblW w:w="728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3"/>
              <w:gridCol w:w="987"/>
              <w:gridCol w:w="691"/>
              <w:gridCol w:w="969"/>
              <w:gridCol w:w="911"/>
              <w:gridCol w:w="2807"/>
            </w:tblGrid>
            <w:tr w14:paraId="6C54C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23" w:type="dxa"/>
                  <w:vMerge w:val="restart"/>
                  <w:tcBorders>
                    <w:bottom w:val="nil"/>
                  </w:tcBorders>
                  <w:vAlign w:val="top"/>
                </w:tcPr>
                <w:p w14:paraId="4FD3B3A5">
                  <w:pPr>
                    <w:pStyle w:val="6"/>
                    <w:spacing w:before="197" w:line="337" w:lineRule="auto"/>
                    <w:ind w:left="255" w:right="144" w:hanging="103"/>
                    <w:rPr>
                      <w:sz w:val="20"/>
                      <w:szCs w:val="20"/>
                    </w:rPr>
                  </w:pPr>
                  <w:r>
                    <w:rPr>
                      <w:b/>
                      <w:bCs/>
                      <w:spacing w:val="4"/>
                      <w:sz w:val="20"/>
                      <w:szCs w:val="20"/>
                    </w:rPr>
                    <w:t>水源地</w:t>
                  </w:r>
                  <w:r>
                    <w:rPr>
                      <w:spacing w:val="1"/>
                      <w:sz w:val="20"/>
                      <w:szCs w:val="20"/>
                    </w:rPr>
                    <w:t xml:space="preserve"> </w:t>
                  </w:r>
                  <w:r>
                    <w:rPr>
                      <w:b/>
                      <w:bCs/>
                      <w:spacing w:val="3"/>
                      <w:sz w:val="20"/>
                      <w:szCs w:val="20"/>
                    </w:rPr>
                    <w:t>类型</w:t>
                  </w:r>
                </w:p>
              </w:tc>
              <w:tc>
                <w:tcPr>
                  <w:tcW w:w="1678" w:type="dxa"/>
                  <w:gridSpan w:val="2"/>
                  <w:vMerge w:val="restart"/>
                  <w:tcBorders>
                    <w:bottom w:val="nil"/>
                  </w:tcBorders>
                  <w:vAlign w:val="top"/>
                </w:tcPr>
                <w:p w14:paraId="4D8FAD92">
                  <w:pPr>
                    <w:spacing w:line="361" w:lineRule="auto"/>
                    <w:rPr>
                      <w:rFonts w:ascii="Arial"/>
                      <w:sz w:val="21"/>
                    </w:rPr>
                  </w:pPr>
                </w:p>
                <w:p w14:paraId="6D17196C">
                  <w:pPr>
                    <w:pStyle w:val="6"/>
                    <w:spacing w:before="65" w:line="228" w:lineRule="auto"/>
                    <w:ind w:left="317"/>
                    <w:rPr>
                      <w:sz w:val="20"/>
                      <w:szCs w:val="20"/>
                    </w:rPr>
                  </w:pPr>
                  <w:r>
                    <w:rPr>
                      <w:b/>
                      <w:bCs/>
                      <w:spacing w:val="6"/>
                      <w:sz w:val="20"/>
                      <w:szCs w:val="20"/>
                    </w:rPr>
                    <w:t>保护区级别</w:t>
                  </w:r>
                </w:p>
              </w:tc>
              <w:tc>
                <w:tcPr>
                  <w:tcW w:w="1880" w:type="dxa"/>
                  <w:gridSpan w:val="2"/>
                  <w:vAlign w:val="top"/>
                </w:tcPr>
                <w:p w14:paraId="318CC03E">
                  <w:pPr>
                    <w:pStyle w:val="6"/>
                    <w:spacing w:before="193" w:line="228" w:lineRule="auto"/>
                    <w:ind w:right="9"/>
                    <w:jc w:val="right"/>
                    <w:rPr>
                      <w:sz w:val="20"/>
                      <w:szCs w:val="20"/>
                    </w:rPr>
                  </w:pPr>
                  <w:r>
                    <w:rPr>
                      <w:b/>
                      <w:bCs/>
                      <w:spacing w:val="-1"/>
                      <w:sz w:val="20"/>
                      <w:szCs w:val="20"/>
                    </w:rPr>
                    <w:t>保护区面积（</w:t>
                  </w:r>
                  <w:r>
                    <w:rPr>
                      <w:rFonts w:ascii="Times New Roman" w:hAnsi="Times New Roman" w:eastAsia="Times New Roman" w:cs="Times New Roman"/>
                      <w:b/>
                      <w:bCs/>
                      <w:spacing w:val="-1"/>
                      <w:sz w:val="20"/>
                      <w:szCs w:val="20"/>
                    </w:rPr>
                    <w:t>km</w:t>
                  </w:r>
                  <w:r>
                    <w:rPr>
                      <w:rFonts w:ascii="Times New Roman" w:hAnsi="Times New Roman" w:eastAsia="Times New Roman" w:cs="Times New Roman"/>
                      <w:b/>
                      <w:bCs/>
                      <w:spacing w:val="-1"/>
                      <w:position w:val="6"/>
                      <w:sz w:val="13"/>
                      <w:szCs w:val="13"/>
                    </w:rPr>
                    <w:t>2</w:t>
                  </w:r>
                  <w:r>
                    <w:rPr>
                      <w:b/>
                      <w:bCs/>
                      <w:spacing w:val="-1"/>
                      <w:sz w:val="20"/>
                      <w:szCs w:val="20"/>
                    </w:rPr>
                    <w:t>）</w:t>
                  </w:r>
                </w:p>
              </w:tc>
              <w:tc>
                <w:tcPr>
                  <w:tcW w:w="2807" w:type="dxa"/>
                  <w:vMerge w:val="restart"/>
                  <w:tcBorders>
                    <w:bottom w:val="nil"/>
                  </w:tcBorders>
                  <w:vAlign w:val="top"/>
                </w:tcPr>
                <w:p w14:paraId="4A7B5A39">
                  <w:pPr>
                    <w:spacing w:line="361" w:lineRule="auto"/>
                    <w:rPr>
                      <w:rFonts w:ascii="Arial"/>
                      <w:sz w:val="21"/>
                    </w:rPr>
                  </w:pPr>
                </w:p>
                <w:p w14:paraId="5CEB7766">
                  <w:pPr>
                    <w:pStyle w:val="6"/>
                    <w:spacing w:before="65" w:line="228" w:lineRule="auto"/>
                    <w:ind w:left="882"/>
                    <w:rPr>
                      <w:sz w:val="20"/>
                      <w:szCs w:val="20"/>
                    </w:rPr>
                  </w:pPr>
                  <w:r>
                    <w:rPr>
                      <w:b/>
                      <w:bCs/>
                      <w:spacing w:val="6"/>
                      <w:sz w:val="20"/>
                      <w:szCs w:val="20"/>
                    </w:rPr>
                    <w:t>保护区范围</w:t>
                  </w:r>
                </w:p>
              </w:tc>
            </w:tr>
            <w:tr w14:paraId="56F6A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923" w:type="dxa"/>
                  <w:vMerge w:val="continue"/>
                  <w:tcBorders>
                    <w:top w:val="nil"/>
                  </w:tcBorders>
                  <w:vAlign w:val="top"/>
                </w:tcPr>
                <w:p w14:paraId="593645BC">
                  <w:pPr>
                    <w:rPr>
                      <w:rFonts w:ascii="Arial"/>
                      <w:sz w:val="21"/>
                    </w:rPr>
                  </w:pPr>
                </w:p>
              </w:tc>
              <w:tc>
                <w:tcPr>
                  <w:tcW w:w="1678" w:type="dxa"/>
                  <w:gridSpan w:val="2"/>
                  <w:vMerge w:val="continue"/>
                  <w:tcBorders>
                    <w:top w:val="nil"/>
                  </w:tcBorders>
                  <w:vAlign w:val="top"/>
                </w:tcPr>
                <w:p w14:paraId="5D393920">
                  <w:pPr>
                    <w:rPr>
                      <w:rFonts w:ascii="Arial"/>
                      <w:sz w:val="21"/>
                    </w:rPr>
                  </w:pPr>
                </w:p>
              </w:tc>
              <w:tc>
                <w:tcPr>
                  <w:tcW w:w="969" w:type="dxa"/>
                  <w:vAlign w:val="top"/>
                </w:tcPr>
                <w:p w14:paraId="78E8F949">
                  <w:pPr>
                    <w:pStyle w:val="6"/>
                    <w:spacing w:before="190" w:line="228" w:lineRule="auto"/>
                    <w:ind w:left="278"/>
                    <w:rPr>
                      <w:sz w:val="20"/>
                      <w:szCs w:val="20"/>
                    </w:rPr>
                  </w:pPr>
                  <w:r>
                    <w:rPr>
                      <w:b/>
                      <w:bCs/>
                      <w:spacing w:val="3"/>
                      <w:sz w:val="20"/>
                      <w:szCs w:val="20"/>
                    </w:rPr>
                    <w:t>面积</w:t>
                  </w:r>
                </w:p>
              </w:tc>
              <w:tc>
                <w:tcPr>
                  <w:tcW w:w="911" w:type="dxa"/>
                  <w:vAlign w:val="top"/>
                </w:tcPr>
                <w:p w14:paraId="0620BCEA">
                  <w:pPr>
                    <w:pStyle w:val="6"/>
                    <w:spacing w:before="189" w:line="229" w:lineRule="auto"/>
                    <w:ind w:left="255"/>
                    <w:rPr>
                      <w:sz w:val="20"/>
                      <w:szCs w:val="20"/>
                    </w:rPr>
                  </w:pPr>
                  <w:r>
                    <w:rPr>
                      <w:b/>
                      <w:bCs/>
                      <w:spacing w:val="1"/>
                      <w:sz w:val="20"/>
                      <w:szCs w:val="20"/>
                    </w:rPr>
                    <w:t>小计</w:t>
                  </w:r>
                </w:p>
              </w:tc>
              <w:tc>
                <w:tcPr>
                  <w:tcW w:w="2807" w:type="dxa"/>
                  <w:vMerge w:val="continue"/>
                  <w:tcBorders>
                    <w:top w:val="nil"/>
                  </w:tcBorders>
                  <w:vAlign w:val="top"/>
                </w:tcPr>
                <w:p w14:paraId="40608DF5">
                  <w:pPr>
                    <w:rPr>
                      <w:rFonts w:ascii="Arial"/>
                      <w:sz w:val="21"/>
                    </w:rPr>
                  </w:pPr>
                </w:p>
              </w:tc>
            </w:tr>
            <w:tr w14:paraId="655B9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923" w:type="dxa"/>
                  <w:vMerge w:val="restart"/>
                  <w:tcBorders>
                    <w:bottom w:val="nil"/>
                  </w:tcBorders>
                  <w:vAlign w:val="top"/>
                </w:tcPr>
                <w:p w14:paraId="29AAF519">
                  <w:pPr>
                    <w:spacing w:line="251" w:lineRule="auto"/>
                    <w:rPr>
                      <w:rFonts w:ascii="Arial"/>
                      <w:sz w:val="21"/>
                    </w:rPr>
                  </w:pPr>
                </w:p>
                <w:p w14:paraId="2E593B31">
                  <w:pPr>
                    <w:spacing w:line="251" w:lineRule="auto"/>
                    <w:rPr>
                      <w:rFonts w:ascii="Arial"/>
                      <w:sz w:val="21"/>
                    </w:rPr>
                  </w:pPr>
                </w:p>
                <w:p w14:paraId="6734BF3A">
                  <w:pPr>
                    <w:spacing w:line="251" w:lineRule="auto"/>
                    <w:rPr>
                      <w:rFonts w:ascii="Arial"/>
                      <w:sz w:val="21"/>
                    </w:rPr>
                  </w:pPr>
                </w:p>
                <w:p w14:paraId="14BD55FB">
                  <w:pPr>
                    <w:spacing w:line="251" w:lineRule="auto"/>
                    <w:rPr>
                      <w:rFonts w:ascii="Arial"/>
                      <w:sz w:val="21"/>
                    </w:rPr>
                  </w:pPr>
                </w:p>
                <w:p w14:paraId="7B920614">
                  <w:pPr>
                    <w:spacing w:line="251" w:lineRule="auto"/>
                    <w:rPr>
                      <w:rFonts w:ascii="Arial"/>
                      <w:sz w:val="21"/>
                    </w:rPr>
                  </w:pPr>
                </w:p>
                <w:p w14:paraId="219BE10E">
                  <w:pPr>
                    <w:spacing w:line="251" w:lineRule="auto"/>
                    <w:rPr>
                      <w:rFonts w:ascii="Arial"/>
                      <w:sz w:val="21"/>
                    </w:rPr>
                  </w:pPr>
                </w:p>
                <w:p w14:paraId="060542C3">
                  <w:pPr>
                    <w:pStyle w:val="6"/>
                    <w:spacing w:before="65" w:line="228" w:lineRule="auto"/>
                    <w:ind w:left="155"/>
                    <w:rPr>
                      <w:sz w:val="20"/>
                      <w:szCs w:val="20"/>
                    </w:rPr>
                  </w:pPr>
                  <w:r>
                    <w:rPr>
                      <w:spacing w:val="6"/>
                      <w:sz w:val="20"/>
                      <w:szCs w:val="20"/>
                    </w:rPr>
                    <w:t>水库型</w:t>
                  </w:r>
                </w:p>
              </w:tc>
              <w:tc>
                <w:tcPr>
                  <w:tcW w:w="987" w:type="dxa"/>
                  <w:vMerge w:val="restart"/>
                  <w:tcBorders>
                    <w:bottom w:val="nil"/>
                  </w:tcBorders>
                  <w:vAlign w:val="top"/>
                </w:tcPr>
                <w:p w14:paraId="72E3A0D9">
                  <w:pPr>
                    <w:spacing w:line="271" w:lineRule="auto"/>
                    <w:rPr>
                      <w:rFonts w:ascii="Arial"/>
                      <w:sz w:val="21"/>
                    </w:rPr>
                  </w:pPr>
                </w:p>
                <w:p w14:paraId="70CFD9D8">
                  <w:pPr>
                    <w:spacing w:line="271" w:lineRule="auto"/>
                    <w:rPr>
                      <w:rFonts w:ascii="Arial"/>
                      <w:sz w:val="21"/>
                    </w:rPr>
                  </w:pPr>
                </w:p>
                <w:p w14:paraId="710512CC">
                  <w:pPr>
                    <w:spacing w:line="272" w:lineRule="auto"/>
                    <w:rPr>
                      <w:rFonts w:ascii="Arial"/>
                      <w:sz w:val="21"/>
                    </w:rPr>
                  </w:pPr>
                </w:p>
                <w:p w14:paraId="18054B95">
                  <w:pPr>
                    <w:pStyle w:val="6"/>
                    <w:spacing w:before="65" w:line="411" w:lineRule="auto"/>
                    <w:ind w:left="288" w:right="178" w:hanging="103"/>
                    <w:rPr>
                      <w:sz w:val="20"/>
                      <w:szCs w:val="20"/>
                    </w:rPr>
                  </w:pPr>
                  <w:r>
                    <w:rPr>
                      <w:spacing w:val="5"/>
                      <w:sz w:val="20"/>
                      <w:szCs w:val="20"/>
                    </w:rPr>
                    <w:t>一级保</w:t>
                  </w:r>
                  <w:r>
                    <w:rPr>
                      <w:spacing w:val="1"/>
                      <w:sz w:val="20"/>
                      <w:szCs w:val="20"/>
                    </w:rPr>
                    <w:t xml:space="preserve"> </w:t>
                  </w:r>
                  <w:r>
                    <w:rPr>
                      <w:spacing w:val="4"/>
                      <w:sz w:val="20"/>
                      <w:szCs w:val="20"/>
                    </w:rPr>
                    <w:t>护区</w:t>
                  </w:r>
                </w:p>
              </w:tc>
              <w:tc>
                <w:tcPr>
                  <w:tcW w:w="691" w:type="dxa"/>
                  <w:vAlign w:val="top"/>
                </w:tcPr>
                <w:p w14:paraId="214E5E96">
                  <w:pPr>
                    <w:spacing w:line="351" w:lineRule="auto"/>
                    <w:rPr>
                      <w:rFonts w:ascii="Arial"/>
                      <w:sz w:val="21"/>
                    </w:rPr>
                  </w:pPr>
                </w:p>
                <w:p w14:paraId="56C7C93E">
                  <w:pPr>
                    <w:pStyle w:val="6"/>
                    <w:spacing w:before="65" w:line="228" w:lineRule="auto"/>
                    <w:ind w:left="141"/>
                    <w:rPr>
                      <w:sz w:val="20"/>
                      <w:szCs w:val="20"/>
                    </w:rPr>
                  </w:pPr>
                  <w:r>
                    <w:rPr>
                      <w:spacing w:val="3"/>
                      <w:sz w:val="20"/>
                      <w:szCs w:val="20"/>
                    </w:rPr>
                    <w:t>水域</w:t>
                  </w:r>
                </w:p>
              </w:tc>
              <w:tc>
                <w:tcPr>
                  <w:tcW w:w="969" w:type="dxa"/>
                  <w:vAlign w:val="top"/>
                </w:tcPr>
                <w:p w14:paraId="59D4F335">
                  <w:pPr>
                    <w:spacing w:line="395" w:lineRule="auto"/>
                    <w:rPr>
                      <w:rFonts w:ascii="Arial"/>
                      <w:sz w:val="21"/>
                    </w:rPr>
                  </w:pPr>
                </w:p>
                <w:p w14:paraId="7648FE55">
                  <w:pPr>
                    <w:spacing w:before="5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0.128</w:t>
                  </w:r>
                </w:p>
              </w:tc>
              <w:tc>
                <w:tcPr>
                  <w:tcW w:w="911" w:type="dxa"/>
                  <w:vMerge w:val="restart"/>
                  <w:tcBorders>
                    <w:bottom w:val="nil"/>
                  </w:tcBorders>
                  <w:vAlign w:val="top"/>
                </w:tcPr>
                <w:p w14:paraId="787E49EB">
                  <w:pPr>
                    <w:spacing w:line="271" w:lineRule="auto"/>
                    <w:rPr>
                      <w:rFonts w:ascii="Arial"/>
                      <w:sz w:val="21"/>
                    </w:rPr>
                  </w:pPr>
                </w:p>
                <w:p w14:paraId="78A521AE">
                  <w:pPr>
                    <w:spacing w:line="271" w:lineRule="auto"/>
                    <w:rPr>
                      <w:rFonts w:ascii="Arial"/>
                      <w:sz w:val="21"/>
                    </w:rPr>
                  </w:pPr>
                </w:p>
                <w:p w14:paraId="55637794">
                  <w:pPr>
                    <w:spacing w:line="272" w:lineRule="auto"/>
                    <w:rPr>
                      <w:rFonts w:ascii="Arial"/>
                      <w:sz w:val="21"/>
                    </w:rPr>
                  </w:pPr>
                </w:p>
                <w:p w14:paraId="26A059F3">
                  <w:pPr>
                    <w:spacing w:line="272" w:lineRule="auto"/>
                    <w:rPr>
                      <w:rFonts w:ascii="Arial"/>
                      <w:sz w:val="21"/>
                    </w:rPr>
                  </w:pPr>
                </w:p>
                <w:p w14:paraId="10DA9233">
                  <w:pPr>
                    <w:spacing w:before="5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0.725</w:t>
                  </w:r>
                </w:p>
              </w:tc>
              <w:tc>
                <w:tcPr>
                  <w:tcW w:w="2807" w:type="dxa"/>
                  <w:vAlign w:val="top"/>
                </w:tcPr>
                <w:p w14:paraId="4C8EBB28">
                  <w:pPr>
                    <w:pStyle w:val="6"/>
                    <w:spacing w:before="190" w:line="334" w:lineRule="auto"/>
                    <w:ind w:left="163" w:right="108" w:hanging="40"/>
                    <w:rPr>
                      <w:sz w:val="20"/>
                      <w:szCs w:val="20"/>
                    </w:rPr>
                  </w:pPr>
                  <w:r>
                    <w:rPr>
                      <w:spacing w:val="6"/>
                      <w:sz w:val="20"/>
                      <w:szCs w:val="20"/>
                    </w:rPr>
                    <w:t>多年平均水位</w:t>
                  </w:r>
                  <w:r>
                    <w:rPr>
                      <w:spacing w:val="-34"/>
                      <w:sz w:val="20"/>
                      <w:szCs w:val="20"/>
                    </w:rPr>
                    <w:t xml:space="preserve"> </w:t>
                  </w:r>
                  <w:r>
                    <w:rPr>
                      <w:rFonts w:ascii="Times New Roman" w:hAnsi="Times New Roman" w:eastAsia="Times New Roman" w:cs="Times New Roman"/>
                      <w:spacing w:val="6"/>
                      <w:sz w:val="20"/>
                      <w:szCs w:val="20"/>
                    </w:rPr>
                    <w:t>1990.26m</w:t>
                  </w:r>
                  <w:r>
                    <w:rPr>
                      <w:spacing w:val="6"/>
                      <w:sz w:val="20"/>
                      <w:szCs w:val="20"/>
                    </w:rPr>
                    <w:t>对应</w:t>
                  </w:r>
                  <w:r>
                    <w:rPr>
                      <w:sz w:val="20"/>
                      <w:szCs w:val="20"/>
                    </w:rPr>
                    <w:t xml:space="preserve"> </w:t>
                  </w:r>
                  <w:r>
                    <w:rPr>
                      <w:spacing w:val="6"/>
                      <w:sz w:val="20"/>
                      <w:szCs w:val="20"/>
                    </w:rPr>
                    <w:t>的高程线以下的全部水域。</w:t>
                  </w:r>
                </w:p>
              </w:tc>
            </w:tr>
            <w:tr w14:paraId="2D91A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923" w:type="dxa"/>
                  <w:vMerge w:val="continue"/>
                  <w:tcBorders>
                    <w:top w:val="nil"/>
                    <w:bottom w:val="nil"/>
                  </w:tcBorders>
                  <w:vAlign w:val="top"/>
                </w:tcPr>
                <w:p w14:paraId="36D2197E">
                  <w:pPr>
                    <w:rPr>
                      <w:rFonts w:ascii="Arial"/>
                      <w:sz w:val="21"/>
                    </w:rPr>
                  </w:pPr>
                </w:p>
              </w:tc>
              <w:tc>
                <w:tcPr>
                  <w:tcW w:w="987" w:type="dxa"/>
                  <w:vMerge w:val="continue"/>
                  <w:tcBorders>
                    <w:top w:val="nil"/>
                  </w:tcBorders>
                  <w:vAlign w:val="top"/>
                </w:tcPr>
                <w:p w14:paraId="3860AD47">
                  <w:pPr>
                    <w:rPr>
                      <w:rFonts w:ascii="Arial"/>
                      <w:sz w:val="21"/>
                    </w:rPr>
                  </w:pPr>
                </w:p>
              </w:tc>
              <w:tc>
                <w:tcPr>
                  <w:tcW w:w="691" w:type="dxa"/>
                  <w:vAlign w:val="top"/>
                </w:tcPr>
                <w:p w14:paraId="6088C5A7">
                  <w:pPr>
                    <w:spacing w:line="291" w:lineRule="auto"/>
                    <w:rPr>
                      <w:rFonts w:ascii="Arial"/>
                      <w:sz w:val="21"/>
                    </w:rPr>
                  </w:pPr>
                </w:p>
                <w:p w14:paraId="09EEBF8F">
                  <w:pPr>
                    <w:spacing w:line="292" w:lineRule="auto"/>
                    <w:rPr>
                      <w:rFonts w:ascii="Arial"/>
                      <w:sz w:val="21"/>
                    </w:rPr>
                  </w:pPr>
                </w:p>
                <w:p w14:paraId="488BF671">
                  <w:pPr>
                    <w:pStyle w:val="6"/>
                    <w:spacing w:before="65" w:line="228" w:lineRule="auto"/>
                    <w:ind w:left="149"/>
                    <w:rPr>
                      <w:sz w:val="20"/>
                      <w:szCs w:val="20"/>
                    </w:rPr>
                  </w:pPr>
                  <w:r>
                    <w:rPr>
                      <w:spacing w:val="-1"/>
                      <w:sz w:val="20"/>
                      <w:szCs w:val="20"/>
                    </w:rPr>
                    <w:t>陆域</w:t>
                  </w:r>
                </w:p>
              </w:tc>
              <w:tc>
                <w:tcPr>
                  <w:tcW w:w="969" w:type="dxa"/>
                  <w:vAlign w:val="top"/>
                </w:tcPr>
                <w:p w14:paraId="1D0FE618">
                  <w:pPr>
                    <w:spacing w:line="313" w:lineRule="auto"/>
                    <w:rPr>
                      <w:rFonts w:ascii="Arial"/>
                      <w:sz w:val="21"/>
                    </w:rPr>
                  </w:pPr>
                </w:p>
                <w:p w14:paraId="781C9BCF">
                  <w:pPr>
                    <w:spacing w:line="313" w:lineRule="auto"/>
                    <w:rPr>
                      <w:rFonts w:ascii="Arial"/>
                      <w:sz w:val="21"/>
                    </w:rPr>
                  </w:pPr>
                </w:p>
                <w:p w14:paraId="5699ED82">
                  <w:pPr>
                    <w:spacing w:before="5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0.597</w:t>
                  </w:r>
                </w:p>
              </w:tc>
              <w:tc>
                <w:tcPr>
                  <w:tcW w:w="911" w:type="dxa"/>
                  <w:vMerge w:val="continue"/>
                  <w:tcBorders>
                    <w:top w:val="nil"/>
                  </w:tcBorders>
                  <w:vAlign w:val="top"/>
                </w:tcPr>
                <w:p w14:paraId="3840E257">
                  <w:pPr>
                    <w:rPr>
                      <w:rFonts w:ascii="Arial"/>
                      <w:sz w:val="21"/>
                    </w:rPr>
                  </w:pPr>
                </w:p>
              </w:tc>
              <w:tc>
                <w:tcPr>
                  <w:tcW w:w="2807" w:type="dxa"/>
                  <w:vAlign w:val="top"/>
                </w:tcPr>
                <w:p w14:paraId="3FA060EC">
                  <w:pPr>
                    <w:pStyle w:val="6"/>
                    <w:spacing w:before="190" w:line="228" w:lineRule="auto"/>
                    <w:ind w:left="157"/>
                    <w:rPr>
                      <w:sz w:val="20"/>
                      <w:szCs w:val="20"/>
                    </w:rPr>
                  </w:pPr>
                  <w:r>
                    <w:rPr>
                      <w:spacing w:val="8"/>
                      <w:sz w:val="20"/>
                      <w:szCs w:val="20"/>
                    </w:rPr>
                    <w:t>多年平均水位对应高程线外</w:t>
                  </w:r>
                </w:p>
                <w:p w14:paraId="24C20473">
                  <w:pPr>
                    <w:pStyle w:val="6"/>
                    <w:spacing w:before="214" w:line="333" w:lineRule="auto"/>
                    <w:ind w:left="357" w:right="108" w:hanging="243"/>
                    <w:rPr>
                      <w:sz w:val="20"/>
                      <w:szCs w:val="20"/>
                    </w:rPr>
                  </w:pPr>
                  <w:r>
                    <w:rPr>
                      <w:spacing w:val="-1"/>
                      <w:sz w:val="20"/>
                      <w:szCs w:val="20"/>
                    </w:rPr>
                    <w:t>延</w:t>
                  </w:r>
                  <w:r>
                    <w:rPr>
                      <w:spacing w:val="-31"/>
                      <w:sz w:val="20"/>
                      <w:szCs w:val="20"/>
                    </w:rPr>
                    <w:t xml:space="preserve"> </w:t>
                  </w:r>
                  <w:r>
                    <w:rPr>
                      <w:rFonts w:ascii="Times New Roman" w:hAnsi="Times New Roman" w:eastAsia="Times New Roman" w:cs="Times New Roman"/>
                      <w:spacing w:val="-1"/>
                      <w:sz w:val="20"/>
                      <w:szCs w:val="20"/>
                    </w:rPr>
                    <w:t>200m</w:t>
                  </w:r>
                  <w:r>
                    <w:rPr>
                      <w:rFonts w:ascii="Times New Roman" w:hAnsi="Times New Roman" w:eastAsia="Times New Roman" w:cs="Times New Roman"/>
                      <w:spacing w:val="16"/>
                      <w:w w:val="101"/>
                      <w:sz w:val="20"/>
                      <w:szCs w:val="20"/>
                    </w:rPr>
                    <w:t xml:space="preserve"> </w:t>
                  </w:r>
                  <w:r>
                    <w:rPr>
                      <w:spacing w:val="-1"/>
                      <w:sz w:val="20"/>
                      <w:szCs w:val="20"/>
                    </w:rPr>
                    <w:t>范围内的陆域，但不</w:t>
                  </w:r>
                  <w:r>
                    <w:rPr>
                      <w:sz w:val="20"/>
                      <w:szCs w:val="20"/>
                    </w:rPr>
                    <w:t xml:space="preserve"> </w:t>
                  </w:r>
                  <w:r>
                    <w:rPr>
                      <w:spacing w:val="8"/>
                      <w:sz w:val="20"/>
                      <w:szCs w:val="20"/>
                    </w:rPr>
                    <w:t>超过流域分水岭范围。</w:t>
                  </w:r>
                </w:p>
              </w:tc>
            </w:tr>
            <w:tr w14:paraId="43D49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923" w:type="dxa"/>
                  <w:vMerge w:val="continue"/>
                  <w:tcBorders>
                    <w:top w:val="nil"/>
                  </w:tcBorders>
                  <w:vAlign w:val="top"/>
                </w:tcPr>
                <w:p w14:paraId="38D07674">
                  <w:pPr>
                    <w:rPr>
                      <w:rFonts w:ascii="Arial"/>
                      <w:sz w:val="21"/>
                    </w:rPr>
                  </w:pPr>
                </w:p>
              </w:tc>
              <w:tc>
                <w:tcPr>
                  <w:tcW w:w="987" w:type="dxa"/>
                  <w:vAlign w:val="top"/>
                </w:tcPr>
                <w:p w14:paraId="044B2E90">
                  <w:pPr>
                    <w:pStyle w:val="6"/>
                    <w:spacing w:before="192" w:line="333" w:lineRule="auto"/>
                    <w:ind w:left="288" w:right="178" w:hanging="103"/>
                    <w:rPr>
                      <w:sz w:val="20"/>
                      <w:szCs w:val="20"/>
                    </w:rPr>
                  </w:pPr>
                  <w:r>
                    <w:rPr>
                      <w:spacing w:val="5"/>
                      <w:sz w:val="20"/>
                      <w:szCs w:val="20"/>
                    </w:rPr>
                    <w:t>二级保</w:t>
                  </w:r>
                  <w:r>
                    <w:rPr>
                      <w:spacing w:val="1"/>
                      <w:sz w:val="20"/>
                      <w:szCs w:val="20"/>
                    </w:rPr>
                    <w:t xml:space="preserve"> </w:t>
                  </w:r>
                  <w:r>
                    <w:rPr>
                      <w:spacing w:val="4"/>
                      <w:sz w:val="20"/>
                      <w:szCs w:val="20"/>
                    </w:rPr>
                    <w:t>护区</w:t>
                  </w:r>
                </w:p>
              </w:tc>
              <w:tc>
                <w:tcPr>
                  <w:tcW w:w="691" w:type="dxa"/>
                  <w:vAlign w:val="top"/>
                </w:tcPr>
                <w:p w14:paraId="2F226E99">
                  <w:pPr>
                    <w:spacing w:line="355" w:lineRule="auto"/>
                    <w:rPr>
                      <w:rFonts w:ascii="Arial"/>
                      <w:sz w:val="21"/>
                    </w:rPr>
                  </w:pPr>
                </w:p>
                <w:p w14:paraId="3D736DBB">
                  <w:pPr>
                    <w:pStyle w:val="6"/>
                    <w:spacing w:before="65" w:line="228" w:lineRule="auto"/>
                    <w:ind w:left="149"/>
                    <w:rPr>
                      <w:sz w:val="20"/>
                      <w:szCs w:val="20"/>
                    </w:rPr>
                  </w:pPr>
                  <w:r>
                    <w:rPr>
                      <w:spacing w:val="-1"/>
                      <w:sz w:val="20"/>
                      <w:szCs w:val="20"/>
                    </w:rPr>
                    <w:t>陆域</w:t>
                  </w:r>
                </w:p>
              </w:tc>
              <w:tc>
                <w:tcPr>
                  <w:tcW w:w="969" w:type="dxa"/>
                  <w:vAlign w:val="top"/>
                </w:tcPr>
                <w:p w14:paraId="3605A94D">
                  <w:pPr>
                    <w:spacing w:line="398" w:lineRule="auto"/>
                    <w:rPr>
                      <w:rFonts w:ascii="Arial"/>
                      <w:sz w:val="21"/>
                    </w:rPr>
                  </w:pPr>
                </w:p>
                <w:p w14:paraId="57AD5E00">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19.956</w:t>
                  </w:r>
                </w:p>
              </w:tc>
              <w:tc>
                <w:tcPr>
                  <w:tcW w:w="911" w:type="dxa"/>
                  <w:vAlign w:val="top"/>
                </w:tcPr>
                <w:p w14:paraId="60782C21">
                  <w:pPr>
                    <w:spacing w:line="398" w:lineRule="auto"/>
                    <w:rPr>
                      <w:rFonts w:ascii="Arial"/>
                      <w:sz w:val="21"/>
                    </w:rPr>
                  </w:pPr>
                </w:p>
                <w:p w14:paraId="71FD1154">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19.956</w:t>
                  </w:r>
                </w:p>
              </w:tc>
              <w:tc>
                <w:tcPr>
                  <w:tcW w:w="2807" w:type="dxa"/>
                  <w:vAlign w:val="top"/>
                </w:tcPr>
                <w:p w14:paraId="4914C08D">
                  <w:pPr>
                    <w:pStyle w:val="6"/>
                    <w:spacing w:before="192" w:line="333" w:lineRule="auto"/>
                    <w:ind w:left="1199" w:right="144" w:hanging="1048"/>
                    <w:rPr>
                      <w:sz w:val="20"/>
                      <w:szCs w:val="20"/>
                    </w:rPr>
                  </w:pPr>
                  <w:r>
                    <w:rPr>
                      <w:spacing w:val="8"/>
                      <w:sz w:val="20"/>
                      <w:szCs w:val="20"/>
                    </w:rPr>
                    <w:t>一级保护区外，整个汇水区</w:t>
                  </w:r>
                  <w:r>
                    <w:rPr>
                      <w:spacing w:val="9"/>
                      <w:sz w:val="20"/>
                      <w:szCs w:val="20"/>
                    </w:rPr>
                    <w:t xml:space="preserve"> </w:t>
                  </w:r>
                  <w:r>
                    <w:rPr>
                      <w:sz w:val="20"/>
                      <w:szCs w:val="20"/>
                    </w:rPr>
                    <w:t>域。</w:t>
                  </w:r>
                </w:p>
              </w:tc>
            </w:tr>
            <w:tr w14:paraId="3B7A5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3570" w:type="dxa"/>
                  <w:gridSpan w:val="4"/>
                  <w:vAlign w:val="top"/>
                </w:tcPr>
                <w:p w14:paraId="7945CD75">
                  <w:pPr>
                    <w:pStyle w:val="6"/>
                    <w:spacing w:before="193" w:line="229" w:lineRule="auto"/>
                    <w:ind w:left="1581"/>
                    <w:rPr>
                      <w:sz w:val="20"/>
                      <w:szCs w:val="20"/>
                    </w:rPr>
                  </w:pPr>
                  <w:r>
                    <w:rPr>
                      <w:spacing w:val="4"/>
                      <w:sz w:val="20"/>
                      <w:szCs w:val="20"/>
                    </w:rPr>
                    <w:t>合计</w:t>
                  </w:r>
                </w:p>
              </w:tc>
              <w:tc>
                <w:tcPr>
                  <w:tcW w:w="911" w:type="dxa"/>
                  <w:vAlign w:val="top"/>
                </w:tcPr>
                <w:p w14:paraId="66F14695">
                  <w:pPr>
                    <w:spacing w:before="229"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20.681</w:t>
                  </w:r>
                </w:p>
              </w:tc>
              <w:tc>
                <w:tcPr>
                  <w:tcW w:w="2807" w:type="dxa"/>
                  <w:vAlign w:val="top"/>
                </w:tcPr>
                <w:p w14:paraId="24E0246D">
                  <w:pPr>
                    <w:spacing w:before="225" w:line="199" w:lineRule="auto"/>
                    <w:ind w:left="1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263799C7">
            <w:pPr>
              <w:pStyle w:val="6"/>
              <w:spacing w:before="36" w:line="350" w:lineRule="auto"/>
              <w:ind w:left="109" w:right="103" w:firstLine="481"/>
            </w:pPr>
            <w:r>
              <w:rPr>
                <w:spacing w:val="-3"/>
              </w:rPr>
              <w:t>经叠图分析，项目未处于昆明市寻甸县河口镇化桃箐水库饮用水水源保</w:t>
            </w:r>
            <w:r>
              <w:rPr>
                <w:spacing w:val="8"/>
              </w:rPr>
              <w:t xml:space="preserve"> </w:t>
            </w:r>
            <w:r>
              <w:rPr>
                <w:spacing w:val="-3"/>
              </w:rPr>
              <w:t>护区一级和二级保护区范围内，且不在其汇水区，因此对昆明市寻甸县河口</w:t>
            </w:r>
            <w:r>
              <w:rPr>
                <w:spacing w:val="16"/>
              </w:rPr>
              <w:t xml:space="preserve"> </w:t>
            </w:r>
            <w:r>
              <w:rPr>
                <w:spacing w:val="-1"/>
              </w:rPr>
              <w:t>镇化桃箐水库饮用水水源保护区影响较小。</w:t>
            </w:r>
          </w:p>
          <w:p w14:paraId="2851A3EA">
            <w:pPr>
              <w:pStyle w:val="6"/>
              <w:spacing w:before="33" w:line="219" w:lineRule="auto"/>
              <w:ind w:left="601"/>
            </w:pPr>
            <w:r>
              <w:rPr>
                <w:spacing w:val="-2"/>
              </w:rPr>
              <w:t>（</w:t>
            </w:r>
            <w:r>
              <w:rPr>
                <w:rFonts w:ascii="Times New Roman" w:hAnsi="Times New Roman" w:eastAsia="Times New Roman" w:cs="Times New Roman"/>
                <w:spacing w:val="-2"/>
              </w:rPr>
              <w:t>2</w:t>
            </w:r>
            <w:r>
              <w:rPr>
                <w:spacing w:val="-2"/>
              </w:rPr>
              <w:t>）与饮用水源保护区的合法合规性分析</w:t>
            </w:r>
          </w:p>
          <w:p w14:paraId="0F6AA1EF">
            <w:pPr>
              <w:pStyle w:val="6"/>
              <w:spacing w:before="181" w:line="353" w:lineRule="auto"/>
              <w:ind w:left="110" w:right="103" w:firstLine="480"/>
            </w:pPr>
            <w:r>
              <w:rPr>
                <w:spacing w:val="-10"/>
              </w:rPr>
              <w:t>本次评价根据本项目建设情况针对《中华人民共和国水污染防治</w:t>
            </w:r>
            <w:r>
              <w:rPr>
                <w:spacing w:val="-11"/>
              </w:rPr>
              <w:t>法》（第</w:t>
            </w:r>
            <w:r>
              <w:t xml:space="preserve"> </w:t>
            </w:r>
            <w:r>
              <w:rPr>
                <w:spacing w:val="-7"/>
              </w:rPr>
              <w:t>二次修正，</w:t>
            </w:r>
            <w:r>
              <w:rPr>
                <w:rFonts w:ascii="Times New Roman" w:hAnsi="Times New Roman" w:eastAsia="Times New Roman" w:cs="Times New Roman"/>
                <w:spacing w:val="-7"/>
              </w:rPr>
              <w:t>2018.1.1</w:t>
            </w:r>
            <w:r>
              <w:rPr>
                <w:rFonts w:ascii="Times New Roman" w:hAnsi="Times New Roman" w:eastAsia="Times New Roman" w:cs="Times New Roman"/>
                <w:spacing w:val="16"/>
                <w:w w:val="101"/>
              </w:rPr>
              <w:t xml:space="preserve"> </w:t>
            </w:r>
            <w:r>
              <w:rPr>
                <w:spacing w:val="-7"/>
              </w:rPr>
              <w:t>实施）和《饮用水水源保护区污染防治管理规定》（</w:t>
            </w:r>
            <w:r>
              <w:rPr>
                <w:rFonts w:ascii="Times New Roman" w:hAnsi="Times New Roman" w:eastAsia="Times New Roman" w:cs="Times New Roman"/>
                <w:spacing w:val="-7"/>
              </w:rPr>
              <w:t>2010</w:t>
            </w:r>
            <w:r>
              <w:rPr>
                <w:rFonts w:ascii="Times New Roman" w:hAnsi="Times New Roman" w:eastAsia="Times New Roman" w:cs="Times New Roman"/>
              </w:rPr>
              <w:t xml:space="preserve"> </w:t>
            </w:r>
            <w:r>
              <w:rPr>
                <w:spacing w:val="-3"/>
              </w:rPr>
              <w:t>年修正）对饮用水水源和其他特殊水体保护要求进行对照分析，其相符性分</w:t>
            </w:r>
            <w:r>
              <w:rPr>
                <w:spacing w:val="15"/>
              </w:rPr>
              <w:t xml:space="preserve"> </w:t>
            </w:r>
            <w:r>
              <w:rPr>
                <w:spacing w:val="-3"/>
              </w:rPr>
              <w:t>析见下表：</w:t>
            </w:r>
          </w:p>
          <w:p w14:paraId="55CB4E3C">
            <w:pPr>
              <w:pStyle w:val="6"/>
              <w:spacing w:before="28" w:line="224" w:lineRule="auto"/>
              <w:ind w:left="1703"/>
              <w:rPr>
                <w:sz w:val="20"/>
                <w:szCs w:val="20"/>
              </w:rPr>
            </w:pPr>
            <w:r>
              <w:rPr>
                <w:b/>
                <w:bCs/>
                <w:spacing w:val="6"/>
                <w:sz w:val="20"/>
                <w:szCs w:val="20"/>
              </w:rPr>
              <w:t>表</w:t>
            </w:r>
            <w:r>
              <w:rPr>
                <w:spacing w:val="-26"/>
                <w:sz w:val="20"/>
                <w:szCs w:val="20"/>
              </w:rPr>
              <w:t xml:space="preserve"> </w:t>
            </w:r>
            <w:r>
              <w:rPr>
                <w:rFonts w:ascii="Times New Roman" w:hAnsi="Times New Roman" w:eastAsia="Times New Roman" w:cs="Times New Roman"/>
                <w:b/>
                <w:bCs/>
                <w:spacing w:val="6"/>
                <w:sz w:val="20"/>
                <w:szCs w:val="20"/>
              </w:rPr>
              <w:t xml:space="preserve">1-17    </w:t>
            </w:r>
            <w:r>
              <w:rPr>
                <w:b/>
                <w:bCs/>
                <w:spacing w:val="6"/>
                <w:sz w:val="20"/>
                <w:szCs w:val="20"/>
              </w:rPr>
              <w:t>项目与饮用水源保护区的合法合规性分析</w:t>
            </w:r>
          </w:p>
          <w:tbl>
            <w:tblPr>
              <w:tblStyle w:val="5"/>
              <w:tblW w:w="784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0"/>
              <w:gridCol w:w="2191"/>
              <w:gridCol w:w="893"/>
            </w:tblGrid>
            <w:tr w14:paraId="2FE9F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4760" w:type="dxa"/>
                  <w:vAlign w:val="top"/>
                </w:tcPr>
                <w:p w14:paraId="2451D3CA">
                  <w:pPr>
                    <w:pStyle w:val="6"/>
                    <w:spacing w:before="34" w:line="216" w:lineRule="auto"/>
                    <w:ind w:left="388"/>
                    <w:rPr>
                      <w:sz w:val="20"/>
                      <w:szCs w:val="20"/>
                    </w:rPr>
                  </w:pPr>
                  <w:r>
                    <w:rPr>
                      <w:b/>
                      <w:bCs/>
                      <w:spacing w:val="7"/>
                      <w:sz w:val="20"/>
                      <w:szCs w:val="20"/>
                    </w:rPr>
                    <w:t>《中华人民共和国水污染防治法》相关条款</w:t>
                  </w:r>
                </w:p>
              </w:tc>
              <w:tc>
                <w:tcPr>
                  <w:tcW w:w="2191" w:type="dxa"/>
                  <w:vAlign w:val="top"/>
                </w:tcPr>
                <w:p w14:paraId="5F27FAC5">
                  <w:pPr>
                    <w:pStyle w:val="6"/>
                    <w:spacing w:before="34" w:line="216" w:lineRule="auto"/>
                    <w:ind w:left="575"/>
                    <w:rPr>
                      <w:sz w:val="20"/>
                      <w:szCs w:val="20"/>
                    </w:rPr>
                  </w:pPr>
                  <w:r>
                    <w:rPr>
                      <w:b/>
                      <w:bCs/>
                      <w:spacing w:val="6"/>
                      <w:sz w:val="20"/>
                      <w:szCs w:val="20"/>
                    </w:rPr>
                    <w:t>本项目情况</w:t>
                  </w:r>
                </w:p>
              </w:tc>
              <w:tc>
                <w:tcPr>
                  <w:tcW w:w="893" w:type="dxa"/>
                  <w:vAlign w:val="top"/>
                </w:tcPr>
                <w:p w14:paraId="2B0D579C">
                  <w:pPr>
                    <w:pStyle w:val="6"/>
                    <w:spacing w:before="34" w:line="216" w:lineRule="auto"/>
                    <w:ind w:left="135"/>
                    <w:rPr>
                      <w:sz w:val="20"/>
                      <w:szCs w:val="20"/>
                    </w:rPr>
                  </w:pPr>
                  <w:r>
                    <w:rPr>
                      <w:b/>
                      <w:bCs/>
                      <w:spacing w:val="5"/>
                      <w:sz w:val="20"/>
                      <w:szCs w:val="20"/>
                    </w:rPr>
                    <w:t>相符性</w:t>
                  </w:r>
                </w:p>
              </w:tc>
            </w:tr>
          </w:tbl>
          <w:p w14:paraId="0ACE611C">
            <w:pPr>
              <w:spacing w:line="46" w:lineRule="auto"/>
              <w:rPr>
                <w:rFonts w:ascii="Arial"/>
                <w:sz w:val="2"/>
              </w:rPr>
            </w:pPr>
          </w:p>
        </w:tc>
      </w:tr>
    </w:tbl>
    <w:p w14:paraId="054C6BF1">
      <w:pPr>
        <w:rPr>
          <w:rFonts w:ascii="Arial"/>
          <w:sz w:val="21"/>
        </w:rPr>
      </w:pPr>
    </w:p>
    <w:p w14:paraId="35B0302B">
      <w:pPr>
        <w:rPr>
          <w:rFonts w:ascii="Arial" w:hAnsi="Arial" w:eastAsia="Arial" w:cs="Arial"/>
          <w:sz w:val="21"/>
          <w:szCs w:val="21"/>
        </w:rPr>
        <w:sectPr>
          <w:footerReference r:id="rId45" w:type="default"/>
          <w:pgSz w:w="11906" w:h="16839"/>
          <w:pgMar w:top="1431" w:right="1407" w:bottom="1278" w:left="1407" w:header="0" w:footer="1116" w:gutter="0"/>
          <w:cols w:space="720" w:num="1"/>
        </w:sectPr>
      </w:pPr>
    </w:p>
    <w:p w14:paraId="2B425C4F">
      <w:pPr>
        <w:spacing w:line="99"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4"/>
        <w:gridCol w:w="8062"/>
      </w:tblGrid>
      <w:tr w14:paraId="61443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50" w:hRule="atLeast"/>
        </w:trPr>
        <w:tc>
          <w:tcPr>
            <w:tcW w:w="1014" w:type="dxa"/>
            <w:tcBorders>
              <w:right w:val="single" w:color="000000" w:sz="2" w:space="0"/>
            </w:tcBorders>
            <w:vAlign w:val="top"/>
          </w:tcPr>
          <w:p w14:paraId="4B2683F0">
            <w:pPr>
              <w:rPr>
                <w:rFonts w:ascii="Arial"/>
                <w:sz w:val="21"/>
              </w:rPr>
            </w:pPr>
          </w:p>
        </w:tc>
        <w:tc>
          <w:tcPr>
            <w:tcW w:w="8062" w:type="dxa"/>
            <w:tcBorders>
              <w:left w:val="single" w:color="000000" w:sz="2" w:space="0"/>
            </w:tcBorders>
            <w:vAlign w:val="top"/>
          </w:tcPr>
          <w:p w14:paraId="696972BE">
            <w:pPr>
              <w:spacing w:line="114" w:lineRule="auto"/>
              <w:rPr>
                <w:rFonts w:ascii="Arial"/>
                <w:sz w:val="2"/>
              </w:rPr>
            </w:pPr>
          </w:p>
          <w:tbl>
            <w:tblPr>
              <w:tblStyle w:val="5"/>
              <w:tblW w:w="784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1"/>
              <w:gridCol w:w="3579"/>
              <w:gridCol w:w="2191"/>
              <w:gridCol w:w="893"/>
            </w:tblGrid>
            <w:tr w14:paraId="51229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1181" w:type="dxa"/>
                  <w:vAlign w:val="top"/>
                </w:tcPr>
                <w:p w14:paraId="3D92D761">
                  <w:pPr>
                    <w:spacing w:line="324" w:lineRule="auto"/>
                    <w:rPr>
                      <w:rFonts w:ascii="Arial"/>
                      <w:sz w:val="21"/>
                    </w:rPr>
                  </w:pPr>
                </w:p>
                <w:p w14:paraId="3C5B7CCD">
                  <w:pPr>
                    <w:spacing w:line="324" w:lineRule="auto"/>
                    <w:rPr>
                      <w:rFonts w:ascii="Arial"/>
                      <w:sz w:val="21"/>
                    </w:rPr>
                  </w:pPr>
                </w:p>
                <w:p w14:paraId="419ED91C">
                  <w:pPr>
                    <w:pStyle w:val="6"/>
                    <w:spacing w:before="65" w:line="239" w:lineRule="auto"/>
                    <w:ind w:left="492" w:right="169" w:hanging="316"/>
                    <w:rPr>
                      <w:sz w:val="20"/>
                      <w:szCs w:val="20"/>
                    </w:rPr>
                  </w:pPr>
                  <w:r>
                    <w:rPr>
                      <w:spacing w:val="7"/>
                      <w:sz w:val="20"/>
                      <w:szCs w:val="20"/>
                    </w:rPr>
                    <w:t>第六十四</w:t>
                  </w:r>
                  <w:r>
                    <w:rPr>
                      <w:sz w:val="20"/>
                      <w:szCs w:val="20"/>
                    </w:rPr>
                    <w:t xml:space="preserve"> 条</w:t>
                  </w:r>
                </w:p>
              </w:tc>
              <w:tc>
                <w:tcPr>
                  <w:tcW w:w="3579" w:type="dxa"/>
                  <w:vAlign w:val="top"/>
                </w:tcPr>
                <w:p w14:paraId="6A33C0C8">
                  <w:pPr>
                    <w:spacing w:line="324" w:lineRule="auto"/>
                    <w:rPr>
                      <w:rFonts w:ascii="Arial"/>
                      <w:sz w:val="21"/>
                    </w:rPr>
                  </w:pPr>
                </w:p>
                <w:p w14:paraId="7F428F25">
                  <w:pPr>
                    <w:spacing w:line="324" w:lineRule="auto"/>
                    <w:rPr>
                      <w:rFonts w:ascii="Arial"/>
                      <w:sz w:val="21"/>
                    </w:rPr>
                  </w:pPr>
                </w:p>
                <w:p w14:paraId="07654EAE">
                  <w:pPr>
                    <w:pStyle w:val="6"/>
                    <w:spacing w:before="66"/>
                    <w:ind w:left="112" w:right="112" w:hanging="2"/>
                    <w:rPr>
                      <w:sz w:val="20"/>
                      <w:szCs w:val="20"/>
                    </w:rPr>
                  </w:pPr>
                  <w:r>
                    <w:rPr>
                      <w:spacing w:val="9"/>
                      <w:sz w:val="20"/>
                      <w:szCs w:val="20"/>
                    </w:rPr>
                    <w:t>在饮用水水源保护区内，禁止设置排</w:t>
                  </w:r>
                  <w:r>
                    <w:rPr>
                      <w:spacing w:val="5"/>
                      <w:sz w:val="20"/>
                      <w:szCs w:val="20"/>
                    </w:rPr>
                    <w:t xml:space="preserve"> </w:t>
                  </w:r>
                  <w:r>
                    <w:rPr>
                      <w:spacing w:val="2"/>
                      <w:sz w:val="20"/>
                      <w:szCs w:val="20"/>
                    </w:rPr>
                    <w:t>污口。</w:t>
                  </w:r>
                </w:p>
              </w:tc>
              <w:tc>
                <w:tcPr>
                  <w:tcW w:w="2191" w:type="dxa"/>
                  <w:vAlign w:val="top"/>
                </w:tcPr>
                <w:p w14:paraId="5D66450A">
                  <w:pPr>
                    <w:pStyle w:val="6"/>
                    <w:spacing w:before="37" w:line="247" w:lineRule="auto"/>
                    <w:ind w:left="155" w:right="148" w:firstLine="4"/>
                    <w:jc w:val="both"/>
                    <w:rPr>
                      <w:sz w:val="20"/>
                      <w:szCs w:val="20"/>
                    </w:rPr>
                  </w:pPr>
                  <w:r>
                    <w:rPr>
                      <w:spacing w:val="8"/>
                      <w:sz w:val="20"/>
                      <w:szCs w:val="20"/>
                    </w:rPr>
                    <w:t>项目不涉及饮用水水</w:t>
                  </w:r>
                  <w:r>
                    <w:rPr>
                      <w:spacing w:val="4"/>
                      <w:sz w:val="20"/>
                      <w:szCs w:val="20"/>
                    </w:rPr>
                    <w:t xml:space="preserve"> </w:t>
                  </w:r>
                  <w:r>
                    <w:rPr>
                      <w:spacing w:val="9"/>
                      <w:sz w:val="20"/>
                      <w:szCs w:val="20"/>
                    </w:rPr>
                    <w:t>源保护区，施工期做</w:t>
                  </w:r>
                  <w:r>
                    <w:rPr>
                      <w:sz w:val="20"/>
                      <w:szCs w:val="20"/>
                    </w:rPr>
                    <w:t xml:space="preserve"> </w:t>
                  </w:r>
                  <w:r>
                    <w:rPr>
                      <w:spacing w:val="9"/>
                      <w:sz w:val="20"/>
                      <w:szCs w:val="20"/>
                    </w:rPr>
                    <w:t>好环保管理，废水不</w:t>
                  </w:r>
                  <w:r>
                    <w:rPr>
                      <w:sz w:val="20"/>
                      <w:szCs w:val="20"/>
                    </w:rPr>
                    <w:t xml:space="preserve"> </w:t>
                  </w:r>
                  <w:r>
                    <w:rPr>
                      <w:spacing w:val="9"/>
                      <w:sz w:val="20"/>
                      <w:szCs w:val="20"/>
                    </w:rPr>
                    <w:t>外排，不会在水源保</w:t>
                  </w:r>
                  <w:r>
                    <w:rPr>
                      <w:sz w:val="20"/>
                      <w:szCs w:val="20"/>
                    </w:rPr>
                    <w:t xml:space="preserve"> </w:t>
                  </w:r>
                  <w:r>
                    <w:rPr>
                      <w:spacing w:val="9"/>
                      <w:sz w:val="20"/>
                      <w:szCs w:val="20"/>
                    </w:rPr>
                    <w:t>护区设置排污口或排</w:t>
                  </w:r>
                  <w:r>
                    <w:rPr>
                      <w:sz w:val="20"/>
                      <w:szCs w:val="20"/>
                    </w:rPr>
                    <w:t xml:space="preserve"> </w:t>
                  </w:r>
                  <w:r>
                    <w:rPr>
                      <w:spacing w:val="9"/>
                      <w:sz w:val="20"/>
                      <w:szCs w:val="20"/>
                    </w:rPr>
                    <w:t>放污染物，满足法律</w:t>
                  </w:r>
                </w:p>
                <w:p w14:paraId="3A61A267">
                  <w:pPr>
                    <w:pStyle w:val="6"/>
                    <w:spacing w:before="27" w:line="217" w:lineRule="auto"/>
                    <w:ind w:left="788"/>
                    <w:rPr>
                      <w:sz w:val="20"/>
                      <w:szCs w:val="20"/>
                    </w:rPr>
                  </w:pPr>
                  <w:r>
                    <w:rPr>
                      <w:spacing w:val="2"/>
                      <w:sz w:val="20"/>
                      <w:szCs w:val="20"/>
                    </w:rPr>
                    <w:t>要求。</w:t>
                  </w:r>
                </w:p>
              </w:tc>
              <w:tc>
                <w:tcPr>
                  <w:tcW w:w="893" w:type="dxa"/>
                  <w:vAlign w:val="top"/>
                </w:tcPr>
                <w:p w14:paraId="7C2522A5">
                  <w:pPr>
                    <w:spacing w:line="357" w:lineRule="auto"/>
                    <w:rPr>
                      <w:rFonts w:ascii="Arial"/>
                      <w:sz w:val="21"/>
                    </w:rPr>
                  </w:pPr>
                </w:p>
                <w:p w14:paraId="3F160E45">
                  <w:pPr>
                    <w:spacing w:line="357" w:lineRule="auto"/>
                    <w:rPr>
                      <w:rFonts w:ascii="Arial"/>
                      <w:sz w:val="21"/>
                    </w:rPr>
                  </w:pPr>
                </w:p>
                <w:p w14:paraId="1F6870CC">
                  <w:pPr>
                    <w:pStyle w:val="6"/>
                    <w:spacing w:before="65" w:line="228" w:lineRule="auto"/>
                    <w:ind w:left="242"/>
                    <w:rPr>
                      <w:sz w:val="20"/>
                      <w:szCs w:val="20"/>
                    </w:rPr>
                  </w:pPr>
                  <w:r>
                    <w:rPr>
                      <w:spacing w:val="3"/>
                      <w:sz w:val="20"/>
                      <w:szCs w:val="20"/>
                    </w:rPr>
                    <w:t>符合</w:t>
                  </w:r>
                </w:p>
              </w:tc>
            </w:tr>
            <w:tr w14:paraId="5F923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81" w:type="dxa"/>
                  <w:vAlign w:val="top"/>
                </w:tcPr>
                <w:p w14:paraId="556CDDE9">
                  <w:pPr>
                    <w:pStyle w:val="6"/>
                    <w:spacing w:before="167"/>
                    <w:ind w:left="492" w:right="169" w:hanging="316"/>
                    <w:rPr>
                      <w:sz w:val="20"/>
                      <w:szCs w:val="20"/>
                    </w:rPr>
                  </w:pPr>
                  <w:r>
                    <w:rPr>
                      <w:spacing w:val="7"/>
                      <w:sz w:val="20"/>
                      <w:szCs w:val="20"/>
                    </w:rPr>
                    <w:t>第六十五</w:t>
                  </w:r>
                  <w:r>
                    <w:rPr>
                      <w:sz w:val="20"/>
                      <w:szCs w:val="20"/>
                    </w:rPr>
                    <w:t xml:space="preserve"> 条</w:t>
                  </w:r>
                </w:p>
              </w:tc>
              <w:tc>
                <w:tcPr>
                  <w:tcW w:w="3579" w:type="dxa"/>
                  <w:vAlign w:val="top"/>
                </w:tcPr>
                <w:p w14:paraId="22CA3730">
                  <w:pPr>
                    <w:pStyle w:val="6"/>
                    <w:spacing w:before="31"/>
                    <w:ind w:left="111" w:right="112"/>
                    <w:jc w:val="both"/>
                    <w:rPr>
                      <w:sz w:val="20"/>
                      <w:szCs w:val="20"/>
                    </w:rPr>
                  </w:pPr>
                  <w:r>
                    <w:rPr>
                      <w:spacing w:val="9"/>
                      <w:sz w:val="20"/>
                      <w:szCs w:val="20"/>
                    </w:rPr>
                    <w:t>禁止在饮用水水源一级保护区内从事</w:t>
                  </w:r>
                  <w:r>
                    <w:rPr>
                      <w:spacing w:val="4"/>
                      <w:sz w:val="20"/>
                      <w:szCs w:val="20"/>
                    </w:rPr>
                    <w:t xml:space="preserve"> </w:t>
                  </w:r>
                  <w:r>
                    <w:rPr>
                      <w:spacing w:val="9"/>
                      <w:sz w:val="20"/>
                      <w:szCs w:val="20"/>
                    </w:rPr>
                    <w:t>网箱养殖、旅游、游泳、垂钓或者其</w:t>
                  </w:r>
                  <w:r>
                    <w:rPr>
                      <w:spacing w:val="4"/>
                      <w:sz w:val="20"/>
                      <w:szCs w:val="20"/>
                    </w:rPr>
                    <w:t xml:space="preserve"> </w:t>
                  </w:r>
                  <w:r>
                    <w:rPr>
                      <w:spacing w:val="8"/>
                      <w:sz w:val="20"/>
                      <w:szCs w:val="20"/>
                    </w:rPr>
                    <w:t>他可能污染饮用水水体的活动。</w:t>
                  </w:r>
                </w:p>
              </w:tc>
              <w:tc>
                <w:tcPr>
                  <w:tcW w:w="2191" w:type="dxa"/>
                  <w:vAlign w:val="top"/>
                </w:tcPr>
                <w:p w14:paraId="4A2A2693">
                  <w:pPr>
                    <w:pStyle w:val="6"/>
                    <w:spacing w:before="304" w:line="227" w:lineRule="auto"/>
                    <w:ind w:left="368"/>
                    <w:rPr>
                      <w:sz w:val="20"/>
                      <w:szCs w:val="20"/>
                    </w:rPr>
                  </w:pPr>
                  <w:r>
                    <w:rPr>
                      <w:spacing w:val="6"/>
                      <w:sz w:val="20"/>
                      <w:szCs w:val="20"/>
                    </w:rPr>
                    <w:t>本项目不涉及。</w:t>
                  </w:r>
                </w:p>
              </w:tc>
              <w:tc>
                <w:tcPr>
                  <w:tcW w:w="893" w:type="dxa"/>
                  <w:vAlign w:val="top"/>
                </w:tcPr>
                <w:p w14:paraId="577C83B0">
                  <w:pPr>
                    <w:pStyle w:val="6"/>
                    <w:spacing w:before="236" w:line="228" w:lineRule="auto"/>
                    <w:ind w:left="242"/>
                    <w:rPr>
                      <w:sz w:val="20"/>
                      <w:szCs w:val="20"/>
                    </w:rPr>
                  </w:pPr>
                  <w:r>
                    <w:rPr>
                      <w:spacing w:val="3"/>
                      <w:sz w:val="20"/>
                      <w:szCs w:val="20"/>
                    </w:rPr>
                    <w:t>符合</w:t>
                  </w:r>
                </w:p>
              </w:tc>
            </w:tr>
            <w:tr w14:paraId="45F2C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1181" w:type="dxa"/>
                  <w:vAlign w:val="top"/>
                </w:tcPr>
                <w:p w14:paraId="6D84D3EA">
                  <w:pPr>
                    <w:spacing w:line="322" w:lineRule="auto"/>
                    <w:rPr>
                      <w:rFonts w:ascii="Arial"/>
                      <w:sz w:val="21"/>
                    </w:rPr>
                  </w:pPr>
                </w:p>
                <w:p w14:paraId="71B79B17">
                  <w:pPr>
                    <w:spacing w:line="322" w:lineRule="auto"/>
                    <w:rPr>
                      <w:rFonts w:ascii="Arial"/>
                      <w:sz w:val="21"/>
                    </w:rPr>
                  </w:pPr>
                </w:p>
                <w:p w14:paraId="2BED14E9">
                  <w:pPr>
                    <w:pStyle w:val="6"/>
                    <w:spacing w:before="65" w:line="239" w:lineRule="auto"/>
                    <w:ind w:left="492" w:right="169" w:hanging="316"/>
                    <w:rPr>
                      <w:sz w:val="20"/>
                      <w:szCs w:val="20"/>
                    </w:rPr>
                  </w:pPr>
                  <w:r>
                    <w:rPr>
                      <w:spacing w:val="7"/>
                      <w:sz w:val="20"/>
                      <w:szCs w:val="20"/>
                    </w:rPr>
                    <w:t>第六十六</w:t>
                  </w:r>
                  <w:r>
                    <w:rPr>
                      <w:sz w:val="20"/>
                      <w:szCs w:val="20"/>
                    </w:rPr>
                    <w:t xml:space="preserve"> 条</w:t>
                  </w:r>
                </w:p>
              </w:tc>
              <w:tc>
                <w:tcPr>
                  <w:tcW w:w="3579" w:type="dxa"/>
                  <w:vAlign w:val="top"/>
                </w:tcPr>
                <w:p w14:paraId="04BD28A4">
                  <w:pPr>
                    <w:pStyle w:val="6"/>
                    <w:spacing w:before="29" w:line="246" w:lineRule="auto"/>
                    <w:ind w:left="111" w:right="112"/>
                    <w:rPr>
                      <w:sz w:val="20"/>
                      <w:szCs w:val="20"/>
                    </w:rPr>
                  </w:pPr>
                  <w:r>
                    <w:rPr>
                      <w:spacing w:val="9"/>
                      <w:sz w:val="20"/>
                      <w:szCs w:val="20"/>
                    </w:rPr>
                    <w:t>禁止在饮用水源二级保护区内新建、</w:t>
                  </w:r>
                  <w:r>
                    <w:rPr>
                      <w:spacing w:val="4"/>
                      <w:sz w:val="20"/>
                      <w:szCs w:val="20"/>
                    </w:rPr>
                    <w:t xml:space="preserve"> </w:t>
                  </w:r>
                  <w:r>
                    <w:rPr>
                      <w:spacing w:val="8"/>
                      <w:sz w:val="20"/>
                      <w:szCs w:val="20"/>
                    </w:rPr>
                    <w:t>扩建、改建排放污染物的建设项目；</w:t>
                  </w:r>
                  <w:r>
                    <w:rPr>
                      <w:spacing w:val="11"/>
                      <w:sz w:val="20"/>
                      <w:szCs w:val="20"/>
                    </w:rPr>
                    <w:t xml:space="preserve"> </w:t>
                  </w:r>
                  <w:r>
                    <w:rPr>
                      <w:spacing w:val="9"/>
                      <w:sz w:val="20"/>
                      <w:szCs w:val="20"/>
                    </w:rPr>
                    <w:t>已建成的排放污染物的建设项目，由</w:t>
                  </w:r>
                  <w:r>
                    <w:rPr>
                      <w:spacing w:val="4"/>
                      <w:sz w:val="20"/>
                      <w:szCs w:val="20"/>
                    </w:rPr>
                    <w:t xml:space="preserve"> </w:t>
                  </w:r>
                  <w:r>
                    <w:rPr>
                      <w:spacing w:val="9"/>
                      <w:sz w:val="20"/>
                      <w:szCs w:val="20"/>
                    </w:rPr>
                    <w:t>县级以上人民政府责令拆除或者关</w:t>
                  </w:r>
                </w:p>
                <w:p w14:paraId="1A62F3CB">
                  <w:pPr>
                    <w:pStyle w:val="6"/>
                    <w:spacing w:before="25"/>
                    <w:ind w:left="113" w:right="112" w:firstLine="18"/>
                    <w:rPr>
                      <w:sz w:val="20"/>
                      <w:szCs w:val="20"/>
                    </w:rPr>
                  </w:pPr>
                  <w:r>
                    <w:rPr>
                      <w:spacing w:val="8"/>
                      <w:sz w:val="20"/>
                      <w:szCs w:val="20"/>
                    </w:rPr>
                    <w:t>闭。在饮用水源二级保护区内从事网</w:t>
                  </w:r>
                  <w:r>
                    <w:rPr>
                      <w:sz w:val="20"/>
                      <w:szCs w:val="20"/>
                    </w:rPr>
                    <w:t xml:space="preserve"> </w:t>
                  </w:r>
                  <w:r>
                    <w:rPr>
                      <w:spacing w:val="9"/>
                      <w:sz w:val="20"/>
                      <w:szCs w:val="20"/>
                    </w:rPr>
                    <w:t>箱养鱼、旅游等活动的，应当按照规</w:t>
                  </w:r>
                  <w:r>
                    <w:rPr>
                      <w:spacing w:val="2"/>
                      <w:sz w:val="20"/>
                      <w:szCs w:val="20"/>
                    </w:rPr>
                    <w:t xml:space="preserve"> </w:t>
                  </w:r>
                  <w:r>
                    <w:rPr>
                      <w:spacing w:val="8"/>
                      <w:sz w:val="20"/>
                      <w:szCs w:val="20"/>
                    </w:rPr>
                    <w:t>定采取措施，防止污染饮用水水体。</w:t>
                  </w:r>
                </w:p>
              </w:tc>
              <w:tc>
                <w:tcPr>
                  <w:tcW w:w="2191" w:type="dxa"/>
                  <w:vAlign w:val="top"/>
                </w:tcPr>
                <w:p w14:paraId="2E954456">
                  <w:pPr>
                    <w:pStyle w:val="6"/>
                    <w:spacing w:before="306" w:line="245" w:lineRule="auto"/>
                    <w:ind w:left="159" w:right="148"/>
                    <w:jc w:val="both"/>
                    <w:rPr>
                      <w:sz w:val="20"/>
                      <w:szCs w:val="20"/>
                    </w:rPr>
                  </w:pPr>
                  <w:r>
                    <w:rPr>
                      <w:spacing w:val="8"/>
                      <w:sz w:val="20"/>
                      <w:szCs w:val="20"/>
                    </w:rPr>
                    <w:t>项目不涉及饮用水源</w:t>
                  </w:r>
                  <w:r>
                    <w:rPr>
                      <w:spacing w:val="4"/>
                      <w:sz w:val="20"/>
                      <w:szCs w:val="20"/>
                    </w:rPr>
                    <w:t xml:space="preserve"> </w:t>
                  </w:r>
                  <w:r>
                    <w:rPr>
                      <w:spacing w:val="8"/>
                      <w:sz w:val="20"/>
                      <w:szCs w:val="20"/>
                    </w:rPr>
                    <w:t>二级保护区，且项目</w:t>
                  </w:r>
                  <w:r>
                    <w:rPr>
                      <w:spacing w:val="5"/>
                      <w:sz w:val="20"/>
                      <w:szCs w:val="20"/>
                    </w:rPr>
                    <w:t xml:space="preserve"> </w:t>
                  </w:r>
                  <w:r>
                    <w:rPr>
                      <w:spacing w:val="8"/>
                      <w:sz w:val="20"/>
                      <w:szCs w:val="20"/>
                    </w:rPr>
                    <w:t>不属于排放污染物的</w:t>
                  </w:r>
                  <w:r>
                    <w:rPr>
                      <w:spacing w:val="5"/>
                      <w:sz w:val="20"/>
                      <w:szCs w:val="20"/>
                    </w:rPr>
                    <w:t xml:space="preserve"> </w:t>
                  </w:r>
                  <w:r>
                    <w:rPr>
                      <w:spacing w:val="8"/>
                      <w:sz w:val="20"/>
                      <w:szCs w:val="20"/>
                    </w:rPr>
                    <w:t>建设项目，满足法律</w:t>
                  </w:r>
                </w:p>
                <w:p w14:paraId="557A5499">
                  <w:pPr>
                    <w:pStyle w:val="6"/>
                    <w:spacing w:before="24" w:line="229" w:lineRule="auto"/>
                    <w:ind w:left="788"/>
                    <w:rPr>
                      <w:sz w:val="20"/>
                      <w:szCs w:val="20"/>
                    </w:rPr>
                  </w:pPr>
                  <w:r>
                    <w:rPr>
                      <w:spacing w:val="2"/>
                      <w:sz w:val="20"/>
                      <w:szCs w:val="20"/>
                    </w:rPr>
                    <w:t>要求。</w:t>
                  </w:r>
                </w:p>
              </w:tc>
              <w:tc>
                <w:tcPr>
                  <w:tcW w:w="893" w:type="dxa"/>
                  <w:vAlign w:val="top"/>
                </w:tcPr>
                <w:p w14:paraId="25902EDC">
                  <w:pPr>
                    <w:spacing w:line="355" w:lineRule="auto"/>
                    <w:rPr>
                      <w:rFonts w:ascii="Arial"/>
                      <w:sz w:val="21"/>
                    </w:rPr>
                  </w:pPr>
                </w:p>
                <w:p w14:paraId="15A4AD1C">
                  <w:pPr>
                    <w:spacing w:line="355" w:lineRule="auto"/>
                    <w:rPr>
                      <w:rFonts w:ascii="Arial"/>
                      <w:sz w:val="21"/>
                    </w:rPr>
                  </w:pPr>
                </w:p>
                <w:p w14:paraId="0CCF93EF">
                  <w:pPr>
                    <w:pStyle w:val="6"/>
                    <w:spacing w:before="65" w:line="228" w:lineRule="auto"/>
                    <w:ind w:left="242"/>
                    <w:rPr>
                      <w:sz w:val="20"/>
                      <w:szCs w:val="20"/>
                    </w:rPr>
                  </w:pPr>
                  <w:r>
                    <w:rPr>
                      <w:spacing w:val="3"/>
                      <w:sz w:val="20"/>
                      <w:szCs w:val="20"/>
                    </w:rPr>
                    <w:t>符合</w:t>
                  </w:r>
                </w:p>
              </w:tc>
            </w:tr>
            <w:tr w14:paraId="5B013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760" w:type="dxa"/>
                  <w:gridSpan w:val="2"/>
                  <w:vAlign w:val="top"/>
                </w:tcPr>
                <w:p w14:paraId="2970634C">
                  <w:pPr>
                    <w:pStyle w:val="6"/>
                    <w:spacing w:before="32" w:line="216" w:lineRule="auto"/>
                    <w:ind w:left="177"/>
                    <w:rPr>
                      <w:sz w:val="20"/>
                      <w:szCs w:val="20"/>
                    </w:rPr>
                  </w:pPr>
                  <w:r>
                    <w:rPr>
                      <w:b/>
                      <w:bCs/>
                      <w:spacing w:val="8"/>
                      <w:sz w:val="20"/>
                      <w:szCs w:val="20"/>
                    </w:rPr>
                    <w:t>《饮用水源保护区污染防治管理规定》相关规定</w:t>
                  </w:r>
                </w:p>
              </w:tc>
              <w:tc>
                <w:tcPr>
                  <w:tcW w:w="2191" w:type="dxa"/>
                  <w:vAlign w:val="top"/>
                </w:tcPr>
                <w:p w14:paraId="572A2CE0">
                  <w:pPr>
                    <w:pStyle w:val="6"/>
                    <w:spacing w:before="32" w:line="216" w:lineRule="auto"/>
                    <w:ind w:left="575"/>
                    <w:rPr>
                      <w:sz w:val="20"/>
                      <w:szCs w:val="20"/>
                    </w:rPr>
                  </w:pPr>
                  <w:r>
                    <w:rPr>
                      <w:b/>
                      <w:bCs/>
                      <w:spacing w:val="6"/>
                      <w:sz w:val="20"/>
                      <w:szCs w:val="20"/>
                    </w:rPr>
                    <w:t>本项目情况</w:t>
                  </w:r>
                </w:p>
              </w:tc>
              <w:tc>
                <w:tcPr>
                  <w:tcW w:w="893" w:type="dxa"/>
                  <w:vAlign w:val="top"/>
                </w:tcPr>
                <w:p w14:paraId="44F96481">
                  <w:pPr>
                    <w:pStyle w:val="6"/>
                    <w:spacing w:before="32" w:line="216" w:lineRule="auto"/>
                    <w:ind w:left="135"/>
                    <w:rPr>
                      <w:sz w:val="20"/>
                      <w:szCs w:val="20"/>
                    </w:rPr>
                  </w:pPr>
                  <w:r>
                    <w:rPr>
                      <w:b/>
                      <w:bCs/>
                      <w:spacing w:val="5"/>
                      <w:sz w:val="20"/>
                      <w:szCs w:val="20"/>
                    </w:rPr>
                    <w:t>相符性</w:t>
                  </w:r>
                </w:p>
              </w:tc>
            </w:tr>
            <w:tr w14:paraId="028DA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8" w:hRule="atLeast"/>
              </w:trPr>
              <w:tc>
                <w:tcPr>
                  <w:tcW w:w="1181" w:type="dxa"/>
                  <w:vMerge w:val="restart"/>
                  <w:tcBorders>
                    <w:bottom w:val="nil"/>
                  </w:tcBorders>
                  <w:vAlign w:val="top"/>
                </w:tcPr>
                <w:p w14:paraId="3F76B151">
                  <w:pPr>
                    <w:spacing w:line="242" w:lineRule="auto"/>
                    <w:rPr>
                      <w:rFonts w:ascii="Arial"/>
                      <w:sz w:val="21"/>
                    </w:rPr>
                  </w:pPr>
                </w:p>
                <w:p w14:paraId="571B9C0A">
                  <w:pPr>
                    <w:spacing w:line="242" w:lineRule="auto"/>
                    <w:rPr>
                      <w:rFonts w:ascii="Arial"/>
                      <w:sz w:val="21"/>
                    </w:rPr>
                  </w:pPr>
                </w:p>
                <w:p w14:paraId="5C4A3FAB">
                  <w:pPr>
                    <w:spacing w:line="242" w:lineRule="auto"/>
                    <w:rPr>
                      <w:rFonts w:ascii="Arial"/>
                      <w:sz w:val="21"/>
                    </w:rPr>
                  </w:pPr>
                </w:p>
                <w:p w14:paraId="519FF85B">
                  <w:pPr>
                    <w:spacing w:line="242" w:lineRule="auto"/>
                    <w:rPr>
                      <w:rFonts w:ascii="Arial"/>
                      <w:sz w:val="21"/>
                    </w:rPr>
                  </w:pPr>
                </w:p>
                <w:p w14:paraId="736686B1">
                  <w:pPr>
                    <w:spacing w:line="242" w:lineRule="auto"/>
                    <w:rPr>
                      <w:rFonts w:ascii="Arial"/>
                      <w:sz w:val="21"/>
                    </w:rPr>
                  </w:pPr>
                </w:p>
                <w:p w14:paraId="52B7F845">
                  <w:pPr>
                    <w:spacing w:line="242" w:lineRule="auto"/>
                    <w:rPr>
                      <w:rFonts w:ascii="Arial"/>
                      <w:sz w:val="21"/>
                    </w:rPr>
                  </w:pPr>
                </w:p>
                <w:p w14:paraId="2AA5021F">
                  <w:pPr>
                    <w:spacing w:line="242" w:lineRule="auto"/>
                    <w:rPr>
                      <w:rFonts w:ascii="Arial"/>
                      <w:sz w:val="21"/>
                    </w:rPr>
                  </w:pPr>
                </w:p>
                <w:p w14:paraId="2AE423EF">
                  <w:pPr>
                    <w:spacing w:line="242" w:lineRule="auto"/>
                    <w:rPr>
                      <w:rFonts w:ascii="Arial"/>
                      <w:sz w:val="21"/>
                    </w:rPr>
                  </w:pPr>
                </w:p>
                <w:p w14:paraId="6FECCC0D">
                  <w:pPr>
                    <w:spacing w:line="242" w:lineRule="auto"/>
                    <w:rPr>
                      <w:rFonts w:ascii="Arial"/>
                      <w:sz w:val="21"/>
                    </w:rPr>
                  </w:pPr>
                </w:p>
                <w:p w14:paraId="2452C0C2">
                  <w:pPr>
                    <w:spacing w:line="242" w:lineRule="auto"/>
                    <w:rPr>
                      <w:rFonts w:ascii="Arial"/>
                      <w:sz w:val="21"/>
                    </w:rPr>
                  </w:pPr>
                </w:p>
                <w:p w14:paraId="516A6E15">
                  <w:pPr>
                    <w:spacing w:line="243" w:lineRule="auto"/>
                    <w:rPr>
                      <w:rFonts w:ascii="Arial"/>
                      <w:sz w:val="21"/>
                    </w:rPr>
                  </w:pPr>
                </w:p>
                <w:p w14:paraId="0963D8B1">
                  <w:pPr>
                    <w:spacing w:line="243" w:lineRule="auto"/>
                    <w:rPr>
                      <w:rFonts w:ascii="Arial"/>
                      <w:sz w:val="21"/>
                    </w:rPr>
                  </w:pPr>
                </w:p>
                <w:p w14:paraId="299B4C3E">
                  <w:pPr>
                    <w:spacing w:line="243" w:lineRule="auto"/>
                    <w:rPr>
                      <w:rFonts w:ascii="Arial"/>
                      <w:sz w:val="21"/>
                    </w:rPr>
                  </w:pPr>
                </w:p>
                <w:p w14:paraId="7877DF45">
                  <w:pPr>
                    <w:spacing w:line="243" w:lineRule="auto"/>
                    <w:rPr>
                      <w:rFonts w:ascii="Arial"/>
                      <w:sz w:val="21"/>
                    </w:rPr>
                  </w:pPr>
                </w:p>
                <w:p w14:paraId="4C5209B2">
                  <w:pPr>
                    <w:spacing w:line="243" w:lineRule="auto"/>
                    <w:rPr>
                      <w:rFonts w:ascii="Arial"/>
                      <w:sz w:val="21"/>
                    </w:rPr>
                  </w:pPr>
                </w:p>
                <w:p w14:paraId="2E5E1C74">
                  <w:pPr>
                    <w:pStyle w:val="6"/>
                    <w:spacing w:before="65" w:line="228" w:lineRule="auto"/>
                    <w:ind w:left="176"/>
                    <w:rPr>
                      <w:sz w:val="20"/>
                      <w:szCs w:val="20"/>
                    </w:rPr>
                  </w:pPr>
                  <w:r>
                    <w:rPr>
                      <w:spacing w:val="7"/>
                      <w:sz w:val="20"/>
                      <w:szCs w:val="20"/>
                    </w:rPr>
                    <w:t>第十一条</w:t>
                  </w:r>
                </w:p>
              </w:tc>
              <w:tc>
                <w:tcPr>
                  <w:tcW w:w="3579" w:type="dxa"/>
                  <w:vAlign w:val="top"/>
                </w:tcPr>
                <w:p w14:paraId="5748FB5D">
                  <w:pPr>
                    <w:spacing w:line="266" w:lineRule="auto"/>
                    <w:rPr>
                      <w:rFonts w:ascii="Arial"/>
                      <w:sz w:val="21"/>
                    </w:rPr>
                  </w:pPr>
                </w:p>
                <w:p w14:paraId="0ECE2312">
                  <w:pPr>
                    <w:spacing w:line="266" w:lineRule="auto"/>
                    <w:rPr>
                      <w:rFonts w:ascii="Arial"/>
                      <w:sz w:val="21"/>
                    </w:rPr>
                  </w:pPr>
                </w:p>
                <w:p w14:paraId="08B6913F">
                  <w:pPr>
                    <w:spacing w:line="266" w:lineRule="auto"/>
                    <w:rPr>
                      <w:rFonts w:ascii="Arial"/>
                      <w:sz w:val="21"/>
                    </w:rPr>
                  </w:pPr>
                </w:p>
                <w:p w14:paraId="37C598A2">
                  <w:pPr>
                    <w:spacing w:line="266" w:lineRule="auto"/>
                    <w:rPr>
                      <w:rFonts w:ascii="Arial"/>
                      <w:sz w:val="21"/>
                    </w:rPr>
                  </w:pPr>
                </w:p>
                <w:p w14:paraId="4D7E8AB4">
                  <w:pPr>
                    <w:spacing w:line="266" w:lineRule="auto"/>
                    <w:rPr>
                      <w:rFonts w:ascii="Arial"/>
                      <w:sz w:val="21"/>
                    </w:rPr>
                  </w:pPr>
                </w:p>
                <w:p w14:paraId="13D9E85A">
                  <w:pPr>
                    <w:spacing w:line="267" w:lineRule="auto"/>
                    <w:rPr>
                      <w:rFonts w:ascii="Arial"/>
                      <w:sz w:val="21"/>
                    </w:rPr>
                  </w:pPr>
                </w:p>
                <w:p w14:paraId="0936CB9B">
                  <w:pPr>
                    <w:spacing w:line="267" w:lineRule="auto"/>
                    <w:rPr>
                      <w:rFonts w:ascii="Arial"/>
                      <w:sz w:val="21"/>
                    </w:rPr>
                  </w:pPr>
                </w:p>
                <w:p w14:paraId="75B1C305">
                  <w:pPr>
                    <w:spacing w:line="267" w:lineRule="auto"/>
                    <w:rPr>
                      <w:rFonts w:ascii="Arial"/>
                      <w:sz w:val="21"/>
                    </w:rPr>
                  </w:pPr>
                </w:p>
                <w:p w14:paraId="277FED43">
                  <w:pPr>
                    <w:pStyle w:val="6"/>
                    <w:spacing w:before="65" w:line="244" w:lineRule="auto"/>
                    <w:ind w:left="112" w:right="105" w:firstLine="15"/>
                    <w:jc w:val="both"/>
                    <w:rPr>
                      <w:sz w:val="20"/>
                      <w:szCs w:val="20"/>
                    </w:rPr>
                  </w:pPr>
                  <w:r>
                    <w:rPr>
                      <w:rFonts w:ascii="Times New Roman" w:hAnsi="Times New Roman" w:eastAsia="Times New Roman" w:cs="Times New Roman"/>
                      <w:spacing w:val="2"/>
                      <w:sz w:val="20"/>
                      <w:szCs w:val="20"/>
                    </w:rPr>
                    <w:t>1</w:t>
                  </w:r>
                  <w:r>
                    <w:rPr>
                      <w:spacing w:val="2"/>
                      <w:sz w:val="20"/>
                      <w:szCs w:val="20"/>
                    </w:rPr>
                    <w:t>、禁止一切破坏水环境生态平衡的活</w:t>
                  </w:r>
                  <w:r>
                    <w:rPr>
                      <w:spacing w:val="5"/>
                      <w:sz w:val="20"/>
                      <w:szCs w:val="20"/>
                    </w:rPr>
                    <w:t xml:space="preserve"> </w:t>
                  </w:r>
                  <w:r>
                    <w:rPr>
                      <w:spacing w:val="9"/>
                      <w:sz w:val="20"/>
                      <w:szCs w:val="20"/>
                    </w:rPr>
                    <w:t>动以及破坏水源林、护岸林、与水源</w:t>
                  </w:r>
                  <w:r>
                    <w:rPr>
                      <w:spacing w:val="3"/>
                      <w:sz w:val="20"/>
                      <w:szCs w:val="20"/>
                    </w:rPr>
                    <w:t xml:space="preserve"> </w:t>
                  </w:r>
                  <w:r>
                    <w:rPr>
                      <w:spacing w:val="7"/>
                      <w:sz w:val="20"/>
                      <w:szCs w:val="20"/>
                    </w:rPr>
                    <w:t>保护相关植被的活动。</w:t>
                  </w:r>
                </w:p>
              </w:tc>
              <w:tc>
                <w:tcPr>
                  <w:tcW w:w="2191" w:type="dxa"/>
                  <w:vAlign w:val="top"/>
                </w:tcPr>
                <w:p w14:paraId="6BB3EE01">
                  <w:pPr>
                    <w:pStyle w:val="6"/>
                    <w:spacing w:before="34" w:line="228" w:lineRule="auto"/>
                    <w:ind w:left="474"/>
                    <w:rPr>
                      <w:sz w:val="20"/>
                      <w:szCs w:val="20"/>
                    </w:rPr>
                  </w:pPr>
                  <w:r>
                    <w:rPr>
                      <w:spacing w:val="8"/>
                      <w:sz w:val="20"/>
                      <w:szCs w:val="20"/>
                    </w:rPr>
                    <w:t>项目占用林地</w:t>
                  </w:r>
                </w:p>
                <w:p w14:paraId="73049228">
                  <w:pPr>
                    <w:pStyle w:val="6"/>
                    <w:spacing w:before="24" w:line="228" w:lineRule="auto"/>
                    <w:ind w:left="120"/>
                    <w:rPr>
                      <w:sz w:val="20"/>
                      <w:szCs w:val="20"/>
                    </w:rPr>
                  </w:pPr>
                  <w:r>
                    <w:rPr>
                      <w:rFonts w:ascii="Times New Roman" w:hAnsi="Times New Roman" w:eastAsia="Times New Roman" w:cs="Times New Roman"/>
                      <w:spacing w:val="4"/>
                      <w:sz w:val="20"/>
                      <w:szCs w:val="20"/>
                    </w:rPr>
                    <w:t>0.0789</w:t>
                  </w:r>
                  <w:r>
                    <w:rPr>
                      <w:rFonts w:ascii="Times New Roman" w:hAnsi="Times New Roman" w:eastAsia="Times New Roman" w:cs="Times New Roman"/>
                      <w:sz w:val="20"/>
                      <w:szCs w:val="20"/>
                    </w:rPr>
                    <w:t>hm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1"/>
                      <w:position w:val="6"/>
                      <w:sz w:val="13"/>
                      <w:szCs w:val="13"/>
                    </w:rPr>
                    <w:t xml:space="preserve"> </w:t>
                  </w:r>
                  <w:r>
                    <w:rPr>
                      <w:spacing w:val="4"/>
                      <w:sz w:val="20"/>
                      <w:szCs w:val="20"/>
                    </w:rPr>
                    <w:t>，不涉及水</w:t>
                  </w:r>
                </w:p>
                <w:p w14:paraId="264DD741">
                  <w:pPr>
                    <w:pStyle w:val="6"/>
                    <w:spacing w:before="24" w:line="228" w:lineRule="auto"/>
                    <w:ind w:left="157"/>
                    <w:rPr>
                      <w:sz w:val="20"/>
                      <w:szCs w:val="20"/>
                    </w:rPr>
                  </w:pPr>
                  <w:r>
                    <w:rPr>
                      <w:spacing w:val="8"/>
                      <w:sz w:val="20"/>
                      <w:szCs w:val="20"/>
                    </w:rPr>
                    <w:t>域、护岸林等重要林</w:t>
                  </w:r>
                </w:p>
                <w:p w14:paraId="3FF90C86">
                  <w:pPr>
                    <w:pStyle w:val="6"/>
                    <w:spacing w:before="26" w:line="227" w:lineRule="auto"/>
                    <w:ind w:left="156"/>
                    <w:rPr>
                      <w:sz w:val="20"/>
                      <w:szCs w:val="20"/>
                    </w:rPr>
                  </w:pPr>
                  <w:r>
                    <w:rPr>
                      <w:spacing w:val="8"/>
                      <w:sz w:val="20"/>
                      <w:szCs w:val="20"/>
                    </w:rPr>
                    <w:t>地，不会对水环境生</w:t>
                  </w:r>
                </w:p>
                <w:p w14:paraId="71E8989E">
                  <w:pPr>
                    <w:pStyle w:val="6"/>
                    <w:spacing w:before="24" w:line="228" w:lineRule="auto"/>
                    <w:ind w:left="156"/>
                    <w:rPr>
                      <w:sz w:val="20"/>
                      <w:szCs w:val="20"/>
                    </w:rPr>
                  </w:pPr>
                  <w:r>
                    <w:rPr>
                      <w:spacing w:val="8"/>
                      <w:sz w:val="20"/>
                      <w:szCs w:val="20"/>
                    </w:rPr>
                    <w:t>态平衡及水源林、护</w:t>
                  </w:r>
                </w:p>
                <w:p w14:paraId="019AB95C">
                  <w:pPr>
                    <w:pStyle w:val="6"/>
                    <w:spacing w:before="26" w:line="228" w:lineRule="auto"/>
                    <w:ind w:left="156"/>
                    <w:rPr>
                      <w:sz w:val="20"/>
                      <w:szCs w:val="20"/>
                    </w:rPr>
                  </w:pPr>
                  <w:r>
                    <w:rPr>
                      <w:spacing w:val="8"/>
                      <w:sz w:val="20"/>
                      <w:szCs w:val="20"/>
                    </w:rPr>
                    <w:t>岸林产生破坏。项目</w:t>
                  </w:r>
                </w:p>
                <w:p w14:paraId="36443D8B">
                  <w:pPr>
                    <w:pStyle w:val="6"/>
                    <w:spacing w:before="25" w:line="227" w:lineRule="auto"/>
                    <w:ind w:left="158"/>
                    <w:rPr>
                      <w:sz w:val="20"/>
                      <w:szCs w:val="20"/>
                    </w:rPr>
                  </w:pPr>
                  <w:r>
                    <w:rPr>
                      <w:spacing w:val="8"/>
                      <w:sz w:val="20"/>
                      <w:szCs w:val="20"/>
                    </w:rPr>
                    <w:t>光伏板高度按要求布</w:t>
                  </w:r>
                </w:p>
                <w:p w14:paraId="0F2733EE">
                  <w:pPr>
                    <w:pStyle w:val="6"/>
                    <w:spacing w:before="27" w:line="228" w:lineRule="auto"/>
                    <w:ind w:right="7"/>
                    <w:jc w:val="right"/>
                    <w:rPr>
                      <w:sz w:val="20"/>
                      <w:szCs w:val="20"/>
                    </w:rPr>
                  </w:pPr>
                  <w:r>
                    <w:rPr>
                      <w:spacing w:val="-1"/>
                      <w:sz w:val="20"/>
                      <w:szCs w:val="20"/>
                    </w:rPr>
                    <w:t>设，高度不低于</w:t>
                  </w:r>
                  <w:r>
                    <w:rPr>
                      <w:spacing w:val="-33"/>
                      <w:sz w:val="20"/>
                      <w:szCs w:val="20"/>
                    </w:rPr>
                    <w:t xml:space="preserve"> </w:t>
                  </w:r>
                  <w:r>
                    <w:rPr>
                      <w:rFonts w:ascii="Times New Roman" w:hAnsi="Times New Roman" w:eastAsia="Times New Roman" w:cs="Times New Roman"/>
                      <w:spacing w:val="-1"/>
                      <w:sz w:val="20"/>
                      <w:szCs w:val="20"/>
                    </w:rPr>
                    <w:t>2.5m</w:t>
                  </w:r>
                  <w:r>
                    <w:rPr>
                      <w:spacing w:val="-1"/>
                      <w:sz w:val="20"/>
                      <w:szCs w:val="20"/>
                    </w:rPr>
                    <w:t>，</w:t>
                  </w:r>
                </w:p>
                <w:p w14:paraId="6AE56470">
                  <w:pPr>
                    <w:pStyle w:val="6"/>
                    <w:spacing w:before="25" w:line="228" w:lineRule="auto"/>
                    <w:ind w:left="262"/>
                    <w:rPr>
                      <w:sz w:val="20"/>
                      <w:szCs w:val="20"/>
                    </w:rPr>
                  </w:pPr>
                  <w:r>
                    <w:rPr>
                      <w:spacing w:val="8"/>
                      <w:sz w:val="20"/>
                      <w:szCs w:val="20"/>
                    </w:rPr>
                    <w:t>桩基列间距不小于</w:t>
                  </w:r>
                </w:p>
                <w:p w14:paraId="52054E3E">
                  <w:pPr>
                    <w:pStyle w:val="6"/>
                    <w:spacing w:before="27" w:line="228" w:lineRule="auto"/>
                    <w:ind w:left="228"/>
                    <w:rPr>
                      <w:sz w:val="20"/>
                      <w:szCs w:val="20"/>
                    </w:rPr>
                  </w:pPr>
                  <w:r>
                    <w:rPr>
                      <w:rFonts w:ascii="Times New Roman" w:hAnsi="Times New Roman" w:eastAsia="Times New Roman" w:cs="Times New Roman"/>
                      <w:spacing w:val="5"/>
                      <w:sz w:val="20"/>
                      <w:szCs w:val="20"/>
                    </w:rPr>
                    <w:t>4m</w:t>
                  </w:r>
                  <w:r>
                    <w:rPr>
                      <w:rFonts w:ascii="Times New Roman" w:hAnsi="Times New Roman" w:eastAsia="Times New Roman" w:cs="Times New Roman"/>
                      <w:spacing w:val="-20"/>
                      <w:sz w:val="20"/>
                      <w:szCs w:val="20"/>
                    </w:rPr>
                    <w:t xml:space="preserve"> </w:t>
                  </w:r>
                  <w:r>
                    <w:rPr>
                      <w:spacing w:val="5"/>
                      <w:sz w:val="20"/>
                      <w:szCs w:val="20"/>
                    </w:rPr>
                    <w:t>，行间距不小于</w:t>
                  </w:r>
                </w:p>
                <w:p w14:paraId="3FFD27D0">
                  <w:pPr>
                    <w:pStyle w:val="6"/>
                    <w:spacing w:before="24" w:line="228" w:lineRule="auto"/>
                    <w:ind w:left="155"/>
                    <w:rPr>
                      <w:sz w:val="20"/>
                      <w:szCs w:val="20"/>
                    </w:rPr>
                  </w:pPr>
                  <w:r>
                    <w:rPr>
                      <w:rFonts w:ascii="Times New Roman" w:hAnsi="Times New Roman" w:eastAsia="Times New Roman" w:cs="Times New Roman"/>
                      <w:spacing w:val="5"/>
                      <w:sz w:val="20"/>
                      <w:szCs w:val="20"/>
                    </w:rPr>
                    <w:t>6.5m</w:t>
                  </w:r>
                  <w:r>
                    <w:rPr>
                      <w:rFonts w:ascii="Times New Roman" w:hAnsi="Times New Roman" w:eastAsia="Times New Roman" w:cs="Times New Roman"/>
                      <w:spacing w:val="-27"/>
                      <w:sz w:val="20"/>
                      <w:szCs w:val="20"/>
                    </w:rPr>
                    <w:t xml:space="preserve"> </w:t>
                  </w:r>
                  <w:r>
                    <w:rPr>
                      <w:spacing w:val="5"/>
                      <w:sz w:val="20"/>
                      <w:szCs w:val="20"/>
                    </w:rPr>
                    <w:t>，项目建设对原</w:t>
                  </w:r>
                </w:p>
                <w:p w14:paraId="431A9EFA">
                  <w:pPr>
                    <w:pStyle w:val="6"/>
                    <w:spacing w:before="24" w:line="228" w:lineRule="auto"/>
                    <w:ind w:left="263"/>
                    <w:rPr>
                      <w:sz w:val="20"/>
                      <w:szCs w:val="20"/>
                    </w:rPr>
                  </w:pPr>
                  <w:r>
                    <w:rPr>
                      <w:spacing w:val="8"/>
                      <w:sz w:val="20"/>
                      <w:szCs w:val="20"/>
                    </w:rPr>
                    <w:t>有用地性质影响较</w:t>
                  </w:r>
                </w:p>
                <w:p w14:paraId="6C9FA8D2">
                  <w:pPr>
                    <w:pStyle w:val="6"/>
                    <w:spacing w:before="25" w:line="247" w:lineRule="auto"/>
                    <w:ind w:left="155" w:right="148" w:firstLine="6"/>
                    <w:jc w:val="both"/>
                    <w:rPr>
                      <w:sz w:val="20"/>
                      <w:szCs w:val="20"/>
                    </w:rPr>
                  </w:pPr>
                  <w:r>
                    <w:rPr>
                      <w:spacing w:val="8"/>
                      <w:sz w:val="20"/>
                      <w:szCs w:val="20"/>
                    </w:rPr>
                    <w:t>小。光伏阵列支架基</w:t>
                  </w:r>
                  <w:r>
                    <w:rPr>
                      <w:spacing w:val="2"/>
                      <w:sz w:val="20"/>
                      <w:szCs w:val="20"/>
                    </w:rPr>
                    <w:t xml:space="preserve"> </w:t>
                  </w:r>
                  <w:r>
                    <w:rPr>
                      <w:spacing w:val="9"/>
                      <w:sz w:val="20"/>
                      <w:szCs w:val="20"/>
                    </w:rPr>
                    <w:t>础采用钢筋混凝土钻</w:t>
                  </w:r>
                  <w:r>
                    <w:rPr>
                      <w:sz w:val="20"/>
                      <w:szCs w:val="20"/>
                    </w:rPr>
                    <w:t xml:space="preserve"> </w:t>
                  </w:r>
                  <w:r>
                    <w:rPr>
                      <w:spacing w:val="9"/>
                      <w:sz w:val="20"/>
                      <w:szCs w:val="20"/>
                    </w:rPr>
                    <w:t>孔灌注桩及岩石锚杆</w:t>
                  </w:r>
                  <w:r>
                    <w:rPr>
                      <w:sz w:val="20"/>
                      <w:szCs w:val="20"/>
                    </w:rPr>
                    <w:t xml:space="preserve"> </w:t>
                  </w:r>
                  <w:r>
                    <w:rPr>
                      <w:spacing w:val="9"/>
                      <w:sz w:val="20"/>
                      <w:szCs w:val="20"/>
                    </w:rPr>
                    <w:t>基础，可以根据地形</w:t>
                  </w:r>
                  <w:r>
                    <w:rPr>
                      <w:sz w:val="20"/>
                      <w:szCs w:val="20"/>
                    </w:rPr>
                    <w:t xml:space="preserve"> </w:t>
                  </w:r>
                  <w:r>
                    <w:rPr>
                      <w:spacing w:val="7"/>
                      <w:sz w:val="20"/>
                      <w:szCs w:val="20"/>
                    </w:rPr>
                    <w:t>调整基础顶面标高，</w:t>
                  </w:r>
                </w:p>
                <w:p w14:paraId="42CF5A43">
                  <w:pPr>
                    <w:pStyle w:val="6"/>
                    <w:spacing w:before="24" w:line="234" w:lineRule="auto"/>
                    <w:ind w:left="576" w:right="148" w:hanging="419"/>
                    <w:rPr>
                      <w:sz w:val="20"/>
                      <w:szCs w:val="20"/>
                    </w:rPr>
                  </w:pPr>
                  <w:r>
                    <w:rPr>
                      <w:spacing w:val="8"/>
                      <w:sz w:val="20"/>
                      <w:szCs w:val="20"/>
                    </w:rPr>
                    <w:t>开挖量小，对原有植</w:t>
                  </w:r>
                  <w:r>
                    <w:rPr>
                      <w:spacing w:val="6"/>
                      <w:sz w:val="20"/>
                      <w:szCs w:val="20"/>
                    </w:rPr>
                    <w:t xml:space="preserve"> </w:t>
                  </w:r>
                  <w:r>
                    <w:rPr>
                      <w:spacing w:val="5"/>
                      <w:sz w:val="20"/>
                      <w:szCs w:val="20"/>
                    </w:rPr>
                    <w:t>被破坏小。</w:t>
                  </w:r>
                </w:p>
              </w:tc>
              <w:tc>
                <w:tcPr>
                  <w:tcW w:w="893" w:type="dxa"/>
                  <w:vAlign w:val="top"/>
                </w:tcPr>
                <w:p w14:paraId="5746AF90">
                  <w:pPr>
                    <w:spacing w:line="259" w:lineRule="auto"/>
                    <w:rPr>
                      <w:rFonts w:ascii="Arial"/>
                      <w:sz w:val="21"/>
                    </w:rPr>
                  </w:pPr>
                </w:p>
                <w:p w14:paraId="3770CDF3">
                  <w:pPr>
                    <w:spacing w:line="259" w:lineRule="auto"/>
                    <w:rPr>
                      <w:rFonts w:ascii="Arial"/>
                      <w:sz w:val="21"/>
                    </w:rPr>
                  </w:pPr>
                </w:p>
                <w:p w14:paraId="57863F9E">
                  <w:pPr>
                    <w:spacing w:line="259" w:lineRule="auto"/>
                    <w:rPr>
                      <w:rFonts w:ascii="Arial"/>
                      <w:sz w:val="21"/>
                    </w:rPr>
                  </w:pPr>
                </w:p>
                <w:p w14:paraId="60383FDC">
                  <w:pPr>
                    <w:spacing w:line="259" w:lineRule="auto"/>
                    <w:rPr>
                      <w:rFonts w:ascii="Arial"/>
                      <w:sz w:val="21"/>
                    </w:rPr>
                  </w:pPr>
                </w:p>
                <w:p w14:paraId="2BF632DF">
                  <w:pPr>
                    <w:spacing w:line="259" w:lineRule="auto"/>
                    <w:rPr>
                      <w:rFonts w:ascii="Arial"/>
                      <w:sz w:val="21"/>
                    </w:rPr>
                  </w:pPr>
                </w:p>
                <w:p w14:paraId="52EB20C9">
                  <w:pPr>
                    <w:spacing w:line="260" w:lineRule="auto"/>
                    <w:rPr>
                      <w:rFonts w:ascii="Arial"/>
                      <w:sz w:val="21"/>
                    </w:rPr>
                  </w:pPr>
                </w:p>
                <w:p w14:paraId="2F1F6AE4">
                  <w:pPr>
                    <w:spacing w:line="260" w:lineRule="auto"/>
                    <w:rPr>
                      <w:rFonts w:ascii="Arial"/>
                      <w:sz w:val="21"/>
                    </w:rPr>
                  </w:pPr>
                </w:p>
                <w:p w14:paraId="6F0DCFBE">
                  <w:pPr>
                    <w:spacing w:line="260" w:lineRule="auto"/>
                    <w:rPr>
                      <w:rFonts w:ascii="Arial"/>
                      <w:sz w:val="21"/>
                    </w:rPr>
                  </w:pPr>
                </w:p>
                <w:p w14:paraId="6636145B">
                  <w:pPr>
                    <w:spacing w:line="260" w:lineRule="auto"/>
                    <w:rPr>
                      <w:rFonts w:ascii="Arial"/>
                      <w:sz w:val="21"/>
                    </w:rPr>
                  </w:pPr>
                </w:p>
                <w:p w14:paraId="062A39EC">
                  <w:pPr>
                    <w:pStyle w:val="6"/>
                    <w:spacing w:before="65" w:line="228" w:lineRule="auto"/>
                    <w:ind w:left="242"/>
                    <w:rPr>
                      <w:sz w:val="20"/>
                      <w:szCs w:val="20"/>
                    </w:rPr>
                  </w:pPr>
                  <w:r>
                    <w:rPr>
                      <w:spacing w:val="3"/>
                      <w:sz w:val="20"/>
                      <w:szCs w:val="20"/>
                    </w:rPr>
                    <w:t>符合</w:t>
                  </w:r>
                </w:p>
              </w:tc>
            </w:tr>
            <w:tr w14:paraId="36DD9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81" w:type="dxa"/>
                  <w:vMerge w:val="continue"/>
                  <w:tcBorders>
                    <w:top w:val="nil"/>
                    <w:bottom w:val="nil"/>
                  </w:tcBorders>
                  <w:vAlign w:val="top"/>
                </w:tcPr>
                <w:p w14:paraId="6249F88E">
                  <w:pPr>
                    <w:rPr>
                      <w:rFonts w:ascii="Arial"/>
                      <w:sz w:val="21"/>
                    </w:rPr>
                  </w:pPr>
                </w:p>
              </w:tc>
              <w:tc>
                <w:tcPr>
                  <w:tcW w:w="3579" w:type="dxa"/>
                  <w:vAlign w:val="top"/>
                </w:tcPr>
                <w:p w14:paraId="221B5FA7">
                  <w:pPr>
                    <w:pStyle w:val="6"/>
                    <w:spacing w:before="36" w:line="232" w:lineRule="auto"/>
                    <w:ind w:left="111" w:right="105" w:hanging="4"/>
                    <w:rPr>
                      <w:sz w:val="20"/>
                      <w:szCs w:val="20"/>
                    </w:rPr>
                  </w:pPr>
                  <w:r>
                    <w:rPr>
                      <w:rFonts w:ascii="Times New Roman" w:hAnsi="Times New Roman" w:eastAsia="Times New Roman" w:cs="Times New Roman"/>
                      <w:spacing w:val="3"/>
                      <w:sz w:val="20"/>
                      <w:szCs w:val="20"/>
                    </w:rPr>
                    <w:t>2</w:t>
                  </w:r>
                  <w:r>
                    <w:rPr>
                      <w:spacing w:val="3"/>
                      <w:sz w:val="20"/>
                      <w:szCs w:val="20"/>
                    </w:rPr>
                    <w:t>、禁止向水域倾倒工业废渣、城市垃</w:t>
                  </w:r>
                  <w:r>
                    <w:rPr>
                      <w:spacing w:val="8"/>
                      <w:sz w:val="20"/>
                      <w:szCs w:val="20"/>
                    </w:rPr>
                    <w:t xml:space="preserve"> 圾、粪便及其它废弃物。</w:t>
                  </w:r>
                </w:p>
              </w:tc>
              <w:tc>
                <w:tcPr>
                  <w:tcW w:w="2191" w:type="dxa"/>
                  <w:vAlign w:val="top"/>
                </w:tcPr>
                <w:p w14:paraId="4A0909A8">
                  <w:pPr>
                    <w:pStyle w:val="6"/>
                    <w:spacing w:before="100" w:line="227" w:lineRule="auto"/>
                    <w:ind w:left="368"/>
                    <w:rPr>
                      <w:sz w:val="20"/>
                      <w:szCs w:val="20"/>
                    </w:rPr>
                  </w:pPr>
                  <w:r>
                    <w:rPr>
                      <w:spacing w:val="6"/>
                      <w:sz w:val="20"/>
                      <w:szCs w:val="20"/>
                    </w:rPr>
                    <w:t>本项目不涉及。</w:t>
                  </w:r>
                </w:p>
              </w:tc>
              <w:tc>
                <w:tcPr>
                  <w:tcW w:w="893" w:type="dxa"/>
                  <w:vAlign w:val="top"/>
                </w:tcPr>
                <w:p w14:paraId="58DB8E20">
                  <w:pPr>
                    <w:pStyle w:val="6"/>
                    <w:spacing w:before="99" w:line="228" w:lineRule="auto"/>
                    <w:ind w:left="242"/>
                    <w:rPr>
                      <w:sz w:val="20"/>
                      <w:szCs w:val="20"/>
                    </w:rPr>
                  </w:pPr>
                  <w:r>
                    <w:rPr>
                      <w:spacing w:val="3"/>
                      <w:sz w:val="20"/>
                      <w:szCs w:val="20"/>
                    </w:rPr>
                    <w:t>符合</w:t>
                  </w:r>
                </w:p>
              </w:tc>
            </w:tr>
            <w:tr w14:paraId="32322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181" w:type="dxa"/>
                  <w:vMerge w:val="continue"/>
                  <w:tcBorders>
                    <w:top w:val="nil"/>
                    <w:bottom w:val="nil"/>
                  </w:tcBorders>
                  <w:vAlign w:val="top"/>
                </w:tcPr>
                <w:p w14:paraId="654749AC">
                  <w:pPr>
                    <w:rPr>
                      <w:rFonts w:ascii="Arial"/>
                      <w:sz w:val="21"/>
                    </w:rPr>
                  </w:pPr>
                </w:p>
              </w:tc>
              <w:tc>
                <w:tcPr>
                  <w:tcW w:w="3579" w:type="dxa"/>
                  <w:vAlign w:val="top"/>
                </w:tcPr>
                <w:p w14:paraId="2D7FD76C">
                  <w:pPr>
                    <w:pStyle w:val="6"/>
                    <w:spacing w:before="35" w:line="242" w:lineRule="auto"/>
                    <w:ind w:left="111" w:right="107"/>
                    <w:rPr>
                      <w:sz w:val="20"/>
                      <w:szCs w:val="20"/>
                    </w:rPr>
                  </w:pPr>
                  <w:r>
                    <w:rPr>
                      <w:rFonts w:ascii="Times New Roman" w:hAnsi="Times New Roman" w:eastAsia="Times New Roman" w:cs="Times New Roman"/>
                      <w:spacing w:val="3"/>
                      <w:sz w:val="20"/>
                      <w:szCs w:val="20"/>
                    </w:rPr>
                    <w:t>3</w:t>
                  </w:r>
                  <w:r>
                    <w:rPr>
                      <w:spacing w:val="3"/>
                      <w:sz w:val="20"/>
                      <w:szCs w:val="20"/>
                    </w:rPr>
                    <w:t>、运输有毒有害物质、油类、粪便的</w:t>
                  </w:r>
                  <w:r>
                    <w:rPr>
                      <w:spacing w:val="2"/>
                      <w:sz w:val="20"/>
                      <w:szCs w:val="20"/>
                    </w:rPr>
                    <w:t xml:space="preserve"> </w:t>
                  </w:r>
                  <w:r>
                    <w:rPr>
                      <w:spacing w:val="9"/>
                      <w:sz w:val="20"/>
                      <w:szCs w:val="20"/>
                    </w:rPr>
                    <w:t>船舶和车辆一般不准进入保护区，必</w:t>
                  </w:r>
                  <w:r>
                    <w:rPr>
                      <w:spacing w:val="4"/>
                      <w:sz w:val="20"/>
                      <w:szCs w:val="20"/>
                    </w:rPr>
                    <w:t xml:space="preserve"> </w:t>
                  </w:r>
                  <w:r>
                    <w:rPr>
                      <w:spacing w:val="9"/>
                      <w:sz w:val="20"/>
                      <w:szCs w:val="20"/>
                    </w:rPr>
                    <w:t xml:space="preserve">须进入者应事先申请有关部门批准、 </w:t>
                  </w:r>
                  <w:r>
                    <w:rPr>
                      <w:spacing w:val="8"/>
                      <w:sz w:val="20"/>
                      <w:szCs w:val="20"/>
                    </w:rPr>
                    <w:t>登记并设置防渗、防溢、防漏设施。</w:t>
                  </w:r>
                </w:p>
              </w:tc>
              <w:tc>
                <w:tcPr>
                  <w:tcW w:w="2191" w:type="dxa"/>
                  <w:vAlign w:val="top"/>
                </w:tcPr>
                <w:p w14:paraId="5A9A1C95">
                  <w:pPr>
                    <w:spacing w:line="307" w:lineRule="auto"/>
                    <w:rPr>
                      <w:rFonts w:ascii="Arial"/>
                      <w:sz w:val="21"/>
                    </w:rPr>
                  </w:pPr>
                </w:p>
                <w:p w14:paraId="7CFD0C5B">
                  <w:pPr>
                    <w:pStyle w:val="6"/>
                    <w:spacing w:before="65" w:line="227" w:lineRule="auto"/>
                    <w:ind w:left="368"/>
                    <w:rPr>
                      <w:sz w:val="20"/>
                      <w:szCs w:val="20"/>
                    </w:rPr>
                  </w:pPr>
                  <w:r>
                    <w:rPr>
                      <w:spacing w:val="6"/>
                      <w:sz w:val="20"/>
                      <w:szCs w:val="20"/>
                    </w:rPr>
                    <w:t>本项目不涉及。</w:t>
                  </w:r>
                </w:p>
              </w:tc>
              <w:tc>
                <w:tcPr>
                  <w:tcW w:w="893" w:type="dxa"/>
                  <w:vAlign w:val="top"/>
                </w:tcPr>
                <w:p w14:paraId="45702D02">
                  <w:pPr>
                    <w:spacing w:line="306" w:lineRule="auto"/>
                    <w:rPr>
                      <w:rFonts w:ascii="Arial"/>
                      <w:sz w:val="21"/>
                    </w:rPr>
                  </w:pPr>
                </w:p>
                <w:p w14:paraId="7FF61B7E">
                  <w:pPr>
                    <w:pStyle w:val="6"/>
                    <w:spacing w:before="65" w:line="228" w:lineRule="auto"/>
                    <w:ind w:left="242"/>
                    <w:rPr>
                      <w:sz w:val="20"/>
                      <w:szCs w:val="20"/>
                    </w:rPr>
                  </w:pPr>
                  <w:r>
                    <w:rPr>
                      <w:spacing w:val="3"/>
                      <w:sz w:val="20"/>
                      <w:szCs w:val="20"/>
                    </w:rPr>
                    <w:t>符合</w:t>
                  </w:r>
                </w:p>
              </w:tc>
            </w:tr>
            <w:tr w14:paraId="0A1DB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81" w:type="dxa"/>
                  <w:vMerge w:val="continue"/>
                  <w:tcBorders>
                    <w:top w:val="nil"/>
                  </w:tcBorders>
                  <w:vAlign w:val="top"/>
                </w:tcPr>
                <w:p w14:paraId="258A21A6">
                  <w:pPr>
                    <w:rPr>
                      <w:rFonts w:ascii="Arial"/>
                      <w:sz w:val="21"/>
                    </w:rPr>
                  </w:pPr>
                </w:p>
              </w:tc>
              <w:tc>
                <w:tcPr>
                  <w:tcW w:w="3579" w:type="dxa"/>
                  <w:vAlign w:val="top"/>
                </w:tcPr>
                <w:p w14:paraId="78383DC7">
                  <w:pPr>
                    <w:pStyle w:val="6"/>
                    <w:spacing w:before="35" w:line="239" w:lineRule="auto"/>
                    <w:ind w:left="110" w:right="107" w:hanging="4"/>
                    <w:jc w:val="both"/>
                    <w:rPr>
                      <w:sz w:val="20"/>
                      <w:szCs w:val="20"/>
                    </w:rPr>
                  </w:pPr>
                  <w:r>
                    <w:rPr>
                      <w:rFonts w:ascii="Times New Roman" w:hAnsi="Times New Roman" w:eastAsia="Times New Roman" w:cs="Times New Roman"/>
                      <w:spacing w:val="3"/>
                      <w:sz w:val="20"/>
                      <w:szCs w:val="20"/>
                    </w:rPr>
                    <w:t>4</w:t>
                  </w:r>
                  <w:r>
                    <w:rPr>
                      <w:spacing w:val="3"/>
                      <w:sz w:val="20"/>
                      <w:szCs w:val="20"/>
                    </w:rPr>
                    <w:t>、禁止使用剧毒和高残留农药，不得</w:t>
                  </w:r>
                  <w:r>
                    <w:rPr>
                      <w:spacing w:val="7"/>
                      <w:sz w:val="20"/>
                      <w:szCs w:val="20"/>
                    </w:rPr>
                    <w:t xml:space="preserve"> </w:t>
                  </w:r>
                  <w:r>
                    <w:rPr>
                      <w:spacing w:val="9"/>
                      <w:sz w:val="20"/>
                      <w:szCs w:val="20"/>
                    </w:rPr>
                    <w:t xml:space="preserve">滥用化肥，不得使用炸药、毒品捕杀 </w:t>
                  </w:r>
                  <w:r>
                    <w:rPr>
                      <w:spacing w:val="3"/>
                      <w:sz w:val="20"/>
                      <w:szCs w:val="20"/>
                    </w:rPr>
                    <w:t>鱼类。</w:t>
                  </w:r>
                </w:p>
              </w:tc>
              <w:tc>
                <w:tcPr>
                  <w:tcW w:w="2191" w:type="dxa"/>
                  <w:vAlign w:val="top"/>
                </w:tcPr>
                <w:p w14:paraId="435304B8">
                  <w:pPr>
                    <w:pStyle w:val="6"/>
                    <w:spacing w:before="35" w:line="227" w:lineRule="auto"/>
                    <w:ind w:left="160"/>
                    <w:rPr>
                      <w:sz w:val="20"/>
                      <w:szCs w:val="20"/>
                    </w:rPr>
                  </w:pPr>
                  <w:r>
                    <w:rPr>
                      <w:spacing w:val="8"/>
                      <w:sz w:val="20"/>
                      <w:szCs w:val="20"/>
                    </w:rPr>
                    <w:t>项目林业种植施肥仅</w:t>
                  </w:r>
                </w:p>
                <w:p w14:paraId="5A91CB1B">
                  <w:pPr>
                    <w:pStyle w:val="6"/>
                    <w:spacing w:before="25" w:line="227" w:lineRule="auto"/>
                    <w:ind w:right="8"/>
                    <w:jc w:val="right"/>
                    <w:rPr>
                      <w:sz w:val="20"/>
                      <w:szCs w:val="20"/>
                    </w:rPr>
                  </w:pPr>
                  <w:r>
                    <w:rPr>
                      <w:spacing w:val="6"/>
                      <w:sz w:val="20"/>
                      <w:szCs w:val="20"/>
                    </w:rPr>
                    <w:t>施少量化肥、复合肥，</w:t>
                  </w:r>
                </w:p>
                <w:p w14:paraId="129C6952">
                  <w:pPr>
                    <w:pStyle w:val="6"/>
                    <w:spacing w:before="24" w:line="216" w:lineRule="auto"/>
                    <w:ind w:left="474"/>
                    <w:rPr>
                      <w:sz w:val="20"/>
                      <w:szCs w:val="20"/>
                    </w:rPr>
                  </w:pPr>
                  <w:r>
                    <w:rPr>
                      <w:spacing w:val="6"/>
                      <w:sz w:val="20"/>
                      <w:szCs w:val="20"/>
                    </w:rPr>
                    <w:t>不滥用化肥。</w:t>
                  </w:r>
                </w:p>
              </w:tc>
              <w:tc>
                <w:tcPr>
                  <w:tcW w:w="893" w:type="dxa"/>
                  <w:vAlign w:val="top"/>
                </w:tcPr>
                <w:p w14:paraId="6A86B4AC">
                  <w:pPr>
                    <w:pStyle w:val="6"/>
                    <w:spacing w:before="239" w:line="228" w:lineRule="auto"/>
                    <w:ind w:left="242"/>
                    <w:rPr>
                      <w:sz w:val="20"/>
                      <w:szCs w:val="20"/>
                    </w:rPr>
                  </w:pPr>
                  <w:r>
                    <w:rPr>
                      <w:spacing w:val="3"/>
                      <w:sz w:val="20"/>
                      <w:szCs w:val="20"/>
                    </w:rPr>
                    <w:t>符合</w:t>
                  </w:r>
                </w:p>
              </w:tc>
            </w:tr>
            <w:tr w14:paraId="23635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1181" w:type="dxa"/>
                  <w:vAlign w:val="top"/>
                </w:tcPr>
                <w:p w14:paraId="7BBC8578">
                  <w:pPr>
                    <w:spacing w:line="374" w:lineRule="auto"/>
                    <w:rPr>
                      <w:rFonts w:ascii="Arial"/>
                      <w:sz w:val="21"/>
                    </w:rPr>
                  </w:pPr>
                </w:p>
                <w:p w14:paraId="5B028D23">
                  <w:pPr>
                    <w:pStyle w:val="6"/>
                    <w:spacing w:before="65" w:line="228" w:lineRule="auto"/>
                    <w:ind w:left="176"/>
                    <w:rPr>
                      <w:sz w:val="20"/>
                      <w:szCs w:val="20"/>
                    </w:rPr>
                  </w:pPr>
                  <w:r>
                    <w:rPr>
                      <w:spacing w:val="7"/>
                      <w:sz w:val="20"/>
                      <w:szCs w:val="20"/>
                    </w:rPr>
                    <w:t>第十二条</w:t>
                  </w:r>
                </w:p>
              </w:tc>
              <w:tc>
                <w:tcPr>
                  <w:tcW w:w="3579" w:type="dxa"/>
                  <w:vAlign w:val="top"/>
                </w:tcPr>
                <w:p w14:paraId="06E6EDD3">
                  <w:pPr>
                    <w:pStyle w:val="6"/>
                    <w:spacing w:before="34" w:line="228" w:lineRule="auto"/>
                    <w:ind w:left="111"/>
                    <w:rPr>
                      <w:sz w:val="20"/>
                      <w:szCs w:val="20"/>
                    </w:rPr>
                  </w:pPr>
                  <w:r>
                    <w:rPr>
                      <w:spacing w:val="8"/>
                      <w:sz w:val="20"/>
                      <w:szCs w:val="20"/>
                    </w:rPr>
                    <w:t>饮用水地表水源二级保护区内：</w:t>
                  </w:r>
                </w:p>
                <w:p w14:paraId="316B00CF">
                  <w:pPr>
                    <w:pStyle w:val="6"/>
                    <w:spacing w:before="27" w:line="239" w:lineRule="auto"/>
                    <w:ind w:left="128" w:right="107"/>
                    <w:rPr>
                      <w:sz w:val="20"/>
                      <w:szCs w:val="20"/>
                    </w:rPr>
                  </w:pPr>
                  <w:r>
                    <w:rPr>
                      <w:rFonts w:ascii="Times New Roman" w:hAnsi="Times New Roman" w:eastAsia="Times New Roman" w:cs="Times New Roman"/>
                      <w:spacing w:val="2"/>
                      <w:sz w:val="20"/>
                      <w:szCs w:val="20"/>
                    </w:rPr>
                    <w:t>1</w:t>
                  </w:r>
                  <w:r>
                    <w:rPr>
                      <w:spacing w:val="2"/>
                      <w:sz w:val="20"/>
                      <w:szCs w:val="20"/>
                    </w:rPr>
                    <w:t>、禁止新建、改建、扩建排放污染物</w:t>
                  </w:r>
                  <w:r>
                    <w:rPr>
                      <w:spacing w:val="3"/>
                      <w:sz w:val="20"/>
                      <w:szCs w:val="20"/>
                    </w:rPr>
                    <w:t xml:space="preserve"> 的建设项目；</w:t>
                  </w:r>
                </w:p>
                <w:p w14:paraId="39B63DCC">
                  <w:pPr>
                    <w:pStyle w:val="6"/>
                    <w:spacing w:before="26" w:line="224" w:lineRule="auto"/>
                    <w:ind w:left="107"/>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25"/>
                      <w:sz w:val="20"/>
                      <w:szCs w:val="20"/>
                    </w:rPr>
                    <w:t xml:space="preserve"> </w:t>
                  </w:r>
                  <w:r>
                    <w:rPr>
                      <w:spacing w:val="7"/>
                      <w:sz w:val="20"/>
                      <w:szCs w:val="20"/>
                    </w:rPr>
                    <w:t>、原有排污口依法拆除或者关闭；</w:t>
                  </w:r>
                </w:p>
              </w:tc>
              <w:tc>
                <w:tcPr>
                  <w:tcW w:w="2191" w:type="dxa"/>
                  <w:vAlign w:val="top"/>
                </w:tcPr>
                <w:p w14:paraId="17685BAC">
                  <w:pPr>
                    <w:pStyle w:val="6"/>
                    <w:spacing w:before="34" w:line="245" w:lineRule="auto"/>
                    <w:ind w:left="159" w:right="148"/>
                    <w:jc w:val="both"/>
                    <w:rPr>
                      <w:sz w:val="20"/>
                      <w:szCs w:val="20"/>
                    </w:rPr>
                  </w:pPr>
                  <w:r>
                    <w:rPr>
                      <w:spacing w:val="8"/>
                      <w:sz w:val="20"/>
                      <w:szCs w:val="20"/>
                    </w:rPr>
                    <w:t>项目不涉及饮用水源</w:t>
                  </w:r>
                  <w:r>
                    <w:rPr>
                      <w:spacing w:val="4"/>
                      <w:sz w:val="20"/>
                      <w:szCs w:val="20"/>
                    </w:rPr>
                    <w:t xml:space="preserve"> </w:t>
                  </w:r>
                  <w:r>
                    <w:rPr>
                      <w:spacing w:val="8"/>
                      <w:sz w:val="20"/>
                      <w:szCs w:val="20"/>
                    </w:rPr>
                    <w:t>二级保护区，且项目</w:t>
                  </w:r>
                  <w:r>
                    <w:rPr>
                      <w:spacing w:val="5"/>
                      <w:sz w:val="20"/>
                      <w:szCs w:val="20"/>
                    </w:rPr>
                    <w:t xml:space="preserve"> </w:t>
                  </w:r>
                  <w:r>
                    <w:rPr>
                      <w:spacing w:val="8"/>
                      <w:sz w:val="20"/>
                      <w:szCs w:val="20"/>
                    </w:rPr>
                    <w:t>不属于排放污染物的</w:t>
                  </w:r>
                  <w:r>
                    <w:rPr>
                      <w:spacing w:val="5"/>
                      <w:sz w:val="20"/>
                      <w:szCs w:val="20"/>
                    </w:rPr>
                    <w:t xml:space="preserve"> </w:t>
                  </w:r>
                  <w:r>
                    <w:rPr>
                      <w:spacing w:val="8"/>
                      <w:sz w:val="20"/>
                      <w:szCs w:val="20"/>
                    </w:rPr>
                    <w:t>建设项目；施工期做</w:t>
                  </w:r>
                </w:p>
              </w:tc>
              <w:tc>
                <w:tcPr>
                  <w:tcW w:w="893" w:type="dxa"/>
                  <w:vAlign w:val="top"/>
                </w:tcPr>
                <w:p w14:paraId="0B41218F">
                  <w:pPr>
                    <w:spacing w:line="308" w:lineRule="auto"/>
                    <w:rPr>
                      <w:rFonts w:ascii="Arial"/>
                      <w:sz w:val="21"/>
                    </w:rPr>
                  </w:pPr>
                </w:p>
                <w:p w14:paraId="2194806C">
                  <w:pPr>
                    <w:pStyle w:val="6"/>
                    <w:spacing w:before="65" w:line="228" w:lineRule="auto"/>
                    <w:ind w:left="242"/>
                    <w:rPr>
                      <w:sz w:val="20"/>
                      <w:szCs w:val="20"/>
                    </w:rPr>
                  </w:pPr>
                  <w:r>
                    <w:rPr>
                      <w:spacing w:val="3"/>
                      <w:sz w:val="20"/>
                      <w:szCs w:val="20"/>
                    </w:rPr>
                    <w:t>符合</w:t>
                  </w:r>
                </w:p>
              </w:tc>
            </w:tr>
          </w:tbl>
          <w:p w14:paraId="26CE9BFC">
            <w:pPr>
              <w:spacing w:line="46" w:lineRule="auto"/>
              <w:rPr>
                <w:rFonts w:ascii="Arial"/>
                <w:sz w:val="2"/>
              </w:rPr>
            </w:pPr>
          </w:p>
        </w:tc>
      </w:tr>
    </w:tbl>
    <w:p w14:paraId="1A8485EF">
      <w:pPr>
        <w:spacing w:line="237" w:lineRule="exact"/>
        <w:rPr>
          <w:rFonts w:ascii="Arial"/>
          <w:sz w:val="20"/>
        </w:rPr>
      </w:pPr>
    </w:p>
    <w:p w14:paraId="60F0CBCE">
      <w:pPr>
        <w:spacing w:line="237" w:lineRule="exact"/>
        <w:rPr>
          <w:rFonts w:ascii="Arial" w:hAnsi="Arial" w:eastAsia="Arial" w:cs="Arial"/>
          <w:sz w:val="20"/>
          <w:szCs w:val="20"/>
        </w:rPr>
        <w:sectPr>
          <w:footerReference r:id="rId46" w:type="default"/>
          <w:pgSz w:w="11906" w:h="16839"/>
          <w:pgMar w:top="1431" w:right="1407" w:bottom="1278" w:left="1407" w:header="0" w:footer="1116" w:gutter="0"/>
          <w:cols w:space="720" w:num="1"/>
        </w:sectPr>
      </w:pPr>
    </w:p>
    <w:p w14:paraId="25E05D1B">
      <w:pPr>
        <w:spacing w:line="99" w:lineRule="exact"/>
      </w:pPr>
    </w:p>
    <w:tbl>
      <w:tblPr>
        <w:tblStyle w:val="5"/>
        <w:tblW w:w="9076"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2C416E9E">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11" w:hRule="atLeast"/>
        </w:trPr>
        <w:tc>
          <w:tcPr>
            <w:tcW w:w="9076" w:type="dxa"/>
            <w:vAlign w:val="top"/>
          </w:tcPr>
          <w:p w14:paraId="12BE9F6C">
            <w:pPr>
              <w:spacing w:line="96" w:lineRule="auto"/>
              <w:rPr>
                <w:rFonts w:ascii="Arial"/>
                <w:sz w:val="2"/>
              </w:rPr>
            </w:pPr>
            <w:r>
              <w:pict>
                <v:shape id="_x0000_s1048" o:spid="_x0000_s1048" style="position:absolute;left:0pt;margin-left:55.9pt;margin-top:187.1pt;height:498pt;width:0.5pt;mso-position-horizontal-relative:page;mso-position-vertical-relative:page;z-index:251684864;mso-width-relative:page;mso-height-relative:page;" filled="f" stroked="t" coordsize="10,9960" path="m4,0l4,9959e">
                  <v:fill on="f" focussize="0,0"/>
                  <v:stroke weight="0.48pt" color="#000000" miterlimit="2" joinstyle="bevel"/>
                  <v:imagedata o:title=""/>
                  <o:lock v:ext="edit"/>
                </v:shape>
              </w:pict>
            </w:r>
          </w:p>
          <w:tbl>
            <w:tblPr>
              <w:tblStyle w:val="5"/>
              <w:tblW w:w="7957" w:type="dxa"/>
              <w:tblInd w:w="9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2"/>
              <w:gridCol w:w="602"/>
              <w:gridCol w:w="2858"/>
              <w:gridCol w:w="720"/>
              <w:gridCol w:w="2192"/>
              <w:gridCol w:w="134"/>
              <w:gridCol w:w="759"/>
            </w:tblGrid>
            <w:tr w14:paraId="04A3F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1294" w:type="dxa"/>
                  <w:gridSpan w:val="2"/>
                  <w:tcBorders>
                    <w:top w:val="nil"/>
                  </w:tcBorders>
                  <w:vAlign w:val="top"/>
                </w:tcPr>
                <w:p w14:paraId="7AEAA093">
                  <w:pPr>
                    <w:rPr>
                      <w:rFonts w:ascii="Arial"/>
                      <w:sz w:val="21"/>
                    </w:rPr>
                  </w:pPr>
                  <w:r>
                    <w:pict>
                      <v:shape id="_x0000_s1049" o:spid="_x0000_s1049" style="position:absolute;left:0pt;margin-left:5.55pt;margin-top:0.3pt;height:54.95pt;width:0.5pt;mso-position-horizontal-relative:page;mso-position-vertical-relative:page;z-index:251683840;mso-width-relative:page;mso-height-relative:page;" filled="f" stroked="t" coordsize="10,1099" path="m4,0l4,1098e">
                        <v:fill on="f" focussize="0,0"/>
                        <v:stroke weight="0.48pt" color="#000000" miterlimit="2" joinstyle="bevel"/>
                        <v:imagedata o:title=""/>
                        <o:lock v:ext="edit"/>
                      </v:shape>
                    </w:pict>
                  </w:r>
                </w:p>
              </w:tc>
              <w:tc>
                <w:tcPr>
                  <w:tcW w:w="3578" w:type="dxa"/>
                  <w:gridSpan w:val="2"/>
                  <w:tcBorders>
                    <w:top w:val="nil"/>
                  </w:tcBorders>
                  <w:vAlign w:val="top"/>
                </w:tcPr>
                <w:p w14:paraId="240CD8CA">
                  <w:pPr>
                    <w:pStyle w:val="6"/>
                    <w:spacing w:before="47"/>
                    <w:ind w:left="112" w:right="106"/>
                    <w:rPr>
                      <w:sz w:val="20"/>
                      <w:szCs w:val="20"/>
                    </w:rPr>
                  </w:pPr>
                  <w:r>
                    <w:rPr>
                      <w:rFonts w:ascii="Times New Roman" w:hAnsi="Times New Roman" w:eastAsia="Times New Roman" w:cs="Times New Roman"/>
                      <w:spacing w:val="3"/>
                      <w:sz w:val="20"/>
                      <w:szCs w:val="20"/>
                    </w:rPr>
                    <w:t>3</w:t>
                  </w:r>
                  <w:r>
                    <w:rPr>
                      <w:spacing w:val="3"/>
                      <w:sz w:val="20"/>
                      <w:szCs w:val="20"/>
                    </w:rPr>
                    <w:t>、禁止设立装卸垃圾、粪便、油类和</w:t>
                  </w:r>
                  <w:r>
                    <w:rPr>
                      <w:spacing w:val="2"/>
                      <w:sz w:val="20"/>
                      <w:szCs w:val="20"/>
                    </w:rPr>
                    <w:t xml:space="preserve"> </w:t>
                  </w:r>
                  <w:r>
                    <w:rPr>
                      <w:spacing w:val="7"/>
                      <w:sz w:val="20"/>
                      <w:szCs w:val="20"/>
                    </w:rPr>
                    <w:t>有毒物品的码头。</w:t>
                  </w:r>
                </w:p>
              </w:tc>
              <w:tc>
                <w:tcPr>
                  <w:tcW w:w="2192" w:type="dxa"/>
                  <w:tcBorders>
                    <w:top w:val="nil"/>
                  </w:tcBorders>
                  <w:vAlign w:val="top"/>
                </w:tcPr>
                <w:p w14:paraId="6EDEF36B">
                  <w:pPr>
                    <w:pStyle w:val="6"/>
                    <w:spacing w:before="46" w:line="228" w:lineRule="auto"/>
                    <w:ind w:left="157"/>
                    <w:rPr>
                      <w:sz w:val="20"/>
                      <w:szCs w:val="20"/>
                    </w:rPr>
                  </w:pPr>
                  <w:r>
                    <w:rPr>
                      <w:spacing w:val="8"/>
                      <w:sz w:val="20"/>
                      <w:szCs w:val="20"/>
                    </w:rPr>
                    <w:t>好环保管理，禁止向</w:t>
                  </w:r>
                </w:p>
                <w:p w14:paraId="1457EE46">
                  <w:pPr>
                    <w:pStyle w:val="6"/>
                    <w:spacing w:before="26" w:line="228" w:lineRule="auto"/>
                    <w:ind w:left="158"/>
                    <w:rPr>
                      <w:sz w:val="20"/>
                      <w:szCs w:val="20"/>
                    </w:rPr>
                  </w:pPr>
                  <w:r>
                    <w:rPr>
                      <w:spacing w:val="8"/>
                      <w:sz w:val="20"/>
                      <w:szCs w:val="20"/>
                    </w:rPr>
                    <w:t>化桃箐水库水源保护</w:t>
                  </w:r>
                </w:p>
                <w:p w14:paraId="3BA721C8">
                  <w:pPr>
                    <w:pStyle w:val="6"/>
                    <w:spacing w:before="25" w:line="234" w:lineRule="auto"/>
                    <w:ind w:left="264" w:right="199" w:hanging="91"/>
                    <w:rPr>
                      <w:sz w:val="20"/>
                      <w:szCs w:val="20"/>
                    </w:rPr>
                  </w:pPr>
                  <w:r>
                    <w:rPr>
                      <w:spacing w:val="1"/>
                      <w:sz w:val="20"/>
                      <w:szCs w:val="20"/>
                    </w:rPr>
                    <w:t>区范围排放污染物，</w:t>
                  </w:r>
                  <w:r>
                    <w:rPr>
                      <w:spacing w:val="4"/>
                      <w:sz w:val="20"/>
                      <w:szCs w:val="20"/>
                    </w:rPr>
                    <w:t xml:space="preserve"> </w:t>
                  </w:r>
                  <w:r>
                    <w:rPr>
                      <w:spacing w:val="7"/>
                      <w:sz w:val="20"/>
                      <w:szCs w:val="20"/>
                    </w:rPr>
                    <w:t>可满足管控要求。</w:t>
                  </w:r>
                </w:p>
              </w:tc>
              <w:tc>
                <w:tcPr>
                  <w:tcW w:w="893" w:type="dxa"/>
                  <w:gridSpan w:val="2"/>
                  <w:tcBorders>
                    <w:top w:val="nil"/>
                  </w:tcBorders>
                  <w:vAlign w:val="top"/>
                </w:tcPr>
                <w:p w14:paraId="0E5B5F04">
                  <w:pPr>
                    <w:rPr>
                      <w:rFonts w:ascii="Arial"/>
                      <w:sz w:val="21"/>
                    </w:rPr>
                  </w:pPr>
                </w:p>
              </w:tc>
            </w:tr>
            <w:tr w14:paraId="17DE1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2" w:hRule="atLeast"/>
              </w:trPr>
              <w:tc>
                <w:tcPr>
                  <w:tcW w:w="7957" w:type="dxa"/>
                  <w:gridSpan w:val="7"/>
                  <w:tcBorders>
                    <w:right w:val="nil"/>
                  </w:tcBorders>
                  <w:vAlign w:val="top"/>
                </w:tcPr>
                <w:p w14:paraId="160EC9F2">
                  <w:pPr>
                    <w:pStyle w:val="6"/>
                    <w:spacing w:before="36" w:line="219" w:lineRule="auto"/>
                    <w:jc w:val="right"/>
                  </w:pPr>
                  <w:r>
                    <w:rPr>
                      <w:rFonts w:ascii="Times New Roman" w:hAnsi="Times New Roman" w:eastAsia="Times New Roman" w:cs="Times New Roman"/>
                      <w:b/>
                      <w:bCs/>
                      <w:spacing w:val="-2"/>
                    </w:rPr>
                    <w:t>22</w:t>
                  </w:r>
                  <w:r>
                    <w:rPr>
                      <w:rFonts w:ascii="Times New Roman" w:hAnsi="Times New Roman" w:eastAsia="Times New Roman" w:cs="Times New Roman"/>
                      <w:b/>
                      <w:bCs/>
                      <w:spacing w:val="-34"/>
                    </w:rPr>
                    <w:t xml:space="preserve"> </w:t>
                  </w:r>
                  <w:r>
                    <w:rPr>
                      <w:b/>
                      <w:bCs/>
                      <w:spacing w:val="-2"/>
                    </w:rPr>
                    <w:t>、项目与《输变电建设项目环境保护技术要求》（</w:t>
                  </w:r>
                  <w:r>
                    <w:rPr>
                      <w:rFonts w:ascii="Times New Roman" w:hAnsi="Times New Roman" w:eastAsia="Times New Roman" w:cs="Times New Roman"/>
                      <w:b/>
                      <w:bCs/>
                      <w:spacing w:val="-2"/>
                    </w:rPr>
                    <w:t>HJ1113-2020</w:t>
                  </w:r>
                  <w:r>
                    <w:rPr>
                      <w:b/>
                      <w:bCs/>
                      <w:spacing w:val="-2"/>
                    </w:rPr>
                    <w:t>）符</w:t>
                  </w:r>
                </w:p>
                <w:p w14:paraId="4908EAC4">
                  <w:pPr>
                    <w:pStyle w:val="6"/>
                    <w:spacing w:before="182" w:line="220" w:lineRule="auto"/>
                    <w:ind w:left="119"/>
                  </w:pPr>
                  <w:r>
                    <w:rPr>
                      <w:b/>
                      <w:bCs/>
                      <w:spacing w:val="-5"/>
                    </w:rPr>
                    <w:t>合性分析</w:t>
                  </w:r>
                </w:p>
                <w:p w14:paraId="7770BE38">
                  <w:pPr>
                    <w:pStyle w:val="6"/>
                    <w:spacing w:before="181" w:line="350" w:lineRule="auto"/>
                    <w:ind w:left="121" w:firstLine="476"/>
                    <w:jc w:val="both"/>
                  </w:pPr>
                  <w:r>
                    <w:rPr>
                      <w:spacing w:val="1"/>
                    </w:rPr>
                    <w:t>根据《输变电建设项目环境保护技术要求》（</w:t>
                  </w:r>
                  <w:r>
                    <w:rPr>
                      <w:rFonts w:ascii="Times New Roman" w:hAnsi="Times New Roman" w:eastAsia="Times New Roman" w:cs="Times New Roman"/>
                    </w:rPr>
                    <w:t>HJ</w:t>
                  </w:r>
                  <w:r>
                    <w:rPr>
                      <w:rFonts w:ascii="Times New Roman" w:hAnsi="Times New Roman" w:eastAsia="Times New Roman" w:cs="Times New Roman"/>
                      <w:spacing w:val="1"/>
                    </w:rPr>
                    <w:t>1113-2020</w:t>
                  </w:r>
                  <w:r>
                    <w:rPr>
                      <w:spacing w:val="8"/>
                    </w:rPr>
                    <w:t>），</w:t>
                  </w:r>
                  <w:r>
                    <w:rPr>
                      <w:spacing w:val="1"/>
                    </w:rPr>
                    <w:t>本次项</w:t>
                  </w:r>
                  <w:r>
                    <w:t xml:space="preserve"> </w:t>
                  </w:r>
                  <w:r>
                    <w:rPr>
                      <w:spacing w:val="5"/>
                    </w:rPr>
                    <w:t>目范围内的</w:t>
                  </w:r>
                  <w:r>
                    <w:rPr>
                      <w:rFonts w:ascii="Times New Roman" w:hAnsi="Times New Roman" w:eastAsia="Times New Roman" w:cs="Times New Roman"/>
                      <w:spacing w:val="5"/>
                    </w:rPr>
                    <w:t>220</w:t>
                  </w:r>
                  <w:r>
                    <w:rPr>
                      <w:rFonts w:ascii="Times New Roman" w:hAnsi="Times New Roman" w:eastAsia="Times New Roman" w:cs="Times New Roman"/>
                    </w:rPr>
                    <w:t>kV</w:t>
                  </w:r>
                  <w:r>
                    <w:rPr>
                      <w:spacing w:val="5"/>
                    </w:rPr>
                    <w:t>升压站及</w:t>
                  </w:r>
                  <w:r>
                    <w:rPr>
                      <w:rFonts w:ascii="Times New Roman" w:hAnsi="Times New Roman" w:eastAsia="Times New Roman" w:cs="Times New Roman"/>
                      <w:spacing w:val="5"/>
                    </w:rPr>
                    <w:t>35</w:t>
                  </w:r>
                  <w:r>
                    <w:rPr>
                      <w:rFonts w:ascii="Times New Roman" w:hAnsi="Times New Roman" w:eastAsia="Times New Roman" w:cs="Times New Roman"/>
                    </w:rPr>
                    <w:t>kV</w:t>
                  </w:r>
                  <w:r>
                    <w:rPr>
                      <w:spacing w:val="5"/>
                    </w:rPr>
                    <w:t xml:space="preserve">场内集电线路环保措施与技术要求的符合 </w:t>
                  </w:r>
                  <w:r>
                    <w:rPr>
                      <w:spacing w:val="-3"/>
                    </w:rPr>
                    <w:t>性分析如下：</w:t>
                  </w:r>
                </w:p>
                <w:p w14:paraId="75269E77">
                  <w:pPr>
                    <w:pStyle w:val="6"/>
                    <w:spacing w:before="29" w:line="218" w:lineRule="auto"/>
                    <w:ind w:left="869"/>
                    <w:rPr>
                      <w:sz w:val="20"/>
                      <w:szCs w:val="20"/>
                    </w:rPr>
                  </w:pPr>
                  <w:r>
                    <w:rPr>
                      <w:b/>
                      <w:bCs/>
                      <w:spacing w:val="7"/>
                      <w:sz w:val="20"/>
                      <w:szCs w:val="20"/>
                    </w:rPr>
                    <w:t>表</w:t>
                  </w:r>
                  <w:r>
                    <w:rPr>
                      <w:spacing w:val="-32"/>
                      <w:sz w:val="20"/>
                      <w:szCs w:val="20"/>
                    </w:rPr>
                    <w:t xml:space="preserve"> </w:t>
                  </w:r>
                  <w:r>
                    <w:rPr>
                      <w:rFonts w:ascii="Times New Roman" w:hAnsi="Times New Roman" w:eastAsia="Times New Roman" w:cs="Times New Roman"/>
                      <w:b/>
                      <w:bCs/>
                      <w:spacing w:val="7"/>
                      <w:sz w:val="20"/>
                      <w:szCs w:val="20"/>
                    </w:rPr>
                    <w:t xml:space="preserve">1-18    </w:t>
                  </w:r>
                  <w:r>
                    <w:rPr>
                      <w:b/>
                      <w:bCs/>
                      <w:spacing w:val="7"/>
                      <w:sz w:val="20"/>
                      <w:szCs w:val="20"/>
                    </w:rPr>
                    <w:t>项目与《输变电建设项目环境保护技术要求</w:t>
                  </w:r>
                  <w:r>
                    <w:rPr>
                      <w:b/>
                      <w:bCs/>
                      <w:spacing w:val="6"/>
                      <w:sz w:val="20"/>
                      <w:szCs w:val="20"/>
                    </w:rPr>
                    <w:t>》的符合性分析</w:t>
                  </w:r>
                </w:p>
              </w:tc>
            </w:tr>
            <w:tr w14:paraId="72586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692" w:type="dxa"/>
                  <w:textDirection w:val="tbRlV"/>
                  <w:vAlign w:val="top"/>
                </w:tcPr>
                <w:p w14:paraId="537690E3">
                  <w:pPr>
                    <w:pStyle w:val="6"/>
                    <w:spacing w:before="182" w:line="204" w:lineRule="auto"/>
                    <w:ind w:left="89"/>
                    <w:rPr>
                      <w:sz w:val="20"/>
                      <w:szCs w:val="20"/>
                    </w:rPr>
                  </w:pPr>
                  <w:r>
                    <w:rPr>
                      <w:spacing w:val="8"/>
                      <w:sz w:val="20"/>
                      <w:szCs w:val="20"/>
                    </w:rPr>
                    <w:t>项</w:t>
                  </w:r>
                  <w:r>
                    <w:rPr>
                      <w:spacing w:val="-38"/>
                      <w:sz w:val="20"/>
                      <w:szCs w:val="20"/>
                    </w:rPr>
                    <w:t xml:space="preserve"> </w:t>
                  </w:r>
                  <w:r>
                    <w:rPr>
                      <w:spacing w:val="8"/>
                      <w:position w:val="1"/>
                      <w:sz w:val="20"/>
                      <w:szCs w:val="20"/>
                    </w:rPr>
                    <w:t>目</w:t>
                  </w:r>
                </w:p>
              </w:tc>
              <w:tc>
                <w:tcPr>
                  <w:tcW w:w="3460" w:type="dxa"/>
                  <w:gridSpan w:val="2"/>
                  <w:vAlign w:val="top"/>
                </w:tcPr>
                <w:p w14:paraId="423E0DAC">
                  <w:pPr>
                    <w:pStyle w:val="6"/>
                    <w:spacing w:before="226" w:line="228" w:lineRule="auto"/>
                    <w:ind w:left="1314"/>
                    <w:rPr>
                      <w:sz w:val="20"/>
                      <w:szCs w:val="20"/>
                    </w:rPr>
                  </w:pPr>
                  <w:r>
                    <w:rPr>
                      <w:spacing w:val="7"/>
                      <w:sz w:val="20"/>
                      <w:szCs w:val="20"/>
                    </w:rPr>
                    <w:t>技术要求</w:t>
                  </w:r>
                </w:p>
              </w:tc>
              <w:tc>
                <w:tcPr>
                  <w:tcW w:w="3046" w:type="dxa"/>
                  <w:gridSpan w:val="3"/>
                  <w:vAlign w:val="top"/>
                </w:tcPr>
                <w:p w14:paraId="6A14023F">
                  <w:pPr>
                    <w:pStyle w:val="6"/>
                    <w:spacing w:before="226" w:line="227" w:lineRule="auto"/>
                    <w:ind w:left="1005"/>
                    <w:rPr>
                      <w:sz w:val="20"/>
                      <w:szCs w:val="20"/>
                    </w:rPr>
                  </w:pPr>
                  <w:r>
                    <w:rPr>
                      <w:spacing w:val="7"/>
                      <w:sz w:val="20"/>
                      <w:szCs w:val="20"/>
                    </w:rPr>
                    <w:t>本项目情况</w:t>
                  </w:r>
                </w:p>
              </w:tc>
              <w:tc>
                <w:tcPr>
                  <w:tcW w:w="759" w:type="dxa"/>
                  <w:vAlign w:val="top"/>
                </w:tcPr>
                <w:p w14:paraId="4EF364C7">
                  <w:pPr>
                    <w:pStyle w:val="6"/>
                    <w:spacing w:before="89"/>
                    <w:ind w:left="281" w:right="170" w:hanging="106"/>
                    <w:rPr>
                      <w:sz w:val="20"/>
                      <w:szCs w:val="20"/>
                    </w:rPr>
                  </w:pPr>
                  <w:r>
                    <w:rPr>
                      <w:spacing w:val="3"/>
                      <w:sz w:val="20"/>
                      <w:szCs w:val="20"/>
                    </w:rPr>
                    <w:t>符合</w:t>
                  </w:r>
                  <w:r>
                    <w:rPr>
                      <w:sz w:val="20"/>
                      <w:szCs w:val="20"/>
                    </w:rPr>
                    <w:t xml:space="preserve"> 性</w:t>
                  </w:r>
                </w:p>
              </w:tc>
            </w:tr>
            <w:tr w14:paraId="18FB5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9" w:hRule="atLeast"/>
              </w:trPr>
              <w:tc>
                <w:tcPr>
                  <w:tcW w:w="692" w:type="dxa"/>
                  <w:textDirection w:val="tbRlV"/>
                  <w:vAlign w:val="top"/>
                </w:tcPr>
                <w:p w14:paraId="734FBC59">
                  <w:pPr>
                    <w:pStyle w:val="6"/>
                    <w:spacing w:before="182" w:line="217" w:lineRule="auto"/>
                    <w:ind w:left="1527"/>
                    <w:rPr>
                      <w:sz w:val="20"/>
                      <w:szCs w:val="20"/>
                    </w:rPr>
                  </w:pPr>
                  <w:r>
                    <w:rPr>
                      <w:spacing w:val="8"/>
                      <w:sz w:val="20"/>
                      <w:szCs w:val="20"/>
                    </w:rPr>
                    <w:t>选</w:t>
                  </w:r>
                  <w:r>
                    <w:rPr>
                      <w:spacing w:val="-34"/>
                      <w:sz w:val="20"/>
                      <w:szCs w:val="20"/>
                    </w:rPr>
                    <w:t xml:space="preserve"> </w:t>
                  </w:r>
                  <w:r>
                    <w:rPr>
                      <w:spacing w:val="8"/>
                      <w:sz w:val="20"/>
                      <w:szCs w:val="20"/>
                    </w:rPr>
                    <w:t>址</w:t>
                  </w:r>
                  <w:r>
                    <w:rPr>
                      <w:spacing w:val="-37"/>
                      <w:sz w:val="20"/>
                      <w:szCs w:val="20"/>
                    </w:rPr>
                    <w:t xml:space="preserve"> </w:t>
                  </w:r>
                  <w:r>
                    <w:rPr>
                      <w:spacing w:val="8"/>
                      <w:sz w:val="20"/>
                      <w:szCs w:val="20"/>
                    </w:rPr>
                    <w:t>选</w:t>
                  </w:r>
                  <w:r>
                    <w:rPr>
                      <w:spacing w:val="-36"/>
                      <w:sz w:val="20"/>
                      <w:szCs w:val="20"/>
                    </w:rPr>
                    <w:t xml:space="preserve"> </w:t>
                  </w:r>
                  <w:r>
                    <w:rPr>
                      <w:spacing w:val="8"/>
                      <w:sz w:val="20"/>
                      <w:szCs w:val="20"/>
                    </w:rPr>
                    <w:t>线</w:t>
                  </w:r>
                </w:p>
              </w:tc>
              <w:tc>
                <w:tcPr>
                  <w:tcW w:w="3460" w:type="dxa"/>
                  <w:gridSpan w:val="2"/>
                  <w:vAlign w:val="top"/>
                </w:tcPr>
                <w:p w14:paraId="7F509022">
                  <w:pPr>
                    <w:pStyle w:val="6"/>
                    <w:spacing w:before="36" w:line="248" w:lineRule="auto"/>
                    <w:ind w:left="149" w:right="106" w:hanging="22"/>
                    <w:jc w:val="both"/>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7"/>
                      <w:sz w:val="20"/>
                      <w:szCs w:val="20"/>
                    </w:rPr>
                    <w:t xml:space="preserve"> </w:t>
                  </w:r>
                  <w:r>
                    <w:rPr>
                      <w:spacing w:val="6"/>
                      <w:sz w:val="20"/>
                      <w:szCs w:val="20"/>
                    </w:rPr>
                    <w:t>、输变电建设项目选址选线应符合</w:t>
                  </w:r>
                  <w:r>
                    <w:rPr>
                      <w:sz w:val="20"/>
                      <w:szCs w:val="20"/>
                    </w:rPr>
                    <w:t xml:space="preserve"> </w:t>
                  </w:r>
                  <w:r>
                    <w:rPr>
                      <w:spacing w:val="10"/>
                      <w:sz w:val="20"/>
                      <w:szCs w:val="20"/>
                    </w:rPr>
                    <w:t>生态保护红线管控要求，避让自然</w:t>
                  </w:r>
                  <w:r>
                    <w:rPr>
                      <w:sz w:val="20"/>
                      <w:szCs w:val="20"/>
                    </w:rPr>
                    <w:t xml:space="preserve"> </w:t>
                  </w:r>
                  <w:r>
                    <w:rPr>
                      <w:spacing w:val="10"/>
                      <w:sz w:val="20"/>
                      <w:szCs w:val="20"/>
                    </w:rPr>
                    <w:t>保护区、饮用水水源保护区等环境</w:t>
                  </w:r>
                  <w:r>
                    <w:rPr>
                      <w:sz w:val="20"/>
                      <w:szCs w:val="20"/>
                    </w:rPr>
                    <w:t xml:space="preserve"> </w:t>
                  </w:r>
                  <w:r>
                    <w:rPr>
                      <w:spacing w:val="10"/>
                      <w:sz w:val="20"/>
                      <w:szCs w:val="20"/>
                    </w:rPr>
                    <w:t>敏感区。确实因自然条件等因素限</w:t>
                  </w:r>
                  <w:r>
                    <w:rPr>
                      <w:sz w:val="20"/>
                      <w:szCs w:val="20"/>
                    </w:rPr>
                    <w:t xml:space="preserve"> </w:t>
                  </w:r>
                  <w:r>
                    <w:rPr>
                      <w:spacing w:val="10"/>
                      <w:sz w:val="20"/>
                      <w:szCs w:val="20"/>
                    </w:rPr>
                    <w:t>制无法避让自然保护区实验区、饮</w:t>
                  </w:r>
                  <w:r>
                    <w:rPr>
                      <w:sz w:val="20"/>
                      <w:szCs w:val="20"/>
                    </w:rPr>
                    <w:t xml:space="preserve"> </w:t>
                  </w:r>
                  <w:r>
                    <w:rPr>
                      <w:spacing w:val="10"/>
                      <w:sz w:val="20"/>
                      <w:szCs w:val="20"/>
                    </w:rPr>
                    <w:t>用水水源二级保护区等环境敏感区</w:t>
                  </w:r>
                  <w:r>
                    <w:rPr>
                      <w:sz w:val="20"/>
                      <w:szCs w:val="20"/>
                    </w:rPr>
                    <w:t xml:space="preserve"> </w:t>
                  </w:r>
                  <w:r>
                    <w:rPr>
                      <w:spacing w:val="7"/>
                      <w:sz w:val="20"/>
                      <w:szCs w:val="20"/>
                    </w:rPr>
                    <w:t>的输电线路</w:t>
                  </w:r>
                  <w:r>
                    <w:rPr>
                      <w:rFonts w:ascii="Times New Roman" w:hAnsi="Times New Roman" w:eastAsia="Times New Roman" w:cs="Times New Roman"/>
                      <w:spacing w:val="7"/>
                      <w:sz w:val="20"/>
                      <w:szCs w:val="20"/>
                    </w:rPr>
                    <w:t>,</w:t>
                  </w:r>
                  <w:r>
                    <w:rPr>
                      <w:spacing w:val="7"/>
                      <w:sz w:val="20"/>
                      <w:szCs w:val="20"/>
                    </w:rPr>
                    <w:t>应在满足相关法律法规</w:t>
                  </w:r>
                  <w:r>
                    <w:rPr>
                      <w:spacing w:val="11"/>
                      <w:sz w:val="20"/>
                      <w:szCs w:val="20"/>
                    </w:rPr>
                    <w:t xml:space="preserve"> </w:t>
                  </w:r>
                  <w:r>
                    <w:rPr>
                      <w:spacing w:val="10"/>
                      <w:sz w:val="20"/>
                      <w:szCs w:val="20"/>
                    </w:rPr>
                    <w:t>及管理要求的前提下对线路方案进</w:t>
                  </w:r>
                  <w:r>
                    <w:rPr>
                      <w:sz w:val="20"/>
                      <w:szCs w:val="20"/>
                    </w:rPr>
                    <w:t xml:space="preserve"> </w:t>
                  </w:r>
                  <w:r>
                    <w:rPr>
                      <w:spacing w:val="10"/>
                      <w:sz w:val="20"/>
                      <w:szCs w:val="20"/>
                    </w:rPr>
                    <w:t>行唯一性论证，并采取无害化方式</w:t>
                  </w:r>
                </w:p>
                <w:p w14:paraId="5A1DEFE6">
                  <w:pPr>
                    <w:pStyle w:val="6"/>
                    <w:spacing w:before="27" w:line="235" w:lineRule="auto"/>
                    <w:ind w:left="1419"/>
                    <w:rPr>
                      <w:sz w:val="20"/>
                      <w:szCs w:val="20"/>
                    </w:rPr>
                  </w:pPr>
                  <w:r>
                    <w:rPr>
                      <w:spacing w:val="3"/>
                      <w:sz w:val="20"/>
                      <w:szCs w:val="20"/>
                    </w:rPr>
                    <w:t>通过。</w:t>
                  </w:r>
                </w:p>
                <w:p w14:paraId="20910999">
                  <w:pPr>
                    <w:pStyle w:val="6"/>
                    <w:spacing w:before="17"/>
                    <w:ind w:left="1001" w:right="106" w:hanging="894"/>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23"/>
                      <w:sz w:val="20"/>
                      <w:szCs w:val="20"/>
                    </w:rPr>
                    <w:t xml:space="preserve"> </w:t>
                  </w:r>
                  <w:r>
                    <w:rPr>
                      <w:spacing w:val="6"/>
                      <w:sz w:val="20"/>
                      <w:szCs w:val="20"/>
                    </w:rPr>
                    <w:t>、原则上避免在</w:t>
                  </w:r>
                  <w:r>
                    <w:rPr>
                      <w:spacing w:val="-40"/>
                      <w:sz w:val="20"/>
                      <w:szCs w:val="20"/>
                    </w:rPr>
                    <w:t xml:space="preserve"> </w:t>
                  </w:r>
                  <w:r>
                    <w:rPr>
                      <w:rFonts w:ascii="Times New Roman" w:hAnsi="Times New Roman" w:eastAsia="Times New Roman" w:cs="Times New Roman"/>
                      <w:spacing w:val="6"/>
                      <w:sz w:val="20"/>
                      <w:szCs w:val="20"/>
                    </w:rPr>
                    <w:t xml:space="preserve">0 </w:t>
                  </w:r>
                  <w:r>
                    <w:rPr>
                      <w:spacing w:val="6"/>
                      <w:sz w:val="20"/>
                      <w:szCs w:val="20"/>
                    </w:rPr>
                    <w:t>类声环境功能区</w:t>
                  </w:r>
                  <w:r>
                    <w:rPr>
                      <w:sz w:val="20"/>
                      <w:szCs w:val="20"/>
                    </w:rPr>
                    <w:t xml:space="preserve"> </w:t>
                  </w:r>
                  <w:r>
                    <w:rPr>
                      <w:spacing w:val="6"/>
                      <w:sz w:val="20"/>
                      <w:szCs w:val="20"/>
                    </w:rPr>
                    <w:t>建设变电工程。</w:t>
                  </w:r>
                </w:p>
                <w:p w14:paraId="39F2D356">
                  <w:pPr>
                    <w:pStyle w:val="6"/>
                    <w:spacing w:before="24"/>
                    <w:ind w:left="112" w:right="36" w:hanging="1"/>
                    <w:rPr>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27"/>
                      <w:sz w:val="20"/>
                      <w:szCs w:val="20"/>
                    </w:rPr>
                    <w:t xml:space="preserve"> </w:t>
                  </w:r>
                  <w:r>
                    <w:rPr>
                      <w:spacing w:val="7"/>
                      <w:sz w:val="20"/>
                      <w:szCs w:val="20"/>
                    </w:rPr>
                    <w:t>、变电工程选址时，应综合考虑减</w:t>
                  </w:r>
                  <w:r>
                    <w:rPr>
                      <w:sz w:val="20"/>
                      <w:szCs w:val="20"/>
                    </w:rPr>
                    <w:t xml:space="preserve"> </w:t>
                  </w:r>
                  <w:r>
                    <w:rPr>
                      <w:spacing w:val="12"/>
                      <w:sz w:val="20"/>
                      <w:szCs w:val="20"/>
                    </w:rPr>
                    <w:t>少土地占用、植被砍伐和弃土弃渣</w:t>
                  </w:r>
                  <w:r>
                    <w:rPr>
                      <w:spacing w:val="3"/>
                      <w:sz w:val="20"/>
                      <w:szCs w:val="20"/>
                    </w:rPr>
                    <w:t xml:space="preserve">  </w:t>
                  </w:r>
                  <w:r>
                    <w:rPr>
                      <w:spacing w:val="6"/>
                      <w:sz w:val="20"/>
                      <w:szCs w:val="20"/>
                    </w:rPr>
                    <w:t>等，以减少对生态环境的不利影响。</w:t>
                  </w:r>
                </w:p>
              </w:tc>
              <w:tc>
                <w:tcPr>
                  <w:tcW w:w="3046" w:type="dxa"/>
                  <w:gridSpan w:val="3"/>
                  <w:vAlign w:val="top"/>
                </w:tcPr>
                <w:p w14:paraId="58B9FB53">
                  <w:pPr>
                    <w:spacing w:line="372" w:lineRule="auto"/>
                    <w:rPr>
                      <w:rFonts w:ascii="Arial"/>
                      <w:sz w:val="21"/>
                    </w:rPr>
                  </w:pPr>
                </w:p>
                <w:p w14:paraId="4B21E28F">
                  <w:pPr>
                    <w:pStyle w:val="6"/>
                    <w:spacing w:before="65" w:line="239" w:lineRule="auto"/>
                    <w:ind w:left="272" w:right="104" w:hanging="142"/>
                    <w:rPr>
                      <w:sz w:val="20"/>
                      <w:szCs w:val="20"/>
                    </w:rPr>
                  </w:pPr>
                  <w:r>
                    <w:rPr>
                      <w:rFonts w:ascii="Times New Roman" w:hAnsi="Times New Roman" w:eastAsia="Times New Roman" w:cs="Times New Roman"/>
                      <w:spacing w:val="-1"/>
                      <w:sz w:val="20"/>
                      <w:szCs w:val="20"/>
                    </w:rPr>
                    <w:t>1</w:t>
                  </w:r>
                  <w:r>
                    <w:rPr>
                      <w:spacing w:val="-1"/>
                      <w:sz w:val="20"/>
                      <w:szCs w:val="20"/>
                    </w:rPr>
                    <w:t>、项目升压站、</w:t>
                  </w:r>
                  <w:r>
                    <w:rPr>
                      <w:rFonts w:ascii="Times New Roman" w:hAnsi="Times New Roman" w:eastAsia="Times New Roman" w:cs="Times New Roman"/>
                      <w:spacing w:val="-1"/>
                      <w:sz w:val="20"/>
                      <w:szCs w:val="20"/>
                    </w:rPr>
                    <w:t>35kV</w:t>
                  </w:r>
                  <w:r>
                    <w:rPr>
                      <w:rFonts w:ascii="Times New Roman" w:hAnsi="Times New Roman" w:eastAsia="Times New Roman" w:cs="Times New Roman"/>
                      <w:spacing w:val="25"/>
                      <w:w w:val="101"/>
                      <w:sz w:val="20"/>
                      <w:szCs w:val="20"/>
                    </w:rPr>
                    <w:t xml:space="preserve"> </w:t>
                  </w:r>
                  <w:r>
                    <w:rPr>
                      <w:spacing w:val="-1"/>
                      <w:sz w:val="20"/>
                      <w:szCs w:val="20"/>
                    </w:rPr>
                    <w:t>场内集电</w:t>
                  </w:r>
                  <w:r>
                    <w:rPr>
                      <w:sz w:val="20"/>
                      <w:szCs w:val="20"/>
                    </w:rPr>
                    <w:t xml:space="preserve"> </w:t>
                  </w:r>
                  <w:r>
                    <w:rPr>
                      <w:spacing w:val="8"/>
                      <w:sz w:val="20"/>
                      <w:szCs w:val="20"/>
                    </w:rPr>
                    <w:t>线路用地不占用生态保护红</w:t>
                  </w:r>
                </w:p>
                <w:p w14:paraId="4FC63472">
                  <w:pPr>
                    <w:pStyle w:val="6"/>
                    <w:spacing w:before="24"/>
                    <w:ind w:left="271" w:right="155" w:hanging="104"/>
                    <w:rPr>
                      <w:sz w:val="20"/>
                      <w:szCs w:val="20"/>
                    </w:rPr>
                  </w:pPr>
                  <w:r>
                    <w:rPr>
                      <w:spacing w:val="9"/>
                      <w:sz w:val="20"/>
                      <w:szCs w:val="20"/>
                    </w:rPr>
                    <w:t>线，也不涉及自然保护区、饮</w:t>
                  </w:r>
                  <w:r>
                    <w:rPr>
                      <w:sz w:val="20"/>
                      <w:szCs w:val="20"/>
                    </w:rPr>
                    <w:t xml:space="preserve"> </w:t>
                  </w:r>
                  <w:r>
                    <w:rPr>
                      <w:spacing w:val="8"/>
                      <w:sz w:val="20"/>
                      <w:szCs w:val="20"/>
                    </w:rPr>
                    <w:t>用水水源保护区等环境敏感</w:t>
                  </w:r>
                </w:p>
                <w:p w14:paraId="0DEBAD31">
                  <w:pPr>
                    <w:pStyle w:val="6"/>
                    <w:spacing w:before="24" w:line="233" w:lineRule="auto"/>
                    <w:ind w:left="1334"/>
                    <w:rPr>
                      <w:sz w:val="20"/>
                      <w:szCs w:val="20"/>
                    </w:rPr>
                  </w:pPr>
                  <w:r>
                    <w:rPr>
                      <w:spacing w:val="-8"/>
                      <w:sz w:val="20"/>
                      <w:szCs w:val="20"/>
                    </w:rPr>
                    <w:t>区。</w:t>
                  </w:r>
                </w:p>
                <w:p w14:paraId="6871E13F">
                  <w:pPr>
                    <w:pStyle w:val="6"/>
                    <w:spacing w:before="21" w:line="241" w:lineRule="auto"/>
                    <w:ind w:left="1113" w:right="104" w:hanging="1003"/>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23"/>
                      <w:sz w:val="20"/>
                      <w:szCs w:val="20"/>
                    </w:rPr>
                    <w:t xml:space="preserve"> </w:t>
                  </w:r>
                  <w:r>
                    <w:rPr>
                      <w:spacing w:val="6"/>
                      <w:sz w:val="20"/>
                      <w:szCs w:val="20"/>
                    </w:rPr>
                    <w:t>、项目升压站位于</w:t>
                  </w:r>
                  <w:r>
                    <w:rPr>
                      <w:spacing w:val="-43"/>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类声环境</w:t>
                  </w:r>
                  <w:r>
                    <w:rPr>
                      <w:sz w:val="20"/>
                      <w:szCs w:val="20"/>
                    </w:rPr>
                    <w:t xml:space="preserve"> </w:t>
                  </w:r>
                  <w:r>
                    <w:rPr>
                      <w:spacing w:val="4"/>
                      <w:sz w:val="20"/>
                      <w:szCs w:val="20"/>
                    </w:rPr>
                    <w:t>功能区。</w:t>
                  </w:r>
                </w:p>
                <w:p w14:paraId="323F8FE7">
                  <w:pPr>
                    <w:pStyle w:val="6"/>
                    <w:spacing w:before="23" w:line="243" w:lineRule="auto"/>
                    <w:ind w:left="114" w:right="50"/>
                    <w:rPr>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28"/>
                      <w:sz w:val="20"/>
                      <w:szCs w:val="20"/>
                    </w:rPr>
                    <w:t xml:space="preserve"> </w:t>
                  </w:r>
                  <w:r>
                    <w:rPr>
                      <w:spacing w:val="7"/>
                      <w:sz w:val="20"/>
                      <w:szCs w:val="20"/>
                    </w:rPr>
                    <w:t>、项目升压站选址时，已考虑</w:t>
                  </w:r>
                  <w:r>
                    <w:rPr>
                      <w:sz w:val="20"/>
                      <w:szCs w:val="20"/>
                    </w:rPr>
                    <w:t xml:space="preserve"> </w:t>
                  </w:r>
                  <w:r>
                    <w:rPr>
                      <w:spacing w:val="13"/>
                      <w:sz w:val="20"/>
                      <w:szCs w:val="20"/>
                    </w:rPr>
                    <w:t>减少土地占用、植被砍伐和弃</w:t>
                  </w:r>
                  <w:r>
                    <w:rPr>
                      <w:sz w:val="20"/>
                      <w:szCs w:val="20"/>
                    </w:rPr>
                    <w:t xml:space="preserve">  </w:t>
                  </w:r>
                  <w:r>
                    <w:rPr>
                      <w:spacing w:val="5"/>
                      <w:sz w:val="20"/>
                      <w:szCs w:val="20"/>
                    </w:rPr>
                    <w:t>土弃渣等问题，总体布局紧凑，</w:t>
                  </w:r>
                </w:p>
                <w:p w14:paraId="6D3EA6D7">
                  <w:pPr>
                    <w:pStyle w:val="6"/>
                    <w:spacing w:before="26"/>
                    <w:ind w:left="372" w:right="260" w:hanging="102"/>
                    <w:rPr>
                      <w:sz w:val="20"/>
                      <w:szCs w:val="20"/>
                    </w:rPr>
                  </w:pPr>
                  <w:r>
                    <w:rPr>
                      <w:spacing w:val="9"/>
                      <w:sz w:val="20"/>
                      <w:szCs w:val="20"/>
                    </w:rPr>
                    <w:t>通过落实环评提出的各项措</w:t>
                  </w:r>
                  <w:r>
                    <w:rPr>
                      <w:sz w:val="20"/>
                      <w:szCs w:val="20"/>
                    </w:rPr>
                    <w:t xml:space="preserve"> </w:t>
                  </w:r>
                  <w:r>
                    <w:rPr>
                      <w:spacing w:val="8"/>
                      <w:sz w:val="20"/>
                      <w:szCs w:val="20"/>
                    </w:rPr>
                    <w:t>施，生态环境影响较小。</w:t>
                  </w:r>
                </w:p>
              </w:tc>
              <w:tc>
                <w:tcPr>
                  <w:tcW w:w="759" w:type="dxa"/>
                  <w:vAlign w:val="top"/>
                </w:tcPr>
                <w:p w14:paraId="6470609F">
                  <w:pPr>
                    <w:spacing w:line="265" w:lineRule="auto"/>
                    <w:rPr>
                      <w:rFonts w:ascii="Arial"/>
                      <w:sz w:val="21"/>
                    </w:rPr>
                  </w:pPr>
                </w:p>
                <w:p w14:paraId="27314543">
                  <w:pPr>
                    <w:spacing w:line="265" w:lineRule="auto"/>
                    <w:rPr>
                      <w:rFonts w:ascii="Arial"/>
                      <w:sz w:val="21"/>
                    </w:rPr>
                  </w:pPr>
                </w:p>
                <w:p w14:paraId="45F8309D">
                  <w:pPr>
                    <w:spacing w:line="266" w:lineRule="auto"/>
                    <w:rPr>
                      <w:rFonts w:ascii="Arial"/>
                      <w:sz w:val="21"/>
                    </w:rPr>
                  </w:pPr>
                </w:p>
                <w:p w14:paraId="2241E442">
                  <w:pPr>
                    <w:spacing w:line="266" w:lineRule="auto"/>
                    <w:rPr>
                      <w:rFonts w:ascii="Arial"/>
                      <w:sz w:val="21"/>
                    </w:rPr>
                  </w:pPr>
                </w:p>
                <w:p w14:paraId="2C105A4F">
                  <w:pPr>
                    <w:spacing w:line="266" w:lineRule="auto"/>
                    <w:rPr>
                      <w:rFonts w:ascii="Arial"/>
                      <w:sz w:val="21"/>
                    </w:rPr>
                  </w:pPr>
                </w:p>
                <w:p w14:paraId="6A422246">
                  <w:pPr>
                    <w:spacing w:line="266" w:lineRule="auto"/>
                    <w:rPr>
                      <w:rFonts w:ascii="Arial"/>
                      <w:sz w:val="21"/>
                    </w:rPr>
                  </w:pPr>
                </w:p>
                <w:p w14:paraId="6407CB4E">
                  <w:pPr>
                    <w:spacing w:line="266" w:lineRule="auto"/>
                    <w:rPr>
                      <w:rFonts w:ascii="Arial"/>
                      <w:sz w:val="21"/>
                    </w:rPr>
                  </w:pPr>
                </w:p>
                <w:p w14:paraId="02AA2B05">
                  <w:pPr>
                    <w:pStyle w:val="6"/>
                    <w:spacing w:before="65" w:line="228" w:lineRule="auto"/>
                    <w:ind w:left="175"/>
                    <w:rPr>
                      <w:sz w:val="20"/>
                      <w:szCs w:val="20"/>
                    </w:rPr>
                  </w:pPr>
                  <w:r>
                    <w:rPr>
                      <w:spacing w:val="3"/>
                      <w:sz w:val="20"/>
                      <w:szCs w:val="20"/>
                    </w:rPr>
                    <w:t>符合</w:t>
                  </w:r>
                </w:p>
              </w:tc>
            </w:tr>
            <w:tr w14:paraId="68F62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2" w:hRule="atLeast"/>
              </w:trPr>
              <w:tc>
                <w:tcPr>
                  <w:tcW w:w="692" w:type="dxa"/>
                  <w:tcBorders>
                    <w:bottom w:val="nil"/>
                  </w:tcBorders>
                  <w:textDirection w:val="tbRlV"/>
                  <w:vAlign w:val="top"/>
                </w:tcPr>
                <w:p w14:paraId="0358EF64">
                  <w:pPr>
                    <w:pStyle w:val="6"/>
                    <w:spacing w:before="181" w:line="217" w:lineRule="auto"/>
                    <w:ind w:left="2344"/>
                    <w:rPr>
                      <w:sz w:val="20"/>
                      <w:szCs w:val="20"/>
                    </w:rPr>
                  </w:pPr>
                  <w:r>
                    <w:rPr>
                      <w:spacing w:val="8"/>
                      <w:sz w:val="20"/>
                      <w:szCs w:val="20"/>
                    </w:rPr>
                    <w:t>设</w:t>
                  </w:r>
                  <w:r>
                    <w:rPr>
                      <w:spacing w:val="-38"/>
                      <w:sz w:val="20"/>
                      <w:szCs w:val="20"/>
                    </w:rPr>
                    <w:t xml:space="preserve"> </w:t>
                  </w:r>
                  <w:r>
                    <w:rPr>
                      <w:spacing w:val="8"/>
                      <w:sz w:val="20"/>
                      <w:szCs w:val="20"/>
                    </w:rPr>
                    <w:t>计</w:t>
                  </w:r>
                </w:p>
              </w:tc>
              <w:tc>
                <w:tcPr>
                  <w:tcW w:w="3460" w:type="dxa"/>
                  <w:gridSpan w:val="2"/>
                  <w:tcBorders>
                    <w:bottom w:val="nil"/>
                  </w:tcBorders>
                  <w:vAlign w:val="top"/>
                </w:tcPr>
                <w:p w14:paraId="2248F958">
                  <w:pPr>
                    <w:pStyle w:val="6"/>
                    <w:spacing w:before="33" w:line="245" w:lineRule="auto"/>
                    <w:ind w:left="160" w:right="106" w:hanging="33"/>
                    <w:jc w:val="both"/>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7"/>
                      <w:sz w:val="20"/>
                      <w:szCs w:val="20"/>
                    </w:rPr>
                    <w:t xml:space="preserve"> </w:t>
                  </w:r>
                  <w:r>
                    <w:rPr>
                      <w:spacing w:val="6"/>
                      <w:sz w:val="20"/>
                      <w:szCs w:val="20"/>
                    </w:rPr>
                    <w:t>、变电工程应设置足够容量的事故</w:t>
                  </w:r>
                  <w:r>
                    <w:rPr>
                      <w:sz w:val="20"/>
                      <w:szCs w:val="20"/>
                    </w:rPr>
                    <w:t xml:space="preserve"> </w:t>
                  </w:r>
                  <w:r>
                    <w:rPr>
                      <w:spacing w:val="9"/>
                      <w:sz w:val="20"/>
                      <w:szCs w:val="20"/>
                    </w:rPr>
                    <w:t>油池及其配套的拦截、防雨、防渗</w:t>
                  </w:r>
                  <w:r>
                    <w:rPr>
                      <w:spacing w:val="3"/>
                      <w:sz w:val="20"/>
                      <w:szCs w:val="20"/>
                    </w:rPr>
                    <w:t xml:space="preserve"> </w:t>
                  </w:r>
                  <w:r>
                    <w:rPr>
                      <w:spacing w:val="9"/>
                      <w:sz w:val="20"/>
                      <w:szCs w:val="20"/>
                    </w:rPr>
                    <w:t>等措施和设施。一旦发生泄漏，应</w:t>
                  </w:r>
                  <w:r>
                    <w:rPr>
                      <w:spacing w:val="3"/>
                      <w:sz w:val="20"/>
                      <w:szCs w:val="20"/>
                    </w:rPr>
                    <w:t xml:space="preserve"> </w:t>
                  </w:r>
                  <w:r>
                    <w:rPr>
                      <w:spacing w:val="9"/>
                      <w:sz w:val="20"/>
                      <w:szCs w:val="20"/>
                    </w:rPr>
                    <w:t>能及时进行拦截和处理，确保油及</w:t>
                  </w:r>
                </w:p>
                <w:p w14:paraId="7258C2C6">
                  <w:pPr>
                    <w:pStyle w:val="6"/>
                    <w:spacing w:before="25" w:line="228" w:lineRule="auto"/>
                    <w:ind w:left="268"/>
                    <w:rPr>
                      <w:sz w:val="20"/>
                      <w:szCs w:val="20"/>
                    </w:rPr>
                  </w:pPr>
                  <w:r>
                    <w:rPr>
                      <w:spacing w:val="8"/>
                      <w:sz w:val="20"/>
                      <w:szCs w:val="20"/>
                    </w:rPr>
                    <w:t>油水混合物全部收集、不外排。</w:t>
                  </w:r>
                </w:p>
                <w:p w14:paraId="6428EC37">
                  <w:pPr>
                    <w:pStyle w:val="6"/>
                    <w:spacing w:before="22" w:line="249" w:lineRule="auto"/>
                    <w:ind w:left="112" w:right="36" w:hanging="5"/>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23"/>
                      <w:sz w:val="20"/>
                      <w:szCs w:val="20"/>
                    </w:rPr>
                    <w:t xml:space="preserve"> </w:t>
                  </w:r>
                  <w:r>
                    <w:rPr>
                      <w:spacing w:val="7"/>
                      <w:sz w:val="20"/>
                      <w:szCs w:val="20"/>
                    </w:rPr>
                    <w:t>、变电工程站内产生的生活污水宜</w:t>
                  </w:r>
                  <w:r>
                    <w:rPr>
                      <w:sz w:val="20"/>
                      <w:szCs w:val="20"/>
                    </w:rPr>
                    <w:t xml:space="preserve"> </w:t>
                  </w:r>
                  <w:r>
                    <w:rPr>
                      <w:spacing w:val="12"/>
                      <w:sz w:val="20"/>
                      <w:szCs w:val="20"/>
                    </w:rPr>
                    <w:t>考虑处理后纳入城市污水管网；不</w:t>
                  </w:r>
                  <w:r>
                    <w:rPr>
                      <w:spacing w:val="3"/>
                      <w:sz w:val="20"/>
                      <w:szCs w:val="20"/>
                    </w:rPr>
                    <w:t xml:space="preserve">  </w:t>
                  </w:r>
                  <w:r>
                    <w:rPr>
                      <w:spacing w:val="12"/>
                      <w:sz w:val="20"/>
                      <w:szCs w:val="20"/>
                    </w:rPr>
                    <w:t>具备纳入城市污水管网条件的变电</w:t>
                  </w:r>
                  <w:r>
                    <w:rPr>
                      <w:spacing w:val="3"/>
                      <w:sz w:val="20"/>
                      <w:szCs w:val="20"/>
                    </w:rPr>
                    <w:t xml:space="preserve">  </w:t>
                  </w:r>
                  <w:r>
                    <w:rPr>
                      <w:spacing w:val="12"/>
                      <w:sz w:val="20"/>
                      <w:szCs w:val="20"/>
                    </w:rPr>
                    <w:t>工程，应根据站内生活污水产生情</w:t>
                  </w:r>
                  <w:r>
                    <w:rPr>
                      <w:spacing w:val="3"/>
                      <w:sz w:val="20"/>
                      <w:szCs w:val="20"/>
                    </w:rPr>
                    <w:t xml:space="preserve">  </w:t>
                  </w:r>
                  <w:r>
                    <w:rPr>
                      <w:spacing w:val="6"/>
                      <w:sz w:val="20"/>
                      <w:szCs w:val="20"/>
                    </w:rPr>
                    <w:t>况设置生活污水处理装置（化粪池、</w:t>
                  </w:r>
                  <w:r>
                    <w:rPr>
                      <w:spacing w:val="8"/>
                      <w:sz w:val="20"/>
                      <w:szCs w:val="20"/>
                    </w:rPr>
                    <w:t xml:space="preserve"> </w:t>
                  </w:r>
                  <w:r>
                    <w:rPr>
                      <w:spacing w:val="13"/>
                      <w:sz w:val="20"/>
                      <w:szCs w:val="20"/>
                    </w:rPr>
                    <w:t>地埋式污水处理装置、回用水池、</w:t>
                  </w:r>
                  <w:r>
                    <w:rPr>
                      <w:spacing w:val="2"/>
                      <w:sz w:val="20"/>
                      <w:szCs w:val="20"/>
                    </w:rPr>
                    <w:t xml:space="preserve">  </w:t>
                  </w:r>
                  <w:r>
                    <w:rPr>
                      <w:spacing w:val="11"/>
                      <w:sz w:val="20"/>
                      <w:szCs w:val="20"/>
                    </w:rPr>
                    <w:t>蒸发池等</w:t>
                  </w:r>
                  <w:r>
                    <w:rPr>
                      <w:spacing w:val="21"/>
                      <w:sz w:val="20"/>
                      <w:szCs w:val="20"/>
                    </w:rPr>
                    <w:t>），</w:t>
                  </w:r>
                  <w:r>
                    <w:rPr>
                      <w:spacing w:val="11"/>
                      <w:sz w:val="20"/>
                      <w:szCs w:val="20"/>
                    </w:rPr>
                    <w:t>生活污水经处理后回</w:t>
                  </w:r>
                  <w:r>
                    <w:rPr>
                      <w:sz w:val="20"/>
                      <w:szCs w:val="20"/>
                    </w:rPr>
                    <w:t xml:space="preserve">  </w:t>
                  </w:r>
                  <w:r>
                    <w:rPr>
                      <w:spacing w:val="12"/>
                      <w:sz w:val="20"/>
                      <w:szCs w:val="20"/>
                    </w:rPr>
                    <w:t>收利用、定期清理或外排，外排时</w:t>
                  </w:r>
                  <w:r>
                    <w:rPr>
                      <w:spacing w:val="3"/>
                      <w:sz w:val="20"/>
                      <w:szCs w:val="20"/>
                    </w:rPr>
                    <w:t xml:space="preserve">  </w:t>
                  </w:r>
                  <w:r>
                    <w:rPr>
                      <w:spacing w:val="12"/>
                      <w:sz w:val="20"/>
                      <w:szCs w:val="20"/>
                    </w:rPr>
                    <w:t>应严格执行相应的国家和地方水污</w:t>
                  </w:r>
                </w:p>
                <w:p w14:paraId="0000AED3">
                  <w:pPr>
                    <w:pStyle w:val="6"/>
                    <w:spacing w:before="24" w:line="228" w:lineRule="auto"/>
                    <w:ind w:left="582"/>
                    <w:rPr>
                      <w:sz w:val="20"/>
                      <w:szCs w:val="20"/>
                    </w:rPr>
                  </w:pPr>
                  <w:r>
                    <w:rPr>
                      <w:spacing w:val="7"/>
                      <w:sz w:val="20"/>
                      <w:szCs w:val="20"/>
                    </w:rPr>
                    <w:t>染物排放标准相关要求。</w:t>
                  </w:r>
                </w:p>
                <w:p w14:paraId="1D303E7A">
                  <w:pPr>
                    <w:pStyle w:val="6"/>
                    <w:spacing w:before="27" w:line="245" w:lineRule="auto"/>
                    <w:ind w:left="158" w:right="106" w:hanging="47"/>
                    <w:rPr>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27"/>
                      <w:sz w:val="20"/>
                      <w:szCs w:val="20"/>
                    </w:rPr>
                    <w:t xml:space="preserve"> </w:t>
                  </w:r>
                  <w:r>
                    <w:rPr>
                      <w:spacing w:val="7"/>
                      <w:sz w:val="20"/>
                      <w:szCs w:val="20"/>
                    </w:rPr>
                    <w:t>、输电线路应因地制宜合理选择塔</w:t>
                  </w:r>
                  <w:r>
                    <w:rPr>
                      <w:sz w:val="20"/>
                      <w:szCs w:val="20"/>
                    </w:rPr>
                    <w:t xml:space="preserve"> </w:t>
                  </w:r>
                  <w:r>
                    <w:rPr>
                      <w:spacing w:val="9"/>
                      <w:sz w:val="20"/>
                      <w:szCs w:val="20"/>
                    </w:rPr>
                    <w:t>基基础，在山丘区应采用全方位长</w:t>
                  </w:r>
                  <w:r>
                    <w:rPr>
                      <w:spacing w:val="4"/>
                      <w:sz w:val="20"/>
                      <w:szCs w:val="20"/>
                    </w:rPr>
                    <w:t xml:space="preserve"> </w:t>
                  </w:r>
                  <w:r>
                    <w:rPr>
                      <w:spacing w:val="9"/>
                      <w:sz w:val="20"/>
                      <w:szCs w:val="20"/>
                    </w:rPr>
                    <w:t>短腿与不等高基础设计，以减少土</w:t>
                  </w:r>
                  <w:r>
                    <w:rPr>
                      <w:spacing w:val="4"/>
                      <w:sz w:val="20"/>
                      <w:szCs w:val="20"/>
                    </w:rPr>
                    <w:t xml:space="preserve"> </w:t>
                  </w:r>
                  <w:r>
                    <w:rPr>
                      <w:spacing w:val="9"/>
                      <w:sz w:val="20"/>
                      <w:szCs w:val="20"/>
                    </w:rPr>
                    <w:t>石方开挖。输电线路无法避让集中</w:t>
                  </w:r>
                </w:p>
              </w:tc>
              <w:tc>
                <w:tcPr>
                  <w:tcW w:w="3046" w:type="dxa"/>
                  <w:gridSpan w:val="3"/>
                  <w:tcBorders>
                    <w:bottom w:val="nil"/>
                  </w:tcBorders>
                  <w:vAlign w:val="top"/>
                </w:tcPr>
                <w:p w14:paraId="0DCA2C0F">
                  <w:pPr>
                    <w:spacing w:line="320" w:lineRule="auto"/>
                    <w:rPr>
                      <w:rFonts w:ascii="Arial"/>
                      <w:sz w:val="21"/>
                    </w:rPr>
                  </w:pPr>
                </w:p>
                <w:p w14:paraId="7D47420D">
                  <w:pPr>
                    <w:spacing w:line="320" w:lineRule="auto"/>
                    <w:rPr>
                      <w:rFonts w:ascii="Arial"/>
                      <w:sz w:val="21"/>
                    </w:rPr>
                  </w:pPr>
                </w:p>
                <w:p w14:paraId="39F44D00">
                  <w:pPr>
                    <w:pStyle w:val="6"/>
                    <w:spacing w:before="65" w:line="246" w:lineRule="auto"/>
                    <w:ind w:left="114" w:right="104" w:firstLine="16"/>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8"/>
                      <w:sz w:val="20"/>
                      <w:szCs w:val="20"/>
                    </w:rPr>
                    <w:t xml:space="preserve"> </w:t>
                  </w:r>
                  <w:r>
                    <w:rPr>
                      <w:spacing w:val="3"/>
                      <w:sz w:val="20"/>
                      <w:szCs w:val="20"/>
                    </w:rPr>
                    <w:t>、项目在升压站中部新建</w:t>
                  </w:r>
                  <w:r>
                    <w:rPr>
                      <w:spacing w:val="-23"/>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个</w:t>
                  </w:r>
                  <w:r>
                    <w:rPr>
                      <w:sz w:val="20"/>
                      <w:szCs w:val="20"/>
                    </w:rPr>
                    <w:t xml:space="preserve"> </w:t>
                  </w:r>
                  <w:r>
                    <w:rPr>
                      <w:spacing w:val="6"/>
                      <w:sz w:val="20"/>
                      <w:szCs w:val="20"/>
                    </w:rPr>
                    <w:t>事故油池（容积为</w:t>
                  </w:r>
                  <w:r>
                    <w:rPr>
                      <w:spacing w:val="-38"/>
                      <w:sz w:val="20"/>
                      <w:szCs w:val="20"/>
                    </w:rPr>
                    <w:t xml:space="preserve"> </w:t>
                  </w:r>
                  <w:r>
                    <w:rPr>
                      <w:rFonts w:ascii="Times New Roman" w:hAnsi="Times New Roman" w:eastAsia="Times New Roman" w:cs="Times New Roman"/>
                      <w:spacing w:val="6"/>
                      <w:sz w:val="20"/>
                      <w:szCs w:val="20"/>
                    </w:rPr>
                    <w:t>60m</w:t>
                  </w:r>
                  <w:r>
                    <w:rPr>
                      <w:rFonts w:ascii="Times New Roman" w:hAnsi="Times New Roman" w:eastAsia="Times New Roman" w:cs="Times New Roman"/>
                      <w:spacing w:val="6"/>
                      <w:position w:val="6"/>
                      <w:sz w:val="13"/>
                      <w:szCs w:val="13"/>
                    </w:rPr>
                    <w:t xml:space="preserve">3 </w:t>
                  </w:r>
                  <w:r>
                    <w:rPr>
                      <w:spacing w:val="2"/>
                      <w:sz w:val="20"/>
                      <w:szCs w:val="20"/>
                    </w:rPr>
                    <w:t>），</w:t>
                  </w:r>
                  <w:r>
                    <w:rPr>
                      <w:spacing w:val="6"/>
                      <w:sz w:val="20"/>
                      <w:szCs w:val="20"/>
                    </w:rPr>
                    <w:t>可</w:t>
                  </w:r>
                  <w:r>
                    <w:rPr>
                      <w:sz w:val="20"/>
                      <w:szCs w:val="20"/>
                    </w:rPr>
                    <w:t xml:space="preserve"> </w:t>
                  </w:r>
                  <w:r>
                    <w:rPr>
                      <w:spacing w:val="5"/>
                      <w:sz w:val="20"/>
                      <w:szCs w:val="20"/>
                    </w:rPr>
                    <w:t>满足站内主变</w:t>
                  </w:r>
                  <w:r>
                    <w:rPr>
                      <w:spacing w:val="-21"/>
                      <w:sz w:val="20"/>
                      <w:szCs w:val="20"/>
                    </w:rPr>
                    <w:t xml:space="preserve"> </w:t>
                  </w:r>
                  <w:r>
                    <w:rPr>
                      <w:rFonts w:ascii="Times New Roman" w:hAnsi="Times New Roman" w:eastAsia="Times New Roman" w:cs="Times New Roman"/>
                      <w:spacing w:val="5"/>
                      <w:sz w:val="20"/>
                      <w:szCs w:val="20"/>
                    </w:rPr>
                    <w:t>100%</w:t>
                  </w:r>
                  <w:r>
                    <w:rPr>
                      <w:spacing w:val="5"/>
                      <w:sz w:val="20"/>
                      <w:szCs w:val="20"/>
                    </w:rPr>
                    <w:t>排油需要，</w:t>
                  </w:r>
                  <w:r>
                    <w:rPr>
                      <w:sz w:val="20"/>
                      <w:szCs w:val="20"/>
                    </w:rPr>
                    <w:t xml:space="preserve"> </w:t>
                  </w:r>
                  <w:r>
                    <w:rPr>
                      <w:spacing w:val="12"/>
                      <w:sz w:val="20"/>
                      <w:szCs w:val="20"/>
                    </w:rPr>
                    <w:t>事故油池具有油水分离功能，</w:t>
                  </w:r>
                </w:p>
                <w:p w14:paraId="022B2C70">
                  <w:pPr>
                    <w:pStyle w:val="6"/>
                    <w:spacing w:before="24" w:line="227" w:lineRule="auto"/>
                    <w:ind w:left="478"/>
                    <w:rPr>
                      <w:sz w:val="20"/>
                      <w:szCs w:val="20"/>
                    </w:rPr>
                  </w:pPr>
                  <w:r>
                    <w:rPr>
                      <w:spacing w:val="8"/>
                      <w:sz w:val="20"/>
                      <w:szCs w:val="20"/>
                    </w:rPr>
                    <w:t>采用防雨、防渗措施。</w:t>
                  </w:r>
                </w:p>
                <w:p w14:paraId="1D705616">
                  <w:pPr>
                    <w:pStyle w:val="6"/>
                    <w:spacing w:before="24" w:line="246" w:lineRule="auto"/>
                    <w:ind w:left="163" w:right="137" w:hanging="53"/>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28"/>
                      <w:sz w:val="20"/>
                      <w:szCs w:val="20"/>
                    </w:rPr>
                    <w:t xml:space="preserve"> </w:t>
                  </w:r>
                  <w:r>
                    <w:rPr>
                      <w:spacing w:val="5"/>
                      <w:sz w:val="20"/>
                      <w:szCs w:val="20"/>
                    </w:rPr>
                    <w:t>、项目升压站内设置隔油池、</w:t>
                  </w:r>
                  <w:r>
                    <w:rPr>
                      <w:sz w:val="20"/>
                      <w:szCs w:val="20"/>
                    </w:rPr>
                    <w:t xml:space="preserve"> </w:t>
                  </w:r>
                  <w:r>
                    <w:rPr>
                      <w:spacing w:val="9"/>
                      <w:sz w:val="20"/>
                      <w:szCs w:val="20"/>
                    </w:rPr>
                    <w:t>化粪池、一体化污水处理系统</w:t>
                  </w:r>
                  <w:r>
                    <w:rPr>
                      <w:spacing w:val="3"/>
                      <w:sz w:val="20"/>
                      <w:szCs w:val="20"/>
                    </w:rPr>
                    <w:t xml:space="preserve"> </w:t>
                  </w:r>
                  <w:r>
                    <w:rPr>
                      <w:spacing w:val="9"/>
                      <w:sz w:val="20"/>
                      <w:szCs w:val="20"/>
                    </w:rPr>
                    <w:t>及中水池，生活污水收集处理</w:t>
                  </w:r>
                  <w:r>
                    <w:rPr>
                      <w:spacing w:val="3"/>
                      <w:sz w:val="20"/>
                      <w:szCs w:val="20"/>
                    </w:rPr>
                    <w:t xml:space="preserve"> </w:t>
                  </w:r>
                  <w:r>
                    <w:rPr>
                      <w:spacing w:val="9"/>
                      <w:sz w:val="20"/>
                      <w:szCs w:val="20"/>
                    </w:rPr>
                    <w:t>达回用标准后，全部回用于厂</w:t>
                  </w:r>
                </w:p>
                <w:p w14:paraId="6CF1EBE1">
                  <w:pPr>
                    <w:pStyle w:val="6"/>
                    <w:spacing w:before="27" w:line="228" w:lineRule="auto"/>
                    <w:ind w:left="706"/>
                    <w:rPr>
                      <w:sz w:val="20"/>
                      <w:szCs w:val="20"/>
                    </w:rPr>
                  </w:pPr>
                  <w:r>
                    <w:rPr>
                      <w:spacing w:val="5"/>
                      <w:sz w:val="20"/>
                      <w:szCs w:val="20"/>
                    </w:rPr>
                    <w:t>区绿化，不外排。</w:t>
                  </w:r>
                </w:p>
                <w:p w14:paraId="4B6BC916">
                  <w:pPr>
                    <w:pStyle w:val="6"/>
                    <w:spacing w:before="23" w:line="239" w:lineRule="auto"/>
                    <w:ind w:left="163" w:right="104" w:hanging="49"/>
                    <w:rPr>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28"/>
                      <w:sz w:val="20"/>
                      <w:szCs w:val="20"/>
                    </w:rPr>
                    <w:t xml:space="preserve"> </w:t>
                  </w:r>
                  <w:r>
                    <w:rPr>
                      <w:spacing w:val="7"/>
                      <w:sz w:val="20"/>
                      <w:szCs w:val="20"/>
                    </w:rPr>
                    <w:t>、输电线路在山丘区采用全方</w:t>
                  </w:r>
                  <w:r>
                    <w:rPr>
                      <w:sz w:val="20"/>
                      <w:szCs w:val="20"/>
                    </w:rPr>
                    <w:t xml:space="preserve"> </w:t>
                  </w:r>
                  <w:r>
                    <w:rPr>
                      <w:spacing w:val="8"/>
                      <w:sz w:val="20"/>
                      <w:szCs w:val="20"/>
                    </w:rPr>
                    <w:t>位长短腿与不等高基础设计，</w:t>
                  </w:r>
                </w:p>
                <w:p w14:paraId="2901B5FD">
                  <w:pPr>
                    <w:pStyle w:val="6"/>
                    <w:spacing w:before="27" w:line="239" w:lineRule="auto"/>
                    <w:ind w:left="276" w:right="155" w:hanging="112"/>
                    <w:rPr>
                      <w:sz w:val="20"/>
                      <w:szCs w:val="20"/>
                    </w:rPr>
                  </w:pPr>
                  <w:r>
                    <w:rPr>
                      <w:spacing w:val="9"/>
                      <w:sz w:val="20"/>
                      <w:szCs w:val="20"/>
                    </w:rPr>
                    <w:t>采用增大线路档距、抬高线路</w:t>
                  </w:r>
                  <w:r>
                    <w:rPr>
                      <w:spacing w:val="3"/>
                      <w:sz w:val="20"/>
                      <w:szCs w:val="20"/>
                    </w:rPr>
                    <w:t xml:space="preserve"> </w:t>
                  </w:r>
                  <w:r>
                    <w:rPr>
                      <w:spacing w:val="7"/>
                      <w:sz w:val="20"/>
                      <w:szCs w:val="20"/>
                    </w:rPr>
                    <w:t>高度等方式减少林木砍伐。</w:t>
                  </w:r>
                </w:p>
              </w:tc>
              <w:tc>
                <w:tcPr>
                  <w:tcW w:w="759" w:type="dxa"/>
                  <w:tcBorders>
                    <w:bottom w:val="nil"/>
                  </w:tcBorders>
                  <w:vAlign w:val="top"/>
                </w:tcPr>
                <w:p w14:paraId="1E61ED8A">
                  <w:pPr>
                    <w:rPr>
                      <w:rFonts w:ascii="Arial"/>
                      <w:sz w:val="21"/>
                    </w:rPr>
                  </w:pPr>
                </w:p>
                <w:p w14:paraId="7B712438">
                  <w:pPr>
                    <w:rPr>
                      <w:rFonts w:ascii="Arial"/>
                      <w:sz w:val="21"/>
                    </w:rPr>
                  </w:pPr>
                </w:p>
                <w:p w14:paraId="0A0A24AF">
                  <w:pPr>
                    <w:rPr>
                      <w:rFonts w:ascii="Arial"/>
                      <w:sz w:val="21"/>
                    </w:rPr>
                  </w:pPr>
                </w:p>
                <w:p w14:paraId="2962DA0C">
                  <w:pPr>
                    <w:rPr>
                      <w:rFonts w:ascii="Arial"/>
                      <w:sz w:val="21"/>
                    </w:rPr>
                  </w:pPr>
                </w:p>
                <w:p w14:paraId="7AA8C11F">
                  <w:pPr>
                    <w:rPr>
                      <w:rFonts w:ascii="Arial"/>
                      <w:sz w:val="21"/>
                    </w:rPr>
                  </w:pPr>
                </w:p>
                <w:p w14:paraId="691C8B6E">
                  <w:pPr>
                    <w:rPr>
                      <w:rFonts w:ascii="Arial"/>
                      <w:sz w:val="21"/>
                    </w:rPr>
                  </w:pPr>
                </w:p>
                <w:p w14:paraId="299C844C">
                  <w:pPr>
                    <w:rPr>
                      <w:rFonts w:ascii="Arial"/>
                      <w:sz w:val="21"/>
                    </w:rPr>
                  </w:pPr>
                </w:p>
                <w:p w14:paraId="091C0ECD">
                  <w:pPr>
                    <w:rPr>
                      <w:rFonts w:ascii="Arial"/>
                      <w:sz w:val="21"/>
                    </w:rPr>
                  </w:pPr>
                </w:p>
                <w:p w14:paraId="46F2DB20">
                  <w:pPr>
                    <w:rPr>
                      <w:rFonts w:ascii="Arial"/>
                      <w:sz w:val="21"/>
                    </w:rPr>
                  </w:pPr>
                </w:p>
                <w:p w14:paraId="63C02E06">
                  <w:pPr>
                    <w:spacing w:line="241" w:lineRule="auto"/>
                    <w:rPr>
                      <w:rFonts w:ascii="Arial"/>
                      <w:sz w:val="21"/>
                    </w:rPr>
                  </w:pPr>
                </w:p>
                <w:p w14:paraId="482322DC">
                  <w:pPr>
                    <w:pStyle w:val="6"/>
                    <w:spacing w:before="65" w:line="228" w:lineRule="auto"/>
                    <w:ind w:left="175"/>
                    <w:rPr>
                      <w:sz w:val="20"/>
                      <w:szCs w:val="20"/>
                    </w:rPr>
                  </w:pPr>
                  <w:r>
                    <w:rPr>
                      <w:spacing w:val="3"/>
                      <w:sz w:val="20"/>
                      <w:szCs w:val="20"/>
                    </w:rPr>
                    <w:t>符合</w:t>
                  </w:r>
                </w:p>
              </w:tc>
            </w:tr>
          </w:tbl>
          <w:p w14:paraId="01FEE41A">
            <w:pPr>
              <w:spacing w:line="14" w:lineRule="auto"/>
              <w:rPr>
                <w:rFonts w:ascii="Arial"/>
                <w:sz w:val="2"/>
              </w:rPr>
            </w:pPr>
          </w:p>
        </w:tc>
      </w:tr>
    </w:tbl>
    <w:p w14:paraId="14EE962D">
      <w:pPr>
        <w:rPr>
          <w:rFonts w:ascii="Arial"/>
          <w:sz w:val="21"/>
        </w:rPr>
      </w:pPr>
    </w:p>
    <w:p w14:paraId="5500E0DC">
      <w:pPr>
        <w:rPr>
          <w:rFonts w:ascii="Arial" w:hAnsi="Arial" w:eastAsia="Arial" w:cs="Arial"/>
          <w:sz w:val="21"/>
          <w:szCs w:val="21"/>
        </w:rPr>
        <w:sectPr>
          <w:footerReference r:id="rId47" w:type="default"/>
          <w:pgSz w:w="11906" w:h="16839"/>
          <w:pgMar w:top="1431" w:right="1407" w:bottom="1278" w:left="1407" w:header="0" w:footer="1116" w:gutter="0"/>
          <w:cols w:space="720" w:num="1"/>
        </w:sectPr>
      </w:pPr>
    </w:p>
    <w:p w14:paraId="388FF3FA">
      <w:pPr>
        <w:spacing w:line="99" w:lineRule="exact"/>
      </w:pPr>
      <w:r>
        <w:pict>
          <v:shape id="_x0000_s1050" o:spid="_x0000_s1050" style="position:absolute;left:0pt;margin-left:518.45pt;margin-top:78.3pt;height:380.25pt;width:0.5pt;mso-position-horizontal-relative:page;mso-position-vertical-relative:page;z-index:251686912;mso-width-relative:page;mso-height-relative:page;" filled="f" stroked="t" coordsize="10,7605" o:allowincell="f" path="m4,0l4,7604e">
            <v:fill on="f" focussize="0,0"/>
            <v:stroke weight="0.48pt" color="#000000" miterlimit="2" joinstyle="bevel"/>
            <v:imagedata o:title=""/>
            <o:lock v:ext="edit"/>
          </v:shape>
        </w:pict>
      </w:r>
    </w:p>
    <w:tbl>
      <w:tblPr>
        <w:tblStyle w:val="5"/>
        <w:tblW w:w="90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8"/>
        <w:gridCol w:w="573"/>
        <w:gridCol w:w="3456"/>
        <w:gridCol w:w="3043"/>
        <w:gridCol w:w="876"/>
      </w:tblGrid>
      <w:tr w14:paraId="63D4A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28" w:type="dxa"/>
            <w:vMerge w:val="restart"/>
            <w:tcBorders>
              <w:top w:val="single" w:color="000000" w:sz="6" w:space="0"/>
              <w:left w:val="single" w:color="000000" w:sz="6" w:space="0"/>
              <w:bottom w:val="nil"/>
            </w:tcBorders>
            <w:vAlign w:val="top"/>
          </w:tcPr>
          <w:p w14:paraId="34E6E5CD">
            <w:pPr>
              <w:rPr>
                <w:rFonts w:ascii="Arial"/>
                <w:sz w:val="21"/>
              </w:rPr>
            </w:pPr>
            <w:r>
              <w:pict>
                <v:shape id="_x0000_s1051" o:spid="_x0000_s1051" style="position:absolute;left:0pt;margin-left:50.2pt;margin-top:0.95pt;height:381.2pt;width:0.5pt;mso-position-horizontal-relative:page;mso-position-vertical-relative:page;z-index:251685888;mso-width-relative:page;mso-height-relative:page;" filled="f" stroked="t" coordsize="10,7624" path="m4,0l4,7623e">
                  <v:fill on="f" focussize="0,0"/>
                  <v:stroke weight="0.48pt" color="#000000" miterlimit="2" joinstyle="bevel"/>
                  <v:imagedata o:title=""/>
                  <o:lock v:ext="edit"/>
                </v:shape>
              </w:pict>
            </w:r>
          </w:p>
        </w:tc>
        <w:tc>
          <w:tcPr>
            <w:tcW w:w="573" w:type="dxa"/>
            <w:tcBorders>
              <w:top w:val="single" w:color="000000" w:sz="6" w:space="0"/>
            </w:tcBorders>
            <w:vAlign w:val="top"/>
          </w:tcPr>
          <w:p w14:paraId="3E92DACB">
            <w:pPr>
              <w:rPr>
                <w:rFonts w:ascii="Arial"/>
                <w:sz w:val="21"/>
              </w:rPr>
            </w:pPr>
          </w:p>
        </w:tc>
        <w:tc>
          <w:tcPr>
            <w:tcW w:w="3456" w:type="dxa"/>
            <w:tcBorders>
              <w:top w:val="single" w:color="000000" w:sz="6" w:space="0"/>
            </w:tcBorders>
            <w:vAlign w:val="top"/>
          </w:tcPr>
          <w:p w14:paraId="79932C83">
            <w:pPr>
              <w:pStyle w:val="6"/>
              <w:spacing w:before="52" w:line="234" w:lineRule="auto"/>
              <w:ind w:left="178" w:right="51" w:hanging="70"/>
              <w:rPr>
                <w:sz w:val="20"/>
                <w:szCs w:val="20"/>
              </w:rPr>
            </w:pPr>
            <w:r>
              <w:rPr>
                <w:spacing w:val="5"/>
                <w:sz w:val="20"/>
                <w:szCs w:val="20"/>
              </w:rPr>
              <w:t>林区时，应采取控制导线高度设计，</w:t>
            </w:r>
            <w:r>
              <w:rPr>
                <w:spacing w:val="9"/>
                <w:sz w:val="20"/>
                <w:szCs w:val="20"/>
              </w:rPr>
              <w:t xml:space="preserve"> </w:t>
            </w:r>
            <w:r>
              <w:rPr>
                <w:spacing w:val="7"/>
                <w:sz w:val="20"/>
                <w:szCs w:val="20"/>
              </w:rPr>
              <w:t>以减少林木砍伐，保护生态环境。</w:t>
            </w:r>
          </w:p>
        </w:tc>
        <w:tc>
          <w:tcPr>
            <w:tcW w:w="3043" w:type="dxa"/>
            <w:tcBorders>
              <w:top w:val="single" w:color="000000" w:sz="6" w:space="0"/>
            </w:tcBorders>
            <w:vAlign w:val="top"/>
          </w:tcPr>
          <w:p w14:paraId="4A86A4D4">
            <w:pPr>
              <w:rPr>
                <w:rFonts w:ascii="Arial"/>
                <w:sz w:val="21"/>
              </w:rPr>
            </w:pPr>
          </w:p>
        </w:tc>
        <w:tc>
          <w:tcPr>
            <w:tcW w:w="876" w:type="dxa"/>
            <w:tcBorders>
              <w:top w:val="single" w:color="000000" w:sz="6" w:space="0"/>
              <w:right w:val="single" w:color="000000" w:sz="6" w:space="0"/>
            </w:tcBorders>
            <w:vAlign w:val="top"/>
          </w:tcPr>
          <w:p w14:paraId="0B96059D">
            <w:pPr>
              <w:rPr>
                <w:rFonts w:ascii="Arial"/>
                <w:sz w:val="21"/>
              </w:rPr>
            </w:pPr>
          </w:p>
        </w:tc>
      </w:tr>
      <w:tr w14:paraId="739CB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5" w:hRule="atLeast"/>
        </w:trPr>
        <w:tc>
          <w:tcPr>
            <w:tcW w:w="1128" w:type="dxa"/>
            <w:vMerge w:val="continue"/>
            <w:tcBorders>
              <w:top w:val="nil"/>
              <w:left w:val="single" w:color="000000" w:sz="6" w:space="0"/>
              <w:bottom w:val="nil"/>
            </w:tcBorders>
            <w:vAlign w:val="top"/>
          </w:tcPr>
          <w:p w14:paraId="0269DF0E">
            <w:pPr>
              <w:rPr>
                <w:rFonts w:ascii="Arial"/>
                <w:sz w:val="21"/>
              </w:rPr>
            </w:pPr>
          </w:p>
        </w:tc>
        <w:tc>
          <w:tcPr>
            <w:tcW w:w="573" w:type="dxa"/>
            <w:textDirection w:val="tbRlV"/>
            <w:vAlign w:val="top"/>
          </w:tcPr>
          <w:p w14:paraId="7AB27FF7">
            <w:pPr>
              <w:pStyle w:val="6"/>
              <w:spacing w:before="185" w:line="217" w:lineRule="auto"/>
              <w:ind w:left="960"/>
              <w:rPr>
                <w:sz w:val="20"/>
                <w:szCs w:val="20"/>
              </w:rPr>
            </w:pPr>
            <w:r>
              <w:rPr>
                <w:spacing w:val="8"/>
                <w:sz w:val="20"/>
                <w:szCs w:val="20"/>
              </w:rPr>
              <w:t>施</w:t>
            </w:r>
            <w:r>
              <w:rPr>
                <w:spacing w:val="-37"/>
                <w:sz w:val="20"/>
                <w:szCs w:val="20"/>
              </w:rPr>
              <w:t xml:space="preserve"> </w:t>
            </w:r>
            <w:r>
              <w:rPr>
                <w:spacing w:val="8"/>
                <w:sz w:val="20"/>
                <w:szCs w:val="20"/>
              </w:rPr>
              <w:t>工</w:t>
            </w:r>
            <w:r>
              <w:rPr>
                <w:spacing w:val="-35"/>
                <w:sz w:val="20"/>
                <w:szCs w:val="20"/>
              </w:rPr>
              <w:t xml:space="preserve"> </w:t>
            </w:r>
            <w:r>
              <w:rPr>
                <w:spacing w:val="8"/>
                <w:sz w:val="20"/>
                <w:szCs w:val="20"/>
              </w:rPr>
              <w:t>期</w:t>
            </w:r>
          </w:p>
        </w:tc>
        <w:tc>
          <w:tcPr>
            <w:tcW w:w="3456" w:type="dxa"/>
            <w:vAlign w:val="top"/>
          </w:tcPr>
          <w:p w14:paraId="50743BE6">
            <w:pPr>
              <w:pStyle w:val="6"/>
              <w:spacing w:before="281" w:line="228" w:lineRule="auto"/>
              <w:ind w:left="155"/>
              <w:rPr>
                <w:sz w:val="20"/>
                <w:szCs w:val="20"/>
              </w:rPr>
            </w:pPr>
            <w:r>
              <w:rPr>
                <w:spacing w:val="9"/>
                <w:sz w:val="20"/>
                <w:szCs w:val="20"/>
              </w:rPr>
              <w:t>输变电建设项目施工应落实设计文</w:t>
            </w:r>
          </w:p>
          <w:p w14:paraId="29EF4386">
            <w:pPr>
              <w:pStyle w:val="6"/>
              <w:spacing w:before="24" w:line="226" w:lineRule="auto"/>
              <w:ind w:left="155"/>
              <w:rPr>
                <w:sz w:val="20"/>
                <w:szCs w:val="20"/>
              </w:rPr>
            </w:pPr>
            <w:r>
              <w:rPr>
                <w:spacing w:val="9"/>
                <w:sz w:val="20"/>
                <w:szCs w:val="20"/>
              </w:rPr>
              <w:t>件、环境影响评价文件及其审批部</w:t>
            </w:r>
          </w:p>
          <w:p w14:paraId="7152D331">
            <w:pPr>
              <w:pStyle w:val="6"/>
              <w:spacing w:before="25" w:line="228" w:lineRule="auto"/>
              <w:ind w:left="285"/>
              <w:rPr>
                <w:sz w:val="20"/>
                <w:szCs w:val="20"/>
              </w:rPr>
            </w:pPr>
            <w:r>
              <w:rPr>
                <w:spacing w:val="7"/>
                <w:sz w:val="20"/>
                <w:szCs w:val="20"/>
              </w:rPr>
              <w:t>门审批决定中提出的环境保护要</w:t>
            </w:r>
          </w:p>
          <w:p w14:paraId="507042EB">
            <w:pPr>
              <w:pStyle w:val="6"/>
              <w:spacing w:before="26" w:line="227" w:lineRule="auto"/>
              <w:ind w:left="157"/>
              <w:rPr>
                <w:sz w:val="20"/>
                <w:szCs w:val="20"/>
              </w:rPr>
            </w:pPr>
            <w:r>
              <w:rPr>
                <w:spacing w:val="9"/>
                <w:sz w:val="20"/>
                <w:szCs w:val="20"/>
              </w:rPr>
              <w:t>求。设备采购和施工合同中应明确</w:t>
            </w:r>
          </w:p>
          <w:p w14:paraId="53BD1767">
            <w:pPr>
              <w:pStyle w:val="6"/>
              <w:spacing w:before="26" w:line="228" w:lineRule="auto"/>
              <w:ind w:left="156"/>
              <w:rPr>
                <w:sz w:val="20"/>
                <w:szCs w:val="20"/>
              </w:rPr>
            </w:pPr>
            <w:r>
              <w:rPr>
                <w:spacing w:val="9"/>
                <w:sz w:val="20"/>
                <w:szCs w:val="20"/>
              </w:rPr>
              <w:t>环境保护要求，环境保护措施的实</w:t>
            </w:r>
          </w:p>
          <w:p w14:paraId="3130AA0C">
            <w:pPr>
              <w:pStyle w:val="6"/>
              <w:spacing w:before="26" w:line="228" w:lineRule="auto"/>
              <w:ind w:left="155"/>
              <w:rPr>
                <w:sz w:val="20"/>
                <w:szCs w:val="20"/>
              </w:rPr>
            </w:pPr>
            <w:r>
              <w:rPr>
                <w:spacing w:val="9"/>
                <w:sz w:val="20"/>
                <w:szCs w:val="20"/>
              </w:rPr>
              <w:t>施和环境保护设施的施工安装质量</w:t>
            </w:r>
          </w:p>
          <w:p w14:paraId="43E4D96F">
            <w:pPr>
              <w:pStyle w:val="6"/>
              <w:spacing w:before="24" w:line="227" w:lineRule="auto"/>
              <w:ind w:left="156"/>
              <w:rPr>
                <w:sz w:val="20"/>
                <w:szCs w:val="20"/>
              </w:rPr>
            </w:pPr>
            <w:r>
              <w:rPr>
                <w:spacing w:val="9"/>
                <w:sz w:val="20"/>
                <w:szCs w:val="20"/>
              </w:rPr>
              <w:t>应符合设计和技术协议书、相关标</w:t>
            </w:r>
          </w:p>
          <w:p w14:paraId="7624216F">
            <w:pPr>
              <w:pStyle w:val="6"/>
              <w:spacing w:before="28" w:line="229" w:lineRule="auto"/>
              <w:ind w:left="1209"/>
              <w:rPr>
                <w:sz w:val="20"/>
                <w:szCs w:val="20"/>
              </w:rPr>
            </w:pPr>
            <w:r>
              <w:rPr>
                <w:spacing w:val="5"/>
                <w:sz w:val="20"/>
                <w:szCs w:val="20"/>
              </w:rPr>
              <w:t>准的要求。</w:t>
            </w:r>
          </w:p>
        </w:tc>
        <w:tc>
          <w:tcPr>
            <w:tcW w:w="3043" w:type="dxa"/>
            <w:vAlign w:val="top"/>
          </w:tcPr>
          <w:p w14:paraId="144187FF">
            <w:pPr>
              <w:pStyle w:val="6"/>
              <w:spacing w:before="141" w:line="248" w:lineRule="auto"/>
              <w:ind w:left="165" w:right="151"/>
              <w:jc w:val="both"/>
              <w:rPr>
                <w:sz w:val="20"/>
                <w:szCs w:val="20"/>
              </w:rPr>
            </w:pPr>
            <w:r>
              <w:rPr>
                <w:spacing w:val="9"/>
                <w:sz w:val="20"/>
                <w:szCs w:val="20"/>
              </w:rPr>
              <w:t>本环评依照环境保护相关法律</w:t>
            </w:r>
            <w:r>
              <w:rPr>
                <w:spacing w:val="1"/>
                <w:sz w:val="20"/>
                <w:szCs w:val="20"/>
              </w:rPr>
              <w:t xml:space="preserve"> </w:t>
            </w:r>
            <w:r>
              <w:rPr>
                <w:spacing w:val="9"/>
                <w:sz w:val="20"/>
                <w:szCs w:val="20"/>
              </w:rPr>
              <w:t>法规、标准及规范要求，提出</w:t>
            </w:r>
            <w:r>
              <w:rPr>
                <w:spacing w:val="2"/>
                <w:sz w:val="20"/>
                <w:szCs w:val="20"/>
              </w:rPr>
              <w:t xml:space="preserve"> </w:t>
            </w:r>
            <w:r>
              <w:rPr>
                <w:spacing w:val="9"/>
                <w:sz w:val="20"/>
                <w:szCs w:val="20"/>
              </w:rPr>
              <w:t>了一系列施工期生态环境、声</w:t>
            </w:r>
            <w:r>
              <w:rPr>
                <w:spacing w:val="2"/>
                <w:sz w:val="20"/>
                <w:szCs w:val="20"/>
              </w:rPr>
              <w:t xml:space="preserve"> </w:t>
            </w:r>
            <w:r>
              <w:rPr>
                <w:spacing w:val="9"/>
                <w:sz w:val="20"/>
                <w:szCs w:val="20"/>
              </w:rPr>
              <w:t>环境、水环境、大气环境保护</w:t>
            </w:r>
            <w:r>
              <w:rPr>
                <w:spacing w:val="2"/>
                <w:sz w:val="20"/>
                <w:szCs w:val="20"/>
              </w:rPr>
              <w:t xml:space="preserve"> </w:t>
            </w:r>
            <w:r>
              <w:rPr>
                <w:spacing w:val="9"/>
                <w:sz w:val="20"/>
                <w:szCs w:val="20"/>
              </w:rPr>
              <w:t>措施以及固体废物处置措施和</w:t>
            </w:r>
            <w:r>
              <w:rPr>
                <w:spacing w:val="2"/>
                <w:sz w:val="20"/>
                <w:szCs w:val="20"/>
              </w:rPr>
              <w:t xml:space="preserve"> </w:t>
            </w:r>
            <w:r>
              <w:rPr>
                <w:spacing w:val="9"/>
                <w:sz w:val="20"/>
                <w:szCs w:val="20"/>
              </w:rPr>
              <w:t>要求，并将在项目建设过程中</w:t>
            </w:r>
            <w:r>
              <w:rPr>
                <w:spacing w:val="2"/>
                <w:sz w:val="20"/>
                <w:szCs w:val="20"/>
              </w:rPr>
              <w:t xml:space="preserve"> </w:t>
            </w:r>
            <w:r>
              <w:rPr>
                <w:spacing w:val="9"/>
                <w:sz w:val="20"/>
                <w:szCs w:val="20"/>
              </w:rPr>
              <w:t>同时组织实施环境影响评价文</w:t>
            </w:r>
          </w:p>
          <w:p w14:paraId="247449D9">
            <w:pPr>
              <w:pStyle w:val="6"/>
              <w:spacing w:before="29" w:line="239" w:lineRule="auto"/>
              <w:ind w:left="391" w:right="151" w:hanging="227"/>
              <w:rPr>
                <w:sz w:val="20"/>
                <w:szCs w:val="20"/>
              </w:rPr>
            </w:pPr>
            <w:r>
              <w:rPr>
                <w:spacing w:val="9"/>
                <w:sz w:val="20"/>
                <w:szCs w:val="20"/>
              </w:rPr>
              <w:t>件及其审批部门审批决定中提</w:t>
            </w:r>
            <w:r>
              <w:rPr>
                <w:spacing w:val="3"/>
                <w:sz w:val="20"/>
                <w:szCs w:val="20"/>
              </w:rPr>
              <w:t xml:space="preserve"> </w:t>
            </w:r>
            <w:r>
              <w:rPr>
                <w:spacing w:val="6"/>
                <w:sz w:val="20"/>
                <w:szCs w:val="20"/>
              </w:rPr>
              <w:t>出的环境保护对策措施。</w:t>
            </w:r>
          </w:p>
        </w:tc>
        <w:tc>
          <w:tcPr>
            <w:tcW w:w="876" w:type="dxa"/>
            <w:tcBorders>
              <w:right w:val="single" w:color="000000" w:sz="6" w:space="0"/>
            </w:tcBorders>
            <w:vAlign w:val="top"/>
          </w:tcPr>
          <w:p w14:paraId="0E8C2A03">
            <w:pPr>
              <w:spacing w:line="290" w:lineRule="auto"/>
              <w:rPr>
                <w:rFonts w:ascii="Arial"/>
                <w:sz w:val="21"/>
              </w:rPr>
            </w:pPr>
          </w:p>
          <w:p w14:paraId="12844F4E">
            <w:pPr>
              <w:spacing w:line="290" w:lineRule="auto"/>
              <w:rPr>
                <w:rFonts w:ascii="Arial"/>
                <w:sz w:val="21"/>
              </w:rPr>
            </w:pPr>
          </w:p>
          <w:p w14:paraId="5A05D5DE">
            <w:pPr>
              <w:spacing w:line="290" w:lineRule="auto"/>
              <w:rPr>
                <w:rFonts w:ascii="Arial"/>
                <w:sz w:val="21"/>
              </w:rPr>
            </w:pPr>
          </w:p>
          <w:p w14:paraId="1FA3EC13">
            <w:pPr>
              <w:spacing w:line="291" w:lineRule="auto"/>
              <w:rPr>
                <w:rFonts w:ascii="Arial"/>
                <w:sz w:val="21"/>
              </w:rPr>
            </w:pPr>
          </w:p>
          <w:p w14:paraId="2DC9B8DF">
            <w:pPr>
              <w:pStyle w:val="6"/>
              <w:spacing w:before="65" w:line="228" w:lineRule="auto"/>
              <w:ind w:left="179"/>
              <w:rPr>
                <w:sz w:val="20"/>
                <w:szCs w:val="20"/>
              </w:rPr>
            </w:pPr>
            <w:r>
              <w:rPr>
                <w:spacing w:val="3"/>
                <w:sz w:val="20"/>
                <w:szCs w:val="20"/>
              </w:rPr>
              <w:t>符合</w:t>
            </w:r>
          </w:p>
        </w:tc>
      </w:tr>
      <w:tr w14:paraId="3D280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8" w:hRule="atLeast"/>
        </w:trPr>
        <w:tc>
          <w:tcPr>
            <w:tcW w:w="1128" w:type="dxa"/>
            <w:vMerge w:val="continue"/>
            <w:tcBorders>
              <w:top w:val="nil"/>
              <w:left w:val="single" w:color="000000" w:sz="6" w:space="0"/>
              <w:bottom w:val="single" w:color="000000" w:sz="6" w:space="0"/>
            </w:tcBorders>
            <w:vAlign w:val="top"/>
          </w:tcPr>
          <w:p w14:paraId="2BA80EBC">
            <w:pPr>
              <w:rPr>
                <w:rFonts w:ascii="Arial"/>
                <w:sz w:val="21"/>
              </w:rPr>
            </w:pPr>
          </w:p>
        </w:tc>
        <w:tc>
          <w:tcPr>
            <w:tcW w:w="573" w:type="dxa"/>
            <w:tcBorders>
              <w:bottom w:val="single" w:color="000000" w:sz="6" w:space="0"/>
            </w:tcBorders>
            <w:textDirection w:val="tbRlV"/>
            <w:vAlign w:val="top"/>
          </w:tcPr>
          <w:p w14:paraId="3D57467B">
            <w:pPr>
              <w:pStyle w:val="6"/>
              <w:spacing w:before="185" w:line="216" w:lineRule="auto"/>
              <w:ind w:left="1806"/>
              <w:rPr>
                <w:sz w:val="20"/>
                <w:szCs w:val="20"/>
              </w:rPr>
            </w:pPr>
            <w:r>
              <w:rPr>
                <w:spacing w:val="8"/>
                <w:sz w:val="20"/>
                <w:szCs w:val="20"/>
              </w:rPr>
              <w:t>运</w:t>
            </w:r>
            <w:r>
              <w:rPr>
                <w:spacing w:val="-37"/>
                <w:sz w:val="20"/>
                <w:szCs w:val="20"/>
              </w:rPr>
              <w:t xml:space="preserve"> </w:t>
            </w:r>
            <w:r>
              <w:rPr>
                <w:spacing w:val="8"/>
                <w:sz w:val="20"/>
                <w:szCs w:val="20"/>
              </w:rPr>
              <w:t>营</w:t>
            </w:r>
            <w:r>
              <w:rPr>
                <w:spacing w:val="-35"/>
                <w:sz w:val="20"/>
                <w:szCs w:val="20"/>
              </w:rPr>
              <w:t xml:space="preserve"> </w:t>
            </w:r>
            <w:r>
              <w:rPr>
                <w:spacing w:val="8"/>
                <w:sz w:val="20"/>
                <w:szCs w:val="20"/>
              </w:rPr>
              <w:t>期</w:t>
            </w:r>
          </w:p>
        </w:tc>
        <w:tc>
          <w:tcPr>
            <w:tcW w:w="3456" w:type="dxa"/>
            <w:tcBorders>
              <w:bottom w:val="single" w:color="000000" w:sz="6" w:space="0"/>
            </w:tcBorders>
            <w:vAlign w:val="top"/>
          </w:tcPr>
          <w:p w14:paraId="5D9FD9CD">
            <w:pPr>
              <w:pStyle w:val="6"/>
              <w:spacing w:before="39" w:line="247" w:lineRule="auto"/>
              <w:ind w:left="108" w:right="104" w:firstLine="16"/>
              <w:jc w:val="both"/>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7"/>
                <w:sz w:val="20"/>
                <w:szCs w:val="20"/>
              </w:rPr>
              <w:t xml:space="preserve"> </w:t>
            </w:r>
            <w:r>
              <w:rPr>
                <w:spacing w:val="6"/>
                <w:sz w:val="20"/>
                <w:szCs w:val="20"/>
              </w:rPr>
              <w:t>、运行期做好环境保护设施的维护</w:t>
            </w:r>
            <w:r>
              <w:rPr>
                <w:sz w:val="20"/>
                <w:szCs w:val="20"/>
              </w:rPr>
              <w:t xml:space="preserve"> </w:t>
            </w:r>
            <w:r>
              <w:rPr>
                <w:spacing w:val="12"/>
                <w:sz w:val="20"/>
                <w:szCs w:val="20"/>
              </w:rPr>
              <w:t>和运行管理，加强巡查和检查，保</w:t>
            </w:r>
            <w:r>
              <w:rPr>
                <w:spacing w:val="7"/>
                <w:sz w:val="20"/>
                <w:szCs w:val="20"/>
              </w:rPr>
              <w:t xml:space="preserve"> </w:t>
            </w:r>
            <w:r>
              <w:rPr>
                <w:spacing w:val="12"/>
                <w:sz w:val="20"/>
                <w:szCs w:val="20"/>
              </w:rPr>
              <w:t>障发挥环境保护作用。定期开展环</w:t>
            </w:r>
            <w:r>
              <w:rPr>
                <w:spacing w:val="7"/>
                <w:sz w:val="20"/>
                <w:szCs w:val="20"/>
              </w:rPr>
              <w:t xml:space="preserve"> </w:t>
            </w:r>
            <w:r>
              <w:rPr>
                <w:spacing w:val="12"/>
                <w:sz w:val="20"/>
                <w:szCs w:val="20"/>
              </w:rPr>
              <w:t>境监测，确保电磁、噪声、废水排</w:t>
            </w:r>
            <w:r>
              <w:rPr>
                <w:spacing w:val="7"/>
                <w:sz w:val="20"/>
                <w:szCs w:val="20"/>
              </w:rPr>
              <w:t xml:space="preserve"> </w:t>
            </w:r>
            <w:r>
              <w:rPr>
                <w:spacing w:val="-3"/>
                <w:sz w:val="20"/>
                <w:szCs w:val="20"/>
              </w:rPr>
              <w:t xml:space="preserve">放符合 </w:t>
            </w:r>
            <w:r>
              <w:rPr>
                <w:rFonts w:ascii="Times New Roman" w:hAnsi="Times New Roman" w:eastAsia="Times New Roman" w:cs="Times New Roman"/>
                <w:spacing w:val="-3"/>
                <w:sz w:val="20"/>
                <w:szCs w:val="20"/>
              </w:rPr>
              <w:t>GB</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3"/>
                <w:sz w:val="20"/>
                <w:szCs w:val="20"/>
              </w:rPr>
              <w:t>8702</w:t>
            </w:r>
            <w:r>
              <w:rPr>
                <w:spacing w:val="-3"/>
                <w:sz w:val="20"/>
                <w:szCs w:val="20"/>
              </w:rPr>
              <w:t>、</w:t>
            </w:r>
            <w:r>
              <w:rPr>
                <w:rFonts w:ascii="Times New Roman" w:hAnsi="Times New Roman" w:eastAsia="Times New Roman" w:cs="Times New Roman"/>
                <w:spacing w:val="-3"/>
                <w:sz w:val="20"/>
                <w:szCs w:val="20"/>
              </w:rPr>
              <w:t>GB12348</w:t>
            </w:r>
            <w:r>
              <w:rPr>
                <w:spacing w:val="-3"/>
                <w:sz w:val="20"/>
                <w:szCs w:val="20"/>
              </w:rPr>
              <w:t>、</w:t>
            </w:r>
            <w:r>
              <w:rPr>
                <w:rFonts w:ascii="Times New Roman" w:hAnsi="Times New Roman" w:eastAsia="Times New Roman" w:cs="Times New Roman"/>
                <w:spacing w:val="-3"/>
                <w:sz w:val="20"/>
                <w:szCs w:val="20"/>
              </w:rPr>
              <w:t>GB8978</w:t>
            </w:r>
            <w:r>
              <w:rPr>
                <w:rFonts w:ascii="Times New Roman" w:hAnsi="Times New Roman" w:eastAsia="Times New Roman" w:cs="Times New Roman"/>
                <w:sz w:val="20"/>
                <w:szCs w:val="20"/>
              </w:rPr>
              <w:t xml:space="preserve"> </w:t>
            </w:r>
            <w:r>
              <w:rPr>
                <w:spacing w:val="12"/>
                <w:sz w:val="20"/>
                <w:szCs w:val="20"/>
              </w:rPr>
              <w:t>等国家标准要求，并及时解决公众</w:t>
            </w:r>
          </w:p>
          <w:p w14:paraId="1D402719">
            <w:pPr>
              <w:pStyle w:val="6"/>
              <w:spacing w:before="27" w:line="228" w:lineRule="auto"/>
              <w:ind w:left="682"/>
              <w:rPr>
                <w:sz w:val="20"/>
                <w:szCs w:val="20"/>
              </w:rPr>
            </w:pPr>
            <w:r>
              <w:rPr>
                <w:spacing w:val="7"/>
                <w:sz w:val="20"/>
                <w:szCs w:val="20"/>
              </w:rPr>
              <w:t>合理的环境保护诉求。</w:t>
            </w:r>
          </w:p>
          <w:p w14:paraId="14FDF032">
            <w:pPr>
              <w:pStyle w:val="6"/>
              <w:spacing w:before="26" w:line="248" w:lineRule="auto"/>
              <w:ind w:left="108" w:right="35" w:hanging="4"/>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23"/>
                <w:sz w:val="20"/>
                <w:szCs w:val="20"/>
              </w:rPr>
              <w:t xml:space="preserve"> </w:t>
            </w:r>
            <w:r>
              <w:rPr>
                <w:spacing w:val="7"/>
                <w:sz w:val="20"/>
                <w:szCs w:val="20"/>
              </w:rPr>
              <w:t>、况进行检、运行期应对事故油池</w:t>
            </w:r>
            <w:r>
              <w:rPr>
                <w:sz w:val="20"/>
                <w:szCs w:val="20"/>
              </w:rPr>
              <w:t xml:space="preserve"> </w:t>
            </w:r>
            <w:r>
              <w:rPr>
                <w:spacing w:val="6"/>
                <w:sz w:val="20"/>
                <w:szCs w:val="20"/>
              </w:rPr>
              <w:t>的完好情查，确保无渗漏、无溢流。</w:t>
            </w:r>
            <w:r>
              <w:rPr>
                <w:spacing w:val="10"/>
                <w:sz w:val="20"/>
                <w:szCs w:val="20"/>
              </w:rPr>
              <w:t xml:space="preserve"> </w:t>
            </w:r>
            <w:r>
              <w:rPr>
                <w:rFonts w:ascii="Times New Roman" w:hAnsi="Times New Roman" w:eastAsia="Times New Roman" w:cs="Times New Roman"/>
                <w:spacing w:val="7"/>
                <w:sz w:val="20"/>
                <w:szCs w:val="20"/>
              </w:rPr>
              <w:t>3</w:t>
            </w:r>
            <w:r>
              <w:rPr>
                <w:rFonts w:ascii="Times New Roman" w:hAnsi="Times New Roman" w:eastAsia="Times New Roman" w:cs="Times New Roman"/>
                <w:spacing w:val="-27"/>
                <w:sz w:val="20"/>
                <w:szCs w:val="20"/>
              </w:rPr>
              <w:t xml:space="preserve"> </w:t>
            </w:r>
            <w:r>
              <w:rPr>
                <w:spacing w:val="7"/>
                <w:sz w:val="20"/>
                <w:szCs w:val="20"/>
              </w:rPr>
              <w:t>、变电工程运行过程中产生的变压</w:t>
            </w:r>
            <w:r>
              <w:rPr>
                <w:sz w:val="20"/>
                <w:szCs w:val="20"/>
              </w:rPr>
              <w:t xml:space="preserve"> </w:t>
            </w:r>
            <w:r>
              <w:rPr>
                <w:spacing w:val="12"/>
                <w:sz w:val="20"/>
                <w:szCs w:val="20"/>
              </w:rPr>
              <w:t>器油、高抗油等矿物油应进行回收</w:t>
            </w:r>
            <w:r>
              <w:rPr>
                <w:spacing w:val="3"/>
                <w:sz w:val="20"/>
                <w:szCs w:val="20"/>
              </w:rPr>
              <w:t xml:space="preserve">  </w:t>
            </w:r>
            <w:r>
              <w:rPr>
                <w:spacing w:val="12"/>
                <w:sz w:val="20"/>
                <w:szCs w:val="20"/>
              </w:rPr>
              <w:t>处理。废矿物油和废铅酸蓄电池作</w:t>
            </w:r>
            <w:r>
              <w:rPr>
                <w:spacing w:val="3"/>
                <w:sz w:val="20"/>
                <w:szCs w:val="20"/>
              </w:rPr>
              <w:t xml:space="preserve">  </w:t>
            </w:r>
            <w:r>
              <w:rPr>
                <w:spacing w:val="12"/>
                <w:sz w:val="20"/>
                <w:szCs w:val="20"/>
              </w:rPr>
              <w:t>为危险废物应交由有资质的单位回</w:t>
            </w:r>
            <w:r>
              <w:rPr>
                <w:spacing w:val="3"/>
                <w:sz w:val="20"/>
                <w:szCs w:val="20"/>
              </w:rPr>
              <w:t xml:space="preserve">  </w:t>
            </w:r>
            <w:r>
              <w:rPr>
                <w:spacing w:val="12"/>
                <w:sz w:val="20"/>
                <w:szCs w:val="20"/>
              </w:rPr>
              <w:t>收处理，严禁随意丢弃。不能立即</w:t>
            </w:r>
            <w:r>
              <w:rPr>
                <w:spacing w:val="3"/>
                <w:sz w:val="20"/>
                <w:szCs w:val="20"/>
              </w:rPr>
              <w:t xml:space="preserve">  </w:t>
            </w:r>
            <w:r>
              <w:rPr>
                <w:spacing w:val="12"/>
                <w:sz w:val="20"/>
                <w:szCs w:val="20"/>
              </w:rPr>
              <w:t>回收处理的应暂存在危废贮存库或</w:t>
            </w:r>
          </w:p>
          <w:p w14:paraId="22A6EA67">
            <w:pPr>
              <w:pStyle w:val="6"/>
              <w:spacing w:before="26" w:line="227" w:lineRule="auto"/>
              <w:ind w:left="1317"/>
              <w:rPr>
                <w:sz w:val="20"/>
                <w:szCs w:val="20"/>
              </w:rPr>
            </w:pPr>
            <w:r>
              <w:rPr>
                <w:spacing w:val="3"/>
                <w:sz w:val="20"/>
                <w:szCs w:val="20"/>
              </w:rPr>
              <w:t>暂存区。</w:t>
            </w:r>
          </w:p>
        </w:tc>
        <w:tc>
          <w:tcPr>
            <w:tcW w:w="3043" w:type="dxa"/>
            <w:tcBorders>
              <w:bottom w:val="single" w:color="000000" w:sz="6" w:space="0"/>
            </w:tcBorders>
            <w:vAlign w:val="top"/>
          </w:tcPr>
          <w:p w14:paraId="66C8FBE4">
            <w:pPr>
              <w:pStyle w:val="6"/>
              <w:spacing w:before="35" w:line="244" w:lineRule="auto"/>
              <w:ind w:left="116" w:right="30" w:firstLine="15"/>
              <w:jc w:val="both"/>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16"/>
                <w:sz w:val="20"/>
                <w:szCs w:val="20"/>
              </w:rPr>
              <w:t xml:space="preserve"> </w:t>
            </w:r>
            <w:r>
              <w:rPr>
                <w:spacing w:val="5"/>
                <w:sz w:val="20"/>
                <w:szCs w:val="20"/>
              </w:rPr>
              <w:t>、在采取本报告提出的各项环</w:t>
            </w:r>
            <w:r>
              <w:rPr>
                <w:sz w:val="20"/>
                <w:szCs w:val="20"/>
              </w:rPr>
              <w:t xml:space="preserve"> </w:t>
            </w:r>
            <w:r>
              <w:rPr>
                <w:spacing w:val="13"/>
                <w:sz w:val="20"/>
                <w:szCs w:val="20"/>
              </w:rPr>
              <w:t>保措施的前提下，可确保升压</w:t>
            </w:r>
            <w:r>
              <w:rPr>
                <w:sz w:val="20"/>
                <w:szCs w:val="20"/>
              </w:rPr>
              <w:t xml:space="preserve">  </w:t>
            </w:r>
            <w:r>
              <w:rPr>
                <w:spacing w:val="6"/>
                <w:sz w:val="20"/>
                <w:szCs w:val="20"/>
              </w:rPr>
              <w:t>站产生的工频电场、工频磁场、</w:t>
            </w:r>
          </w:p>
          <w:p w14:paraId="2058D556">
            <w:pPr>
              <w:pStyle w:val="6"/>
              <w:spacing w:before="24" w:line="228" w:lineRule="auto"/>
              <w:ind w:left="384"/>
              <w:rPr>
                <w:sz w:val="20"/>
                <w:szCs w:val="20"/>
              </w:rPr>
            </w:pPr>
            <w:r>
              <w:rPr>
                <w:spacing w:val="7"/>
                <w:sz w:val="20"/>
                <w:szCs w:val="20"/>
              </w:rPr>
              <w:t>噪声满足相应标准要求。</w:t>
            </w:r>
          </w:p>
          <w:p w14:paraId="35B8A23B">
            <w:pPr>
              <w:pStyle w:val="6"/>
              <w:spacing w:before="27" w:line="239" w:lineRule="auto"/>
              <w:ind w:left="118" w:right="30" w:hanging="7"/>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24"/>
                <w:sz w:val="20"/>
                <w:szCs w:val="20"/>
              </w:rPr>
              <w:t xml:space="preserve"> </w:t>
            </w:r>
            <w:r>
              <w:rPr>
                <w:spacing w:val="7"/>
                <w:sz w:val="20"/>
                <w:szCs w:val="20"/>
              </w:rPr>
              <w:t>、通过加强运营期的环保设施</w:t>
            </w:r>
            <w:r>
              <w:rPr>
                <w:sz w:val="20"/>
                <w:szCs w:val="20"/>
              </w:rPr>
              <w:t xml:space="preserve"> </w:t>
            </w:r>
            <w:r>
              <w:rPr>
                <w:spacing w:val="6"/>
                <w:sz w:val="20"/>
                <w:szCs w:val="20"/>
              </w:rPr>
              <w:t>维护，可确保事故油池无渗漏、</w:t>
            </w:r>
          </w:p>
          <w:p w14:paraId="5FDAD94B">
            <w:pPr>
              <w:pStyle w:val="6"/>
              <w:spacing w:before="26" w:line="228" w:lineRule="auto"/>
              <w:ind w:left="1113"/>
              <w:rPr>
                <w:sz w:val="20"/>
                <w:szCs w:val="20"/>
              </w:rPr>
            </w:pPr>
            <w:r>
              <w:rPr>
                <w:spacing w:val="4"/>
                <w:sz w:val="20"/>
                <w:szCs w:val="20"/>
              </w:rPr>
              <w:t>无溢流。</w:t>
            </w:r>
          </w:p>
          <w:p w14:paraId="41148DD3">
            <w:pPr>
              <w:pStyle w:val="6"/>
              <w:spacing w:before="24" w:line="239" w:lineRule="auto"/>
              <w:ind w:left="189" w:right="101" w:hanging="74"/>
              <w:rPr>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28"/>
                <w:sz w:val="20"/>
                <w:szCs w:val="20"/>
              </w:rPr>
              <w:t xml:space="preserve"> </w:t>
            </w:r>
            <w:r>
              <w:rPr>
                <w:spacing w:val="7"/>
                <w:sz w:val="20"/>
                <w:szCs w:val="20"/>
              </w:rPr>
              <w:t>、运营过程中产生的废铅酸蓄</w:t>
            </w:r>
            <w:r>
              <w:rPr>
                <w:sz w:val="20"/>
                <w:szCs w:val="20"/>
              </w:rPr>
              <w:t xml:space="preserve"> </w:t>
            </w:r>
            <w:r>
              <w:rPr>
                <w:spacing w:val="7"/>
                <w:sz w:val="20"/>
                <w:szCs w:val="20"/>
              </w:rPr>
              <w:t>电池、单次维修产生的废变压</w:t>
            </w:r>
          </w:p>
          <w:p w14:paraId="2A2D2B55">
            <w:pPr>
              <w:pStyle w:val="6"/>
              <w:spacing w:before="29" w:line="247" w:lineRule="auto"/>
              <w:ind w:left="164" w:right="151" w:firstLine="106"/>
              <w:rPr>
                <w:sz w:val="20"/>
                <w:szCs w:val="20"/>
              </w:rPr>
            </w:pPr>
            <w:r>
              <w:rPr>
                <w:spacing w:val="9"/>
                <w:sz w:val="20"/>
                <w:szCs w:val="20"/>
              </w:rPr>
              <w:t>器油和事故废油均属危险废</w:t>
            </w:r>
            <w:r>
              <w:rPr>
                <w:sz w:val="20"/>
                <w:szCs w:val="20"/>
              </w:rPr>
              <w:t xml:space="preserve">  </w:t>
            </w:r>
            <w:r>
              <w:rPr>
                <w:spacing w:val="9"/>
                <w:sz w:val="20"/>
                <w:szCs w:val="20"/>
              </w:rPr>
              <w:t>物，经集中收集后，暂存于危</w:t>
            </w:r>
            <w:r>
              <w:rPr>
                <w:spacing w:val="3"/>
                <w:sz w:val="20"/>
                <w:szCs w:val="20"/>
              </w:rPr>
              <w:t xml:space="preserve"> </w:t>
            </w:r>
            <w:r>
              <w:rPr>
                <w:spacing w:val="9"/>
                <w:sz w:val="20"/>
                <w:szCs w:val="20"/>
              </w:rPr>
              <w:t>废暂存间，并委托有资质单位</w:t>
            </w:r>
            <w:r>
              <w:rPr>
                <w:spacing w:val="3"/>
                <w:sz w:val="20"/>
                <w:szCs w:val="20"/>
              </w:rPr>
              <w:t xml:space="preserve"> </w:t>
            </w:r>
            <w:r>
              <w:rPr>
                <w:spacing w:val="9"/>
                <w:sz w:val="20"/>
                <w:szCs w:val="20"/>
              </w:rPr>
              <w:t>处置；变压器油不合格需全部</w:t>
            </w:r>
            <w:r>
              <w:rPr>
                <w:spacing w:val="1"/>
                <w:sz w:val="20"/>
                <w:szCs w:val="20"/>
              </w:rPr>
              <w:t xml:space="preserve"> </w:t>
            </w:r>
            <w:r>
              <w:rPr>
                <w:spacing w:val="9"/>
                <w:sz w:val="20"/>
                <w:szCs w:val="20"/>
              </w:rPr>
              <w:t>更换时产生的废变压器油，委</w:t>
            </w:r>
            <w:r>
              <w:rPr>
                <w:spacing w:val="3"/>
                <w:sz w:val="20"/>
                <w:szCs w:val="20"/>
              </w:rPr>
              <w:t xml:space="preserve"> </w:t>
            </w:r>
            <w:r>
              <w:rPr>
                <w:spacing w:val="9"/>
                <w:sz w:val="20"/>
                <w:szCs w:val="20"/>
              </w:rPr>
              <w:t>托有资质单位在更换后即时转</w:t>
            </w:r>
          </w:p>
          <w:p w14:paraId="28E1AE32">
            <w:pPr>
              <w:pStyle w:val="6"/>
              <w:spacing w:before="26" w:line="227" w:lineRule="auto"/>
              <w:ind w:left="375"/>
              <w:rPr>
                <w:sz w:val="20"/>
                <w:szCs w:val="20"/>
              </w:rPr>
            </w:pPr>
            <w:r>
              <w:rPr>
                <w:spacing w:val="8"/>
                <w:sz w:val="20"/>
                <w:szCs w:val="20"/>
              </w:rPr>
              <w:t>移处置，不在厂区贮存。</w:t>
            </w:r>
          </w:p>
        </w:tc>
        <w:tc>
          <w:tcPr>
            <w:tcW w:w="876" w:type="dxa"/>
            <w:tcBorders>
              <w:bottom w:val="single" w:color="000000" w:sz="6" w:space="0"/>
              <w:right w:val="single" w:color="000000" w:sz="6" w:space="0"/>
            </w:tcBorders>
            <w:vAlign w:val="top"/>
          </w:tcPr>
          <w:p w14:paraId="219BC4C9">
            <w:pPr>
              <w:spacing w:line="250" w:lineRule="auto"/>
              <w:rPr>
                <w:rFonts w:ascii="Arial"/>
                <w:sz w:val="21"/>
              </w:rPr>
            </w:pPr>
          </w:p>
          <w:p w14:paraId="154B48CA">
            <w:pPr>
              <w:spacing w:line="250" w:lineRule="auto"/>
              <w:rPr>
                <w:rFonts w:ascii="Arial"/>
                <w:sz w:val="21"/>
              </w:rPr>
            </w:pPr>
          </w:p>
          <w:p w14:paraId="74E4AEFD">
            <w:pPr>
              <w:spacing w:line="250" w:lineRule="auto"/>
              <w:rPr>
                <w:rFonts w:ascii="Arial"/>
                <w:sz w:val="21"/>
              </w:rPr>
            </w:pPr>
          </w:p>
          <w:p w14:paraId="02C85434">
            <w:pPr>
              <w:spacing w:line="250" w:lineRule="auto"/>
              <w:rPr>
                <w:rFonts w:ascii="Arial"/>
                <w:sz w:val="21"/>
              </w:rPr>
            </w:pPr>
          </w:p>
          <w:p w14:paraId="4B8A1515">
            <w:pPr>
              <w:spacing w:line="250" w:lineRule="auto"/>
              <w:rPr>
                <w:rFonts w:ascii="Arial"/>
                <w:sz w:val="21"/>
              </w:rPr>
            </w:pPr>
          </w:p>
          <w:p w14:paraId="6F48D3BA">
            <w:pPr>
              <w:spacing w:line="250" w:lineRule="auto"/>
              <w:rPr>
                <w:rFonts w:ascii="Arial"/>
                <w:sz w:val="21"/>
              </w:rPr>
            </w:pPr>
          </w:p>
          <w:p w14:paraId="01D271D1">
            <w:pPr>
              <w:spacing w:line="251" w:lineRule="auto"/>
              <w:rPr>
                <w:rFonts w:ascii="Arial"/>
                <w:sz w:val="21"/>
              </w:rPr>
            </w:pPr>
          </w:p>
          <w:p w14:paraId="37CBD304">
            <w:pPr>
              <w:spacing w:line="251" w:lineRule="auto"/>
              <w:rPr>
                <w:rFonts w:ascii="Arial"/>
                <w:sz w:val="21"/>
              </w:rPr>
            </w:pPr>
          </w:p>
          <w:p w14:paraId="20B5EA76">
            <w:pPr>
              <w:pStyle w:val="6"/>
              <w:spacing w:before="65" w:line="228" w:lineRule="auto"/>
              <w:ind w:left="179"/>
              <w:rPr>
                <w:sz w:val="20"/>
                <w:szCs w:val="20"/>
              </w:rPr>
            </w:pPr>
            <w:r>
              <w:rPr>
                <w:spacing w:val="3"/>
                <w:sz w:val="20"/>
                <w:szCs w:val="20"/>
              </w:rPr>
              <w:t>符合</w:t>
            </w:r>
          </w:p>
        </w:tc>
      </w:tr>
    </w:tbl>
    <w:p w14:paraId="14A104B0">
      <w:pPr>
        <w:rPr>
          <w:rFonts w:ascii="Arial"/>
          <w:sz w:val="21"/>
        </w:rPr>
      </w:pPr>
    </w:p>
    <w:p w14:paraId="5314EFF2">
      <w:pPr>
        <w:rPr>
          <w:rFonts w:ascii="Arial" w:hAnsi="Arial" w:eastAsia="Arial" w:cs="Arial"/>
          <w:sz w:val="21"/>
          <w:szCs w:val="21"/>
        </w:rPr>
        <w:sectPr>
          <w:footerReference r:id="rId48" w:type="default"/>
          <w:pgSz w:w="11906" w:h="16839"/>
          <w:pgMar w:top="1431" w:right="1407" w:bottom="1278" w:left="1407" w:header="0" w:footer="1116" w:gutter="0"/>
          <w:cols w:space="720" w:num="1"/>
        </w:sectPr>
      </w:pPr>
    </w:p>
    <w:p w14:paraId="3F34C104">
      <w:pPr>
        <w:spacing w:before="145" w:line="211" w:lineRule="auto"/>
        <w:ind w:left="3653"/>
        <w:outlineLvl w:val="0"/>
        <w:rPr>
          <w:rFonts w:ascii="黑体" w:hAnsi="黑体" w:eastAsia="黑体" w:cs="黑体"/>
          <w:sz w:val="30"/>
          <w:szCs w:val="30"/>
        </w:rPr>
      </w:pPr>
      <w:bookmarkStart w:id="13" w:name="bookmark6"/>
      <w:bookmarkEnd w:id="13"/>
      <w:bookmarkStart w:id="14" w:name="bookmark5"/>
      <w:bookmarkEnd w:id="14"/>
      <w:r>
        <w:rPr>
          <w:rFonts w:ascii="黑体" w:hAnsi="黑体" w:eastAsia="黑体" w:cs="黑体"/>
          <w:spacing w:val="-3"/>
          <w:sz w:val="30"/>
          <w:szCs w:val="30"/>
        </w:rPr>
        <w:t>二、建设内容</w:t>
      </w:r>
    </w:p>
    <w:tbl>
      <w:tblPr>
        <w:tblStyle w:val="5"/>
        <w:tblW w:w="90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9"/>
        <w:gridCol w:w="8371"/>
      </w:tblGrid>
      <w:tr w14:paraId="00A52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0" w:hRule="atLeast"/>
        </w:trPr>
        <w:tc>
          <w:tcPr>
            <w:tcW w:w="689" w:type="dxa"/>
            <w:tcBorders>
              <w:bottom w:val="single" w:color="000000" w:sz="2" w:space="0"/>
              <w:right w:val="single" w:color="000000" w:sz="2" w:space="0"/>
            </w:tcBorders>
            <w:textDirection w:val="tbRlV"/>
            <w:vAlign w:val="top"/>
          </w:tcPr>
          <w:p w14:paraId="0436EDCC">
            <w:pPr>
              <w:pStyle w:val="6"/>
              <w:spacing w:before="224" w:line="211" w:lineRule="auto"/>
              <w:ind w:left="1284"/>
            </w:pPr>
            <w:r>
              <w:rPr>
                <w:spacing w:val="53"/>
              </w:rPr>
              <w:t>地理位置</w:t>
            </w:r>
          </w:p>
        </w:tc>
        <w:tc>
          <w:tcPr>
            <w:tcW w:w="8371" w:type="dxa"/>
            <w:tcBorders>
              <w:left w:val="single" w:color="000000" w:sz="2" w:space="0"/>
              <w:bottom w:val="single" w:color="000000" w:sz="2" w:space="0"/>
            </w:tcBorders>
            <w:vAlign w:val="top"/>
          </w:tcPr>
          <w:p w14:paraId="5129F84F">
            <w:pPr>
              <w:pStyle w:val="6"/>
              <w:spacing w:before="43" w:line="355" w:lineRule="auto"/>
              <w:ind w:left="102" w:right="95" w:firstLine="486"/>
            </w:pPr>
            <w:r>
              <w:t>化桃箐光伏发电项目位于云南省昆明市寻甸回族彝族自治县河</w:t>
            </w:r>
            <w:r>
              <w:rPr>
                <w:spacing w:val="-1"/>
              </w:rPr>
              <w:t>口镇境内，</w:t>
            </w:r>
            <w:r>
              <w:t xml:space="preserve"> </w:t>
            </w:r>
            <w:r>
              <w:rPr>
                <w:spacing w:val="-1"/>
              </w:rPr>
              <w:t>项目区共布置</w:t>
            </w:r>
            <w:r>
              <w:rPr>
                <w:rFonts w:ascii="Times New Roman" w:hAnsi="Times New Roman" w:eastAsia="Times New Roman" w:cs="Times New Roman"/>
                <w:spacing w:val="-1"/>
              </w:rPr>
              <w:t>37</w:t>
            </w:r>
            <w:r>
              <w:rPr>
                <w:spacing w:val="-1"/>
              </w:rPr>
              <w:t>个光伏发电单元和一座</w:t>
            </w:r>
            <w:r>
              <w:rPr>
                <w:rFonts w:ascii="Times New Roman" w:hAnsi="Times New Roman" w:eastAsia="Times New Roman" w:cs="Times New Roman"/>
                <w:spacing w:val="-1"/>
              </w:rPr>
              <w:t>220kV</w:t>
            </w:r>
            <w:r>
              <w:rPr>
                <w:spacing w:val="-1"/>
              </w:rPr>
              <w:t>升压站并配套</w:t>
            </w:r>
            <w:r>
              <w:rPr>
                <w:rFonts w:ascii="Times New Roman" w:hAnsi="Times New Roman" w:eastAsia="Times New Roman" w:cs="Times New Roman"/>
                <w:spacing w:val="-1"/>
              </w:rPr>
              <w:t>10MW/20MWh</w:t>
            </w:r>
            <w:r>
              <w:rPr>
                <w:spacing w:val="-1"/>
              </w:rPr>
              <w:t>的储</w:t>
            </w:r>
            <w:r>
              <w:rPr>
                <w:spacing w:val="3"/>
              </w:rPr>
              <w:t xml:space="preserve"> </w:t>
            </w:r>
            <w:r>
              <w:rPr>
                <w:spacing w:val="-6"/>
              </w:rPr>
              <w:t xml:space="preserve">能 ， 光 伏 场 区 地 理 坐 标 介 于 东 经 </w:t>
            </w:r>
            <w:r>
              <w:rPr>
                <w:rFonts w:ascii="Times New Roman" w:hAnsi="Times New Roman" w:eastAsia="Times New Roman" w:cs="Times New Roman"/>
                <w:spacing w:val="-6"/>
              </w:rPr>
              <w:t>103°22′30″~</w:t>
            </w:r>
            <w:r>
              <w:rPr>
                <w:rFonts w:ascii="Times New Roman" w:hAnsi="Times New Roman" w:eastAsia="Times New Roman" w:cs="Times New Roman"/>
                <w:spacing w:val="-21"/>
              </w:rPr>
              <w:t xml:space="preserve"> </w:t>
            </w:r>
            <w:r>
              <w:rPr>
                <w:rFonts w:ascii="Times New Roman" w:hAnsi="Times New Roman" w:eastAsia="Times New Roman" w:cs="Times New Roman"/>
                <w:spacing w:val="-6"/>
              </w:rPr>
              <w:t>103°28′20″</w:t>
            </w:r>
            <w:r>
              <w:rPr>
                <w:rFonts w:ascii="Times New Roman" w:hAnsi="Times New Roman" w:eastAsia="Times New Roman" w:cs="Times New Roman"/>
                <w:spacing w:val="6"/>
              </w:rPr>
              <w:t xml:space="preserve">  </w:t>
            </w:r>
            <w:r>
              <w:rPr>
                <w:spacing w:val="-6"/>
              </w:rPr>
              <w:t>， 北 纬</w:t>
            </w:r>
            <w:r>
              <w:rPr>
                <w:spacing w:val="1"/>
              </w:rPr>
              <w:t xml:space="preserve"> </w:t>
            </w:r>
            <w:r>
              <w:rPr>
                <w:rFonts w:ascii="Times New Roman" w:hAnsi="Times New Roman" w:eastAsia="Times New Roman" w:cs="Times New Roman"/>
                <w:spacing w:val="-4"/>
              </w:rPr>
              <w:t>25°42′30″~26°40′00″</w:t>
            </w:r>
            <w:r>
              <w:rPr>
                <w:rFonts w:ascii="Times New Roman" w:hAnsi="Times New Roman" w:eastAsia="Times New Roman" w:cs="Times New Roman"/>
                <w:spacing w:val="-16"/>
              </w:rPr>
              <w:t xml:space="preserve"> </w:t>
            </w:r>
            <w:r>
              <w:rPr>
                <w:spacing w:val="-4"/>
              </w:rPr>
              <w:t>，升压站中心坐标位于东经</w:t>
            </w:r>
            <w:r>
              <w:rPr>
                <w:rFonts w:ascii="Times New Roman" w:hAnsi="Times New Roman" w:eastAsia="Times New Roman" w:cs="Times New Roman"/>
                <w:spacing w:val="-4"/>
              </w:rPr>
              <w:t>103</w:t>
            </w:r>
            <w:r>
              <w:rPr>
                <w:rFonts w:ascii="Times New Roman" w:hAnsi="Times New Roman" w:eastAsia="Times New Roman" w:cs="Times New Roman"/>
                <w:spacing w:val="-27"/>
              </w:rPr>
              <w:t xml:space="preserve"> </w:t>
            </w:r>
            <w:r>
              <w:rPr>
                <w:spacing w:val="-4"/>
              </w:rPr>
              <w:t>°</w:t>
            </w:r>
            <w:r>
              <w:rPr>
                <w:rFonts w:ascii="Times New Roman" w:hAnsi="Times New Roman" w:eastAsia="Times New Roman" w:cs="Times New Roman"/>
                <w:spacing w:val="-4"/>
              </w:rPr>
              <w:t>25</w:t>
            </w:r>
            <w:r>
              <w:rPr>
                <w:rFonts w:ascii="Times New Roman" w:hAnsi="Times New Roman" w:eastAsia="Times New Roman" w:cs="Times New Roman"/>
                <w:spacing w:val="-16"/>
              </w:rPr>
              <w:t xml:space="preserve"> </w:t>
            </w:r>
            <w:r>
              <w:rPr>
                <w:spacing w:val="-4"/>
              </w:rPr>
              <w:t>′</w:t>
            </w:r>
            <w:r>
              <w:rPr>
                <w:rFonts w:ascii="Times New Roman" w:hAnsi="Times New Roman" w:eastAsia="Times New Roman" w:cs="Times New Roman"/>
                <w:spacing w:val="-4"/>
              </w:rPr>
              <w:t>28.293</w:t>
            </w:r>
            <w:r>
              <w:rPr>
                <w:rFonts w:ascii="Times New Roman" w:hAnsi="Times New Roman" w:eastAsia="Times New Roman" w:cs="Times New Roman"/>
                <w:spacing w:val="-14"/>
              </w:rPr>
              <w:t xml:space="preserve"> </w:t>
            </w:r>
            <w:r>
              <w:rPr>
                <w:spacing w:val="-4"/>
              </w:rPr>
              <w:t>″</w:t>
            </w:r>
            <w:r>
              <w:rPr>
                <w:spacing w:val="-88"/>
              </w:rPr>
              <w:t xml:space="preserve"> </w:t>
            </w:r>
            <w:r>
              <w:rPr>
                <w:spacing w:val="-4"/>
              </w:rPr>
              <w:t>，北纬</w:t>
            </w:r>
            <w:r>
              <w:rPr>
                <w:rFonts w:ascii="Times New Roman" w:hAnsi="Times New Roman" w:eastAsia="Times New Roman" w:cs="Times New Roman"/>
                <w:spacing w:val="-4"/>
              </w:rPr>
              <w:t>25</w:t>
            </w:r>
            <w:r>
              <w:rPr>
                <w:rFonts w:ascii="Times New Roman" w:hAnsi="Times New Roman" w:eastAsia="Times New Roman" w:cs="Times New Roman"/>
                <w:spacing w:val="-27"/>
              </w:rPr>
              <w:t xml:space="preserve"> </w:t>
            </w:r>
            <w:r>
              <w:rPr>
                <w:spacing w:val="-4"/>
              </w:rPr>
              <w:t>°</w:t>
            </w:r>
            <w:r>
              <w:t xml:space="preserve"> </w:t>
            </w:r>
            <w:r>
              <w:rPr>
                <w:rFonts w:ascii="Times New Roman" w:hAnsi="Times New Roman" w:eastAsia="Times New Roman" w:cs="Times New Roman"/>
                <w:spacing w:val="-3"/>
              </w:rPr>
              <w:t>41</w:t>
            </w:r>
            <w:r>
              <w:rPr>
                <w:rFonts w:ascii="Times New Roman" w:hAnsi="Times New Roman" w:eastAsia="Times New Roman" w:cs="Times New Roman"/>
                <w:spacing w:val="-15"/>
              </w:rPr>
              <w:t xml:space="preserve"> </w:t>
            </w:r>
            <w:r>
              <w:rPr>
                <w:spacing w:val="-3"/>
              </w:rPr>
              <w:t>′</w:t>
            </w:r>
            <w:r>
              <w:rPr>
                <w:rFonts w:ascii="Times New Roman" w:hAnsi="Times New Roman" w:eastAsia="Times New Roman" w:cs="Times New Roman"/>
                <w:spacing w:val="-3"/>
              </w:rPr>
              <w:t>32.340</w:t>
            </w:r>
            <w:r>
              <w:rPr>
                <w:rFonts w:ascii="Times New Roman" w:hAnsi="Times New Roman" w:eastAsia="Times New Roman" w:cs="Times New Roman"/>
                <w:spacing w:val="-16"/>
              </w:rPr>
              <w:t xml:space="preserve"> </w:t>
            </w:r>
            <w:r>
              <w:rPr>
                <w:spacing w:val="-3"/>
              </w:rPr>
              <w:t>″</w:t>
            </w:r>
            <w:r>
              <w:rPr>
                <w:spacing w:val="-84"/>
              </w:rPr>
              <w:t xml:space="preserve"> </w:t>
            </w:r>
            <w:r>
              <w:rPr>
                <w:spacing w:val="-3"/>
              </w:rPr>
              <w:t>。项目距昆明市中心直线距离约为</w:t>
            </w:r>
            <w:r>
              <w:rPr>
                <w:rFonts w:ascii="Times New Roman" w:hAnsi="Times New Roman" w:eastAsia="Times New Roman" w:cs="Times New Roman"/>
                <w:spacing w:val="-3"/>
              </w:rPr>
              <w:t>110km</w:t>
            </w:r>
            <w:r>
              <w:rPr>
                <w:rFonts w:ascii="Times New Roman" w:hAnsi="Times New Roman" w:eastAsia="Times New Roman" w:cs="Times New Roman"/>
                <w:spacing w:val="-28"/>
              </w:rPr>
              <w:t xml:space="preserve"> </w:t>
            </w:r>
            <w:r>
              <w:rPr>
                <w:spacing w:val="-4"/>
              </w:rPr>
              <w:t>，距离曲靖市约</w:t>
            </w:r>
            <w:r>
              <w:rPr>
                <w:rFonts w:ascii="Times New Roman" w:hAnsi="Times New Roman" w:eastAsia="Times New Roman" w:cs="Times New Roman"/>
                <w:spacing w:val="-4"/>
              </w:rPr>
              <w:t>60km</w:t>
            </w:r>
            <w:r>
              <w:rPr>
                <w:rFonts w:ascii="Times New Roman" w:hAnsi="Times New Roman" w:eastAsia="Times New Roman" w:cs="Times New Roman"/>
                <w:spacing w:val="-31"/>
              </w:rPr>
              <w:t xml:space="preserve"> </w:t>
            </w:r>
            <w:r>
              <w:rPr>
                <w:spacing w:val="-4"/>
              </w:rPr>
              <w:t>，</w:t>
            </w:r>
            <w:r>
              <w:t xml:space="preserve"> </w:t>
            </w:r>
            <w:r>
              <w:rPr>
                <w:spacing w:val="-2"/>
              </w:rPr>
              <w:t>距寻甸县县城直线距离约</w:t>
            </w:r>
            <w:r>
              <w:rPr>
                <w:rFonts w:ascii="Times New Roman" w:hAnsi="Times New Roman" w:eastAsia="Times New Roman" w:cs="Times New Roman"/>
                <w:spacing w:val="-2"/>
              </w:rPr>
              <w:t>50km</w:t>
            </w:r>
            <w:r>
              <w:rPr>
                <w:spacing w:val="-2"/>
              </w:rPr>
              <w:t>。工程区较分散，但场址周边有多条乡村公路通</w:t>
            </w:r>
            <w:r>
              <w:t xml:space="preserve"> 过，光伏场地由原有乡村公路、当地消防道路等连接，交通条件</w:t>
            </w:r>
            <w:r>
              <w:rPr>
                <w:spacing w:val="-1"/>
              </w:rPr>
              <w:t>较为便利。</w:t>
            </w:r>
          </w:p>
          <w:p w14:paraId="31160713">
            <w:pPr>
              <w:pStyle w:val="6"/>
              <w:spacing w:before="33" w:line="219" w:lineRule="auto"/>
              <w:ind w:left="577"/>
            </w:pPr>
            <w:r>
              <w:rPr>
                <w:spacing w:val="-8"/>
              </w:rPr>
              <w:t>项目具体的位置详见附图</w:t>
            </w:r>
            <w:r>
              <w:rPr>
                <w:rFonts w:ascii="Times New Roman" w:hAnsi="Times New Roman" w:eastAsia="Times New Roman" w:cs="Times New Roman"/>
                <w:spacing w:val="-8"/>
              </w:rPr>
              <w:t>1</w:t>
            </w:r>
            <w:r>
              <w:rPr>
                <w:spacing w:val="-8"/>
              </w:rPr>
              <w:t>地理位置图。</w:t>
            </w:r>
          </w:p>
        </w:tc>
      </w:tr>
      <w:tr w14:paraId="2AC6D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65" w:hRule="atLeast"/>
        </w:trPr>
        <w:tc>
          <w:tcPr>
            <w:tcW w:w="689" w:type="dxa"/>
            <w:tcBorders>
              <w:top w:val="single" w:color="000000" w:sz="2" w:space="0"/>
              <w:right w:val="single" w:color="000000" w:sz="2" w:space="0"/>
            </w:tcBorders>
            <w:textDirection w:val="tbRlV"/>
            <w:vAlign w:val="top"/>
          </w:tcPr>
          <w:p w14:paraId="4FB46C0A">
            <w:pPr>
              <w:pStyle w:val="6"/>
              <w:spacing w:before="224" w:line="194" w:lineRule="auto"/>
              <w:ind w:left="3618"/>
            </w:pPr>
            <w:r>
              <w:rPr>
                <w:spacing w:val="22"/>
                <w:w w:val="116"/>
              </w:rPr>
              <w:t>项</w:t>
            </w:r>
            <w:r>
              <w:rPr>
                <w:spacing w:val="22"/>
                <w:w w:val="116"/>
                <w:position w:val="2"/>
              </w:rPr>
              <w:t>目</w:t>
            </w:r>
            <w:r>
              <w:rPr>
                <w:spacing w:val="22"/>
                <w:w w:val="116"/>
              </w:rPr>
              <w:t>组成及规模</w:t>
            </w:r>
          </w:p>
        </w:tc>
        <w:tc>
          <w:tcPr>
            <w:tcW w:w="8371" w:type="dxa"/>
            <w:tcBorders>
              <w:top w:val="single" w:color="000000" w:sz="2" w:space="0"/>
              <w:left w:val="single" w:color="000000" w:sz="2" w:space="0"/>
            </w:tcBorders>
            <w:vAlign w:val="top"/>
          </w:tcPr>
          <w:p w14:paraId="334D7140">
            <w:pPr>
              <w:pStyle w:val="6"/>
              <w:spacing w:before="40" w:line="219" w:lineRule="auto"/>
              <w:ind w:left="591"/>
            </w:pPr>
            <w:r>
              <w:rPr>
                <w:b/>
                <w:bCs/>
                <w:spacing w:val="-3"/>
              </w:rPr>
              <w:t>一、项目规模和建设内容</w:t>
            </w:r>
          </w:p>
          <w:p w14:paraId="11863467">
            <w:pPr>
              <w:pStyle w:val="6"/>
              <w:spacing w:before="182" w:line="355" w:lineRule="auto"/>
              <w:ind w:left="105" w:firstLine="480"/>
            </w:pPr>
            <w:r>
              <w:rPr>
                <w:spacing w:val="-2"/>
              </w:rPr>
              <w:t>化桃箐光伏发电项目总用地面积约</w:t>
            </w:r>
            <w:r>
              <w:rPr>
                <w:rFonts w:ascii="Times New Roman" w:hAnsi="Times New Roman" w:eastAsia="Times New Roman" w:cs="Times New Roman"/>
                <w:spacing w:val="-2"/>
              </w:rPr>
              <w:t>140.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1304hm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7"/>
                <w:position w:val="7"/>
                <w:sz w:val="15"/>
                <w:szCs w:val="15"/>
              </w:rPr>
              <w:t xml:space="preserve"> </w:t>
            </w:r>
            <w:r>
              <w:rPr>
                <w:spacing w:val="-2"/>
              </w:rPr>
              <w:t>，额</w:t>
            </w:r>
            <w:r>
              <w:rPr>
                <w:spacing w:val="-3"/>
              </w:rPr>
              <w:t>定容量</w:t>
            </w:r>
            <w:r>
              <w:rPr>
                <w:rFonts w:ascii="Times New Roman" w:hAnsi="Times New Roman" w:eastAsia="Times New Roman" w:cs="Times New Roman"/>
                <w:spacing w:val="-3"/>
              </w:rPr>
              <w:t>95.7MW</w:t>
            </w:r>
            <w:r>
              <w:rPr>
                <w:spacing w:val="-3"/>
              </w:rPr>
              <w:t>（交流</w:t>
            </w:r>
            <w:r>
              <w:t xml:space="preserve">  侧</w:t>
            </w:r>
            <w:r>
              <w:rPr>
                <w:spacing w:val="19"/>
              </w:rPr>
              <w:t>），</w:t>
            </w:r>
            <w:r>
              <w:t>实际直流侧安装容量</w:t>
            </w:r>
            <w:r>
              <w:rPr>
                <w:rFonts w:ascii="Times New Roman" w:hAnsi="Times New Roman" w:eastAsia="Times New Roman" w:cs="Times New Roman"/>
              </w:rPr>
              <w:t>115.290MWp</w:t>
            </w:r>
            <w:r>
              <w:rPr>
                <w:rFonts w:ascii="Times New Roman" w:hAnsi="Times New Roman" w:eastAsia="Times New Roman" w:cs="Times New Roman"/>
                <w:spacing w:val="-26"/>
              </w:rPr>
              <w:t xml:space="preserve"> </w:t>
            </w:r>
            <w:r>
              <w:t>，容配比</w:t>
            </w:r>
            <w:r>
              <w:rPr>
                <w:rFonts w:ascii="Times New Roman" w:hAnsi="Times New Roman" w:eastAsia="Times New Roman" w:cs="Times New Roman"/>
              </w:rPr>
              <w:t>1.20</w:t>
            </w:r>
            <w:r>
              <w:rPr>
                <w:rFonts w:ascii="Times New Roman" w:hAnsi="Times New Roman" w:eastAsia="Times New Roman" w:cs="Times New Roman"/>
                <w:spacing w:val="-24"/>
              </w:rPr>
              <w:t xml:space="preserve"> </w:t>
            </w:r>
            <w:r>
              <w:t xml:space="preserve">，年平均可上网电量约  </w:t>
            </w:r>
            <w:r>
              <w:rPr>
                <w:rFonts w:ascii="Times New Roman" w:hAnsi="Times New Roman" w:eastAsia="Times New Roman" w:cs="Times New Roman"/>
                <w:spacing w:val="-2"/>
              </w:rPr>
              <w:t>15960.4</w:t>
            </w:r>
            <w:r>
              <w:rPr>
                <w:spacing w:val="-2"/>
              </w:rPr>
              <w:t>万</w:t>
            </w:r>
            <w:r>
              <w:rPr>
                <w:rFonts w:ascii="Times New Roman" w:hAnsi="Times New Roman" w:eastAsia="Times New Roman" w:cs="Times New Roman"/>
                <w:spacing w:val="-2"/>
              </w:rPr>
              <w:t>kWh</w:t>
            </w:r>
            <w:r>
              <w:rPr>
                <w:spacing w:val="-2"/>
              </w:rPr>
              <w:t>。工程采用</w:t>
            </w:r>
            <w:r>
              <w:rPr>
                <w:rFonts w:ascii="Times New Roman" w:hAnsi="Times New Roman" w:eastAsia="Times New Roman" w:cs="Times New Roman"/>
                <w:spacing w:val="-2"/>
              </w:rPr>
              <w:t>630Wp</w:t>
            </w:r>
            <w:r>
              <w:rPr>
                <w:spacing w:val="-2"/>
              </w:rPr>
              <w:t>单晶硅电池组件</w:t>
            </w:r>
            <w:r>
              <w:rPr>
                <w:rFonts w:ascii="Times New Roman" w:hAnsi="Times New Roman" w:eastAsia="Times New Roman" w:cs="Times New Roman"/>
                <w:spacing w:val="-2"/>
              </w:rPr>
              <w:t>183000</w:t>
            </w:r>
            <w:r>
              <w:rPr>
                <w:spacing w:val="-2"/>
              </w:rPr>
              <w:t>块，拟采用固定式支架</w:t>
            </w:r>
            <w:r>
              <w:rPr>
                <w:spacing w:val="1"/>
              </w:rPr>
              <w:t xml:space="preserve">  </w:t>
            </w:r>
            <w:r>
              <w:rPr>
                <w:spacing w:val="-2"/>
              </w:rPr>
              <w:t>安装形式，采用固定倾角方式运行，由</w:t>
            </w:r>
            <w:r>
              <w:rPr>
                <w:rFonts w:ascii="Times New Roman" w:hAnsi="Times New Roman" w:eastAsia="Times New Roman" w:cs="Times New Roman"/>
                <w:spacing w:val="-2"/>
              </w:rPr>
              <w:t>2</w:t>
            </w:r>
            <w:r>
              <w:rPr>
                <w:spacing w:val="-2"/>
              </w:rPr>
              <w:t>（行）</w:t>
            </w:r>
            <w:r>
              <w:rPr>
                <w:rFonts w:ascii="Times New Roman" w:hAnsi="Times New Roman" w:eastAsia="Times New Roman" w:cs="Times New Roman"/>
                <w:spacing w:val="-2"/>
              </w:rPr>
              <w:t>×12</w:t>
            </w:r>
            <w:r>
              <w:rPr>
                <w:spacing w:val="-2"/>
              </w:rPr>
              <w:t>（列）共</w:t>
            </w:r>
            <w:r>
              <w:rPr>
                <w:rFonts w:ascii="Times New Roman" w:hAnsi="Times New Roman" w:eastAsia="Times New Roman" w:cs="Times New Roman"/>
                <w:spacing w:val="-2"/>
              </w:rPr>
              <w:t>24</w:t>
            </w:r>
            <w:r>
              <w:rPr>
                <w:spacing w:val="-2"/>
              </w:rPr>
              <w:t>块光伏组件组成</w:t>
            </w:r>
            <w:r>
              <w:rPr>
                <w:spacing w:val="3"/>
              </w:rPr>
              <w:t xml:space="preserve">  </w:t>
            </w:r>
            <w:r>
              <w:rPr>
                <w:spacing w:val="-2"/>
              </w:rPr>
              <w:t>一个组串单元，倾角为</w:t>
            </w:r>
            <w:r>
              <w:rPr>
                <w:rFonts w:ascii="Times New Roman" w:hAnsi="Times New Roman" w:eastAsia="Times New Roman" w:cs="Times New Roman"/>
                <w:spacing w:val="-2"/>
              </w:rPr>
              <w:t>23°</w:t>
            </w:r>
            <w:r>
              <w:rPr>
                <w:rFonts w:ascii="Times New Roman" w:hAnsi="Times New Roman" w:eastAsia="Times New Roman" w:cs="Times New Roman"/>
                <w:spacing w:val="-31"/>
              </w:rPr>
              <w:t xml:space="preserve"> </w:t>
            </w:r>
            <w:r>
              <w:rPr>
                <w:spacing w:val="-2"/>
              </w:rPr>
              <w:t>,</w:t>
            </w:r>
            <w:r>
              <w:rPr>
                <w:spacing w:val="83"/>
              </w:rPr>
              <w:t xml:space="preserve"> </w:t>
            </w:r>
            <w:r>
              <w:rPr>
                <w:spacing w:val="-2"/>
              </w:rPr>
              <w:t>固定式组串中，组件与组件之</w:t>
            </w:r>
            <w:r>
              <w:rPr>
                <w:spacing w:val="-3"/>
              </w:rPr>
              <w:t>间直流侧采用“</w:t>
            </w:r>
            <w:r>
              <w:rPr>
                <w:rFonts w:ascii="Times New Roman" w:hAnsi="Times New Roman" w:eastAsia="Times New Roman" w:cs="Times New Roman"/>
                <w:spacing w:val="-3"/>
              </w:rPr>
              <w:t>U</w:t>
            </w:r>
            <w:r>
              <w:rPr>
                <w:rFonts w:ascii="Times New Roman" w:hAnsi="Times New Roman" w:eastAsia="Times New Roman" w:cs="Times New Roman"/>
                <w:spacing w:val="-27"/>
              </w:rPr>
              <w:t xml:space="preserve"> </w:t>
            </w:r>
            <w:r>
              <w:rPr>
                <w:spacing w:val="-3"/>
              </w:rPr>
              <w:t>”</w:t>
            </w:r>
            <w:r>
              <w:t xml:space="preserve"> </w:t>
            </w:r>
            <w:r>
              <w:rPr>
                <w:spacing w:val="-2"/>
              </w:rPr>
              <w:t>型接线方式。选用</w:t>
            </w:r>
            <w:r>
              <w:rPr>
                <w:rFonts w:ascii="Times New Roman" w:hAnsi="Times New Roman" w:eastAsia="Times New Roman" w:cs="Times New Roman"/>
                <w:spacing w:val="-2"/>
              </w:rPr>
              <w:t>319</w:t>
            </w:r>
            <w:r>
              <w:rPr>
                <w:spacing w:val="-2"/>
              </w:rPr>
              <w:t>台</w:t>
            </w:r>
            <w:r>
              <w:rPr>
                <w:rFonts w:ascii="Times New Roman" w:hAnsi="Times New Roman" w:eastAsia="Times New Roman" w:cs="Times New Roman"/>
                <w:spacing w:val="-2"/>
              </w:rPr>
              <w:t>300KW</w:t>
            </w:r>
            <w:r>
              <w:rPr>
                <w:spacing w:val="-2"/>
              </w:rPr>
              <w:t>组串式逆变器。太阳能电池组件经日光照射后，</w:t>
            </w:r>
            <w:r>
              <w:rPr>
                <w:spacing w:val="10"/>
              </w:rPr>
              <w:t xml:space="preserve"> </w:t>
            </w:r>
            <w:r>
              <w:rPr>
                <w:spacing w:val="-1"/>
              </w:rPr>
              <w:t>形成低压直流电，电池组件串联后的直流电送至逆变器，直流电逆变为交流，</w:t>
            </w:r>
            <w:r>
              <w:rPr>
                <w:spacing w:val="6"/>
              </w:rPr>
              <w:t xml:space="preserve">  </w:t>
            </w:r>
            <w:r>
              <w:rPr>
                <w:spacing w:val="-2"/>
              </w:rPr>
              <w:t>逆变后的三相交流电引至升压变压器（箱式升压变电站</w:t>
            </w:r>
            <w:r>
              <w:rPr>
                <w:spacing w:val="5"/>
              </w:rPr>
              <w:t>），</w:t>
            </w:r>
            <w:r>
              <w:rPr>
                <w:spacing w:val="-2"/>
              </w:rPr>
              <w:t>升压站。</w:t>
            </w:r>
          </w:p>
          <w:p w14:paraId="15ACDBC9">
            <w:pPr>
              <w:pStyle w:val="6"/>
              <w:spacing w:before="46" w:line="352" w:lineRule="auto"/>
              <w:ind w:left="100" w:right="102" w:firstLine="488"/>
            </w:pPr>
            <w:r>
              <w:t>本项目固定式首年光伏发电系统效率</w:t>
            </w:r>
            <w:r>
              <w:rPr>
                <w:rFonts w:ascii="Times New Roman" w:hAnsi="Times New Roman" w:eastAsia="Times New Roman" w:cs="Times New Roman"/>
              </w:rPr>
              <w:t>PR</w:t>
            </w:r>
            <w:r>
              <w:t>为</w:t>
            </w:r>
            <w:r>
              <w:rPr>
                <w:rFonts w:ascii="Times New Roman" w:hAnsi="Times New Roman" w:eastAsia="Times New Roman" w:cs="Times New Roman"/>
              </w:rPr>
              <w:t>84.5%</w:t>
            </w:r>
            <w:r>
              <w:rPr>
                <w:rFonts w:ascii="Times New Roman" w:hAnsi="Times New Roman" w:eastAsia="Times New Roman" w:cs="Times New Roman"/>
                <w:spacing w:val="-25"/>
              </w:rPr>
              <w:t xml:space="preserve"> </w:t>
            </w:r>
            <w:r>
              <w:t xml:space="preserve">，光伏阵列的倾角和方位 </w:t>
            </w:r>
            <w:r>
              <w:rPr>
                <w:spacing w:val="-1"/>
              </w:rPr>
              <w:t>角修正系数</w:t>
            </w:r>
            <w:r>
              <w:rPr>
                <w:rFonts w:ascii="Times New Roman" w:hAnsi="Times New Roman" w:eastAsia="Times New Roman" w:cs="Times New Roman"/>
                <w:spacing w:val="-1"/>
              </w:rPr>
              <w:t>108.09%</w:t>
            </w:r>
            <w:r>
              <w:rPr>
                <w:rFonts w:ascii="Times New Roman" w:hAnsi="Times New Roman" w:eastAsia="Times New Roman" w:cs="Times New Roman"/>
                <w:spacing w:val="-25"/>
              </w:rPr>
              <w:t xml:space="preserve"> </w:t>
            </w:r>
            <w:r>
              <w:rPr>
                <w:spacing w:val="-1"/>
              </w:rPr>
              <w:t>。项目由</w:t>
            </w:r>
            <w:r>
              <w:rPr>
                <w:rFonts w:ascii="Times New Roman" w:hAnsi="Times New Roman" w:eastAsia="Times New Roman" w:cs="Times New Roman"/>
                <w:spacing w:val="-1"/>
              </w:rPr>
              <w:t>37</w:t>
            </w:r>
            <w:r>
              <w:rPr>
                <w:spacing w:val="-1"/>
              </w:rPr>
              <w:t>个光伏阵列组成，其中包含</w:t>
            </w:r>
            <w:r>
              <w:rPr>
                <w:rFonts w:ascii="Times New Roman" w:hAnsi="Times New Roman" w:eastAsia="Times New Roman" w:cs="Times New Roman"/>
                <w:spacing w:val="-1"/>
              </w:rPr>
              <w:t>18</w:t>
            </w:r>
            <w:r>
              <w:rPr>
                <w:spacing w:val="-1"/>
              </w:rPr>
              <w:t>个</w:t>
            </w:r>
            <w:r>
              <w:rPr>
                <w:rFonts w:ascii="Times New Roman" w:hAnsi="Times New Roman" w:eastAsia="Times New Roman" w:cs="Times New Roman"/>
                <w:spacing w:val="-1"/>
              </w:rPr>
              <w:t>3991.68 kWp</w:t>
            </w:r>
            <w:r>
              <w:rPr>
                <w:spacing w:val="-1"/>
              </w:rPr>
              <w:t>阵</w:t>
            </w:r>
            <w:r>
              <w:t xml:space="preserve"> </w:t>
            </w:r>
            <w:r>
              <w:rPr>
                <w:spacing w:val="4"/>
              </w:rPr>
              <w:t>列、</w:t>
            </w:r>
            <w:r>
              <w:rPr>
                <w:rFonts w:ascii="Times New Roman" w:hAnsi="Times New Roman" w:eastAsia="Times New Roman" w:cs="Times New Roman"/>
                <w:spacing w:val="4"/>
              </w:rPr>
              <w:t>1</w:t>
            </w:r>
            <w:r>
              <w:rPr>
                <w:spacing w:val="4"/>
              </w:rPr>
              <w:t>个</w:t>
            </w:r>
            <w:r>
              <w:rPr>
                <w:rFonts w:ascii="Times New Roman" w:hAnsi="Times New Roman" w:eastAsia="Times New Roman" w:cs="Times New Roman"/>
                <w:spacing w:val="4"/>
              </w:rPr>
              <w:t xml:space="preserve">3961.44 </w:t>
            </w:r>
            <w:r>
              <w:rPr>
                <w:rFonts w:ascii="Times New Roman" w:hAnsi="Times New Roman" w:eastAsia="Times New Roman" w:cs="Times New Roman"/>
              </w:rPr>
              <w:t>kWp</w:t>
            </w:r>
            <w:r>
              <w:rPr>
                <w:rFonts w:ascii="Times New Roman" w:hAnsi="Times New Roman" w:eastAsia="Times New Roman" w:cs="Times New Roman"/>
                <w:spacing w:val="4"/>
              </w:rPr>
              <w:t xml:space="preserve">  </w:t>
            </w:r>
            <w:r>
              <w:rPr>
                <w:spacing w:val="4"/>
              </w:rPr>
              <w:t>阵列、</w:t>
            </w:r>
            <w:r>
              <w:rPr>
                <w:rFonts w:ascii="Times New Roman" w:hAnsi="Times New Roman" w:eastAsia="Times New Roman" w:cs="Times New Roman"/>
                <w:spacing w:val="4"/>
              </w:rPr>
              <w:t>1</w:t>
            </w:r>
            <w:r>
              <w:rPr>
                <w:spacing w:val="4"/>
              </w:rPr>
              <w:t>个</w:t>
            </w:r>
            <w:r>
              <w:rPr>
                <w:rFonts w:ascii="Times New Roman" w:hAnsi="Times New Roman" w:eastAsia="Times New Roman" w:cs="Times New Roman"/>
                <w:spacing w:val="4"/>
              </w:rPr>
              <w:t>2903.0</w:t>
            </w:r>
            <w:r>
              <w:rPr>
                <w:rFonts w:ascii="Times New Roman" w:hAnsi="Times New Roman" w:eastAsia="Times New Roman" w:cs="Times New Roman"/>
                <w:spacing w:val="3"/>
              </w:rPr>
              <w:t xml:space="preserve">4 </w:t>
            </w:r>
            <w:r>
              <w:rPr>
                <w:rFonts w:ascii="Times New Roman" w:hAnsi="Times New Roman" w:eastAsia="Times New Roman" w:cs="Times New Roman"/>
              </w:rPr>
              <w:t>kWp</w:t>
            </w:r>
            <w:r>
              <w:rPr>
                <w:spacing w:val="3"/>
              </w:rPr>
              <w:t>阵列、</w:t>
            </w:r>
            <w:r>
              <w:rPr>
                <w:rFonts w:ascii="Times New Roman" w:hAnsi="Times New Roman" w:eastAsia="Times New Roman" w:cs="Times New Roman"/>
                <w:spacing w:val="3"/>
              </w:rPr>
              <w:t>1</w:t>
            </w:r>
            <w:r>
              <w:rPr>
                <w:spacing w:val="3"/>
              </w:rPr>
              <w:t>个</w:t>
            </w:r>
            <w:r>
              <w:rPr>
                <w:rFonts w:ascii="Times New Roman" w:hAnsi="Times New Roman" w:eastAsia="Times New Roman" w:cs="Times New Roman"/>
                <w:spacing w:val="3"/>
              </w:rPr>
              <w:t xml:space="preserve">3099.6 </w:t>
            </w:r>
            <w:r>
              <w:rPr>
                <w:rFonts w:ascii="Times New Roman" w:hAnsi="Times New Roman" w:eastAsia="Times New Roman" w:cs="Times New Roman"/>
              </w:rPr>
              <w:t>kWp</w:t>
            </w:r>
            <w:r>
              <w:rPr>
                <w:spacing w:val="3"/>
              </w:rPr>
              <w:t>阵列、</w:t>
            </w:r>
            <w:r>
              <w:rPr>
                <w:rFonts w:ascii="Times New Roman" w:hAnsi="Times New Roman" w:eastAsia="Times New Roman" w:cs="Times New Roman"/>
                <w:spacing w:val="3"/>
              </w:rPr>
              <w:t>1</w:t>
            </w:r>
            <w:r>
              <w:rPr>
                <w:spacing w:val="3"/>
              </w:rPr>
              <w:t>个</w:t>
            </w:r>
            <w:r>
              <w:t xml:space="preserve"> </w:t>
            </w:r>
            <w:r>
              <w:rPr>
                <w:rFonts w:ascii="Times New Roman" w:hAnsi="Times New Roman" w:eastAsia="Times New Roman" w:cs="Times New Roman"/>
                <w:spacing w:val="-1"/>
              </w:rPr>
              <w:t>2177.28 kWp</w:t>
            </w:r>
            <w:r>
              <w:rPr>
                <w:spacing w:val="-1"/>
              </w:rPr>
              <w:t>阵列、</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1103.76 kWp</w:t>
            </w:r>
            <w:r>
              <w:rPr>
                <w:spacing w:val="-1"/>
              </w:rPr>
              <w:t>阵列、</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2600.64 kWp</w:t>
            </w:r>
            <w:r>
              <w:rPr>
                <w:spacing w:val="-1"/>
              </w:rPr>
              <w:t>阵</w:t>
            </w:r>
            <w:r>
              <w:rPr>
                <w:spacing w:val="-2"/>
              </w:rPr>
              <w:t>列、</w:t>
            </w:r>
            <w:r>
              <w:rPr>
                <w:rFonts w:ascii="Times New Roman" w:hAnsi="Times New Roman" w:eastAsia="Times New Roman" w:cs="Times New Roman"/>
                <w:spacing w:val="-2"/>
              </w:rPr>
              <w:t>1</w:t>
            </w:r>
            <w:r>
              <w:rPr>
                <w:spacing w:val="-2"/>
              </w:rPr>
              <w:t>个</w:t>
            </w:r>
            <w:r>
              <w:rPr>
                <w:rFonts w:ascii="Times New Roman" w:hAnsi="Times New Roman" w:eastAsia="Times New Roman" w:cs="Times New Roman"/>
                <w:spacing w:val="-2"/>
              </w:rPr>
              <w:t>907.2 kWp</w:t>
            </w:r>
            <w:r>
              <w:rPr>
                <w:rFonts w:ascii="Times New Roman" w:hAnsi="Times New Roman" w:eastAsia="Times New Roman" w:cs="Times New Roman"/>
              </w:rPr>
              <w:t xml:space="preserve"> </w:t>
            </w:r>
            <w:r>
              <w:rPr>
                <w:spacing w:val="1"/>
              </w:rPr>
              <w:t>阵列、</w:t>
            </w:r>
            <w:r>
              <w:rPr>
                <w:rFonts w:ascii="Times New Roman" w:hAnsi="Times New Roman" w:eastAsia="Times New Roman" w:cs="Times New Roman"/>
                <w:spacing w:val="1"/>
              </w:rPr>
              <w:t>1</w:t>
            </w:r>
            <w:r>
              <w:rPr>
                <w:spacing w:val="1"/>
              </w:rPr>
              <w:t xml:space="preserve">个 </w:t>
            </w:r>
            <w:r>
              <w:rPr>
                <w:rFonts w:ascii="Times New Roman" w:hAnsi="Times New Roman" w:eastAsia="Times New Roman" w:cs="Times New Roman"/>
                <w:spacing w:val="1"/>
              </w:rPr>
              <w:t xml:space="preserve">2963.52 </w:t>
            </w:r>
            <w:r>
              <w:rPr>
                <w:rFonts w:ascii="Times New Roman" w:hAnsi="Times New Roman" w:eastAsia="Times New Roman" w:cs="Times New Roman"/>
              </w:rPr>
              <w:t>kWp</w:t>
            </w:r>
            <w:r>
              <w:rPr>
                <w:spacing w:val="1"/>
              </w:rPr>
              <w:t>阵列、</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1421.28</w:t>
            </w:r>
            <w:r>
              <w:rPr>
                <w:rFonts w:ascii="Times New Roman" w:hAnsi="Times New Roman" w:eastAsia="Times New Roman" w:cs="Times New Roman"/>
              </w:rPr>
              <w:t>kWp</w:t>
            </w:r>
            <w:r>
              <w:rPr>
                <w:rFonts w:ascii="Times New Roman" w:hAnsi="Times New Roman" w:eastAsia="Times New Roman" w:cs="Times New Roman"/>
                <w:spacing w:val="1"/>
              </w:rPr>
              <w:t xml:space="preserve">  </w:t>
            </w:r>
            <w:r>
              <w:rPr>
                <w:spacing w:val="1"/>
              </w:rPr>
              <w:t>阵列、</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3991</w:t>
            </w:r>
            <w:r>
              <w:rPr>
                <w:rFonts w:ascii="Times New Roman" w:hAnsi="Times New Roman" w:eastAsia="Times New Roman" w:cs="Times New Roman"/>
              </w:rPr>
              <w:t>.68kWp</w:t>
            </w:r>
            <w:r>
              <w:t>阵列、</w:t>
            </w:r>
            <w:r>
              <w:rPr>
                <w:rFonts w:ascii="Times New Roman" w:hAnsi="Times New Roman" w:eastAsia="Times New Roman" w:cs="Times New Roman"/>
              </w:rPr>
              <w:t xml:space="preserve">1 </w:t>
            </w:r>
            <w:r>
              <w:rPr>
                <w:spacing w:val="-1"/>
              </w:rPr>
              <w:t>个</w:t>
            </w:r>
            <w:r>
              <w:rPr>
                <w:rFonts w:ascii="Times New Roman" w:hAnsi="Times New Roman" w:eastAsia="Times New Roman" w:cs="Times New Roman"/>
                <w:spacing w:val="-1"/>
              </w:rPr>
              <w:t>3447.36 kWp</w:t>
            </w:r>
            <w:r>
              <w:rPr>
                <w:spacing w:val="-1"/>
              </w:rPr>
              <w:t>阵列、</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2540.</w:t>
            </w:r>
            <w:r>
              <w:rPr>
                <w:rFonts w:ascii="Times New Roman" w:hAnsi="Times New Roman" w:eastAsia="Times New Roman" w:cs="Times New Roman"/>
                <w:spacing w:val="-27"/>
              </w:rPr>
              <w:t xml:space="preserve"> </w:t>
            </w:r>
            <w:r>
              <w:rPr>
                <w:rFonts w:ascii="Times New Roman" w:hAnsi="Times New Roman" w:eastAsia="Times New Roman" w:cs="Times New Roman"/>
                <w:spacing w:val="-1"/>
              </w:rPr>
              <w:t>16 kWp</w:t>
            </w:r>
            <w:r>
              <w:rPr>
                <w:spacing w:val="-1"/>
              </w:rPr>
              <w:t>阵列、</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2328.48 kWp</w:t>
            </w:r>
            <w:r>
              <w:rPr>
                <w:spacing w:val="-1"/>
              </w:rPr>
              <w:t>阵列、</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2268.00</w:t>
            </w:r>
            <w:r>
              <w:rPr>
                <w:rFonts w:ascii="Times New Roman" w:hAnsi="Times New Roman" w:eastAsia="Times New Roman" w:cs="Times New Roman"/>
              </w:rPr>
              <w:t xml:space="preserve"> </w:t>
            </w:r>
            <w:r>
              <w:rPr>
                <w:rFonts w:ascii="Times New Roman" w:hAnsi="Times New Roman" w:eastAsia="Times New Roman" w:cs="Times New Roman"/>
                <w:spacing w:val="-1"/>
              </w:rPr>
              <w:t>kWp</w:t>
            </w:r>
            <w:r>
              <w:rPr>
                <w:spacing w:val="-1"/>
              </w:rPr>
              <w:t>阵列、</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1043.28 kWp</w:t>
            </w:r>
            <w:r>
              <w:rPr>
                <w:spacing w:val="-1"/>
              </w:rPr>
              <w:t>阵列和</w:t>
            </w:r>
            <w:r>
              <w:rPr>
                <w:rFonts w:ascii="Times New Roman" w:hAnsi="Times New Roman" w:eastAsia="Times New Roman" w:cs="Times New Roman"/>
                <w:spacing w:val="-1"/>
              </w:rPr>
              <w:t>1</w:t>
            </w:r>
            <w:r>
              <w:rPr>
                <w:spacing w:val="-1"/>
              </w:rPr>
              <w:t>个</w:t>
            </w:r>
            <w:r>
              <w:rPr>
                <w:rFonts w:ascii="Times New Roman" w:hAnsi="Times New Roman" w:eastAsia="Times New Roman" w:cs="Times New Roman"/>
                <w:spacing w:val="-1"/>
              </w:rPr>
              <w:t>2283.</w:t>
            </w:r>
            <w:r>
              <w:rPr>
                <w:rFonts w:ascii="Times New Roman" w:hAnsi="Times New Roman" w:eastAsia="Times New Roman" w:cs="Times New Roman"/>
                <w:spacing w:val="-26"/>
              </w:rPr>
              <w:t xml:space="preserve"> </w:t>
            </w:r>
            <w:r>
              <w:rPr>
                <w:rFonts w:ascii="Times New Roman" w:hAnsi="Times New Roman" w:eastAsia="Times New Roman" w:cs="Times New Roman"/>
                <w:spacing w:val="-1"/>
              </w:rPr>
              <w:t>12 kWp</w:t>
            </w:r>
            <w:r>
              <w:rPr>
                <w:spacing w:val="-1"/>
              </w:rPr>
              <w:t>阵列。</w:t>
            </w:r>
          </w:p>
          <w:p w14:paraId="1CE2665D">
            <w:pPr>
              <w:pStyle w:val="6"/>
              <w:spacing w:before="59" w:line="352" w:lineRule="auto"/>
              <w:ind w:left="102" w:right="41" w:firstLine="485"/>
            </w:pPr>
            <w:r>
              <w:rPr>
                <w:spacing w:val="2"/>
              </w:rPr>
              <w:t>全站设</w:t>
            </w:r>
            <w:r>
              <w:rPr>
                <w:rFonts w:ascii="Times New Roman" w:hAnsi="Times New Roman" w:eastAsia="Times New Roman" w:cs="Times New Roman"/>
                <w:spacing w:val="2"/>
              </w:rPr>
              <w:t>319</w:t>
            </w:r>
            <w:r>
              <w:rPr>
                <w:spacing w:val="2"/>
              </w:rPr>
              <w:t>台</w:t>
            </w:r>
            <w:r>
              <w:rPr>
                <w:rFonts w:ascii="Times New Roman" w:hAnsi="Times New Roman" w:eastAsia="Times New Roman" w:cs="Times New Roman"/>
                <w:spacing w:val="2"/>
              </w:rPr>
              <w:t>300</w:t>
            </w:r>
            <w:r>
              <w:rPr>
                <w:rFonts w:ascii="Times New Roman" w:hAnsi="Times New Roman" w:eastAsia="Times New Roman" w:cs="Times New Roman"/>
              </w:rPr>
              <w:t>kW</w:t>
            </w:r>
            <w:r>
              <w:rPr>
                <w:spacing w:val="2"/>
              </w:rPr>
              <w:t>组串式逆变器，</w:t>
            </w:r>
            <w:r>
              <w:rPr>
                <w:rFonts w:ascii="Times New Roman" w:hAnsi="Times New Roman" w:eastAsia="Times New Roman" w:cs="Times New Roman"/>
                <w:spacing w:val="2"/>
              </w:rPr>
              <w:t>19</w:t>
            </w:r>
            <w:r>
              <w:rPr>
                <w:spacing w:val="2"/>
              </w:rPr>
              <w:t xml:space="preserve">台 </w:t>
            </w:r>
            <w:r>
              <w:rPr>
                <w:rFonts w:ascii="Times New Roman" w:hAnsi="Times New Roman" w:eastAsia="Times New Roman" w:cs="Times New Roman"/>
                <w:spacing w:val="2"/>
              </w:rPr>
              <w:t>3300</w:t>
            </w:r>
            <w:r>
              <w:rPr>
                <w:rFonts w:ascii="Times New Roman" w:hAnsi="Times New Roman" w:eastAsia="Times New Roman" w:cs="Times New Roman"/>
              </w:rPr>
              <w:t>kVA</w:t>
            </w:r>
            <w:r>
              <w:rPr>
                <w:spacing w:val="2"/>
              </w:rPr>
              <w:t>箱变，</w:t>
            </w:r>
            <w:r>
              <w:rPr>
                <w:rFonts w:ascii="Times New Roman" w:hAnsi="Times New Roman" w:eastAsia="Times New Roman" w:cs="Times New Roman"/>
                <w:spacing w:val="2"/>
              </w:rPr>
              <w:t>2</w:t>
            </w:r>
            <w:r>
              <w:rPr>
                <w:spacing w:val="2"/>
              </w:rPr>
              <w:t>台</w:t>
            </w:r>
            <w:r>
              <w:rPr>
                <w:rFonts w:ascii="Times New Roman" w:hAnsi="Times New Roman" w:eastAsia="Times New Roman" w:cs="Times New Roman"/>
                <w:spacing w:val="2"/>
              </w:rPr>
              <w:t>2700</w:t>
            </w:r>
            <w:r>
              <w:rPr>
                <w:rFonts w:ascii="Times New Roman" w:hAnsi="Times New Roman" w:eastAsia="Times New Roman" w:cs="Times New Roman"/>
              </w:rPr>
              <w:t>kVA</w:t>
            </w:r>
            <w:r>
              <w:rPr>
                <w:rFonts w:ascii="Times New Roman" w:hAnsi="Times New Roman" w:eastAsia="Times New Roman" w:cs="Times New Roman"/>
                <w:spacing w:val="2"/>
              </w:rPr>
              <w:t>,</w:t>
            </w:r>
            <w:r>
              <w:rPr>
                <w:spacing w:val="2"/>
              </w:rPr>
              <w:t>箱</w:t>
            </w:r>
            <w:r>
              <w:rPr>
                <w:spacing w:val="17"/>
              </w:rPr>
              <w:t xml:space="preserve"> </w:t>
            </w:r>
            <w:r>
              <w:rPr>
                <w:spacing w:val="1"/>
              </w:rPr>
              <w:t>变，</w:t>
            </w:r>
            <w:r>
              <w:rPr>
                <w:rFonts w:ascii="Times New Roman" w:hAnsi="Times New Roman" w:eastAsia="Times New Roman" w:cs="Times New Roman"/>
                <w:spacing w:val="1"/>
              </w:rPr>
              <w:t>3</w:t>
            </w:r>
            <w:r>
              <w:rPr>
                <w:spacing w:val="1"/>
              </w:rPr>
              <w:t>台</w:t>
            </w:r>
            <w:r>
              <w:rPr>
                <w:rFonts w:ascii="Times New Roman" w:hAnsi="Times New Roman" w:eastAsia="Times New Roman" w:cs="Times New Roman"/>
                <w:spacing w:val="1"/>
              </w:rPr>
              <w:t>2400</w:t>
            </w:r>
            <w:r>
              <w:rPr>
                <w:rFonts w:ascii="Times New Roman" w:hAnsi="Times New Roman" w:eastAsia="Times New Roman" w:cs="Times New Roman"/>
              </w:rPr>
              <w:t>kVA</w:t>
            </w:r>
            <w:r>
              <w:rPr>
                <w:spacing w:val="1"/>
              </w:rPr>
              <w:t>箱变，</w:t>
            </w:r>
            <w:r>
              <w:rPr>
                <w:rFonts w:ascii="Times New Roman" w:hAnsi="Times New Roman" w:eastAsia="Times New Roman" w:cs="Times New Roman"/>
                <w:spacing w:val="1"/>
              </w:rPr>
              <w:t>3</w:t>
            </w:r>
            <w:r>
              <w:rPr>
                <w:spacing w:val="1"/>
              </w:rPr>
              <w:t>台</w:t>
            </w:r>
            <w:r>
              <w:rPr>
                <w:rFonts w:ascii="Times New Roman" w:hAnsi="Times New Roman" w:eastAsia="Times New Roman" w:cs="Times New Roman"/>
                <w:spacing w:val="1"/>
              </w:rPr>
              <w:t>2100</w:t>
            </w:r>
            <w:r>
              <w:rPr>
                <w:rFonts w:ascii="Times New Roman" w:hAnsi="Times New Roman" w:eastAsia="Times New Roman" w:cs="Times New Roman"/>
              </w:rPr>
              <w:t>kVA</w:t>
            </w:r>
            <w:r>
              <w:rPr>
                <w:spacing w:val="1"/>
              </w:rPr>
              <w:t>箱变，</w:t>
            </w:r>
            <w:r>
              <w:rPr>
                <w:rFonts w:ascii="Times New Roman" w:hAnsi="Times New Roman" w:eastAsia="Times New Roman" w:cs="Times New Roman"/>
                <w:spacing w:val="1"/>
              </w:rPr>
              <w:t>5</w:t>
            </w:r>
            <w:r>
              <w:rPr>
                <w:spacing w:val="1"/>
              </w:rPr>
              <w:t>台</w:t>
            </w:r>
            <w:r>
              <w:rPr>
                <w:rFonts w:ascii="Times New Roman" w:hAnsi="Times New Roman" w:eastAsia="Times New Roman" w:cs="Times New Roman"/>
                <w:spacing w:val="1"/>
              </w:rPr>
              <w:t>1800</w:t>
            </w:r>
            <w:r>
              <w:rPr>
                <w:rFonts w:ascii="Times New Roman" w:hAnsi="Times New Roman" w:eastAsia="Times New Roman" w:cs="Times New Roman"/>
              </w:rPr>
              <w:t>kVA</w:t>
            </w:r>
            <w:r>
              <w:rPr>
                <w:spacing w:val="1"/>
              </w:rPr>
              <w:t>箱变，</w:t>
            </w:r>
            <w:r>
              <w:rPr>
                <w:rFonts w:ascii="Times New Roman" w:hAnsi="Times New Roman" w:eastAsia="Times New Roman" w:cs="Times New Roman"/>
                <w:spacing w:val="1"/>
              </w:rPr>
              <w:t>2</w:t>
            </w:r>
            <w:r>
              <w:rPr>
                <w:spacing w:val="1"/>
              </w:rPr>
              <w:t>台</w:t>
            </w:r>
            <w:r>
              <w:rPr>
                <w:rFonts w:ascii="Times New Roman" w:hAnsi="Times New Roman" w:eastAsia="Times New Roman" w:cs="Times New Roman"/>
                <w:spacing w:val="1"/>
              </w:rPr>
              <w:t>1200</w:t>
            </w:r>
            <w:r>
              <w:rPr>
                <w:rFonts w:ascii="Times New Roman" w:hAnsi="Times New Roman" w:eastAsia="Times New Roman" w:cs="Times New Roman"/>
              </w:rPr>
              <w:t>kVA</w:t>
            </w:r>
            <w:r>
              <w:rPr>
                <w:spacing w:val="1"/>
              </w:rPr>
              <w:t>箱</w:t>
            </w:r>
            <w:r>
              <w:rPr>
                <w:spacing w:val="12"/>
              </w:rPr>
              <w:t xml:space="preserve"> </w:t>
            </w:r>
            <w:r>
              <w:rPr>
                <w:spacing w:val="-3"/>
              </w:rPr>
              <w:t>变，</w:t>
            </w:r>
            <w:r>
              <w:rPr>
                <w:rFonts w:ascii="Times New Roman" w:hAnsi="Times New Roman" w:eastAsia="Times New Roman" w:cs="Times New Roman"/>
                <w:spacing w:val="-3"/>
              </w:rPr>
              <w:t>3</w:t>
            </w:r>
            <w:r>
              <w:rPr>
                <w:spacing w:val="-3"/>
              </w:rPr>
              <w:t>台</w:t>
            </w:r>
            <w:r>
              <w:rPr>
                <w:rFonts w:ascii="Times New Roman" w:hAnsi="Times New Roman" w:eastAsia="Times New Roman" w:cs="Times New Roman"/>
                <w:spacing w:val="-3"/>
              </w:rPr>
              <w:t>900kVA</w:t>
            </w:r>
            <w:r>
              <w:rPr>
                <w:spacing w:val="-3"/>
              </w:rPr>
              <w:t>箱变，全站装机容量通过</w:t>
            </w:r>
            <w:r>
              <w:rPr>
                <w:rFonts w:ascii="Times New Roman" w:hAnsi="Times New Roman" w:eastAsia="Times New Roman" w:cs="Times New Roman"/>
                <w:spacing w:val="-3"/>
              </w:rPr>
              <w:t>4</w:t>
            </w:r>
            <w:r>
              <w:rPr>
                <w:spacing w:val="-3"/>
              </w:rPr>
              <w:t>回</w:t>
            </w:r>
            <w:r>
              <w:rPr>
                <w:rFonts w:ascii="Times New Roman" w:hAnsi="Times New Roman" w:eastAsia="Times New Roman" w:cs="Times New Roman"/>
                <w:spacing w:val="-3"/>
              </w:rPr>
              <w:t>35kV</w:t>
            </w:r>
            <w:r>
              <w:rPr>
                <w:spacing w:val="-3"/>
              </w:rPr>
              <w:t>电缆集电线路输送至升压站，</w:t>
            </w:r>
            <w:r>
              <w:rPr>
                <w:spacing w:val="16"/>
              </w:rPr>
              <w:t xml:space="preserve"> </w:t>
            </w:r>
            <w:r>
              <w:rPr>
                <w:rFonts w:ascii="Times New Roman" w:hAnsi="Times New Roman" w:eastAsia="Times New Roman" w:cs="Times New Roman"/>
              </w:rPr>
              <w:t>4</w:t>
            </w:r>
            <w:r>
              <w:t>回</w:t>
            </w:r>
            <w:r>
              <w:rPr>
                <w:rFonts w:ascii="Times New Roman" w:hAnsi="Times New Roman" w:eastAsia="Times New Roman" w:cs="Times New Roman"/>
              </w:rPr>
              <w:t>35kV</w:t>
            </w:r>
            <w:r>
              <w:t xml:space="preserve">架空集电线路拟建设坐杆塔，本工程采用 </w:t>
            </w:r>
            <w:r>
              <w:rPr>
                <w:rFonts w:ascii="Times New Roman" w:hAnsi="Times New Roman" w:eastAsia="Times New Roman" w:cs="Times New Roman"/>
              </w:rPr>
              <w:t xml:space="preserve">35kV  </w:t>
            </w:r>
            <w:r>
              <w:t>单回路自立式铁塔，</w:t>
            </w:r>
          </w:p>
        </w:tc>
      </w:tr>
    </w:tbl>
    <w:p w14:paraId="3031BD15">
      <w:pPr>
        <w:rPr>
          <w:rFonts w:ascii="Arial"/>
          <w:sz w:val="21"/>
        </w:rPr>
      </w:pPr>
    </w:p>
    <w:p w14:paraId="76D132DC">
      <w:pPr>
        <w:rPr>
          <w:rFonts w:ascii="Arial" w:hAnsi="Arial" w:eastAsia="Arial" w:cs="Arial"/>
          <w:sz w:val="21"/>
          <w:szCs w:val="21"/>
        </w:rPr>
        <w:sectPr>
          <w:footerReference r:id="rId49" w:type="default"/>
          <w:pgSz w:w="11906" w:h="16839"/>
          <w:pgMar w:top="1431" w:right="1415" w:bottom="1278" w:left="1415" w:header="0" w:footer="1116" w:gutter="0"/>
          <w:cols w:space="720" w:num="1"/>
        </w:sectPr>
      </w:pPr>
    </w:p>
    <w:p w14:paraId="5ADB9EEA">
      <w:pPr>
        <w:spacing w:line="99" w:lineRule="exact"/>
      </w:pPr>
    </w:p>
    <w:tbl>
      <w:tblPr>
        <w:tblStyle w:val="5"/>
        <w:tblW w:w="90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9"/>
        <w:gridCol w:w="8371"/>
      </w:tblGrid>
      <w:tr w14:paraId="56BF5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7" w:hRule="atLeast"/>
        </w:trPr>
        <w:tc>
          <w:tcPr>
            <w:tcW w:w="689" w:type="dxa"/>
            <w:tcBorders>
              <w:bottom w:val="single" w:color="000000" w:sz="4" w:space="0"/>
              <w:right w:val="single" w:color="000000" w:sz="2" w:space="0"/>
            </w:tcBorders>
            <w:vAlign w:val="top"/>
          </w:tcPr>
          <w:p w14:paraId="3A19C0DF">
            <w:pPr>
              <w:rPr>
                <w:rFonts w:ascii="Arial"/>
                <w:sz w:val="21"/>
              </w:rPr>
            </w:pPr>
          </w:p>
        </w:tc>
        <w:tc>
          <w:tcPr>
            <w:tcW w:w="8371" w:type="dxa"/>
            <w:tcBorders>
              <w:left w:val="single" w:color="000000" w:sz="2" w:space="0"/>
              <w:bottom w:val="single" w:color="000000" w:sz="4" w:space="0"/>
            </w:tcBorders>
            <w:vAlign w:val="top"/>
          </w:tcPr>
          <w:p w14:paraId="6109AC28">
            <w:pPr>
              <w:pStyle w:val="6"/>
              <w:spacing w:before="30" w:line="346" w:lineRule="auto"/>
              <w:ind w:left="106" w:right="102"/>
            </w:pPr>
            <w:r>
              <w:rPr>
                <w:spacing w:val="-3"/>
              </w:rPr>
              <w:t>共有以下几种型式：</w:t>
            </w:r>
            <w:r>
              <w:rPr>
                <w:rFonts w:ascii="Times New Roman" w:hAnsi="Times New Roman" w:eastAsia="Times New Roman" w:cs="Times New Roman"/>
                <w:spacing w:val="-3"/>
              </w:rPr>
              <w:t>35kV</w:t>
            </w:r>
            <w:r>
              <w:rPr>
                <w:spacing w:val="-3"/>
              </w:rPr>
              <w:t>单回路</w:t>
            </w:r>
            <w:r>
              <w:rPr>
                <w:rFonts w:ascii="Times New Roman" w:hAnsi="Times New Roman" w:eastAsia="Times New Roman" w:cs="Times New Roman"/>
                <w:spacing w:val="-3"/>
              </w:rPr>
              <w:t>0</w:t>
            </w:r>
            <w:r>
              <w:rPr>
                <w:rFonts w:ascii="Times New Roman" w:hAnsi="Times New Roman" w:eastAsia="Times New Roman" w:cs="Times New Roman"/>
                <w:spacing w:val="-29"/>
              </w:rPr>
              <w:t xml:space="preserve"> </w:t>
            </w:r>
            <w:r>
              <w:rPr>
                <w:spacing w:val="-3"/>
              </w:rPr>
              <w:t>°</w:t>
            </w:r>
            <w:r>
              <w:rPr>
                <w:rFonts w:ascii="Times New Roman" w:hAnsi="Times New Roman" w:eastAsia="Times New Roman" w:cs="Times New Roman"/>
                <w:spacing w:val="-3"/>
              </w:rPr>
              <w:t>~20</w:t>
            </w:r>
            <w:r>
              <w:rPr>
                <w:rFonts w:ascii="Times New Roman" w:hAnsi="Times New Roman" w:eastAsia="Times New Roman" w:cs="Times New Roman"/>
                <w:spacing w:val="-29"/>
              </w:rPr>
              <w:t xml:space="preserve"> </w:t>
            </w:r>
            <w:r>
              <w:rPr>
                <w:spacing w:val="-3"/>
              </w:rPr>
              <w:t>°转角塔、</w:t>
            </w:r>
            <w:r>
              <w:rPr>
                <w:rFonts w:ascii="Times New Roman" w:hAnsi="Times New Roman" w:eastAsia="Times New Roman" w:cs="Times New Roman"/>
                <w:spacing w:val="-3"/>
              </w:rPr>
              <w:t>35</w:t>
            </w:r>
            <w:r>
              <w:rPr>
                <w:rFonts w:ascii="Times New Roman" w:hAnsi="Times New Roman" w:eastAsia="Times New Roman" w:cs="Times New Roman"/>
                <w:spacing w:val="-4"/>
              </w:rPr>
              <w:t>kV</w:t>
            </w:r>
            <w:r>
              <w:rPr>
                <w:spacing w:val="-4"/>
              </w:rPr>
              <w:t>单回路</w:t>
            </w:r>
            <w:r>
              <w:rPr>
                <w:rFonts w:ascii="Times New Roman" w:hAnsi="Times New Roman" w:eastAsia="Times New Roman" w:cs="Times New Roman"/>
                <w:spacing w:val="-4"/>
              </w:rPr>
              <w:t>20</w:t>
            </w:r>
            <w:r>
              <w:rPr>
                <w:rFonts w:ascii="Times New Roman" w:hAnsi="Times New Roman" w:eastAsia="Times New Roman" w:cs="Times New Roman"/>
                <w:spacing w:val="-29"/>
              </w:rPr>
              <w:t xml:space="preserve"> </w:t>
            </w:r>
            <w:r>
              <w:rPr>
                <w:spacing w:val="-4"/>
              </w:rPr>
              <w:t>°</w:t>
            </w:r>
            <w:r>
              <w:rPr>
                <w:rFonts w:ascii="Times New Roman" w:hAnsi="Times New Roman" w:eastAsia="Times New Roman" w:cs="Times New Roman"/>
                <w:spacing w:val="-4"/>
              </w:rPr>
              <w:t>~40</w:t>
            </w:r>
            <w:r>
              <w:rPr>
                <w:rFonts w:ascii="Times New Roman" w:hAnsi="Times New Roman" w:eastAsia="Times New Roman" w:cs="Times New Roman"/>
                <w:spacing w:val="-29"/>
              </w:rPr>
              <w:t xml:space="preserve"> </w:t>
            </w:r>
            <w:r>
              <w:rPr>
                <w:spacing w:val="-4"/>
              </w:rPr>
              <w:t>°转角</w:t>
            </w:r>
            <w:r>
              <w:t xml:space="preserve"> </w:t>
            </w:r>
            <w:r>
              <w:rPr>
                <w:spacing w:val="-2"/>
              </w:rPr>
              <w:t>塔、</w:t>
            </w:r>
            <w:r>
              <w:rPr>
                <w:rFonts w:ascii="Times New Roman" w:hAnsi="Times New Roman" w:eastAsia="Times New Roman" w:cs="Times New Roman"/>
                <w:spacing w:val="-2"/>
              </w:rPr>
              <w:t>35kV</w:t>
            </w:r>
            <w:r>
              <w:rPr>
                <w:spacing w:val="-2"/>
              </w:rPr>
              <w:t>单回路</w:t>
            </w:r>
            <w:r>
              <w:rPr>
                <w:rFonts w:ascii="Times New Roman" w:hAnsi="Times New Roman" w:eastAsia="Times New Roman" w:cs="Times New Roman"/>
                <w:spacing w:val="-2"/>
              </w:rPr>
              <w:t>60</w:t>
            </w:r>
            <w:r>
              <w:rPr>
                <w:rFonts w:ascii="Times New Roman" w:hAnsi="Times New Roman" w:eastAsia="Times New Roman" w:cs="Times New Roman"/>
                <w:spacing w:val="-29"/>
              </w:rPr>
              <w:t xml:space="preserve"> </w:t>
            </w:r>
            <w:r>
              <w:rPr>
                <w:spacing w:val="-2"/>
              </w:rPr>
              <w:t>°</w:t>
            </w:r>
            <w:r>
              <w:rPr>
                <w:rFonts w:ascii="Times New Roman" w:hAnsi="Times New Roman" w:eastAsia="Times New Roman" w:cs="Times New Roman"/>
                <w:spacing w:val="-2"/>
              </w:rPr>
              <w:t>~90</w:t>
            </w:r>
            <w:r>
              <w:rPr>
                <w:rFonts w:ascii="Times New Roman" w:hAnsi="Times New Roman" w:eastAsia="Times New Roman" w:cs="Times New Roman"/>
                <w:spacing w:val="-29"/>
              </w:rPr>
              <w:t xml:space="preserve"> </w:t>
            </w:r>
            <w:r>
              <w:rPr>
                <w:spacing w:val="-2"/>
              </w:rPr>
              <w:t>°转角塔、</w:t>
            </w:r>
            <w:r>
              <w:rPr>
                <w:rFonts w:ascii="Times New Roman" w:hAnsi="Times New Roman" w:eastAsia="Times New Roman" w:cs="Times New Roman"/>
                <w:spacing w:val="-2"/>
              </w:rPr>
              <w:t>3</w:t>
            </w:r>
            <w:r>
              <w:rPr>
                <w:rFonts w:ascii="Times New Roman" w:hAnsi="Times New Roman" w:eastAsia="Times New Roman" w:cs="Times New Roman"/>
                <w:spacing w:val="-3"/>
              </w:rPr>
              <w:t>5kV</w:t>
            </w:r>
            <w:r>
              <w:rPr>
                <w:spacing w:val="-3"/>
              </w:rPr>
              <w:t>单回路直线塔。</w:t>
            </w:r>
          </w:p>
          <w:p w14:paraId="1F5B0CB7">
            <w:pPr>
              <w:pStyle w:val="6"/>
              <w:spacing w:before="32" w:line="347" w:lineRule="auto"/>
              <w:ind w:left="108" w:right="102" w:firstLine="480"/>
            </w:pPr>
            <w:r>
              <w:rPr>
                <w:spacing w:val="-2"/>
              </w:rPr>
              <w:t>新建一座</w:t>
            </w:r>
            <w:r>
              <w:rPr>
                <w:rFonts w:ascii="Times New Roman" w:hAnsi="Times New Roman" w:eastAsia="Times New Roman" w:cs="Times New Roman"/>
                <w:spacing w:val="-2"/>
              </w:rPr>
              <w:t>220kV</w:t>
            </w:r>
            <w:r>
              <w:rPr>
                <w:spacing w:val="-2"/>
              </w:rPr>
              <w:t>升压站，配套建设容量为</w:t>
            </w:r>
            <w:r>
              <w:rPr>
                <w:rFonts w:ascii="Times New Roman" w:hAnsi="Times New Roman" w:eastAsia="Times New Roman" w:cs="Times New Roman"/>
                <w:spacing w:val="-2"/>
              </w:rPr>
              <w:t>180MVA</w:t>
            </w:r>
            <w:r>
              <w:rPr>
                <w:spacing w:val="-2"/>
              </w:rPr>
              <w:t>的主变压器，</w:t>
            </w:r>
            <w:r>
              <w:rPr>
                <w:rFonts w:ascii="Times New Roman" w:hAnsi="Times New Roman" w:eastAsia="Times New Roman" w:cs="Times New Roman"/>
                <w:spacing w:val="-2"/>
              </w:rPr>
              <w:t>220kV</w:t>
            </w:r>
            <w:r>
              <w:rPr>
                <w:spacing w:val="-2"/>
              </w:rPr>
              <w:t>升压</w:t>
            </w:r>
            <w:r>
              <w:t xml:space="preserve"> 站通过</w:t>
            </w:r>
            <w:r>
              <w:rPr>
                <w:rFonts w:ascii="Times New Roman" w:hAnsi="Times New Roman" w:eastAsia="Times New Roman" w:cs="Times New Roman"/>
              </w:rPr>
              <w:t>1</w:t>
            </w:r>
            <w:r>
              <w:t>回</w:t>
            </w:r>
            <w:r>
              <w:rPr>
                <w:rFonts w:ascii="Times New Roman" w:hAnsi="Times New Roman" w:eastAsia="Times New Roman" w:cs="Times New Roman"/>
              </w:rPr>
              <w:t>220kV</w:t>
            </w:r>
            <w:r>
              <w:t>送出线路接入</w:t>
            </w:r>
            <w:r>
              <w:rPr>
                <w:rFonts w:ascii="Times New Roman" w:hAnsi="Times New Roman" w:eastAsia="Times New Roman" w:cs="Times New Roman"/>
              </w:rPr>
              <w:t>500k</w:t>
            </w:r>
            <w:r>
              <w:rPr>
                <w:rFonts w:ascii="Times New Roman" w:hAnsi="Times New Roman" w:eastAsia="Times New Roman" w:cs="Times New Roman"/>
                <w:spacing w:val="-1"/>
              </w:rPr>
              <w:t>V</w:t>
            </w:r>
            <w:r>
              <w:rPr>
                <w:spacing w:val="-1"/>
              </w:rPr>
              <w:t>麒麟变</w:t>
            </w:r>
            <w:r>
              <w:rPr>
                <w:rFonts w:ascii="Times New Roman" w:hAnsi="Times New Roman" w:eastAsia="Times New Roman" w:cs="Times New Roman"/>
                <w:spacing w:val="-1"/>
              </w:rPr>
              <w:t>220kV</w:t>
            </w:r>
            <w:r>
              <w:rPr>
                <w:spacing w:val="-1"/>
              </w:rPr>
              <w:t>侧。</w:t>
            </w:r>
          </w:p>
          <w:p w14:paraId="2221FB02">
            <w:pPr>
              <w:pStyle w:val="6"/>
              <w:spacing w:before="34" w:line="352" w:lineRule="auto"/>
              <w:ind w:left="107" w:right="102" w:firstLine="498"/>
            </w:pPr>
            <w:r>
              <w:rPr>
                <w:spacing w:val="3"/>
              </w:rPr>
              <w:t>因</w:t>
            </w:r>
            <w:r>
              <w:rPr>
                <w:rFonts w:ascii="Times New Roman" w:hAnsi="Times New Roman" w:eastAsia="Times New Roman" w:cs="Times New Roman"/>
                <w:spacing w:val="3"/>
              </w:rPr>
              <w:t>220</w:t>
            </w:r>
            <w:r>
              <w:rPr>
                <w:rFonts w:ascii="Times New Roman" w:hAnsi="Times New Roman" w:eastAsia="Times New Roman" w:cs="Times New Roman"/>
              </w:rPr>
              <w:t>kV</w:t>
            </w:r>
            <w:r>
              <w:rPr>
                <w:spacing w:val="3"/>
              </w:rPr>
              <w:t>架空线路单独进行核准，本次评价不包含</w:t>
            </w:r>
            <w:r>
              <w:rPr>
                <w:rFonts w:ascii="Times New Roman" w:hAnsi="Times New Roman" w:eastAsia="Times New Roman" w:cs="Times New Roman"/>
                <w:spacing w:val="3"/>
              </w:rPr>
              <w:t>220</w:t>
            </w:r>
            <w:r>
              <w:rPr>
                <w:rFonts w:ascii="Times New Roman" w:hAnsi="Times New Roman" w:eastAsia="Times New Roman" w:cs="Times New Roman"/>
              </w:rPr>
              <w:t>kV</w:t>
            </w:r>
            <w:r>
              <w:rPr>
                <w:spacing w:val="3"/>
              </w:rPr>
              <w:t>架空线路工程内</w:t>
            </w:r>
            <w:r>
              <w:rPr>
                <w:spacing w:val="8"/>
              </w:rPr>
              <w:t xml:space="preserve"> </w:t>
            </w:r>
            <w:r>
              <w:t>容，建设单位在开展送出线路工程时另行办理相关环</w:t>
            </w:r>
            <w:r>
              <w:rPr>
                <w:spacing w:val="-1"/>
              </w:rPr>
              <w:t>保手续。同时场区道路以</w:t>
            </w:r>
            <w:r>
              <w:t xml:space="preserve"> 消防通道单独进行立项报批，不在本次评价范围内；</w:t>
            </w:r>
            <w:r>
              <w:rPr>
                <w:spacing w:val="-1"/>
              </w:rPr>
              <w:t>此外项目采取的“草光互</w:t>
            </w:r>
            <w:r>
              <w:t xml:space="preserve"> </w:t>
            </w:r>
            <w:r>
              <w:rPr>
                <w:spacing w:val="-3"/>
              </w:rPr>
              <w:t>补</w:t>
            </w:r>
            <w:r>
              <w:rPr>
                <w:spacing w:val="-83"/>
              </w:rPr>
              <w:t xml:space="preserve"> </w:t>
            </w:r>
            <w:r>
              <w:rPr>
                <w:spacing w:val="-3"/>
              </w:rPr>
              <w:t>”具体方案不在本次评价范围内。</w:t>
            </w:r>
          </w:p>
          <w:p w14:paraId="4087B8E8">
            <w:pPr>
              <w:pStyle w:val="6"/>
              <w:spacing w:before="36" w:line="219" w:lineRule="auto"/>
              <w:ind w:left="588"/>
            </w:pPr>
            <w:r>
              <w:rPr>
                <w:spacing w:val="-1"/>
              </w:rPr>
              <w:t>本项目工程组成情况详见表</w:t>
            </w:r>
            <w:r>
              <w:rPr>
                <w:rFonts w:ascii="Times New Roman" w:hAnsi="Times New Roman" w:eastAsia="Times New Roman" w:cs="Times New Roman"/>
                <w:spacing w:val="-1"/>
              </w:rPr>
              <w:t>2-1</w:t>
            </w:r>
            <w:r>
              <w:rPr>
                <w:spacing w:val="-1"/>
              </w:rPr>
              <w:t>。</w:t>
            </w:r>
          </w:p>
          <w:p w14:paraId="53E0DE9B">
            <w:pPr>
              <w:pStyle w:val="6"/>
              <w:spacing w:before="176" w:line="223" w:lineRule="auto"/>
              <w:ind w:left="3098"/>
              <w:rPr>
                <w:sz w:val="20"/>
                <w:szCs w:val="20"/>
              </w:rPr>
            </w:pPr>
            <w:r>
              <w:rPr>
                <w:b/>
                <w:bCs/>
                <w:spacing w:val="5"/>
                <w:sz w:val="20"/>
                <w:szCs w:val="20"/>
              </w:rPr>
              <w:t>表</w:t>
            </w:r>
            <w:r>
              <w:rPr>
                <w:rFonts w:ascii="Times New Roman" w:hAnsi="Times New Roman" w:eastAsia="Times New Roman" w:cs="Times New Roman"/>
                <w:b/>
                <w:bCs/>
                <w:spacing w:val="5"/>
                <w:sz w:val="20"/>
                <w:szCs w:val="20"/>
              </w:rPr>
              <w:t xml:space="preserve">2-1    </w:t>
            </w:r>
            <w:r>
              <w:rPr>
                <w:b/>
                <w:bCs/>
                <w:spacing w:val="5"/>
                <w:sz w:val="20"/>
                <w:szCs w:val="20"/>
              </w:rPr>
              <w:t>项目组成一览表</w:t>
            </w:r>
          </w:p>
          <w:tbl>
            <w:tblPr>
              <w:tblStyle w:val="5"/>
              <w:tblW w:w="8153"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1167"/>
              <w:gridCol w:w="6123"/>
              <w:gridCol w:w="432"/>
            </w:tblGrid>
            <w:tr w14:paraId="6F11B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431" w:type="dxa"/>
                  <w:textDirection w:val="tbRlV"/>
                  <w:vAlign w:val="top"/>
                </w:tcPr>
                <w:p w14:paraId="7B3C84CB">
                  <w:pPr>
                    <w:pStyle w:val="6"/>
                    <w:spacing w:before="107" w:line="216" w:lineRule="auto"/>
                    <w:ind w:left="39"/>
                    <w:rPr>
                      <w:sz w:val="20"/>
                      <w:szCs w:val="20"/>
                    </w:rPr>
                  </w:pPr>
                  <w:r>
                    <w:rPr>
                      <w:b/>
                      <w:bCs/>
                      <w:spacing w:val="6"/>
                      <w:sz w:val="20"/>
                      <w:szCs w:val="20"/>
                    </w:rPr>
                    <w:t>类</w:t>
                  </w:r>
                  <w:r>
                    <w:rPr>
                      <w:spacing w:val="-38"/>
                      <w:sz w:val="20"/>
                      <w:szCs w:val="20"/>
                    </w:rPr>
                    <w:t xml:space="preserve"> </w:t>
                  </w:r>
                  <w:r>
                    <w:rPr>
                      <w:b/>
                      <w:bCs/>
                      <w:spacing w:val="6"/>
                      <w:sz w:val="20"/>
                      <w:szCs w:val="20"/>
                    </w:rPr>
                    <w:t>别</w:t>
                  </w:r>
                </w:p>
              </w:tc>
              <w:tc>
                <w:tcPr>
                  <w:tcW w:w="1167" w:type="dxa"/>
                  <w:vAlign w:val="top"/>
                </w:tcPr>
                <w:p w14:paraId="60ECC09A">
                  <w:pPr>
                    <w:pStyle w:val="6"/>
                    <w:spacing w:before="176" w:line="228" w:lineRule="auto"/>
                    <w:ind w:left="168"/>
                    <w:rPr>
                      <w:sz w:val="20"/>
                      <w:szCs w:val="20"/>
                    </w:rPr>
                  </w:pPr>
                  <w:r>
                    <w:rPr>
                      <w:b/>
                      <w:bCs/>
                      <w:spacing w:val="5"/>
                      <w:sz w:val="20"/>
                      <w:szCs w:val="20"/>
                    </w:rPr>
                    <w:t>工程名称</w:t>
                  </w:r>
                </w:p>
              </w:tc>
              <w:tc>
                <w:tcPr>
                  <w:tcW w:w="6123" w:type="dxa"/>
                  <w:vAlign w:val="top"/>
                </w:tcPr>
                <w:p w14:paraId="47C2A416">
                  <w:pPr>
                    <w:pStyle w:val="6"/>
                    <w:spacing w:before="175" w:line="228" w:lineRule="auto"/>
                    <w:ind w:left="2881"/>
                    <w:rPr>
                      <w:sz w:val="20"/>
                      <w:szCs w:val="20"/>
                    </w:rPr>
                  </w:pPr>
                  <w:r>
                    <w:rPr>
                      <w:b/>
                      <w:bCs/>
                      <w:spacing w:val="-9"/>
                      <w:sz w:val="20"/>
                      <w:szCs w:val="20"/>
                    </w:rPr>
                    <w:t>内容</w:t>
                  </w:r>
                </w:p>
              </w:tc>
              <w:tc>
                <w:tcPr>
                  <w:tcW w:w="432" w:type="dxa"/>
                  <w:textDirection w:val="tbRlV"/>
                  <w:vAlign w:val="top"/>
                </w:tcPr>
                <w:p w14:paraId="2456A616">
                  <w:pPr>
                    <w:pStyle w:val="6"/>
                    <w:spacing w:before="109" w:line="217" w:lineRule="auto"/>
                    <w:ind w:left="39"/>
                    <w:rPr>
                      <w:sz w:val="20"/>
                      <w:szCs w:val="20"/>
                    </w:rPr>
                  </w:pPr>
                  <w:r>
                    <w:rPr>
                      <w:b/>
                      <w:bCs/>
                      <w:spacing w:val="6"/>
                      <w:sz w:val="20"/>
                      <w:szCs w:val="20"/>
                    </w:rPr>
                    <w:t>备</w:t>
                  </w:r>
                  <w:r>
                    <w:rPr>
                      <w:spacing w:val="-38"/>
                      <w:sz w:val="20"/>
                      <w:szCs w:val="20"/>
                    </w:rPr>
                    <w:t xml:space="preserve"> </w:t>
                  </w:r>
                  <w:r>
                    <w:rPr>
                      <w:b/>
                      <w:bCs/>
                      <w:spacing w:val="6"/>
                      <w:sz w:val="20"/>
                      <w:szCs w:val="20"/>
                    </w:rPr>
                    <w:t>注</w:t>
                  </w:r>
                </w:p>
              </w:tc>
            </w:tr>
            <w:tr w14:paraId="3DBCE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9" w:hRule="atLeast"/>
              </w:trPr>
              <w:tc>
                <w:tcPr>
                  <w:tcW w:w="431" w:type="dxa"/>
                  <w:vMerge w:val="restart"/>
                  <w:tcBorders>
                    <w:bottom w:val="nil"/>
                  </w:tcBorders>
                  <w:textDirection w:val="tbRlV"/>
                  <w:vAlign w:val="top"/>
                </w:tcPr>
                <w:p w14:paraId="6BD29DC2">
                  <w:pPr>
                    <w:pStyle w:val="6"/>
                    <w:spacing w:before="108" w:line="217" w:lineRule="auto"/>
                    <w:ind w:left="3565"/>
                    <w:rPr>
                      <w:sz w:val="20"/>
                      <w:szCs w:val="20"/>
                    </w:rPr>
                  </w:pPr>
                  <w:r>
                    <w:rPr>
                      <w:spacing w:val="8"/>
                      <w:sz w:val="20"/>
                      <w:szCs w:val="20"/>
                    </w:rPr>
                    <w:t>主</w:t>
                  </w:r>
                  <w:r>
                    <w:rPr>
                      <w:spacing w:val="-36"/>
                      <w:sz w:val="20"/>
                      <w:szCs w:val="20"/>
                    </w:rPr>
                    <w:t xml:space="preserve"> </w:t>
                  </w:r>
                  <w:r>
                    <w:rPr>
                      <w:spacing w:val="8"/>
                      <w:sz w:val="20"/>
                      <w:szCs w:val="20"/>
                    </w:rPr>
                    <w:t>体</w:t>
                  </w:r>
                  <w:r>
                    <w:rPr>
                      <w:spacing w:val="-35"/>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1167" w:type="dxa"/>
                  <w:vAlign w:val="top"/>
                </w:tcPr>
                <w:p w14:paraId="6E3D74FF">
                  <w:pPr>
                    <w:spacing w:line="265" w:lineRule="auto"/>
                    <w:rPr>
                      <w:rFonts w:ascii="Arial"/>
                      <w:sz w:val="21"/>
                    </w:rPr>
                  </w:pPr>
                </w:p>
                <w:p w14:paraId="358324E4">
                  <w:pPr>
                    <w:spacing w:line="265" w:lineRule="auto"/>
                    <w:rPr>
                      <w:rFonts w:ascii="Arial"/>
                      <w:sz w:val="21"/>
                    </w:rPr>
                  </w:pPr>
                </w:p>
                <w:p w14:paraId="54E9597D">
                  <w:pPr>
                    <w:spacing w:line="265" w:lineRule="auto"/>
                    <w:rPr>
                      <w:rFonts w:ascii="Arial"/>
                      <w:sz w:val="21"/>
                    </w:rPr>
                  </w:pPr>
                </w:p>
                <w:p w14:paraId="7CE0FB07">
                  <w:pPr>
                    <w:spacing w:line="265" w:lineRule="auto"/>
                    <w:rPr>
                      <w:rFonts w:ascii="Arial"/>
                      <w:sz w:val="21"/>
                    </w:rPr>
                  </w:pPr>
                </w:p>
                <w:p w14:paraId="6A38278B">
                  <w:pPr>
                    <w:spacing w:line="265" w:lineRule="auto"/>
                    <w:rPr>
                      <w:rFonts w:ascii="Arial"/>
                      <w:sz w:val="21"/>
                    </w:rPr>
                  </w:pPr>
                </w:p>
                <w:p w14:paraId="0530B5E9">
                  <w:pPr>
                    <w:spacing w:line="265" w:lineRule="auto"/>
                    <w:rPr>
                      <w:rFonts w:ascii="Arial"/>
                      <w:sz w:val="21"/>
                    </w:rPr>
                  </w:pPr>
                </w:p>
                <w:p w14:paraId="18690BFD">
                  <w:pPr>
                    <w:spacing w:line="265" w:lineRule="auto"/>
                    <w:rPr>
                      <w:rFonts w:ascii="Arial"/>
                      <w:sz w:val="21"/>
                    </w:rPr>
                  </w:pPr>
                </w:p>
                <w:p w14:paraId="1832C1F1">
                  <w:pPr>
                    <w:spacing w:line="265" w:lineRule="auto"/>
                    <w:rPr>
                      <w:rFonts w:ascii="Arial"/>
                      <w:sz w:val="21"/>
                    </w:rPr>
                  </w:pPr>
                </w:p>
                <w:p w14:paraId="6667DDA4">
                  <w:pPr>
                    <w:spacing w:line="266" w:lineRule="auto"/>
                    <w:rPr>
                      <w:rFonts w:ascii="Arial"/>
                      <w:sz w:val="21"/>
                    </w:rPr>
                  </w:pPr>
                </w:p>
                <w:p w14:paraId="58677406">
                  <w:pPr>
                    <w:pStyle w:val="6"/>
                    <w:spacing w:before="65" w:line="227" w:lineRule="auto"/>
                    <w:ind w:left="170"/>
                    <w:rPr>
                      <w:sz w:val="20"/>
                      <w:szCs w:val="20"/>
                    </w:rPr>
                  </w:pPr>
                  <w:r>
                    <w:rPr>
                      <w:spacing w:val="6"/>
                      <w:sz w:val="20"/>
                      <w:szCs w:val="20"/>
                    </w:rPr>
                    <w:t>光伏组件</w:t>
                  </w:r>
                </w:p>
              </w:tc>
              <w:tc>
                <w:tcPr>
                  <w:tcW w:w="6123" w:type="dxa"/>
                  <w:vAlign w:val="top"/>
                </w:tcPr>
                <w:p w14:paraId="3A841A26">
                  <w:pPr>
                    <w:pStyle w:val="6"/>
                    <w:spacing w:before="270" w:line="248" w:lineRule="auto"/>
                    <w:ind w:left="111" w:right="50" w:firstLine="420"/>
                    <w:jc w:val="both"/>
                    <w:rPr>
                      <w:sz w:val="20"/>
                      <w:szCs w:val="20"/>
                    </w:rPr>
                  </w:pPr>
                  <w:r>
                    <w:rPr>
                      <w:spacing w:val="5"/>
                      <w:sz w:val="20"/>
                      <w:szCs w:val="20"/>
                    </w:rPr>
                    <w:t>共</w:t>
                  </w:r>
                  <w:r>
                    <w:rPr>
                      <w:spacing w:val="-23"/>
                      <w:sz w:val="20"/>
                      <w:szCs w:val="20"/>
                    </w:rPr>
                    <w:t xml:space="preserve"> </w:t>
                  </w:r>
                  <w:r>
                    <w:rPr>
                      <w:rFonts w:ascii="Times New Roman" w:hAnsi="Times New Roman" w:eastAsia="Times New Roman" w:cs="Times New Roman"/>
                      <w:spacing w:val="5"/>
                      <w:sz w:val="20"/>
                      <w:szCs w:val="20"/>
                    </w:rPr>
                    <w:t xml:space="preserve">15 </w:t>
                  </w:r>
                  <w:r>
                    <w:rPr>
                      <w:spacing w:val="5"/>
                      <w:sz w:val="20"/>
                      <w:szCs w:val="20"/>
                    </w:rPr>
                    <w:t>个区块，共建设</w:t>
                  </w:r>
                  <w:r>
                    <w:rPr>
                      <w:spacing w:val="-39"/>
                      <w:sz w:val="20"/>
                      <w:szCs w:val="20"/>
                    </w:rPr>
                    <w:t xml:space="preserve"> </w:t>
                  </w:r>
                  <w:r>
                    <w:rPr>
                      <w:rFonts w:ascii="Times New Roman" w:hAnsi="Times New Roman" w:eastAsia="Times New Roman" w:cs="Times New Roman"/>
                      <w:spacing w:val="5"/>
                      <w:sz w:val="20"/>
                      <w:szCs w:val="20"/>
                    </w:rPr>
                    <w:t xml:space="preserve">37 </w:t>
                  </w:r>
                  <w:r>
                    <w:rPr>
                      <w:spacing w:val="5"/>
                      <w:sz w:val="20"/>
                      <w:szCs w:val="20"/>
                    </w:rPr>
                    <w:t>个</w:t>
                  </w:r>
                  <w:r>
                    <w:rPr>
                      <w:spacing w:val="-39"/>
                      <w:sz w:val="20"/>
                      <w:szCs w:val="20"/>
                    </w:rPr>
                    <w:t xml:space="preserve"> </w:t>
                  </w:r>
                  <w:r>
                    <w:rPr>
                      <w:rFonts w:ascii="Times New Roman" w:hAnsi="Times New Roman" w:eastAsia="Times New Roman" w:cs="Times New Roman"/>
                      <w:spacing w:val="5"/>
                      <w:sz w:val="20"/>
                      <w:szCs w:val="20"/>
                    </w:rPr>
                    <w:t>907.20~3991.68</w:t>
                  </w:r>
                  <w:r>
                    <w:rPr>
                      <w:rFonts w:ascii="Times New Roman" w:hAnsi="Times New Roman" w:eastAsia="Times New Roman" w:cs="Times New Roman"/>
                      <w:sz w:val="20"/>
                      <w:szCs w:val="20"/>
                    </w:rPr>
                    <w:t>kWp</w:t>
                  </w:r>
                  <w:r>
                    <w:rPr>
                      <w:rFonts w:ascii="Times New Roman" w:hAnsi="Times New Roman" w:eastAsia="Times New Roman" w:cs="Times New Roman"/>
                      <w:spacing w:val="31"/>
                      <w:sz w:val="20"/>
                      <w:szCs w:val="20"/>
                    </w:rPr>
                    <w:t xml:space="preserve"> </w:t>
                  </w:r>
                  <w:r>
                    <w:rPr>
                      <w:spacing w:val="5"/>
                      <w:sz w:val="20"/>
                      <w:szCs w:val="20"/>
                    </w:rPr>
                    <w:t>固定式单晶</w:t>
                  </w:r>
                  <w:r>
                    <w:rPr>
                      <w:sz w:val="20"/>
                      <w:szCs w:val="20"/>
                    </w:rPr>
                    <w:t xml:space="preserve">  </w:t>
                  </w:r>
                  <w:r>
                    <w:rPr>
                      <w:spacing w:val="6"/>
                      <w:sz w:val="20"/>
                      <w:szCs w:val="20"/>
                    </w:rPr>
                    <w:t>硅电池单元阵列，每个单晶硅光伏阵列单元由</w:t>
                  </w:r>
                  <w:r>
                    <w:rPr>
                      <w:spacing w:val="-39"/>
                      <w:sz w:val="20"/>
                      <w:szCs w:val="20"/>
                    </w:rPr>
                    <w:t xml:space="preserve"> </w:t>
                  </w:r>
                  <w:r>
                    <w:rPr>
                      <w:rFonts w:ascii="Times New Roman" w:hAnsi="Times New Roman" w:eastAsia="Times New Roman" w:cs="Times New Roman"/>
                      <w:spacing w:val="6"/>
                      <w:sz w:val="20"/>
                      <w:szCs w:val="20"/>
                    </w:rPr>
                    <w:t>60~</w:t>
                  </w:r>
                  <w:r>
                    <w:rPr>
                      <w:rFonts w:ascii="Times New Roman" w:hAnsi="Times New Roman" w:eastAsia="Times New Roman" w:cs="Times New Roman"/>
                      <w:spacing w:val="5"/>
                      <w:sz w:val="20"/>
                      <w:szCs w:val="20"/>
                    </w:rPr>
                    <w:t xml:space="preserve">264 </w:t>
                  </w:r>
                  <w:r>
                    <w:rPr>
                      <w:spacing w:val="5"/>
                      <w:sz w:val="20"/>
                      <w:szCs w:val="20"/>
                    </w:rPr>
                    <w:t>路单晶硅电</w:t>
                  </w:r>
                  <w:r>
                    <w:rPr>
                      <w:sz w:val="20"/>
                      <w:szCs w:val="20"/>
                    </w:rPr>
                    <w:t xml:space="preserve"> </w:t>
                  </w:r>
                  <w:r>
                    <w:rPr>
                      <w:spacing w:val="6"/>
                      <w:sz w:val="20"/>
                      <w:szCs w:val="20"/>
                    </w:rPr>
                    <w:t>池串并联而成，共采用</w:t>
                  </w:r>
                  <w:r>
                    <w:rPr>
                      <w:spacing w:val="-11"/>
                      <w:sz w:val="20"/>
                      <w:szCs w:val="20"/>
                    </w:rPr>
                    <w:t xml:space="preserve"> </w:t>
                  </w:r>
                  <w:r>
                    <w:rPr>
                      <w:rFonts w:ascii="Times New Roman" w:hAnsi="Times New Roman" w:eastAsia="Times New Roman" w:cs="Times New Roman"/>
                      <w:spacing w:val="6"/>
                      <w:sz w:val="20"/>
                      <w:szCs w:val="20"/>
                    </w:rPr>
                    <w:t xml:space="preserve">183000 </w:t>
                  </w:r>
                  <w:r>
                    <w:rPr>
                      <w:spacing w:val="6"/>
                      <w:sz w:val="20"/>
                      <w:szCs w:val="20"/>
                    </w:rPr>
                    <w:t>块峰值功率为</w:t>
                  </w:r>
                  <w:r>
                    <w:rPr>
                      <w:spacing w:val="-36"/>
                      <w:sz w:val="20"/>
                      <w:szCs w:val="20"/>
                    </w:rPr>
                    <w:t xml:space="preserve"> </w:t>
                  </w:r>
                  <w:r>
                    <w:rPr>
                      <w:rFonts w:ascii="Times New Roman" w:hAnsi="Times New Roman" w:eastAsia="Times New Roman" w:cs="Times New Roman"/>
                      <w:spacing w:val="6"/>
                      <w:sz w:val="20"/>
                      <w:szCs w:val="20"/>
                    </w:rPr>
                    <w:t>630</w:t>
                  </w:r>
                  <w:r>
                    <w:rPr>
                      <w:rFonts w:ascii="Times New Roman" w:hAnsi="Times New Roman" w:eastAsia="Times New Roman" w:cs="Times New Roman"/>
                      <w:sz w:val="20"/>
                      <w:szCs w:val="20"/>
                    </w:rPr>
                    <w:t>Wp</w:t>
                  </w:r>
                  <w:r>
                    <w:rPr>
                      <w:rFonts w:ascii="Times New Roman" w:hAnsi="Times New Roman" w:eastAsia="Times New Roman" w:cs="Times New Roman"/>
                      <w:spacing w:val="32"/>
                      <w:sz w:val="20"/>
                      <w:szCs w:val="20"/>
                    </w:rPr>
                    <w:t xml:space="preserve"> </w:t>
                  </w:r>
                  <w:r>
                    <w:rPr>
                      <w:spacing w:val="6"/>
                      <w:sz w:val="20"/>
                      <w:szCs w:val="20"/>
                    </w:rPr>
                    <w:t>的单晶硅双</w:t>
                  </w:r>
                  <w:r>
                    <w:rPr>
                      <w:sz w:val="20"/>
                      <w:szCs w:val="20"/>
                    </w:rPr>
                    <w:t xml:space="preserve">  面光伏组件。共布设在</w:t>
                  </w:r>
                  <w:r>
                    <w:rPr>
                      <w:spacing w:val="-22"/>
                      <w:sz w:val="20"/>
                      <w:szCs w:val="20"/>
                    </w:rPr>
                    <w:t xml:space="preserve"> </w:t>
                  </w:r>
                  <w:r>
                    <w:rPr>
                      <w:rFonts w:ascii="Times New Roman" w:hAnsi="Times New Roman" w:eastAsia="Times New Roman" w:cs="Times New Roman"/>
                      <w:sz w:val="20"/>
                      <w:szCs w:val="20"/>
                    </w:rPr>
                    <w:t xml:space="preserve">15 </w:t>
                  </w:r>
                  <w:r>
                    <w:rPr>
                      <w:sz w:val="20"/>
                      <w:szCs w:val="20"/>
                    </w:rPr>
                    <w:t>个地块上。额</w:t>
                  </w:r>
                  <w:r>
                    <w:rPr>
                      <w:spacing w:val="-1"/>
                      <w:sz w:val="20"/>
                      <w:szCs w:val="20"/>
                    </w:rPr>
                    <w:t>定容量</w:t>
                  </w:r>
                  <w:r>
                    <w:rPr>
                      <w:spacing w:val="-39"/>
                      <w:sz w:val="20"/>
                      <w:szCs w:val="20"/>
                    </w:rPr>
                    <w:t xml:space="preserve"> </w:t>
                  </w:r>
                  <w:r>
                    <w:rPr>
                      <w:rFonts w:ascii="Times New Roman" w:hAnsi="Times New Roman" w:eastAsia="Times New Roman" w:cs="Times New Roman"/>
                      <w:spacing w:val="-1"/>
                      <w:sz w:val="20"/>
                      <w:szCs w:val="20"/>
                    </w:rPr>
                    <w:t>95.7MW</w:t>
                  </w:r>
                  <w:r>
                    <w:rPr>
                      <w:spacing w:val="-1"/>
                      <w:sz w:val="20"/>
                      <w:szCs w:val="20"/>
                    </w:rPr>
                    <w:t>（交流侧</w:t>
                  </w:r>
                  <w:r>
                    <w:rPr>
                      <w:spacing w:val="-47"/>
                      <w:w w:val="89"/>
                      <w:sz w:val="20"/>
                      <w:szCs w:val="20"/>
                    </w:rPr>
                    <w:t>），</w:t>
                  </w:r>
                  <w:r>
                    <w:rPr>
                      <w:sz w:val="20"/>
                      <w:szCs w:val="20"/>
                    </w:rPr>
                    <w:t xml:space="preserve"> </w:t>
                  </w:r>
                  <w:r>
                    <w:rPr>
                      <w:spacing w:val="5"/>
                      <w:sz w:val="20"/>
                      <w:szCs w:val="20"/>
                    </w:rPr>
                    <w:t>实际直流侧安装容量</w:t>
                  </w:r>
                  <w:r>
                    <w:rPr>
                      <w:spacing w:val="-21"/>
                      <w:sz w:val="20"/>
                      <w:szCs w:val="20"/>
                    </w:rPr>
                    <w:t xml:space="preserve"> </w:t>
                  </w:r>
                  <w:r>
                    <w:rPr>
                      <w:rFonts w:ascii="Times New Roman" w:hAnsi="Times New Roman" w:eastAsia="Times New Roman" w:cs="Times New Roman"/>
                      <w:spacing w:val="5"/>
                      <w:sz w:val="20"/>
                      <w:szCs w:val="20"/>
                    </w:rPr>
                    <w:t>115.290</w:t>
                  </w:r>
                  <w:r>
                    <w:rPr>
                      <w:rFonts w:ascii="Times New Roman" w:hAnsi="Times New Roman" w:eastAsia="Times New Roman" w:cs="Times New Roman"/>
                      <w:sz w:val="20"/>
                      <w:szCs w:val="20"/>
                    </w:rPr>
                    <w:t>MWp</w:t>
                  </w:r>
                  <w:r>
                    <w:rPr>
                      <w:rFonts w:ascii="Times New Roman" w:hAnsi="Times New Roman" w:eastAsia="Times New Roman" w:cs="Times New Roman"/>
                      <w:spacing w:val="-21"/>
                      <w:sz w:val="20"/>
                      <w:szCs w:val="20"/>
                    </w:rPr>
                    <w:t xml:space="preserve"> </w:t>
                  </w:r>
                  <w:r>
                    <w:rPr>
                      <w:spacing w:val="5"/>
                      <w:sz w:val="20"/>
                      <w:szCs w:val="20"/>
                    </w:rPr>
                    <w:t>，容配比</w:t>
                  </w:r>
                  <w:r>
                    <w:rPr>
                      <w:spacing w:val="-21"/>
                      <w:sz w:val="20"/>
                      <w:szCs w:val="20"/>
                    </w:rPr>
                    <w:t xml:space="preserve"> </w:t>
                  </w:r>
                  <w:r>
                    <w:rPr>
                      <w:rFonts w:ascii="Times New Roman" w:hAnsi="Times New Roman" w:eastAsia="Times New Roman" w:cs="Times New Roman"/>
                      <w:spacing w:val="5"/>
                      <w:sz w:val="20"/>
                      <w:szCs w:val="20"/>
                    </w:rPr>
                    <w:t>1.20</w:t>
                  </w:r>
                  <w:r>
                    <w:rPr>
                      <w:rFonts w:ascii="Times New Roman" w:hAnsi="Times New Roman" w:eastAsia="Times New Roman" w:cs="Times New Roman"/>
                      <w:spacing w:val="-26"/>
                      <w:sz w:val="20"/>
                      <w:szCs w:val="20"/>
                    </w:rPr>
                    <w:t xml:space="preserve"> </w:t>
                  </w:r>
                  <w:r>
                    <w:rPr>
                      <w:spacing w:val="5"/>
                      <w:sz w:val="20"/>
                      <w:szCs w:val="20"/>
                    </w:rPr>
                    <w:t>，年平均可上网</w:t>
                  </w:r>
                  <w:r>
                    <w:rPr>
                      <w:sz w:val="20"/>
                      <w:szCs w:val="20"/>
                    </w:rPr>
                    <w:t xml:space="preserve">  </w:t>
                  </w:r>
                  <w:r>
                    <w:rPr>
                      <w:spacing w:val="3"/>
                      <w:sz w:val="20"/>
                      <w:szCs w:val="20"/>
                    </w:rPr>
                    <w:t>电量约</w:t>
                  </w:r>
                  <w:r>
                    <w:rPr>
                      <w:spacing w:val="-20"/>
                      <w:sz w:val="20"/>
                      <w:szCs w:val="20"/>
                    </w:rPr>
                    <w:t xml:space="preserve"> </w:t>
                  </w:r>
                  <w:r>
                    <w:rPr>
                      <w:rFonts w:ascii="Times New Roman" w:hAnsi="Times New Roman" w:eastAsia="Times New Roman" w:cs="Times New Roman"/>
                      <w:spacing w:val="3"/>
                      <w:sz w:val="20"/>
                      <w:szCs w:val="20"/>
                    </w:rPr>
                    <w:t>15960.4</w:t>
                  </w:r>
                  <w:r>
                    <w:rPr>
                      <w:rFonts w:ascii="Times New Roman" w:hAnsi="Times New Roman" w:eastAsia="Times New Roman" w:cs="Times New Roman"/>
                      <w:spacing w:val="17"/>
                      <w:sz w:val="20"/>
                      <w:szCs w:val="20"/>
                    </w:rPr>
                    <w:t xml:space="preserve"> </w:t>
                  </w:r>
                  <w:r>
                    <w:rPr>
                      <w:spacing w:val="3"/>
                      <w:sz w:val="20"/>
                      <w:szCs w:val="20"/>
                    </w:rPr>
                    <w:t>万</w:t>
                  </w:r>
                  <w:r>
                    <w:rPr>
                      <w:spacing w:val="-46"/>
                      <w:sz w:val="20"/>
                      <w:szCs w:val="20"/>
                    </w:rPr>
                    <w:t xml:space="preserve"> </w:t>
                  </w:r>
                  <w:r>
                    <w:rPr>
                      <w:rFonts w:ascii="Times New Roman" w:hAnsi="Times New Roman" w:eastAsia="Times New Roman" w:cs="Times New Roman"/>
                      <w:sz w:val="20"/>
                      <w:szCs w:val="20"/>
                    </w:rPr>
                    <w:t>kWh</w:t>
                  </w:r>
                  <w:r>
                    <w:rPr>
                      <w:spacing w:val="3"/>
                      <w:sz w:val="20"/>
                      <w:szCs w:val="20"/>
                    </w:rPr>
                    <w:t>。</w:t>
                  </w:r>
                </w:p>
                <w:p w14:paraId="1E8EFBAE">
                  <w:pPr>
                    <w:pStyle w:val="6"/>
                    <w:spacing w:before="24" w:line="247" w:lineRule="auto"/>
                    <w:ind w:left="106" w:right="33" w:firstLine="428"/>
                    <w:jc w:val="both"/>
                    <w:rPr>
                      <w:sz w:val="20"/>
                      <w:szCs w:val="20"/>
                    </w:rPr>
                  </w:pPr>
                  <w:r>
                    <w:rPr>
                      <w:spacing w:val="3"/>
                      <w:sz w:val="20"/>
                      <w:szCs w:val="20"/>
                    </w:rPr>
                    <w:t>光伏列阵分别为：</w:t>
                  </w:r>
                  <w:r>
                    <w:rPr>
                      <w:rFonts w:ascii="Times New Roman" w:hAnsi="Times New Roman" w:eastAsia="Times New Roman" w:cs="Times New Roman"/>
                      <w:spacing w:val="3"/>
                      <w:sz w:val="20"/>
                      <w:szCs w:val="20"/>
                    </w:rPr>
                    <w:t xml:space="preserve">18 </w:t>
                  </w:r>
                  <w:r>
                    <w:rPr>
                      <w:spacing w:val="3"/>
                      <w:sz w:val="20"/>
                      <w:szCs w:val="20"/>
                    </w:rPr>
                    <w:t>个</w:t>
                  </w:r>
                  <w:r>
                    <w:rPr>
                      <w:spacing w:val="-39"/>
                      <w:sz w:val="20"/>
                      <w:szCs w:val="20"/>
                    </w:rPr>
                    <w:t xml:space="preserve"> </w:t>
                  </w:r>
                  <w:r>
                    <w:rPr>
                      <w:rFonts w:ascii="Times New Roman" w:hAnsi="Times New Roman" w:eastAsia="Times New Roman" w:cs="Times New Roman"/>
                      <w:spacing w:val="3"/>
                      <w:sz w:val="20"/>
                      <w:szCs w:val="20"/>
                    </w:rPr>
                    <w:t xml:space="preserve">3991.68 </w:t>
                  </w:r>
                  <w:r>
                    <w:rPr>
                      <w:rFonts w:ascii="Times New Roman" w:hAnsi="Times New Roman" w:eastAsia="Times New Roman" w:cs="Times New Roman"/>
                      <w:sz w:val="20"/>
                      <w:szCs w:val="20"/>
                    </w:rPr>
                    <w:t>kWp</w:t>
                  </w:r>
                  <w:r>
                    <w:rPr>
                      <w:rFonts w:ascii="Times New Roman" w:hAnsi="Times New Roman" w:eastAsia="Times New Roman" w:cs="Times New Roman"/>
                      <w:spacing w:val="29"/>
                      <w:sz w:val="20"/>
                      <w:szCs w:val="20"/>
                    </w:rPr>
                    <w:t xml:space="preserve"> </w:t>
                  </w:r>
                  <w:r>
                    <w:rPr>
                      <w:spacing w:val="3"/>
                      <w:sz w:val="20"/>
                      <w:szCs w:val="20"/>
                    </w:rPr>
                    <w:t>阵列、</w:t>
                  </w:r>
                  <w:r>
                    <w:rPr>
                      <w:rFonts w:ascii="Times New Roman" w:hAnsi="Times New Roman" w:eastAsia="Times New Roman" w:cs="Times New Roman"/>
                      <w:spacing w:val="3"/>
                      <w:sz w:val="20"/>
                      <w:szCs w:val="20"/>
                    </w:rPr>
                    <w:t xml:space="preserve">1 </w:t>
                  </w:r>
                  <w:r>
                    <w:rPr>
                      <w:spacing w:val="3"/>
                      <w:sz w:val="20"/>
                      <w:szCs w:val="20"/>
                    </w:rPr>
                    <w:t>个</w:t>
                  </w:r>
                  <w:r>
                    <w:rPr>
                      <w:spacing w:val="-39"/>
                      <w:sz w:val="20"/>
                      <w:szCs w:val="20"/>
                    </w:rPr>
                    <w:t xml:space="preserve"> </w:t>
                  </w:r>
                  <w:r>
                    <w:rPr>
                      <w:rFonts w:ascii="Times New Roman" w:hAnsi="Times New Roman" w:eastAsia="Times New Roman" w:cs="Times New Roman"/>
                      <w:spacing w:val="3"/>
                      <w:sz w:val="20"/>
                      <w:szCs w:val="20"/>
                    </w:rPr>
                    <w:t>3961</w:t>
                  </w:r>
                  <w:r>
                    <w:rPr>
                      <w:rFonts w:ascii="Times New Roman" w:hAnsi="Times New Roman" w:eastAsia="Times New Roman" w:cs="Times New Roman"/>
                      <w:spacing w:val="2"/>
                      <w:sz w:val="20"/>
                      <w:szCs w:val="20"/>
                    </w:rPr>
                    <w:t xml:space="preserve">.44 </w:t>
                  </w:r>
                  <w:r>
                    <w:rPr>
                      <w:rFonts w:ascii="Times New Roman" w:hAnsi="Times New Roman" w:eastAsia="Times New Roman" w:cs="Times New Roman"/>
                      <w:sz w:val="20"/>
                      <w:szCs w:val="20"/>
                    </w:rPr>
                    <w:t xml:space="preserve">kWp  </w:t>
                  </w:r>
                  <w:r>
                    <w:rPr>
                      <w:sz w:val="20"/>
                      <w:szCs w:val="20"/>
                    </w:rPr>
                    <w:t>阵列、</w:t>
                  </w:r>
                  <w:r>
                    <w:rPr>
                      <w:rFonts w:ascii="Times New Roman" w:hAnsi="Times New Roman" w:eastAsia="Times New Roman" w:cs="Times New Roman"/>
                      <w:sz w:val="20"/>
                      <w:szCs w:val="20"/>
                    </w:rPr>
                    <w:t xml:space="preserve">1 </w:t>
                  </w:r>
                  <w:r>
                    <w:rPr>
                      <w:sz w:val="20"/>
                      <w:szCs w:val="20"/>
                    </w:rPr>
                    <w:t>个</w:t>
                  </w:r>
                  <w:r>
                    <w:rPr>
                      <w:spacing w:val="-43"/>
                      <w:sz w:val="20"/>
                      <w:szCs w:val="20"/>
                    </w:rPr>
                    <w:t xml:space="preserve"> </w:t>
                  </w:r>
                  <w:r>
                    <w:rPr>
                      <w:rFonts w:ascii="Times New Roman" w:hAnsi="Times New Roman" w:eastAsia="Times New Roman" w:cs="Times New Roman"/>
                      <w:sz w:val="20"/>
                      <w:szCs w:val="20"/>
                    </w:rPr>
                    <w:t>2903.04 kWp</w:t>
                  </w:r>
                  <w:r>
                    <w:rPr>
                      <w:rFonts w:ascii="Times New Roman" w:hAnsi="Times New Roman" w:eastAsia="Times New Roman" w:cs="Times New Roman"/>
                      <w:spacing w:val="26"/>
                      <w:sz w:val="20"/>
                      <w:szCs w:val="20"/>
                    </w:rPr>
                    <w:t xml:space="preserve"> </w:t>
                  </w:r>
                  <w:r>
                    <w:rPr>
                      <w:sz w:val="20"/>
                      <w:szCs w:val="20"/>
                    </w:rPr>
                    <w:t>阵列、</w:t>
                  </w:r>
                  <w:r>
                    <w:rPr>
                      <w:rFonts w:ascii="Times New Roman" w:hAnsi="Times New Roman" w:eastAsia="Times New Roman" w:cs="Times New Roman"/>
                      <w:sz w:val="20"/>
                      <w:szCs w:val="20"/>
                    </w:rPr>
                    <w:t xml:space="preserve">1 </w:t>
                  </w:r>
                  <w:r>
                    <w:rPr>
                      <w:sz w:val="20"/>
                      <w:szCs w:val="20"/>
                    </w:rPr>
                    <w:t>个</w:t>
                  </w:r>
                  <w:r>
                    <w:rPr>
                      <w:spacing w:val="-37"/>
                      <w:sz w:val="20"/>
                      <w:szCs w:val="20"/>
                    </w:rPr>
                    <w:t xml:space="preserve"> </w:t>
                  </w:r>
                  <w:r>
                    <w:rPr>
                      <w:rFonts w:ascii="Times New Roman" w:hAnsi="Times New Roman" w:eastAsia="Times New Roman" w:cs="Times New Roman"/>
                      <w:sz w:val="20"/>
                      <w:szCs w:val="20"/>
                    </w:rPr>
                    <w:t>3099.6 kWp</w:t>
                  </w:r>
                  <w:r>
                    <w:rPr>
                      <w:rFonts w:ascii="Times New Roman" w:hAnsi="Times New Roman" w:eastAsia="Times New Roman" w:cs="Times New Roman"/>
                      <w:spacing w:val="26"/>
                      <w:w w:val="101"/>
                      <w:sz w:val="20"/>
                      <w:szCs w:val="20"/>
                    </w:rPr>
                    <w:t xml:space="preserve"> </w:t>
                  </w:r>
                  <w:r>
                    <w:rPr>
                      <w:sz w:val="20"/>
                      <w:szCs w:val="20"/>
                    </w:rPr>
                    <w:t>阵列、</w:t>
                  </w:r>
                  <w:r>
                    <w:rPr>
                      <w:rFonts w:ascii="Times New Roman" w:hAnsi="Times New Roman" w:eastAsia="Times New Roman" w:cs="Times New Roman"/>
                      <w:sz w:val="20"/>
                      <w:szCs w:val="20"/>
                    </w:rPr>
                    <w:t xml:space="preserve">1 </w:t>
                  </w:r>
                  <w:r>
                    <w:rPr>
                      <w:sz w:val="20"/>
                      <w:szCs w:val="20"/>
                    </w:rPr>
                    <w:t>个</w:t>
                  </w:r>
                  <w:r>
                    <w:rPr>
                      <w:spacing w:val="-43"/>
                      <w:sz w:val="20"/>
                      <w:szCs w:val="20"/>
                    </w:rPr>
                    <w:t xml:space="preserve"> </w:t>
                  </w:r>
                  <w:r>
                    <w:rPr>
                      <w:rFonts w:ascii="Times New Roman" w:hAnsi="Times New Roman" w:eastAsia="Times New Roman" w:cs="Times New Roman"/>
                      <w:sz w:val="20"/>
                      <w:szCs w:val="20"/>
                    </w:rPr>
                    <w:t>2177.28  kWp</w:t>
                  </w:r>
                  <w:r>
                    <w:rPr>
                      <w:rFonts w:ascii="Times New Roman" w:hAnsi="Times New Roman" w:eastAsia="Times New Roman" w:cs="Times New Roman"/>
                      <w:spacing w:val="26"/>
                      <w:sz w:val="20"/>
                      <w:szCs w:val="20"/>
                    </w:rPr>
                    <w:t xml:space="preserve"> </w:t>
                  </w:r>
                  <w:r>
                    <w:rPr>
                      <w:spacing w:val="4"/>
                      <w:sz w:val="20"/>
                      <w:szCs w:val="20"/>
                    </w:rPr>
                    <w:t>阵列、</w:t>
                  </w:r>
                  <w:r>
                    <w:rPr>
                      <w:rFonts w:ascii="Times New Roman" w:hAnsi="Times New Roman" w:eastAsia="Times New Roman" w:cs="Times New Roman"/>
                      <w:spacing w:val="4"/>
                      <w:sz w:val="20"/>
                      <w:szCs w:val="20"/>
                    </w:rPr>
                    <w:t xml:space="preserve">1 </w:t>
                  </w:r>
                  <w:r>
                    <w:rPr>
                      <w:spacing w:val="4"/>
                      <w:sz w:val="20"/>
                      <w:szCs w:val="20"/>
                    </w:rPr>
                    <w:t>个</w:t>
                  </w:r>
                  <w:r>
                    <w:rPr>
                      <w:spacing w:val="-23"/>
                      <w:sz w:val="20"/>
                      <w:szCs w:val="20"/>
                    </w:rPr>
                    <w:t xml:space="preserve"> </w:t>
                  </w:r>
                  <w:r>
                    <w:rPr>
                      <w:rFonts w:ascii="Times New Roman" w:hAnsi="Times New Roman" w:eastAsia="Times New Roman" w:cs="Times New Roman"/>
                      <w:spacing w:val="4"/>
                      <w:sz w:val="20"/>
                      <w:szCs w:val="20"/>
                    </w:rPr>
                    <w:t xml:space="preserve">1103.76 </w:t>
                  </w:r>
                  <w:r>
                    <w:rPr>
                      <w:rFonts w:ascii="Times New Roman" w:hAnsi="Times New Roman" w:eastAsia="Times New Roman" w:cs="Times New Roman"/>
                      <w:sz w:val="20"/>
                      <w:szCs w:val="20"/>
                    </w:rPr>
                    <w:t>kWp</w:t>
                  </w:r>
                  <w:r>
                    <w:rPr>
                      <w:rFonts w:ascii="Times New Roman" w:hAnsi="Times New Roman" w:eastAsia="Times New Roman" w:cs="Times New Roman"/>
                      <w:spacing w:val="26"/>
                      <w:sz w:val="20"/>
                      <w:szCs w:val="20"/>
                    </w:rPr>
                    <w:t xml:space="preserve"> </w:t>
                  </w:r>
                  <w:r>
                    <w:rPr>
                      <w:spacing w:val="4"/>
                      <w:sz w:val="20"/>
                      <w:szCs w:val="20"/>
                    </w:rPr>
                    <w:t>阵列、</w:t>
                  </w:r>
                  <w:r>
                    <w:rPr>
                      <w:rFonts w:ascii="Times New Roman" w:hAnsi="Times New Roman" w:eastAsia="Times New Roman" w:cs="Times New Roman"/>
                      <w:spacing w:val="4"/>
                      <w:sz w:val="20"/>
                      <w:szCs w:val="20"/>
                    </w:rPr>
                    <w:t xml:space="preserve">1 </w:t>
                  </w:r>
                  <w:r>
                    <w:rPr>
                      <w:spacing w:val="4"/>
                      <w:sz w:val="20"/>
                      <w:szCs w:val="20"/>
                    </w:rPr>
                    <w:t>个</w:t>
                  </w:r>
                  <w:r>
                    <w:rPr>
                      <w:spacing w:val="-43"/>
                      <w:sz w:val="20"/>
                      <w:szCs w:val="20"/>
                    </w:rPr>
                    <w:t xml:space="preserve"> </w:t>
                  </w:r>
                  <w:r>
                    <w:rPr>
                      <w:rFonts w:ascii="Times New Roman" w:hAnsi="Times New Roman" w:eastAsia="Times New Roman" w:cs="Times New Roman"/>
                      <w:spacing w:val="4"/>
                      <w:sz w:val="20"/>
                      <w:szCs w:val="20"/>
                    </w:rPr>
                    <w:t xml:space="preserve">2600.64 </w:t>
                  </w:r>
                  <w:r>
                    <w:rPr>
                      <w:rFonts w:ascii="Times New Roman" w:hAnsi="Times New Roman" w:eastAsia="Times New Roman" w:cs="Times New Roman"/>
                      <w:sz w:val="20"/>
                      <w:szCs w:val="20"/>
                    </w:rPr>
                    <w:t>kWp</w:t>
                  </w:r>
                  <w:r>
                    <w:rPr>
                      <w:rFonts w:ascii="Times New Roman" w:hAnsi="Times New Roman" w:eastAsia="Times New Roman" w:cs="Times New Roman"/>
                      <w:spacing w:val="26"/>
                      <w:sz w:val="20"/>
                      <w:szCs w:val="20"/>
                    </w:rPr>
                    <w:t xml:space="preserve"> </w:t>
                  </w:r>
                  <w:r>
                    <w:rPr>
                      <w:spacing w:val="3"/>
                      <w:sz w:val="20"/>
                      <w:szCs w:val="20"/>
                    </w:rPr>
                    <w:t>阵列、</w:t>
                  </w:r>
                  <w:r>
                    <w:rPr>
                      <w:rFonts w:ascii="Times New Roman" w:hAnsi="Times New Roman" w:eastAsia="Times New Roman" w:cs="Times New Roman"/>
                      <w:spacing w:val="3"/>
                      <w:sz w:val="20"/>
                      <w:szCs w:val="20"/>
                    </w:rPr>
                    <w:t xml:space="preserve">1 </w:t>
                  </w:r>
                  <w:r>
                    <w:rPr>
                      <w:spacing w:val="3"/>
                      <w:sz w:val="20"/>
                      <w:szCs w:val="20"/>
                    </w:rPr>
                    <w:t>个</w:t>
                  </w:r>
                  <w:r>
                    <w:rPr>
                      <w:sz w:val="20"/>
                      <w:szCs w:val="20"/>
                    </w:rPr>
                    <w:t xml:space="preserve"> </w:t>
                  </w:r>
                  <w:r>
                    <w:rPr>
                      <w:rFonts w:ascii="Times New Roman" w:hAnsi="Times New Roman" w:eastAsia="Times New Roman" w:cs="Times New Roman"/>
                      <w:spacing w:val="-2"/>
                      <w:sz w:val="20"/>
                      <w:szCs w:val="20"/>
                    </w:rPr>
                    <w:t>907.2 kWp</w:t>
                  </w:r>
                  <w:r>
                    <w:rPr>
                      <w:rFonts w:ascii="Times New Roman" w:hAnsi="Times New Roman" w:eastAsia="Times New Roman" w:cs="Times New Roman"/>
                      <w:spacing w:val="19"/>
                      <w:w w:val="101"/>
                      <w:sz w:val="20"/>
                      <w:szCs w:val="20"/>
                    </w:rPr>
                    <w:t xml:space="preserve">  </w:t>
                  </w:r>
                  <w:r>
                    <w:rPr>
                      <w:spacing w:val="-2"/>
                      <w:sz w:val="20"/>
                      <w:szCs w:val="20"/>
                    </w:rPr>
                    <w:t>阵列、</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2"/>
                      <w:sz w:val="20"/>
                      <w:szCs w:val="20"/>
                    </w:rPr>
                    <w:t xml:space="preserve"> </w:t>
                  </w:r>
                  <w:r>
                    <w:rPr>
                      <w:spacing w:val="-2"/>
                      <w:sz w:val="20"/>
                      <w:szCs w:val="20"/>
                    </w:rPr>
                    <w:t xml:space="preserve">个 </w:t>
                  </w:r>
                  <w:r>
                    <w:rPr>
                      <w:rFonts w:ascii="Times New Roman" w:hAnsi="Times New Roman" w:eastAsia="Times New Roman" w:cs="Times New Roman"/>
                      <w:spacing w:val="-2"/>
                      <w:sz w:val="20"/>
                      <w:szCs w:val="20"/>
                    </w:rPr>
                    <w:t>2963.52 kWp</w:t>
                  </w:r>
                  <w:r>
                    <w:rPr>
                      <w:rFonts w:ascii="Times New Roman" w:hAnsi="Times New Roman" w:eastAsia="Times New Roman" w:cs="Times New Roman"/>
                      <w:spacing w:val="26"/>
                      <w:sz w:val="20"/>
                      <w:szCs w:val="20"/>
                    </w:rPr>
                    <w:t xml:space="preserve"> </w:t>
                  </w:r>
                  <w:r>
                    <w:rPr>
                      <w:spacing w:val="-2"/>
                      <w:sz w:val="20"/>
                      <w:szCs w:val="20"/>
                    </w:rPr>
                    <w:t>阵列、</w:t>
                  </w:r>
                  <w:r>
                    <w:rPr>
                      <w:rFonts w:ascii="Times New Roman" w:hAnsi="Times New Roman" w:eastAsia="Times New Roman" w:cs="Times New Roman"/>
                      <w:spacing w:val="-2"/>
                      <w:sz w:val="20"/>
                      <w:szCs w:val="20"/>
                    </w:rPr>
                    <w:t xml:space="preserve">1 </w:t>
                  </w:r>
                  <w:r>
                    <w:rPr>
                      <w:spacing w:val="-2"/>
                      <w:sz w:val="20"/>
                      <w:szCs w:val="20"/>
                    </w:rPr>
                    <w:t>个</w:t>
                  </w:r>
                  <w:r>
                    <w:rPr>
                      <w:spacing w:val="-21"/>
                      <w:sz w:val="20"/>
                      <w:szCs w:val="20"/>
                    </w:rPr>
                    <w:t xml:space="preserve"> </w:t>
                  </w:r>
                  <w:r>
                    <w:rPr>
                      <w:rFonts w:ascii="Times New Roman" w:hAnsi="Times New Roman" w:eastAsia="Times New Roman" w:cs="Times New Roman"/>
                      <w:spacing w:val="-2"/>
                      <w:sz w:val="20"/>
                      <w:szCs w:val="20"/>
                    </w:rPr>
                    <w:t xml:space="preserve">1421.28kWp   </w:t>
                  </w:r>
                  <w:r>
                    <w:rPr>
                      <w:spacing w:val="-2"/>
                      <w:sz w:val="20"/>
                      <w:szCs w:val="20"/>
                    </w:rPr>
                    <w:t>阵列、</w:t>
                  </w:r>
                  <w:r>
                    <w:rPr>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个</w:t>
                  </w:r>
                  <w:r>
                    <w:rPr>
                      <w:spacing w:val="-28"/>
                      <w:sz w:val="20"/>
                      <w:szCs w:val="20"/>
                    </w:rPr>
                    <w:t xml:space="preserve"> </w:t>
                  </w:r>
                  <w:r>
                    <w:rPr>
                      <w:rFonts w:ascii="Times New Roman" w:hAnsi="Times New Roman" w:eastAsia="Times New Roman" w:cs="Times New Roman"/>
                      <w:spacing w:val="2"/>
                      <w:sz w:val="20"/>
                      <w:szCs w:val="20"/>
                    </w:rPr>
                    <w:t>3991.68</w:t>
                  </w:r>
                  <w:r>
                    <w:rPr>
                      <w:rFonts w:ascii="Times New Roman" w:hAnsi="Times New Roman" w:eastAsia="Times New Roman" w:cs="Times New Roman"/>
                      <w:sz w:val="20"/>
                      <w:szCs w:val="20"/>
                    </w:rPr>
                    <w:t>kWp</w:t>
                  </w:r>
                  <w:r>
                    <w:rPr>
                      <w:rFonts w:ascii="Times New Roman" w:hAnsi="Times New Roman" w:eastAsia="Times New Roman" w:cs="Times New Roman"/>
                      <w:spacing w:val="23"/>
                      <w:w w:val="101"/>
                      <w:sz w:val="20"/>
                      <w:szCs w:val="20"/>
                    </w:rPr>
                    <w:t xml:space="preserve"> </w:t>
                  </w:r>
                  <w:r>
                    <w:rPr>
                      <w:spacing w:val="2"/>
                      <w:sz w:val="20"/>
                      <w:szCs w:val="20"/>
                    </w:rPr>
                    <w:t>阵列、</w:t>
                  </w:r>
                  <w:r>
                    <w:rPr>
                      <w:rFonts w:ascii="Times New Roman" w:hAnsi="Times New Roman" w:eastAsia="Times New Roman" w:cs="Times New Roman"/>
                      <w:spacing w:val="2"/>
                      <w:sz w:val="20"/>
                      <w:szCs w:val="20"/>
                    </w:rPr>
                    <w:t xml:space="preserve">1 </w:t>
                  </w:r>
                  <w:r>
                    <w:rPr>
                      <w:spacing w:val="2"/>
                      <w:sz w:val="20"/>
                      <w:szCs w:val="20"/>
                    </w:rPr>
                    <w:t>个</w:t>
                  </w:r>
                  <w:r>
                    <w:rPr>
                      <w:spacing w:val="-39"/>
                      <w:sz w:val="20"/>
                      <w:szCs w:val="20"/>
                    </w:rPr>
                    <w:t xml:space="preserve"> </w:t>
                  </w:r>
                  <w:r>
                    <w:rPr>
                      <w:rFonts w:ascii="Times New Roman" w:hAnsi="Times New Roman" w:eastAsia="Times New Roman" w:cs="Times New Roman"/>
                      <w:spacing w:val="2"/>
                      <w:sz w:val="20"/>
                      <w:szCs w:val="20"/>
                    </w:rPr>
                    <w:t xml:space="preserve">3447.36 </w:t>
                  </w:r>
                  <w:r>
                    <w:rPr>
                      <w:rFonts w:ascii="Times New Roman" w:hAnsi="Times New Roman" w:eastAsia="Times New Roman" w:cs="Times New Roman"/>
                      <w:sz w:val="20"/>
                      <w:szCs w:val="20"/>
                    </w:rPr>
                    <w:t>kWp</w:t>
                  </w:r>
                  <w:r>
                    <w:rPr>
                      <w:rFonts w:ascii="Times New Roman" w:hAnsi="Times New Roman" w:eastAsia="Times New Roman" w:cs="Times New Roman"/>
                      <w:spacing w:val="26"/>
                      <w:w w:val="101"/>
                      <w:sz w:val="20"/>
                      <w:szCs w:val="20"/>
                    </w:rPr>
                    <w:t xml:space="preserve"> </w:t>
                  </w:r>
                  <w:r>
                    <w:rPr>
                      <w:spacing w:val="2"/>
                      <w:sz w:val="20"/>
                      <w:szCs w:val="20"/>
                    </w:rPr>
                    <w:t>阵列、</w:t>
                  </w:r>
                  <w:r>
                    <w:rPr>
                      <w:rFonts w:ascii="Times New Roman" w:hAnsi="Times New Roman" w:eastAsia="Times New Roman" w:cs="Times New Roman"/>
                      <w:spacing w:val="2"/>
                      <w:sz w:val="20"/>
                      <w:szCs w:val="20"/>
                    </w:rPr>
                    <w:t xml:space="preserve">1 </w:t>
                  </w:r>
                  <w:r>
                    <w:rPr>
                      <w:spacing w:val="2"/>
                      <w:sz w:val="20"/>
                      <w:szCs w:val="20"/>
                    </w:rPr>
                    <w:t>个</w:t>
                  </w:r>
                  <w:r>
                    <w:rPr>
                      <w:spacing w:val="-43"/>
                      <w:sz w:val="20"/>
                      <w:szCs w:val="20"/>
                    </w:rPr>
                    <w:t xml:space="preserve"> </w:t>
                  </w:r>
                  <w:r>
                    <w:rPr>
                      <w:rFonts w:ascii="Times New Roman" w:hAnsi="Times New Roman" w:eastAsia="Times New Roman" w:cs="Times New Roman"/>
                      <w:spacing w:val="2"/>
                      <w:sz w:val="20"/>
                      <w:szCs w:val="20"/>
                    </w:rPr>
                    <w:t>2540.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 xml:space="preserve">16 </w:t>
                  </w:r>
                  <w:r>
                    <w:rPr>
                      <w:rFonts w:ascii="Times New Roman" w:hAnsi="Times New Roman" w:eastAsia="Times New Roman" w:cs="Times New Roman"/>
                      <w:sz w:val="20"/>
                      <w:szCs w:val="20"/>
                    </w:rPr>
                    <w:t xml:space="preserve">kWp  </w:t>
                  </w:r>
                  <w:r>
                    <w:rPr>
                      <w:spacing w:val="-3"/>
                      <w:sz w:val="20"/>
                      <w:szCs w:val="20"/>
                    </w:rPr>
                    <w:t>阵列、</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2"/>
                      <w:sz w:val="20"/>
                      <w:szCs w:val="20"/>
                    </w:rPr>
                    <w:t xml:space="preserve"> </w:t>
                  </w:r>
                  <w:r>
                    <w:rPr>
                      <w:spacing w:val="-3"/>
                      <w:sz w:val="20"/>
                      <w:szCs w:val="20"/>
                    </w:rPr>
                    <w:t>个</w:t>
                  </w:r>
                  <w:r>
                    <w:rPr>
                      <w:spacing w:val="-43"/>
                      <w:sz w:val="20"/>
                      <w:szCs w:val="20"/>
                    </w:rPr>
                    <w:t xml:space="preserve"> </w:t>
                  </w:r>
                  <w:r>
                    <w:rPr>
                      <w:rFonts w:ascii="Times New Roman" w:hAnsi="Times New Roman" w:eastAsia="Times New Roman" w:cs="Times New Roman"/>
                      <w:spacing w:val="-3"/>
                      <w:sz w:val="20"/>
                      <w:szCs w:val="20"/>
                    </w:rPr>
                    <w:t>2328.48 kWp</w:t>
                  </w:r>
                  <w:r>
                    <w:rPr>
                      <w:rFonts w:ascii="Times New Roman" w:hAnsi="Times New Roman" w:eastAsia="Times New Roman" w:cs="Times New Roman"/>
                      <w:spacing w:val="26"/>
                      <w:sz w:val="20"/>
                      <w:szCs w:val="20"/>
                    </w:rPr>
                    <w:t xml:space="preserve"> </w:t>
                  </w:r>
                  <w:r>
                    <w:rPr>
                      <w:spacing w:val="-3"/>
                      <w:sz w:val="20"/>
                      <w:szCs w:val="20"/>
                    </w:rPr>
                    <w:t>阵列、</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2"/>
                      <w:sz w:val="20"/>
                      <w:szCs w:val="20"/>
                    </w:rPr>
                    <w:t xml:space="preserve"> </w:t>
                  </w:r>
                  <w:r>
                    <w:rPr>
                      <w:spacing w:val="-3"/>
                      <w:sz w:val="20"/>
                      <w:szCs w:val="20"/>
                    </w:rPr>
                    <w:t>个</w:t>
                  </w:r>
                  <w:r>
                    <w:rPr>
                      <w:spacing w:val="-43"/>
                      <w:sz w:val="20"/>
                      <w:szCs w:val="20"/>
                    </w:rPr>
                    <w:t xml:space="preserve"> </w:t>
                  </w:r>
                  <w:r>
                    <w:rPr>
                      <w:rFonts w:ascii="Times New Roman" w:hAnsi="Times New Roman" w:eastAsia="Times New Roman" w:cs="Times New Roman"/>
                      <w:spacing w:val="-3"/>
                      <w:sz w:val="20"/>
                      <w:szCs w:val="20"/>
                    </w:rPr>
                    <w:t xml:space="preserve">2268.00 </w:t>
                  </w:r>
                  <w:r>
                    <w:rPr>
                      <w:rFonts w:ascii="Times New Roman" w:hAnsi="Times New Roman" w:eastAsia="Times New Roman" w:cs="Times New Roman"/>
                      <w:spacing w:val="-4"/>
                      <w:sz w:val="20"/>
                      <w:szCs w:val="20"/>
                    </w:rPr>
                    <w:t>kWp</w:t>
                  </w:r>
                  <w:r>
                    <w:rPr>
                      <w:rFonts w:ascii="Times New Roman" w:hAnsi="Times New Roman" w:eastAsia="Times New Roman" w:cs="Times New Roman"/>
                      <w:spacing w:val="23"/>
                      <w:w w:val="101"/>
                      <w:sz w:val="20"/>
                      <w:szCs w:val="20"/>
                    </w:rPr>
                    <w:t xml:space="preserve"> </w:t>
                  </w:r>
                  <w:r>
                    <w:rPr>
                      <w:spacing w:val="-4"/>
                      <w:sz w:val="20"/>
                      <w:szCs w:val="20"/>
                    </w:rPr>
                    <w:t>阵列、</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2"/>
                      <w:sz w:val="20"/>
                      <w:szCs w:val="20"/>
                    </w:rPr>
                    <w:t xml:space="preserve"> </w:t>
                  </w:r>
                  <w:r>
                    <w:rPr>
                      <w:spacing w:val="-4"/>
                      <w:sz w:val="20"/>
                      <w:szCs w:val="20"/>
                    </w:rPr>
                    <w:t>个</w:t>
                  </w:r>
                  <w:r>
                    <w:rPr>
                      <w:spacing w:val="-23"/>
                      <w:sz w:val="20"/>
                      <w:szCs w:val="20"/>
                    </w:rPr>
                    <w:t xml:space="preserve"> </w:t>
                  </w:r>
                  <w:r>
                    <w:rPr>
                      <w:rFonts w:ascii="Times New Roman" w:hAnsi="Times New Roman" w:eastAsia="Times New Roman" w:cs="Times New Roman"/>
                      <w:spacing w:val="-4"/>
                      <w:sz w:val="20"/>
                      <w:szCs w:val="20"/>
                    </w:rPr>
                    <w:t>1043.28</w:t>
                  </w:r>
                  <w:r>
                    <w:rPr>
                      <w:rFonts w:ascii="Times New Roman" w:hAnsi="Times New Roman" w:eastAsia="Times New Roman" w:cs="Times New Roman"/>
                      <w:sz w:val="20"/>
                      <w:szCs w:val="20"/>
                    </w:rPr>
                    <w:t xml:space="preserve">  kWp</w:t>
                  </w:r>
                  <w:r>
                    <w:rPr>
                      <w:rFonts w:ascii="Times New Roman" w:hAnsi="Times New Roman" w:eastAsia="Times New Roman" w:cs="Times New Roman"/>
                      <w:spacing w:val="28"/>
                      <w:w w:val="101"/>
                      <w:sz w:val="20"/>
                      <w:szCs w:val="20"/>
                    </w:rPr>
                    <w:t xml:space="preserve"> </w:t>
                  </w:r>
                  <w:r>
                    <w:rPr>
                      <w:spacing w:val="2"/>
                      <w:sz w:val="20"/>
                      <w:szCs w:val="20"/>
                    </w:rPr>
                    <w:t>阵列和</w:t>
                  </w:r>
                  <w:r>
                    <w:rPr>
                      <w:spacing w:val="-23"/>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个</w:t>
                  </w:r>
                  <w:r>
                    <w:rPr>
                      <w:spacing w:val="-43"/>
                      <w:sz w:val="20"/>
                      <w:szCs w:val="20"/>
                    </w:rPr>
                    <w:t xml:space="preserve"> </w:t>
                  </w:r>
                  <w:r>
                    <w:rPr>
                      <w:rFonts w:ascii="Times New Roman" w:hAnsi="Times New Roman" w:eastAsia="Times New Roman" w:cs="Times New Roman"/>
                      <w:spacing w:val="2"/>
                      <w:sz w:val="20"/>
                      <w:szCs w:val="20"/>
                    </w:rPr>
                    <w:t>2283.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 xml:space="preserve">12 </w:t>
                  </w:r>
                  <w:r>
                    <w:rPr>
                      <w:rFonts w:ascii="Times New Roman" w:hAnsi="Times New Roman" w:eastAsia="Times New Roman" w:cs="Times New Roman"/>
                      <w:sz w:val="20"/>
                      <w:szCs w:val="20"/>
                    </w:rPr>
                    <w:t>kWp</w:t>
                  </w:r>
                  <w:r>
                    <w:rPr>
                      <w:rFonts w:ascii="Times New Roman" w:hAnsi="Times New Roman" w:eastAsia="Times New Roman" w:cs="Times New Roman"/>
                      <w:spacing w:val="23"/>
                      <w:w w:val="101"/>
                      <w:sz w:val="20"/>
                      <w:szCs w:val="20"/>
                    </w:rPr>
                    <w:t xml:space="preserve"> </w:t>
                  </w:r>
                  <w:r>
                    <w:rPr>
                      <w:spacing w:val="2"/>
                      <w:sz w:val="20"/>
                      <w:szCs w:val="20"/>
                    </w:rPr>
                    <w:t>阵列。</w:t>
                  </w:r>
                </w:p>
                <w:p w14:paraId="4410C643">
                  <w:pPr>
                    <w:pStyle w:val="6"/>
                    <w:spacing w:before="31" w:line="245" w:lineRule="auto"/>
                    <w:ind w:left="110" w:right="102" w:firstLine="423"/>
                    <w:jc w:val="both"/>
                    <w:rPr>
                      <w:sz w:val="20"/>
                      <w:szCs w:val="20"/>
                    </w:rPr>
                  </w:pPr>
                  <w:r>
                    <w:rPr>
                      <w:spacing w:val="9"/>
                      <w:sz w:val="20"/>
                      <w:szCs w:val="20"/>
                    </w:rPr>
                    <w:t>光伏支架由</w:t>
                  </w:r>
                  <w:r>
                    <w:rPr>
                      <w:rFonts w:ascii="Times New Roman" w:hAnsi="Times New Roman" w:eastAsia="Times New Roman" w:cs="Times New Roman"/>
                      <w:spacing w:val="9"/>
                      <w:sz w:val="20"/>
                      <w:szCs w:val="20"/>
                    </w:rPr>
                    <w:t xml:space="preserve">24 </w:t>
                  </w:r>
                  <w:r>
                    <w:rPr>
                      <w:spacing w:val="9"/>
                      <w:sz w:val="20"/>
                      <w:szCs w:val="20"/>
                    </w:rPr>
                    <w:t>块单晶硅光伏组件按</w:t>
                  </w:r>
                  <w:r>
                    <w:rPr>
                      <w:spacing w:val="-43"/>
                      <w:sz w:val="20"/>
                      <w:szCs w:val="20"/>
                    </w:rPr>
                    <w:t xml:space="preserve"> </w:t>
                  </w:r>
                  <w:r>
                    <w:rPr>
                      <w:rFonts w:ascii="Times New Roman" w:hAnsi="Times New Roman" w:eastAsia="Times New Roman" w:cs="Times New Roman"/>
                      <w:spacing w:val="9"/>
                      <w:sz w:val="20"/>
                      <w:szCs w:val="20"/>
                    </w:rPr>
                    <w:t>2</w:t>
                  </w:r>
                  <w:r>
                    <w:rPr>
                      <w:spacing w:val="9"/>
                      <w:sz w:val="20"/>
                      <w:szCs w:val="20"/>
                    </w:rPr>
                    <w:t>（行）</w:t>
                  </w:r>
                  <w:r>
                    <w:rPr>
                      <w:spacing w:val="-73"/>
                      <w:sz w:val="20"/>
                      <w:szCs w:val="20"/>
                    </w:rPr>
                    <w:t xml:space="preserve"> </w:t>
                  </w:r>
                  <w:r>
                    <w:rPr>
                      <w:rFonts w:ascii="Times New Roman" w:hAnsi="Times New Roman" w:eastAsia="Times New Roman" w:cs="Times New Roman"/>
                      <w:spacing w:val="9"/>
                      <w:sz w:val="20"/>
                      <w:szCs w:val="20"/>
                    </w:rPr>
                    <w:t>×12</w:t>
                  </w:r>
                  <w:r>
                    <w:rPr>
                      <w:spacing w:val="9"/>
                      <w:sz w:val="20"/>
                      <w:szCs w:val="20"/>
                    </w:rPr>
                    <w:t>（列）的布</w:t>
                  </w:r>
                  <w:r>
                    <w:rPr>
                      <w:sz w:val="20"/>
                      <w:szCs w:val="20"/>
                    </w:rPr>
                    <w:t xml:space="preserve"> </w:t>
                  </w:r>
                  <w:r>
                    <w:rPr>
                      <w:spacing w:val="4"/>
                      <w:sz w:val="20"/>
                      <w:szCs w:val="20"/>
                    </w:rPr>
                    <w:t>置方式组成一个支架单元，支架倾角为</w:t>
                  </w:r>
                  <w:r>
                    <w:rPr>
                      <w:spacing w:val="-29"/>
                      <w:sz w:val="20"/>
                      <w:szCs w:val="20"/>
                    </w:rPr>
                    <w:t xml:space="preserve"> </w:t>
                  </w:r>
                  <w:r>
                    <w:rPr>
                      <w:rFonts w:ascii="Times New Roman" w:hAnsi="Times New Roman" w:eastAsia="Times New Roman" w:cs="Times New Roman"/>
                      <w:spacing w:val="4"/>
                      <w:sz w:val="20"/>
                      <w:szCs w:val="20"/>
                    </w:rPr>
                    <w:t>23°</w:t>
                  </w:r>
                  <w:r>
                    <w:rPr>
                      <w:rFonts w:ascii="Times New Roman" w:hAnsi="Times New Roman" w:eastAsia="Times New Roman" w:cs="Times New Roman"/>
                      <w:spacing w:val="-24"/>
                      <w:sz w:val="20"/>
                      <w:szCs w:val="20"/>
                    </w:rPr>
                    <w:t xml:space="preserve"> </w:t>
                  </w:r>
                  <w:r>
                    <w:rPr>
                      <w:spacing w:val="4"/>
                      <w:sz w:val="20"/>
                      <w:szCs w:val="20"/>
                    </w:rPr>
                    <w:t>, 光伏支架采用单碳钢</w:t>
                  </w:r>
                  <w:r>
                    <w:rPr>
                      <w:sz w:val="20"/>
                      <w:szCs w:val="20"/>
                    </w:rPr>
                    <w:t xml:space="preserve"> </w:t>
                  </w:r>
                  <w:r>
                    <w:rPr>
                      <w:spacing w:val="7"/>
                      <w:sz w:val="20"/>
                      <w:szCs w:val="20"/>
                    </w:rPr>
                    <w:t>构件，组件最低点离地高度</w:t>
                  </w:r>
                  <w:r>
                    <w:rPr>
                      <w:spacing w:val="-36"/>
                      <w:sz w:val="20"/>
                      <w:szCs w:val="20"/>
                    </w:rPr>
                    <w:t xml:space="preserve"> </w:t>
                  </w:r>
                  <w:r>
                    <w:rPr>
                      <w:rFonts w:ascii="Times New Roman" w:hAnsi="Times New Roman" w:eastAsia="Times New Roman" w:cs="Times New Roman"/>
                      <w:spacing w:val="7"/>
                      <w:sz w:val="20"/>
                      <w:szCs w:val="20"/>
                    </w:rPr>
                    <w:t>2.5m</w:t>
                  </w:r>
                  <w:r>
                    <w:rPr>
                      <w:rFonts w:ascii="Times New Roman" w:hAnsi="Times New Roman" w:eastAsia="Times New Roman" w:cs="Times New Roman"/>
                      <w:spacing w:val="-26"/>
                      <w:sz w:val="20"/>
                      <w:szCs w:val="20"/>
                    </w:rPr>
                    <w:t xml:space="preserve"> </w:t>
                  </w:r>
                  <w:r>
                    <w:rPr>
                      <w:spacing w:val="7"/>
                      <w:sz w:val="20"/>
                      <w:szCs w:val="20"/>
                    </w:rPr>
                    <w:t>，方阵南北方向前后排间距不小</w:t>
                  </w:r>
                  <w:r>
                    <w:rPr>
                      <w:sz w:val="20"/>
                      <w:szCs w:val="20"/>
                    </w:rPr>
                    <w:t xml:space="preserve"> </w:t>
                  </w:r>
                  <w:r>
                    <w:rPr>
                      <w:spacing w:val="4"/>
                      <w:sz w:val="20"/>
                      <w:szCs w:val="20"/>
                    </w:rPr>
                    <w:t>于</w:t>
                  </w:r>
                  <w:r>
                    <w:rPr>
                      <w:spacing w:val="-37"/>
                      <w:sz w:val="20"/>
                      <w:szCs w:val="20"/>
                    </w:rPr>
                    <w:t xml:space="preserve"> </w:t>
                  </w:r>
                  <w:r>
                    <w:rPr>
                      <w:rFonts w:ascii="Times New Roman" w:hAnsi="Times New Roman" w:eastAsia="Times New Roman" w:cs="Times New Roman"/>
                      <w:spacing w:val="4"/>
                      <w:sz w:val="20"/>
                      <w:szCs w:val="20"/>
                    </w:rPr>
                    <w:t>7.3m</w:t>
                  </w:r>
                  <w:r>
                    <w:rPr>
                      <w:rFonts w:ascii="Times New Roman" w:hAnsi="Times New Roman" w:eastAsia="Times New Roman" w:cs="Times New Roman"/>
                      <w:spacing w:val="-24"/>
                      <w:sz w:val="20"/>
                      <w:szCs w:val="20"/>
                    </w:rPr>
                    <w:t xml:space="preserve"> </w:t>
                  </w:r>
                  <w:r>
                    <w:rPr>
                      <w:spacing w:val="4"/>
                      <w:sz w:val="20"/>
                      <w:szCs w:val="20"/>
                    </w:rPr>
                    <w:t>，东西向按支架净间距</w:t>
                  </w:r>
                  <w:r>
                    <w:rPr>
                      <w:spacing w:val="-37"/>
                      <w:sz w:val="20"/>
                      <w:szCs w:val="20"/>
                    </w:rPr>
                    <w:t xml:space="preserve"> </w:t>
                  </w:r>
                  <w:r>
                    <w:rPr>
                      <w:rFonts w:ascii="Times New Roman" w:hAnsi="Times New Roman" w:eastAsia="Times New Roman" w:cs="Times New Roman"/>
                      <w:spacing w:val="4"/>
                      <w:sz w:val="20"/>
                      <w:szCs w:val="20"/>
                    </w:rPr>
                    <w:t>0.5m</w:t>
                  </w:r>
                  <w:r>
                    <w:rPr>
                      <w:rFonts w:ascii="Times New Roman" w:hAnsi="Times New Roman" w:eastAsia="Times New Roman" w:cs="Times New Roman"/>
                      <w:spacing w:val="-24"/>
                      <w:sz w:val="20"/>
                      <w:szCs w:val="20"/>
                    </w:rPr>
                    <w:t xml:space="preserve"> </w:t>
                  </w:r>
                  <w:r>
                    <w:rPr>
                      <w:spacing w:val="4"/>
                      <w:sz w:val="20"/>
                      <w:szCs w:val="20"/>
                    </w:rPr>
                    <w:t>，光伏阵区内设置一条</w:t>
                  </w:r>
                  <w:r>
                    <w:rPr>
                      <w:spacing w:val="-42"/>
                      <w:sz w:val="20"/>
                      <w:szCs w:val="20"/>
                    </w:rPr>
                    <w:t xml:space="preserve"> </w:t>
                  </w:r>
                  <w:r>
                    <w:rPr>
                      <w:rFonts w:ascii="Times New Roman" w:hAnsi="Times New Roman" w:eastAsia="Times New Roman" w:cs="Times New Roman"/>
                      <w:spacing w:val="4"/>
                      <w:sz w:val="20"/>
                      <w:szCs w:val="20"/>
                    </w:rPr>
                    <w:t>4m</w:t>
                  </w:r>
                  <w:r>
                    <w:rPr>
                      <w:rFonts w:ascii="Times New Roman" w:hAnsi="Times New Roman" w:eastAsia="Times New Roman" w:cs="Times New Roman"/>
                      <w:spacing w:val="23"/>
                      <w:sz w:val="20"/>
                      <w:szCs w:val="20"/>
                    </w:rPr>
                    <w:t xml:space="preserve"> </w:t>
                  </w:r>
                  <w:r>
                    <w:rPr>
                      <w:spacing w:val="4"/>
                      <w:sz w:val="20"/>
                      <w:szCs w:val="20"/>
                    </w:rPr>
                    <w:t>宽</w:t>
                  </w:r>
                  <w:r>
                    <w:rPr>
                      <w:sz w:val="20"/>
                      <w:szCs w:val="20"/>
                    </w:rPr>
                    <w:t xml:space="preserve"> </w:t>
                  </w:r>
                  <w:r>
                    <w:rPr>
                      <w:spacing w:val="9"/>
                      <w:sz w:val="20"/>
                      <w:szCs w:val="20"/>
                    </w:rPr>
                    <w:t>的行车道路，箱变单元布置在道路一侧，便于运输机检修。</w:t>
                  </w:r>
                </w:p>
              </w:tc>
              <w:tc>
                <w:tcPr>
                  <w:tcW w:w="432" w:type="dxa"/>
                  <w:textDirection w:val="tbRlV"/>
                  <w:vAlign w:val="top"/>
                </w:tcPr>
                <w:p w14:paraId="63B0ED67">
                  <w:pPr>
                    <w:pStyle w:val="6"/>
                    <w:spacing w:before="108" w:line="216" w:lineRule="auto"/>
                    <w:ind w:left="2331"/>
                    <w:rPr>
                      <w:sz w:val="20"/>
                      <w:szCs w:val="20"/>
                    </w:rPr>
                  </w:pPr>
                  <w:r>
                    <w:rPr>
                      <w:spacing w:val="8"/>
                      <w:sz w:val="20"/>
                      <w:szCs w:val="20"/>
                    </w:rPr>
                    <w:t>新</w:t>
                  </w:r>
                  <w:r>
                    <w:rPr>
                      <w:spacing w:val="-38"/>
                      <w:sz w:val="20"/>
                      <w:szCs w:val="20"/>
                    </w:rPr>
                    <w:t xml:space="preserve"> </w:t>
                  </w:r>
                  <w:r>
                    <w:rPr>
                      <w:spacing w:val="8"/>
                      <w:sz w:val="20"/>
                      <w:szCs w:val="20"/>
                    </w:rPr>
                    <w:t>建</w:t>
                  </w:r>
                </w:p>
              </w:tc>
            </w:tr>
            <w:tr w14:paraId="7F235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31" w:type="dxa"/>
                  <w:vMerge w:val="continue"/>
                  <w:tcBorders>
                    <w:top w:val="nil"/>
                    <w:bottom w:val="nil"/>
                  </w:tcBorders>
                  <w:textDirection w:val="tbRlV"/>
                  <w:vAlign w:val="top"/>
                </w:tcPr>
                <w:p w14:paraId="717A41E0">
                  <w:pPr>
                    <w:rPr>
                      <w:rFonts w:ascii="Arial"/>
                      <w:sz w:val="21"/>
                    </w:rPr>
                  </w:pPr>
                </w:p>
              </w:tc>
              <w:tc>
                <w:tcPr>
                  <w:tcW w:w="1167" w:type="dxa"/>
                  <w:vAlign w:val="top"/>
                </w:tcPr>
                <w:p w14:paraId="6BC668D9">
                  <w:pPr>
                    <w:spacing w:line="371" w:lineRule="auto"/>
                    <w:rPr>
                      <w:rFonts w:ascii="Arial"/>
                      <w:sz w:val="21"/>
                    </w:rPr>
                  </w:pPr>
                </w:p>
                <w:p w14:paraId="0B359DCF">
                  <w:pPr>
                    <w:pStyle w:val="6"/>
                    <w:spacing w:before="65" w:line="229" w:lineRule="auto"/>
                    <w:ind w:left="273"/>
                    <w:rPr>
                      <w:sz w:val="20"/>
                      <w:szCs w:val="20"/>
                    </w:rPr>
                  </w:pPr>
                  <w:r>
                    <w:rPr>
                      <w:spacing w:val="7"/>
                      <w:sz w:val="20"/>
                      <w:szCs w:val="20"/>
                    </w:rPr>
                    <w:t>逆变器</w:t>
                  </w:r>
                </w:p>
              </w:tc>
              <w:tc>
                <w:tcPr>
                  <w:tcW w:w="6123" w:type="dxa"/>
                  <w:vAlign w:val="top"/>
                </w:tcPr>
                <w:p w14:paraId="285EC13E">
                  <w:pPr>
                    <w:pStyle w:val="6"/>
                    <w:spacing w:before="31" w:line="239" w:lineRule="auto"/>
                    <w:ind w:left="108" w:right="102" w:firstLine="425"/>
                    <w:rPr>
                      <w:sz w:val="20"/>
                      <w:szCs w:val="20"/>
                    </w:rPr>
                  </w:pPr>
                  <w:r>
                    <w:rPr>
                      <w:spacing w:val="-2"/>
                      <w:sz w:val="20"/>
                      <w:szCs w:val="20"/>
                    </w:rPr>
                    <w:t>光</w:t>
                  </w:r>
                  <w:r>
                    <w:rPr>
                      <w:spacing w:val="-33"/>
                      <w:sz w:val="20"/>
                      <w:szCs w:val="20"/>
                    </w:rPr>
                    <w:t xml:space="preserve"> </w:t>
                  </w:r>
                  <w:r>
                    <w:rPr>
                      <w:spacing w:val="-2"/>
                      <w:sz w:val="20"/>
                      <w:szCs w:val="20"/>
                    </w:rPr>
                    <w:t>伏</w:t>
                  </w:r>
                  <w:r>
                    <w:rPr>
                      <w:spacing w:val="-23"/>
                      <w:sz w:val="20"/>
                      <w:szCs w:val="20"/>
                    </w:rPr>
                    <w:t xml:space="preserve"> </w:t>
                  </w:r>
                  <w:r>
                    <w:rPr>
                      <w:spacing w:val="-2"/>
                      <w:sz w:val="20"/>
                      <w:szCs w:val="20"/>
                    </w:rPr>
                    <w:t>阵 区</w:t>
                  </w:r>
                  <w:r>
                    <w:rPr>
                      <w:spacing w:val="-36"/>
                      <w:sz w:val="20"/>
                      <w:szCs w:val="20"/>
                    </w:rPr>
                    <w:t xml:space="preserve"> </w:t>
                  </w:r>
                  <w:r>
                    <w:rPr>
                      <w:spacing w:val="-2"/>
                      <w:sz w:val="20"/>
                      <w:szCs w:val="20"/>
                    </w:rPr>
                    <w:t>共</w:t>
                  </w:r>
                  <w:r>
                    <w:rPr>
                      <w:spacing w:val="-28"/>
                      <w:sz w:val="20"/>
                      <w:szCs w:val="20"/>
                    </w:rPr>
                    <w:t xml:space="preserve"> </w:t>
                  </w:r>
                  <w:r>
                    <w:rPr>
                      <w:spacing w:val="-2"/>
                      <w:sz w:val="20"/>
                      <w:szCs w:val="20"/>
                    </w:rPr>
                    <w:t>设</w:t>
                  </w:r>
                  <w:r>
                    <w:rPr>
                      <w:spacing w:val="-34"/>
                      <w:sz w:val="20"/>
                      <w:szCs w:val="20"/>
                    </w:rPr>
                    <w:t xml:space="preserve"> </w:t>
                  </w:r>
                  <w:r>
                    <w:rPr>
                      <w:spacing w:val="-2"/>
                      <w:sz w:val="20"/>
                      <w:szCs w:val="20"/>
                    </w:rPr>
                    <w:t xml:space="preserve">置 </w:t>
                  </w:r>
                  <w:r>
                    <w:rPr>
                      <w:rFonts w:ascii="Times New Roman" w:hAnsi="Times New Roman" w:eastAsia="Times New Roman" w:cs="Times New Roman"/>
                      <w:spacing w:val="-2"/>
                      <w:sz w:val="20"/>
                      <w:szCs w:val="20"/>
                    </w:rPr>
                    <w:t>319</w:t>
                  </w:r>
                  <w:r>
                    <w:rPr>
                      <w:rFonts w:ascii="Times New Roman" w:hAnsi="Times New Roman" w:eastAsia="Times New Roman" w:cs="Times New Roman"/>
                      <w:spacing w:val="16"/>
                      <w:w w:val="101"/>
                      <w:sz w:val="20"/>
                      <w:szCs w:val="20"/>
                    </w:rPr>
                    <w:t xml:space="preserve">  </w:t>
                  </w:r>
                  <w:r>
                    <w:rPr>
                      <w:spacing w:val="-2"/>
                      <w:sz w:val="20"/>
                      <w:szCs w:val="20"/>
                    </w:rPr>
                    <w:t xml:space="preserve">台 </w:t>
                  </w:r>
                  <w:r>
                    <w:rPr>
                      <w:rFonts w:ascii="Times New Roman" w:hAnsi="Times New Roman" w:eastAsia="Times New Roman" w:cs="Times New Roman"/>
                      <w:spacing w:val="-2"/>
                      <w:sz w:val="20"/>
                      <w:szCs w:val="20"/>
                    </w:rPr>
                    <w:t>300kW</w:t>
                  </w:r>
                  <w:r>
                    <w:rPr>
                      <w:rFonts w:ascii="Times New Roman" w:hAnsi="Times New Roman" w:eastAsia="Times New Roman" w:cs="Times New Roman"/>
                      <w:spacing w:val="12"/>
                      <w:sz w:val="20"/>
                      <w:szCs w:val="20"/>
                    </w:rPr>
                    <w:t xml:space="preserve">  </w:t>
                  </w:r>
                  <w:r>
                    <w:rPr>
                      <w:spacing w:val="-2"/>
                      <w:sz w:val="20"/>
                      <w:szCs w:val="20"/>
                    </w:rPr>
                    <w:t>组 串</w:t>
                  </w:r>
                  <w:r>
                    <w:rPr>
                      <w:spacing w:val="-31"/>
                      <w:sz w:val="20"/>
                      <w:szCs w:val="20"/>
                    </w:rPr>
                    <w:t xml:space="preserve"> </w:t>
                  </w:r>
                  <w:r>
                    <w:rPr>
                      <w:spacing w:val="-2"/>
                      <w:sz w:val="20"/>
                      <w:szCs w:val="20"/>
                    </w:rPr>
                    <w:t>式</w:t>
                  </w:r>
                  <w:r>
                    <w:rPr>
                      <w:spacing w:val="-32"/>
                      <w:sz w:val="20"/>
                      <w:szCs w:val="20"/>
                    </w:rPr>
                    <w:t xml:space="preserve"> </w:t>
                  </w:r>
                  <w:r>
                    <w:rPr>
                      <w:spacing w:val="-2"/>
                      <w:sz w:val="20"/>
                      <w:szCs w:val="20"/>
                    </w:rPr>
                    <w:t>逆</w:t>
                  </w:r>
                  <w:r>
                    <w:rPr>
                      <w:spacing w:val="-33"/>
                      <w:sz w:val="20"/>
                      <w:szCs w:val="20"/>
                    </w:rPr>
                    <w:t xml:space="preserve"> </w:t>
                  </w:r>
                  <w:r>
                    <w:rPr>
                      <w:spacing w:val="-2"/>
                      <w:sz w:val="20"/>
                      <w:szCs w:val="20"/>
                    </w:rPr>
                    <w:t>变</w:t>
                  </w:r>
                  <w:r>
                    <w:rPr>
                      <w:spacing w:val="-32"/>
                      <w:sz w:val="20"/>
                      <w:szCs w:val="20"/>
                    </w:rPr>
                    <w:t xml:space="preserve"> </w:t>
                  </w:r>
                  <w:r>
                    <w:rPr>
                      <w:spacing w:val="-2"/>
                      <w:sz w:val="20"/>
                      <w:szCs w:val="20"/>
                    </w:rPr>
                    <w:t>器 。</w:t>
                  </w:r>
                  <w:r>
                    <w:rPr>
                      <w:spacing w:val="-26"/>
                      <w:sz w:val="20"/>
                      <w:szCs w:val="20"/>
                    </w:rPr>
                    <w:t xml:space="preserve"> </w:t>
                  </w:r>
                  <w:r>
                    <w:rPr>
                      <w:spacing w:val="-2"/>
                      <w:sz w:val="20"/>
                      <w:szCs w:val="20"/>
                    </w:rPr>
                    <w:t>每</w:t>
                  </w:r>
                  <w:r>
                    <w:rPr>
                      <w:sz w:val="20"/>
                      <w:szCs w:val="20"/>
                    </w:rPr>
                    <w:t xml:space="preserve"> </w:t>
                  </w:r>
                  <w:r>
                    <w:rPr>
                      <w:rFonts w:ascii="Times New Roman" w:hAnsi="Times New Roman" w:eastAsia="Times New Roman" w:cs="Times New Roman"/>
                      <w:spacing w:val="4"/>
                      <w:sz w:val="20"/>
                      <w:szCs w:val="20"/>
                    </w:rPr>
                    <w:t>20/22/23/24/25/26</w:t>
                  </w:r>
                  <w:r>
                    <w:rPr>
                      <w:rFonts w:ascii="Times New Roman" w:hAnsi="Times New Roman" w:eastAsia="Times New Roman" w:cs="Times New Roman"/>
                      <w:spacing w:val="43"/>
                      <w:w w:val="101"/>
                      <w:sz w:val="20"/>
                      <w:szCs w:val="20"/>
                    </w:rPr>
                    <w:t xml:space="preserve"> </w:t>
                  </w:r>
                  <w:r>
                    <w:rPr>
                      <w:spacing w:val="4"/>
                      <w:sz w:val="20"/>
                      <w:szCs w:val="20"/>
                    </w:rPr>
                    <w:t>串接入一台逆变器。</w:t>
                  </w:r>
                </w:p>
                <w:p w14:paraId="1E0B9828">
                  <w:pPr>
                    <w:pStyle w:val="6"/>
                    <w:spacing w:before="23" w:line="236" w:lineRule="auto"/>
                    <w:ind w:left="130" w:right="104" w:firstLine="404"/>
                    <w:rPr>
                      <w:sz w:val="20"/>
                      <w:szCs w:val="20"/>
                    </w:rPr>
                  </w:pPr>
                  <w:r>
                    <w:rPr>
                      <w:spacing w:val="10"/>
                      <w:sz w:val="20"/>
                      <w:szCs w:val="20"/>
                    </w:rPr>
                    <w:t>组串式逆变器不单独做基础，逆变器托架采用连接件及抱箍</w:t>
                  </w:r>
                  <w:r>
                    <w:rPr>
                      <w:spacing w:val="17"/>
                      <w:sz w:val="20"/>
                      <w:szCs w:val="20"/>
                    </w:rPr>
                    <w:t xml:space="preserve"> </w:t>
                  </w:r>
                  <w:r>
                    <w:rPr>
                      <w:spacing w:val="6"/>
                      <w:sz w:val="20"/>
                      <w:szCs w:val="20"/>
                    </w:rPr>
                    <w:t>固定于光伏支架立柱上。</w:t>
                  </w:r>
                </w:p>
              </w:tc>
              <w:tc>
                <w:tcPr>
                  <w:tcW w:w="432" w:type="dxa"/>
                  <w:textDirection w:val="tbRlV"/>
                  <w:vAlign w:val="top"/>
                </w:tcPr>
                <w:p w14:paraId="03C2E675">
                  <w:pPr>
                    <w:pStyle w:val="6"/>
                    <w:spacing w:before="108" w:line="216" w:lineRule="auto"/>
                    <w:ind w:left="302"/>
                    <w:rPr>
                      <w:sz w:val="20"/>
                      <w:szCs w:val="20"/>
                    </w:rPr>
                  </w:pPr>
                  <w:r>
                    <w:rPr>
                      <w:spacing w:val="8"/>
                      <w:sz w:val="20"/>
                      <w:szCs w:val="20"/>
                    </w:rPr>
                    <w:t>新</w:t>
                  </w:r>
                  <w:r>
                    <w:rPr>
                      <w:spacing w:val="-38"/>
                      <w:sz w:val="20"/>
                      <w:szCs w:val="20"/>
                    </w:rPr>
                    <w:t xml:space="preserve"> </w:t>
                  </w:r>
                  <w:r>
                    <w:rPr>
                      <w:spacing w:val="8"/>
                      <w:sz w:val="20"/>
                      <w:szCs w:val="20"/>
                    </w:rPr>
                    <w:t>建</w:t>
                  </w:r>
                </w:p>
              </w:tc>
            </w:tr>
            <w:tr w14:paraId="41D12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431" w:type="dxa"/>
                  <w:vMerge w:val="continue"/>
                  <w:tcBorders>
                    <w:top w:val="nil"/>
                    <w:bottom w:val="nil"/>
                  </w:tcBorders>
                  <w:textDirection w:val="tbRlV"/>
                  <w:vAlign w:val="top"/>
                </w:tcPr>
                <w:p w14:paraId="7F42CD0F">
                  <w:pPr>
                    <w:rPr>
                      <w:rFonts w:ascii="Arial"/>
                      <w:sz w:val="21"/>
                    </w:rPr>
                  </w:pPr>
                </w:p>
              </w:tc>
              <w:tc>
                <w:tcPr>
                  <w:tcW w:w="1167" w:type="dxa"/>
                  <w:tcBorders>
                    <w:bottom w:val="nil"/>
                  </w:tcBorders>
                  <w:vAlign w:val="top"/>
                </w:tcPr>
                <w:p w14:paraId="694A73C6">
                  <w:pPr>
                    <w:spacing w:line="320" w:lineRule="auto"/>
                    <w:rPr>
                      <w:rFonts w:ascii="Arial"/>
                      <w:sz w:val="21"/>
                    </w:rPr>
                  </w:pPr>
                </w:p>
                <w:p w14:paraId="15014A56">
                  <w:pPr>
                    <w:spacing w:line="320" w:lineRule="auto"/>
                    <w:rPr>
                      <w:rFonts w:ascii="Arial"/>
                      <w:sz w:val="21"/>
                    </w:rPr>
                  </w:pPr>
                </w:p>
                <w:p w14:paraId="0B50273F">
                  <w:pPr>
                    <w:pStyle w:val="6"/>
                    <w:spacing w:before="65" w:line="243" w:lineRule="auto"/>
                    <w:ind w:left="482" w:right="164" w:hanging="312"/>
                    <w:rPr>
                      <w:sz w:val="20"/>
                      <w:szCs w:val="20"/>
                    </w:rPr>
                  </w:pPr>
                  <w:r>
                    <w:rPr>
                      <w:spacing w:val="6"/>
                      <w:sz w:val="20"/>
                      <w:szCs w:val="20"/>
                    </w:rPr>
                    <w:t>箱式变压</w:t>
                  </w:r>
                  <w:r>
                    <w:rPr>
                      <w:spacing w:val="2"/>
                      <w:sz w:val="20"/>
                      <w:szCs w:val="20"/>
                    </w:rPr>
                    <w:t xml:space="preserve"> </w:t>
                  </w:r>
                  <w:r>
                    <w:rPr>
                      <w:sz w:val="20"/>
                      <w:szCs w:val="20"/>
                    </w:rPr>
                    <w:t>器</w:t>
                  </w:r>
                </w:p>
              </w:tc>
              <w:tc>
                <w:tcPr>
                  <w:tcW w:w="6123" w:type="dxa"/>
                  <w:tcBorders>
                    <w:bottom w:val="nil"/>
                  </w:tcBorders>
                  <w:vAlign w:val="top"/>
                </w:tcPr>
                <w:p w14:paraId="7549A3DD">
                  <w:pPr>
                    <w:pStyle w:val="6"/>
                    <w:spacing w:before="30" w:line="247" w:lineRule="auto"/>
                    <w:ind w:left="108" w:right="102" w:firstLine="422"/>
                    <w:rPr>
                      <w:sz w:val="20"/>
                      <w:szCs w:val="20"/>
                    </w:rPr>
                  </w:pPr>
                  <w:r>
                    <w:rPr>
                      <w:spacing w:val="3"/>
                      <w:sz w:val="20"/>
                      <w:szCs w:val="20"/>
                    </w:rPr>
                    <w:t>共设置</w:t>
                  </w:r>
                  <w:r>
                    <w:rPr>
                      <w:spacing w:val="-37"/>
                      <w:sz w:val="20"/>
                      <w:szCs w:val="20"/>
                    </w:rPr>
                    <w:t xml:space="preserve"> </w:t>
                  </w:r>
                  <w:r>
                    <w:rPr>
                      <w:rFonts w:ascii="Times New Roman" w:hAnsi="Times New Roman" w:eastAsia="Times New Roman" w:cs="Times New Roman"/>
                      <w:spacing w:val="3"/>
                      <w:sz w:val="20"/>
                      <w:szCs w:val="20"/>
                    </w:rPr>
                    <w:t>37</w:t>
                  </w:r>
                  <w:r>
                    <w:rPr>
                      <w:rFonts w:ascii="Times New Roman" w:hAnsi="Times New Roman" w:eastAsia="Times New Roman" w:cs="Times New Roman"/>
                      <w:spacing w:val="29"/>
                      <w:sz w:val="20"/>
                      <w:szCs w:val="20"/>
                    </w:rPr>
                    <w:t xml:space="preserve"> </w:t>
                  </w:r>
                  <w:r>
                    <w:rPr>
                      <w:spacing w:val="3"/>
                      <w:sz w:val="20"/>
                      <w:szCs w:val="20"/>
                    </w:rPr>
                    <w:t>台箱式变压器，就地升压至</w:t>
                  </w:r>
                  <w:r>
                    <w:rPr>
                      <w:spacing w:val="-39"/>
                      <w:sz w:val="20"/>
                      <w:szCs w:val="20"/>
                    </w:rPr>
                    <w:t xml:space="preserve"> </w:t>
                  </w:r>
                  <w:r>
                    <w:rPr>
                      <w:rFonts w:ascii="Times New Roman" w:hAnsi="Times New Roman" w:eastAsia="Times New Roman" w:cs="Times New Roman"/>
                      <w:spacing w:val="3"/>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9"/>
                      <w:sz w:val="20"/>
                      <w:szCs w:val="20"/>
                    </w:rPr>
                    <w:t xml:space="preserve"> </w:t>
                  </w:r>
                  <w:r>
                    <w:rPr>
                      <w:spacing w:val="3"/>
                      <w:sz w:val="20"/>
                      <w:szCs w:val="20"/>
                    </w:rPr>
                    <w:t>。分别为：</w:t>
                  </w:r>
                  <w:r>
                    <w:rPr>
                      <w:rFonts w:ascii="Times New Roman" w:hAnsi="Times New Roman" w:eastAsia="Times New Roman" w:cs="Times New Roman"/>
                      <w:spacing w:val="3"/>
                      <w:sz w:val="20"/>
                      <w:szCs w:val="20"/>
                    </w:rPr>
                    <w:t>19</w:t>
                  </w:r>
                  <w:r>
                    <w:rPr>
                      <w:rFonts w:ascii="Times New Roman" w:hAnsi="Times New Roman" w:eastAsia="Times New Roman" w:cs="Times New Roman"/>
                      <w:spacing w:val="26"/>
                      <w:w w:val="101"/>
                      <w:sz w:val="20"/>
                      <w:szCs w:val="20"/>
                    </w:rPr>
                    <w:t xml:space="preserve"> </w:t>
                  </w:r>
                  <w:r>
                    <w:rPr>
                      <w:spacing w:val="3"/>
                      <w:sz w:val="20"/>
                      <w:szCs w:val="20"/>
                    </w:rPr>
                    <w:t>台</w:t>
                  </w:r>
                  <w:r>
                    <w:rPr>
                      <w:sz w:val="20"/>
                      <w:szCs w:val="20"/>
                    </w:rPr>
                    <w:t xml:space="preserve"> </w:t>
                  </w:r>
                  <w:r>
                    <w:rPr>
                      <w:rFonts w:ascii="Times New Roman" w:hAnsi="Times New Roman" w:eastAsia="Times New Roman" w:cs="Times New Roman"/>
                      <w:spacing w:val="4"/>
                      <w:sz w:val="20"/>
                      <w:szCs w:val="20"/>
                    </w:rPr>
                    <w:t>3300</w:t>
                  </w:r>
                  <w:r>
                    <w:rPr>
                      <w:rFonts w:ascii="Times New Roman" w:hAnsi="Times New Roman" w:eastAsia="Times New Roman" w:cs="Times New Roman"/>
                      <w:sz w:val="20"/>
                      <w:szCs w:val="20"/>
                    </w:rPr>
                    <w:t>kVA</w:t>
                  </w:r>
                  <w:r>
                    <w:rPr>
                      <w:rFonts w:ascii="Times New Roman" w:hAnsi="Times New Roman" w:eastAsia="Times New Roman" w:cs="Times New Roman"/>
                      <w:spacing w:val="4"/>
                      <w:sz w:val="20"/>
                      <w:szCs w:val="20"/>
                    </w:rPr>
                    <w:t xml:space="preserve"> </w:t>
                  </w:r>
                  <w:r>
                    <w:rPr>
                      <w:spacing w:val="4"/>
                      <w:sz w:val="20"/>
                      <w:szCs w:val="20"/>
                    </w:rPr>
                    <w:t>箱变（接入</w:t>
                  </w:r>
                  <w:r>
                    <w:rPr>
                      <w:spacing w:val="-42"/>
                      <w:sz w:val="20"/>
                      <w:szCs w:val="20"/>
                    </w:rPr>
                    <w:t xml:space="preserve"> </w:t>
                  </w:r>
                  <w:r>
                    <w:rPr>
                      <w:rFonts w:ascii="Times New Roman" w:hAnsi="Times New Roman" w:eastAsia="Times New Roman" w:cs="Times New Roman"/>
                      <w:spacing w:val="4"/>
                      <w:sz w:val="20"/>
                      <w:szCs w:val="20"/>
                    </w:rPr>
                    <w:t>209</w:t>
                  </w:r>
                  <w:r>
                    <w:rPr>
                      <w:rFonts w:ascii="Times New Roman" w:hAnsi="Times New Roman" w:eastAsia="Times New Roman" w:cs="Times New Roman"/>
                      <w:spacing w:val="26"/>
                      <w:sz w:val="20"/>
                      <w:szCs w:val="20"/>
                    </w:rPr>
                    <w:t xml:space="preserve"> </w:t>
                  </w:r>
                  <w:r>
                    <w:rPr>
                      <w:spacing w:val="4"/>
                      <w:sz w:val="20"/>
                      <w:szCs w:val="20"/>
                    </w:rPr>
                    <w:t>台逆变器</w:t>
                  </w:r>
                  <w:r>
                    <w:rPr>
                      <w:spacing w:val="19"/>
                      <w:sz w:val="20"/>
                      <w:szCs w:val="20"/>
                    </w:rPr>
                    <w:t>），</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28"/>
                      <w:sz w:val="20"/>
                      <w:szCs w:val="20"/>
                    </w:rPr>
                    <w:t xml:space="preserve"> </w:t>
                  </w:r>
                  <w:r>
                    <w:rPr>
                      <w:spacing w:val="4"/>
                      <w:sz w:val="20"/>
                      <w:szCs w:val="20"/>
                    </w:rPr>
                    <w:t>台</w:t>
                  </w:r>
                  <w:r>
                    <w:rPr>
                      <w:spacing w:val="-43"/>
                      <w:sz w:val="20"/>
                      <w:szCs w:val="20"/>
                    </w:rPr>
                    <w:t xml:space="preserve"> </w:t>
                  </w:r>
                  <w:r>
                    <w:rPr>
                      <w:rFonts w:ascii="Times New Roman" w:hAnsi="Times New Roman" w:eastAsia="Times New Roman" w:cs="Times New Roman"/>
                      <w:spacing w:val="4"/>
                      <w:sz w:val="20"/>
                      <w:szCs w:val="20"/>
                    </w:rPr>
                    <w:t>2700</w:t>
                  </w:r>
                  <w:r>
                    <w:rPr>
                      <w:rFonts w:ascii="Times New Roman" w:hAnsi="Times New Roman" w:eastAsia="Times New Roman" w:cs="Times New Roman"/>
                      <w:sz w:val="20"/>
                      <w:szCs w:val="20"/>
                    </w:rPr>
                    <w:t>kVA</w:t>
                  </w:r>
                  <w:r>
                    <w:rPr>
                      <w:rFonts w:ascii="Times New Roman" w:hAnsi="Times New Roman" w:eastAsia="Times New Roman" w:cs="Times New Roman"/>
                      <w:spacing w:val="4"/>
                      <w:sz w:val="20"/>
                      <w:szCs w:val="20"/>
                    </w:rPr>
                    <w:t xml:space="preserve"> </w:t>
                  </w:r>
                  <w:r>
                    <w:rPr>
                      <w:spacing w:val="4"/>
                      <w:sz w:val="20"/>
                      <w:szCs w:val="20"/>
                    </w:rPr>
                    <w:t>箱变（接入</w:t>
                  </w:r>
                  <w:r>
                    <w:rPr>
                      <w:sz w:val="20"/>
                      <w:szCs w:val="20"/>
                    </w:rPr>
                    <w:t xml:space="preserve"> </w:t>
                  </w:r>
                  <w:r>
                    <w:rPr>
                      <w:rFonts w:ascii="Times New Roman" w:hAnsi="Times New Roman" w:eastAsia="Times New Roman" w:cs="Times New Roman"/>
                      <w:spacing w:val="2"/>
                      <w:sz w:val="20"/>
                      <w:szCs w:val="20"/>
                    </w:rPr>
                    <w:t>18</w:t>
                  </w:r>
                  <w:r>
                    <w:rPr>
                      <w:rFonts w:ascii="Times New Roman" w:hAnsi="Times New Roman" w:eastAsia="Times New Roman" w:cs="Times New Roman"/>
                      <w:spacing w:val="29"/>
                      <w:w w:val="101"/>
                      <w:sz w:val="20"/>
                      <w:szCs w:val="20"/>
                    </w:rPr>
                    <w:t xml:space="preserve"> </w:t>
                  </w:r>
                  <w:r>
                    <w:rPr>
                      <w:spacing w:val="2"/>
                      <w:sz w:val="20"/>
                      <w:szCs w:val="20"/>
                    </w:rPr>
                    <w:t>台逆变器</w:t>
                  </w:r>
                  <w:r>
                    <w:rPr>
                      <w:spacing w:val="16"/>
                      <w:sz w:val="20"/>
                      <w:szCs w:val="20"/>
                    </w:rPr>
                    <w:t>），</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28"/>
                      <w:w w:val="101"/>
                      <w:sz w:val="20"/>
                      <w:szCs w:val="20"/>
                    </w:rPr>
                    <w:t xml:space="preserve"> </w:t>
                  </w:r>
                  <w:r>
                    <w:rPr>
                      <w:spacing w:val="2"/>
                      <w:sz w:val="20"/>
                      <w:szCs w:val="20"/>
                    </w:rPr>
                    <w:t>台</w:t>
                  </w:r>
                  <w:r>
                    <w:rPr>
                      <w:spacing w:val="-43"/>
                      <w:sz w:val="20"/>
                      <w:szCs w:val="20"/>
                    </w:rPr>
                    <w:t xml:space="preserve"> </w:t>
                  </w:r>
                  <w:r>
                    <w:rPr>
                      <w:rFonts w:ascii="Times New Roman" w:hAnsi="Times New Roman" w:eastAsia="Times New Roman" w:cs="Times New Roman"/>
                      <w:spacing w:val="2"/>
                      <w:sz w:val="20"/>
                      <w:szCs w:val="20"/>
                    </w:rPr>
                    <w:t>2400</w:t>
                  </w:r>
                  <w:r>
                    <w:rPr>
                      <w:rFonts w:ascii="Times New Roman" w:hAnsi="Times New Roman" w:eastAsia="Times New Roman" w:cs="Times New Roman"/>
                      <w:sz w:val="20"/>
                      <w:szCs w:val="20"/>
                    </w:rPr>
                    <w:t>kVA</w:t>
                  </w:r>
                  <w:r>
                    <w:rPr>
                      <w:rFonts w:ascii="Times New Roman" w:hAnsi="Times New Roman" w:eastAsia="Times New Roman" w:cs="Times New Roman"/>
                      <w:spacing w:val="2"/>
                      <w:sz w:val="20"/>
                      <w:szCs w:val="20"/>
                    </w:rPr>
                    <w:t xml:space="preserve"> </w:t>
                  </w:r>
                  <w:r>
                    <w:rPr>
                      <w:spacing w:val="2"/>
                      <w:sz w:val="20"/>
                      <w:szCs w:val="20"/>
                    </w:rPr>
                    <w:t>箱变（接入</w:t>
                  </w:r>
                  <w:r>
                    <w:rPr>
                      <w:spacing w:val="-43"/>
                      <w:sz w:val="20"/>
                      <w:szCs w:val="20"/>
                    </w:rPr>
                    <w:t xml:space="preserve"> </w:t>
                  </w:r>
                  <w:r>
                    <w:rPr>
                      <w:rFonts w:ascii="Times New Roman" w:hAnsi="Times New Roman" w:eastAsia="Times New Roman" w:cs="Times New Roman"/>
                      <w:spacing w:val="2"/>
                      <w:sz w:val="20"/>
                      <w:szCs w:val="20"/>
                    </w:rPr>
                    <w:t>24</w:t>
                  </w:r>
                  <w:r>
                    <w:rPr>
                      <w:rFonts w:ascii="Times New Roman" w:hAnsi="Times New Roman" w:eastAsia="Times New Roman" w:cs="Times New Roman"/>
                      <w:spacing w:val="28"/>
                      <w:sz w:val="20"/>
                      <w:szCs w:val="20"/>
                    </w:rPr>
                    <w:t xml:space="preserve"> </w:t>
                  </w:r>
                  <w:r>
                    <w:rPr>
                      <w:spacing w:val="2"/>
                      <w:sz w:val="20"/>
                      <w:szCs w:val="20"/>
                    </w:rPr>
                    <w:t>台逆变器</w:t>
                  </w:r>
                  <w:r>
                    <w:rPr>
                      <w:spacing w:val="16"/>
                      <w:sz w:val="20"/>
                      <w:szCs w:val="20"/>
                    </w:rPr>
                    <w:t>），</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26"/>
                      <w:sz w:val="20"/>
                      <w:szCs w:val="20"/>
                    </w:rPr>
                    <w:t xml:space="preserve"> </w:t>
                  </w:r>
                  <w:r>
                    <w:rPr>
                      <w:spacing w:val="2"/>
                      <w:sz w:val="20"/>
                      <w:szCs w:val="20"/>
                    </w:rPr>
                    <w:t>台</w:t>
                  </w:r>
                  <w:r>
                    <w:rPr>
                      <w:sz w:val="20"/>
                      <w:szCs w:val="20"/>
                    </w:rPr>
                    <w:t xml:space="preserve">  </w:t>
                  </w:r>
                  <w:r>
                    <w:rPr>
                      <w:rFonts w:ascii="Times New Roman" w:hAnsi="Times New Roman" w:eastAsia="Times New Roman" w:cs="Times New Roman"/>
                      <w:spacing w:val="3"/>
                      <w:sz w:val="20"/>
                      <w:szCs w:val="20"/>
                    </w:rPr>
                    <w:t>2100</w:t>
                  </w:r>
                  <w:r>
                    <w:rPr>
                      <w:rFonts w:ascii="Times New Roman" w:hAnsi="Times New Roman" w:eastAsia="Times New Roman" w:cs="Times New Roman"/>
                      <w:sz w:val="20"/>
                      <w:szCs w:val="20"/>
                    </w:rPr>
                    <w:t>kVA</w:t>
                  </w:r>
                  <w:r>
                    <w:rPr>
                      <w:rFonts w:ascii="Times New Roman" w:hAnsi="Times New Roman" w:eastAsia="Times New Roman" w:cs="Times New Roman"/>
                      <w:spacing w:val="3"/>
                      <w:sz w:val="20"/>
                      <w:szCs w:val="20"/>
                    </w:rPr>
                    <w:t xml:space="preserve"> </w:t>
                  </w:r>
                  <w:r>
                    <w:rPr>
                      <w:spacing w:val="3"/>
                      <w:sz w:val="20"/>
                      <w:szCs w:val="20"/>
                    </w:rPr>
                    <w:t>箱变（接入</w:t>
                  </w:r>
                  <w:r>
                    <w:rPr>
                      <w:spacing w:val="-42"/>
                      <w:sz w:val="20"/>
                      <w:szCs w:val="20"/>
                    </w:rPr>
                    <w:t xml:space="preserve"> </w:t>
                  </w:r>
                  <w:r>
                    <w:rPr>
                      <w:rFonts w:ascii="Times New Roman" w:hAnsi="Times New Roman" w:eastAsia="Times New Roman" w:cs="Times New Roman"/>
                      <w:spacing w:val="3"/>
                      <w:sz w:val="20"/>
                      <w:szCs w:val="20"/>
                    </w:rPr>
                    <w:t>21</w:t>
                  </w:r>
                  <w:r>
                    <w:rPr>
                      <w:rFonts w:ascii="Times New Roman" w:hAnsi="Times New Roman" w:eastAsia="Times New Roman" w:cs="Times New Roman"/>
                      <w:spacing w:val="26"/>
                      <w:sz w:val="20"/>
                      <w:szCs w:val="20"/>
                    </w:rPr>
                    <w:t xml:space="preserve"> </w:t>
                  </w:r>
                  <w:r>
                    <w:rPr>
                      <w:spacing w:val="3"/>
                      <w:sz w:val="20"/>
                      <w:szCs w:val="20"/>
                    </w:rPr>
                    <w:t>台逆变器</w:t>
                  </w:r>
                  <w:r>
                    <w:rPr>
                      <w:spacing w:val="22"/>
                      <w:sz w:val="20"/>
                      <w:szCs w:val="20"/>
                    </w:rPr>
                    <w:t>），</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8"/>
                      <w:w w:val="101"/>
                      <w:sz w:val="20"/>
                      <w:szCs w:val="20"/>
                    </w:rPr>
                    <w:t xml:space="preserve"> </w:t>
                  </w:r>
                  <w:r>
                    <w:rPr>
                      <w:spacing w:val="3"/>
                      <w:sz w:val="20"/>
                      <w:szCs w:val="20"/>
                    </w:rPr>
                    <w:t>台</w:t>
                  </w:r>
                  <w:r>
                    <w:rPr>
                      <w:spacing w:val="-23"/>
                      <w:sz w:val="20"/>
                      <w:szCs w:val="20"/>
                    </w:rPr>
                    <w:t xml:space="preserve"> </w:t>
                  </w:r>
                  <w:r>
                    <w:rPr>
                      <w:rFonts w:ascii="Times New Roman" w:hAnsi="Times New Roman" w:eastAsia="Times New Roman" w:cs="Times New Roman"/>
                      <w:spacing w:val="3"/>
                      <w:sz w:val="20"/>
                      <w:szCs w:val="20"/>
                    </w:rPr>
                    <w:t>1800</w:t>
                  </w:r>
                  <w:r>
                    <w:rPr>
                      <w:rFonts w:ascii="Times New Roman" w:hAnsi="Times New Roman" w:eastAsia="Times New Roman" w:cs="Times New Roman"/>
                      <w:sz w:val="20"/>
                      <w:szCs w:val="20"/>
                    </w:rPr>
                    <w:t>kVA</w:t>
                  </w:r>
                  <w:r>
                    <w:rPr>
                      <w:rFonts w:ascii="Times New Roman" w:hAnsi="Times New Roman" w:eastAsia="Times New Roman" w:cs="Times New Roman"/>
                      <w:spacing w:val="3"/>
                      <w:sz w:val="20"/>
                      <w:szCs w:val="20"/>
                    </w:rPr>
                    <w:t xml:space="preserve"> </w:t>
                  </w:r>
                  <w:r>
                    <w:rPr>
                      <w:spacing w:val="3"/>
                      <w:sz w:val="20"/>
                      <w:szCs w:val="20"/>
                    </w:rPr>
                    <w:t>箱变（接入</w:t>
                  </w:r>
                  <w:r>
                    <w:rPr>
                      <w:sz w:val="20"/>
                      <w:szCs w:val="20"/>
                    </w:rPr>
                    <w:t xml:space="preserve">  </w:t>
                  </w:r>
                  <w:r>
                    <w:rPr>
                      <w:rFonts w:ascii="Times New Roman" w:hAnsi="Times New Roman" w:eastAsia="Times New Roman" w:cs="Times New Roman"/>
                      <w:spacing w:val="-2"/>
                      <w:sz w:val="20"/>
                      <w:szCs w:val="20"/>
                    </w:rPr>
                    <w:t>30</w:t>
                  </w:r>
                  <w:r>
                    <w:rPr>
                      <w:rFonts w:ascii="Times New Roman" w:hAnsi="Times New Roman" w:eastAsia="Times New Roman" w:cs="Times New Roman"/>
                      <w:spacing w:val="29"/>
                      <w:w w:val="101"/>
                      <w:sz w:val="20"/>
                      <w:szCs w:val="20"/>
                    </w:rPr>
                    <w:t xml:space="preserve"> </w:t>
                  </w:r>
                  <w:r>
                    <w:rPr>
                      <w:spacing w:val="-2"/>
                      <w:sz w:val="20"/>
                      <w:szCs w:val="20"/>
                    </w:rPr>
                    <w:t>台逆变器</w:t>
                  </w:r>
                  <w:r>
                    <w:rPr>
                      <w:spacing w:val="-39"/>
                      <w:w w:val="74"/>
                      <w:sz w:val="20"/>
                      <w:szCs w:val="20"/>
                    </w:rPr>
                    <w:t>），</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28"/>
                      <w:w w:val="101"/>
                      <w:sz w:val="20"/>
                      <w:szCs w:val="20"/>
                    </w:rPr>
                    <w:t xml:space="preserve"> </w:t>
                  </w:r>
                  <w:r>
                    <w:rPr>
                      <w:spacing w:val="-2"/>
                      <w:sz w:val="20"/>
                      <w:szCs w:val="20"/>
                    </w:rPr>
                    <w:t>台</w:t>
                  </w:r>
                  <w:r>
                    <w:rPr>
                      <w:spacing w:val="-23"/>
                      <w:sz w:val="20"/>
                      <w:szCs w:val="20"/>
                    </w:rPr>
                    <w:t xml:space="preserve"> </w:t>
                  </w:r>
                  <w:r>
                    <w:rPr>
                      <w:rFonts w:ascii="Times New Roman" w:hAnsi="Times New Roman" w:eastAsia="Times New Roman" w:cs="Times New Roman"/>
                      <w:spacing w:val="-2"/>
                      <w:sz w:val="20"/>
                      <w:szCs w:val="20"/>
                    </w:rPr>
                    <w:t xml:space="preserve">1200kVA </w:t>
                  </w:r>
                  <w:r>
                    <w:rPr>
                      <w:spacing w:val="-2"/>
                      <w:sz w:val="20"/>
                      <w:szCs w:val="20"/>
                    </w:rPr>
                    <w:t>箱变（接入</w:t>
                  </w:r>
                  <w:r>
                    <w:rPr>
                      <w:spacing w:val="-32"/>
                      <w:sz w:val="20"/>
                      <w:szCs w:val="20"/>
                    </w:rPr>
                    <w:t xml:space="preserve"> </w:t>
                  </w:r>
                  <w:r>
                    <w:rPr>
                      <w:rFonts w:ascii="Times New Roman" w:hAnsi="Times New Roman" w:eastAsia="Times New Roman" w:cs="Times New Roman"/>
                      <w:spacing w:val="-2"/>
                      <w:sz w:val="20"/>
                      <w:szCs w:val="20"/>
                    </w:rPr>
                    <w:t>8</w:t>
                  </w:r>
                  <w:r>
                    <w:rPr>
                      <w:rFonts w:ascii="Times New Roman" w:hAnsi="Times New Roman" w:eastAsia="Times New Roman" w:cs="Times New Roman"/>
                      <w:spacing w:val="28"/>
                      <w:sz w:val="20"/>
                      <w:szCs w:val="20"/>
                    </w:rPr>
                    <w:t xml:space="preserve"> </w:t>
                  </w:r>
                  <w:r>
                    <w:rPr>
                      <w:spacing w:val="-2"/>
                      <w:sz w:val="20"/>
                      <w:szCs w:val="20"/>
                    </w:rPr>
                    <w:t>台</w:t>
                  </w:r>
                  <w:r>
                    <w:rPr>
                      <w:spacing w:val="-3"/>
                      <w:sz w:val="20"/>
                      <w:szCs w:val="20"/>
                    </w:rPr>
                    <w:t>逆变器</w:t>
                  </w:r>
                  <w:r>
                    <w:rPr>
                      <w:spacing w:val="-39"/>
                      <w:w w:val="74"/>
                      <w:sz w:val="20"/>
                      <w:szCs w:val="20"/>
                    </w:rPr>
                    <w:t>），</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26"/>
                      <w:sz w:val="20"/>
                      <w:szCs w:val="20"/>
                    </w:rPr>
                    <w:t xml:space="preserve"> </w:t>
                  </w:r>
                  <w:r>
                    <w:rPr>
                      <w:spacing w:val="-3"/>
                      <w:sz w:val="20"/>
                      <w:szCs w:val="20"/>
                    </w:rPr>
                    <w:t>台</w:t>
                  </w:r>
                  <w:r>
                    <w:rPr>
                      <w:spacing w:val="-37"/>
                      <w:sz w:val="20"/>
                      <w:szCs w:val="20"/>
                    </w:rPr>
                    <w:t xml:space="preserve"> </w:t>
                  </w:r>
                  <w:r>
                    <w:rPr>
                      <w:rFonts w:ascii="Times New Roman" w:hAnsi="Times New Roman" w:eastAsia="Times New Roman" w:cs="Times New Roman"/>
                      <w:spacing w:val="-3"/>
                      <w:sz w:val="20"/>
                      <w:szCs w:val="20"/>
                    </w:rPr>
                    <w:t>900kVA</w:t>
                  </w:r>
                  <w:r>
                    <w:rPr>
                      <w:rFonts w:ascii="Times New Roman" w:hAnsi="Times New Roman" w:eastAsia="Times New Roman" w:cs="Times New Roman"/>
                      <w:sz w:val="20"/>
                      <w:szCs w:val="20"/>
                    </w:rPr>
                    <w:t xml:space="preserve"> </w:t>
                  </w:r>
                  <w:r>
                    <w:rPr>
                      <w:spacing w:val="7"/>
                      <w:sz w:val="20"/>
                      <w:szCs w:val="20"/>
                    </w:rPr>
                    <w:t>箱变（接入</w:t>
                  </w:r>
                  <w:r>
                    <w:rPr>
                      <w:spacing w:val="-26"/>
                      <w:sz w:val="20"/>
                      <w:szCs w:val="20"/>
                    </w:rPr>
                    <w:t xml:space="preserve">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28"/>
                      <w:w w:val="101"/>
                      <w:sz w:val="20"/>
                      <w:szCs w:val="20"/>
                    </w:rPr>
                    <w:t xml:space="preserve"> </w:t>
                  </w:r>
                  <w:r>
                    <w:rPr>
                      <w:spacing w:val="7"/>
                      <w:sz w:val="20"/>
                      <w:szCs w:val="20"/>
                    </w:rPr>
                    <w:t>台逆变器）</w:t>
                  </w:r>
                  <w:r>
                    <w:rPr>
                      <w:spacing w:val="-58"/>
                      <w:sz w:val="20"/>
                      <w:szCs w:val="20"/>
                    </w:rPr>
                    <w:t xml:space="preserve"> </w:t>
                  </w:r>
                  <w:r>
                    <w:rPr>
                      <w:spacing w:val="7"/>
                      <w:sz w:val="20"/>
                      <w:szCs w:val="20"/>
                    </w:rPr>
                    <w:t>。直流电经逆变器逆变后变为交流电，</w:t>
                  </w:r>
                  <w:r>
                    <w:rPr>
                      <w:sz w:val="20"/>
                      <w:szCs w:val="20"/>
                    </w:rPr>
                    <w:t xml:space="preserve"> </w:t>
                  </w:r>
                  <w:r>
                    <w:rPr>
                      <w:spacing w:val="8"/>
                      <w:sz w:val="20"/>
                      <w:szCs w:val="20"/>
                    </w:rPr>
                    <w:t>再通过交流电缆接到就地箱变。</w:t>
                  </w:r>
                </w:p>
              </w:tc>
              <w:tc>
                <w:tcPr>
                  <w:tcW w:w="432" w:type="dxa"/>
                  <w:tcBorders>
                    <w:bottom w:val="nil"/>
                  </w:tcBorders>
                  <w:textDirection w:val="tbRlV"/>
                  <w:vAlign w:val="top"/>
                </w:tcPr>
                <w:p w14:paraId="62503274">
                  <w:pPr>
                    <w:pStyle w:val="6"/>
                    <w:spacing w:before="108" w:line="216" w:lineRule="auto"/>
                    <w:ind w:left="710"/>
                    <w:rPr>
                      <w:sz w:val="20"/>
                      <w:szCs w:val="20"/>
                    </w:rPr>
                  </w:pPr>
                  <w:r>
                    <w:rPr>
                      <w:spacing w:val="8"/>
                      <w:sz w:val="20"/>
                      <w:szCs w:val="20"/>
                    </w:rPr>
                    <w:t>新</w:t>
                  </w:r>
                  <w:r>
                    <w:rPr>
                      <w:spacing w:val="-35"/>
                      <w:sz w:val="20"/>
                      <w:szCs w:val="20"/>
                    </w:rPr>
                    <w:t xml:space="preserve"> </w:t>
                  </w:r>
                  <w:r>
                    <w:rPr>
                      <w:spacing w:val="8"/>
                      <w:sz w:val="20"/>
                      <w:szCs w:val="20"/>
                    </w:rPr>
                    <w:t>建</w:t>
                  </w:r>
                </w:p>
              </w:tc>
            </w:tr>
          </w:tbl>
          <w:p w14:paraId="3EF79E6E">
            <w:pPr>
              <w:spacing w:line="98" w:lineRule="auto"/>
              <w:rPr>
                <w:rFonts w:ascii="Arial"/>
                <w:sz w:val="2"/>
              </w:rPr>
            </w:pPr>
          </w:p>
        </w:tc>
      </w:tr>
    </w:tbl>
    <w:p w14:paraId="3508ACBD">
      <w:pPr>
        <w:rPr>
          <w:rFonts w:ascii="Arial"/>
          <w:sz w:val="21"/>
        </w:rPr>
      </w:pPr>
    </w:p>
    <w:p w14:paraId="52C04AFA">
      <w:pPr>
        <w:rPr>
          <w:rFonts w:ascii="Arial" w:hAnsi="Arial" w:eastAsia="Arial" w:cs="Arial"/>
          <w:sz w:val="21"/>
          <w:szCs w:val="21"/>
        </w:rPr>
        <w:sectPr>
          <w:footerReference r:id="rId50" w:type="default"/>
          <w:pgSz w:w="11906" w:h="16839"/>
          <w:pgMar w:top="1431" w:right="1415" w:bottom="1278" w:left="1415" w:header="0" w:footer="1116" w:gutter="0"/>
          <w:cols w:space="720" w:num="1"/>
        </w:sectPr>
      </w:pPr>
    </w:p>
    <w:p w14:paraId="49030F1D">
      <w:pPr>
        <w:spacing w:line="99" w:lineRule="exact"/>
      </w:pPr>
      <w:r>
        <w:pict>
          <v:shape id="_x0000_s1052" o:spid="_x0000_s1052" style="position:absolute;left:0pt;margin-left:110.7pt;margin-top:499.6pt;height:0.5pt;width:407.95pt;mso-position-horizontal-relative:page;mso-position-vertical-relative:page;z-index:251688960;mso-width-relative:page;mso-height-relative:page;" filled="f" stroked="t" coordsize="8159,10" o:allowincell="f" path="m0,4l8158,4e">
            <v:fill on="f" focussize="0,0"/>
            <v:stroke weight="0.48pt" color="#000000" miterlimit="2" joinstyle="bevel"/>
            <v:imagedata o:title=""/>
            <o:lock v:ext="edit"/>
          </v:shape>
        </w:pict>
      </w:r>
    </w:p>
    <w:tbl>
      <w:tblPr>
        <w:tblStyle w:val="5"/>
        <w:tblW w:w="90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2"/>
        <w:gridCol w:w="426"/>
        <w:gridCol w:w="1166"/>
        <w:gridCol w:w="6117"/>
        <w:gridCol w:w="549"/>
      </w:tblGrid>
      <w:tr w14:paraId="1D1F9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70" w:hRule="atLeast"/>
        </w:trPr>
        <w:tc>
          <w:tcPr>
            <w:tcW w:w="802" w:type="dxa"/>
            <w:tcBorders>
              <w:right w:val="single" w:color="000000" w:sz="2" w:space="0"/>
            </w:tcBorders>
            <w:vAlign w:val="top"/>
          </w:tcPr>
          <w:p w14:paraId="1058D522">
            <w:pPr>
              <w:rPr>
                <w:rFonts w:ascii="Arial"/>
                <w:sz w:val="21"/>
              </w:rPr>
            </w:pPr>
            <w:r>
              <w:pict>
                <v:shape id="_x0000_s1053" o:spid="_x0000_s1053" style="position:absolute;left:0pt;margin-left:33.95pt;margin-top:0.95pt;height:423.1pt;width:0.5pt;mso-position-horizontal-relative:page;mso-position-vertical-relative:page;z-index:251687936;mso-width-relative:page;mso-height-relative:page;" filled="f" stroked="t" coordsize="10,8462" path="m4,0l4,8461e">
                  <v:fill on="f" focussize="0,0"/>
                  <v:stroke weight="0.48pt" color="#000000" miterlimit="2" joinstyle="bevel"/>
                  <v:imagedata o:title=""/>
                  <o:lock v:ext="edit"/>
                </v:shape>
              </w:pict>
            </w:r>
          </w:p>
        </w:tc>
        <w:tc>
          <w:tcPr>
            <w:tcW w:w="426" w:type="dxa"/>
            <w:tcBorders>
              <w:left w:val="single" w:color="000000" w:sz="2" w:space="0"/>
              <w:right w:val="single" w:color="000000" w:sz="2" w:space="0"/>
            </w:tcBorders>
            <w:vAlign w:val="top"/>
          </w:tcPr>
          <w:p w14:paraId="1DECCE92">
            <w:pPr>
              <w:rPr>
                <w:rFonts w:ascii="Arial"/>
                <w:sz w:val="21"/>
              </w:rPr>
            </w:pPr>
          </w:p>
        </w:tc>
        <w:tc>
          <w:tcPr>
            <w:tcW w:w="1166" w:type="dxa"/>
            <w:tcBorders>
              <w:left w:val="single" w:color="000000" w:sz="2" w:space="0"/>
              <w:right w:val="single" w:color="000000" w:sz="2" w:space="0"/>
            </w:tcBorders>
            <w:vAlign w:val="top"/>
          </w:tcPr>
          <w:p w14:paraId="1F477D34">
            <w:pPr>
              <w:spacing w:line="251" w:lineRule="auto"/>
              <w:rPr>
                <w:rFonts w:ascii="Arial"/>
                <w:sz w:val="21"/>
              </w:rPr>
            </w:pPr>
          </w:p>
          <w:p w14:paraId="30BD827D">
            <w:pPr>
              <w:spacing w:line="251" w:lineRule="auto"/>
              <w:rPr>
                <w:rFonts w:ascii="Arial"/>
                <w:sz w:val="21"/>
              </w:rPr>
            </w:pPr>
          </w:p>
          <w:p w14:paraId="391C4294">
            <w:pPr>
              <w:spacing w:line="251" w:lineRule="auto"/>
              <w:rPr>
                <w:rFonts w:ascii="Arial"/>
                <w:sz w:val="21"/>
              </w:rPr>
            </w:pPr>
          </w:p>
          <w:p w14:paraId="09DFD7FF">
            <w:pPr>
              <w:spacing w:line="252" w:lineRule="auto"/>
              <w:rPr>
                <w:rFonts w:ascii="Arial"/>
                <w:sz w:val="21"/>
              </w:rPr>
            </w:pPr>
          </w:p>
          <w:p w14:paraId="667CCEBA">
            <w:pPr>
              <w:spacing w:line="252" w:lineRule="auto"/>
              <w:rPr>
                <w:rFonts w:ascii="Arial"/>
                <w:sz w:val="21"/>
              </w:rPr>
            </w:pPr>
          </w:p>
          <w:p w14:paraId="55EAAAA5">
            <w:pPr>
              <w:spacing w:line="252" w:lineRule="auto"/>
              <w:rPr>
                <w:rFonts w:ascii="Arial"/>
                <w:sz w:val="21"/>
              </w:rPr>
            </w:pPr>
          </w:p>
          <w:p w14:paraId="615F41A8">
            <w:pPr>
              <w:spacing w:line="252" w:lineRule="auto"/>
              <w:rPr>
                <w:rFonts w:ascii="Arial"/>
                <w:sz w:val="21"/>
              </w:rPr>
            </w:pPr>
          </w:p>
          <w:p w14:paraId="3FACADE6">
            <w:pPr>
              <w:spacing w:line="252" w:lineRule="auto"/>
              <w:rPr>
                <w:rFonts w:ascii="Arial"/>
                <w:sz w:val="21"/>
              </w:rPr>
            </w:pPr>
          </w:p>
          <w:p w14:paraId="224C7DC6">
            <w:pPr>
              <w:spacing w:line="252" w:lineRule="auto"/>
              <w:rPr>
                <w:rFonts w:ascii="Arial"/>
                <w:sz w:val="21"/>
              </w:rPr>
            </w:pPr>
          </w:p>
          <w:p w14:paraId="0FA7AFD2">
            <w:pPr>
              <w:spacing w:line="252" w:lineRule="auto"/>
              <w:rPr>
                <w:rFonts w:ascii="Arial"/>
                <w:sz w:val="21"/>
              </w:rPr>
            </w:pPr>
          </w:p>
          <w:p w14:paraId="421C2776">
            <w:pPr>
              <w:spacing w:line="252" w:lineRule="auto"/>
              <w:rPr>
                <w:rFonts w:ascii="Arial"/>
                <w:sz w:val="21"/>
              </w:rPr>
            </w:pPr>
          </w:p>
          <w:p w14:paraId="2A1ADC72">
            <w:pPr>
              <w:spacing w:line="252" w:lineRule="auto"/>
              <w:rPr>
                <w:rFonts w:ascii="Arial"/>
                <w:sz w:val="21"/>
              </w:rPr>
            </w:pPr>
          </w:p>
          <w:p w14:paraId="2E159761">
            <w:pPr>
              <w:spacing w:line="252" w:lineRule="auto"/>
              <w:rPr>
                <w:rFonts w:ascii="Arial"/>
                <w:sz w:val="21"/>
              </w:rPr>
            </w:pPr>
          </w:p>
          <w:p w14:paraId="4818B8EE">
            <w:pPr>
              <w:spacing w:line="252" w:lineRule="auto"/>
              <w:rPr>
                <w:rFonts w:ascii="Arial"/>
                <w:sz w:val="21"/>
              </w:rPr>
            </w:pPr>
          </w:p>
          <w:p w14:paraId="4B3A92FE">
            <w:pPr>
              <w:spacing w:line="252" w:lineRule="auto"/>
              <w:rPr>
                <w:rFonts w:ascii="Arial"/>
                <w:sz w:val="21"/>
              </w:rPr>
            </w:pPr>
          </w:p>
          <w:p w14:paraId="5FCF64BE">
            <w:pPr>
              <w:spacing w:line="252" w:lineRule="auto"/>
              <w:rPr>
                <w:rFonts w:ascii="Arial"/>
                <w:sz w:val="21"/>
              </w:rPr>
            </w:pPr>
          </w:p>
          <w:p w14:paraId="6D2A5D2A">
            <w:pPr>
              <w:pStyle w:val="6"/>
              <w:spacing w:before="65" w:line="228" w:lineRule="auto"/>
              <w:ind w:left="165"/>
              <w:rPr>
                <w:sz w:val="20"/>
                <w:szCs w:val="20"/>
              </w:rPr>
            </w:pPr>
            <w:r>
              <w:rPr>
                <w:spacing w:val="7"/>
                <w:sz w:val="20"/>
                <w:szCs w:val="20"/>
              </w:rPr>
              <w:t>集电线路</w:t>
            </w:r>
          </w:p>
        </w:tc>
        <w:tc>
          <w:tcPr>
            <w:tcW w:w="6117" w:type="dxa"/>
            <w:tcBorders>
              <w:left w:val="single" w:color="000000" w:sz="2" w:space="0"/>
              <w:right w:val="single" w:color="000000" w:sz="2" w:space="0"/>
            </w:tcBorders>
            <w:vAlign w:val="top"/>
          </w:tcPr>
          <w:p w14:paraId="6ACED815">
            <w:pPr>
              <w:pStyle w:val="6"/>
              <w:spacing w:before="37" w:line="225" w:lineRule="auto"/>
              <w:ind w:left="529"/>
              <w:rPr>
                <w:sz w:val="20"/>
                <w:szCs w:val="20"/>
              </w:rPr>
            </w:pPr>
            <w:r>
              <w:rPr>
                <w:spacing w:val="7"/>
                <w:sz w:val="20"/>
                <w:szCs w:val="20"/>
              </w:rPr>
              <w:t>①架空线路部分：</w:t>
            </w:r>
          </w:p>
          <w:p w14:paraId="5870EDE5">
            <w:pPr>
              <w:pStyle w:val="6"/>
              <w:spacing w:before="25" w:line="244" w:lineRule="auto"/>
              <w:ind w:left="111" w:right="46" w:firstLine="418"/>
              <w:rPr>
                <w:sz w:val="20"/>
                <w:szCs w:val="20"/>
              </w:rPr>
            </w:pPr>
            <w:r>
              <w:rPr>
                <w:spacing w:val="4"/>
                <w:sz w:val="20"/>
                <w:szCs w:val="20"/>
              </w:rPr>
              <w:t>共设置</w:t>
            </w:r>
            <w:r>
              <w:rPr>
                <w:spacing w:val="-27"/>
                <w:sz w:val="20"/>
                <w:szCs w:val="20"/>
              </w:rPr>
              <w:t xml:space="preserve"> </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32"/>
                <w:w w:val="101"/>
                <w:sz w:val="20"/>
                <w:szCs w:val="20"/>
              </w:rPr>
              <w:t xml:space="preserve"> </w:t>
            </w:r>
            <w:r>
              <w:rPr>
                <w:spacing w:val="4"/>
                <w:sz w:val="20"/>
                <w:szCs w:val="20"/>
              </w:rPr>
              <w:t>回</w:t>
            </w:r>
            <w:r>
              <w:rPr>
                <w:spacing w:val="-39"/>
                <w:sz w:val="20"/>
                <w:szCs w:val="20"/>
              </w:rPr>
              <w:t xml:space="preserve"> </w:t>
            </w: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4"/>
                <w:sz w:val="20"/>
                <w:szCs w:val="20"/>
              </w:rPr>
              <w:t xml:space="preserve"> </w:t>
            </w:r>
            <w:r>
              <w:rPr>
                <w:spacing w:val="4"/>
                <w:sz w:val="20"/>
                <w:szCs w:val="20"/>
              </w:rPr>
              <w:t>集电线路，单回架空线路，共约</w:t>
            </w:r>
            <w:r>
              <w:rPr>
                <w:spacing w:val="-38"/>
                <w:sz w:val="20"/>
                <w:szCs w:val="20"/>
              </w:rPr>
              <w:t xml:space="preserve"> </w:t>
            </w:r>
            <w:r>
              <w:rPr>
                <w:rFonts w:ascii="Times New Roman" w:hAnsi="Times New Roman" w:eastAsia="Times New Roman" w:cs="Times New Roman"/>
                <w:spacing w:val="4"/>
                <w:sz w:val="20"/>
                <w:szCs w:val="20"/>
              </w:rPr>
              <w:t>23.96</w:t>
            </w:r>
            <w:r>
              <w:rPr>
                <w:rFonts w:ascii="Times New Roman" w:hAnsi="Times New Roman" w:eastAsia="Times New Roman" w:cs="Times New Roman"/>
                <w:sz w:val="20"/>
                <w:szCs w:val="20"/>
              </w:rPr>
              <w:t>km</w:t>
            </w:r>
            <w:r>
              <w:rPr>
                <w:spacing w:val="4"/>
                <w:sz w:val="20"/>
                <w:szCs w:val="20"/>
              </w:rPr>
              <w:t>，</w:t>
            </w:r>
            <w:r>
              <w:rPr>
                <w:sz w:val="20"/>
                <w:szCs w:val="20"/>
              </w:rPr>
              <w:t xml:space="preserve"> </w:t>
            </w:r>
            <w:r>
              <w:rPr>
                <w:spacing w:val="8"/>
                <w:sz w:val="20"/>
                <w:szCs w:val="20"/>
              </w:rPr>
              <w:t>其中单回路段（架设</w:t>
            </w:r>
            <w:r>
              <w:rPr>
                <w:spacing w:val="-5"/>
                <w:sz w:val="20"/>
                <w:szCs w:val="20"/>
              </w:rPr>
              <w:t xml:space="preserve"> </w:t>
            </w:r>
            <w:r>
              <w:rPr>
                <w:rFonts w:ascii="Times New Roman" w:hAnsi="Times New Roman" w:eastAsia="Times New Roman" w:cs="Times New Roman"/>
                <w:spacing w:val="8"/>
                <w:sz w:val="20"/>
                <w:szCs w:val="20"/>
              </w:rPr>
              <w:t>120</w:t>
            </w:r>
            <w:r>
              <w:rPr>
                <w:rFonts w:ascii="Times New Roman" w:hAnsi="Times New Roman" w:eastAsia="Times New Roman" w:cs="Times New Roman"/>
                <w:spacing w:val="18"/>
                <w:sz w:val="20"/>
                <w:szCs w:val="20"/>
              </w:rPr>
              <w:t xml:space="preserve"> </w:t>
            </w:r>
            <w:r>
              <w:rPr>
                <w:spacing w:val="8"/>
                <w:sz w:val="20"/>
                <w:szCs w:val="20"/>
              </w:rPr>
              <w:t>导线）路径长度约</w:t>
            </w:r>
            <w:r>
              <w:rPr>
                <w:spacing w:val="-36"/>
                <w:sz w:val="20"/>
                <w:szCs w:val="20"/>
              </w:rPr>
              <w:t xml:space="preserve"> </w:t>
            </w:r>
            <w:r>
              <w:rPr>
                <w:rFonts w:ascii="Times New Roman" w:hAnsi="Times New Roman" w:eastAsia="Times New Roman" w:cs="Times New Roman"/>
                <w:spacing w:val="8"/>
                <w:sz w:val="20"/>
                <w:szCs w:val="20"/>
              </w:rPr>
              <w:t>20.28</w:t>
            </w:r>
            <w:r>
              <w:rPr>
                <w:rFonts w:ascii="Times New Roman" w:hAnsi="Times New Roman" w:eastAsia="Times New Roman" w:cs="Times New Roman"/>
                <w:sz w:val="20"/>
                <w:szCs w:val="20"/>
              </w:rPr>
              <w:t>km</w:t>
            </w:r>
            <w:r>
              <w:rPr>
                <w:rFonts w:ascii="Times New Roman" w:hAnsi="Times New Roman" w:eastAsia="Times New Roman" w:cs="Times New Roman"/>
                <w:spacing w:val="-22"/>
                <w:sz w:val="20"/>
                <w:szCs w:val="20"/>
              </w:rPr>
              <w:t xml:space="preserve"> </w:t>
            </w:r>
            <w:r>
              <w:rPr>
                <w:spacing w:val="8"/>
                <w:sz w:val="20"/>
                <w:szCs w:val="20"/>
              </w:rPr>
              <w:t>、单回路段</w:t>
            </w:r>
            <w:r>
              <w:rPr>
                <w:sz w:val="20"/>
                <w:szCs w:val="20"/>
              </w:rPr>
              <w:t xml:space="preserve"> </w:t>
            </w:r>
            <w:r>
              <w:rPr>
                <w:spacing w:val="6"/>
                <w:sz w:val="20"/>
                <w:szCs w:val="20"/>
              </w:rPr>
              <w:t>（架设</w:t>
            </w:r>
            <w:r>
              <w:rPr>
                <w:spacing w:val="-42"/>
                <w:sz w:val="20"/>
                <w:szCs w:val="20"/>
              </w:rPr>
              <w:t xml:space="preserve"> </w:t>
            </w:r>
            <w:r>
              <w:rPr>
                <w:rFonts w:ascii="Times New Roman" w:hAnsi="Times New Roman" w:eastAsia="Times New Roman" w:cs="Times New Roman"/>
                <w:spacing w:val="6"/>
                <w:sz w:val="20"/>
                <w:szCs w:val="20"/>
              </w:rPr>
              <w:t>240</w:t>
            </w:r>
            <w:r>
              <w:rPr>
                <w:rFonts w:ascii="Times New Roman" w:hAnsi="Times New Roman" w:eastAsia="Times New Roman" w:cs="Times New Roman"/>
                <w:spacing w:val="17"/>
                <w:w w:val="101"/>
                <w:sz w:val="20"/>
                <w:szCs w:val="20"/>
              </w:rPr>
              <w:t xml:space="preserve"> </w:t>
            </w:r>
            <w:r>
              <w:rPr>
                <w:spacing w:val="6"/>
                <w:sz w:val="20"/>
                <w:szCs w:val="20"/>
              </w:rPr>
              <w:t>导线）路径长度约</w:t>
            </w:r>
            <w:r>
              <w:rPr>
                <w:spacing w:val="-39"/>
                <w:sz w:val="20"/>
                <w:szCs w:val="20"/>
              </w:rPr>
              <w:t xml:space="preserve"> </w:t>
            </w:r>
            <w:r>
              <w:rPr>
                <w:rFonts w:ascii="Times New Roman" w:hAnsi="Times New Roman" w:eastAsia="Times New Roman" w:cs="Times New Roman"/>
                <w:spacing w:val="6"/>
                <w:sz w:val="20"/>
                <w:szCs w:val="20"/>
              </w:rPr>
              <w:t>3.41</w:t>
            </w:r>
            <w:r>
              <w:rPr>
                <w:rFonts w:ascii="Times New Roman" w:hAnsi="Times New Roman" w:eastAsia="Times New Roman" w:cs="Times New Roman"/>
                <w:sz w:val="20"/>
                <w:szCs w:val="20"/>
              </w:rPr>
              <w:t>km</w:t>
            </w:r>
            <w:r>
              <w:rPr>
                <w:spacing w:val="6"/>
                <w:sz w:val="20"/>
                <w:szCs w:val="20"/>
              </w:rPr>
              <w:t>。</w:t>
            </w:r>
          </w:p>
          <w:p w14:paraId="507A604B">
            <w:pPr>
              <w:pStyle w:val="6"/>
              <w:spacing w:before="24" w:line="246" w:lineRule="auto"/>
              <w:ind w:left="112" w:right="98" w:firstLine="419"/>
              <w:rPr>
                <w:sz w:val="20"/>
                <w:szCs w:val="20"/>
              </w:rPr>
            </w:pPr>
            <w:r>
              <w:rPr>
                <w:sz w:val="20"/>
                <w:szCs w:val="20"/>
              </w:rPr>
              <w:t>其中</w:t>
            </w:r>
            <w:r>
              <w:rPr>
                <w:spacing w:val="-24"/>
                <w:sz w:val="20"/>
                <w:szCs w:val="20"/>
              </w:rPr>
              <w:t xml:space="preserve"> </w:t>
            </w:r>
            <w:r>
              <w:rPr>
                <w:rFonts w:ascii="Times New Roman" w:hAnsi="Times New Roman" w:eastAsia="Times New Roman" w:cs="Times New Roman"/>
                <w:sz w:val="20"/>
                <w:szCs w:val="20"/>
              </w:rPr>
              <w:t>35KV</w:t>
            </w:r>
            <w:r>
              <w:rPr>
                <w:rFonts w:ascii="Times New Roman" w:hAnsi="Times New Roman" w:eastAsia="Times New Roman" w:cs="Times New Roman"/>
                <w:spacing w:val="14"/>
                <w:sz w:val="20"/>
                <w:szCs w:val="20"/>
              </w:rPr>
              <w:t xml:space="preserve"> </w:t>
            </w:r>
            <w:r>
              <w:rPr>
                <w:sz w:val="20"/>
                <w:szCs w:val="20"/>
              </w:rPr>
              <w:t>集电线路</w:t>
            </w:r>
            <w:r>
              <w:rPr>
                <w:spacing w:val="-46"/>
                <w:sz w:val="20"/>
                <w:szCs w:val="20"/>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pacing w:val="32"/>
                <w:sz w:val="20"/>
                <w:szCs w:val="20"/>
              </w:rPr>
              <w:t xml:space="preserve"> </w:t>
            </w:r>
            <w:r>
              <w:rPr>
                <w:sz w:val="20"/>
                <w:szCs w:val="20"/>
              </w:rPr>
              <w:t>回连通区块</w:t>
            </w:r>
            <w:r>
              <w:rPr>
                <w:spacing w:val="-21"/>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26"/>
                <w:sz w:val="20"/>
                <w:szCs w:val="20"/>
              </w:rPr>
              <w:t xml:space="preserve"> </w:t>
            </w:r>
            <w:r>
              <w:rPr>
                <w:sz w:val="20"/>
                <w:szCs w:val="20"/>
              </w:rPr>
              <w:t>、区块</w:t>
            </w:r>
            <w:r>
              <w:rPr>
                <w:spacing w:val="-40"/>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pacing w:val="-26"/>
                <w:sz w:val="20"/>
                <w:szCs w:val="20"/>
              </w:rPr>
              <w:t xml:space="preserve"> </w:t>
            </w:r>
            <w:r>
              <w:rPr>
                <w:sz w:val="20"/>
                <w:szCs w:val="20"/>
              </w:rPr>
              <w:t>、区块</w:t>
            </w:r>
            <w:r>
              <w:rPr>
                <w:spacing w:val="-39"/>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pacing w:val="-26"/>
                <w:sz w:val="20"/>
                <w:szCs w:val="20"/>
              </w:rPr>
              <w:t xml:space="preserve"> </w:t>
            </w:r>
            <w:r>
              <w:rPr>
                <w:sz w:val="20"/>
                <w:szCs w:val="20"/>
              </w:rPr>
              <w:t xml:space="preserve">、区块 </w:t>
            </w:r>
            <w:r>
              <w:rPr>
                <w:rFonts w:ascii="Times New Roman" w:hAnsi="Times New Roman" w:eastAsia="Times New Roman" w:cs="Times New Roman"/>
                <w:spacing w:val="3"/>
                <w:sz w:val="20"/>
                <w:szCs w:val="20"/>
              </w:rPr>
              <w:t>10</w:t>
            </w:r>
            <w:r>
              <w:rPr>
                <w:rFonts w:ascii="Times New Roman" w:hAnsi="Times New Roman" w:eastAsia="Times New Roman" w:cs="Times New Roman"/>
                <w:spacing w:val="29"/>
                <w:sz w:val="20"/>
                <w:szCs w:val="20"/>
              </w:rPr>
              <w:t xml:space="preserve"> </w:t>
            </w:r>
            <w:r>
              <w:rPr>
                <w:spacing w:val="3"/>
                <w:sz w:val="20"/>
                <w:szCs w:val="20"/>
              </w:rPr>
              <w:t>的</w:t>
            </w:r>
            <w:r>
              <w:rPr>
                <w:spacing w:val="-41"/>
                <w:sz w:val="20"/>
                <w:szCs w:val="20"/>
              </w:rPr>
              <w:t xml:space="preserve"> </w:t>
            </w:r>
            <w:r>
              <w:rPr>
                <w:rFonts w:ascii="Times New Roman" w:hAnsi="Times New Roman" w:eastAsia="Times New Roman" w:cs="Times New Roman"/>
                <w:spacing w:val="3"/>
                <w:sz w:val="20"/>
                <w:szCs w:val="20"/>
              </w:rPr>
              <w:t>T01~T04</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T6</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pacing w:val="3"/>
                <w:sz w:val="20"/>
                <w:szCs w:val="20"/>
              </w:rPr>
              <w:t>T7</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T9</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T10</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pacing w:val="3"/>
                <w:sz w:val="20"/>
                <w:szCs w:val="20"/>
              </w:rPr>
              <w:t xml:space="preserve">T25 </w:t>
            </w:r>
            <w:r>
              <w:rPr>
                <w:spacing w:val="3"/>
                <w:sz w:val="20"/>
                <w:szCs w:val="20"/>
              </w:rPr>
              <w:t>共</w:t>
            </w:r>
            <w:r>
              <w:rPr>
                <w:spacing w:val="-36"/>
                <w:sz w:val="20"/>
                <w:szCs w:val="20"/>
              </w:rPr>
              <w:t xml:space="preserve"> </w:t>
            </w:r>
            <w:r>
              <w:rPr>
                <w:rFonts w:ascii="Times New Roman" w:hAnsi="Times New Roman" w:eastAsia="Times New Roman" w:cs="Times New Roman"/>
                <w:spacing w:val="3"/>
                <w:sz w:val="20"/>
                <w:szCs w:val="20"/>
              </w:rPr>
              <w:t xml:space="preserve">9 </w:t>
            </w:r>
            <w:r>
              <w:rPr>
                <w:spacing w:val="2"/>
                <w:sz w:val="20"/>
                <w:szCs w:val="20"/>
              </w:rPr>
              <w:t>个箱式变压器，接</w:t>
            </w:r>
            <w:r>
              <w:rPr>
                <w:sz w:val="20"/>
                <w:szCs w:val="20"/>
              </w:rPr>
              <w:t xml:space="preserve"> </w:t>
            </w:r>
            <w:r>
              <w:rPr>
                <w:spacing w:val="4"/>
                <w:sz w:val="20"/>
                <w:szCs w:val="20"/>
              </w:rPr>
              <w:t>至</w:t>
            </w:r>
            <w:r>
              <w:rPr>
                <w:spacing w:val="-28"/>
                <w:sz w:val="20"/>
                <w:szCs w:val="20"/>
              </w:rPr>
              <w:t xml:space="preserve"> </w:t>
            </w:r>
            <w:r>
              <w:rPr>
                <w:rFonts w:ascii="Times New Roman" w:hAnsi="Times New Roman" w:eastAsia="Times New Roman" w:cs="Times New Roman"/>
                <w:spacing w:val="4"/>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15"/>
                <w:sz w:val="20"/>
                <w:szCs w:val="20"/>
              </w:rPr>
              <w:t xml:space="preserve"> </w:t>
            </w:r>
            <w:r>
              <w:rPr>
                <w:spacing w:val="4"/>
                <w:sz w:val="20"/>
                <w:szCs w:val="20"/>
              </w:rPr>
              <w:t>升压站内，变压器总容量</w:t>
            </w:r>
            <w:r>
              <w:rPr>
                <w:spacing w:val="-43"/>
                <w:sz w:val="20"/>
                <w:szCs w:val="20"/>
              </w:rPr>
              <w:t xml:space="preserve"> </w:t>
            </w:r>
            <w:r>
              <w:rPr>
                <w:rFonts w:ascii="Times New Roman" w:hAnsi="Times New Roman" w:eastAsia="Times New Roman" w:cs="Times New Roman"/>
                <w:spacing w:val="4"/>
                <w:sz w:val="20"/>
                <w:szCs w:val="20"/>
              </w:rPr>
              <w:t>21600</w:t>
            </w:r>
            <w:r>
              <w:rPr>
                <w:rFonts w:ascii="Times New Roman" w:hAnsi="Times New Roman" w:eastAsia="Times New Roman" w:cs="Times New Roman"/>
                <w:sz w:val="20"/>
                <w:szCs w:val="20"/>
              </w:rPr>
              <w:t>KVA</w:t>
            </w:r>
            <w:r>
              <w:rPr>
                <w:rFonts w:ascii="Times New Roman" w:hAnsi="Times New Roman" w:eastAsia="Times New Roman" w:cs="Times New Roman"/>
                <w:spacing w:val="-27"/>
                <w:sz w:val="20"/>
                <w:szCs w:val="20"/>
              </w:rPr>
              <w:t xml:space="preserve"> </w:t>
            </w:r>
            <w:r>
              <w:rPr>
                <w:spacing w:val="4"/>
                <w:sz w:val="20"/>
                <w:szCs w:val="20"/>
              </w:rPr>
              <w:t>，其中架设</w:t>
            </w:r>
            <w:r>
              <w:rPr>
                <w:spacing w:val="-23"/>
                <w:sz w:val="20"/>
                <w:szCs w:val="20"/>
              </w:rPr>
              <w:t xml:space="preserve"> </w:t>
            </w:r>
            <w:r>
              <w:rPr>
                <w:rFonts w:ascii="Times New Roman" w:hAnsi="Times New Roman" w:eastAsia="Times New Roman" w:cs="Times New Roman"/>
                <w:spacing w:val="4"/>
                <w:sz w:val="20"/>
                <w:szCs w:val="20"/>
              </w:rPr>
              <w:t>120</w:t>
            </w:r>
            <w:r>
              <w:rPr>
                <w:rFonts w:ascii="Times New Roman" w:hAnsi="Times New Roman" w:eastAsia="Times New Roman" w:cs="Times New Roman"/>
                <w:spacing w:val="18"/>
                <w:sz w:val="20"/>
                <w:szCs w:val="20"/>
              </w:rPr>
              <w:t xml:space="preserve"> </w:t>
            </w:r>
            <w:r>
              <w:rPr>
                <w:spacing w:val="4"/>
                <w:sz w:val="20"/>
                <w:szCs w:val="20"/>
              </w:rPr>
              <w:t>导</w:t>
            </w:r>
            <w:r>
              <w:rPr>
                <w:sz w:val="20"/>
                <w:szCs w:val="20"/>
              </w:rPr>
              <w:t xml:space="preserve"> </w:t>
            </w:r>
            <w:r>
              <w:rPr>
                <w:spacing w:val="2"/>
                <w:sz w:val="20"/>
                <w:szCs w:val="20"/>
              </w:rPr>
              <w:t>线</w:t>
            </w:r>
            <w:r>
              <w:rPr>
                <w:spacing w:val="-21"/>
                <w:sz w:val="20"/>
                <w:szCs w:val="20"/>
              </w:rPr>
              <w:t xml:space="preserve"> </w:t>
            </w:r>
            <w:r>
              <w:rPr>
                <w:rFonts w:ascii="Times New Roman" w:hAnsi="Times New Roman" w:eastAsia="Times New Roman" w:cs="Times New Roman"/>
                <w:spacing w:val="2"/>
                <w:sz w:val="20"/>
                <w:szCs w:val="20"/>
              </w:rPr>
              <w:t>8.25</w:t>
            </w:r>
            <w:r>
              <w:rPr>
                <w:rFonts w:ascii="Times New Roman" w:hAnsi="Times New Roman" w:eastAsia="Times New Roman" w:cs="Times New Roman"/>
                <w:sz w:val="20"/>
                <w:szCs w:val="20"/>
              </w:rPr>
              <w:t>km</w:t>
            </w:r>
            <w:r>
              <w:rPr>
                <w:rFonts w:ascii="Times New Roman" w:hAnsi="Times New Roman" w:eastAsia="Times New Roman" w:cs="Times New Roman"/>
                <w:spacing w:val="-24"/>
                <w:sz w:val="20"/>
                <w:szCs w:val="20"/>
              </w:rPr>
              <w:t xml:space="preserve"> </w:t>
            </w:r>
            <w:r>
              <w:rPr>
                <w:spacing w:val="2"/>
                <w:sz w:val="20"/>
                <w:szCs w:val="20"/>
              </w:rPr>
              <w:t>，</w:t>
            </w:r>
            <w:r>
              <w:rPr>
                <w:rFonts w:ascii="Times New Roman" w:hAnsi="Times New Roman" w:eastAsia="Times New Roman" w:cs="Times New Roman"/>
                <w:spacing w:val="2"/>
                <w:sz w:val="20"/>
                <w:szCs w:val="20"/>
              </w:rPr>
              <w:t>240</w:t>
            </w:r>
            <w:r>
              <w:rPr>
                <w:rFonts w:ascii="Times New Roman" w:hAnsi="Times New Roman" w:eastAsia="Times New Roman" w:cs="Times New Roman"/>
                <w:spacing w:val="16"/>
                <w:sz w:val="20"/>
                <w:szCs w:val="20"/>
              </w:rPr>
              <w:t xml:space="preserve"> </w:t>
            </w:r>
            <w:r>
              <w:rPr>
                <w:spacing w:val="2"/>
                <w:sz w:val="20"/>
                <w:szCs w:val="20"/>
              </w:rPr>
              <w:t>导线</w:t>
            </w:r>
            <w:r>
              <w:rPr>
                <w:spacing w:val="-41"/>
                <w:sz w:val="20"/>
                <w:szCs w:val="20"/>
              </w:rPr>
              <w:t xml:space="preserve"> </w:t>
            </w:r>
            <w:r>
              <w:rPr>
                <w:rFonts w:ascii="Times New Roman" w:hAnsi="Times New Roman" w:eastAsia="Times New Roman" w:cs="Times New Roman"/>
                <w:spacing w:val="2"/>
                <w:sz w:val="20"/>
                <w:szCs w:val="20"/>
              </w:rPr>
              <w:t>2.31</w:t>
            </w:r>
            <w:r>
              <w:rPr>
                <w:rFonts w:ascii="Times New Roman" w:hAnsi="Times New Roman" w:eastAsia="Times New Roman" w:cs="Times New Roman"/>
                <w:sz w:val="20"/>
                <w:szCs w:val="20"/>
              </w:rPr>
              <w:t>km</w:t>
            </w:r>
            <w:r>
              <w:rPr>
                <w:rFonts w:ascii="Times New Roman" w:hAnsi="Times New Roman" w:eastAsia="Times New Roman" w:cs="Times New Roman"/>
                <w:spacing w:val="-22"/>
                <w:sz w:val="20"/>
                <w:szCs w:val="20"/>
              </w:rPr>
              <w:t xml:space="preserve"> </w:t>
            </w:r>
            <w:r>
              <w:rPr>
                <w:spacing w:val="2"/>
                <w:sz w:val="20"/>
                <w:szCs w:val="20"/>
              </w:rPr>
              <w:t>，总长约</w:t>
            </w:r>
            <w:r>
              <w:rPr>
                <w:spacing w:val="-22"/>
                <w:sz w:val="20"/>
                <w:szCs w:val="20"/>
              </w:rPr>
              <w:t xml:space="preserve"> </w:t>
            </w:r>
            <w:r>
              <w:rPr>
                <w:rFonts w:ascii="Times New Roman" w:hAnsi="Times New Roman" w:eastAsia="Times New Roman" w:cs="Times New Roman"/>
                <w:spacing w:val="2"/>
                <w:sz w:val="20"/>
                <w:szCs w:val="20"/>
              </w:rPr>
              <w:t>10.56</w:t>
            </w:r>
            <w:r>
              <w:rPr>
                <w:rFonts w:ascii="Times New Roman" w:hAnsi="Times New Roman" w:eastAsia="Times New Roman" w:cs="Times New Roman"/>
                <w:sz w:val="20"/>
                <w:szCs w:val="20"/>
              </w:rPr>
              <w:t>km</w:t>
            </w:r>
            <w:r>
              <w:rPr>
                <w:spacing w:val="2"/>
                <w:sz w:val="20"/>
                <w:szCs w:val="20"/>
              </w:rPr>
              <w:t>；</w:t>
            </w:r>
          </w:p>
          <w:p w14:paraId="5509CCB1">
            <w:pPr>
              <w:pStyle w:val="6"/>
              <w:spacing w:before="23" w:line="246" w:lineRule="auto"/>
              <w:ind w:left="108" w:right="98" w:firstLine="422"/>
              <w:rPr>
                <w:sz w:val="20"/>
                <w:szCs w:val="20"/>
              </w:rPr>
            </w:pPr>
            <w:r>
              <w:rPr>
                <w:rFonts w:ascii="Times New Roman" w:hAnsi="Times New Roman" w:eastAsia="Times New Roman" w:cs="Times New Roman"/>
                <w:spacing w:val="1"/>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27"/>
                <w:w w:val="101"/>
                <w:sz w:val="20"/>
                <w:szCs w:val="20"/>
              </w:rPr>
              <w:t xml:space="preserve"> </w:t>
            </w:r>
            <w:r>
              <w:rPr>
                <w:spacing w:val="1"/>
                <w:sz w:val="20"/>
                <w:szCs w:val="20"/>
              </w:rPr>
              <w:t>集电线路</w:t>
            </w:r>
            <w:r>
              <w:rPr>
                <w:spacing w:val="-42"/>
                <w:sz w:val="20"/>
                <w:szCs w:val="20"/>
              </w:rPr>
              <w:t xml:space="preserve"> </w:t>
            </w:r>
            <w:r>
              <w:rPr>
                <w:rFonts w:ascii="Times New Roman" w:hAnsi="Times New Roman" w:eastAsia="Times New Roman" w:cs="Times New Roman"/>
                <w:spacing w:val="1"/>
                <w:sz w:val="20"/>
                <w:szCs w:val="20"/>
              </w:rPr>
              <w:t>B</w:t>
            </w:r>
            <w:r>
              <w:rPr>
                <w:rFonts w:ascii="Times New Roman" w:hAnsi="Times New Roman" w:eastAsia="Times New Roman" w:cs="Times New Roman"/>
                <w:spacing w:val="32"/>
                <w:sz w:val="20"/>
                <w:szCs w:val="20"/>
              </w:rPr>
              <w:t xml:space="preserve"> </w:t>
            </w:r>
            <w:r>
              <w:rPr>
                <w:spacing w:val="1"/>
                <w:sz w:val="20"/>
                <w:szCs w:val="20"/>
              </w:rPr>
              <w:t>回连通区块</w:t>
            </w:r>
            <w:r>
              <w:rPr>
                <w:spacing w:val="-44"/>
                <w:sz w:val="20"/>
                <w:szCs w:val="20"/>
              </w:rPr>
              <w:t xml:space="preserve"> </w:t>
            </w:r>
            <w:r>
              <w:rPr>
                <w:rFonts w:ascii="Times New Roman" w:hAnsi="Times New Roman" w:eastAsia="Times New Roman" w:cs="Times New Roman"/>
                <w:spacing w:val="1"/>
                <w:sz w:val="20"/>
                <w:szCs w:val="20"/>
              </w:rPr>
              <w:t>4</w:t>
            </w:r>
            <w:r>
              <w:rPr>
                <w:rFonts w:ascii="Times New Roman" w:hAnsi="Times New Roman" w:eastAsia="Times New Roman" w:cs="Times New Roman"/>
                <w:spacing w:val="-26"/>
                <w:sz w:val="20"/>
                <w:szCs w:val="20"/>
              </w:rPr>
              <w:t xml:space="preserve"> </w:t>
            </w:r>
            <w:r>
              <w:rPr>
                <w:spacing w:val="1"/>
                <w:sz w:val="20"/>
                <w:szCs w:val="20"/>
              </w:rPr>
              <w:t>、区块</w:t>
            </w:r>
            <w:r>
              <w:rPr>
                <w:spacing w:val="-35"/>
                <w:sz w:val="20"/>
                <w:szCs w:val="20"/>
              </w:rPr>
              <w:t xml:space="preserve"> </w:t>
            </w:r>
            <w:r>
              <w:rPr>
                <w:rFonts w:ascii="Times New Roman" w:hAnsi="Times New Roman" w:eastAsia="Times New Roman" w:cs="Times New Roman"/>
                <w:spacing w:val="1"/>
                <w:sz w:val="20"/>
                <w:szCs w:val="20"/>
              </w:rPr>
              <w:t>5</w:t>
            </w:r>
            <w:r>
              <w:rPr>
                <w:rFonts w:ascii="Times New Roman" w:hAnsi="Times New Roman" w:eastAsia="Times New Roman" w:cs="Times New Roman"/>
                <w:spacing w:val="-26"/>
                <w:sz w:val="20"/>
                <w:szCs w:val="20"/>
              </w:rPr>
              <w:t xml:space="preserve"> </w:t>
            </w:r>
            <w:r>
              <w:rPr>
                <w:spacing w:val="1"/>
                <w:sz w:val="20"/>
                <w:szCs w:val="20"/>
              </w:rPr>
              <w:t>、区块</w:t>
            </w:r>
            <w:r>
              <w:rPr>
                <w:spacing w:val="-33"/>
                <w:sz w:val="20"/>
                <w:szCs w:val="20"/>
              </w:rPr>
              <w:t xml:space="preserve"> </w:t>
            </w:r>
            <w:r>
              <w:rPr>
                <w:rFonts w:ascii="Times New Roman" w:hAnsi="Times New Roman" w:eastAsia="Times New Roman" w:cs="Times New Roman"/>
                <w:spacing w:val="1"/>
                <w:sz w:val="20"/>
                <w:szCs w:val="20"/>
              </w:rPr>
              <w:t>8</w:t>
            </w:r>
            <w:r>
              <w:rPr>
                <w:rFonts w:ascii="Times New Roman" w:hAnsi="Times New Roman" w:eastAsia="Times New Roman" w:cs="Times New Roman"/>
                <w:spacing w:val="30"/>
                <w:sz w:val="20"/>
                <w:szCs w:val="20"/>
              </w:rPr>
              <w:t xml:space="preserve"> </w:t>
            </w:r>
            <w:r>
              <w:rPr>
                <w:spacing w:val="1"/>
                <w:sz w:val="20"/>
                <w:szCs w:val="20"/>
              </w:rPr>
              <w:t>的南侧和东</w:t>
            </w:r>
            <w:r>
              <w:rPr>
                <w:sz w:val="20"/>
                <w:szCs w:val="20"/>
              </w:rPr>
              <w:t xml:space="preserve"> </w:t>
            </w:r>
            <w:r>
              <w:rPr>
                <w:spacing w:val="-1"/>
                <w:sz w:val="20"/>
                <w:szCs w:val="20"/>
              </w:rPr>
              <w:t>侧、区块</w:t>
            </w:r>
            <w:r>
              <w:rPr>
                <w:spacing w:val="-25"/>
                <w:sz w:val="20"/>
                <w:szCs w:val="20"/>
              </w:rPr>
              <w:t xml:space="preserve"> </w:t>
            </w:r>
            <w:r>
              <w:rPr>
                <w:rFonts w:ascii="Times New Roman" w:hAnsi="Times New Roman" w:eastAsia="Times New Roman" w:cs="Times New Roman"/>
                <w:spacing w:val="-1"/>
                <w:sz w:val="20"/>
                <w:szCs w:val="20"/>
              </w:rPr>
              <w:t>9</w:t>
            </w:r>
            <w:r>
              <w:rPr>
                <w:rFonts w:ascii="Times New Roman" w:hAnsi="Times New Roman" w:eastAsia="Times New Roman" w:cs="Times New Roman"/>
                <w:spacing w:val="-26"/>
                <w:sz w:val="20"/>
                <w:szCs w:val="20"/>
              </w:rPr>
              <w:t xml:space="preserve"> </w:t>
            </w:r>
            <w:r>
              <w:rPr>
                <w:spacing w:val="-1"/>
                <w:sz w:val="20"/>
                <w:szCs w:val="20"/>
              </w:rPr>
              <w:t>、区块</w:t>
            </w:r>
            <w:r>
              <w:rPr>
                <w:spacing w:val="-23"/>
                <w:sz w:val="20"/>
                <w:szCs w:val="20"/>
              </w:rPr>
              <w:t xml:space="preserve"> </w:t>
            </w:r>
            <w:r>
              <w:rPr>
                <w:rFonts w:ascii="Times New Roman" w:hAnsi="Times New Roman" w:eastAsia="Times New Roman" w:cs="Times New Roman"/>
                <w:spacing w:val="-1"/>
                <w:sz w:val="20"/>
                <w:szCs w:val="20"/>
              </w:rPr>
              <w:t>13</w:t>
            </w:r>
            <w:r>
              <w:rPr>
                <w:rFonts w:ascii="Times New Roman" w:hAnsi="Times New Roman" w:eastAsia="Times New Roman" w:cs="Times New Roman"/>
                <w:spacing w:val="-26"/>
                <w:sz w:val="20"/>
                <w:szCs w:val="20"/>
              </w:rPr>
              <w:t xml:space="preserve"> </w:t>
            </w:r>
            <w:r>
              <w:rPr>
                <w:spacing w:val="-1"/>
                <w:sz w:val="20"/>
                <w:szCs w:val="20"/>
              </w:rPr>
              <w:t>、区块</w:t>
            </w:r>
            <w:r>
              <w:rPr>
                <w:spacing w:val="-21"/>
                <w:sz w:val="20"/>
                <w:szCs w:val="20"/>
              </w:rPr>
              <w:t xml:space="preserve"> </w:t>
            </w:r>
            <w:r>
              <w:rPr>
                <w:rFonts w:ascii="Times New Roman" w:hAnsi="Times New Roman" w:eastAsia="Times New Roman" w:cs="Times New Roman"/>
                <w:spacing w:val="-1"/>
                <w:sz w:val="20"/>
                <w:szCs w:val="20"/>
              </w:rPr>
              <w:t>14</w:t>
            </w:r>
            <w:r>
              <w:rPr>
                <w:rFonts w:ascii="Times New Roman" w:hAnsi="Times New Roman" w:eastAsia="Times New Roman" w:cs="Times New Roman"/>
                <w:spacing w:val="29"/>
                <w:w w:val="101"/>
                <w:sz w:val="20"/>
                <w:szCs w:val="20"/>
              </w:rPr>
              <w:t xml:space="preserve"> </w:t>
            </w:r>
            <w:r>
              <w:rPr>
                <w:spacing w:val="-1"/>
                <w:sz w:val="20"/>
                <w:szCs w:val="20"/>
              </w:rPr>
              <w:t>的</w:t>
            </w:r>
            <w:r>
              <w:rPr>
                <w:spacing w:val="-41"/>
                <w:sz w:val="20"/>
                <w:szCs w:val="20"/>
              </w:rPr>
              <w:t xml:space="preserve"> </w:t>
            </w:r>
            <w:r>
              <w:rPr>
                <w:rFonts w:ascii="Times New Roman" w:hAnsi="Times New Roman" w:eastAsia="Times New Roman" w:cs="Times New Roman"/>
                <w:spacing w:val="-1"/>
                <w:sz w:val="20"/>
                <w:szCs w:val="20"/>
              </w:rPr>
              <w:t>T08</w:t>
            </w:r>
            <w:r>
              <w:rPr>
                <w:rFonts w:ascii="Times New Roman" w:hAnsi="Times New Roman" w:eastAsia="Times New Roman" w:cs="Times New Roman"/>
                <w:spacing w:val="-26"/>
                <w:sz w:val="20"/>
                <w:szCs w:val="20"/>
              </w:rPr>
              <w:t xml:space="preserve"> </w:t>
            </w:r>
            <w:r>
              <w:rPr>
                <w:spacing w:val="-1"/>
                <w:sz w:val="20"/>
                <w:szCs w:val="20"/>
              </w:rPr>
              <w:t>、</w:t>
            </w:r>
            <w:r>
              <w:rPr>
                <w:rFonts w:ascii="Times New Roman" w:hAnsi="Times New Roman" w:eastAsia="Times New Roman" w:cs="Times New Roman"/>
                <w:spacing w:val="-1"/>
                <w:sz w:val="20"/>
                <w:szCs w:val="20"/>
              </w:rPr>
              <w:t>T05</w:t>
            </w:r>
            <w:r>
              <w:rPr>
                <w:rFonts w:ascii="Times New Roman" w:hAnsi="Times New Roman" w:eastAsia="Times New Roman" w:cs="Times New Roman"/>
                <w:spacing w:val="-26"/>
                <w:sz w:val="20"/>
                <w:szCs w:val="20"/>
              </w:rPr>
              <w:t xml:space="preserve"> </w:t>
            </w:r>
            <w:r>
              <w:rPr>
                <w:spacing w:val="-1"/>
                <w:sz w:val="20"/>
                <w:szCs w:val="20"/>
              </w:rPr>
              <w:t>、</w:t>
            </w:r>
            <w:r>
              <w:rPr>
                <w:rFonts w:ascii="Times New Roman" w:hAnsi="Times New Roman" w:eastAsia="Times New Roman" w:cs="Times New Roman"/>
                <w:spacing w:val="-1"/>
                <w:sz w:val="20"/>
                <w:szCs w:val="20"/>
              </w:rPr>
              <w:t xml:space="preserve">T11~T20 </w:t>
            </w:r>
            <w:r>
              <w:rPr>
                <w:spacing w:val="-1"/>
                <w:sz w:val="20"/>
                <w:szCs w:val="20"/>
              </w:rPr>
              <w:t>共</w:t>
            </w:r>
            <w:r>
              <w:rPr>
                <w:spacing w:val="-23"/>
                <w:sz w:val="20"/>
                <w:szCs w:val="20"/>
              </w:rPr>
              <w:t xml:space="preserve"> </w:t>
            </w:r>
            <w:r>
              <w:rPr>
                <w:rFonts w:ascii="Times New Roman" w:hAnsi="Times New Roman" w:eastAsia="Times New Roman" w:cs="Times New Roman"/>
                <w:spacing w:val="-1"/>
                <w:sz w:val="20"/>
                <w:szCs w:val="20"/>
              </w:rPr>
              <w:t xml:space="preserve">12 </w:t>
            </w:r>
            <w:r>
              <w:rPr>
                <w:spacing w:val="-1"/>
                <w:sz w:val="20"/>
                <w:szCs w:val="20"/>
              </w:rPr>
              <w:t>个箱</w:t>
            </w:r>
            <w:r>
              <w:rPr>
                <w:sz w:val="20"/>
                <w:szCs w:val="20"/>
              </w:rPr>
              <w:t xml:space="preserve"> </w:t>
            </w:r>
            <w:r>
              <w:rPr>
                <w:spacing w:val="6"/>
                <w:sz w:val="20"/>
                <w:szCs w:val="20"/>
              </w:rPr>
              <w:t>式变压器，接至</w:t>
            </w:r>
            <w:r>
              <w:rPr>
                <w:spacing w:val="-25"/>
                <w:sz w:val="20"/>
                <w:szCs w:val="20"/>
              </w:rPr>
              <w:t xml:space="preserve"> </w:t>
            </w: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升压站内，变压器总容量</w:t>
            </w:r>
            <w:r>
              <w:rPr>
                <w:spacing w:val="-41"/>
                <w:sz w:val="20"/>
                <w:szCs w:val="20"/>
              </w:rPr>
              <w:t xml:space="preserve"> </w:t>
            </w:r>
            <w:r>
              <w:rPr>
                <w:rFonts w:ascii="Times New Roman" w:hAnsi="Times New Roman" w:eastAsia="Times New Roman" w:cs="Times New Roman"/>
                <w:spacing w:val="6"/>
                <w:sz w:val="20"/>
                <w:szCs w:val="20"/>
              </w:rPr>
              <w:t>27000</w:t>
            </w:r>
            <w:r>
              <w:rPr>
                <w:rFonts w:ascii="Times New Roman" w:hAnsi="Times New Roman" w:eastAsia="Times New Roman" w:cs="Times New Roman"/>
                <w:sz w:val="20"/>
                <w:szCs w:val="20"/>
              </w:rPr>
              <w:t>KVA</w:t>
            </w:r>
            <w:r>
              <w:rPr>
                <w:rFonts w:ascii="Times New Roman" w:hAnsi="Times New Roman" w:eastAsia="Times New Roman" w:cs="Times New Roman"/>
                <w:spacing w:val="-27"/>
                <w:sz w:val="20"/>
                <w:szCs w:val="20"/>
              </w:rPr>
              <w:t xml:space="preserve"> </w:t>
            </w:r>
            <w:r>
              <w:rPr>
                <w:spacing w:val="6"/>
                <w:sz w:val="20"/>
                <w:szCs w:val="20"/>
              </w:rPr>
              <w:t>，其</w:t>
            </w:r>
            <w:r>
              <w:rPr>
                <w:sz w:val="20"/>
                <w:szCs w:val="20"/>
              </w:rPr>
              <w:t xml:space="preserve"> </w:t>
            </w:r>
            <w:r>
              <w:rPr>
                <w:spacing w:val="1"/>
                <w:sz w:val="20"/>
                <w:szCs w:val="20"/>
              </w:rPr>
              <w:t>中</w:t>
            </w:r>
            <w:r>
              <w:rPr>
                <w:spacing w:val="-23"/>
                <w:sz w:val="20"/>
                <w:szCs w:val="20"/>
              </w:rPr>
              <w:t xml:space="preserve"> </w:t>
            </w:r>
            <w:r>
              <w:rPr>
                <w:rFonts w:ascii="Times New Roman" w:hAnsi="Times New Roman" w:eastAsia="Times New Roman" w:cs="Times New Roman"/>
                <w:spacing w:val="1"/>
                <w:sz w:val="20"/>
                <w:szCs w:val="20"/>
              </w:rPr>
              <w:t>120</w:t>
            </w:r>
            <w:r>
              <w:rPr>
                <w:rFonts w:ascii="Times New Roman" w:hAnsi="Times New Roman" w:eastAsia="Times New Roman" w:cs="Times New Roman"/>
                <w:spacing w:val="18"/>
                <w:sz w:val="20"/>
                <w:szCs w:val="20"/>
              </w:rPr>
              <w:t xml:space="preserve"> </w:t>
            </w:r>
            <w:r>
              <w:rPr>
                <w:spacing w:val="1"/>
                <w:sz w:val="20"/>
                <w:szCs w:val="20"/>
              </w:rPr>
              <w:t>导线</w:t>
            </w:r>
            <w:r>
              <w:rPr>
                <w:spacing w:val="-40"/>
                <w:sz w:val="20"/>
                <w:szCs w:val="20"/>
              </w:rPr>
              <w:t xml:space="preserve"> </w:t>
            </w:r>
            <w:r>
              <w:rPr>
                <w:rFonts w:ascii="Times New Roman" w:hAnsi="Times New Roman" w:eastAsia="Times New Roman" w:cs="Times New Roman"/>
                <w:spacing w:val="1"/>
                <w:sz w:val="20"/>
                <w:szCs w:val="20"/>
              </w:rPr>
              <w:t>7.37</w:t>
            </w:r>
            <w:r>
              <w:rPr>
                <w:rFonts w:ascii="Times New Roman" w:hAnsi="Times New Roman" w:eastAsia="Times New Roman" w:cs="Times New Roman"/>
                <w:sz w:val="20"/>
                <w:szCs w:val="20"/>
              </w:rPr>
              <w:t>km</w:t>
            </w:r>
            <w:r>
              <w:rPr>
                <w:rFonts w:ascii="Times New Roman" w:hAnsi="Times New Roman" w:eastAsia="Times New Roman" w:cs="Times New Roman"/>
                <w:spacing w:val="-24"/>
                <w:sz w:val="20"/>
                <w:szCs w:val="20"/>
              </w:rPr>
              <w:t xml:space="preserve"> </w:t>
            </w:r>
            <w:r>
              <w:rPr>
                <w:spacing w:val="1"/>
                <w:sz w:val="20"/>
                <w:szCs w:val="20"/>
              </w:rPr>
              <w:t>，</w:t>
            </w:r>
            <w:r>
              <w:rPr>
                <w:rFonts w:ascii="Times New Roman" w:hAnsi="Times New Roman" w:eastAsia="Times New Roman" w:cs="Times New Roman"/>
                <w:spacing w:val="1"/>
                <w:sz w:val="20"/>
                <w:szCs w:val="20"/>
              </w:rPr>
              <w:t>240</w:t>
            </w:r>
            <w:r>
              <w:rPr>
                <w:rFonts w:ascii="Times New Roman" w:hAnsi="Times New Roman" w:eastAsia="Times New Roman" w:cs="Times New Roman"/>
                <w:spacing w:val="16"/>
                <w:sz w:val="20"/>
                <w:szCs w:val="20"/>
              </w:rPr>
              <w:t xml:space="preserve"> </w:t>
            </w:r>
            <w:r>
              <w:rPr>
                <w:spacing w:val="1"/>
                <w:sz w:val="20"/>
                <w:szCs w:val="20"/>
              </w:rPr>
              <w:t>导线</w:t>
            </w:r>
            <w:r>
              <w:rPr>
                <w:spacing w:val="-21"/>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km</w:t>
            </w:r>
            <w:r>
              <w:rPr>
                <w:rFonts w:ascii="Times New Roman" w:hAnsi="Times New Roman" w:eastAsia="Times New Roman" w:cs="Times New Roman"/>
                <w:spacing w:val="-24"/>
                <w:sz w:val="20"/>
                <w:szCs w:val="20"/>
              </w:rPr>
              <w:t xml:space="preserve"> </w:t>
            </w:r>
            <w:r>
              <w:rPr>
                <w:spacing w:val="1"/>
                <w:sz w:val="20"/>
                <w:szCs w:val="20"/>
              </w:rPr>
              <w:t>，总长约</w:t>
            </w:r>
            <w:r>
              <w:rPr>
                <w:spacing w:val="-32"/>
                <w:sz w:val="20"/>
                <w:szCs w:val="20"/>
              </w:rPr>
              <w:t xml:space="preserve"> </w:t>
            </w:r>
            <w:r>
              <w:rPr>
                <w:rFonts w:ascii="Times New Roman" w:hAnsi="Times New Roman" w:eastAsia="Times New Roman" w:cs="Times New Roman"/>
                <w:spacing w:val="1"/>
                <w:sz w:val="20"/>
                <w:szCs w:val="20"/>
              </w:rPr>
              <w:t>8.</w:t>
            </w:r>
            <w:r>
              <w:rPr>
                <w:rFonts w:ascii="Times New Roman" w:hAnsi="Times New Roman" w:eastAsia="Times New Roman" w:cs="Times New Roman"/>
                <w:sz w:val="20"/>
                <w:szCs w:val="20"/>
              </w:rPr>
              <w:t>47km</w:t>
            </w:r>
            <w:r>
              <w:rPr>
                <w:sz w:val="20"/>
                <w:szCs w:val="20"/>
              </w:rPr>
              <w:t>；</w:t>
            </w:r>
          </w:p>
          <w:p w14:paraId="64BD0EC2">
            <w:pPr>
              <w:pStyle w:val="6"/>
              <w:spacing w:before="25" w:line="246" w:lineRule="auto"/>
              <w:ind w:left="110" w:right="46" w:firstLine="420"/>
              <w:rPr>
                <w:sz w:val="20"/>
                <w:szCs w:val="20"/>
              </w:rPr>
            </w:pPr>
            <w:r>
              <w:rPr>
                <w:rFonts w:ascii="Times New Roman" w:hAnsi="Times New Roman" w:eastAsia="Times New Roman" w:cs="Times New Roman"/>
                <w:spacing w:val="1"/>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22"/>
                <w:w w:val="101"/>
                <w:sz w:val="20"/>
                <w:szCs w:val="20"/>
              </w:rPr>
              <w:t xml:space="preserve"> </w:t>
            </w:r>
            <w:r>
              <w:rPr>
                <w:spacing w:val="1"/>
                <w:sz w:val="20"/>
                <w:szCs w:val="20"/>
              </w:rPr>
              <w:t>集电线路</w:t>
            </w:r>
            <w:r>
              <w:rPr>
                <w:spacing w:val="-38"/>
                <w:sz w:val="20"/>
                <w:szCs w:val="20"/>
              </w:rPr>
              <w:t xml:space="preserve"> </w:t>
            </w:r>
            <w:r>
              <w:rPr>
                <w:rFonts w:ascii="Times New Roman" w:hAnsi="Times New Roman" w:eastAsia="Times New Roman" w:cs="Times New Roman"/>
                <w:spacing w:val="1"/>
                <w:sz w:val="20"/>
                <w:szCs w:val="20"/>
              </w:rPr>
              <w:t>C</w:t>
            </w:r>
            <w:r>
              <w:rPr>
                <w:rFonts w:ascii="Times New Roman" w:hAnsi="Times New Roman" w:eastAsia="Times New Roman" w:cs="Times New Roman"/>
                <w:spacing w:val="32"/>
                <w:sz w:val="20"/>
                <w:szCs w:val="20"/>
              </w:rPr>
              <w:t xml:space="preserve"> </w:t>
            </w:r>
            <w:r>
              <w:rPr>
                <w:spacing w:val="1"/>
                <w:sz w:val="20"/>
                <w:szCs w:val="20"/>
              </w:rPr>
              <w:t>回连通区块</w:t>
            </w:r>
            <w:r>
              <w:rPr>
                <w:spacing w:val="-38"/>
                <w:sz w:val="20"/>
                <w:szCs w:val="20"/>
              </w:rPr>
              <w:t xml:space="preserve"> </w:t>
            </w:r>
            <w:r>
              <w:rPr>
                <w:rFonts w:ascii="Times New Roman" w:hAnsi="Times New Roman" w:eastAsia="Times New Roman" w:cs="Times New Roman"/>
                <w:spacing w:val="1"/>
                <w:sz w:val="20"/>
                <w:szCs w:val="20"/>
              </w:rPr>
              <w:t>6</w:t>
            </w:r>
            <w:r>
              <w:rPr>
                <w:rFonts w:ascii="Times New Roman" w:hAnsi="Times New Roman" w:eastAsia="Times New Roman" w:cs="Times New Roman"/>
                <w:spacing w:val="-27"/>
                <w:sz w:val="20"/>
                <w:szCs w:val="20"/>
              </w:rPr>
              <w:t xml:space="preserve"> </w:t>
            </w:r>
            <w:r>
              <w:rPr>
                <w:spacing w:val="1"/>
                <w:sz w:val="20"/>
                <w:szCs w:val="20"/>
              </w:rPr>
              <w:t>、区块</w:t>
            </w:r>
            <w:r>
              <w:rPr>
                <w:spacing w:val="-37"/>
                <w:sz w:val="20"/>
                <w:szCs w:val="20"/>
              </w:rPr>
              <w:t xml:space="preserve"> </w:t>
            </w:r>
            <w:r>
              <w:rPr>
                <w:rFonts w:ascii="Times New Roman" w:hAnsi="Times New Roman" w:eastAsia="Times New Roman" w:cs="Times New Roman"/>
                <w:spacing w:val="1"/>
                <w:sz w:val="20"/>
                <w:szCs w:val="20"/>
              </w:rPr>
              <w:t>7</w:t>
            </w:r>
            <w:r>
              <w:rPr>
                <w:rFonts w:ascii="Times New Roman" w:hAnsi="Times New Roman" w:eastAsia="Times New Roman" w:cs="Times New Roman"/>
                <w:spacing w:val="-26"/>
                <w:sz w:val="20"/>
                <w:szCs w:val="20"/>
              </w:rPr>
              <w:t xml:space="preserve"> </w:t>
            </w:r>
            <w:r>
              <w:rPr>
                <w:spacing w:val="1"/>
                <w:sz w:val="20"/>
                <w:szCs w:val="20"/>
              </w:rPr>
              <w:t>、区块</w:t>
            </w:r>
            <w:r>
              <w:rPr>
                <w:spacing w:val="-32"/>
                <w:sz w:val="20"/>
                <w:szCs w:val="20"/>
              </w:rPr>
              <w:t xml:space="preserve"> </w:t>
            </w:r>
            <w:r>
              <w:rPr>
                <w:rFonts w:ascii="Times New Roman" w:hAnsi="Times New Roman" w:eastAsia="Times New Roman" w:cs="Times New Roman"/>
                <w:spacing w:val="1"/>
                <w:sz w:val="20"/>
                <w:szCs w:val="20"/>
              </w:rPr>
              <w:t>8</w:t>
            </w:r>
            <w:r>
              <w:rPr>
                <w:rFonts w:ascii="Times New Roman" w:hAnsi="Times New Roman" w:eastAsia="Times New Roman" w:cs="Times New Roman"/>
                <w:spacing w:val="27"/>
                <w:sz w:val="20"/>
                <w:szCs w:val="20"/>
              </w:rPr>
              <w:t xml:space="preserve"> </w:t>
            </w:r>
            <w:r>
              <w:rPr>
                <w:spacing w:val="1"/>
                <w:sz w:val="20"/>
                <w:szCs w:val="20"/>
              </w:rPr>
              <w:t>的北侧、区</w:t>
            </w:r>
            <w:r>
              <w:rPr>
                <w:sz w:val="20"/>
                <w:szCs w:val="20"/>
              </w:rPr>
              <w:t xml:space="preserve"> 块 </w:t>
            </w:r>
            <w:r>
              <w:rPr>
                <w:rFonts w:ascii="Times New Roman" w:hAnsi="Times New Roman" w:eastAsia="Times New Roman" w:cs="Times New Roman"/>
                <w:sz w:val="20"/>
                <w:szCs w:val="20"/>
              </w:rPr>
              <w:t>12</w:t>
            </w:r>
            <w:r>
              <w:rPr>
                <w:rFonts w:ascii="Times New Roman" w:hAnsi="Times New Roman" w:eastAsia="Times New Roman" w:cs="Times New Roman"/>
                <w:spacing w:val="-4"/>
                <w:sz w:val="20"/>
                <w:szCs w:val="20"/>
              </w:rPr>
              <w:t xml:space="preserve"> </w:t>
            </w:r>
            <w:r>
              <w:rPr>
                <w:sz w:val="20"/>
                <w:szCs w:val="20"/>
              </w:rPr>
              <w:t xml:space="preserve">、区块 </w:t>
            </w:r>
            <w:r>
              <w:rPr>
                <w:rFonts w:ascii="Times New Roman" w:hAnsi="Times New Roman" w:eastAsia="Times New Roman" w:cs="Times New Roman"/>
                <w:sz w:val="20"/>
                <w:szCs w:val="20"/>
              </w:rPr>
              <w:t>15</w:t>
            </w:r>
            <w:r>
              <w:rPr>
                <w:rFonts w:ascii="Times New Roman" w:hAnsi="Times New Roman" w:eastAsia="Times New Roman" w:cs="Times New Roman"/>
                <w:spacing w:val="37"/>
                <w:sz w:val="20"/>
                <w:szCs w:val="20"/>
              </w:rPr>
              <w:t xml:space="preserve"> </w:t>
            </w:r>
            <w:r>
              <w:rPr>
                <w:sz w:val="20"/>
                <w:szCs w:val="20"/>
              </w:rPr>
              <w:t>的</w:t>
            </w:r>
            <w:r>
              <w:rPr>
                <w:spacing w:val="-30"/>
                <w:sz w:val="20"/>
                <w:szCs w:val="20"/>
              </w:rPr>
              <w:t xml:space="preserve"> </w:t>
            </w:r>
            <w:r>
              <w:rPr>
                <w:rFonts w:ascii="Times New Roman" w:hAnsi="Times New Roman" w:eastAsia="Times New Roman" w:cs="Times New Roman"/>
                <w:sz w:val="20"/>
                <w:szCs w:val="20"/>
              </w:rPr>
              <w:t>T21</w:t>
            </w:r>
            <w:r>
              <w:rPr>
                <w:rFonts w:ascii="Times New Roman" w:hAnsi="Times New Roman" w:eastAsia="Times New Roman" w:cs="Times New Roman"/>
                <w:spacing w:val="-18"/>
                <w:sz w:val="20"/>
                <w:szCs w:val="20"/>
              </w:rPr>
              <w:t xml:space="preserve"> </w:t>
            </w:r>
            <w:r>
              <w:rPr>
                <w:sz w:val="20"/>
                <w:szCs w:val="20"/>
              </w:rPr>
              <w:t>、</w:t>
            </w:r>
            <w:r>
              <w:rPr>
                <w:rFonts w:ascii="Times New Roman" w:hAnsi="Times New Roman" w:eastAsia="Times New Roman" w:cs="Times New Roman"/>
                <w:sz w:val="20"/>
                <w:szCs w:val="20"/>
              </w:rPr>
              <w:t>T24</w:t>
            </w:r>
            <w:r>
              <w:rPr>
                <w:rFonts w:ascii="Times New Roman" w:hAnsi="Times New Roman" w:eastAsia="Times New Roman" w:cs="Times New Roman"/>
                <w:spacing w:val="-17"/>
                <w:sz w:val="20"/>
                <w:szCs w:val="20"/>
              </w:rPr>
              <w:t xml:space="preserve"> </w:t>
            </w:r>
            <w:r>
              <w:rPr>
                <w:sz w:val="20"/>
                <w:szCs w:val="20"/>
              </w:rPr>
              <w:t>、</w:t>
            </w:r>
            <w:r>
              <w:rPr>
                <w:rFonts w:ascii="Times New Roman" w:hAnsi="Times New Roman" w:eastAsia="Times New Roman" w:cs="Times New Roman"/>
                <w:sz w:val="20"/>
                <w:szCs w:val="20"/>
              </w:rPr>
              <w:t>T24</w:t>
            </w:r>
            <w:r>
              <w:rPr>
                <w:rFonts w:ascii="Times New Roman" w:hAnsi="Times New Roman" w:eastAsia="Times New Roman" w:cs="Times New Roman"/>
                <w:spacing w:val="-19"/>
                <w:sz w:val="20"/>
                <w:szCs w:val="20"/>
              </w:rPr>
              <w:t xml:space="preserve"> </w:t>
            </w:r>
            <w:r>
              <w:rPr>
                <w:sz w:val="20"/>
                <w:szCs w:val="20"/>
              </w:rPr>
              <w:t>、</w:t>
            </w:r>
            <w:r>
              <w:rPr>
                <w:rFonts w:ascii="Times New Roman" w:hAnsi="Times New Roman" w:eastAsia="Times New Roman" w:cs="Times New Roman"/>
                <w:sz w:val="20"/>
                <w:szCs w:val="20"/>
              </w:rPr>
              <w:t>T26~T30</w:t>
            </w:r>
            <w:r>
              <w:rPr>
                <w:rFonts w:ascii="Times New Roman" w:hAnsi="Times New Roman" w:eastAsia="Times New Roman" w:cs="Times New Roman"/>
                <w:spacing w:val="-16"/>
                <w:sz w:val="20"/>
                <w:szCs w:val="20"/>
              </w:rPr>
              <w:t xml:space="preserve"> </w:t>
            </w:r>
            <w:r>
              <w:rPr>
                <w:sz w:val="20"/>
                <w:szCs w:val="20"/>
              </w:rPr>
              <w:t>、</w:t>
            </w:r>
            <w:r>
              <w:rPr>
                <w:rFonts w:ascii="Times New Roman" w:hAnsi="Times New Roman" w:eastAsia="Times New Roman" w:cs="Times New Roman"/>
                <w:sz w:val="20"/>
                <w:szCs w:val="20"/>
              </w:rPr>
              <w:t>T39</w:t>
            </w:r>
            <w:r>
              <w:rPr>
                <w:rFonts w:ascii="Times New Roman" w:hAnsi="Times New Roman" w:eastAsia="Times New Roman" w:cs="Times New Roman"/>
                <w:spacing w:val="-17"/>
                <w:sz w:val="20"/>
                <w:szCs w:val="20"/>
              </w:rPr>
              <w:t xml:space="preserve"> </w:t>
            </w:r>
            <w:r>
              <w:rPr>
                <w:sz w:val="20"/>
                <w:szCs w:val="20"/>
              </w:rPr>
              <w:t>、</w:t>
            </w:r>
            <w:r>
              <w:rPr>
                <w:rFonts w:ascii="Times New Roman" w:hAnsi="Times New Roman" w:eastAsia="Times New Roman" w:cs="Times New Roman"/>
                <w:sz w:val="20"/>
                <w:szCs w:val="20"/>
              </w:rPr>
              <w:t>T40</w:t>
            </w:r>
            <w:r>
              <w:rPr>
                <w:rFonts w:ascii="Times New Roman" w:hAnsi="Times New Roman" w:eastAsia="Times New Roman" w:cs="Times New Roman"/>
                <w:spacing w:val="21"/>
                <w:w w:val="101"/>
                <w:sz w:val="20"/>
                <w:szCs w:val="20"/>
              </w:rPr>
              <w:t xml:space="preserve"> </w:t>
            </w:r>
            <w:r>
              <w:rPr>
                <w:sz w:val="20"/>
                <w:szCs w:val="20"/>
              </w:rPr>
              <w:t xml:space="preserve">共 </w:t>
            </w:r>
            <w:r>
              <w:rPr>
                <w:rFonts w:ascii="Times New Roman" w:hAnsi="Times New Roman" w:eastAsia="Times New Roman" w:cs="Times New Roman"/>
                <w:sz w:val="20"/>
                <w:szCs w:val="20"/>
              </w:rPr>
              <w:t xml:space="preserve">10  </w:t>
            </w:r>
            <w:r>
              <w:rPr>
                <w:spacing w:val="2"/>
                <w:sz w:val="20"/>
                <w:szCs w:val="20"/>
              </w:rPr>
              <w:t>个箱式变压器，接至</w:t>
            </w:r>
            <w:r>
              <w:rPr>
                <w:spacing w:val="-38"/>
                <w:sz w:val="20"/>
                <w:szCs w:val="20"/>
              </w:rPr>
              <w:t xml:space="preserve"> </w:t>
            </w:r>
            <w:r>
              <w:rPr>
                <w:rFonts w:ascii="Times New Roman" w:hAnsi="Times New Roman" w:eastAsia="Times New Roman" w:cs="Times New Roman"/>
                <w:spacing w:val="2"/>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2"/>
                <w:sz w:val="20"/>
                <w:szCs w:val="20"/>
              </w:rPr>
              <w:t xml:space="preserve"> </w:t>
            </w:r>
            <w:r>
              <w:rPr>
                <w:spacing w:val="2"/>
                <w:sz w:val="20"/>
                <w:szCs w:val="20"/>
              </w:rPr>
              <w:t>升压站内，变压器总容量</w:t>
            </w:r>
            <w:r>
              <w:rPr>
                <w:spacing w:val="-40"/>
                <w:sz w:val="20"/>
                <w:szCs w:val="20"/>
              </w:rPr>
              <w:t xml:space="preserve"> </w:t>
            </w:r>
            <w:r>
              <w:rPr>
                <w:rFonts w:ascii="Times New Roman" w:hAnsi="Times New Roman" w:eastAsia="Times New Roman" w:cs="Times New Roman"/>
                <w:spacing w:val="2"/>
                <w:sz w:val="20"/>
                <w:szCs w:val="20"/>
              </w:rPr>
              <w:t>27300</w:t>
            </w:r>
            <w:r>
              <w:rPr>
                <w:rFonts w:ascii="Times New Roman" w:hAnsi="Times New Roman" w:eastAsia="Times New Roman" w:cs="Times New Roman"/>
                <w:sz w:val="20"/>
                <w:szCs w:val="20"/>
              </w:rPr>
              <w:t>KVA</w:t>
            </w:r>
            <w:r>
              <w:rPr>
                <w:spacing w:val="2"/>
                <w:sz w:val="20"/>
                <w:szCs w:val="20"/>
              </w:rPr>
              <w:t>，</w:t>
            </w:r>
            <w:r>
              <w:rPr>
                <w:sz w:val="20"/>
                <w:szCs w:val="20"/>
              </w:rPr>
              <w:t xml:space="preserve"> </w:t>
            </w:r>
            <w:r>
              <w:rPr>
                <w:spacing w:val="5"/>
                <w:sz w:val="20"/>
                <w:szCs w:val="20"/>
              </w:rPr>
              <w:t>总长约</w:t>
            </w:r>
            <w:r>
              <w:rPr>
                <w:spacing w:val="-38"/>
                <w:sz w:val="20"/>
                <w:szCs w:val="20"/>
              </w:rPr>
              <w:t xml:space="preserve"> </w:t>
            </w:r>
            <w:r>
              <w:rPr>
                <w:rFonts w:ascii="Times New Roman" w:hAnsi="Times New Roman" w:eastAsia="Times New Roman" w:cs="Times New Roman"/>
                <w:spacing w:val="5"/>
                <w:sz w:val="20"/>
                <w:szCs w:val="20"/>
              </w:rPr>
              <w:t>2.75</w:t>
            </w:r>
            <w:r>
              <w:rPr>
                <w:rFonts w:ascii="Times New Roman" w:hAnsi="Times New Roman" w:eastAsia="Times New Roman" w:cs="Times New Roman"/>
                <w:sz w:val="20"/>
                <w:szCs w:val="20"/>
              </w:rPr>
              <w:t>km</w:t>
            </w:r>
            <w:r>
              <w:rPr>
                <w:spacing w:val="5"/>
                <w:sz w:val="20"/>
                <w:szCs w:val="20"/>
              </w:rPr>
              <w:t>；</w:t>
            </w:r>
          </w:p>
          <w:p w14:paraId="4D11F7BE">
            <w:pPr>
              <w:pStyle w:val="6"/>
              <w:spacing w:before="21" w:line="245" w:lineRule="auto"/>
              <w:ind w:left="112" w:right="100" w:firstLine="418"/>
              <w:rPr>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4"/>
                <w:sz w:val="20"/>
                <w:szCs w:val="20"/>
              </w:rPr>
              <w:t xml:space="preserve"> </w:t>
            </w:r>
            <w:r>
              <w:rPr>
                <w:spacing w:val="4"/>
                <w:sz w:val="20"/>
                <w:szCs w:val="20"/>
              </w:rPr>
              <w:t>集电线路</w:t>
            </w:r>
            <w:r>
              <w:rPr>
                <w:spacing w:val="-32"/>
                <w:sz w:val="20"/>
                <w:szCs w:val="20"/>
              </w:rPr>
              <w:t xml:space="preserve"> </w:t>
            </w:r>
            <w:r>
              <w:rPr>
                <w:rFonts w:ascii="Times New Roman" w:hAnsi="Times New Roman" w:eastAsia="Times New Roman" w:cs="Times New Roman"/>
                <w:spacing w:val="4"/>
                <w:sz w:val="20"/>
                <w:szCs w:val="20"/>
              </w:rPr>
              <w:t>D</w:t>
            </w:r>
            <w:r>
              <w:rPr>
                <w:rFonts w:ascii="Times New Roman" w:hAnsi="Times New Roman" w:eastAsia="Times New Roman" w:cs="Times New Roman"/>
                <w:spacing w:val="32"/>
                <w:w w:val="101"/>
                <w:sz w:val="20"/>
                <w:szCs w:val="20"/>
              </w:rPr>
              <w:t xml:space="preserve"> </w:t>
            </w:r>
            <w:r>
              <w:rPr>
                <w:spacing w:val="4"/>
                <w:sz w:val="20"/>
                <w:szCs w:val="20"/>
              </w:rPr>
              <w:t>回连通区块</w:t>
            </w:r>
            <w:r>
              <w:rPr>
                <w:spacing w:val="-35"/>
                <w:sz w:val="20"/>
                <w:szCs w:val="20"/>
              </w:rPr>
              <w:t xml:space="preserve"> </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29"/>
                <w:w w:val="101"/>
                <w:sz w:val="20"/>
                <w:szCs w:val="20"/>
              </w:rPr>
              <w:t xml:space="preserve"> </w:t>
            </w:r>
            <w:r>
              <w:rPr>
                <w:spacing w:val="4"/>
                <w:sz w:val="20"/>
                <w:szCs w:val="20"/>
              </w:rPr>
              <w:t>中间位置的</w:t>
            </w:r>
            <w:r>
              <w:rPr>
                <w:spacing w:val="-41"/>
                <w:sz w:val="20"/>
                <w:szCs w:val="20"/>
              </w:rPr>
              <w:t xml:space="preserve"> </w:t>
            </w:r>
            <w:r>
              <w:rPr>
                <w:rFonts w:ascii="Times New Roman" w:hAnsi="Times New Roman" w:eastAsia="Times New Roman" w:cs="Times New Roman"/>
                <w:spacing w:val="4"/>
                <w:sz w:val="20"/>
                <w:szCs w:val="20"/>
              </w:rPr>
              <w:t xml:space="preserve">T31~T38 </w:t>
            </w:r>
            <w:r>
              <w:rPr>
                <w:spacing w:val="4"/>
                <w:sz w:val="20"/>
                <w:szCs w:val="20"/>
              </w:rPr>
              <w:t>共</w:t>
            </w:r>
            <w:r>
              <w:rPr>
                <w:spacing w:val="-35"/>
                <w:sz w:val="20"/>
                <w:szCs w:val="20"/>
              </w:rPr>
              <w:t xml:space="preserve"> </w:t>
            </w:r>
            <w:r>
              <w:rPr>
                <w:rFonts w:ascii="Times New Roman" w:hAnsi="Times New Roman" w:eastAsia="Times New Roman" w:cs="Times New Roman"/>
                <w:spacing w:val="4"/>
                <w:sz w:val="20"/>
                <w:szCs w:val="20"/>
              </w:rPr>
              <w:t xml:space="preserve">8 </w:t>
            </w:r>
            <w:r>
              <w:rPr>
                <w:spacing w:val="4"/>
                <w:sz w:val="20"/>
                <w:szCs w:val="20"/>
              </w:rPr>
              <w:t>个</w:t>
            </w:r>
            <w:r>
              <w:rPr>
                <w:sz w:val="20"/>
                <w:szCs w:val="20"/>
              </w:rPr>
              <w:t xml:space="preserve"> </w:t>
            </w:r>
            <w:r>
              <w:rPr>
                <w:spacing w:val="7"/>
                <w:sz w:val="20"/>
                <w:szCs w:val="20"/>
              </w:rPr>
              <w:t>箱式变压器，接至</w:t>
            </w:r>
            <w:r>
              <w:rPr>
                <w:spacing w:val="-37"/>
                <w:sz w:val="20"/>
                <w:szCs w:val="20"/>
              </w:rPr>
              <w:t xml:space="preserve"> </w:t>
            </w:r>
            <w:r>
              <w:rPr>
                <w:rFonts w:ascii="Times New Roman" w:hAnsi="Times New Roman" w:eastAsia="Times New Roman" w:cs="Times New Roman"/>
                <w:spacing w:val="7"/>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7"/>
                <w:sz w:val="20"/>
                <w:szCs w:val="20"/>
              </w:rPr>
              <w:t xml:space="preserve"> </w:t>
            </w:r>
            <w:r>
              <w:rPr>
                <w:spacing w:val="7"/>
                <w:sz w:val="20"/>
                <w:szCs w:val="20"/>
              </w:rPr>
              <w:t>升压站内，变压器总容量</w:t>
            </w:r>
            <w:r>
              <w:rPr>
                <w:spacing w:val="-40"/>
                <w:sz w:val="20"/>
                <w:szCs w:val="20"/>
              </w:rPr>
              <w:t xml:space="preserve"> </w:t>
            </w:r>
            <w:r>
              <w:rPr>
                <w:rFonts w:ascii="Times New Roman" w:hAnsi="Times New Roman" w:eastAsia="Times New Roman" w:cs="Times New Roman"/>
                <w:spacing w:val="7"/>
                <w:sz w:val="20"/>
                <w:szCs w:val="20"/>
              </w:rPr>
              <w:t>26400</w:t>
            </w:r>
            <w:r>
              <w:rPr>
                <w:rFonts w:ascii="Times New Roman" w:hAnsi="Times New Roman" w:eastAsia="Times New Roman" w:cs="Times New Roman"/>
                <w:sz w:val="20"/>
                <w:szCs w:val="20"/>
              </w:rPr>
              <w:t>KVA</w:t>
            </w:r>
            <w:r>
              <w:rPr>
                <w:spacing w:val="7"/>
                <w:sz w:val="20"/>
                <w:szCs w:val="20"/>
              </w:rPr>
              <w:t>，</w:t>
            </w:r>
            <w:r>
              <w:rPr>
                <w:sz w:val="20"/>
                <w:szCs w:val="20"/>
              </w:rPr>
              <w:t xml:space="preserve"> </w:t>
            </w:r>
            <w:r>
              <w:rPr>
                <w:spacing w:val="2"/>
                <w:sz w:val="20"/>
                <w:szCs w:val="20"/>
              </w:rPr>
              <w:t>总长约</w:t>
            </w:r>
            <w:r>
              <w:rPr>
                <w:spacing w:val="-41"/>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18</w:t>
            </w:r>
            <w:r>
              <w:rPr>
                <w:rFonts w:ascii="Times New Roman" w:hAnsi="Times New Roman" w:eastAsia="Times New Roman" w:cs="Times New Roman"/>
                <w:sz w:val="20"/>
                <w:szCs w:val="20"/>
              </w:rPr>
              <w:t>km</w:t>
            </w:r>
            <w:r>
              <w:rPr>
                <w:spacing w:val="2"/>
                <w:sz w:val="20"/>
                <w:szCs w:val="20"/>
              </w:rPr>
              <w:t>。</w:t>
            </w:r>
          </w:p>
          <w:p w14:paraId="272BCC7A">
            <w:pPr>
              <w:pStyle w:val="6"/>
              <w:spacing w:before="21" w:line="246" w:lineRule="auto"/>
              <w:ind w:left="111" w:right="98" w:firstLine="430"/>
              <w:jc w:val="both"/>
              <w:rPr>
                <w:sz w:val="20"/>
                <w:szCs w:val="20"/>
              </w:rPr>
            </w:pPr>
            <w:r>
              <w:rPr>
                <w:spacing w:val="9"/>
                <w:sz w:val="20"/>
                <w:szCs w:val="20"/>
              </w:rPr>
              <w:t>随单回</w:t>
            </w:r>
            <w:r>
              <w:rPr>
                <w:spacing w:val="-32"/>
                <w:sz w:val="20"/>
                <w:szCs w:val="20"/>
              </w:rPr>
              <w:t xml:space="preserve"> </w:t>
            </w:r>
            <w:r>
              <w:rPr>
                <w:rFonts w:ascii="Times New Roman" w:hAnsi="Times New Roman" w:eastAsia="Times New Roman" w:cs="Times New Roman"/>
                <w:spacing w:val="9"/>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7"/>
                <w:sz w:val="20"/>
                <w:szCs w:val="20"/>
              </w:rPr>
              <w:t xml:space="preserve"> </w:t>
            </w:r>
            <w:r>
              <w:rPr>
                <w:spacing w:val="9"/>
                <w:sz w:val="20"/>
                <w:szCs w:val="20"/>
              </w:rPr>
              <w:t>集电线路新建一根</w:t>
            </w:r>
            <w:r>
              <w:rPr>
                <w:spacing w:val="-39"/>
                <w:sz w:val="20"/>
                <w:szCs w:val="20"/>
              </w:rPr>
              <w:t xml:space="preserve"> </w:t>
            </w:r>
            <w:r>
              <w:rPr>
                <w:rFonts w:ascii="Times New Roman" w:hAnsi="Times New Roman" w:eastAsia="Times New Roman" w:cs="Times New Roman"/>
                <w:spacing w:val="9"/>
                <w:sz w:val="20"/>
                <w:szCs w:val="20"/>
              </w:rPr>
              <w:t>24</w:t>
            </w:r>
            <w:r>
              <w:rPr>
                <w:rFonts w:ascii="Times New Roman" w:hAnsi="Times New Roman" w:eastAsia="Times New Roman" w:cs="Times New Roman"/>
                <w:spacing w:val="17"/>
                <w:sz w:val="20"/>
                <w:szCs w:val="20"/>
              </w:rPr>
              <w:t xml:space="preserve"> </w:t>
            </w:r>
            <w:r>
              <w:rPr>
                <w:spacing w:val="9"/>
                <w:sz w:val="20"/>
                <w:szCs w:val="20"/>
              </w:rPr>
              <w:t>芯</w:t>
            </w:r>
            <w:r>
              <w:rPr>
                <w:spacing w:val="-38"/>
                <w:sz w:val="20"/>
                <w:szCs w:val="20"/>
              </w:rPr>
              <w:t xml:space="preserve"> </w:t>
            </w:r>
            <w:r>
              <w:rPr>
                <w:rFonts w:ascii="Times New Roman" w:hAnsi="Times New Roman" w:eastAsia="Times New Roman" w:cs="Times New Roman"/>
                <w:sz w:val="20"/>
                <w:szCs w:val="20"/>
              </w:rPr>
              <w:t>OPGW</w:t>
            </w:r>
            <w:r>
              <w:rPr>
                <w:rFonts w:ascii="Times New Roman" w:hAnsi="Times New Roman" w:eastAsia="Times New Roman" w:cs="Times New Roman"/>
                <w:spacing w:val="17"/>
                <w:w w:val="101"/>
                <w:sz w:val="20"/>
                <w:szCs w:val="20"/>
              </w:rPr>
              <w:t xml:space="preserve"> </w:t>
            </w:r>
            <w:r>
              <w:rPr>
                <w:spacing w:val="9"/>
                <w:sz w:val="20"/>
                <w:szCs w:val="20"/>
              </w:rPr>
              <w:t>光缆，其路径</w:t>
            </w:r>
            <w:r>
              <w:rPr>
                <w:sz w:val="20"/>
                <w:szCs w:val="20"/>
              </w:rPr>
              <w:t xml:space="preserve"> </w:t>
            </w:r>
            <w:r>
              <w:rPr>
                <w:spacing w:val="10"/>
                <w:sz w:val="20"/>
                <w:szCs w:val="20"/>
              </w:rPr>
              <w:t>长度约为</w:t>
            </w:r>
            <w:r>
              <w:rPr>
                <w:spacing w:val="-28"/>
                <w:sz w:val="20"/>
                <w:szCs w:val="20"/>
              </w:rPr>
              <w:t xml:space="preserve"> </w:t>
            </w:r>
            <w:r>
              <w:rPr>
                <w:rFonts w:ascii="Times New Roman" w:hAnsi="Times New Roman" w:eastAsia="Times New Roman" w:cs="Times New Roman"/>
                <w:spacing w:val="10"/>
                <w:sz w:val="20"/>
                <w:szCs w:val="20"/>
              </w:rPr>
              <w:t>23.96</w:t>
            </w:r>
            <w:r>
              <w:rPr>
                <w:rFonts w:ascii="Times New Roman" w:hAnsi="Times New Roman" w:eastAsia="Times New Roman" w:cs="Times New Roman"/>
                <w:sz w:val="20"/>
                <w:szCs w:val="20"/>
              </w:rPr>
              <w:t>km</w:t>
            </w:r>
            <w:r>
              <w:rPr>
                <w:rFonts w:ascii="Times New Roman" w:hAnsi="Times New Roman" w:eastAsia="Times New Roman" w:cs="Times New Roman"/>
                <w:spacing w:val="-19"/>
                <w:sz w:val="20"/>
                <w:szCs w:val="20"/>
              </w:rPr>
              <w:t xml:space="preserve"> </w:t>
            </w:r>
            <w:r>
              <w:rPr>
                <w:spacing w:val="10"/>
                <w:sz w:val="20"/>
                <w:szCs w:val="20"/>
              </w:rPr>
              <w:t>，作为通信通道兼作地线，并随上述架空线路</w:t>
            </w:r>
            <w:r>
              <w:rPr>
                <w:sz w:val="20"/>
                <w:szCs w:val="20"/>
              </w:rPr>
              <w:t xml:space="preserve"> </w:t>
            </w:r>
            <w:r>
              <w:rPr>
                <w:spacing w:val="8"/>
                <w:sz w:val="20"/>
                <w:szCs w:val="20"/>
              </w:rPr>
              <w:t>同路径敷设</w:t>
            </w:r>
            <w:r>
              <w:rPr>
                <w:spacing w:val="-34"/>
                <w:sz w:val="20"/>
                <w:szCs w:val="20"/>
              </w:rPr>
              <w:t xml:space="preserve"> </w:t>
            </w:r>
            <w:r>
              <w:rPr>
                <w:rFonts w:ascii="Times New Roman" w:hAnsi="Times New Roman" w:eastAsia="Times New Roman" w:cs="Times New Roman"/>
                <w:sz w:val="20"/>
                <w:szCs w:val="20"/>
              </w:rPr>
              <w:t>JLB</w:t>
            </w:r>
            <w:r>
              <w:rPr>
                <w:rFonts w:ascii="Times New Roman" w:hAnsi="Times New Roman" w:eastAsia="Times New Roman" w:cs="Times New Roman"/>
                <w:spacing w:val="8"/>
                <w:sz w:val="20"/>
                <w:szCs w:val="20"/>
              </w:rPr>
              <w:t xml:space="preserve">20A-50 </w:t>
            </w:r>
            <w:r>
              <w:rPr>
                <w:spacing w:val="8"/>
                <w:sz w:val="20"/>
                <w:szCs w:val="20"/>
              </w:rPr>
              <w:t>地线一根作为地线使用，其路径总长度约</w:t>
            </w:r>
            <w:r>
              <w:rPr>
                <w:sz w:val="20"/>
                <w:szCs w:val="20"/>
              </w:rPr>
              <w:t xml:space="preserve"> </w:t>
            </w:r>
            <w:r>
              <w:rPr>
                <w:spacing w:val="4"/>
                <w:sz w:val="20"/>
                <w:szCs w:val="20"/>
              </w:rPr>
              <w:t>为</w:t>
            </w:r>
            <w:r>
              <w:rPr>
                <w:spacing w:val="-44"/>
                <w:sz w:val="20"/>
                <w:szCs w:val="20"/>
              </w:rPr>
              <w:t xml:space="preserve"> </w:t>
            </w:r>
            <w:r>
              <w:rPr>
                <w:rFonts w:ascii="Times New Roman" w:hAnsi="Times New Roman" w:eastAsia="Times New Roman" w:cs="Times New Roman"/>
                <w:spacing w:val="4"/>
                <w:sz w:val="20"/>
                <w:szCs w:val="20"/>
              </w:rPr>
              <w:t>23.96</w:t>
            </w:r>
            <w:r>
              <w:rPr>
                <w:rFonts w:ascii="Times New Roman" w:hAnsi="Times New Roman" w:eastAsia="Times New Roman" w:cs="Times New Roman"/>
                <w:sz w:val="20"/>
                <w:szCs w:val="20"/>
              </w:rPr>
              <w:t>km</w:t>
            </w:r>
            <w:r>
              <w:rPr>
                <w:spacing w:val="4"/>
                <w:sz w:val="20"/>
                <w:szCs w:val="20"/>
              </w:rPr>
              <w:t>。</w:t>
            </w:r>
          </w:p>
          <w:p w14:paraId="4D691A6B">
            <w:pPr>
              <w:pStyle w:val="6"/>
              <w:spacing w:before="24" w:line="225" w:lineRule="auto"/>
              <w:ind w:left="528"/>
              <w:rPr>
                <w:sz w:val="20"/>
                <w:szCs w:val="20"/>
              </w:rPr>
            </w:pPr>
            <w:r>
              <w:rPr>
                <w:spacing w:val="7"/>
                <w:sz w:val="20"/>
                <w:szCs w:val="20"/>
              </w:rPr>
              <w:t>②电缆线路部分：</w:t>
            </w:r>
          </w:p>
          <w:p w14:paraId="79D638E0">
            <w:pPr>
              <w:pStyle w:val="6"/>
              <w:spacing w:before="29" w:line="227" w:lineRule="auto"/>
              <w:ind w:left="531"/>
              <w:rPr>
                <w:sz w:val="10"/>
                <w:szCs w:val="10"/>
              </w:rPr>
            </w:pPr>
            <w:r>
              <w:rPr>
                <w:spacing w:val="7"/>
                <w:sz w:val="20"/>
                <w:szCs w:val="20"/>
              </w:rPr>
              <w:t>本项目进站电缆选用</w:t>
            </w:r>
            <w:r>
              <w:rPr>
                <w:spacing w:val="-38"/>
                <w:sz w:val="20"/>
                <w:szCs w:val="20"/>
              </w:rPr>
              <w:t xml:space="preserve"> </w:t>
            </w:r>
            <w:r>
              <w:rPr>
                <w:rFonts w:ascii="Times New Roman" w:hAnsi="Times New Roman" w:eastAsia="Times New Roman" w:cs="Times New Roman"/>
                <w:sz w:val="20"/>
                <w:szCs w:val="20"/>
              </w:rPr>
              <w:t>ZC</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YJY</w:t>
            </w:r>
            <w:r>
              <w:rPr>
                <w:rFonts w:ascii="Times New Roman" w:hAnsi="Times New Roman" w:eastAsia="Times New Roman" w:cs="Times New Roman"/>
                <w:spacing w:val="7"/>
                <w:sz w:val="20"/>
                <w:szCs w:val="20"/>
              </w:rPr>
              <w:t>23-26/35</w:t>
            </w:r>
            <w:r>
              <w:rPr>
                <w:rFonts w:ascii="Times New Roman" w:hAnsi="Times New Roman" w:eastAsia="Times New Roman" w:cs="Times New Roman"/>
                <w:sz w:val="20"/>
                <w:szCs w:val="20"/>
              </w:rPr>
              <w:t>kV</w:t>
            </w:r>
            <w:r>
              <w:rPr>
                <w:rFonts w:ascii="Times New Roman" w:hAnsi="Times New Roman" w:eastAsia="Times New Roman" w:cs="Times New Roman"/>
                <w:spacing w:val="7"/>
                <w:sz w:val="20"/>
                <w:szCs w:val="20"/>
              </w:rPr>
              <w:t>-3*240</w:t>
            </w:r>
            <w:r>
              <w:rPr>
                <w:rFonts w:ascii="Times New Roman" w:hAnsi="Times New Roman" w:eastAsia="Times New Roman" w:cs="Times New Roman"/>
                <w:sz w:val="20"/>
                <w:szCs w:val="20"/>
              </w:rPr>
              <w:t>mm</w:t>
            </w:r>
            <w:r>
              <w:rPr>
                <w:rFonts w:ascii="Times New Roman" w:hAnsi="Times New Roman" w:eastAsia="Times New Roman" w:cs="Times New Roman"/>
                <w:spacing w:val="7"/>
                <w:position w:val="6"/>
                <w:sz w:val="13"/>
                <w:szCs w:val="13"/>
              </w:rPr>
              <w:t>2</w:t>
            </w:r>
            <w:r>
              <w:rPr>
                <w:spacing w:val="7"/>
                <w:position w:val="10"/>
                <w:sz w:val="10"/>
                <w:szCs w:val="10"/>
              </w:rPr>
              <w:t>、</w:t>
            </w:r>
          </w:p>
          <w:p w14:paraId="21FB7C40">
            <w:pPr>
              <w:pStyle w:val="6"/>
              <w:spacing w:before="25" w:line="228" w:lineRule="auto"/>
              <w:ind w:left="104"/>
              <w:rPr>
                <w:sz w:val="20"/>
                <w:szCs w:val="20"/>
              </w:rPr>
            </w:pPr>
            <w:r>
              <w:rPr>
                <w:rFonts w:ascii="Times New Roman" w:hAnsi="Times New Roman" w:eastAsia="Times New Roman" w:cs="Times New Roman"/>
                <w:sz w:val="20"/>
                <w:szCs w:val="20"/>
              </w:rPr>
              <w:t>ZC</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YJY</w:t>
            </w:r>
            <w:r>
              <w:rPr>
                <w:rFonts w:ascii="Times New Roman" w:hAnsi="Times New Roman" w:eastAsia="Times New Roman" w:cs="Times New Roman"/>
                <w:spacing w:val="8"/>
                <w:sz w:val="20"/>
                <w:szCs w:val="20"/>
              </w:rPr>
              <w:t>23-26/35</w:t>
            </w:r>
            <w:r>
              <w:rPr>
                <w:rFonts w:ascii="Times New Roman" w:hAnsi="Times New Roman" w:eastAsia="Times New Roman" w:cs="Times New Roman"/>
                <w:sz w:val="20"/>
                <w:szCs w:val="20"/>
              </w:rPr>
              <w:t>kV</w:t>
            </w:r>
            <w:r>
              <w:rPr>
                <w:rFonts w:ascii="Times New Roman" w:hAnsi="Times New Roman" w:eastAsia="Times New Roman" w:cs="Times New Roman"/>
                <w:spacing w:val="8"/>
                <w:sz w:val="20"/>
                <w:szCs w:val="20"/>
              </w:rPr>
              <w:t>-3*400</w:t>
            </w:r>
            <w:r>
              <w:rPr>
                <w:rFonts w:ascii="Times New Roman" w:hAnsi="Times New Roman" w:eastAsia="Times New Roman" w:cs="Times New Roman"/>
                <w:sz w:val="20"/>
                <w:szCs w:val="20"/>
              </w:rPr>
              <w:t>mm</w:t>
            </w:r>
            <w:r>
              <w:rPr>
                <w:rFonts w:ascii="Times New Roman" w:hAnsi="Times New Roman" w:eastAsia="Times New Roman" w:cs="Times New Roman"/>
                <w:spacing w:val="8"/>
                <w:position w:val="6"/>
                <w:sz w:val="13"/>
                <w:szCs w:val="13"/>
              </w:rPr>
              <w:t>2</w:t>
            </w:r>
            <w:r>
              <w:rPr>
                <w:rFonts w:ascii="Times New Roman" w:hAnsi="Times New Roman" w:eastAsia="Times New Roman" w:cs="Times New Roman"/>
                <w:spacing w:val="10"/>
                <w:w w:val="102"/>
                <w:position w:val="6"/>
                <w:sz w:val="13"/>
                <w:szCs w:val="13"/>
              </w:rPr>
              <w:t xml:space="preserve"> </w:t>
            </w:r>
            <w:r>
              <w:rPr>
                <w:spacing w:val="8"/>
                <w:sz w:val="20"/>
                <w:szCs w:val="20"/>
              </w:rPr>
              <w:t>铜芯电缆，其路径</w:t>
            </w:r>
            <w:r>
              <w:rPr>
                <w:spacing w:val="7"/>
                <w:sz w:val="20"/>
                <w:szCs w:val="20"/>
              </w:rPr>
              <w:t>长度分别为</w:t>
            </w:r>
          </w:p>
          <w:p w14:paraId="21F8AFAF">
            <w:pPr>
              <w:pStyle w:val="6"/>
              <w:spacing w:before="27" w:line="239" w:lineRule="auto"/>
              <w:ind w:left="110" w:right="99" w:firstLine="16"/>
              <w:rPr>
                <w:sz w:val="20"/>
                <w:szCs w:val="20"/>
              </w:rPr>
            </w:pPr>
            <w:r>
              <w:rPr>
                <w:rFonts w:ascii="Times New Roman" w:hAnsi="Times New Roman" w:eastAsia="Times New Roman" w:cs="Times New Roman"/>
                <w:spacing w:val="4"/>
                <w:sz w:val="20"/>
                <w:szCs w:val="20"/>
              </w:rPr>
              <w:t>1000m</w:t>
            </w:r>
            <w:r>
              <w:rPr>
                <w:rFonts w:ascii="Times New Roman" w:hAnsi="Times New Roman" w:eastAsia="Times New Roman" w:cs="Times New Roman"/>
                <w:spacing w:val="-27"/>
                <w:sz w:val="20"/>
                <w:szCs w:val="20"/>
              </w:rPr>
              <w:t xml:space="preserve"> </w:t>
            </w:r>
            <w:r>
              <w:rPr>
                <w:spacing w:val="4"/>
                <w:sz w:val="20"/>
                <w:szCs w:val="20"/>
              </w:rPr>
              <w:t>、</w:t>
            </w:r>
            <w:r>
              <w:rPr>
                <w:rFonts w:ascii="Times New Roman" w:hAnsi="Times New Roman" w:eastAsia="Times New Roman" w:cs="Times New Roman"/>
                <w:spacing w:val="4"/>
                <w:sz w:val="20"/>
                <w:szCs w:val="20"/>
              </w:rPr>
              <w:t>1000m</w:t>
            </w:r>
            <w:r>
              <w:rPr>
                <w:rFonts w:ascii="Times New Roman" w:hAnsi="Times New Roman" w:eastAsia="Times New Roman" w:cs="Times New Roman"/>
                <w:spacing w:val="-18"/>
                <w:sz w:val="20"/>
                <w:szCs w:val="20"/>
              </w:rPr>
              <w:t xml:space="preserve"> </w:t>
            </w:r>
            <w:r>
              <w:rPr>
                <w:spacing w:val="4"/>
                <w:sz w:val="20"/>
                <w:szCs w:val="20"/>
              </w:rPr>
              <w:t>。 随上述电缆线路同路径敷</w:t>
            </w:r>
            <w:r>
              <w:rPr>
                <w:spacing w:val="3"/>
                <w:sz w:val="20"/>
                <w:szCs w:val="20"/>
              </w:rPr>
              <w:t>设</w:t>
            </w:r>
            <w:r>
              <w:rPr>
                <w:spacing w:val="-40"/>
                <w:sz w:val="20"/>
                <w:szCs w:val="20"/>
              </w:rPr>
              <w:t xml:space="preserve"> </w:t>
            </w:r>
            <w:r>
              <w:rPr>
                <w:rFonts w:ascii="Times New Roman" w:hAnsi="Times New Roman" w:eastAsia="Times New Roman" w:cs="Times New Roman"/>
                <w:spacing w:val="3"/>
                <w:sz w:val="20"/>
                <w:szCs w:val="20"/>
              </w:rPr>
              <w:t xml:space="preserve">24 </w:t>
            </w:r>
            <w:r>
              <w:rPr>
                <w:spacing w:val="3"/>
                <w:sz w:val="20"/>
                <w:szCs w:val="20"/>
              </w:rPr>
              <w:t>芯非金属光缆</w:t>
            </w:r>
            <w:r>
              <w:rPr>
                <w:spacing w:val="-21"/>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 xml:space="preserve"> </w:t>
            </w:r>
            <w:r>
              <w:rPr>
                <w:spacing w:val="7"/>
                <w:sz w:val="20"/>
                <w:szCs w:val="20"/>
              </w:rPr>
              <w:t>根，型号为</w:t>
            </w:r>
            <w:r>
              <w:rPr>
                <w:spacing w:val="-39"/>
                <w:sz w:val="20"/>
                <w:szCs w:val="20"/>
              </w:rPr>
              <w:t xml:space="preserve"> </w:t>
            </w:r>
            <w:r>
              <w:rPr>
                <w:rFonts w:ascii="Times New Roman" w:hAnsi="Times New Roman" w:eastAsia="Times New Roman" w:cs="Times New Roman"/>
                <w:sz w:val="20"/>
                <w:szCs w:val="20"/>
              </w:rPr>
              <w:t>GYFTZY</w:t>
            </w:r>
            <w:r>
              <w:rPr>
                <w:rFonts w:ascii="Times New Roman" w:hAnsi="Times New Roman" w:eastAsia="Times New Roman" w:cs="Times New Roman"/>
                <w:spacing w:val="7"/>
                <w:sz w:val="20"/>
                <w:szCs w:val="20"/>
              </w:rPr>
              <w:t>53-24B1</w:t>
            </w:r>
            <w:r>
              <w:rPr>
                <w:rFonts w:ascii="Times New Roman" w:hAnsi="Times New Roman" w:eastAsia="Times New Roman" w:cs="Times New Roman"/>
                <w:spacing w:val="-21"/>
                <w:sz w:val="20"/>
                <w:szCs w:val="20"/>
              </w:rPr>
              <w:t xml:space="preserve"> </w:t>
            </w:r>
            <w:r>
              <w:rPr>
                <w:spacing w:val="7"/>
                <w:sz w:val="20"/>
                <w:szCs w:val="20"/>
              </w:rPr>
              <w:t>，其路径总长度约为</w:t>
            </w:r>
            <w:r>
              <w:rPr>
                <w:spacing w:val="-43"/>
                <w:sz w:val="20"/>
                <w:szCs w:val="20"/>
              </w:rPr>
              <w:t xml:space="preserve"> </w:t>
            </w:r>
            <w:r>
              <w:rPr>
                <w:rFonts w:ascii="Times New Roman" w:hAnsi="Times New Roman" w:eastAsia="Times New Roman" w:cs="Times New Roman"/>
                <w:spacing w:val="7"/>
                <w:sz w:val="20"/>
                <w:szCs w:val="20"/>
              </w:rPr>
              <w:t>2500m</w:t>
            </w:r>
            <w:r>
              <w:rPr>
                <w:spacing w:val="7"/>
                <w:sz w:val="20"/>
                <w:szCs w:val="20"/>
              </w:rPr>
              <w:t>。</w:t>
            </w:r>
          </w:p>
          <w:p w14:paraId="6165EB1F">
            <w:pPr>
              <w:pStyle w:val="6"/>
              <w:spacing w:before="27" w:line="227" w:lineRule="auto"/>
              <w:ind w:left="532"/>
              <w:rPr>
                <w:sz w:val="20"/>
                <w:szCs w:val="20"/>
              </w:rPr>
            </w:pPr>
            <w:r>
              <w:rPr>
                <w:spacing w:val="9"/>
                <w:sz w:val="20"/>
                <w:szCs w:val="20"/>
              </w:rPr>
              <w:t>光伏厂区内逆变器至箱式变压器电缆选用</w:t>
            </w:r>
          </w:p>
          <w:p w14:paraId="5C55BE3B">
            <w:pPr>
              <w:pStyle w:val="6"/>
              <w:spacing w:before="24" w:line="242" w:lineRule="auto"/>
              <w:ind w:left="126" w:right="267" w:hanging="22"/>
              <w:rPr>
                <w:sz w:val="20"/>
                <w:szCs w:val="20"/>
              </w:rPr>
            </w:pPr>
            <w:r>
              <w:rPr>
                <w:rFonts w:ascii="Times New Roman" w:hAnsi="Times New Roman" w:eastAsia="Times New Roman" w:cs="Times New Roman"/>
                <w:sz w:val="20"/>
                <w:szCs w:val="20"/>
              </w:rPr>
              <w:t>ZC</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YJLHY</w:t>
            </w:r>
            <w:r>
              <w:rPr>
                <w:rFonts w:ascii="Times New Roman" w:hAnsi="Times New Roman" w:eastAsia="Times New Roman" w:cs="Times New Roman"/>
                <w:spacing w:val="7"/>
                <w:sz w:val="20"/>
                <w:szCs w:val="20"/>
              </w:rPr>
              <w:t>23-26/35-3/1*95/240/</w:t>
            </w:r>
            <w:r>
              <w:rPr>
                <w:rFonts w:ascii="Times New Roman" w:hAnsi="Times New Roman" w:eastAsia="Times New Roman" w:cs="Times New Roman"/>
                <w:spacing w:val="6"/>
                <w:sz w:val="20"/>
                <w:szCs w:val="20"/>
              </w:rPr>
              <w:t>400</w:t>
            </w:r>
            <w:r>
              <w:rPr>
                <w:rFonts w:ascii="Times New Roman" w:hAnsi="Times New Roman" w:eastAsia="Times New Roman" w:cs="Times New Roman"/>
                <w:sz w:val="20"/>
                <w:szCs w:val="20"/>
              </w:rPr>
              <w:t>mm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12"/>
                <w:position w:val="6"/>
                <w:sz w:val="13"/>
                <w:szCs w:val="13"/>
              </w:rPr>
              <w:t xml:space="preserve"> </w:t>
            </w:r>
            <w:r>
              <w:rPr>
                <w:spacing w:val="6"/>
                <w:sz w:val="20"/>
                <w:szCs w:val="20"/>
              </w:rPr>
              <w:t>规格的电缆，其中</w:t>
            </w:r>
            <w:r>
              <w:rPr>
                <w:spacing w:val="-37"/>
                <w:sz w:val="20"/>
                <w:szCs w:val="20"/>
              </w:rPr>
              <w:t xml:space="preserve"> </w:t>
            </w:r>
            <w:r>
              <w:rPr>
                <w:rFonts w:ascii="Times New Roman" w:hAnsi="Times New Roman" w:eastAsia="Times New Roman" w:cs="Times New Roman"/>
                <w:spacing w:val="6"/>
                <w:sz w:val="20"/>
                <w:szCs w:val="20"/>
              </w:rPr>
              <w:t>3*95</w:t>
            </w:r>
            <w:r>
              <w:rPr>
                <w:rFonts w:ascii="Times New Roman" w:hAnsi="Times New Roman" w:eastAsia="Times New Roman" w:cs="Times New Roman"/>
                <w:sz w:val="20"/>
                <w:szCs w:val="20"/>
              </w:rPr>
              <w:t xml:space="preserve"> </w:t>
            </w:r>
            <w:r>
              <w:rPr>
                <w:spacing w:val="-1"/>
                <w:sz w:val="20"/>
                <w:szCs w:val="20"/>
              </w:rPr>
              <w:t>的</w:t>
            </w:r>
            <w:r>
              <w:rPr>
                <w:spacing w:val="-9"/>
                <w:sz w:val="20"/>
                <w:szCs w:val="20"/>
              </w:rPr>
              <w:t xml:space="preserve"> </w:t>
            </w:r>
            <w:r>
              <w:rPr>
                <w:rFonts w:ascii="Times New Roman" w:hAnsi="Times New Roman" w:eastAsia="Times New Roman" w:cs="Times New Roman"/>
                <w:spacing w:val="-1"/>
                <w:sz w:val="20"/>
                <w:szCs w:val="20"/>
              </w:rPr>
              <w:t>12.6km</w:t>
            </w:r>
            <w:r>
              <w:rPr>
                <w:rFonts w:ascii="Times New Roman" w:hAnsi="Times New Roman" w:eastAsia="Times New Roman" w:cs="Times New Roman"/>
                <w:spacing w:val="-24"/>
                <w:sz w:val="20"/>
                <w:szCs w:val="20"/>
              </w:rPr>
              <w:t xml:space="preserve"> </w:t>
            </w:r>
            <w:r>
              <w:rPr>
                <w:spacing w:val="-1"/>
                <w:sz w:val="20"/>
                <w:szCs w:val="20"/>
              </w:rPr>
              <w:t>，</w:t>
            </w:r>
            <w:r>
              <w:rPr>
                <w:rFonts w:ascii="Times New Roman" w:hAnsi="Times New Roman" w:eastAsia="Times New Roman" w:cs="Times New Roman"/>
                <w:spacing w:val="-1"/>
                <w:sz w:val="20"/>
                <w:szCs w:val="20"/>
              </w:rPr>
              <w:t>3*240</w:t>
            </w:r>
            <w:r>
              <w:rPr>
                <w:rFonts w:ascii="Times New Roman" w:hAnsi="Times New Roman" w:eastAsia="Times New Roman" w:cs="Times New Roman"/>
                <w:spacing w:val="27"/>
                <w:sz w:val="20"/>
                <w:szCs w:val="20"/>
              </w:rPr>
              <w:t xml:space="preserve"> </w:t>
            </w:r>
            <w:r>
              <w:rPr>
                <w:spacing w:val="-1"/>
                <w:sz w:val="20"/>
                <w:szCs w:val="20"/>
              </w:rPr>
              <w:t>的</w:t>
            </w:r>
            <w:r>
              <w:rPr>
                <w:spacing w:val="-21"/>
                <w:sz w:val="20"/>
                <w:szCs w:val="20"/>
              </w:rPr>
              <w:t xml:space="preserve"> </w:t>
            </w:r>
            <w:r>
              <w:rPr>
                <w:rFonts w:ascii="Times New Roman" w:hAnsi="Times New Roman" w:eastAsia="Times New Roman" w:cs="Times New Roman"/>
                <w:spacing w:val="-1"/>
                <w:sz w:val="20"/>
                <w:szCs w:val="20"/>
              </w:rPr>
              <w:t>1.3km</w:t>
            </w:r>
            <w:r>
              <w:rPr>
                <w:rFonts w:ascii="Times New Roman" w:hAnsi="Times New Roman" w:eastAsia="Times New Roman" w:cs="Times New Roman"/>
                <w:spacing w:val="-23"/>
                <w:sz w:val="20"/>
                <w:szCs w:val="20"/>
              </w:rPr>
              <w:t xml:space="preserve"> </w:t>
            </w:r>
            <w:r>
              <w:rPr>
                <w:spacing w:val="-1"/>
                <w:sz w:val="20"/>
                <w:szCs w:val="20"/>
              </w:rPr>
              <w:t>，</w:t>
            </w:r>
            <w:r>
              <w:rPr>
                <w:rFonts w:ascii="Times New Roman" w:hAnsi="Times New Roman" w:eastAsia="Times New Roman" w:cs="Times New Roman"/>
                <w:spacing w:val="-1"/>
                <w:sz w:val="20"/>
                <w:szCs w:val="20"/>
              </w:rPr>
              <w:t>3*400</w:t>
            </w:r>
            <w:r>
              <w:rPr>
                <w:rFonts w:ascii="Times New Roman" w:hAnsi="Times New Roman" w:eastAsia="Times New Roman" w:cs="Times New Roman"/>
                <w:spacing w:val="26"/>
                <w:w w:val="101"/>
                <w:sz w:val="20"/>
                <w:szCs w:val="20"/>
              </w:rPr>
              <w:t xml:space="preserve"> </w:t>
            </w:r>
            <w:r>
              <w:rPr>
                <w:spacing w:val="-1"/>
                <w:sz w:val="20"/>
                <w:szCs w:val="20"/>
              </w:rPr>
              <w:t>的</w:t>
            </w:r>
            <w:r>
              <w:rPr>
                <w:spacing w:val="-38"/>
                <w:sz w:val="20"/>
                <w:szCs w:val="20"/>
              </w:rPr>
              <w:t xml:space="preserve"> </w:t>
            </w:r>
            <w:r>
              <w:rPr>
                <w:rFonts w:ascii="Times New Roman" w:hAnsi="Times New Roman" w:eastAsia="Times New Roman" w:cs="Times New Roman"/>
                <w:spacing w:val="-1"/>
                <w:sz w:val="20"/>
                <w:szCs w:val="20"/>
              </w:rPr>
              <w:t>0.3km</w:t>
            </w:r>
            <w:r>
              <w:rPr>
                <w:rFonts w:ascii="Times New Roman" w:hAnsi="Times New Roman" w:eastAsia="Times New Roman" w:cs="Times New Roman"/>
                <w:spacing w:val="-21"/>
                <w:sz w:val="20"/>
                <w:szCs w:val="20"/>
              </w:rPr>
              <w:t xml:space="preserve"> </w:t>
            </w:r>
            <w:r>
              <w:rPr>
                <w:spacing w:val="-1"/>
                <w:sz w:val="20"/>
                <w:szCs w:val="20"/>
              </w:rPr>
              <w:t>，</w:t>
            </w:r>
            <w:r>
              <w:rPr>
                <w:rFonts w:ascii="Times New Roman" w:hAnsi="Times New Roman" w:eastAsia="Times New Roman" w:cs="Times New Roman"/>
                <w:spacing w:val="-1"/>
                <w:sz w:val="20"/>
                <w:szCs w:val="20"/>
              </w:rPr>
              <w:t>1*400</w:t>
            </w:r>
            <w:r>
              <w:rPr>
                <w:rFonts w:ascii="Times New Roman" w:hAnsi="Times New Roman" w:eastAsia="Times New Roman" w:cs="Times New Roman"/>
                <w:spacing w:val="29"/>
                <w:w w:val="101"/>
                <w:sz w:val="20"/>
                <w:szCs w:val="20"/>
              </w:rPr>
              <w:t xml:space="preserve"> </w:t>
            </w:r>
            <w:r>
              <w:rPr>
                <w:spacing w:val="-1"/>
                <w:sz w:val="20"/>
                <w:szCs w:val="20"/>
              </w:rPr>
              <w:t>的</w:t>
            </w:r>
            <w:r>
              <w:rPr>
                <w:spacing w:val="-23"/>
                <w:sz w:val="20"/>
                <w:szCs w:val="20"/>
              </w:rPr>
              <w:t xml:space="preserve"> </w:t>
            </w:r>
            <w:r>
              <w:rPr>
                <w:rFonts w:ascii="Times New Roman" w:hAnsi="Times New Roman" w:eastAsia="Times New Roman" w:cs="Times New Roman"/>
                <w:spacing w:val="-1"/>
                <w:sz w:val="20"/>
                <w:szCs w:val="20"/>
              </w:rPr>
              <w:t>1km</w:t>
            </w:r>
            <w:r>
              <w:rPr>
                <w:spacing w:val="-1"/>
                <w:sz w:val="20"/>
                <w:szCs w:val="20"/>
              </w:rPr>
              <w:t>。</w:t>
            </w:r>
          </w:p>
        </w:tc>
        <w:tc>
          <w:tcPr>
            <w:tcW w:w="549" w:type="dxa"/>
            <w:tcBorders>
              <w:left w:val="single" w:color="000000" w:sz="2" w:space="0"/>
            </w:tcBorders>
            <w:textDirection w:val="tbRlV"/>
            <w:vAlign w:val="top"/>
          </w:tcPr>
          <w:p w14:paraId="24C383F2">
            <w:pPr>
              <w:pStyle w:val="6"/>
              <w:spacing w:before="217" w:line="216" w:lineRule="auto"/>
              <w:ind w:left="3985"/>
              <w:rPr>
                <w:sz w:val="20"/>
                <w:szCs w:val="20"/>
              </w:rPr>
            </w:pPr>
            <w:r>
              <w:pict>
                <v:shape id="_x0000_s1054" o:spid="_x0000_s1054" style="position:absolute;left:0pt;margin-left:21.5pt;margin-top:0.5pt;height:422.6pt;width:0.5pt;mso-position-horizontal-relative:page;mso-position-vertical-relative:page;z-index:251689984;mso-width-relative:page;mso-height-relative:page;" filled="f" stroked="t" coordsize="10,8452" path="m4,0l4,8451e">
                  <v:fill on="f" focussize="0,0"/>
                  <v:stroke weight="0.48pt" color="#000000" miterlimit="2" joinstyle="bevel"/>
                  <v:imagedata o:title=""/>
                  <o:lock v:ext="edit"/>
                </v:shape>
              </w:pict>
            </w:r>
            <w:r>
              <w:rPr>
                <w:spacing w:val="8"/>
                <w:sz w:val="20"/>
                <w:szCs w:val="20"/>
              </w:rPr>
              <w:t>新</w:t>
            </w:r>
            <w:r>
              <w:rPr>
                <w:spacing w:val="-38"/>
                <w:sz w:val="20"/>
                <w:szCs w:val="20"/>
              </w:rPr>
              <w:t xml:space="preserve"> </w:t>
            </w:r>
            <w:r>
              <w:rPr>
                <w:spacing w:val="8"/>
                <w:sz w:val="20"/>
                <w:szCs w:val="20"/>
              </w:rPr>
              <w:t>建</w:t>
            </w:r>
          </w:p>
        </w:tc>
      </w:tr>
    </w:tbl>
    <w:p w14:paraId="59C509DA">
      <w:pPr>
        <w:rPr>
          <w:rFonts w:ascii="Arial"/>
          <w:sz w:val="21"/>
        </w:rPr>
      </w:pPr>
    </w:p>
    <w:p w14:paraId="6564B778">
      <w:pPr>
        <w:rPr>
          <w:rFonts w:ascii="Arial" w:hAnsi="Arial" w:eastAsia="Arial" w:cs="Arial"/>
          <w:sz w:val="21"/>
          <w:szCs w:val="21"/>
        </w:rPr>
        <w:sectPr>
          <w:footerReference r:id="rId51" w:type="default"/>
          <w:pgSz w:w="11906" w:h="16839"/>
          <w:pgMar w:top="1431" w:right="1415" w:bottom="1278" w:left="1415" w:header="0" w:footer="1116" w:gutter="0"/>
          <w:cols w:space="720" w:num="1"/>
        </w:sectPr>
      </w:pPr>
    </w:p>
    <w:p w14:paraId="34766619">
      <w:pPr>
        <w:spacing w:line="99" w:lineRule="exact"/>
      </w:pPr>
      <w:r>
        <w:pict>
          <v:shape id="_x0000_s1055" o:spid="_x0000_s1055" style="position:absolute;left:0pt;margin-left:518.15pt;margin-top:77.5pt;height:666.3pt;width:0.5pt;mso-position-horizontal-relative:page;mso-position-vertical-relative:page;z-index:251692032;mso-width-relative:page;mso-height-relative:page;" filled="f" stroked="t" coordsize="10,13325" o:allowincell="f" path="m4,0l4,13325e">
            <v:fill on="f" focussize="0,0"/>
            <v:stroke weight="0.48pt" color="#000000" miterlimit="2" joinstyle="bevel"/>
            <v:imagedata o:title=""/>
            <o:lock v:ext="edit"/>
          </v:shape>
        </w:pict>
      </w:r>
    </w:p>
    <w:tbl>
      <w:tblPr>
        <w:tblStyle w:val="5"/>
        <w:tblW w:w="90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2"/>
        <w:gridCol w:w="426"/>
        <w:gridCol w:w="478"/>
        <w:gridCol w:w="688"/>
        <w:gridCol w:w="6117"/>
        <w:gridCol w:w="549"/>
      </w:tblGrid>
      <w:tr w14:paraId="65680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6" w:hRule="atLeast"/>
        </w:trPr>
        <w:tc>
          <w:tcPr>
            <w:tcW w:w="802" w:type="dxa"/>
            <w:vMerge w:val="restart"/>
            <w:tcBorders>
              <w:top w:val="single" w:color="000000" w:sz="6" w:space="0"/>
              <w:left w:val="single" w:color="000000" w:sz="6" w:space="0"/>
              <w:bottom w:val="nil"/>
            </w:tcBorders>
            <w:vAlign w:val="top"/>
          </w:tcPr>
          <w:p w14:paraId="249D648E">
            <w:pPr>
              <w:rPr>
                <w:rFonts w:ascii="Arial"/>
                <w:sz w:val="21"/>
              </w:rPr>
            </w:pPr>
            <w:r>
              <w:pict>
                <v:shape id="_x0000_s1056" o:spid="_x0000_s1056" style="position:absolute;left:0pt;margin-left:33.95pt;margin-top:0.95pt;height:666.85pt;width:0.5pt;mso-position-horizontal-relative:page;mso-position-vertical-relative:page;z-index:251691008;mso-width-relative:page;mso-height-relative:page;" filled="f" stroked="t" coordsize="10,13336" path="m4,0l4,13336e">
                  <v:fill on="f" focussize="0,0"/>
                  <v:stroke weight="0.48pt" color="#000000" miterlimit="2" joinstyle="bevel"/>
                  <v:imagedata o:title=""/>
                  <o:lock v:ext="edit"/>
                </v:shape>
              </w:pict>
            </w:r>
          </w:p>
        </w:tc>
        <w:tc>
          <w:tcPr>
            <w:tcW w:w="426" w:type="dxa"/>
            <w:tcBorders>
              <w:top w:val="single" w:color="000000" w:sz="6" w:space="0"/>
            </w:tcBorders>
            <w:vAlign w:val="top"/>
          </w:tcPr>
          <w:p w14:paraId="5C10738E">
            <w:pPr>
              <w:rPr>
                <w:rFonts w:ascii="Arial"/>
                <w:sz w:val="21"/>
              </w:rPr>
            </w:pPr>
          </w:p>
        </w:tc>
        <w:tc>
          <w:tcPr>
            <w:tcW w:w="1166" w:type="dxa"/>
            <w:gridSpan w:val="2"/>
            <w:tcBorders>
              <w:top w:val="single" w:color="000000" w:sz="6" w:space="0"/>
            </w:tcBorders>
            <w:vAlign w:val="top"/>
          </w:tcPr>
          <w:p w14:paraId="4AF4D4D4">
            <w:pPr>
              <w:spacing w:line="245" w:lineRule="auto"/>
              <w:rPr>
                <w:rFonts w:ascii="Arial"/>
                <w:sz w:val="21"/>
              </w:rPr>
            </w:pPr>
          </w:p>
          <w:p w14:paraId="1E951663">
            <w:pPr>
              <w:spacing w:line="245" w:lineRule="auto"/>
              <w:rPr>
                <w:rFonts w:ascii="Arial"/>
                <w:sz w:val="21"/>
              </w:rPr>
            </w:pPr>
          </w:p>
          <w:p w14:paraId="156F2D61">
            <w:pPr>
              <w:spacing w:line="245" w:lineRule="auto"/>
              <w:rPr>
                <w:rFonts w:ascii="Arial"/>
                <w:sz w:val="21"/>
              </w:rPr>
            </w:pPr>
          </w:p>
          <w:p w14:paraId="69240884">
            <w:pPr>
              <w:spacing w:line="246" w:lineRule="auto"/>
              <w:rPr>
                <w:rFonts w:ascii="Arial"/>
                <w:sz w:val="21"/>
              </w:rPr>
            </w:pPr>
          </w:p>
          <w:p w14:paraId="478DAFA7">
            <w:pPr>
              <w:spacing w:line="246" w:lineRule="auto"/>
              <w:rPr>
                <w:rFonts w:ascii="Arial"/>
                <w:sz w:val="21"/>
              </w:rPr>
            </w:pPr>
          </w:p>
          <w:p w14:paraId="5F47AE05">
            <w:pPr>
              <w:spacing w:line="246" w:lineRule="auto"/>
              <w:rPr>
                <w:rFonts w:ascii="Arial"/>
                <w:sz w:val="21"/>
              </w:rPr>
            </w:pPr>
          </w:p>
          <w:p w14:paraId="12CFBF02">
            <w:pPr>
              <w:spacing w:line="246" w:lineRule="auto"/>
              <w:rPr>
                <w:rFonts w:ascii="Arial"/>
                <w:sz w:val="21"/>
              </w:rPr>
            </w:pPr>
          </w:p>
          <w:p w14:paraId="3FBEF47D">
            <w:pPr>
              <w:spacing w:line="246" w:lineRule="auto"/>
              <w:rPr>
                <w:rFonts w:ascii="Arial"/>
                <w:sz w:val="21"/>
              </w:rPr>
            </w:pPr>
          </w:p>
          <w:p w14:paraId="68B253D7">
            <w:pPr>
              <w:spacing w:line="246" w:lineRule="auto"/>
              <w:rPr>
                <w:rFonts w:ascii="Arial"/>
                <w:sz w:val="21"/>
              </w:rPr>
            </w:pPr>
          </w:p>
          <w:p w14:paraId="44D0B029">
            <w:pPr>
              <w:spacing w:line="246" w:lineRule="auto"/>
              <w:rPr>
                <w:rFonts w:ascii="Arial"/>
                <w:sz w:val="21"/>
              </w:rPr>
            </w:pPr>
          </w:p>
          <w:p w14:paraId="19581186">
            <w:pPr>
              <w:spacing w:line="246" w:lineRule="auto"/>
              <w:rPr>
                <w:rFonts w:ascii="Arial"/>
                <w:sz w:val="21"/>
              </w:rPr>
            </w:pPr>
          </w:p>
          <w:p w14:paraId="25DDA121">
            <w:pPr>
              <w:spacing w:line="246" w:lineRule="auto"/>
              <w:rPr>
                <w:rFonts w:ascii="Arial"/>
                <w:sz w:val="21"/>
              </w:rPr>
            </w:pPr>
          </w:p>
          <w:p w14:paraId="5A31846C">
            <w:pPr>
              <w:pStyle w:val="6"/>
              <w:spacing w:before="65" w:line="229" w:lineRule="auto"/>
              <w:ind w:left="272"/>
              <w:rPr>
                <w:sz w:val="20"/>
                <w:szCs w:val="20"/>
              </w:rPr>
            </w:pPr>
            <w:r>
              <w:rPr>
                <w:spacing w:val="6"/>
                <w:sz w:val="20"/>
                <w:szCs w:val="20"/>
              </w:rPr>
              <w:t>升压站</w:t>
            </w:r>
          </w:p>
        </w:tc>
        <w:tc>
          <w:tcPr>
            <w:tcW w:w="6117" w:type="dxa"/>
            <w:tcBorders>
              <w:top w:val="single" w:color="000000" w:sz="6" w:space="0"/>
            </w:tcBorders>
            <w:vAlign w:val="top"/>
          </w:tcPr>
          <w:p w14:paraId="703EBD72">
            <w:pPr>
              <w:pStyle w:val="6"/>
              <w:spacing w:before="36" w:line="239" w:lineRule="auto"/>
              <w:ind w:left="116" w:right="28" w:firstLine="412"/>
              <w:rPr>
                <w:sz w:val="20"/>
                <w:szCs w:val="20"/>
              </w:rPr>
            </w:pPr>
            <w:r>
              <w:rPr>
                <w:spacing w:val="9"/>
                <w:sz w:val="20"/>
                <w:szCs w:val="20"/>
              </w:rPr>
              <w:t>场址中东部平缓山包新建</w:t>
            </w:r>
            <w:r>
              <w:rPr>
                <w:spacing w:val="-3"/>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16"/>
                <w:w w:val="101"/>
                <w:sz w:val="20"/>
                <w:szCs w:val="20"/>
              </w:rPr>
              <w:t xml:space="preserve"> </w:t>
            </w:r>
            <w:r>
              <w:rPr>
                <w:spacing w:val="9"/>
                <w:sz w:val="20"/>
                <w:szCs w:val="20"/>
              </w:rPr>
              <w:t>座户外布置的</w:t>
            </w:r>
            <w:r>
              <w:rPr>
                <w:rFonts w:ascii="Times New Roman" w:hAnsi="Times New Roman" w:eastAsia="Times New Roman" w:cs="Times New Roman"/>
                <w:spacing w:val="9"/>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17"/>
                <w:w w:val="101"/>
                <w:sz w:val="20"/>
                <w:szCs w:val="20"/>
              </w:rPr>
              <w:t xml:space="preserve"> </w:t>
            </w:r>
            <w:r>
              <w:rPr>
                <w:spacing w:val="9"/>
                <w:sz w:val="20"/>
                <w:szCs w:val="20"/>
              </w:rPr>
              <w:t>升压站，</w:t>
            </w:r>
            <w:r>
              <w:rPr>
                <w:spacing w:val="-57"/>
                <w:sz w:val="20"/>
                <w:szCs w:val="20"/>
              </w:rPr>
              <w:t xml:space="preserve"> </w:t>
            </w:r>
            <w:r>
              <w:rPr>
                <w:spacing w:val="9"/>
                <w:sz w:val="20"/>
                <w:szCs w:val="20"/>
              </w:rPr>
              <w:t>以</w:t>
            </w:r>
            <w:r>
              <w:rPr>
                <w:sz w:val="20"/>
                <w:szCs w:val="20"/>
              </w:rPr>
              <w:t xml:space="preserve"> </w:t>
            </w:r>
            <w:r>
              <w:rPr>
                <w:spacing w:val="7"/>
                <w:sz w:val="20"/>
                <w:szCs w:val="20"/>
              </w:rPr>
              <w:t>下内容均为本期建设：</w:t>
            </w:r>
          </w:p>
          <w:p w14:paraId="45D7A1CA">
            <w:pPr>
              <w:pStyle w:val="6"/>
              <w:spacing w:before="25" w:line="246" w:lineRule="auto"/>
              <w:ind w:left="110" w:right="28" w:firstLine="419"/>
              <w:rPr>
                <w:sz w:val="20"/>
                <w:szCs w:val="20"/>
              </w:rPr>
            </w:pPr>
            <w:r>
              <w:rPr>
                <w:spacing w:val="6"/>
                <w:sz w:val="20"/>
                <w:szCs w:val="20"/>
              </w:rPr>
              <w:t>①升压站占地面积</w:t>
            </w:r>
            <w:r>
              <w:rPr>
                <w:spacing w:val="-19"/>
                <w:sz w:val="20"/>
                <w:szCs w:val="20"/>
              </w:rPr>
              <w:t xml:space="preserve"> </w:t>
            </w:r>
            <w:r>
              <w:rPr>
                <w:rFonts w:ascii="Times New Roman" w:hAnsi="Times New Roman" w:eastAsia="Times New Roman" w:cs="Times New Roman"/>
                <w:spacing w:val="6"/>
                <w:sz w:val="20"/>
                <w:szCs w:val="20"/>
              </w:rPr>
              <w:t>1.3888</w:t>
            </w:r>
            <w:r>
              <w:rPr>
                <w:rFonts w:ascii="Times New Roman" w:hAnsi="Times New Roman" w:eastAsia="Times New Roman" w:cs="Times New Roman"/>
                <w:sz w:val="20"/>
                <w:szCs w:val="20"/>
              </w:rPr>
              <w:t>hm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6"/>
                <w:position w:val="6"/>
                <w:sz w:val="13"/>
                <w:szCs w:val="13"/>
              </w:rPr>
              <w:t xml:space="preserve"> </w:t>
            </w:r>
            <w:r>
              <w:rPr>
                <w:spacing w:val="6"/>
                <w:sz w:val="20"/>
                <w:szCs w:val="20"/>
              </w:rPr>
              <w:t>，升压站大门布置在场地北侧，</w:t>
            </w:r>
            <w:r>
              <w:rPr>
                <w:sz w:val="20"/>
                <w:szCs w:val="20"/>
              </w:rPr>
              <w:t xml:space="preserve"> </w:t>
            </w:r>
            <w:r>
              <w:rPr>
                <w:spacing w:val="6"/>
                <w:sz w:val="20"/>
                <w:szCs w:val="20"/>
              </w:rPr>
              <w:t>站内道路为</w:t>
            </w:r>
            <w:r>
              <w:rPr>
                <w:spacing w:val="-26"/>
                <w:sz w:val="20"/>
                <w:szCs w:val="20"/>
              </w:rPr>
              <w:t xml:space="preserve"> </w:t>
            </w:r>
            <w:r>
              <w:rPr>
                <w:rFonts w:ascii="Times New Roman" w:hAnsi="Times New Roman" w:eastAsia="Times New Roman" w:cs="Times New Roman"/>
                <w:spacing w:val="6"/>
                <w:sz w:val="20"/>
                <w:szCs w:val="20"/>
              </w:rPr>
              <w:t xml:space="preserve">4.5m  </w:t>
            </w:r>
            <w:r>
              <w:rPr>
                <w:spacing w:val="6"/>
                <w:sz w:val="20"/>
                <w:szCs w:val="20"/>
              </w:rPr>
              <w:t>宽混凝土路面，在站内形成环形通道，满足消防</w:t>
            </w:r>
            <w:r>
              <w:rPr>
                <w:sz w:val="20"/>
                <w:szCs w:val="20"/>
              </w:rPr>
              <w:t xml:space="preserve"> </w:t>
            </w:r>
            <w:r>
              <w:rPr>
                <w:spacing w:val="13"/>
                <w:sz w:val="20"/>
                <w:szCs w:val="20"/>
              </w:rPr>
              <w:t>要求。升压站北侧布置综合楼、辅助用房及危废间，中部布置主</w:t>
            </w:r>
            <w:r>
              <w:rPr>
                <w:spacing w:val="7"/>
                <w:sz w:val="20"/>
                <w:szCs w:val="20"/>
              </w:rPr>
              <w:t xml:space="preserve"> </w:t>
            </w:r>
            <w:r>
              <w:rPr>
                <w:spacing w:val="8"/>
                <w:sz w:val="20"/>
                <w:szCs w:val="20"/>
              </w:rPr>
              <w:t>变一台、事故油池一座、主控及</w:t>
            </w:r>
            <w:r>
              <w:rPr>
                <w:spacing w:val="-32"/>
                <w:sz w:val="20"/>
                <w:szCs w:val="20"/>
              </w:rPr>
              <w:t xml:space="preserve"> </w:t>
            </w:r>
            <w:r>
              <w:rPr>
                <w:rFonts w:ascii="Times New Roman" w:hAnsi="Times New Roman" w:eastAsia="Times New Roman" w:cs="Times New Roman"/>
                <w:spacing w:val="8"/>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8"/>
                <w:sz w:val="20"/>
                <w:szCs w:val="20"/>
              </w:rPr>
              <w:t xml:space="preserve"> </w:t>
            </w:r>
            <w:r>
              <w:rPr>
                <w:spacing w:val="8"/>
                <w:sz w:val="20"/>
                <w:szCs w:val="20"/>
              </w:rPr>
              <w:t>配电室。</w:t>
            </w:r>
          </w:p>
          <w:p w14:paraId="7214B3C6">
            <w:pPr>
              <w:pStyle w:val="6"/>
              <w:spacing w:before="26" w:line="244" w:lineRule="auto"/>
              <w:ind w:left="111" w:right="29" w:firstLine="417"/>
              <w:rPr>
                <w:sz w:val="20"/>
                <w:szCs w:val="20"/>
              </w:rPr>
            </w:pPr>
            <w:r>
              <w:rPr>
                <w:spacing w:val="7"/>
                <w:sz w:val="20"/>
                <w:szCs w:val="20"/>
              </w:rPr>
              <w:t>②新建</w:t>
            </w:r>
            <w:r>
              <w:rPr>
                <w:spacing w:val="-18"/>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33"/>
                <w:w w:val="101"/>
                <w:sz w:val="20"/>
                <w:szCs w:val="20"/>
              </w:rPr>
              <w:t xml:space="preserve"> </w:t>
            </w:r>
            <w:r>
              <w:rPr>
                <w:spacing w:val="7"/>
                <w:sz w:val="20"/>
                <w:szCs w:val="20"/>
              </w:rPr>
              <w:t>台容量为</w:t>
            </w:r>
            <w:r>
              <w:rPr>
                <w:spacing w:val="-16"/>
                <w:sz w:val="20"/>
                <w:szCs w:val="20"/>
              </w:rPr>
              <w:t xml:space="preserve"> </w:t>
            </w:r>
            <w:r>
              <w:rPr>
                <w:rFonts w:ascii="Times New Roman" w:hAnsi="Times New Roman" w:eastAsia="Times New Roman" w:cs="Times New Roman"/>
                <w:spacing w:val="7"/>
                <w:sz w:val="20"/>
                <w:szCs w:val="20"/>
              </w:rPr>
              <w:t>180</w:t>
            </w:r>
            <w:r>
              <w:rPr>
                <w:rFonts w:ascii="Times New Roman" w:hAnsi="Times New Roman" w:eastAsia="Times New Roman" w:cs="Times New Roman"/>
                <w:sz w:val="20"/>
                <w:szCs w:val="20"/>
              </w:rPr>
              <w:t>MVA</w:t>
            </w:r>
            <w:r>
              <w:rPr>
                <w:rFonts w:ascii="Times New Roman" w:hAnsi="Times New Roman" w:eastAsia="Times New Roman" w:cs="Times New Roman"/>
                <w:spacing w:val="35"/>
                <w:w w:val="101"/>
                <w:sz w:val="20"/>
                <w:szCs w:val="20"/>
              </w:rPr>
              <w:t xml:space="preserve"> </w:t>
            </w:r>
            <w:r>
              <w:rPr>
                <w:spacing w:val="7"/>
                <w:sz w:val="20"/>
                <w:szCs w:val="20"/>
              </w:rPr>
              <w:t>的主变压器，设</w:t>
            </w:r>
            <w:r>
              <w:rPr>
                <w:spacing w:val="-34"/>
                <w:sz w:val="20"/>
                <w:szCs w:val="20"/>
              </w:rPr>
              <w:t xml:space="preserve"> </w:t>
            </w:r>
            <w:r>
              <w:rPr>
                <w:rFonts w:ascii="Times New Roman" w:hAnsi="Times New Roman" w:eastAsia="Times New Roman" w:cs="Times New Roman"/>
                <w:spacing w:val="7"/>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9"/>
                <w:w w:val="101"/>
                <w:sz w:val="20"/>
                <w:szCs w:val="20"/>
              </w:rPr>
              <w:t xml:space="preserve"> </w:t>
            </w:r>
            <w:r>
              <w:rPr>
                <w:spacing w:val="7"/>
                <w:sz w:val="20"/>
                <w:szCs w:val="20"/>
              </w:rPr>
              <w:t>和</w:t>
            </w:r>
            <w:r>
              <w:rPr>
                <w:spacing w:val="-39"/>
                <w:sz w:val="20"/>
                <w:szCs w:val="20"/>
              </w:rPr>
              <w:t xml:space="preserve"> </w:t>
            </w: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 xml:space="preserve">kV </w:t>
            </w:r>
            <w:r>
              <w:rPr>
                <w:spacing w:val="14"/>
                <w:sz w:val="20"/>
                <w:szCs w:val="20"/>
              </w:rPr>
              <w:t>两个电压等级，</w:t>
            </w:r>
            <w:r>
              <w:rPr>
                <w:rFonts w:ascii="Times New Roman" w:hAnsi="Times New Roman" w:eastAsia="Times New Roman" w:cs="Times New Roman"/>
                <w:spacing w:val="14"/>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14"/>
                <w:sz w:val="20"/>
                <w:szCs w:val="20"/>
              </w:rPr>
              <w:t xml:space="preserve"> </w:t>
            </w:r>
            <w:r>
              <w:rPr>
                <w:spacing w:val="14"/>
                <w:sz w:val="20"/>
                <w:szCs w:val="20"/>
              </w:rPr>
              <w:t>侧采用单母线分段接线，本期光伏进线</w:t>
            </w:r>
            <w:r>
              <w:rPr>
                <w:spacing w:val="-31"/>
                <w:sz w:val="20"/>
                <w:szCs w:val="20"/>
              </w:rPr>
              <w:t xml:space="preserve"> </w:t>
            </w:r>
            <w:r>
              <w:rPr>
                <w:rFonts w:ascii="Times New Roman" w:hAnsi="Times New Roman" w:eastAsia="Times New Roman" w:cs="Times New Roman"/>
                <w:spacing w:val="14"/>
                <w:sz w:val="20"/>
                <w:szCs w:val="20"/>
              </w:rPr>
              <w:t>4</w:t>
            </w:r>
            <w:r>
              <w:rPr>
                <w:rFonts w:ascii="Times New Roman" w:hAnsi="Times New Roman" w:eastAsia="Times New Roman" w:cs="Times New Roman"/>
                <w:sz w:val="20"/>
                <w:szCs w:val="20"/>
              </w:rPr>
              <w:t xml:space="preserve"> </w:t>
            </w:r>
            <w:r>
              <w:rPr>
                <w:sz w:val="20"/>
                <w:szCs w:val="20"/>
              </w:rPr>
              <w:t>回，</w:t>
            </w:r>
          </w:p>
          <w:p w14:paraId="0E3F0417">
            <w:pPr>
              <w:pStyle w:val="6"/>
              <w:spacing w:before="22"/>
              <w:ind w:left="111" w:right="31" w:firstLine="420"/>
              <w:rPr>
                <w:sz w:val="20"/>
                <w:szCs w:val="20"/>
              </w:rPr>
            </w:pPr>
            <w:r>
              <w:rPr>
                <w:spacing w:val="10"/>
                <w:sz w:val="20"/>
                <w:szCs w:val="20"/>
              </w:rPr>
              <w:t>升压站</w:t>
            </w:r>
            <w:r>
              <w:rPr>
                <w:spacing w:val="-39"/>
                <w:sz w:val="20"/>
                <w:szCs w:val="20"/>
              </w:rPr>
              <w:t xml:space="preserve"> </w:t>
            </w:r>
            <w:r>
              <w:rPr>
                <w:rFonts w:ascii="Times New Roman" w:hAnsi="Times New Roman" w:eastAsia="Times New Roman" w:cs="Times New Roman"/>
                <w:spacing w:val="10"/>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32"/>
                <w:sz w:val="20"/>
                <w:szCs w:val="20"/>
              </w:rPr>
              <w:t xml:space="preserve"> </w:t>
            </w:r>
            <w:r>
              <w:rPr>
                <w:spacing w:val="10"/>
                <w:sz w:val="20"/>
                <w:szCs w:val="20"/>
              </w:rPr>
              <w:t>出线由东侧出线，各电气设备之间通过电缆沟</w:t>
            </w:r>
            <w:r>
              <w:rPr>
                <w:sz w:val="20"/>
                <w:szCs w:val="20"/>
              </w:rPr>
              <w:t xml:space="preserve"> </w:t>
            </w:r>
            <w:r>
              <w:rPr>
                <w:spacing w:val="2"/>
                <w:sz w:val="20"/>
                <w:szCs w:val="20"/>
              </w:rPr>
              <w:t>连接。</w:t>
            </w:r>
          </w:p>
          <w:p w14:paraId="297FF239">
            <w:pPr>
              <w:pStyle w:val="6"/>
              <w:spacing w:before="23" w:line="244" w:lineRule="auto"/>
              <w:ind w:left="108" w:right="98" w:firstLine="420"/>
              <w:rPr>
                <w:sz w:val="20"/>
                <w:szCs w:val="20"/>
              </w:rPr>
            </w:pPr>
            <w:r>
              <w:rPr>
                <w:spacing w:val="6"/>
                <w:sz w:val="20"/>
                <w:szCs w:val="20"/>
              </w:rPr>
              <w:t>③</w:t>
            </w: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侧采用单母线分段接线，</w:t>
            </w:r>
            <w:r>
              <w:rPr>
                <w:rFonts w:ascii="Times New Roman" w:hAnsi="Times New Roman" w:eastAsia="Times New Roman" w:cs="Times New Roman"/>
                <w:sz w:val="20"/>
                <w:szCs w:val="20"/>
              </w:rPr>
              <w:t>GIS</w:t>
            </w:r>
            <w:r>
              <w:rPr>
                <w:rFonts w:ascii="Times New Roman" w:hAnsi="Times New Roman" w:eastAsia="Times New Roman" w:cs="Times New Roman"/>
                <w:spacing w:val="6"/>
                <w:sz w:val="20"/>
                <w:szCs w:val="20"/>
              </w:rPr>
              <w:t xml:space="preserve"> </w:t>
            </w:r>
            <w:r>
              <w:rPr>
                <w:spacing w:val="6"/>
                <w:sz w:val="20"/>
                <w:szCs w:val="20"/>
              </w:rPr>
              <w:t>户外布置；</w:t>
            </w:r>
            <w:r>
              <w:rPr>
                <w:spacing w:val="5"/>
                <w:sz w:val="20"/>
                <w:szCs w:val="20"/>
              </w:rPr>
              <w:t>主变</w:t>
            </w:r>
            <w:r>
              <w:rPr>
                <w:spacing w:val="-36"/>
                <w:sz w:val="20"/>
                <w:szCs w:val="20"/>
              </w:rPr>
              <w:t xml:space="preserve"> </w:t>
            </w: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 xml:space="preserve">kV </w:t>
            </w:r>
            <w:r>
              <w:rPr>
                <w:spacing w:val="9"/>
                <w:sz w:val="20"/>
                <w:szCs w:val="20"/>
              </w:rPr>
              <w:t xml:space="preserve">侧采用扩大单元接线方式，安装 </w:t>
            </w:r>
            <w:r>
              <w:rPr>
                <w:rFonts w:ascii="Times New Roman" w:hAnsi="Times New Roman" w:eastAsia="Times New Roman" w:cs="Times New Roman"/>
                <w:spacing w:val="9"/>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9"/>
                <w:sz w:val="20"/>
                <w:szCs w:val="20"/>
              </w:rPr>
              <w:t xml:space="preserve">  </w:t>
            </w:r>
            <w:r>
              <w:rPr>
                <w:spacing w:val="8"/>
                <w:sz w:val="20"/>
                <w:szCs w:val="20"/>
              </w:rPr>
              <w:t>开关柜、站用变、无功补</w:t>
            </w:r>
            <w:r>
              <w:rPr>
                <w:sz w:val="20"/>
                <w:szCs w:val="20"/>
              </w:rPr>
              <w:t xml:space="preserve"> </w:t>
            </w:r>
            <w:r>
              <w:rPr>
                <w:spacing w:val="6"/>
                <w:sz w:val="20"/>
                <w:szCs w:val="20"/>
              </w:rPr>
              <w:t>偿等设备。</w:t>
            </w:r>
          </w:p>
          <w:p w14:paraId="7C42C20A">
            <w:pPr>
              <w:pStyle w:val="6"/>
              <w:spacing w:before="25" w:line="245" w:lineRule="auto"/>
              <w:ind w:left="109" w:right="46" w:firstLine="419"/>
              <w:rPr>
                <w:sz w:val="20"/>
                <w:szCs w:val="20"/>
              </w:rPr>
            </w:pPr>
            <w:r>
              <w:rPr>
                <w:spacing w:val="6"/>
                <w:sz w:val="20"/>
                <w:szCs w:val="20"/>
              </w:rPr>
              <w:t>④</w:t>
            </w: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侧采用扩大单元接线方式。</w:t>
            </w: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配电装置采用户内</w:t>
            </w:r>
            <w:r>
              <w:rPr>
                <w:spacing w:val="18"/>
                <w:sz w:val="20"/>
                <w:szCs w:val="20"/>
              </w:rPr>
              <w:t xml:space="preserve"> </w:t>
            </w:r>
            <w:r>
              <w:rPr>
                <w:spacing w:val="5"/>
                <w:sz w:val="20"/>
                <w:szCs w:val="20"/>
              </w:rPr>
              <w:t>金属铠装移开式高压开关柜，本期工程配置光伏进线开关柜</w:t>
            </w:r>
            <w:r>
              <w:rPr>
                <w:spacing w:val="-44"/>
                <w:sz w:val="20"/>
                <w:szCs w:val="20"/>
              </w:rPr>
              <w:t xml:space="preserve"> </w:t>
            </w:r>
            <w:r>
              <w:rPr>
                <w:rFonts w:ascii="Times New Roman" w:hAnsi="Times New Roman" w:eastAsia="Times New Roman" w:cs="Times New Roman"/>
                <w:spacing w:val="5"/>
                <w:sz w:val="20"/>
                <w:szCs w:val="20"/>
              </w:rPr>
              <w:t xml:space="preserve">4 </w:t>
            </w:r>
            <w:r>
              <w:rPr>
                <w:spacing w:val="5"/>
                <w:sz w:val="20"/>
                <w:szCs w:val="20"/>
              </w:rPr>
              <w:t>面，</w:t>
            </w:r>
            <w:r>
              <w:rPr>
                <w:sz w:val="20"/>
                <w:szCs w:val="20"/>
              </w:rPr>
              <w:t xml:space="preserve"> </w:t>
            </w:r>
            <w:r>
              <w:rPr>
                <w:spacing w:val="8"/>
                <w:sz w:val="20"/>
                <w:szCs w:val="20"/>
              </w:rPr>
              <w:t>储能进线柜</w:t>
            </w:r>
            <w:r>
              <w:rPr>
                <w:spacing w:val="-23"/>
                <w:sz w:val="20"/>
                <w:szCs w:val="20"/>
              </w:rPr>
              <w:t xml:space="preserve"> </w:t>
            </w:r>
            <w:r>
              <w:rPr>
                <w:rFonts w:ascii="Times New Roman" w:hAnsi="Times New Roman" w:eastAsia="Times New Roman" w:cs="Times New Roman"/>
                <w:spacing w:val="8"/>
                <w:sz w:val="20"/>
                <w:szCs w:val="20"/>
              </w:rPr>
              <w:t xml:space="preserve">1 </w:t>
            </w:r>
            <w:r>
              <w:rPr>
                <w:spacing w:val="8"/>
                <w:sz w:val="20"/>
                <w:szCs w:val="20"/>
              </w:rPr>
              <w:t>面，无功补偿开关柜</w:t>
            </w:r>
            <w:r>
              <w:rPr>
                <w:spacing w:val="-43"/>
                <w:sz w:val="20"/>
                <w:szCs w:val="20"/>
              </w:rPr>
              <w:t xml:space="preserve"> </w:t>
            </w:r>
            <w:r>
              <w:rPr>
                <w:rFonts w:ascii="Times New Roman" w:hAnsi="Times New Roman" w:eastAsia="Times New Roman" w:cs="Times New Roman"/>
                <w:spacing w:val="8"/>
                <w:sz w:val="20"/>
                <w:szCs w:val="20"/>
              </w:rPr>
              <w:t xml:space="preserve">2 </w:t>
            </w:r>
            <w:r>
              <w:rPr>
                <w:spacing w:val="8"/>
                <w:sz w:val="20"/>
                <w:szCs w:val="20"/>
              </w:rPr>
              <w:t>面，主变进线开关柜</w:t>
            </w:r>
            <w:r>
              <w:rPr>
                <w:spacing w:val="-43"/>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面，</w:t>
            </w:r>
            <w:r>
              <w:rPr>
                <w:sz w:val="20"/>
                <w:szCs w:val="20"/>
              </w:rPr>
              <w:t xml:space="preserve"> </w:t>
            </w:r>
            <w:r>
              <w:rPr>
                <w:spacing w:val="5"/>
                <w:sz w:val="20"/>
                <w:szCs w:val="20"/>
              </w:rPr>
              <w:t>站用变开关柜</w:t>
            </w:r>
            <w:r>
              <w:rPr>
                <w:spacing w:val="-8"/>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面，母线设备柜</w:t>
            </w:r>
            <w:r>
              <w:rPr>
                <w:spacing w:val="-43"/>
                <w:sz w:val="20"/>
                <w:szCs w:val="20"/>
              </w:rPr>
              <w:t xml:space="preserve"> </w:t>
            </w:r>
            <w:r>
              <w:rPr>
                <w:rFonts w:ascii="Times New Roman" w:hAnsi="Times New Roman" w:eastAsia="Times New Roman" w:cs="Times New Roman"/>
                <w:spacing w:val="5"/>
                <w:sz w:val="20"/>
                <w:szCs w:val="20"/>
              </w:rPr>
              <w:t xml:space="preserve">2 </w:t>
            </w:r>
            <w:r>
              <w:rPr>
                <w:spacing w:val="5"/>
                <w:sz w:val="20"/>
                <w:szCs w:val="20"/>
              </w:rPr>
              <w:t>面，共计</w:t>
            </w:r>
            <w:r>
              <w:rPr>
                <w:spacing w:val="-23"/>
                <w:sz w:val="20"/>
                <w:szCs w:val="20"/>
              </w:rPr>
              <w:t xml:space="preserve"> </w:t>
            </w:r>
            <w:r>
              <w:rPr>
                <w:rFonts w:ascii="Times New Roman" w:hAnsi="Times New Roman" w:eastAsia="Times New Roman" w:cs="Times New Roman"/>
                <w:spacing w:val="5"/>
                <w:sz w:val="20"/>
                <w:szCs w:val="20"/>
              </w:rPr>
              <w:t xml:space="preserve">12 </w:t>
            </w:r>
            <w:r>
              <w:rPr>
                <w:spacing w:val="5"/>
                <w:sz w:val="20"/>
                <w:szCs w:val="20"/>
              </w:rPr>
              <w:t>面。</w:t>
            </w:r>
          </w:p>
          <w:p w14:paraId="44D84343">
            <w:pPr>
              <w:pStyle w:val="6"/>
              <w:spacing w:before="29" w:line="243" w:lineRule="auto"/>
              <w:ind w:left="110" w:right="28" w:firstLine="417"/>
              <w:rPr>
                <w:sz w:val="20"/>
                <w:szCs w:val="20"/>
              </w:rPr>
            </w:pPr>
            <w:r>
              <w:rPr>
                <w:spacing w:val="7"/>
                <w:sz w:val="20"/>
                <w:szCs w:val="20"/>
              </w:rPr>
              <w:t>⑤站用电电压为</w:t>
            </w:r>
            <w:r>
              <w:rPr>
                <w:spacing w:val="-33"/>
                <w:sz w:val="20"/>
                <w:szCs w:val="20"/>
              </w:rPr>
              <w:t xml:space="preserve"> </w:t>
            </w:r>
            <w:r>
              <w:rPr>
                <w:rFonts w:ascii="Times New Roman" w:hAnsi="Times New Roman" w:eastAsia="Times New Roman" w:cs="Times New Roman"/>
                <w:spacing w:val="7"/>
                <w:sz w:val="20"/>
                <w:szCs w:val="20"/>
              </w:rPr>
              <w:t>380/220V</w:t>
            </w:r>
            <w:r>
              <w:rPr>
                <w:rFonts w:ascii="Times New Roman" w:hAnsi="Times New Roman" w:eastAsia="Times New Roman" w:cs="Times New Roman"/>
                <w:spacing w:val="-24"/>
                <w:sz w:val="20"/>
                <w:szCs w:val="20"/>
              </w:rPr>
              <w:t xml:space="preserve"> </w:t>
            </w:r>
            <w:r>
              <w:rPr>
                <w:spacing w:val="7"/>
                <w:sz w:val="20"/>
                <w:szCs w:val="20"/>
              </w:rPr>
              <w:t>，为中性点直接接地系统。升压站</w:t>
            </w:r>
            <w:r>
              <w:rPr>
                <w:sz w:val="20"/>
                <w:szCs w:val="20"/>
              </w:rPr>
              <w:t xml:space="preserve"> </w:t>
            </w:r>
            <w:r>
              <w:rPr>
                <w:rFonts w:ascii="Times New Roman" w:hAnsi="Times New Roman" w:eastAsia="Times New Roman" w:cs="Times New Roman"/>
                <w:spacing w:val="10"/>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0"/>
                <w:sz w:val="20"/>
                <w:szCs w:val="20"/>
              </w:rPr>
              <w:t xml:space="preserve">  </w:t>
            </w:r>
            <w:r>
              <w:rPr>
                <w:spacing w:val="10"/>
                <w:sz w:val="20"/>
                <w:szCs w:val="20"/>
              </w:rPr>
              <w:t>侧安装一台</w:t>
            </w:r>
            <w:r>
              <w:rPr>
                <w:spacing w:val="42"/>
                <w:sz w:val="20"/>
                <w:szCs w:val="20"/>
              </w:rPr>
              <w:t xml:space="preserve"> </w:t>
            </w:r>
            <w:r>
              <w:rPr>
                <w:rFonts w:ascii="Times New Roman" w:hAnsi="Times New Roman" w:eastAsia="Times New Roman" w:cs="Times New Roman"/>
                <w:spacing w:val="10"/>
                <w:sz w:val="20"/>
                <w:szCs w:val="20"/>
              </w:rPr>
              <w:t>800</w:t>
            </w:r>
            <w:r>
              <w:rPr>
                <w:rFonts w:ascii="Times New Roman" w:hAnsi="Times New Roman" w:eastAsia="Times New Roman" w:cs="Times New Roman"/>
                <w:sz w:val="20"/>
                <w:szCs w:val="20"/>
              </w:rPr>
              <w:t>kVA</w:t>
            </w:r>
            <w:r>
              <w:rPr>
                <w:rFonts w:ascii="Times New Roman" w:hAnsi="Times New Roman" w:eastAsia="Times New Roman" w:cs="Times New Roman"/>
                <w:spacing w:val="10"/>
                <w:sz w:val="20"/>
                <w:szCs w:val="20"/>
              </w:rPr>
              <w:t xml:space="preserve"> </w:t>
            </w:r>
            <w:r>
              <w:rPr>
                <w:spacing w:val="10"/>
                <w:sz w:val="20"/>
                <w:szCs w:val="20"/>
              </w:rPr>
              <w:t>站用变压器。另从当地电网引入</w:t>
            </w:r>
            <w:r>
              <w:rPr>
                <w:spacing w:val="-15"/>
                <w:sz w:val="20"/>
                <w:szCs w:val="20"/>
              </w:rPr>
              <w:t xml:space="preserve"> </w:t>
            </w:r>
            <w:r>
              <w:rPr>
                <w:rFonts w:ascii="Times New Roman" w:hAnsi="Times New Roman" w:eastAsia="Times New Roman" w:cs="Times New Roman"/>
                <w:spacing w:val="10"/>
                <w:sz w:val="20"/>
                <w:szCs w:val="20"/>
              </w:rPr>
              <w:t>1</w:t>
            </w:r>
            <w:r>
              <w:rPr>
                <w:rFonts w:ascii="Times New Roman" w:hAnsi="Times New Roman" w:eastAsia="Times New Roman" w:cs="Times New Roman"/>
                <w:spacing w:val="21"/>
                <w:sz w:val="20"/>
                <w:szCs w:val="20"/>
              </w:rPr>
              <w:t xml:space="preserve"> </w:t>
            </w:r>
            <w:r>
              <w:rPr>
                <w:spacing w:val="10"/>
                <w:sz w:val="20"/>
                <w:szCs w:val="20"/>
              </w:rPr>
              <w:t>路</w:t>
            </w:r>
            <w:r>
              <w:rPr>
                <w:sz w:val="20"/>
                <w:szCs w:val="20"/>
              </w:rPr>
              <w:t xml:space="preserve"> </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kV</w:t>
            </w:r>
            <w:r>
              <w:rPr>
                <w:rFonts w:ascii="Times New Roman" w:hAnsi="Times New Roman" w:eastAsia="Times New Roman" w:cs="Times New Roman"/>
                <w:spacing w:val="30"/>
                <w:w w:val="101"/>
                <w:sz w:val="20"/>
                <w:szCs w:val="20"/>
              </w:rPr>
              <w:t xml:space="preserve"> </w:t>
            </w:r>
            <w:r>
              <w:rPr>
                <w:spacing w:val="7"/>
                <w:sz w:val="20"/>
                <w:szCs w:val="20"/>
              </w:rPr>
              <w:t>外来电源，外来电源采用</w:t>
            </w:r>
            <w:r>
              <w:rPr>
                <w:spacing w:val="-32"/>
                <w:sz w:val="20"/>
                <w:szCs w:val="20"/>
              </w:rPr>
              <w:t xml:space="preserve"> </w:t>
            </w:r>
            <w:r>
              <w:rPr>
                <w:rFonts w:ascii="Times New Roman" w:hAnsi="Times New Roman" w:eastAsia="Times New Roman" w:cs="Times New Roman"/>
                <w:spacing w:val="7"/>
                <w:sz w:val="20"/>
                <w:szCs w:val="20"/>
              </w:rPr>
              <w:t>800</w:t>
            </w:r>
            <w:r>
              <w:rPr>
                <w:rFonts w:ascii="Times New Roman" w:hAnsi="Times New Roman" w:eastAsia="Times New Roman" w:cs="Times New Roman"/>
                <w:sz w:val="20"/>
                <w:szCs w:val="20"/>
              </w:rPr>
              <w:t xml:space="preserve">kVA  </w:t>
            </w:r>
            <w:r>
              <w:rPr>
                <w:spacing w:val="7"/>
                <w:sz w:val="20"/>
                <w:szCs w:val="20"/>
              </w:rPr>
              <w:t>站用变压器降压，安装于</w:t>
            </w:r>
            <w:r>
              <w:rPr>
                <w:sz w:val="20"/>
                <w:szCs w:val="20"/>
              </w:rPr>
              <w:t xml:space="preserve"> </w:t>
            </w:r>
            <w:r>
              <w:rPr>
                <w:spacing w:val="1"/>
                <w:sz w:val="20"/>
                <w:szCs w:val="20"/>
              </w:rPr>
              <w:t>升压站室内，并配有</w:t>
            </w:r>
            <w:r>
              <w:rPr>
                <w:spacing w:val="-22"/>
                <w:sz w:val="20"/>
                <w:szCs w:val="20"/>
              </w:rPr>
              <w:t xml:space="preserve"> </w:t>
            </w: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kV</w:t>
            </w:r>
            <w:r>
              <w:rPr>
                <w:rFonts w:ascii="Times New Roman" w:hAnsi="Times New Roman" w:eastAsia="Times New Roman" w:cs="Times New Roman"/>
                <w:spacing w:val="14"/>
                <w:w w:val="101"/>
                <w:sz w:val="20"/>
                <w:szCs w:val="20"/>
              </w:rPr>
              <w:t xml:space="preserve"> </w:t>
            </w:r>
            <w:r>
              <w:rPr>
                <w:spacing w:val="1"/>
                <w:sz w:val="20"/>
                <w:szCs w:val="20"/>
              </w:rPr>
              <w:t>开关柜及计量柜。两路电源降压为</w:t>
            </w:r>
            <w:r>
              <w:rPr>
                <w:spacing w:val="-40"/>
                <w:sz w:val="20"/>
                <w:szCs w:val="20"/>
              </w:rPr>
              <w:t xml:space="preserve"> </w:t>
            </w:r>
            <w:r>
              <w:rPr>
                <w:rFonts w:ascii="Times New Roman" w:hAnsi="Times New Roman" w:eastAsia="Times New Roman" w:cs="Times New Roman"/>
                <w:spacing w:val="1"/>
                <w:sz w:val="20"/>
                <w:szCs w:val="20"/>
              </w:rPr>
              <w:t>0.4</w:t>
            </w:r>
            <w:r>
              <w:rPr>
                <w:rFonts w:ascii="Times New Roman" w:hAnsi="Times New Roman" w:eastAsia="Times New Roman" w:cs="Times New Roman"/>
                <w:sz w:val="20"/>
                <w:szCs w:val="20"/>
              </w:rPr>
              <w:t xml:space="preserve">kV </w:t>
            </w:r>
            <w:r>
              <w:rPr>
                <w:spacing w:val="8"/>
                <w:sz w:val="20"/>
                <w:szCs w:val="20"/>
              </w:rPr>
              <w:t>后，经自动切换装置接至升压站站用电系统</w:t>
            </w:r>
            <w:r>
              <w:rPr>
                <w:spacing w:val="-30"/>
                <w:sz w:val="20"/>
                <w:szCs w:val="20"/>
              </w:rPr>
              <w:t xml:space="preserve"> </w:t>
            </w:r>
            <w:r>
              <w:rPr>
                <w:rFonts w:ascii="Times New Roman" w:hAnsi="Times New Roman" w:eastAsia="Times New Roman" w:cs="Times New Roman"/>
                <w:spacing w:val="8"/>
                <w:sz w:val="20"/>
                <w:szCs w:val="20"/>
              </w:rPr>
              <w:t>0.4</w:t>
            </w:r>
            <w:r>
              <w:rPr>
                <w:rFonts w:ascii="Times New Roman" w:hAnsi="Times New Roman" w:eastAsia="Times New Roman" w:cs="Times New Roman"/>
                <w:sz w:val="20"/>
                <w:szCs w:val="20"/>
              </w:rPr>
              <w:t>kV</w:t>
            </w:r>
            <w:r>
              <w:rPr>
                <w:rFonts w:ascii="Times New Roman" w:hAnsi="Times New Roman" w:eastAsia="Times New Roman" w:cs="Times New Roman"/>
                <w:spacing w:val="8"/>
                <w:sz w:val="20"/>
                <w:szCs w:val="20"/>
              </w:rPr>
              <w:t xml:space="preserve"> </w:t>
            </w:r>
            <w:r>
              <w:rPr>
                <w:spacing w:val="8"/>
                <w:sz w:val="20"/>
                <w:szCs w:val="20"/>
              </w:rPr>
              <w:t>母线。</w:t>
            </w:r>
          </w:p>
        </w:tc>
        <w:tc>
          <w:tcPr>
            <w:tcW w:w="549" w:type="dxa"/>
            <w:tcBorders>
              <w:top w:val="single" w:color="000000" w:sz="6" w:space="0"/>
              <w:right w:val="single" w:color="000000" w:sz="6" w:space="0"/>
            </w:tcBorders>
            <w:textDirection w:val="tbRlV"/>
            <w:vAlign w:val="top"/>
          </w:tcPr>
          <w:p w14:paraId="6A08AAC3">
            <w:pPr>
              <w:pStyle w:val="6"/>
              <w:spacing w:before="217" w:line="216" w:lineRule="auto"/>
              <w:ind w:left="2895"/>
              <w:rPr>
                <w:sz w:val="20"/>
                <w:szCs w:val="20"/>
              </w:rPr>
            </w:pPr>
            <w:r>
              <w:rPr>
                <w:spacing w:val="8"/>
                <w:sz w:val="20"/>
                <w:szCs w:val="20"/>
              </w:rPr>
              <w:t>新</w:t>
            </w:r>
            <w:r>
              <w:rPr>
                <w:spacing w:val="-38"/>
                <w:sz w:val="20"/>
                <w:szCs w:val="20"/>
              </w:rPr>
              <w:t xml:space="preserve"> </w:t>
            </w:r>
            <w:r>
              <w:rPr>
                <w:spacing w:val="8"/>
                <w:sz w:val="20"/>
                <w:szCs w:val="20"/>
              </w:rPr>
              <w:t>建</w:t>
            </w:r>
          </w:p>
        </w:tc>
      </w:tr>
      <w:tr w14:paraId="39419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802" w:type="dxa"/>
            <w:vMerge w:val="continue"/>
            <w:tcBorders>
              <w:top w:val="nil"/>
              <w:left w:val="single" w:color="000000" w:sz="6" w:space="0"/>
              <w:bottom w:val="nil"/>
            </w:tcBorders>
            <w:vAlign w:val="top"/>
          </w:tcPr>
          <w:p w14:paraId="76A8A19C">
            <w:pPr>
              <w:rPr>
                <w:rFonts w:ascii="Arial"/>
                <w:sz w:val="21"/>
              </w:rPr>
            </w:pPr>
          </w:p>
        </w:tc>
        <w:tc>
          <w:tcPr>
            <w:tcW w:w="426" w:type="dxa"/>
            <w:vMerge w:val="restart"/>
            <w:tcBorders>
              <w:bottom w:val="nil"/>
            </w:tcBorders>
            <w:textDirection w:val="tbRlV"/>
            <w:vAlign w:val="top"/>
          </w:tcPr>
          <w:p w14:paraId="4F46CE58">
            <w:pPr>
              <w:pStyle w:val="6"/>
              <w:spacing w:before="111" w:line="217" w:lineRule="auto"/>
              <w:ind w:left="3015"/>
              <w:rPr>
                <w:sz w:val="20"/>
                <w:szCs w:val="20"/>
              </w:rPr>
            </w:pPr>
            <w:r>
              <w:rPr>
                <w:spacing w:val="8"/>
                <w:sz w:val="20"/>
                <w:szCs w:val="20"/>
              </w:rPr>
              <w:t>辅</w:t>
            </w:r>
            <w:r>
              <w:rPr>
                <w:spacing w:val="-36"/>
                <w:sz w:val="20"/>
                <w:szCs w:val="20"/>
              </w:rPr>
              <w:t xml:space="preserve"> </w:t>
            </w:r>
            <w:r>
              <w:rPr>
                <w:spacing w:val="8"/>
                <w:sz w:val="20"/>
                <w:szCs w:val="20"/>
              </w:rPr>
              <w:t>助</w:t>
            </w:r>
            <w:r>
              <w:rPr>
                <w:spacing w:val="-35"/>
                <w:sz w:val="20"/>
                <w:szCs w:val="20"/>
              </w:rPr>
              <w:t xml:space="preserve"> </w:t>
            </w:r>
            <w:r>
              <w:rPr>
                <w:spacing w:val="8"/>
                <w:sz w:val="20"/>
                <w:szCs w:val="20"/>
              </w:rPr>
              <w:t>工</w:t>
            </w:r>
            <w:r>
              <w:rPr>
                <w:spacing w:val="-38"/>
                <w:sz w:val="20"/>
                <w:szCs w:val="20"/>
              </w:rPr>
              <w:t xml:space="preserve"> </w:t>
            </w:r>
            <w:r>
              <w:rPr>
                <w:spacing w:val="8"/>
                <w:sz w:val="20"/>
                <w:szCs w:val="20"/>
              </w:rPr>
              <w:t>程</w:t>
            </w:r>
          </w:p>
        </w:tc>
        <w:tc>
          <w:tcPr>
            <w:tcW w:w="478" w:type="dxa"/>
            <w:vMerge w:val="restart"/>
            <w:tcBorders>
              <w:bottom w:val="nil"/>
            </w:tcBorders>
            <w:textDirection w:val="tbRlV"/>
            <w:vAlign w:val="top"/>
          </w:tcPr>
          <w:p w14:paraId="27FCC532">
            <w:pPr>
              <w:pStyle w:val="6"/>
              <w:spacing w:before="138" w:line="215" w:lineRule="auto"/>
              <w:ind w:left="589"/>
              <w:rPr>
                <w:sz w:val="20"/>
                <w:szCs w:val="20"/>
              </w:rPr>
            </w:pPr>
            <w:r>
              <w:rPr>
                <w:spacing w:val="8"/>
                <w:sz w:val="20"/>
                <w:szCs w:val="20"/>
              </w:rPr>
              <w:t>光</w:t>
            </w:r>
            <w:r>
              <w:rPr>
                <w:spacing w:val="-37"/>
                <w:sz w:val="20"/>
                <w:szCs w:val="20"/>
              </w:rPr>
              <w:t xml:space="preserve"> </w:t>
            </w:r>
            <w:r>
              <w:rPr>
                <w:spacing w:val="8"/>
                <w:sz w:val="20"/>
                <w:szCs w:val="20"/>
              </w:rPr>
              <w:t>伏</w:t>
            </w:r>
            <w:r>
              <w:rPr>
                <w:spacing w:val="-35"/>
                <w:sz w:val="20"/>
                <w:szCs w:val="20"/>
              </w:rPr>
              <w:t xml:space="preserve"> </w:t>
            </w:r>
            <w:r>
              <w:rPr>
                <w:spacing w:val="8"/>
                <w:sz w:val="20"/>
                <w:szCs w:val="20"/>
              </w:rPr>
              <w:t>区</w:t>
            </w:r>
          </w:p>
        </w:tc>
        <w:tc>
          <w:tcPr>
            <w:tcW w:w="688" w:type="dxa"/>
            <w:vAlign w:val="top"/>
          </w:tcPr>
          <w:p w14:paraId="24472031">
            <w:pPr>
              <w:spacing w:line="247" w:lineRule="auto"/>
              <w:rPr>
                <w:rFonts w:ascii="Arial"/>
                <w:sz w:val="21"/>
              </w:rPr>
            </w:pPr>
          </w:p>
          <w:p w14:paraId="0C3153ED">
            <w:pPr>
              <w:pStyle w:val="6"/>
              <w:spacing w:before="65" w:line="228" w:lineRule="auto"/>
              <w:ind w:left="154"/>
              <w:rPr>
                <w:sz w:val="20"/>
                <w:szCs w:val="20"/>
              </w:rPr>
            </w:pPr>
            <w:r>
              <w:rPr>
                <w:spacing w:val="-5"/>
                <w:sz w:val="20"/>
                <w:szCs w:val="20"/>
              </w:rPr>
              <w:t>围栏</w:t>
            </w:r>
          </w:p>
        </w:tc>
        <w:tc>
          <w:tcPr>
            <w:tcW w:w="6117" w:type="dxa"/>
            <w:vAlign w:val="top"/>
          </w:tcPr>
          <w:p w14:paraId="59D9BD99">
            <w:pPr>
              <w:pStyle w:val="6"/>
              <w:spacing w:before="177" w:line="246" w:lineRule="auto"/>
              <w:ind w:left="110" w:right="98" w:firstLine="1"/>
              <w:rPr>
                <w:sz w:val="20"/>
                <w:szCs w:val="20"/>
              </w:rPr>
            </w:pPr>
            <w:r>
              <w:rPr>
                <w:spacing w:val="5"/>
                <w:sz w:val="20"/>
                <w:szCs w:val="20"/>
              </w:rPr>
              <w:t>光伏场区四周设置高度不低于</w:t>
            </w:r>
            <w:r>
              <w:rPr>
                <w:spacing w:val="-10"/>
                <w:sz w:val="20"/>
                <w:szCs w:val="20"/>
              </w:rPr>
              <w:t xml:space="preserve"> </w:t>
            </w:r>
            <w:r>
              <w:rPr>
                <w:rFonts w:ascii="Times New Roman" w:hAnsi="Times New Roman" w:eastAsia="Times New Roman" w:cs="Times New Roman"/>
                <w:spacing w:val="5"/>
                <w:sz w:val="20"/>
                <w:szCs w:val="20"/>
              </w:rPr>
              <w:t xml:space="preserve">1.8m </w:t>
            </w:r>
            <w:r>
              <w:rPr>
                <w:spacing w:val="5"/>
                <w:sz w:val="20"/>
                <w:szCs w:val="20"/>
              </w:rPr>
              <w:t>包塑钢丝网围栏，围栏总长度</w:t>
            </w:r>
            <w:r>
              <w:rPr>
                <w:sz w:val="20"/>
                <w:szCs w:val="20"/>
              </w:rPr>
              <w:t xml:space="preserve"> </w:t>
            </w:r>
            <w:r>
              <w:rPr>
                <w:rFonts w:ascii="Times New Roman" w:hAnsi="Times New Roman" w:eastAsia="Times New Roman" w:cs="Times New Roman"/>
                <w:spacing w:val="4"/>
                <w:sz w:val="20"/>
                <w:szCs w:val="20"/>
              </w:rPr>
              <w:t>34</w:t>
            </w:r>
            <w:r>
              <w:rPr>
                <w:rFonts w:ascii="Times New Roman" w:hAnsi="Times New Roman" w:eastAsia="Times New Roman" w:cs="Times New Roman"/>
                <w:sz w:val="20"/>
                <w:szCs w:val="20"/>
              </w:rPr>
              <w:t>km</w:t>
            </w:r>
            <w:r>
              <w:rPr>
                <w:spacing w:val="4"/>
                <w:sz w:val="20"/>
                <w:szCs w:val="20"/>
              </w:rPr>
              <w:t>。</w:t>
            </w:r>
          </w:p>
        </w:tc>
        <w:tc>
          <w:tcPr>
            <w:tcW w:w="549" w:type="dxa"/>
            <w:tcBorders>
              <w:right w:val="single" w:color="000000" w:sz="6" w:space="0"/>
            </w:tcBorders>
            <w:textDirection w:val="tbRlV"/>
            <w:vAlign w:val="top"/>
          </w:tcPr>
          <w:p w14:paraId="47C544C3">
            <w:pPr>
              <w:pStyle w:val="6"/>
              <w:spacing w:before="217" w:line="216" w:lineRule="auto"/>
              <w:ind w:left="176"/>
              <w:rPr>
                <w:sz w:val="20"/>
                <w:szCs w:val="20"/>
              </w:rPr>
            </w:pPr>
            <w:r>
              <w:rPr>
                <w:spacing w:val="8"/>
                <w:sz w:val="20"/>
                <w:szCs w:val="20"/>
              </w:rPr>
              <w:t>新</w:t>
            </w:r>
            <w:r>
              <w:rPr>
                <w:spacing w:val="-38"/>
                <w:sz w:val="20"/>
                <w:szCs w:val="20"/>
              </w:rPr>
              <w:t xml:space="preserve"> </w:t>
            </w:r>
            <w:r>
              <w:rPr>
                <w:spacing w:val="8"/>
                <w:sz w:val="20"/>
                <w:szCs w:val="20"/>
              </w:rPr>
              <w:t>建</w:t>
            </w:r>
          </w:p>
        </w:tc>
      </w:tr>
      <w:tr w14:paraId="3668E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02" w:type="dxa"/>
            <w:vMerge w:val="continue"/>
            <w:tcBorders>
              <w:top w:val="nil"/>
              <w:left w:val="single" w:color="000000" w:sz="6" w:space="0"/>
              <w:bottom w:val="nil"/>
            </w:tcBorders>
            <w:vAlign w:val="top"/>
          </w:tcPr>
          <w:p w14:paraId="408CA267">
            <w:pPr>
              <w:rPr>
                <w:rFonts w:ascii="Arial"/>
                <w:sz w:val="21"/>
              </w:rPr>
            </w:pPr>
          </w:p>
        </w:tc>
        <w:tc>
          <w:tcPr>
            <w:tcW w:w="426" w:type="dxa"/>
            <w:vMerge w:val="continue"/>
            <w:tcBorders>
              <w:top w:val="nil"/>
              <w:bottom w:val="nil"/>
            </w:tcBorders>
            <w:textDirection w:val="tbRlV"/>
            <w:vAlign w:val="top"/>
          </w:tcPr>
          <w:p w14:paraId="0563CBB2">
            <w:pPr>
              <w:rPr>
                <w:rFonts w:ascii="Arial"/>
                <w:sz w:val="21"/>
              </w:rPr>
            </w:pPr>
          </w:p>
        </w:tc>
        <w:tc>
          <w:tcPr>
            <w:tcW w:w="478" w:type="dxa"/>
            <w:vMerge w:val="continue"/>
            <w:tcBorders>
              <w:top w:val="nil"/>
            </w:tcBorders>
            <w:textDirection w:val="tbRlV"/>
            <w:vAlign w:val="top"/>
          </w:tcPr>
          <w:p w14:paraId="5C0D570C">
            <w:pPr>
              <w:rPr>
                <w:rFonts w:ascii="Arial"/>
                <w:sz w:val="21"/>
              </w:rPr>
            </w:pPr>
          </w:p>
        </w:tc>
        <w:tc>
          <w:tcPr>
            <w:tcW w:w="688" w:type="dxa"/>
            <w:vAlign w:val="top"/>
          </w:tcPr>
          <w:p w14:paraId="395D26E1">
            <w:pPr>
              <w:spacing w:line="379" w:lineRule="auto"/>
              <w:rPr>
                <w:rFonts w:ascii="Arial"/>
                <w:sz w:val="21"/>
              </w:rPr>
            </w:pPr>
          </w:p>
          <w:p w14:paraId="78C10B7F">
            <w:pPr>
              <w:pStyle w:val="6"/>
              <w:spacing w:before="65" w:line="228" w:lineRule="auto"/>
              <w:ind w:left="135"/>
              <w:rPr>
                <w:sz w:val="20"/>
                <w:szCs w:val="20"/>
              </w:rPr>
            </w:pPr>
            <w:r>
              <w:rPr>
                <w:spacing w:val="5"/>
                <w:sz w:val="20"/>
                <w:szCs w:val="20"/>
              </w:rPr>
              <w:t>道路</w:t>
            </w:r>
          </w:p>
        </w:tc>
        <w:tc>
          <w:tcPr>
            <w:tcW w:w="6117" w:type="dxa"/>
            <w:vAlign w:val="top"/>
          </w:tcPr>
          <w:p w14:paraId="67FE4F26">
            <w:pPr>
              <w:pStyle w:val="6"/>
              <w:spacing w:before="38" w:line="239" w:lineRule="auto"/>
              <w:ind w:left="111" w:right="171" w:firstLine="420"/>
              <w:rPr>
                <w:sz w:val="20"/>
                <w:szCs w:val="20"/>
              </w:rPr>
            </w:pPr>
            <w:r>
              <w:rPr>
                <w:spacing w:val="5"/>
                <w:sz w:val="20"/>
                <w:szCs w:val="20"/>
              </w:rPr>
              <w:t>光伏场区内道路宽度均不小于</w:t>
            </w:r>
            <w:r>
              <w:rPr>
                <w:spacing w:val="-40"/>
                <w:sz w:val="20"/>
                <w:szCs w:val="20"/>
              </w:rPr>
              <w:t xml:space="preserve"> </w:t>
            </w:r>
            <w:r>
              <w:rPr>
                <w:rFonts w:ascii="Times New Roman" w:hAnsi="Times New Roman" w:eastAsia="Times New Roman" w:cs="Times New Roman"/>
                <w:spacing w:val="5"/>
                <w:sz w:val="20"/>
                <w:szCs w:val="20"/>
              </w:rPr>
              <w:t>4.0m</w:t>
            </w:r>
            <w:r>
              <w:rPr>
                <w:rFonts w:ascii="Times New Roman" w:hAnsi="Times New Roman" w:eastAsia="Times New Roman" w:cs="Times New Roman"/>
                <w:spacing w:val="-24"/>
                <w:sz w:val="20"/>
                <w:szCs w:val="20"/>
              </w:rPr>
              <w:t xml:space="preserve"> </w:t>
            </w:r>
            <w:r>
              <w:rPr>
                <w:spacing w:val="5"/>
                <w:sz w:val="20"/>
                <w:szCs w:val="20"/>
              </w:rPr>
              <w:t>，两边路肩均为</w:t>
            </w:r>
            <w:r>
              <w:rPr>
                <w:spacing w:val="-40"/>
                <w:sz w:val="20"/>
                <w:szCs w:val="20"/>
              </w:rPr>
              <w:t xml:space="preserve"> </w:t>
            </w:r>
            <w:r>
              <w:rPr>
                <w:rFonts w:ascii="Times New Roman" w:hAnsi="Times New Roman" w:eastAsia="Times New Roman" w:cs="Times New Roman"/>
                <w:spacing w:val="5"/>
                <w:sz w:val="20"/>
                <w:szCs w:val="20"/>
              </w:rPr>
              <w:t>0.25m</w:t>
            </w:r>
            <w:r>
              <w:rPr>
                <w:spacing w:val="5"/>
                <w:sz w:val="20"/>
                <w:szCs w:val="20"/>
              </w:rPr>
              <w:t>，</w:t>
            </w:r>
            <w:r>
              <w:rPr>
                <w:sz w:val="20"/>
                <w:szCs w:val="20"/>
              </w:rPr>
              <w:t xml:space="preserve"> </w:t>
            </w:r>
            <w:r>
              <w:rPr>
                <w:spacing w:val="7"/>
                <w:sz w:val="20"/>
                <w:szCs w:val="20"/>
              </w:rPr>
              <w:t>转弯半径</w:t>
            </w:r>
            <w:r>
              <w:rPr>
                <w:spacing w:val="-36"/>
                <w:sz w:val="20"/>
                <w:szCs w:val="20"/>
              </w:rPr>
              <w:t xml:space="preserve"> </w:t>
            </w:r>
            <w:r>
              <w:rPr>
                <w:rFonts w:ascii="Times New Roman" w:hAnsi="Times New Roman" w:eastAsia="Times New Roman" w:cs="Times New Roman"/>
                <w:spacing w:val="7"/>
                <w:sz w:val="20"/>
                <w:szCs w:val="20"/>
              </w:rPr>
              <w:t>9m</w:t>
            </w:r>
            <w:r>
              <w:rPr>
                <w:rFonts w:ascii="Times New Roman" w:hAnsi="Times New Roman" w:eastAsia="Times New Roman" w:cs="Times New Roman"/>
                <w:spacing w:val="-27"/>
                <w:sz w:val="20"/>
                <w:szCs w:val="20"/>
              </w:rPr>
              <w:t xml:space="preserve"> </w:t>
            </w:r>
            <w:r>
              <w:rPr>
                <w:spacing w:val="7"/>
                <w:sz w:val="20"/>
                <w:szCs w:val="20"/>
              </w:rPr>
              <w:t>，采用碎石路面，场内道路长</w:t>
            </w:r>
            <w:r>
              <w:rPr>
                <w:spacing w:val="-40"/>
                <w:sz w:val="20"/>
                <w:szCs w:val="20"/>
              </w:rPr>
              <w:t xml:space="preserve"> </w:t>
            </w: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km</w:t>
            </w:r>
            <w:r>
              <w:rPr>
                <w:spacing w:val="6"/>
                <w:sz w:val="20"/>
                <w:szCs w:val="20"/>
              </w:rPr>
              <w:t>。</w:t>
            </w:r>
          </w:p>
          <w:p w14:paraId="7CE394A5">
            <w:pPr>
              <w:pStyle w:val="6"/>
              <w:spacing w:before="28" w:line="230" w:lineRule="auto"/>
              <w:ind w:left="109" w:right="98" w:firstLine="420"/>
              <w:rPr>
                <w:sz w:val="20"/>
                <w:szCs w:val="20"/>
              </w:rPr>
            </w:pPr>
            <w:r>
              <w:rPr>
                <w:spacing w:val="6"/>
                <w:sz w:val="20"/>
                <w:szCs w:val="20"/>
              </w:rPr>
              <w:t>施工期入场道路约</w:t>
            </w:r>
            <w:r>
              <w:rPr>
                <w:spacing w:val="-29"/>
                <w:sz w:val="20"/>
                <w:szCs w:val="20"/>
              </w:rPr>
              <w:t xml:space="preserve"> </w:t>
            </w:r>
            <w:r>
              <w:rPr>
                <w:rFonts w:ascii="Times New Roman" w:hAnsi="Times New Roman" w:eastAsia="Times New Roman" w:cs="Times New Roman"/>
                <w:spacing w:val="6"/>
                <w:sz w:val="20"/>
                <w:szCs w:val="20"/>
              </w:rPr>
              <w:t>22</w:t>
            </w:r>
            <w:r>
              <w:rPr>
                <w:rFonts w:ascii="Times New Roman" w:hAnsi="Times New Roman" w:eastAsia="Times New Roman" w:cs="Times New Roman"/>
                <w:sz w:val="20"/>
                <w:szCs w:val="20"/>
              </w:rPr>
              <w:t>km</w:t>
            </w:r>
            <w:r>
              <w:rPr>
                <w:spacing w:val="6"/>
                <w:sz w:val="20"/>
                <w:szCs w:val="20"/>
              </w:rPr>
              <w:t>，路宽以施工机械能够入场为主，不</w:t>
            </w:r>
            <w:r>
              <w:rPr>
                <w:sz w:val="20"/>
                <w:szCs w:val="20"/>
              </w:rPr>
              <w:t xml:space="preserve"> </w:t>
            </w:r>
            <w:r>
              <w:rPr>
                <w:spacing w:val="3"/>
                <w:sz w:val="20"/>
                <w:szCs w:val="20"/>
              </w:rPr>
              <w:t>超过</w:t>
            </w:r>
            <w:r>
              <w:rPr>
                <w:spacing w:val="-39"/>
                <w:sz w:val="20"/>
                <w:szCs w:val="20"/>
              </w:rPr>
              <w:t xml:space="preserve"> </w:t>
            </w:r>
            <w:r>
              <w:rPr>
                <w:rFonts w:ascii="Times New Roman" w:hAnsi="Times New Roman" w:eastAsia="Times New Roman" w:cs="Times New Roman"/>
                <w:spacing w:val="3"/>
                <w:sz w:val="20"/>
                <w:szCs w:val="20"/>
              </w:rPr>
              <w:t>4m</w:t>
            </w:r>
            <w:r>
              <w:rPr>
                <w:spacing w:val="3"/>
                <w:sz w:val="20"/>
                <w:szCs w:val="20"/>
              </w:rPr>
              <w:t>。</w:t>
            </w:r>
          </w:p>
        </w:tc>
        <w:tc>
          <w:tcPr>
            <w:tcW w:w="549" w:type="dxa"/>
            <w:tcBorders>
              <w:right w:val="single" w:color="000000" w:sz="6" w:space="0"/>
            </w:tcBorders>
            <w:textDirection w:val="tbRlV"/>
            <w:vAlign w:val="top"/>
          </w:tcPr>
          <w:p w14:paraId="0FF1881F">
            <w:pPr>
              <w:pStyle w:val="6"/>
              <w:spacing w:before="217" w:line="216" w:lineRule="auto"/>
              <w:ind w:left="310"/>
              <w:rPr>
                <w:sz w:val="20"/>
                <w:szCs w:val="20"/>
              </w:rPr>
            </w:pPr>
            <w:r>
              <w:rPr>
                <w:spacing w:val="8"/>
                <w:sz w:val="20"/>
                <w:szCs w:val="20"/>
              </w:rPr>
              <w:t>新</w:t>
            </w:r>
            <w:r>
              <w:rPr>
                <w:spacing w:val="-35"/>
                <w:sz w:val="20"/>
                <w:szCs w:val="20"/>
              </w:rPr>
              <w:t xml:space="preserve"> </w:t>
            </w:r>
            <w:r>
              <w:rPr>
                <w:spacing w:val="8"/>
                <w:sz w:val="20"/>
                <w:szCs w:val="20"/>
              </w:rPr>
              <w:t>建</w:t>
            </w:r>
          </w:p>
        </w:tc>
      </w:tr>
      <w:tr w14:paraId="4D55E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802" w:type="dxa"/>
            <w:vMerge w:val="continue"/>
            <w:tcBorders>
              <w:top w:val="nil"/>
              <w:left w:val="single" w:color="000000" w:sz="6" w:space="0"/>
              <w:bottom w:val="nil"/>
            </w:tcBorders>
            <w:vAlign w:val="top"/>
          </w:tcPr>
          <w:p w14:paraId="657275F4">
            <w:pPr>
              <w:rPr>
                <w:rFonts w:ascii="Arial"/>
                <w:sz w:val="21"/>
              </w:rPr>
            </w:pPr>
          </w:p>
        </w:tc>
        <w:tc>
          <w:tcPr>
            <w:tcW w:w="426" w:type="dxa"/>
            <w:vMerge w:val="continue"/>
            <w:tcBorders>
              <w:top w:val="nil"/>
              <w:bottom w:val="nil"/>
            </w:tcBorders>
            <w:textDirection w:val="tbRlV"/>
            <w:vAlign w:val="top"/>
          </w:tcPr>
          <w:p w14:paraId="4AA2B6B7">
            <w:pPr>
              <w:rPr>
                <w:rFonts w:ascii="Arial"/>
                <w:sz w:val="21"/>
              </w:rPr>
            </w:pPr>
          </w:p>
        </w:tc>
        <w:tc>
          <w:tcPr>
            <w:tcW w:w="478" w:type="dxa"/>
            <w:vMerge w:val="restart"/>
            <w:tcBorders>
              <w:bottom w:val="nil"/>
            </w:tcBorders>
            <w:textDirection w:val="tbRlV"/>
            <w:vAlign w:val="top"/>
          </w:tcPr>
          <w:p w14:paraId="0255EE1A">
            <w:pPr>
              <w:pStyle w:val="6"/>
              <w:spacing w:before="138" w:line="216" w:lineRule="auto"/>
              <w:ind w:left="2188"/>
              <w:rPr>
                <w:sz w:val="20"/>
                <w:szCs w:val="20"/>
              </w:rPr>
            </w:pPr>
            <w:r>
              <w:rPr>
                <w:spacing w:val="8"/>
                <w:sz w:val="20"/>
                <w:szCs w:val="20"/>
              </w:rPr>
              <w:t>升</w:t>
            </w:r>
            <w:r>
              <w:rPr>
                <w:spacing w:val="-37"/>
                <w:sz w:val="20"/>
                <w:szCs w:val="20"/>
              </w:rPr>
              <w:t xml:space="preserve"> </w:t>
            </w:r>
            <w:r>
              <w:rPr>
                <w:spacing w:val="8"/>
                <w:sz w:val="20"/>
                <w:szCs w:val="20"/>
              </w:rPr>
              <w:t>压</w:t>
            </w:r>
            <w:r>
              <w:rPr>
                <w:spacing w:val="-35"/>
                <w:sz w:val="20"/>
                <w:szCs w:val="20"/>
              </w:rPr>
              <w:t xml:space="preserve"> </w:t>
            </w:r>
            <w:r>
              <w:rPr>
                <w:spacing w:val="8"/>
                <w:sz w:val="20"/>
                <w:szCs w:val="20"/>
              </w:rPr>
              <w:t>站</w:t>
            </w:r>
          </w:p>
        </w:tc>
        <w:tc>
          <w:tcPr>
            <w:tcW w:w="688" w:type="dxa"/>
            <w:vAlign w:val="top"/>
          </w:tcPr>
          <w:p w14:paraId="042709EE">
            <w:pPr>
              <w:spacing w:before="290" w:line="199"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kV</w:t>
            </w:r>
          </w:p>
          <w:p w14:paraId="51EFD5C0">
            <w:pPr>
              <w:pStyle w:val="6"/>
              <w:spacing w:before="34" w:line="231" w:lineRule="auto"/>
              <w:ind w:left="135"/>
              <w:rPr>
                <w:sz w:val="20"/>
                <w:szCs w:val="20"/>
              </w:rPr>
            </w:pPr>
            <w:r>
              <w:rPr>
                <w:spacing w:val="4"/>
                <w:sz w:val="20"/>
                <w:szCs w:val="20"/>
              </w:rPr>
              <w:t>配电</w:t>
            </w:r>
          </w:p>
          <w:p w14:paraId="22B6F625">
            <w:pPr>
              <w:pStyle w:val="6"/>
              <w:spacing w:before="20" w:line="231" w:lineRule="auto"/>
              <w:ind w:left="139"/>
              <w:rPr>
                <w:sz w:val="20"/>
                <w:szCs w:val="20"/>
              </w:rPr>
            </w:pPr>
            <w:r>
              <w:rPr>
                <w:spacing w:val="3"/>
                <w:sz w:val="20"/>
                <w:szCs w:val="20"/>
              </w:rPr>
              <w:t>室及</w:t>
            </w:r>
          </w:p>
          <w:p w14:paraId="48E68D4A">
            <w:pPr>
              <w:pStyle w:val="6"/>
              <w:spacing w:before="24" w:line="228" w:lineRule="auto"/>
              <w:ind w:left="137"/>
              <w:rPr>
                <w:sz w:val="20"/>
                <w:szCs w:val="20"/>
              </w:rPr>
            </w:pPr>
            <w:r>
              <w:rPr>
                <w:spacing w:val="3"/>
                <w:sz w:val="20"/>
                <w:szCs w:val="20"/>
              </w:rPr>
              <w:t>主控</w:t>
            </w:r>
          </w:p>
          <w:p w14:paraId="03DF705F">
            <w:pPr>
              <w:pStyle w:val="6"/>
              <w:spacing w:before="23" w:line="228" w:lineRule="auto"/>
              <w:ind w:left="240"/>
              <w:rPr>
                <w:sz w:val="20"/>
                <w:szCs w:val="20"/>
              </w:rPr>
            </w:pPr>
            <w:r>
              <w:rPr>
                <w:spacing w:val="1"/>
                <w:sz w:val="20"/>
                <w:szCs w:val="20"/>
              </w:rPr>
              <w:t>楼</w:t>
            </w:r>
          </w:p>
        </w:tc>
        <w:tc>
          <w:tcPr>
            <w:tcW w:w="6117" w:type="dxa"/>
            <w:vAlign w:val="top"/>
          </w:tcPr>
          <w:p w14:paraId="750AD050">
            <w:pPr>
              <w:spacing w:line="328" w:lineRule="auto"/>
              <w:rPr>
                <w:rFonts w:ascii="Arial"/>
                <w:sz w:val="21"/>
              </w:rPr>
            </w:pPr>
          </w:p>
          <w:p w14:paraId="77C68E08">
            <w:pPr>
              <w:pStyle w:val="6"/>
              <w:spacing w:before="65" w:line="227" w:lineRule="auto"/>
              <w:ind w:left="110"/>
              <w:rPr>
                <w:sz w:val="20"/>
                <w:szCs w:val="20"/>
              </w:rPr>
            </w:pPr>
            <w:r>
              <w:rPr>
                <w:rFonts w:ascii="Times New Roman" w:hAnsi="Times New Roman" w:eastAsia="Times New Roman" w:cs="Times New Roman"/>
                <w:spacing w:val="9"/>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9"/>
                <w:sz w:val="20"/>
                <w:szCs w:val="20"/>
              </w:rPr>
              <w:t xml:space="preserve">  </w:t>
            </w:r>
            <w:r>
              <w:rPr>
                <w:spacing w:val="9"/>
                <w:sz w:val="20"/>
                <w:szCs w:val="20"/>
              </w:rPr>
              <w:t>配电室及主控通信楼为地上一层建筑，建筑外轮廓尺寸</w:t>
            </w:r>
          </w:p>
          <w:p w14:paraId="71F7EC7C">
            <w:pPr>
              <w:pStyle w:val="6"/>
              <w:spacing w:before="26" w:line="243" w:lineRule="auto"/>
              <w:ind w:left="112" w:right="98" w:hanging="7"/>
              <w:rPr>
                <w:sz w:val="20"/>
                <w:szCs w:val="20"/>
              </w:rPr>
            </w:pPr>
            <w:r>
              <w:rPr>
                <w:rFonts w:ascii="Times New Roman" w:hAnsi="Times New Roman" w:eastAsia="Times New Roman" w:cs="Times New Roman"/>
                <w:spacing w:val="5"/>
                <w:sz w:val="20"/>
                <w:szCs w:val="20"/>
              </w:rPr>
              <w:t>43.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1m×13.9m</w:t>
            </w:r>
            <w:r>
              <w:rPr>
                <w:rFonts w:ascii="Times New Roman" w:hAnsi="Times New Roman" w:eastAsia="Times New Roman" w:cs="Times New Roman"/>
                <w:spacing w:val="-24"/>
                <w:sz w:val="20"/>
                <w:szCs w:val="20"/>
              </w:rPr>
              <w:t xml:space="preserve"> </w:t>
            </w:r>
            <w:r>
              <w:rPr>
                <w:spacing w:val="5"/>
                <w:sz w:val="20"/>
                <w:szCs w:val="20"/>
              </w:rPr>
              <w:t>，建筑面积约为</w:t>
            </w:r>
            <w:r>
              <w:rPr>
                <w:spacing w:val="-37"/>
                <w:sz w:val="20"/>
                <w:szCs w:val="20"/>
              </w:rPr>
              <w:t xml:space="preserve"> </w:t>
            </w:r>
            <w:r>
              <w:rPr>
                <w:rFonts w:ascii="Times New Roman" w:hAnsi="Times New Roman" w:eastAsia="Times New Roman" w:cs="Times New Roman"/>
                <w:spacing w:val="5"/>
                <w:sz w:val="20"/>
                <w:szCs w:val="20"/>
              </w:rPr>
              <w:t>599.09m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5"/>
                <w:position w:val="6"/>
                <w:sz w:val="13"/>
                <w:szCs w:val="13"/>
              </w:rPr>
              <w:t xml:space="preserve"> </w:t>
            </w:r>
            <w:r>
              <w:rPr>
                <w:spacing w:val="5"/>
                <w:sz w:val="20"/>
                <w:szCs w:val="20"/>
              </w:rPr>
              <w:t>。</w:t>
            </w:r>
            <w:r>
              <w:rPr>
                <w:spacing w:val="4"/>
                <w:sz w:val="20"/>
                <w:szCs w:val="20"/>
              </w:rPr>
              <w:t xml:space="preserve">控制楼布置有 </w:t>
            </w: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4"/>
                <w:sz w:val="20"/>
                <w:szCs w:val="20"/>
              </w:rPr>
              <w:t xml:space="preserve">  </w:t>
            </w:r>
            <w:r>
              <w:rPr>
                <w:spacing w:val="4"/>
                <w:sz w:val="20"/>
                <w:szCs w:val="20"/>
              </w:rPr>
              <w:t>配</w:t>
            </w:r>
            <w:r>
              <w:rPr>
                <w:sz w:val="20"/>
                <w:szCs w:val="20"/>
              </w:rPr>
              <w:t xml:space="preserve"> </w:t>
            </w:r>
            <w:r>
              <w:rPr>
                <w:spacing w:val="6"/>
                <w:sz w:val="20"/>
                <w:szCs w:val="20"/>
              </w:rPr>
              <w:t>电室、主控通信室、蓄电池室等房间，层高</w:t>
            </w:r>
            <w:r>
              <w:rPr>
                <w:spacing w:val="-22"/>
                <w:sz w:val="20"/>
                <w:szCs w:val="20"/>
              </w:rPr>
              <w:t xml:space="preserve"> </w:t>
            </w:r>
            <w:r>
              <w:rPr>
                <w:rFonts w:ascii="Times New Roman" w:hAnsi="Times New Roman" w:eastAsia="Times New Roman" w:cs="Times New Roman"/>
                <w:spacing w:val="6"/>
                <w:sz w:val="20"/>
                <w:szCs w:val="20"/>
              </w:rPr>
              <w:t>5.675m</w:t>
            </w:r>
            <w:r>
              <w:rPr>
                <w:rFonts w:ascii="Times New Roman" w:hAnsi="Times New Roman" w:eastAsia="Times New Roman" w:cs="Times New Roman"/>
                <w:spacing w:val="-20"/>
                <w:sz w:val="20"/>
                <w:szCs w:val="20"/>
              </w:rPr>
              <w:t xml:space="preserve"> </w:t>
            </w:r>
            <w:r>
              <w:rPr>
                <w:spacing w:val="6"/>
                <w:sz w:val="20"/>
                <w:szCs w:val="20"/>
              </w:rPr>
              <w:t>。室内外高差</w:t>
            </w:r>
            <w:r>
              <w:rPr>
                <w:sz w:val="20"/>
                <w:szCs w:val="20"/>
              </w:rPr>
              <w:t xml:space="preserve"> </w:t>
            </w:r>
            <w:r>
              <w:rPr>
                <w:spacing w:val="5"/>
                <w:sz w:val="20"/>
                <w:szCs w:val="20"/>
              </w:rPr>
              <w:t>为</w:t>
            </w:r>
            <w:r>
              <w:rPr>
                <w:spacing w:val="-24"/>
                <w:sz w:val="20"/>
                <w:szCs w:val="20"/>
              </w:rPr>
              <w:t xml:space="preserve"> </w:t>
            </w:r>
            <w:r>
              <w:rPr>
                <w:rFonts w:ascii="Times New Roman" w:hAnsi="Times New Roman" w:eastAsia="Times New Roman" w:cs="Times New Roman"/>
                <w:spacing w:val="5"/>
                <w:sz w:val="20"/>
                <w:szCs w:val="20"/>
              </w:rPr>
              <w:t>0.3m</w:t>
            </w:r>
            <w:r>
              <w:rPr>
                <w:rFonts w:ascii="Times New Roman" w:hAnsi="Times New Roman" w:eastAsia="Times New Roman" w:cs="Times New Roman"/>
                <w:spacing w:val="-24"/>
                <w:sz w:val="20"/>
                <w:szCs w:val="20"/>
              </w:rPr>
              <w:t xml:space="preserve"> </w:t>
            </w:r>
            <w:r>
              <w:rPr>
                <w:spacing w:val="5"/>
                <w:sz w:val="20"/>
                <w:szCs w:val="20"/>
              </w:rPr>
              <w:t>，建筑高度为</w:t>
            </w:r>
            <w:r>
              <w:rPr>
                <w:spacing w:val="-37"/>
                <w:sz w:val="20"/>
                <w:szCs w:val="20"/>
              </w:rPr>
              <w:t xml:space="preserve"> </w:t>
            </w:r>
            <w:r>
              <w:rPr>
                <w:rFonts w:ascii="Times New Roman" w:hAnsi="Times New Roman" w:eastAsia="Times New Roman" w:cs="Times New Roman"/>
                <w:spacing w:val="5"/>
                <w:sz w:val="20"/>
                <w:szCs w:val="20"/>
              </w:rPr>
              <w:t>5.975m</w:t>
            </w:r>
            <w:r>
              <w:rPr>
                <w:spacing w:val="5"/>
                <w:sz w:val="20"/>
                <w:szCs w:val="20"/>
              </w:rPr>
              <w:t>（室外地坪至屋脊结构）。</w:t>
            </w:r>
          </w:p>
        </w:tc>
        <w:tc>
          <w:tcPr>
            <w:tcW w:w="549" w:type="dxa"/>
            <w:tcBorders>
              <w:right w:val="single" w:color="000000" w:sz="6" w:space="0"/>
            </w:tcBorders>
            <w:textDirection w:val="tbRlV"/>
            <w:vAlign w:val="top"/>
          </w:tcPr>
          <w:p w14:paraId="3984C21C">
            <w:pPr>
              <w:pStyle w:val="6"/>
              <w:spacing w:before="217" w:line="216" w:lineRule="auto"/>
              <w:ind w:left="666"/>
              <w:rPr>
                <w:sz w:val="20"/>
                <w:szCs w:val="20"/>
              </w:rPr>
            </w:pPr>
            <w:r>
              <w:rPr>
                <w:spacing w:val="8"/>
                <w:sz w:val="20"/>
                <w:szCs w:val="20"/>
              </w:rPr>
              <w:t>新</w:t>
            </w:r>
            <w:r>
              <w:rPr>
                <w:spacing w:val="-35"/>
                <w:sz w:val="20"/>
                <w:szCs w:val="20"/>
              </w:rPr>
              <w:t xml:space="preserve"> </w:t>
            </w:r>
            <w:r>
              <w:rPr>
                <w:spacing w:val="8"/>
                <w:sz w:val="20"/>
                <w:szCs w:val="20"/>
              </w:rPr>
              <w:t>建</w:t>
            </w:r>
          </w:p>
        </w:tc>
      </w:tr>
      <w:tr w14:paraId="69B53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802" w:type="dxa"/>
            <w:vMerge w:val="continue"/>
            <w:tcBorders>
              <w:top w:val="nil"/>
              <w:left w:val="single" w:color="000000" w:sz="6" w:space="0"/>
              <w:bottom w:val="nil"/>
            </w:tcBorders>
            <w:vAlign w:val="top"/>
          </w:tcPr>
          <w:p w14:paraId="15DDC978">
            <w:pPr>
              <w:rPr>
                <w:rFonts w:ascii="Arial"/>
                <w:sz w:val="21"/>
              </w:rPr>
            </w:pPr>
          </w:p>
        </w:tc>
        <w:tc>
          <w:tcPr>
            <w:tcW w:w="426" w:type="dxa"/>
            <w:vMerge w:val="continue"/>
            <w:tcBorders>
              <w:top w:val="nil"/>
              <w:bottom w:val="nil"/>
            </w:tcBorders>
            <w:textDirection w:val="tbRlV"/>
            <w:vAlign w:val="top"/>
          </w:tcPr>
          <w:p w14:paraId="3A80A88F">
            <w:pPr>
              <w:rPr>
                <w:rFonts w:ascii="Arial"/>
                <w:sz w:val="21"/>
              </w:rPr>
            </w:pPr>
          </w:p>
        </w:tc>
        <w:tc>
          <w:tcPr>
            <w:tcW w:w="478" w:type="dxa"/>
            <w:vMerge w:val="continue"/>
            <w:tcBorders>
              <w:top w:val="nil"/>
              <w:bottom w:val="nil"/>
            </w:tcBorders>
            <w:textDirection w:val="tbRlV"/>
            <w:vAlign w:val="top"/>
          </w:tcPr>
          <w:p w14:paraId="316CC5CC">
            <w:pPr>
              <w:rPr>
                <w:rFonts w:ascii="Arial"/>
                <w:sz w:val="21"/>
              </w:rPr>
            </w:pPr>
          </w:p>
        </w:tc>
        <w:tc>
          <w:tcPr>
            <w:tcW w:w="688" w:type="dxa"/>
            <w:vAlign w:val="top"/>
          </w:tcPr>
          <w:p w14:paraId="5B21F278">
            <w:pPr>
              <w:spacing w:line="327" w:lineRule="auto"/>
              <w:rPr>
                <w:rFonts w:ascii="Arial"/>
                <w:sz w:val="21"/>
              </w:rPr>
            </w:pPr>
          </w:p>
          <w:p w14:paraId="79967080">
            <w:pPr>
              <w:spacing w:line="327" w:lineRule="auto"/>
              <w:rPr>
                <w:rFonts w:ascii="Arial"/>
                <w:sz w:val="21"/>
              </w:rPr>
            </w:pPr>
          </w:p>
          <w:p w14:paraId="0E30B9D5">
            <w:pPr>
              <w:pStyle w:val="6"/>
              <w:spacing w:before="65" w:line="239" w:lineRule="auto"/>
              <w:ind w:left="240" w:right="137" w:hanging="102"/>
              <w:rPr>
                <w:sz w:val="20"/>
                <w:szCs w:val="20"/>
              </w:rPr>
            </w:pPr>
            <w:r>
              <w:rPr>
                <w:spacing w:val="3"/>
                <w:sz w:val="20"/>
                <w:szCs w:val="20"/>
              </w:rPr>
              <w:t>综合</w:t>
            </w:r>
            <w:r>
              <w:rPr>
                <w:sz w:val="20"/>
                <w:szCs w:val="20"/>
              </w:rPr>
              <w:t xml:space="preserve"> </w:t>
            </w:r>
            <w:r>
              <w:rPr>
                <w:spacing w:val="1"/>
                <w:sz w:val="20"/>
                <w:szCs w:val="20"/>
              </w:rPr>
              <w:t>楼</w:t>
            </w:r>
          </w:p>
        </w:tc>
        <w:tc>
          <w:tcPr>
            <w:tcW w:w="6117" w:type="dxa"/>
            <w:vAlign w:val="top"/>
          </w:tcPr>
          <w:p w14:paraId="193F5345">
            <w:pPr>
              <w:pStyle w:val="6"/>
              <w:spacing w:before="180" w:line="247" w:lineRule="auto"/>
              <w:ind w:left="110" w:right="30" w:firstLine="2"/>
              <w:jc w:val="both"/>
              <w:rPr>
                <w:sz w:val="20"/>
                <w:szCs w:val="20"/>
              </w:rPr>
            </w:pPr>
            <w:r>
              <w:rPr>
                <w:spacing w:val="4"/>
                <w:sz w:val="20"/>
                <w:szCs w:val="20"/>
              </w:rPr>
              <w:t>建筑外轮廓尺寸</w:t>
            </w:r>
            <w:r>
              <w:rPr>
                <w:spacing w:val="-39"/>
                <w:sz w:val="20"/>
                <w:szCs w:val="20"/>
              </w:rPr>
              <w:t xml:space="preserve"> </w:t>
            </w:r>
            <w:r>
              <w:rPr>
                <w:rFonts w:ascii="Times New Roman" w:hAnsi="Times New Roman" w:eastAsia="Times New Roman" w:cs="Times New Roman"/>
                <w:spacing w:val="4"/>
                <w:sz w:val="20"/>
                <w:szCs w:val="20"/>
              </w:rPr>
              <w:t>38.6m</w:t>
            </w:r>
            <w:r>
              <w:rPr>
                <w:spacing w:val="4"/>
                <w:sz w:val="20"/>
                <w:szCs w:val="20"/>
              </w:rPr>
              <w:t>×</w:t>
            </w:r>
            <w:r>
              <w:rPr>
                <w:spacing w:val="-76"/>
                <w:sz w:val="20"/>
                <w:szCs w:val="20"/>
              </w:rPr>
              <w:t xml:space="preserve"> </w:t>
            </w:r>
            <w:r>
              <w:rPr>
                <w:rFonts w:ascii="Times New Roman" w:hAnsi="Times New Roman" w:eastAsia="Times New Roman" w:cs="Times New Roman"/>
                <w:spacing w:val="4"/>
                <w:sz w:val="20"/>
                <w:szCs w:val="20"/>
              </w:rPr>
              <w:t>18.3m</w:t>
            </w:r>
            <w:r>
              <w:rPr>
                <w:spacing w:val="4"/>
                <w:sz w:val="20"/>
                <w:szCs w:val="20"/>
              </w:rPr>
              <w:t>，建筑面积</w:t>
            </w:r>
            <w:r>
              <w:rPr>
                <w:spacing w:val="-40"/>
                <w:sz w:val="20"/>
                <w:szCs w:val="20"/>
              </w:rPr>
              <w:t xml:space="preserve"> </w:t>
            </w:r>
            <w:r>
              <w:rPr>
                <w:rFonts w:ascii="Times New Roman" w:hAnsi="Times New Roman" w:eastAsia="Times New Roman" w:cs="Times New Roman"/>
                <w:spacing w:val="4"/>
                <w:sz w:val="20"/>
                <w:szCs w:val="20"/>
              </w:rPr>
              <w:t>2863</w:t>
            </w:r>
            <w:r>
              <w:rPr>
                <w:rFonts w:ascii="Times New Roman" w:hAnsi="Times New Roman" w:eastAsia="Times New Roman" w:cs="Times New Roman"/>
                <w:spacing w:val="3"/>
                <w:sz w:val="20"/>
                <w:szCs w:val="20"/>
              </w:rPr>
              <w:t>.52m</w:t>
            </w:r>
            <w:r>
              <w:rPr>
                <w:rFonts w:ascii="Times New Roman" w:hAnsi="Times New Roman" w:eastAsia="Times New Roman" w:cs="Times New Roman"/>
                <w:spacing w:val="3"/>
                <w:position w:val="6"/>
                <w:sz w:val="13"/>
                <w:szCs w:val="13"/>
              </w:rPr>
              <w:t>2</w:t>
            </w:r>
            <w:r>
              <w:rPr>
                <w:spacing w:val="3"/>
                <w:sz w:val="20"/>
                <w:szCs w:val="20"/>
              </w:rPr>
              <w:t>。位于北侧，</w:t>
            </w:r>
            <w:r>
              <w:rPr>
                <w:sz w:val="20"/>
                <w:szCs w:val="20"/>
              </w:rPr>
              <w:t xml:space="preserve"> </w:t>
            </w:r>
            <w:r>
              <w:rPr>
                <w:spacing w:val="9"/>
                <w:sz w:val="20"/>
                <w:szCs w:val="20"/>
              </w:rPr>
              <w:t xml:space="preserve">为地上四层建筑，综合楼布置有集控中心、工具间、实验室、消  </w:t>
            </w:r>
            <w:r>
              <w:rPr>
                <w:spacing w:val="6"/>
                <w:sz w:val="20"/>
                <w:szCs w:val="20"/>
              </w:rPr>
              <w:t>防控制室、培训室、活动室、办公室、会议室、资料室、</w:t>
            </w:r>
            <w:r>
              <w:rPr>
                <w:spacing w:val="5"/>
                <w:sz w:val="20"/>
                <w:szCs w:val="20"/>
              </w:rPr>
              <w:t>休息室、</w:t>
            </w:r>
            <w:r>
              <w:rPr>
                <w:sz w:val="20"/>
                <w:szCs w:val="20"/>
              </w:rPr>
              <w:t xml:space="preserve"> </w:t>
            </w:r>
            <w:r>
              <w:rPr>
                <w:spacing w:val="5"/>
                <w:sz w:val="20"/>
                <w:szCs w:val="20"/>
              </w:rPr>
              <w:t>餐厅、备餐间、公共卫生间等房间，一</w:t>
            </w:r>
            <w:r>
              <w:rPr>
                <w:rFonts w:ascii="Times New Roman" w:hAnsi="Times New Roman" w:eastAsia="Times New Roman" w:cs="Times New Roman"/>
                <w:spacing w:val="5"/>
                <w:sz w:val="20"/>
                <w:szCs w:val="20"/>
              </w:rPr>
              <w:t>~</w:t>
            </w:r>
            <w:r>
              <w:rPr>
                <w:spacing w:val="5"/>
                <w:sz w:val="20"/>
                <w:szCs w:val="20"/>
              </w:rPr>
              <w:t>二层层高</w:t>
            </w:r>
            <w:r>
              <w:rPr>
                <w:spacing w:val="-26"/>
                <w:sz w:val="20"/>
                <w:szCs w:val="20"/>
              </w:rPr>
              <w:t xml:space="preserve"> </w:t>
            </w:r>
            <w:r>
              <w:rPr>
                <w:rFonts w:ascii="Times New Roman" w:hAnsi="Times New Roman" w:eastAsia="Times New Roman" w:cs="Times New Roman"/>
                <w:spacing w:val="5"/>
                <w:sz w:val="20"/>
                <w:szCs w:val="20"/>
              </w:rPr>
              <w:t>3.9m</w:t>
            </w:r>
            <w:r>
              <w:rPr>
                <w:rFonts w:ascii="Times New Roman" w:hAnsi="Times New Roman" w:eastAsia="Times New Roman" w:cs="Times New Roman"/>
                <w:spacing w:val="-29"/>
                <w:sz w:val="20"/>
                <w:szCs w:val="20"/>
              </w:rPr>
              <w:t xml:space="preserve"> </w:t>
            </w:r>
            <w:r>
              <w:rPr>
                <w:spacing w:val="5"/>
                <w:sz w:val="20"/>
                <w:szCs w:val="20"/>
              </w:rPr>
              <w:t>、三</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3"/>
                <w:sz w:val="20"/>
                <w:szCs w:val="20"/>
              </w:rPr>
              <w:t xml:space="preserve"> </w:t>
            </w:r>
            <w:r>
              <w:rPr>
                <w:spacing w:val="5"/>
                <w:sz w:val="20"/>
                <w:szCs w:val="20"/>
              </w:rPr>
              <w:t>四层</w:t>
            </w:r>
            <w:r>
              <w:rPr>
                <w:sz w:val="20"/>
                <w:szCs w:val="20"/>
              </w:rPr>
              <w:t xml:space="preserve"> </w:t>
            </w:r>
            <w:r>
              <w:rPr>
                <w:spacing w:val="4"/>
                <w:sz w:val="20"/>
                <w:szCs w:val="20"/>
              </w:rPr>
              <w:t>层高</w:t>
            </w:r>
            <w:r>
              <w:rPr>
                <w:spacing w:val="-23"/>
                <w:sz w:val="20"/>
                <w:szCs w:val="20"/>
              </w:rPr>
              <w:t xml:space="preserve"> </w:t>
            </w:r>
            <w:r>
              <w:rPr>
                <w:rFonts w:ascii="Times New Roman" w:hAnsi="Times New Roman" w:eastAsia="Times New Roman" w:cs="Times New Roman"/>
                <w:spacing w:val="4"/>
                <w:sz w:val="20"/>
                <w:szCs w:val="20"/>
              </w:rPr>
              <w:t>3.6m</w:t>
            </w:r>
            <w:r>
              <w:rPr>
                <w:spacing w:val="4"/>
                <w:sz w:val="20"/>
                <w:szCs w:val="20"/>
              </w:rPr>
              <w:t>；室内外高差为</w:t>
            </w:r>
            <w:r>
              <w:rPr>
                <w:spacing w:val="-38"/>
                <w:sz w:val="20"/>
                <w:szCs w:val="20"/>
              </w:rPr>
              <w:t xml:space="preserve"> </w:t>
            </w:r>
            <w:r>
              <w:rPr>
                <w:rFonts w:ascii="Times New Roman" w:hAnsi="Times New Roman" w:eastAsia="Times New Roman" w:cs="Times New Roman"/>
                <w:spacing w:val="4"/>
                <w:sz w:val="20"/>
                <w:szCs w:val="20"/>
              </w:rPr>
              <w:t>0.45m</w:t>
            </w:r>
            <w:r>
              <w:rPr>
                <w:rFonts w:ascii="Times New Roman" w:hAnsi="Times New Roman" w:eastAsia="Times New Roman" w:cs="Times New Roman"/>
                <w:spacing w:val="-26"/>
                <w:sz w:val="20"/>
                <w:szCs w:val="20"/>
              </w:rPr>
              <w:t xml:space="preserve"> </w:t>
            </w:r>
            <w:r>
              <w:rPr>
                <w:spacing w:val="4"/>
                <w:sz w:val="20"/>
                <w:szCs w:val="20"/>
              </w:rPr>
              <w:t>，建筑高度为</w:t>
            </w:r>
            <w:r>
              <w:rPr>
                <w:spacing w:val="-20"/>
                <w:sz w:val="20"/>
                <w:szCs w:val="20"/>
              </w:rPr>
              <w:t xml:space="preserve"> </w:t>
            </w:r>
            <w:r>
              <w:rPr>
                <w:rFonts w:ascii="Times New Roman" w:hAnsi="Times New Roman" w:eastAsia="Times New Roman" w:cs="Times New Roman"/>
                <w:spacing w:val="4"/>
                <w:sz w:val="20"/>
                <w:szCs w:val="20"/>
              </w:rPr>
              <w:t>16.95m</w:t>
            </w:r>
            <w:r>
              <w:rPr>
                <w:spacing w:val="4"/>
                <w:sz w:val="20"/>
                <w:szCs w:val="20"/>
              </w:rPr>
              <w:t>（室外地坪</w:t>
            </w:r>
            <w:r>
              <w:rPr>
                <w:sz w:val="20"/>
                <w:szCs w:val="20"/>
              </w:rPr>
              <w:t xml:space="preserve"> </w:t>
            </w:r>
            <w:r>
              <w:rPr>
                <w:spacing w:val="4"/>
                <w:sz w:val="20"/>
                <w:szCs w:val="20"/>
              </w:rPr>
              <w:t>至女儿墙）。</w:t>
            </w:r>
          </w:p>
        </w:tc>
        <w:tc>
          <w:tcPr>
            <w:tcW w:w="549" w:type="dxa"/>
            <w:tcBorders>
              <w:right w:val="single" w:color="000000" w:sz="6" w:space="0"/>
            </w:tcBorders>
            <w:textDirection w:val="tbRlV"/>
            <w:vAlign w:val="top"/>
          </w:tcPr>
          <w:p w14:paraId="0A1606D0">
            <w:pPr>
              <w:pStyle w:val="6"/>
              <w:spacing w:before="217" w:line="216" w:lineRule="auto"/>
              <w:ind w:left="723"/>
              <w:rPr>
                <w:sz w:val="20"/>
                <w:szCs w:val="20"/>
              </w:rPr>
            </w:pPr>
            <w:r>
              <w:rPr>
                <w:spacing w:val="8"/>
                <w:sz w:val="20"/>
                <w:szCs w:val="20"/>
              </w:rPr>
              <w:t>新</w:t>
            </w:r>
            <w:r>
              <w:rPr>
                <w:spacing w:val="-38"/>
                <w:sz w:val="20"/>
                <w:szCs w:val="20"/>
              </w:rPr>
              <w:t xml:space="preserve"> </w:t>
            </w:r>
            <w:r>
              <w:rPr>
                <w:spacing w:val="8"/>
                <w:sz w:val="20"/>
                <w:szCs w:val="20"/>
              </w:rPr>
              <w:t>建</w:t>
            </w:r>
          </w:p>
        </w:tc>
      </w:tr>
      <w:tr w14:paraId="5AD8A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802" w:type="dxa"/>
            <w:vMerge w:val="continue"/>
            <w:tcBorders>
              <w:top w:val="nil"/>
              <w:left w:val="single" w:color="000000" w:sz="6" w:space="0"/>
              <w:bottom w:val="single" w:color="000000" w:sz="6" w:space="0"/>
            </w:tcBorders>
            <w:vAlign w:val="top"/>
          </w:tcPr>
          <w:p w14:paraId="02464013">
            <w:pPr>
              <w:rPr>
                <w:rFonts w:ascii="Arial"/>
                <w:sz w:val="21"/>
              </w:rPr>
            </w:pPr>
          </w:p>
        </w:tc>
        <w:tc>
          <w:tcPr>
            <w:tcW w:w="426" w:type="dxa"/>
            <w:vMerge w:val="continue"/>
            <w:tcBorders>
              <w:top w:val="nil"/>
              <w:bottom w:val="single" w:color="000000" w:sz="6" w:space="0"/>
            </w:tcBorders>
            <w:textDirection w:val="tbRlV"/>
            <w:vAlign w:val="top"/>
          </w:tcPr>
          <w:p w14:paraId="2A1825FA">
            <w:pPr>
              <w:rPr>
                <w:rFonts w:ascii="Arial"/>
                <w:sz w:val="21"/>
              </w:rPr>
            </w:pPr>
          </w:p>
        </w:tc>
        <w:tc>
          <w:tcPr>
            <w:tcW w:w="478" w:type="dxa"/>
            <w:vMerge w:val="continue"/>
            <w:tcBorders>
              <w:top w:val="nil"/>
              <w:bottom w:val="single" w:color="000000" w:sz="6" w:space="0"/>
            </w:tcBorders>
            <w:textDirection w:val="tbRlV"/>
            <w:vAlign w:val="top"/>
          </w:tcPr>
          <w:p w14:paraId="7655B253">
            <w:pPr>
              <w:rPr>
                <w:rFonts w:ascii="Arial"/>
                <w:sz w:val="21"/>
              </w:rPr>
            </w:pPr>
          </w:p>
        </w:tc>
        <w:tc>
          <w:tcPr>
            <w:tcW w:w="688" w:type="dxa"/>
            <w:tcBorders>
              <w:bottom w:val="single" w:color="000000" w:sz="6" w:space="0"/>
            </w:tcBorders>
            <w:vAlign w:val="top"/>
          </w:tcPr>
          <w:p w14:paraId="3833BA2B">
            <w:pPr>
              <w:spacing w:line="401" w:lineRule="auto"/>
              <w:rPr>
                <w:rFonts w:ascii="Arial"/>
                <w:sz w:val="21"/>
              </w:rPr>
            </w:pPr>
          </w:p>
          <w:p w14:paraId="1E575054">
            <w:pPr>
              <w:pStyle w:val="6"/>
              <w:spacing w:before="65" w:line="239" w:lineRule="auto"/>
              <w:ind w:left="137" w:right="137" w:firstLine="14"/>
              <w:rPr>
                <w:sz w:val="20"/>
                <w:szCs w:val="20"/>
              </w:rPr>
            </w:pPr>
            <w:r>
              <w:rPr>
                <w:spacing w:val="-4"/>
                <w:sz w:val="20"/>
                <w:szCs w:val="20"/>
              </w:rPr>
              <w:t>附属</w:t>
            </w:r>
            <w:r>
              <w:rPr>
                <w:sz w:val="20"/>
                <w:szCs w:val="20"/>
              </w:rPr>
              <w:t xml:space="preserve"> </w:t>
            </w:r>
            <w:r>
              <w:rPr>
                <w:spacing w:val="3"/>
                <w:sz w:val="20"/>
                <w:szCs w:val="20"/>
              </w:rPr>
              <w:t>用房</w:t>
            </w:r>
          </w:p>
        </w:tc>
        <w:tc>
          <w:tcPr>
            <w:tcW w:w="6117" w:type="dxa"/>
            <w:tcBorders>
              <w:bottom w:val="single" w:color="000000" w:sz="6" w:space="0"/>
            </w:tcBorders>
            <w:vAlign w:val="top"/>
          </w:tcPr>
          <w:p w14:paraId="668CB0C2">
            <w:pPr>
              <w:pStyle w:val="6"/>
              <w:spacing w:before="197" w:line="245" w:lineRule="auto"/>
              <w:ind w:left="113" w:right="30" w:firstLine="104"/>
              <w:jc w:val="both"/>
              <w:rPr>
                <w:sz w:val="20"/>
                <w:szCs w:val="20"/>
              </w:rPr>
            </w:pPr>
            <w:r>
              <w:rPr>
                <w:spacing w:val="5"/>
                <w:sz w:val="20"/>
                <w:szCs w:val="20"/>
              </w:rPr>
              <w:t>建筑外轮廓尺寸</w:t>
            </w:r>
            <w:r>
              <w:rPr>
                <w:spacing w:val="-43"/>
                <w:sz w:val="20"/>
                <w:szCs w:val="20"/>
              </w:rPr>
              <w:t xml:space="preserve"> </w:t>
            </w:r>
            <w:r>
              <w:rPr>
                <w:rFonts w:ascii="Times New Roman" w:hAnsi="Times New Roman" w:eastAsia="Times New Roman" w:cs="Times New Roman"/>
                <w:spacing w:val="5"/>
                <w:sz w:val="20"/>
                <w:szCs w:val="20"/>
              </w:rPr>
              <w:t>27.65m×9.85m</w:t>
            </w:r>
            <w:r>
              <w:rPr>
                <w:rFonts w:ascii="Times New Roman" w:hAnsi="Times New Roman" w:eastAsia="Times New Roman" w:cs="Times New Roman"/>
                <w:spacing w:val="-26"/>
                <w:sz w:val="20"/>
                <w:szCs w:val="20"/>
              </w:rPr>
              <w:t xml:space="preserve"> </w:t>
            </w:r>
            <w:r>
              <w:rPr>
                <w:spacing w:val="5"/>
                <w:sz w:val="20"/>
                <w:szCs w:val="20"/>
              </w:rPr>
              <w:t>，建筑面积约为</w:t>
            </w:r>
            <w:r>
              <w:rPr>
                <w:spacing w:val="-35"/>
                <w:sz w:val="20"/>
                <w:szCs w:val="20"/>
              </w:rPr>
              <w:t xml:space="preserve"> </w:t>
            </w:r>
            <w:r>
              <w:rPr>
                <w:rFonts w:ascii="Times New Roman" w:hAnsi="Times New Roman" w:eastAsia="Times New Roman" w:cs="Times New Roman"/>
                <w:spacing w:val="5"/>
                <w:sz w:val="20"/>
                <w:szCs w:val="20"/>
              </w:rPr>
              <w:t>52</w:t>
            </w:r>
            <w:r>
              <w:rPr>
                <w:rFonts w:ascii="Times New Roman" w:hAnsi="Times New Roman" w:eastAsia="Times New Roman" w:cs="Times New Roman"/>
                <w:spacing w:val="4"/>
                <w:sz w:val="20"/>
                <w:szCs w:val="20"/>
              </w:rPr>
              <w:t>1.92m</w:t>
            </w:r>
            <w:r>
              <w:rPr>
                <w:rFonts w:ascii="Times New Roman" w:hAnsi="Times New Roman" w:eastAsia="Times New Roman" w:cs="Times New Roman"/>
                <w:spacing w:val="4"/>
                <w:position w:val="6"/>
                <w:sz w:val="13"/>
                <w:szCs w:val="13"/>
              </w:rPr>
              <w:t xml:space="preserve">2 </w:t>
            </w:r>
            <w:r>
              <w:rPr>
                <w:spacing w:val="4"/>
                <w:sz w:val="20"/>
                <w:szCs w:val="20"/>
              </w:rPr>
              <w:t>。位于</w:t>
            </w:r>
            <w:r>
              <w:rPr>
                <w:sz w:val="20"/>
                <w:szCs w:val="20"/>
              </w:rPr>
              <w:t xml:space="preserve">  </w:t>
            </w:r>
            <w:r>
              <w:rPr>
                <w:spacing w:val="9"/>
                <w:sz w:val="20"/>
                <w:szCs w:val="20"/>
              </w:rPr>
              <w:t>北侧，为地下一层、地上一层建筑，地下一层主要消防泵房、消</w:t>
            </w:r>
            <w:r>
              <w:rPr>
                <w:spacing w:val="7"/>
                <w:sz w:val="20"/>
                <w:szCs w:val="20"/>
              </w:rPr>
              <w:t xml:space="preserve">  </w:t>
            </w:r>
            <w:r>
              <w:rPr>
                <w:spacing w:val="3"/>
                <w:sz w:val="20"/>
                <w:szCs w:val="20"/>
              </w:rPr>
              <w:t>防水池，地上主要生活水泵房、备品间、库房等房间，层高</w:t>
            </w:r>
            <w:r>
              <w:rPr>
                <w:spacing w:val="-32"/>
                <w:sz w:val="20"/>
                <w:szCs w:val="20"/>
              </w:rPr>
              <w:t xml:space="preserve"> </w:t>
            </w:r>
            <w:r>
              <w:rPr>
                <w:rFonts w:ascii="Times New Roman" w:hAnsi="Times New Roman" w:eastAsia="Times New Roman" w:cs="Times New Roman"/>
                <w:spacing w:val="3"/>
                <w:sz w:val="20"/>
                <w:szCs w:val="20"/>
              </w:rPr>
              <w:t>4.2m</w:t>
            </w:r>
            <w:r>
              <w:rPr>
                <w:spacing w:val="3"/>
                <w:sz w:val="20"/>
                <w:szCs w:val="20"/>
              </w:rPr>
              <w:t>。</w:t>
            </w:r>
            <w:r>
              <w:rPr>
                <w:sz w:val="20"/>
                <w:szCs w:val="20"/>
              </w:rPr>
              <w:t xml:space="preserve"> </w:t>
            </w:r>
            <w:r>
              <w:rPr>
                <w:spacing w:val="5"/>
                <w:sz w:val="20"/>
                <w:szCs w:val="20"/>
              </w:rPr>
              <w:t>室内外高差为</w:t>
            </w:r>
            <w:r>
              <w:rPr>
                <w:spacing w:val="-29"/>
                <w:sz w:val="20"/>
                <w:szCs w:val="20"/>
              </w:rPr>
              <w:t xml:space="preserve"> </w:t>
            </w:r>
            <w:r>
              <w:rPr>
                <w:rFonts w:ascii="Times New Roman" w:hAnsi="Times New Roman" w:eastAsia="Times New Roman" w:cs="Times New Roman"/>
                <w:spacing w:val="5"/>
                <w:sz w:val="20"/>
                <w:szCs w:val="20"/>
              </w:rPr>
              <w:t>0.3m</w:t>
            </w:r>
            <w:r>
              <w:rPr>
                <w:rFonts w:ascii="Times New Roman" w:hAnsi="Times New Roman" w:eastAsia="Times New Roman" w:cs="Times New Roman"/>
                <w:spacing w:val="-26"/>
                <w:sz w:val="20"/>
                <w:szCs w:val="20"/>
              </w:rPr>
              <w:t xml:space="preserve"> </w:t>
            </w:r>
            <w:r>
              <w:rPr>
                <w:spacing w:val="5"/>
                <w:sz w:val="20"/>
                <w:szCs w:val="20"/>
              </w:rPr>
              <w:t>，建筑高度为</w:t>
            </w:r>
            <w:r>
              <w:rPr>
                <w:spacing w:val="-35"/>
                <w:sz w:val="20"/>
                <w:szCs w:val="20"/>
              </w:rPr>
              <w:t xml:space="preserve"> </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1m</w:t>
            </w:r>
            <w:r>
              <w:rPr>
                <w:spacing w:val="5"/>
                <w:sz w:val="20"/>
                <w:szCs w:val="20"/>
              </w:rPr>
              <w:t>（室外地坪至女儿墙）。</w:t>
            </w:r>
          </w:p>
        </w:tc>
        <w:tc>
          <w:tcPr>
            <w:tcW w:w="549" w:type="dxa"/>
            <w:tcBorders>
              <w:bottom w:val="single" w:color="000000" w:sz="6" w:space="0"/>
              <w:right w:val="single" w:color="000000" w:sz="6" w:space="0"/>
            </w:tcBorders>
            <w:textDirection w:val="tbRlV"/>
            <w:vAlign w:val="top"/>
          </w:tcPr>
          <w:p w14:paraId="269925C6">
            <w:pPr>
              <w:pStyle w:val="6"/>
              <w:spacing w:before="217" w:line="216" w:lineRule="auto"/>
              <w:ind w:left="468"/>
              <w:rPr>
                <w:sz w:val="20"/>
                <w:szCs w:val="20"/>
              </w:rPr>
            </w:pPr>
            <w:r>
              <w:rPr>
                <w:spacing w:val="8"/>
                <w:sz w:val="20"/>
                <w:szCs w:val="20"/>
              </w:rPr>
              <w:t>新</w:t>
            </w:r>
            <w:r>
              <w:rPr>
                <w:spacing w:val="-38"/>
                <w:sz w:val="20"/>
                <w:szCs w:val="20"/>
              </w:rPr>
              <w:t xml:space="preserve"> </w:t>
            </w:r>
            <w:r>
              <w:rPr>
                <w:spacing w:val="8"/>
                <w:sz w:val="20"/>
                <w:szCs w:val="20"/>
              </w:rPr>
              <w:t>建</w:t>
            </w:r>
          </w:p>
        </w:tc>
      </w:tr>
    </w:tbl>
    <w:p w14:paraId="3A8F40A0">
      <w:pPr>
        <w:rPr>
          <w:rFonts w:ascii="Arial"/>
          <w:sz w:val="21"/>
        </w:rPr>
      </w:pPr>
    </w:p>
    <w:p w14:paraId="29520467">
      <w:pPr>
        <w:rPr>
          <w:rFonts w:ascii="Arial" w:hAnsi="Arial" w:eastAsia="Arial" w:cs="Arial"/>
          <w:sz w:val="21"/>
          <w:szCs w:val="21"/>
        </w:rPr>
        <w:sectPr>
          <w:footerReference r:id="rId52" w:type="default"/>
          <w:pgSz w:w="11906" w:h="16839"/>
          <w:pgMar w:top="1431" w:right="1415" w:bottom="1278" w:left="1415" w:header="0" w:footer="1116" w:gutter="0"/>
          <w:cols w:space="720" w:num="1"/>
        </w:sectPr>
      </w:pPr>
    </w:p>
    <w:p w14:paraId="2B5D4DCD">
      <w:pPr>
        <w:spacing w:line="99" w:lineRule="exact"/>
      </w:pPr>
      <w:r>
        <w:pict>
          <v:shape id="_x0000_s1057" o:spid="_x0000_s1057" style="position:absolute;left:0pt;margin-left:518.15pt;margin-top:77.5pt;height:683.8pt;width:0.5pt;mso-position-horizontal-relative:page;mso-position-vertical-relative:page;z-index:251695104;mso-width-relative:page;mso-height-relative:page;" filled="f" stroked="t" coordsize="10,13675" o:allowincell="f" path="m4,0l4,13675e">
            <v:fill on="f" focussize="0,0"/>
            <v:stroke weight="0.48pt" color="#000000" miterlimit="2" joinstyle="bevel"/>
            <v:imagedata o:title=""/>
            <o:lock v:ext="edit"/>
          </v:shape>
        </w:pict>
      </w:r>
      <w:r>
        <w:pict>
          <v:shape id="_x0000_s1058" o:spid="_x0000_s1058" style="position:absolute;left:0pt;margin-left:110.7pt;margin-top:760.85pt;height:0.5pt;width:407.95pt;mso-position-horizontal-relative:page;mso-position-vertical-relative:page;z-index:-251623424;mso-width-relative:page;mso-height-relative:page;" filled="f" stroked="t" coordsize="8159,10" o:allowincell="f" path="m0,4l8158,4e">
            <v:fill on="f" focussize="0,0"/>
            <v:stroke weight="0.48pt" color="#000000" miterlimit="2" joinstyle="bevel"/>
            <v:imagedata o:title=""/>
            <o:lock v:ext="edit"/>
          </v:shape>
        </w:pict>
      </w:r>
    </w:p>
    <w:tbl>
      <w:tblPr>
        <w:tblStyle w:val="5"/>
        <w:tblW w:w="906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2"/>
        <w:gridCol w:w="426"/>
        <w:gridCol w:w="478"/>
        <w:gridCol w:w="688"/>
        <w:gridCol w:w="6117"/>
        <w:gridCol w:w="549"/>
      </w:tblGrid>
      <w:tr w14:paraId="126BC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802" w:type="dxa"/>
            <w:vMerge w:val="restart"/>
            <w:tcBorders>
              <w:top w:val="single" w:color="000000" w:sz="6" w:space="0"/>
              <w:left w:val="single" w:color="000000" w:sz="6" w:space="0"/>
              <w:bottom w:val="nil"/>
            </w:tcBorders>
            <w:vAlign w:val="top"/>
          </w:tcPr>
          <w:p w14:paraId="41D8BCBF">
            <w:pPr>
              <w:rPr>
                <w:rFonts w:ascii="Arial"/>
                <w:sz w:val="21"/>
              </w:rPr>
            </w:pPr>
            <w:r>
              <w:pict>
                <v:shape id="_x0000_s1059" o:spid="_x0000_s1059" style="position:absolute;left:0pt;margin-left:33.95pt;margin-top:0.95pt;height:684.35pt;width:0.5pt;mso-position-horizontal-relative:page;mso-position-vertical-relative:page;z-index:251694080;mso-width-relative:page;mso-height-relative:page;" filled="f" stroked="t" coordsize="10,13686" path="m4,0l4,13686e">
                  <v:fill on="f" focussize="0,0"/>
                  <v:stroke weight="0.48pt" color="#000000" miterlimit="2" joinstyle="bevel"/>
                  <v:imagedata o:title=""/>
                  <o:lock v:ext="edit"/>
                </v:shape>
              </w:pict>
            </w:r>
          </w:p>
        </w:tc>
        <w:tc>
          <w:tcPr>
            <w:tcW w:w="426" w:type="dxa"/>
            <w:tcBorders>
              <w:top w:val="single" w:color="000000" w:sz="6" w:space="0"/>
            </w:tcBorders>
            <w:vAlign w:val="top"/>
          </w:tcPr>
          <w:p w14:paraId="153FF131">
            <w:pPr>
              <w:rPr>
                <w:rFonts w:ascii="Arial"/>
                <w:sz w:val="21"/>
              </w:rPr>
            </w:pPr>
          </w:p>
        </w:tc>
        <w:tc>
          <w:tcPr>
            <w:tcW w:w="478" w:type="dxa"/>
            <w:tcBorders>
              <w:top w:val="single" w:color="000000" w:sz="6" w:space="0"/>
            </w:tcBorders>
            <w:vAlign w:val="top"/>
          </w:tcPr>
          <w:p w14:paraId="61345AD0">
            <w:pPr>
              <w:rPr>
                <w:rFonts w:ascii="Arial"/>
                <w:sz w:val="21"/>
              </w:rPr>
            </w:pPr>
          </w:p>
        </w:tc>
        <w:tc>
          <w:tcPr>
            <w:tcW w:w="688" w:type="dxa"/>
            <w:tcBorders>
              <w:top w:val="single" w:color="000000" w:sz="6" w:space="0"/>
            </w:tcBorders>
            <w:vAlign w:val="top"/>
          </w:tcPr>
          <w:p w14:paraId="4CDBDD62">
            <w:pPr>
              <w:pStyle w:val="6"/>
              <w:spacing w:before="207" w:line="228" w:lineRule="auto"/>
              <w:ind w:left="138"/>
              <w:rPr>
                <w:sz w:val="20"/>
                <w:szCs w:val="20"/>
              </w:rPr>
            </w:pPr>
            <w:r>
              <w:rPr>
                <w:spacing w:val="3"/>
                <w:sz w:val="20"/>
                <w:szCs w:val="20"/>
              </w:rPr>
              <w:t>危废</w:t>
            </w:r>
          </w:p>
          <w:p w14:paraId="229787FD">
            <w:pPr>
              <w:pStyle w:val="6"/>
              <w:spacing w:before="25" w:line="228" w:lineRule="auto"/>
              <w:ind w:left="142"/>
              <w:rPr>
                <w:sz w:val="20"/>
                <w:szCs w:val="20"/>
              </w:rPr>
            </w:pPr>
            <w:r>
              <w:rPr>
                <w:spacing w:val="1"/>
                <w:sz w:val="20"/>
                <w:szCs w:val="20"/>
              </w:rPr>
              <w:t>暂存</w:t>
            </w:r>
          </w:p>
          <w:p w14:paraId="4B9D8758">
            <w:pPr>
              <w:pStyle w:val="6"/>
              <w:spacing w:before="24" w:line="231" w:lineRule="auto"/>
              <w:ind w:left="257"/>
              <w:rPr>
                <w:sz w:val="20"/>
                <w:szCs w:val="20"/>
              </w:rPr>
            </w:pPr>
            <w:r>
              <w:rPr>
                <w:sz w:val="20"/>
                <w:szCs w:val="20"/>
              </w:rPr>
              <w:t>间</w:t>
            </w:r>
          </w:p>
        </w:tc>
        <w:tc>
          <w:tcPr>
            <w:tcW w:w="6117" w:type="dxa"/>
            <w:tcBorders>
              <w:top w:val="single" w:color="000000" w:sz="6" w:space="0"/>
            </w:tcBorders>
            <w:vAlign w:val="top"/>
          </w:tcPr>
          <w:p w14:paraId="36F8D7CB">
            <w:pPr>
              <w:pStyle w:val="6"/>
              <w:spacing w:before="205" w:line="244" w:lineRule="auto"/>
              <w:ind w:left="112" w:right="46"/>
              <w:jc w:val="both"/>
              <w:rPr>
                <w:sz w:val="20"/>
                <w:szCs w:val="20"/>
              </w:rPr>
            </w:pPr>
            <w:r>
              <w:rPr>
                <w:spacing w:val="4"/>
                <w:sz w:val="20"/>
                <w:szCs w:val="20"/>
              </w:rPr>
              <w:t xml:space="preserve">建筑外轮廓尺寸 </w:t>
            </w:r>
            <w:r>
              <w:rPr>
                <w:rFonts w:ascii="Times New Roman" w:hAnsi="Times New Roman" w:eastAsia="Times New Roman" w:cs="Times New Roman"/>
                <w:spacing w:val="4"/>
                <w:sz w:val="20"/>
                <w:szCs w:val="20"/>
              </w:rPr>
              <w:t>6.3m×4.5m</w:t>
            </w:r>
            <w:r>
              <w:rPr>
                <w:rFonts w:ascii="Times New Roman" w:hAnsi="Times New Roman" w:eastAsia="Times New Roman" w:cs="Times New Roman"/>
                <w:spacing w:val="-24"/>
                <w:sz w:val="20"/>
                <w:szCs w:val="20"/>
              </w:rPr>
              <w:t xml:space="preserve"> </w:t>
            </w:r>
            <w:r>
              <w:rPr>
                <w:spacing w:val="4"/>
                <w:sz w:val="20"/>
                <w:szCs w:val="20"/>
              </w:rPr>
              <w:t>，建筑面积约为</w:t>
            </w:r>
            <w:r>
              <w:rPr>
                <w:spacing w:val="-43"/>
                <w:sz w:val="20"/>
                <w:szCs w:val="20"/>
              </w:rPr>
              <w:t xml:space="preserve"> </w:t>
            </w:r>
            <w:r>
              <w:rPr>
                <w:rFonts w:ascii="Times New Roman" w:hAnsi="Times New Roman" w:eastAsia="Times New Roman" w:cs="Times New Roman"/>
                <w:spacing w:val="4"/>
                <w:sz w:val="20"/>
                <w:szCs w:val="20"/>
              </w:rPr>
              <w:t>28.</w:t>
            </w:r>
            <w:r>
              <w:rPr>
                <w:rFonts w:ascii="Times New Roman" w:hAnsi="Times New Roman" w:eastAsia="Times New Roman" w:cs="Times New Roman"/>
                <w:spacing w:val="3"/>
                <w:sz w:val="20"/>
                <w:szCs w:val="20"/>
              </w:rPr>
              <w:t>35m</w:t>
            </w:r>
            <w:r>
              <w:rPr>
                <w:rFonts w:ascii="Times New Roman" w:hAnsi="Times New Roman" w:eastAsia="Times New Roman" w:cs="Times New Roman"/>
                <w:spacing w:val="3"/>
                <w:position w:val="6"/>
                <w:sz w:val="13"/>
                <w:szCs w:val="13"/>
              </w:rPr>
              <w:t xml:space="preserve">2 </w:t>
            </w:r>
            <w:r>
              <w:rPr>
                <w:spacing w:val="3"/>
                <w:sz w:val="20"/>
                <w:szCs w:val="20"/>
              </w:rPr>
              <w:t>。位于北侧，</w:t>
            </w:r>
            <w:r>
              <w:rPr>
                <w:sz w:val="20"/>
                <w:szCs w:val="20"/>
              </w:rPr>
              <w:t xml:space="preserve"> </w:t>
            </w:r>
            <w:r>
              <w:rPr>
                <w:spacing w:val="6"/>
                <w:sz w:val="20"/>
                <w:szCs w:val="20"/>
              </w:rPr>
              <w:t>为地上一层建筑，主要布置有危废暂存间等房间，层高</w:t>
            </w:r>
            <w:r>
              <w:rPr>
                <w:spacing w:val="-18"/>
                <w:sz w:val="20"/>
                <w:szCs w:val="20"/>
              </w:rPr>
              <w:t xml:space="preserve"> </w:t>
            </w:r>
            <w:r>
              <w:rPr>
                <w:rFonts w:ascii="Times New Roman" w:hAnsi="Times New Roman" w:eastAsia="Times New Roman" w:cs="Times New Roman"/>
                <w:spacing w:val="6"/>
                <w:sz w:val="20"/>
                <w:szCs w:val="20"/>
              </w:rPr>
              <w:t>3.3m</w:t>
            </w:r>
            <w:r>
              <w:rPr>
                <w:rFonts w:ascii="Times New Roman" w:hAnsi="Times New Roman" w:eastAsia="Times New Roman" w:cs="Times New Roman"/>
                <w:spacing w:val="-21"/>
                <w:sz w:val="20"/>
                <w:szCs w:val="20"/>
              </w:rPr>
              <w:t xml:space="preserve"> </w:t>
            </w:r>
            <w:r>
              <w:rPr>
                <w:spacing w:val="6"/>
                <w:sz w:val="20"/>
                <w:szCs w:val="20"/>
              </w:rPr>
              <w:t>。室</w:t>
            </w:r>
            <w:r>
              <w:rPr>
                <w:sz w:val="20"/>
                <w:szCs w:val="20"/>
              </w:rPr>
              <w:t xml:space="preserve"> </w:t>
            </w:r>
            <w:r>
              <w:rPr>
                <w:spacing w:val="6"/>
                <w:sz w:val="20"/>
                <w:szCs w:val="20"/>
              </w:rPr>
              <w:t>内外高差为</w:t>
            </w:r>
            <w:r>
              <w:rPr>
                <w:spacing w:val="-34"/>
                <w:sz w:val="20"/>
                <w:szCs w:val="20"/>
              </w:rPr>
              <w:t xml:space="preserve"> </w:t>
            </w:r>
            <w:r>
              <w:rPr>
                <w:rFonts w:ascii="Times New Roman" w:hAnsi="Times New Roman" w:eastAsia="Times New Roman" w:cs="Times New Roman"/>
                <w:spacing w:val="6"/>
                <w:sz w:val="20"/>
                <w:szCs w:val="20"/>
              </w:rPr>
              <w:t>0.3m</w:t>
            </w:r>
            <w:r>
              <w:rPr>
                <w:rFonts w:ascii="Times New Roman" w:hAnsi="Times New Roman" w:eastAsia="Times New Roman" w:cs="Times New Roman"/>
                <w:spacing w:val="-24"/>
                <w:sz w:val="20"/>
                <w:szCs w:val="20"/>
              </w:rPr>
              <w:t xml:space="preserve"> </w:t>
            </w:r>
            <w:r>
              <w:rPr>
                <w:spacing w:val="6"/>
                <w:sz w:val="20"/>
                <w:szCs w:val="20"/>
              </w:rPr>
              <w:t>，建筑高度为</w:t>
            </w:r>
            <w:r>
              <w:rPr>
                <w:spacing w:val="-44"/>
                <w:sz w:val="20"/>
                <w:szCs w:val="20"/>
              </w:rPr>
              <w:t xml:space="preserve"> </w:t>
            </w:r>
            <w:r>
              <w:rPr>
                <w:rFonts w:ascii="Times New Roman" w:hAnsi="Times New Roman" w:eastAsia="Times New Roman" w:cs="Times New Roman"/>
                <w:spacing w:val="6"/>
                <w:sz w:val="20"/>
                <w:szCs w:val="20"/>
              </w:rPr>
              <w:t xml:space="preserve">4.2m  </w:t>
            </w:r>
            <w:r>
              <w:rPr>
                <w:spacing w:val="6"/>
                <w:sz w:val="20"/>
                <w:szCs w:val="20"/>
              </w:rPr>
              <w:t>（室外地坪至而女儿墙）。</w:t>
            </w:r>
          </w:p>
        </w:tc>
        <w:tc>
          <w:tcPr>
            <w:tcW w:w="549" w:type="dxa"/>
            <w:tcBorders>
              <w:top w:val="single" w:color="000000" w:sz="6" w:space="0"/>
              <w:right w:val="single" w:color="000000" w:sz="6" w:space="0"/>
            </w:tcBorders>
            <w:textDirection w:val="tbRlV"/>
            <w:vAlign w:val="top"/>
          </w:tcPr>
          <w:p w14:paraId="4A700532">
            <w:pPr>
              <w:pStyle w:val="6"/>
              <w:spacing w:before="217" w:line="216" w:lineRule="auto"/>
              <w:ind w:left="344"/>
              <w:rPr>
                <w:sz w:val="20"/>
                <w:szCs w:val="20"/>
              </w:rPr>
            </w:pPr>
            <w:r>
              <w:rPr>
                <w:spacing w:val="8"/>
                <w:sz w:val="20"/>
                <w:szCs w:val="20"/>
              </w:rPr>
              <w:t>新</w:t>
            </w:r>
            <w:r>
              <w:rPr>
                <w:spacing w:val="-38"/>
                <w:sz w:val="20"/>
                <w:szCs w:val="20"/>
              </w:rPr>
              <w:t xml:space="preserve"> </w:t>
            </w:r>
            <w:r>
              <w:rPr>
                <w:spacing w:val="8"/>
                <w:sz w:val="20"/>
                <w:szCs w:val="20"/>
              </w:rPr>
              <w:t>建</w:t>
            </w:r>
          </w:p>
        </w:tc>
      </w:tr>
      <w:tr w14:paraId="7F815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802" w:type="dxa"/>
            <w:vMerge w:val="continue"/>
            <w:tcBorders>
              <w:top w:val="nil"/>
              <w:left w:val="single" w:color="000000" w:sz="6" w:space="0"/>
              <w:bottom w:val="nil"/>
            </w:tcBorders>
            <w:vAlign w:val="top"/>
          </w:tcPr>
          <w:p w14:paraId="5F65B8B4">
            <w:pPr>
              <w:rPr>
                <w:rFonts w:ascii="Arial"/>
                <w:sz w:val="21"/>
              </w:rPr>
            </w:pPr>
          </w:p>
        </w:tc>
        <w:tc>
          <w:tcPr>
            <w:tcW w:w="426" w:type="dxa"/>
            <w:vMerge w:val="restart"/>
            <w:tcBorders>
              <w:bottom w:val="nil"/>
            </w:tcBorders>
            <w:textDirection w:val="tbRlV"/>
            <w:vAlign w:val="top"/>
          </w:tcPr>
          <w:p w14:paraId="5AD7FBBE">
            <w:pPr>
              <w:pStyle w:val="6"/>
              <w:spacing w:before="111" w:line="217" w:lineRule="auto"/>
              <w:ind w:left="2060"/>
              <w:rPr>
                <w:sz w:val="20"/>
                <w:szCs w:val="20"/>
              </w:rPr>
            </w:pPr>
            <w:r>
              <w:rPr>
                <w:spacing w:val="8"/>
                <w:sz w:val="20"/>
                <w:szCs w:val="20"/>
              </w:rPr>
              <w:t>公</w:t>
            </w:r>
            <w:r>
              <w:rPr>
                <w:spacing w:val="-36"/>
                <w:sz w:val="20"/>
                <w:szCs w:val="20"/>
              </w:rPr>
              <w:t xml:space="preserve"> </w:t>
            </w:r>
            <w:r>
              <w:rPr>
                <w:spacing w:val="8"/>
                <w:sz w:val="20"/>
                <w:szCs w:val="20"/>
              </w:rPr>
              <w:t>用</w:t>
            </w:r>
            <w:r>
              <w:rPr>
                <w:spacing w:val="-38"/>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478" w:type="dxa"/>
            <w:vMerge w:val="restart"/>
            <w:tcBorders>
              <w:bottom w:val="nil"/>
            </w:tcBorders>
            <w:textDirection w:val="tbRlV"/>
            <w:vAlign w:val="top"/>
          </w:tcPr>
          <w:p w14:paraId="671B347D">
            <w:pPr>
              <w:pStyle w:val="6"/>
              <w:spacing w:before="138" w:line="215" w:lineRule="auto"/>
              <w:ind w:left="529"/>
              <w:rPr>
                <w:sz w:val="20"/>
                <w:szCs w:val="20"/>
              </w:rPr>
            </w:pPr>
            <w:r>
              <w:rPr>
                <w:spacing w:val="8"/>
                <w:sz w:val="20"/>
                <w:szCs w:val="20"/>
              </w:rPr>
              <w:t>供</w:t>
            </w:r>
            <w:r>
              <w:rPr>
                <w:spacing w:val="-38"/>
                <w:sz w:val="20"/>
                <w:szCs w:val="20"/>
              </w:rPr>
              <w:t xml:space="preserve"> </w:t>
            </w:r>
            <w:r>
              <w:rPr>
                <w:spacing w:val="8"/>
                <w:sz w:val="20"/>
                <w:szCs w:val="20"/>
              </w:rPr>
              <w:t>电</w:t>
            </w:r>
          </w:p>
        </w:tc>
        <w:tc>
          <w:tcPr>
            <w:tcW w:w="688" w:type="dxa"/>
            <w:vAlign w:val="top"/>
          </w:tcPr>
          <w:p w14:paraId="1C21D626">
            <w:pPr>
              <w:pStyle w:val="6"/>
              <w:spacing w:before="112"/>
              <w:ind w:left="243" w:right="137" w:hanging="108"/>
              <w:rPr>
                <w:sz w:val="20"/>
                <w:szCs w:val="20"/>
              </w:rPr>
            </w:pPr>
            <w:r>
              <w:rPr>
                <w:spacing w:val="5"/>
                <w:sz w:val="20"/>
                <w:szCs w:val="20"/>
              </w:rPr>
              <w:t>施工</w:t>
            </w:r>
            <w:r>
              <w:rPr>
                <w:sz w:val="20"/>
                <w:szCs w:val="20"/>
              </w:rPr>
              <w:t xml:space="preserve"> 期</w:t>
            </w:r>
          </w:p>
        </w:tc>
        <w:tc>
          <w:tcPr>
            <w:tcW w:w="6117" w:type="dxa"/>
            <w:vAlign w:val="top"/>
          </w:tcPr>
          <w:p w14:paraId="7CAB496E">
            <w:pPr>
              <w:pStyle w:val="6"/>
              <w:spacing w:before="248" w:line="227" w:lineRule="auto"/>
              <w:ind w:left="112"/>
              <w:rPr>
                <w:sz w:val="20"/>
                <w:szCs w:val="20"/>
              </w:rPr>
            </w:pPr>
            <w:r>
              <w:rPr>
                <w:spacing w:val="5"/>
                <w:sz w:val="20"/>
                <w:szCs w:val="20"/>
              </w:rPr>
              <w:t>从附近已有农网</w:t>
            </w:r>
            <w:r>
              <w:rPr>
                <w:spacing w:val="-13"/>
                <w:sz w:val="20"/>
                <w:szCs w:val="20"/>
              </w:rPr>
              <w:t xml:space="preserve"> </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kV</w:t>
            </w:r>
            <w:r>
              <w:rPr>
                <w:rFonts w:ascii="Times New Roman" w:hAnsi="Times New Roman" w:eastAsia="Times New Roman" w:cs="Times New Roman"/>
                <w:spacing w:val="17"/>
                <w:sz w:val="20"/>
                <w:szCs w:val="20"/>
              </w:rPr>
              <w:t xml:space="preserve"> </w:t>
            </w:r>
            <w:r>
              <w:rPr>
                <w:spacing w:val="5"/>
                <w:sz w:val="20"/>
                <w:szCs w:val="20"/>
              </w:rPr>
              <w:t>线路接入。</w:t>
            </w:r>
          </w:p>
        </w:tc>
        <w:tc>
          <w:tcPr>
            <w:tcW w:w="549" w:type="dxa"/>
            <w:tcBorders>
              <w:right w:val="single" w:color="000000" w:sz="6" w:space="0"/>
            </w:tcBorders>
            <w:textDirection w:val="tbRlV"/>
            <w:vAlign w:val="top"/>
          </w:tcPr>
          <w:p w14:paraId="0F6BAA38">
            <w:pPr>
              <w:pStyle w:val="6"/>
              <w:spacing w:before="217" w:line="216" w:lineRule="auto"/>
              <w:ind w:left="111"/>
              <w:rPr>
                <w:sz w:val="20"/>
                <w:szCs w:val="20"/>
              </w:rPr>
            </w:pPr>
            <w:r>
              <w:rPr>
                <w:spacing w:val="8"/>
                <w:sz w:val="20"/>
                <w:szCs w:val="20"/>
              </w:rPr>
              <w:t>新</w:t>
            </w:r>
            <w:r>
              <w:rPr>
                <w:spacing w:val="-35"/>
                <w:sz w:val="20"/>
                <w:szCs w:val="20"/>
              </w:rPr>
              <w:t xml:space="preserve"> </w:t>
            </w:r>
            <w:r>
              <w:rPr>
                <w:spacing w:val="8"/>
                <w:sz w:val="20"/>
                <w:szCs w:val="20"/>
              </w:rPr>
              <w:t>建</w:t>
            </w:r>
          </w:p>
        </w:tc>
      </w:tr>
      <w:tr w14:paraId="7BB50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802" w:type="dxa"/>
            <w:vMerge w:val="continue"/>
            <w:tcBorders>
              <w:top w:val="nil"/>
              <w:left w:val="single" w:color="000000" w:sz="6" w:space="0"/>
              <w:bottom w:val="nil"/>
            </w:tcBorders>
            <w:vAlign w:val="top"/>
          </w:tcPr>
          <w:p w14:paraId="514150B3">
            <w:pPr>
              <w:rPr>
                <w:rFonts w:ascii="Arial"/>
                <w:sz w:val="21"/>
              </w:rPr>
            </w:pPr>
          </w:p>
        </w:tc>
        <w:tc>
          <w:tcPr>
            <w:tcW w:w="426" w:type="dxa"/>
            <w:vMerge w:val="continue"/>
            <w:tcBorders>
              <w:top w:val="nil"/>
              <w:bottom w:val="nil"/>
            </w:tcBorders>
            <w:textDirection w:val="tbRlV"/>
            <w:vAlign w:val="top"/>
          </w:tcPr>
          <w:p w14:paraId="30BDFF22">
            <w:pPr>
              <w:rPr>
                <w:rFonts w:ascii="Arial"/>
                <w:sz w:val="21"/>
              </w:rPr>
            </w:pPr>
          </w:p>
        </w:tc>
        <w:tc>
          <w:tcPr>
            <w:tcW w:w="478" w:type="dxa"/>
            <w:vMerge w:val="continue"/>
            <w:tcBorders>
              <w:top w:val="nil"/>
            </w:tcBorders>
            <w:textDirection w:val="tbRlV"/>
            <w:vAlign w:val="top"/>
          </w:tcPr>
          <w:p w14:paraId="25BF9149">
            <w:pPr>
              <w:rPr>
                <w:rFonts w:ascii="Arial"/>
                <w:sz w:val="21"/>
              </w:rPr>
            </w:pPr>
          </w:p>
        </w:tc>
        <w:tc>
          <w:tcPr>
            <w:tcW w:w="688" w:type="dxa"/>
            <w:vAlign w:val="top"/>
          </w:tcPr>
          <w:p w14:paraId="44D86F26">
            <w:pPr>
              <w:pStyle w:val="6"/>
              <w:spacing w:before="171"/>
              <w:ind w:left="243" w:right="137" w:hanging="108"/>
              <w:rPr>
                <w:sz w:val="20"/>
                <w:szCs w:val="20"/>
              </w:rPr>
            </w:pPr>
            <w:r>
              <w:rPr>
                <w:spacing w:val="4"/>
                <w:sz w:val="20"/>
                <w:szCs w:val="20"/>
              </w:rPr>
              <w:t>运营</w:t>
            </w:r>
            <w:r>
              <w:rPr>
                <w:sz w:val="20"/>
                <w:szCs w:val="20"/>
              </w:rPr>
              <w:t xml:space="preserve"> 期</w:t>
            </w:r>
          </w:p>
        </w:tc>
        <w:tc>
          <w:tcPr>
            <w:tcW w:w="6117" w:type="dxa"/>
            <w:vAlign w:val="top"/>
          </w:tcPr>
          <w:p w14:paraId="21906344">
            <w:pPr>
              <w:pStyle w:val="6"/>
              <w:spacing w:before="35"/>
              <w:ind w:left="126" w:right="98" w:hanging="14"/>
              <w:jc w:val="both"/>
              <w:rPr>
                <w:sz w:val="20"/>
                <w:szCs w:val="20"/>
              </w:rPr>
            </w:pPr>
            <w:r>
              <w:rPr>
                <w:spacing w:val="7"/>
                <w:sz w:val="20"/>
                <w:szCs w:val="20"/>
              </w:rPr>
              <w:t>升压站投入运行后用电能够自给自足，无需外部接入。设置</w:t>
            </w:r>
            <w:r>
              <w:rPr>
                <w:spacing w:val="-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28"/>
                <w:sz w:val="20"/>
                <w:szCs w:val="20"/>
              </w:rPr>
              <w:t xml:space="preserve"> </w:t>
            </w:r>
            <w:r>
              <w:rPr>
                <w:spacing w:val="7"/>
                <w:sz w:val="20"/>
                <w:szCs w:val="20"/>
              </w:rPr>
              <w:t>台</w:t>
            </w:r>
            <w:r>
              <w:rPr>
                <w:sz w:val="20"/>
                <w:szCs w:val="20"/>
              </w:rPr>
              <w:t xml:space="preserve"> </w:t>
            </w:r>
            <w:r>
              <w:rPr>
                <w:rFonts w:ascii="Times New Roman" w:hAnsi="Times New Roman" w:eastAsia="Times New Roman" w:cs="Times New Roman"/>
                <w:spacing w:val="-5"/>
                <w:sz w:val="20"/>
                <w:szCs w:val="20"/>
              </w:rPr>
              <w:t>10kV</w:t>
            </w:r>
            <w:r>
              <w:rPr>
                <w:rFonts w:ascii="Times New Roman" w:hAnsi="Times New Roman" w:eastAsia="Times New Roman" w:cs="Times New Roman"/>
                <w:spacing w:val="18"/>
                <w:sz w:val="20"/>
                <w:szCs w:val="20"/>
              </w:rPr>
              <w:t xml:space="preserve">  </w:t>
            </w:r>
            <w:r>
              <w:rPr>
                <w:spacing w:val="-5"/>
                <w:sz w:val="20"/>
                <w:szCs w:val="20"/>
              </w:rPr>
              <w:t>变 压 器</w:t>
            </w:r>
            <w:r>
              <w:rPr>
                <w:spacing w:val="-16"/>
                <w:sz w:val="20"/>
                <w:szCs w:val="20"/>
              </w:rPr>
              <w:t xml:space="preserve"> </w:t>
            </w:r>
            <w:r>
              <w:rPr>
                <w:spacing w:val="-5"/>
                <w:sz w:val="20"/>
                <w:szCs w:val="20"/>
              </w:rPr>
              <w:t>接</w:t>
            </w:r>
            <w:r>
              <w:rPr>
                <w:spacing w:val="-14"/>
                <w:sz w:val="20"/>
                <w:szCs w:val="20"/>
              </w:rPr>
              <w:t xml:space="preserve"> </w:t>
            </w:r>
            <w:r>
              <w:rPr>
                <w:spacing w:val="-5"/>
                <w:sz w:val="20"/>
                <w:szCs w:val="20"/>
              </w:rPr>
              <w:t>于</w:t>
            </w:r>
            <w:r>
              <w:rPr>
                <w:spacing w:val="-14"/>
                <w:sz w:val="20"/>
                <w:szCs w:val="20"/>
              </w:rPr>
              <w:t xml:space="preserve"> </w:t>
            </w:r>
            <w:r>
              <w:rPr>
                <w:spacing w:val="-5"/>
                <w:sz w:val="20"/>
                <w:szCs w:val="20"/>
              </w:rPr>
              <w:t>外 引 电 源</w:t>
            </w:r>
            <w:r>
              <w:rPr>
                <w:spacing w:val="-17"/>
                <w:sz w:val="20"/>
                <w:szCs w:val="20"/>
              </w:rPr>
              <w:t xml:space="preserve"> </w:t>
            </w:r>
            <w:r>
              <w:rPr>
                <w:spacing w:val="-5"/>
                <w:sz w:val="20"/>
                <w:szCs w:val="20"/>
              </w:rPr>
              <w:t>作</w:t>
            </w:r>
            <w:r>
              <w:rPr>
                <w:spacing w:val="-15"/>
                <w:sz w:val="20"/>
                <w:szCs w:val="20"/>
              </w:rPr>
              <w:t xml:space="preserve"> </w:t>
            </w:r>
            <w:r>
              <w:rPr>
                <w:spacing w:val="-5"/>
                <w:sz w:val="20"/>
                <w:szCs w:val="20"/>
              </w:rPr>
              <w:t>为</w:t>
            </w:r>
            <w:r>
              <w:rPr>
                <w:spacing w:val="-14"/>
                <w:sz w:val="20"/>
                <w:szCs w:val="20"/>
              </w:rPr>
              <w:t xml:space="preserve"> </w:t>
            </w:r>
            <w:r>
              <w:rPr>
                <w:spacing w:val="-5"/>
                <w:sz w:val="20"/>
                <w:szCs w:val="20"/>
              </w:rPr>
              <w:t>站</w:t>
            </w:r>
            <w:r>
              <w:rPr>
                <w:spacing w:val="-16"/>
                <w:sz w:val="20"/>
                <w:szCs w:val="20"/>
              </w:rPr>
              <w:t xml:space="preserve"> </w:t>
            </w:r>
            <w:r>
              <w:rPr>
                <w:spacing w:val="-5"/>
                <w:sz w:val="20"/>
                <w:szCs w:val="20"/>
              </w:rPr>
              <w:t>用</w:t>
            </w:r>
            <w:r>
              <w:rPr>
                <w:spacing w:val="-18"/>
                <w:sz w:val="20"/>
                <w:szCs w:val="20"/>
              </w:rPr>
              <w:t xml:space="preserve"> </w:t>
            </w:r>
            <w:r>
              <w:rPr>
                <w:spacing w:val="-5"/>
                <w:sz w:val="20"/>
                <w:szCs w:val="20"/>
              </w:rPr>
              <w:t>变 ， 电</w:t>
            </w:r>
            <w:r>
              <w:rPr>
                <w:spacing w:val="-6"/>
                <w:sz w:val="20"/>
                <w:szCs w:val="20"/>
              </w:rPr>
              <w:t xml:space="preserve"> 压 比 为</w:t>
            </w:r>
            <w:r>
              <w:rPr>
                <w:sz w:val="20"/>
                <w:szCs w:val="20"/>
              </w:rPr>
              <w:t xml:space="preserve"> </w:t>
            </w:r>
            <w:r>
              <w:rPr>
                <w:rFonts w:ascii="Times New Roman" w:hAnsi="Times New Roman" w:eastAsia="Times New Roman" w:cs="Times New Roman"/>
                <w:spacing w:val="3"/>
                <w:sz w:val="20"/>
                <w:szCs w:val="20"/>
              </w:rPr>
              <w:t>10±2×2.5%/0.4</w:t>
            </w:r>
            <w:r>
              <w:rPr>
                <w:rFonts w:ascii="Times New Roman" w:hAnsi="Times New Roman" w:eastAsia="Times New Roman" w:cs="Times New Roman"/>
                <w:sz w:val="20"/>
                <w:szCs w:val="20"/>
              </w:rPr>
              <w:t>kV</w:t>
            </w:r>
            <w:r>
              <w:rPr>
                <w:spacing w:val="3"/>
                <w:sz w:val="20"/>
                <w:szCs w:val="20"/>
              </w:rPr>
              <w:t>。</w:t>
            </w:r>
          </w:p>
        </w:tc>
        <w:tc>
          <w:tcPr>
            <w:tcW w:w="549" w:type="dxa"/>
            <w:tcBorders>
              <w:right w:val="single" w:color="000000" w:sz="6" w:space="0"/>
            </w:tcBorders>
            <w:textDirection w:val="tbRlV"/>
            <w:vAlign w:val="top"/>
          </w:tcPr>
          <w:p w14:paraId="51F08857">
            <w:pPr>
              <w:pStyle w:val="6"/>
              <w:spacing w:before="217" w:line="216" w:lineRule="auto"/>
              <w:ind w:left="170"/>
              <w:rPr>
                <w:sz w:val="20"/>
                <w:szCs w:val="20"/>
              </w:rPr>
            </w:pPr>
            <w:r>
              <w:rPr>
                <w:spacing w:val="8"/>
                <w:sz w:val="20"/>
                <w:szCs w:val="20"/>
              </w:rPr>
              <w:t>新</w:t>
            </w:r>
            <w:r>
              <w:rPr>
                <w:spacing w:val="-35"/>
                <w:sz w:val="20"/>
                <w:szCs w:val="20"/>
              </w:rPr>
              <w:t xml:space="preserve"> </w:t>
            </w:r>
            <w:r>
              <w:rPr>
                <w:spacing w:val="8"/>
                <w:sz w:val="20"/>
                <w:szCs w:val="20"/>
              </w:rPr>
              <w:t>建</w:t>
            </w:r>
          </w:p>
        </w:tc>
      </w:tr>
      <w:tr w14:paraId="2F8B8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802" w:type="dxa"/>
            <w:vMerge w:val="continue"/>
            <w:tcBorders>
              <w:top w:val="nil"/>
              <w:left w:val="single" w:color="000000" w:sz="6" w:space="0"/>
              <w:bottom w:val="nil"/>
            </w:tcBorders>
            <w:vAlign w:val="top"/>
          </w:tcPr>
          <w:p w14:paraId="4ABC6F3F">
            <w:pPr>
              <w:rPr>
                <w:rFonts w:ascii="Arial"/>
                <w:sz w:val="21"/>
              </w:rPr>
            </w:pPr>
          </w:p>
        </w:tc>
        <w:tc>
          <w:tcPr>
            <w:tcW w:w="426" w:type="dxa"/>
            <w:vMerge w:val="continue"/>
            <w:tcBorders>
              <w:top w:val="nil"/>
              <w:bottom w:val="nil"/>
            </w:tcBorders>
            <w:textDirection w:val="tbRlV"/>
            <w:vAlign w:val="top"/>
          </w:tcPr>
          <w:p w14:paraId="555F80CF">
            <w:pPr>
              <w:rPr>
                <w:rFonts w:ascii="Arial"/>
                <w:sz w:val="21"/>
              </w:rPr>
            </w:pPr>
          </w:p>
        </w:tc>
        <w:tc>
          <w:tcPr>
            <w:tcW w:w="1166" w:type="dxa"/>
            <w:gridSpan w:val="2"/>
            <w:vAlign w:val="top"/>
          </w:tcPr>
          <w:p w14:paraId="3C1B1E4A">
            <w:pPr>
              <w:spacing w:line="322" w:lineRule="auto"/>
              <w:rPr>
                <w:rFonts w:ascii="Arial"/>
                <w:sz w:val="21"/>
              </w:rPr>
            </w:pPr>
          </w:p>
          <w:p w14:paraId="094F47F1">
            <w:pPr>
              <w:spacing w:line="323" w:lineRule="auto"/>
              <w:rPr>
                <w:rFonts w:ascii="Arial"/>
                <w:sz w:val="21"/>
              </w:rPr>
            </w:pPr>
          </w:p>
          <w:p w14:paraId="58AE9C77">
            <w:pPr>
              <w:pStyle w:val="6"/>
              <w:spacing w:before="65" w:line="227" w:lineRule="auto"/>
              <w:ind w:left="373"/>
              <w:rPr>
                <w:sz w:val="20"/>
                <w:szCs w:val="20"/>
              </w:rPr>
            </w:pPr>
            <w:r>
              <w:rPr>
                <w:spacing w:val="4"/>
                <w:sz w:val="20"/>
                <w:szCs w:val="20"/>
              </w:rPr>
              <w:t>供水</w:t>
            </w:r>
          </w:p>
        </w:tc>
        <w:tc>
          <w:tcPr>
            <w:tcW w:w="6117" w:type="dxa"/>
            <w:vAlign w:val="top"/>
          </w:tcPr>
          <w:p w14:paraId="737F2BEE">
            <w:pPr>
              <w:pStyle w:val="6"/>
              <w:spacing w:before="34" w:line="239" w:lineRule="auto"/>
              <w:ind w:left="126" w:right="132" w:hanging="17"/>
              <w:rPr>
                <w:sz w:val="20"/>
                <w:szCs w:val="20"/>
              </w:rPr>
            </w:pPr>
            <w:r>
              <w:rPr>
                <w:spacing w:val="9"/>
                <w:sz w:val="20"/>
                <w:szCs w:val="20"/>
              </w:rPr>
              <w:t>施工期：施工期间用水依托临近村庄的供水系统，采用水车运水</w:t>
            </w:r>
            <w:r>
              <w:rPr>
                <w:spacing w:val="17"/>
                <w:sz w:val="20"/>
                <w:szCs w:val="20"/>
              </w:rPr>
              <w:t xml:space="preserve"> </w:t>
            </w:r>
            <w:r>
              <w:rPr>
                <w:spacing w:val="3"/>
                <w:sz w:val="20"/>
                <w:szCs w:val="20"/>
              </w:rPr>
              <w:t>的方式供应。</w:t>
            </w:r>
          </w:p>
          <w:p w14:paraId="1788B36D">
            <w:pPr>
              <w:pStyle w:val="6"/>
              <w:spacing w:before="26" w:line="242" w:lineRule="auto"/>
              <w:ind w:left="110" w:right="129"/>
              <w:rPr>
                <w:sz w:val="20"/>
                <w:szCs w:val="20"/>
              </w:rPr>
            </w:pPr>
            <w:r>
              <w:rPr>
                <w:spacing w:val="5"/>
                <w:sz w:val="20"/>
                <w:szCs w:val="20"/>
              </w:rPr>
              <w:t>运营期：在升压站内新建</w:t>
            </w:r>
            <w:r>
              <w:rPr>
                <w:spacing w:val="-23"/>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座</w:t>
            </w:r>
            <w:r>
              <w:rPr>
                <w:spacing w:val="-39"/>
                <w:sz w:val="20"/>
                <w:szCs w:val="20"/>
              </w:rPr>
              <w:t xml:space="preserve"> </w:t>
            </w:r>
            <w:r>
              <w:rPr>
                <w:rFonts w:ascii="Times New Roman" w:hAnsi="Times New Roman" w:eastAsia="Times New Roman" w:cs="Times New Roman"/>
                <w:spacing w:val="5"/>
                <w:sz w:val="20"/>
                <w:szCs w:val="20"/>
              </w:rPr>
              <w:t>300m</w:t>
            </w:r>
            <w:r>
              <w:rPr>
                <w:rFonts w:ascii="Times New Roman" w:hAnsi="Times New Roman" w:eastAsia="Times New Roman" w:cs="Times New Roman"/>
                <w:spacing w:val="5"/>
                <w:position w:val="6"/>
                <w:sz w:val="13"/>
                <w:szCs w:val="13"/>
              </w:rPr>
              <w:t xml:space="preserve">3  </w:t>
            </w:r>
            <w:r>
              <w:rPr>
                <w:spacing w:val="5"/>
                <w:sz w:val="20"/>
                <w:szCs w:val="20"/>
              </w:rPr>
              <w:t>的蓄水池及</w:t>
            </w:r>
            <w:r>
              <w:rPr>
                <w:spacing w:val="-20"/>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座水泵</w:t>
            </w:r>
            <w:r>
              <w:rPr>
                <w:spacing w:val="4"/>
                <w:sz w:val="20"/>
                <w:szCs w:val="20"/>
              </w:rPr>
              <w:t>房，水</w:t>
            </w:r>
            <w:r>
              <w:rPr>
                <w:sz w:val="20"/>
                <w:szCs w:val="20"/>
              </w:rPr>
              <w:t xml:space="preserve"> </w:t>
            </w:r>
            <w:r>
              <w:rPr>
                <w:spacing w:val="9"/>
                <w:sz w:val="20"/>
                <w:szCs w:val="20"/>
              </w:rPr>
              <w:t>池的补给采用市政水源供水的方式。光伏组件采用移动式水车进</w:t>
            </w:r>
            <w:r>
              <w:rPr>
                <w:spacing w:val="16"/>
                <w:sz w:val="20"/>
                <w:szCs w:val="20"/>
              </w:rPr>
              <w:t xml:space="preserve"> </w:t>
            </w:r>
            <w:r>
              <w:rPr>
                <w:spacing w:val="9"/>
                <w:sz w:val="20"/>
                <w:szCs w:val="20"/>
              </w:rPr>
              <w:t>行清洗，移动水车从升压站的蓄水池抽水后移动至光伏场区各用</w:t>
            </w:r>
            <w:r>
              <w:rPr>
                <w:spacing w:val="16"/>
                <w:sz w:val="20"/>
                <w:szCs w:val="20"/>
              </w:rPr>
              <w:t xml:space="preserve"> </w:t>
            </w:r>
            <w:r>
              <w:rPr>
                <w:spacing w:val="3"/>
                <w:sz w:val="20"/>
                <w:szCs w:val="20"/>
              </w:rPr>
              <w:t>水点。</w:t>
            </w:r>
          </w:p>
        </w:tc>
        <w:tc>
          <w:tcPr>
            <w:tcW w:w="549" w:type="dxa"/>
            <w:tcBorders>
              <w:right w:val="single" w:color="000000" w:sz="6" w:space="0"/>
            </w:tcBorders>
            <w:textDirection w:val="tbRlV"/>
            <w:vAlign w:val="top"/>
          </w:tcPr>
          <w:p w14:paraId="6E5FC6BF">
            <w:pPr>
              <w:pStyle w:val="6"/>
              <w:spacing w:before="217" w:line="216" w:lineRule="auto"/>
              <w:ind w:left="577"/>
              <w:rPr>
                <w:sz w:val="20"/>
                <w:szCs w:val="20"/>
              </w:rPr>
            </w:pPr>
            <w:r>
              <w:rPr>
                <w:spacing w:val="8"/>
                <w:sz w:val="20"/>
                <w:szCs w:val="20"/>
              </w:rPr>
              <w:t>新</w:t>
            </w:r>
            <w:r>
              <w:rPr>
                <w:spacing w:val="-35"/>
                <w:sz w:val="20"/>
                <w:szCs w:val="20"/>
              </w:rPr>
              <w:t xml:space="preserve"> </w:t>
            </w:r>
            <w:r>
              <w:rPr>
                <w:spacing w:val="8"/>
                <w:sz w:val="20"/>
                <w:szCs w:val="20"/>
              </w:rPr>
              <w:t>建</w:t>
            </w:r>
          </w:p>
        </w:tc>
      </w:tr>
      <w:tr w14:paraId="64576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2" w:type="dxa"/>
            <w:vMerge w:val="continue"/>
            <w:tcBorders>
              <w:top w:val="nil"/>
              <w:left w:val="single" w:color="000000" w:sz="6" w:space="0"/>
              <w:bottom w:val="nil"/>
            </w:tcBorders>
            <w:vAlign w:val="top"/>
          </w:tcPr>
          <w:p w14:paraId="30331485">
            <w:pPr>
              <w:rPr>
                <w:rFonts w:ascii="Arial"/>
                <w:sz w:val="21"/>
              </w:rPr>
            </w:pPr>
          </w:p>
        </w:tc>
        <w:tc>
          <w:tcPr>
            <w:tcW w:w="426" w:type="dxa"/>
            <w:vMerge w:val="continue"/>
            <w:tcBorders>
              <w:top w:val="nil"/>
              <w:bottom w:val="nil"/>
            </w:tcBorders>
            <w:textDirection w:val="tbRlV"/>
            <w:vAlign w:val="top"/>
          </w:tcPr>
          <w:p w14:paraId="016B2E7F">
            <w:pPr>
              <w:rPr>
                <w:rFonts w:ascii="Arial"/>
                <w:sz w:val="21"/>
              </w:rPr>
            </w:pPr>
          </w:p>
        </w:tc>
        <w:tc>
          <w:tcPr>
            <w:tcW w:w="1166" w:type="dxa"/>
            <w:gridSpan w:val="2"/>
            <w:vMerge w:val="restart"/>
            <w:tcBorders>
              <w:bottom w:val="nil"/>
            </w:tcBorders>
            <w:vAlign w:val="top"/>
          </w:tcPr>
          <w:p w14:paraId="34EB3D89">
            <w:pPr>
              <w:spacing w:line="268" w:lineRule="auto"/>
              <w:rPr>
                <w:rFonts w:ascii="Arial"/>
                <w:sz w:val="21"/>
              </w:rPr>
            </w:pPr>
          </w:p>
          <w:p w14:paraId="7481BEF2">
            <w:pPr>
              <w:spacing w:line="269" w:lineRule="auto"/>
              <w:rPr>
                <w:rFonts w:ascii="Arial"/>
                <w:sz w:val="21"/>
              </w:rPr>
            </w:pPr>
          </w:p>
          <w:p w14:paraId="2499AD4F">
            <w:pPr>
              <w:spacing w:line="269" w:lineRule="auto"/>
              <w:rPr>
                <w:rFonts w:ascii="Arial"/>
                <w:sz w:val="21"/>
              </w:rPr>
            </w:pPr>
          </w:p>
          <w:p w14:paraId="44D47D6C">
            <w:pPr>
              <w:pStyle w:val="6"/>
              <w:spacing w:before="65" w:line="228" w:lineRule="auto"/>
              <w:ind w:left="373"/>
              <w:rPr>
                <w:sz w:val="20"/>
                <w:szCs w:val="20"/>
              </w:rPr>
            </w:pPr>
            <w:r>
              <w:rPr>
                <w:spacing w:val="4"/>
                <w:sz w:val="20"/>
                <w:szCs w:val="20"/>
              </w:rPr>
              <w:t>排水</w:t>
            </w:r>
          </w:p>
        </w:tc>
        <w:tc>
          <w:tcPr>
            <w:tcW w:w="6117" w:type="dxa"/>
            <w:vAlign w:val="top"/>
          </w:tcPr>
          <w:p w14:paraId="40D27DF6">
            <w:pPr>
              <w:pStyle w:val="6"/>
              <w:spacing w:before="40" w:line="233" w:lineRule="auto"/>
              <w:ind w:left="114" w:right="163" w:hanging="5"/>
              <w:rPr>
                <w:sz w:val="20"/>
                <w:szCs w:val="20"/>
              </w:rPr>
            </w:pPr>
            <w:r>
              <w:rPr>
                <w:spacing w:val="7"/>
                <w:sz w:val="20"/>
                <w:szCs w:val="20"/>
              </w:rPr>
              <w:t>施工期：废水经沉淀池（容积</w:t>
            </w:r>
            <w:r>
              <w:rPr>
                <w:spacing w:val="-25"/>
                <w:sz w:val="20"/>
                <w:szCs w:val="20"/>
              </w:rPr>
              <w:t xml:space="preserve"> </w:t>
            </w:r>
            <w:r>
              <w:rPr>
                <w:rFonts w:ascii="Times New Roman" w:hAnsi="Times New Roman" w:eastAsia="Times New Roman" w:cs="Times New Roman"/>
                <w:spacing w:val="7"/>
                <w:sz w:val="20"/>
                <w:szCs w:val="20"/>
              </w:rPr>
              <w:t>5m</w:t>
            </w:r>
            <w:r>
              <w:rPr>
                <w:rFonts w:ascii="Times New Roman" w:hAnsi="Times New Roman" w:eastAsia="Times New Roman" w:cs="Times New Roman"/>
                <w:spacing w:val="7"/>
                <w:position w:val="6"/>
                <w:sz w:val="13"/>
                <w:szCs w:val="13"/>
              </w:rPr>
              <w:t xml:space="preserve">3 </w:t>
            </w:r>
            <w:r>
              <w:rPr>
                <w:spacing w:val="7"/>
                <w:sz w:val="20"/>
                <w:szCs w:val="20"/>
              </w:rPr>
              <w:t>）沉淀后回用于施工工序，不</w:t>
            </w:r>
            <w:r>
              <w:rPr>
                <w:sz w:val="20"/>
                <w:szCs w:val="20"/>
              </w:rPr>
              <w:t xml:space="preserve"> </w:t>
            </w:r>
            <w:r>
              <w:rPr>
                <w:spacing w:val="1"/>
                <w:sz w:val="20"/>
                <w:szCs w:val="20"/>
              </w:rPr>
              <w:t>外排。</w:t>
            </w:r>
          </w:p>
        </w:tc>
        <w:tc>
          <w:tcPr>
            <w:tcW w:w="549" w:type="dxa"/>
            <w:tcBorders>
              <w:right w:val="single" w:color="000000" w:sz="6" w:space="0"/>
            </w:tcBorders>
            <w:textDirection w:val="tbRlV"/>
            <w:vAlign w:val="top"/>
          </w:tcPr>
          <w:p w14:paraId="34D7DB1C">
            <w:pPr>
              <w:pStyle w:val="6"/>
              <w:spacing w:before="217" w:line="216" w:lineRule="auto"/>
              <w:ind w:left="39"/>
              <w:rPr>
                <w:sz w:val="20"/>
                <w:szCs w:val="20"/>
              </w:rPr>
            </w:pPr>
            <w:r>
              <w:rPr>
                <w:spacing w:val="8"/>
                <w:sz w:val="20"/>
                <w:szCs w:val="20"/>
              </w:rPr>
              <w:t>新</w:t>
            </w:r>
            <w:r>
              <w:rPr>
                <w:spacing w:val="-37"/>
                <w:sz w:val="20"/>
                <w:szCs w:val="20"/>
              </w:rPr>
              <w:t xml:space="preserve"> </w:t>
            </w:r>
            <w:r>
              <w:rPr>
                <w:spacing w:val="8"/>
                <w:sz w:val="20"/>
                <w:szCs w:val="20"/>
              </w:rPr>
              <w:t>建</w:t>
            </w:r>
          </w:p>
        </w:tc>
      </w:tr>
      <w:tr w14:paraId="6E1CF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802" w:type="dxa"/>
            <w:vMerge w:val="continue"/>
            <w:tcBorders>
              <w:top w:val="nil"/>
              <w:left w:val="single" w:color="000000" w:sz="6" w:space="0"/>
              <w:bottom w:val="nil"/>
            </w:tcBorders>
            <w:vAlign w:val="top"/>
          </w:tcPr>
          <w:p w14:paraId="1D09D4DA">
            <w:pPr>
              <w:rPr>
                <w:rFonts w:ascii="Arial"/>
                <w:sz w:val="21"/>
              </w:rPr>
            </w:pPr>
          </w:p>
        </w:tc>
        <w:tc>
          <w:tcPr>
            <w:tcW w:w="426" w:type="dxa"/>
            <w:vMerge w:val="continue"/>
            <w:tcBorders>
              <w:top w:val="nil"/>
            </w:tcBorders>
            <w:textDirection w:val="tbRlV"/>
            <w:vAlign w:val="top"/>
          </w:tcPr>
          <w:p w14:paraId="4B1040FD">
            <w:pPr>
              <w:rPr>
                <w:rFonts w:ascii="Arial"/>
                <w:sz w:val="21"/>
              </w:rPr>
            </w:pPr>
          </w:p>
        </w:tc>
        <w:tc>
          <w:tcPr>
            <w:tcW w:w="1166" w:type="dxa"/>
            <w:gridSpan w:val="2"/>
            <w:vMerge w:val="continue"/>
            <w:tcBorders>
              <w:top w:val="nil"/>
            </w:tcBorders>
            <w:vAlign w:val="top"/>
          </w:tcPr>
          <w:p w14:paraId="72280AB9">
            <w:pPr>
              <w:rPr>
                <w:rFonts w:ascii="Arial"/>
                <w:sz w:val="21"/>
              </w:rPr>
            </w:pPr>
          </w:p>
        </w:tc>
        <w:tc>
          <w:tcPr>
            <w:tcW w:w="6117" w:type="dxa"/>
            <w:vAlign w:val="top"/>
          </w:tcPr>
          <w:p w14:paraId="3138EEB4">
            <w:pPr>
              <w:pStyle w:val="6"/>
              <w:spacing w:before="186" w:line="244" w:lineRule="auto"/>
              <w:ind w:left="112" w:right="98" w:hanging="2"/>
              <w:jc w:val="both"/>
              <w:rPr>
                <w:sz w:val="20"/>
                <w:szCs w:val="20"/>
              </w:rPr>
            </w:pPr>
            <w:r>
              <w:rPr>
                <w:spacing w:val="6"/>
                <w:sz w:val="20"/>
                <w:szCs w:val="20"/>
              </w:rPr>
              <w:t>运营期：</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2"/>
                <w:sz w:val="20"/>
                <w:szCs w:val="20"/>
              </w:rPr>
              <w:t xml:space="preserve"> </w:t>
            </w:r>
            <w:r>
              <w:rPr>
                <w:spacing w:val="6"/>
                <w:sz w:val="20"/>
                <w:szCs w:val="20"/>
              </w:rPr>
              <w:t>、升压站实行雨污分流，雨水排入场外雨水沟；生活污</w:t>
            </w:r>
            <w:r>
              <w:rPr>
                <w:sz w:val="20"/>
                <w:szCs w:val="20"/>
              </w:rPr>
              <w:t xml:space="preserve"> </w:t>
            </w:r>
            <w:r>
              <w:rPr>
                <w:spacing w:val="10"/>
                <w:sz w:val="20"/>
                <w:szCs w:val="20"/>
              </w:rPr>
              <w:t>水经隔油池、化粪池预处理后，进入一体化污水处理设备处理达</w:t>
            </w:r>
            <w:r>
              <w:rPr>
                <w:spacing w:val="17"/>
                <w:sz w:val="20"/>
                <w:szCs w:val="20"/>
              </w:rPr>
              <w:t xml:space="preserve"> </w:t>
            </w:r>
            <w:r>
              <w:rPr>
                <w:spacing w:val="9"/>
                <w:sz w:val="20"/>
                <w:szCs w:val="20"/>
              </w:rPr>
              <w:t>回用标准进入中水池，全部回用于升压站绿化浇洒。</w:t>
            </w:r>
          </w:p>
          <w:p w14:paraId="70803C6B">
            <w:pPr>
              <w:pStyle w:val="6"/>
              <w:spacing w:before="26" w:line="227" w:lineRule="auto"/>
              <w:ind w:left="106"/>
              <w:rPr>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26"/>
                <w:sz w:val="20"/>
                <w:szCs w:val="20"/>
              </w:rPr>
              <w:t xml:space="preserve"> </w:t>
            </w:r>
            <w:r>
              <w:rPr>
                <w:spacing w:val="8"/>
                <w:sz w:val="20"/>
                <w:szCs w:val="20"/>
              </w:rPr>
              <w:t>、光伏组件清洗废水用于板下植物浇洒，不外</w:t>
            </w:r>
            <w:r>
              <w:rPr>
                <w:spacing w:val="7"/>
                <w:sz w:val="20"/>
                <w:szCs w:val="20"/>
              </w:rPr>
              <w:t>排。</w:t>
            </w:r>
          </w:p>
        </w:tc>
        <w:tc>
          <w:tcPr>
            <w:tcW w:w="549" w:type="dxa"/>
            <w:tcBorders>
              <w:right w:val="single" w:color="000000" w:sz="6" w:space="0"/>
            </w:tcBorders>
            <w:textDirection w:val="tbRlV"/>
            <w:vAlign w:val="top"/>
          </w:tcPr>
          <w:p w14:paraId="0240EB91">
            <w:pPr>
              <w:pStyle w:val="6"/>
              <w:spacing w:before="217" w:line="216" w:lineRule="auto"/>
              <w:ind w:left="461"/>
              <w:rPr>
                <w:sz w:val="20"/>
                <w:szCs w:val="20"/>
              </w:rPr>
            </w:pPr>
            <w:r>
              <w:rPr>
                <w:spacing w:val="8"/>
                <w:sz w:val="20"/>
                <w:szCs w:val="20"/>
              </w:rPr>
              <w:t>新</w:t>
            </w:r>
            <w:r>
              <w:rPr>
                <w:spacing w:val="-38"/>
                <w:sz w:val="20"/>
                <w:szCs w:val="20"/>
              </w:rPr>
              <w:t xml:space="preserve"> </w:t>
            </w:r>
            <w:r>
              <w:rPr>
                <w:spacing w:val="8"/>
                <w:sz w:val="20"/>
                <w:szCs w:val="20"/>
              </w:rPr>
              <w:t>建</w:t>
            </w:r>
          </w:p>
        </w:tc>
      </w:tr>
      <w:tr w14:paraId="14BBC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trPr>
        <w:tc>
          <w:tcPr>
            <w:tcW w:w="802" w:type="dxa"/>
            <w:vMerge w:val="continue"/>
            <w:tcBorders>
              <w:top w:val="nil"/>
              <w:left w:val="single" w:color="000000" w:sz="6" w:space="0"/>
              <w:bottom w:val="nil"/>
            </w:tcBorders>
            <w:vAlign w:val="top"/>
          </w:tcPr>
          <w:p w14:paraId="705BC045">
            <w:pPr>
              <w:rPr>
                <w:rFonts w:ascii="Arial"/>
                <w:sz w:val="21"/>
              </w:rPr>
            </w:pPr>
          </w:p>
        </w:tc>
        <w:tc>
          <w:tcPr>
            <w:tcW w:w="426" w:type="dxa"/>
            <w:vMerge w:val="restart"/>
            <w:tcBorders>
              <w:bottom w:val="nil"/>
            </w:tcBorders>
            <w:textDirection w:val="tbRlV"/>
            <w:vAlign w:val="top"/>
          </w:tcPr>
          <w:p w14:paraId="5A96B30F">
            <w:pPr>
              <w:pStyle w:val="6"/>
              <w:spacing w:before="111" w:line="216" w:lineRule="auto"/>
              <w:ind w:left="1232"/>
              <w:rPr>
                <w:sz w:val="20"/>
                <w:szCs w:val="20"/>
              </w:rPr>
            </w:pPr>
            <w:r>
              <w:rPr>
                <w:spacing w:val="8"/>
                <w:sz w:val="20"/>
                <w:szCs w:val="20"/>
              </w:rPr>
              <w:t>临</w:t>
            </w:r>
            <w:r>
              <w:rPr>
                <w:spacing w:val="-36"/>
                <w:sz w:val="20"/>
                <w:szCs w:val="20"/>
              </w:rPr>
              <w:t xml:space="preserve"> </w:t>
            </w:r>
            <w:r>
              <w:rPr>
                <w:spacing w:val="8"/>
                <w:sz w:val="20"/>
                <w:szCs w:val="20"/>
              </w:rPr>
              <w:t>时</w:t>
            </w:r>
            <w:r>
              <w:rPr>
                <w:spacing w:val="-35"/>
                <w:sz w:val="20"/>
                <w:szCs w:val="20"/>
              </w:rPr>
              <w:t xml:space="preserve"> </w:t>
            </w:r>
            <w:r>
              <w:rPr>
                <w:spacing w:val="8"/>
                <w:sz w:val="20"/>
                <w:szCs w:val="20"/>
              </w:rPr>
              <w:t>工</w:t>
            </w:r>
            <w:r>
              <w:rPr>
                <w:spacing w:val="-38"/>
                <w:sz w:val="20"/>
                <w:szCs w:val="20"/>
              </w:rPr>
              <w:t xml:space="preserve"> </w:t>
            </w:r>
            <w:r>
              <w:rPr>
                <w:spacing w:val="8"/>
                <w:sz w:val="20"/>
                <w:szCs w:val="20"/>
              </w:rPr>
              <w:t>程</w:t>
            </w:r>
          </w:p>
        </w:tc>
        <w:tc>
          <w:tcPr>
            <w:tcW w:w="1166" w:type="dxa"/>
            <w:gridSpan w:val="2"/>
            <w:vAlign w:val="top"/>
          </w:tcPr>
          <w:p w14:paraId="6E441C8E">
            <w:pPr>
              <w:spacing w:line="416" w:lineRule="auto"/>
              <w:rPr>
                <w:rFonts w:ascii="Arial"/>
                <w:sz w:val="21"/>
              </w:rPr>
            </w:pPr>
          </w:p>
          <w:p w14:paraId="4F0F2DB3">
            <w:pPr>
              <w:pStyle w:val="6"/>
              <w:spacing w:before="65" w:line="228" w:lineRule="auto"/>
              <w:ind w:left="164"/>
              <w:rPr>
                <w:sz w:val="20"/>
                <w:szCs w:val="20"/>
              </w:rPr>
            </w:pPr>
            <w:r>
              <w:rPr>
                <w:spacing w:val="7"/>
                <w:sz w:val="20"/>
                <w:szCs w:val="20"/>
              </w:rPr>
              <w:t>表土堆场</w:t>
            </w:r>
          </w:p>
        </w:tc>
        <w:tc>
          <w:tcPr>
            <w:tcW w:w="6117" w:type="dxa"/>
            <w:vAlign w:val="top"/>
          </w:tcPr>
          <w:p w14:paraId="4B60D684">
            <w:pPr>
              <w:pStyle w:val="6"/>
              <w:spacing w:before="76" w:line="245" w:lineRule="auto"/>
              <w:ind w:left="108" w:right="98"/>
              <w:rPr>
                <w:sz w:val="20"/>
                <w:szCs w:val="20"/>
              </w:rPr>
            </w:pPr>
            <w:r>
              <w:rPr>
                <w:spacing w:val="6"/>
                <w:sz w:val="20"/>
                <w:szCs w:val="20"/>
              </w:rPr>
              <w:t>表土堆场位于升压站旁，占地面积</w:t>
            </w:r>
            <w:r>
              <w:rPr>
                <w:spacing w:val="-18"/>
                <w:sz w:val="20"/>
                <w:szCs w:val="20"/>
              </w:rPr>
              <w:t xml:space="preserve"> </w:t>
            </w:r>
            <w:r>
              <w:rPr>
                <w:rFonts w:ascii="Times New Roman" w:hAnsi="Times New Roman" w:eastAsia="Times New Roman" w:cs="Times New Roman"/>
                <w:spacing w:val="6"/>
                <w:sz w:val="20"/>
                <w:szCs w:val="20"/>
              </w:rPr>
              <w:t>1000</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7"/>
                <w:position w:val="6"/>
                <w:sz w:val="13"/>
                <w:szCs w:val="13"/>
              </w:rPr>
              <w:t xml:space="preserve"> </w:t>
            </w:r>
            <w:r>
              <w:rPr>
                <w:spacing w:val="5"/>
                <w:sz w:val="20"/>
                <w:szCs w:val="20"/>
              </w:rPr>
              <w:t>，表土堆放期间采取临</w:t>
            </w:r>
            <w:r>
              <w:rPr>
                <w:sz w:val="20"/>
                <w:szCs w:val="20"/>
              </w:rPr>
              <w:t xml:space="preserve"> </w:t>
            </w:r>
            <w:r>
              <w:rPr>
                <w:spacing w:val="11"/>
                <w:sz w:val="20"/>
                <w:szCs w:val="20"/>
              </w:rPr>
              <w:t>时拦挡、临时覆盖等措施进行综合防护，待主体</w:t>
            </w:r>
            <w:r>
              <w:rPr>
                <w:spacing w:val="10"/>
                <w:sz w:val="20"/>
                <w:szCs w:val="20"/>
              </w:rPr>
              <w:t>工程进入施工末</w:t>
            </w:r>
            <w:r>
              <w:rPr>
                <w:sz w:val="20"/>
                <w:szCs w:val="20"/>
              </w:rPr>
              <w:t xml:space="preserve"> </w:t>
            </w:r>
            <w:r>
              <w:rPr>
                <w:spacing w:val="11"/>
                <w:sz w:val="20"/>
                <w:szCs w:val="20"/>
              </w:rPr>
              <w:t>期，全部用于绿化及植被恢复覆土回填，清运结束后</w:t>
            </w:r>
            <w:r>
              <w:rPr>
                <w:spacing w:val="10"/>
                <w:sz w:val="20"/>
                <w:szCs w:val="20"/>
              </w:rPr>
              <w:t>清理地表，</w:t>
            </w:r>
            <w:r>
              <w:rPr>
                <w:sz w:val="20"/>
                <w:szCs w:val="20"/>
              </w:rPr>
              <w:t xml:space="preserve"> </w:t>
            </w:r>
            <w:r>
              <w:rPr>
                <w:spacing w:val="7"/>
                <w:sz w:val="20"/>
                <w:szCs w:val="20"/>
              </w:rPr>
              <w:t>进行撒草植被恢复。</w:t>
            </w:r>
          </w:p>
        </w:tc>
        <w:tc>
          <w:tcPr>
            <w:tcW w:w="549" w:type="dxa"/>
            <w:tcBorders>
              <w:right w:val="single" w:color="000000" w:sz="6" w:space="0"/>
            </w:tcBorders>
            <w:textDirection w:val="tbRlV"/>
            <w:vAlign w:val="top"/>
          </w:tcPr>
          <w:p w14:paraId="40E270AF">
            <w:pPr>
              <w:pStyle w:val="6"/>
              <w:spacing w:before="217" w:line="216" w:lineRule="auto"/>
              <w:ind w:left="346"/>
              <w:rPr>
                <w:sz w:val="20"/>
                <w:szCs w:val="20"/>
              </w:rPr>
            </w:pPr>
            <w:r>
              <w:rPr>
                <w:spacing w:val="8"/>
                <w:sz w:val="20"/>
                <w:szCs w:val="20"/>
              </w:rPr>
              <w:t>新</w:t>
            </w:r>
            <w:r>
              <w:rPr>
                <w:spacing w:val="-37"/>
                <w:sz w:val="20"/>
                <w:szCs w:val="20"/>
              </w:rPr>
              <w:t xml:space="preserve"> </w:t>
            </w:r>
            <w:r>
              <w:rPr>
                <w:spacing w:val="8"/>
                <w:sz w:val="20"/>
                <w:szCs w:val="20"/>
              </w:rPr>
              <w:t>建</w:t>
            </w:r>
          </w:p>
        </w:tc>
      </w:tr>
      <w:tr w14:paraId="51173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0" w:hRule="atLeast"/>
        </w:trPr>
        <w:tc>
          <w:tcPr>
            <w:tcW w:w="802" w:type="dxa"/>
            <w:vMerge w:val="continue"/>
            <w:tcBorders>
              <w:top w:val="nil"/>
              <w:left w:val="single" w:color="000000" w:sz="6" w:space="0"/>
              <w:bottom w:val="nil"/>
            </w:tcBorders>
            <w:vAlign w:val="top"/>
          </w:tcPr>
          <w:p w14:paraId="309851E4">
            <w:pPr>
              <w:rPr>
                <w:rFonts w:ascii="Arial"/>
                <w:sz w:val="21"/>
              </w:rPr>
            </w:pPr>
          </w:p>
        </w:tc>
        <w:tc>
          <w:tcPr>
            <w:tcW w:w="426" w:type="dxa"/>
            <w:vMerge w:val="continue"/>
            <w:tcBorders>
              <w:top w:val="nil"/>
            </w:tcBorders>
            <w:textDirection w:val="tbRlV"/>
            <w:vAlign w:val="top"/>
          </w:tcPr>
          <w:p w14:paraId="18DBA3B2">
            <w:pPr>
              <w:rPr>
                <w:rFonts w:ascii="Arial"/>
                <w:sz w:val="21"/>
              </w:rPr>
            </w:pPr>
          </w:p>
        </w:tc>
        <w:tc>
          <w:tcPr>
            <w:tcW w:w="1166" w:type="dxa"/>
            <w:gridSpan w:val="2"/>
            <w:vAlign w:val="top"/>
          </w:tcPr>
          <w:p w14:paraId="4053D2F3">
            <w:pPr>
              <w:spacing w:line="283" w:lineRule="auto"/>
              <w:rPr>
                <w:rFonts w:ascii="Arial"/>
                <w:sz w:val="21"/>
              </w:rPr>
            </w:pPr>
          </w:p>
          <w:p w14:paraId="471377BB">
            <w:pPr>
              <w:spacing w:line="283" w:lineRule="auto"/>
              <w:rPr>
                <w:rFonts w:ascii="Arial"/>
                <w:sz w:val="21"/>
              </w:rPr>
            </w:pPr>
          </w:p>
          <w:p w14:paraId="66CD01A9">
            <w:pPr>
              <w:spacing w:line="283" w:lineRule="auto"/>
              <w:rPr>
                <w:rFonts w:ascii="Arial"/>
                <w:sz w:val="21"/>
              </w:rPr>
            </w:pPr>
          </w:p>
          <w:p w14:paraId="3B879292">
            <w:pPr>
              <w:pStyle w:val="6"/>
              <w:spacing w:before="65" w:line="244" w:lineRule="auto"/>
              <w:ind w:left="479" w:right="166" w:hanging="315"/>
              <w:rPr>
                <w:sz w:val="20"/>
                <w:szCs w:val="20"/>
              </w:rPr>
            </w:pPr>
            <w:r>
              <w:rPr>
                <w:spacing w:val="7"/>
                <w:sz w:val="20"/>
                <w:szCs w:val="20"/>
              </w:rPr>
              <w:t>施工营场</w:t>
            </w:r>
            <w:r>
              <w:rPr>
                <w:spacing w:val="1"/>
                <w:sz w:val="20"/>
                <w:szCs w:val="20"/>
              </w:rPr>
              <w:t xml:space="preserve"> </w:t>
            </w:r>
            <w:r>
              <w:rPr>
                <w:sz w:val="20"/>
                <w:szCs w:val="20"/>
              </w:rPr>
              <w:t>地</w:t>
            </w:r>
          </w:p>
        </w:tc>
        <w:tc>
          <w:tcPr>
            <w:tcW w:w="6117" w:type="dxa"/>
            <w:vAlign w:val="top"/>
          </w:tcPr>
          <w:p w14:paraId="3AD1E678">
            <w:pPr>
              <w:spacing w:line="288" w:lineRule="auto"/>
              <w:rPr>
                <w:rFonts w:ascii="Arial"/>
                <w:sz w:val="21"/>
              </w:rPr>
            </w:pPr>
          </w:p>
          <w:p w14:paraId="1BECD607">
            <w:pPr>
              <w:spacing w:line="288" w:lineRule="auto"/>
              <w:rPr>
                <w:rFonts w:ascii="Arial"/>
                <w:sz w:val="21"/>
              </w:rPr>
            </w:pPr>
          </w:p>
          <w:p w14:paraId="65970648">
            <w:pPr>
              <w:pStyle w:val="6"/>
              <w:spacing w:before="65" w:line="246" w:lineRule="auto"/>
              <w:ind w:left="112" w:right="98" w:firstLine="1"/>
              <w:jc w:val="both"/>
              <w:rPr>
                <w:sz w:val="20"/>
                <w:szCs w:val="20"/>
              </w:rPr>
            </w:pPr>
            <w:r>
              <w:rPr>
                <w:spacing w:val="7"/>
                <w:sz w:val="20"/>
                <w:szCs w:val="20"/>
              </w:rPr>
              <w:t>项目区共布置</w:t>
            </w:r>
            <w:r>
              <w:rPr>
                <w:spacing w:val="-10"/>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个施工营场地，位于项目地块</w:t>
            </w:r>
            <w:r>
              <w:rPr>
                <w:spacing w:val="-34"/>
                <w:sz w:val="20"/>
                <w:szCs w:val="20"/>
              </w:rPr>
              <w:t xml:space="preserve"> </w:t>
            </w:r>
            <w:r>
              <w:rPr>
                <w:rFonts w:ascii="Times New Roman" w:hAnsi="Times New Roman" w:eastAsia="Times New Roman" w:cs="Times New Roman"/>
                <w:spacing w:val="7"/>
                <w:sz w:val="20"/>
                <w:szCs w:val="20"/>
              </w:rPr>
              <w:t>8</w:t>
            </w:r>
            <w:r>
              <w:rPr>
                <w:rFonts w:ascii="Times New Roman" w:hAnsi="Times New Roman" w:eastAsia="Times New Roman" w:cs="Times New Roman"/>
                <w:spacing w:val="39"/>
                <w:w w:val="101"/>
                <w:sz w:val="20"/>
                <w:szCs w:val="20"/>
              </w:rPr>
              <w:t xml:space="preserve"> </w:t>
            </w:r>
            <w:r>
              <w:rPr>
                <w:spacing w:val="7"/>
                <w:sz w:val="20"/>
                <w:szCs w:val="20"/>
              </w:rPr>
              <w:t>内，场地中心地</w:t>
            </w:r>
            <w:r>
              <w:rPr>
                <w:sz w:val="20"/>
                <w:szCs w:val="20"/>
              </w:rPr>
              <w:t xml:space="preserve"> </w:t>
            </w:r>
            <w:r>
              <w:rPr>
                <w:spacing w:val="3"/>
                <w:sz w:val="20"/>
                <w:szCs w:val="20"/>
              </w:rPr>
              <w:t>理坐标为：东经</w:t>
            </w:r>
            <w:r>
              <w:rPr>
                <w:spacing w:val="-21"/>
                <w:sz w:val="20"/>
                <w:szCs w:val="20"/>
              </w:rPr>
              <w:t xml:space="preserve"> </w:t>
            </w:r>
            <w:r>
              <w:rPr>
                <w:rFonts w:ascii="Times New Roman" w:hAnsi="Times New Roman" w:eastAsia="Times New Roman" w:cs="Times New Roman"/>
                <w:spacing w:val="3"/>
                <w:sz w:val="20"/>
                <w:szCs w:val="20"/>
              </w:rPr>
              <w:t>103°25′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12.564″</w:t>
            </w:r>
            <w:r>
              <w:rPr>
                <w:spacing w:val="3"/>
                <w:sz w:val="20"/>
                <w:szCs w:val="20"/>
              </w:rPr>
              <w:t>，北纬</w:t>
            </w:r>
            <w:r>
              <w:rPr>
                <w:spacing w:val="-41"/>
                <w:sz w:val="20"/>
                <w:szCs w:val="20"/>
              </w:rPr>
              <w:t xml:space="preserve"> </w:t>
            </w:r>
            <w:r>
              <w:rPr>
                <w:rFonts w:ascii="Times New Roman" w:hAnsi="Times New Roman" w:eastAsia="Times New Roman" w:cs="Times New Roman"/>
                <w:spacing w:val="3"/>
                <w:sz w:val="20"/>
                <w:szCs w:val="20"/>
              </w:rPr>
              <w:t>25°41′42.938″</w:t>
            </w:r>
            <w:r>
              <w:rPr>
                <w:spacing w:val="2"/>
                <w:sz w:val="20"/>
                <w:szCs w:val="20"/>
              </w:rPr>
              <w:t>，不额外新增</w:t>
            </w:r>
            <w:r>
              <w:rPr>
                <w:sz w:val="20"/>
                <w:szCs w:val="20"/>
              </w:rPr>
              <w:t xml:space="preserve"> </w:t>
            </w:r>
            <w:r>
              <w:rPr>
                <w:spacing w:val="8"/>
                <w:sz w:val="20"/>
                <w:szCs w:val="20"/>
              </w:rPr>
              <w:t>临时用地，用地面积</w:t>
            </w:r>
            <w:r>
              <w:rPr>
                <w:spacing w:val="-39"/>
                <w:sz w:val="20"/>
                <w:szCs w:val="20"/>
              </w:rPr>
              <w:t xml:space="preserve"> </w:t>
            </w:r>
            <w:r>
              <w:rPr>
                <w:rFonts w:ascii="Times New Roman" w:hAnsi="Times New Roman" w:eastAsia="Times New Roman" w:cs="Times New Roman"/>
                <w:spacing w:val="8"/>
                <w:sz w:val="20"/>
                <w:szCs w:val="20"/>
              </w:rPr>
              <w:t xml:space="preserve">2 </w:t>
            </w:r>
            <w:r>
              <w:rPr>
                <w:spacing w:val="8"/>
                <w:sz w:val="20"/>
                <w:szCs w:val="20"/>
              </w:rPr>
              <w:t>亩（</w:t>
            </w:r>
            <w:r>
              <w:rPr>
                <w:rFonts w:ascii="Times New Roman" w:hAnsi="Times New Roman" w:eastAsia="Times New Roman" w:cs="Times New Roman"/>
                <w:spacing w:val="8"/>
                <w:sz w:val="20"/>
                <w:szCs w:val="20"/>
              </w:rPr>
              <w:t>1333m</w:t>
            </w:r>
            <w:r>
              <w:rPr>
                <w:rFonts w:ascii="Times New Roman" w:hAnsi="Times New Roman" w:eastAsia="Times New Roman" w:cs="Times New Roman"/>
                <w:spacing w:val="8"/>
                <w:position w:val="6"/>
                <w:sz w:val="13"/>
                <w:szCs w:val="13"/>
              </w:rPr>
              <w:t>2</w:t>
            </w:r>
            <w:r>
              <w:rPr>
                <w:rFonts w:ascii="Times New Roman" w:hAnsi="Times New Roman" w:eastAsia="Times New Roman" w:cs="Times New Roman"/>
                <w:spacing w:val="7"/>
                <w:position w:val="6"/>
                <w:sz w:val="13"/>
                <w:szCs w:val="13"/>
              </w:rPr>
              <w:t xml:space="preserve"> </w:t>
            </w:r>
            <w:r>
              <w:rPr>
                <w:sz w:val="20"/>
                <w:szCs w:val="20"/>
              </w:rPr>
              <w:t>），</w:t>
            </w:r>
            <w:r>
              <w:rPr>
                <w:spacing w:val="7"/>
                <w:sz w:val="20"/>
                <w:szCs w:val="20"/>
              </w:rPr>
              <w:t>主要布置材料堆场和办公</w:t>
            </w:r>
            <w:r>
              <w:rPr>
                <w:sz w:val="20"/>
                <w:szCs w:val="20"/>
              </w:rPr>
              <w:t xml:space="preserve"> </w:t>
            </w:r>
            <w:r>
              <w:rPr>
                <w:spacing w:val="9"/>
                <w:sz w:val="20"/>
                <w:szCs w:val="20"/>
              </w:rPr>
              <w:t>生活区，采用外购商品混凝土，不在厂区设置混凝土拌合站。</w:t>
            </w:r>
          </w:p>
        </w:tc>
        <w:tc>
          <w:tcPr>
            <w:tcW w:w="549" w:type="dxa"/>
            <w:tcBorders>
              <w:right w:val="single" w:color="000000" w:sz="6" w:space="0"/>
            </w:tcBorders>
            <w:textDirection w:val="tbRlV"/>
            <w:vAlign w:val="top"/>
          </w:tcPr>
          <w:p w14:paraId="447B8783">
            <w:pPr>
              <w:pStyle w:val="6"/>
              <w:spacing w:before="217" w:line="216" w:lineRule="auto"/>
              <w:ind w:left="920"/>
              <w:rPr>
                <w:sz w:val="20"/>
                <w:szCs w:val="20"/>
              </w:rPr>
            </w:pPr>
            <w:r>
              <w:rPr>
                <w:spacing w:val="8"/>
                <w:sz w:val="20"/>
                <w:szCs w:val="20"/>
              </w:rPr>
              <w:t>新</w:t>
            </w:r>
            <w:r>
              <w:rPr>
                <w:spacing w:val="-38"/>
                <w:sz w:val="20"/>
                <w:szCs w:val="20"/>
              </w:rPr>
              <w:t xml:space="preserve"> </w:t>
            </w:r>
            <w:r>
              <w:rPr>
                <w:spacing w:val="8"/>
                <w:sz w:val="20"/>
                <w:szCs w:val="20"/>
              </w:rPr>
              <w:t>建</w:t>
            </w:r>
          </w:p>
        </w:tc>
      </w:tr>
      <w:tr w14:paraId="4B674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2" w:type="dxa"/>
            <w:vMerge w:val="continue"/>
            <w:tcBorders>
              <w:top w:val="nil"/>
              <w:left w:val="single" w:color="000000" w:sz="6" w:space="0"/>
              <w:bottom w:val="nil"/>
            </w:tcBorders>
            <w:vAlign w:val="top"/>
          </w:tcPr>
          <w:p w14:paraId="117324AD">
            <w:pPr>
              <w:rPr>
                <w:rFonts w:ascii="Arial"/>
                <w:sz w:val="21"/>
              </w:rPr>
            </w:pPr>
          </w:p>
        </w:tc>
        <w:tc>
          <w:tcPr>
            <w:tcW w:w="426" w:type="dxa"/>
            <w:vMerge w:val="restart"/>
            <w:tcBorders>
              <w:bottom w:val="nil"/>
            </w:tcBorders>
            <w:textDirection w:val="tbRlV"/>
            <w:vAlign w:val="top"/>
          </w:tcPr>
          <w:p w14:paraId="2846F5AF">
            <w:pPr>
              <w:pStyle w:val="6"/>
              <w:spacing w:before="111" w:line="217" w:lineRule="auto"/>
              <w:ind w:left="1423"/>
              <w:rPr>
                <w:sz w:val="20"/>
                <w:szCs w:val="20"/>
              </w:rPr>
            </w:pPr>
            <w:r>
              <w:rPr>
                <w:spacing w:val="8"/>
                <w:sz w:val="20"/>
                <w:szCs w:val="20"/>
              </w:rPr>
              <w:t>环</w:t>
            </w:r>
            <w:r>
              <w:rPr>
                <w:spacing w:val="-36"/>
                <w:sz w:val="20"/>
                <w:szCs w:val="20"/>
              </w:rPr>
              <w:t xml:space="preserve"> </w:t>
            </w:r>
            <w:r>
              <w:rPr>
                <w:spacing w:val="8"/>
                <w:sz w:val="20"/>
                <w:szCs w:val="20"/>
              </w:rPr>
              <w:t>保</w:t>
            </w:r>
            <w:r>
              <w:rPr>
                <w:spacing w:val="-38"/>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478" w:type="dxa"/>
            <w:vMerge w:val="restart"/>
            <w:tcBorders>
              <w:bottom w:val="nil"/>
            </w:tcBorders>
            <w:textDirection w:val="tbRlV"/>
            <w:vAlign w:val="top"/>
          </w:tcPr>
          <w:p w14:paraId="55683F97">
            <w:pPr>
              <w:pStyle w:val="6"/>
              <w:spacing w:before="138" w:line="216" w:lineRule="auto"/>
              <w:ind w:left="1281"/>
              <w:rPr>
                <w:sz w:val="20"/>
                <w:szCs w:val="20"/>
              </w:rPr>
            </w:pPr>
            <w:r>
              <w:rPr>
                <w:spacing w:val="8"/>
                <w:sz w:val="20"/>
                <w:szCs w:val="20"/>
              </w:rPr>
              <w:t>废</w:t>
            </w:r>
            <w:r>
              <w:rPr>
                <w:spacing w:val="-38"/>
                <w:sz w:val="20"/>
                <w:szCs w:val="20"/>
              </w:rPr>
              <w:t xml:space="preserve"> </w:t>
            </w:r>
            <w:r>
              <w:rPr>
                <w:spacing w:val="8"/>
                <w:sz w:val="20"/>
                <w:szCs w:val="20"/>
              </w:rPr>
              <w:t>水</w:t>
            </w:r>
          </w:p>
        </w:tc>
        <w:tc>
          <w:tcPr>
            <w:tcW w:w="688" w:type="dxa"/>
            <w:vAlign w:val="top"/>
          </w:tcPr>
          <w:p w14:paraId="6889C866">
            <w:pPr>
              <w:pStyle w:val="6"/>
              <w:spacing w:before="40" w:line="230" w:lineRule="auto"/>
              <w:ind w:left="241" w:right="137" w:hanging="93"/>
              <w:rPr>
                <w:sz w:val="20"/>
                <w:szCs w:val="20"/>
              </w:rPr>
            </w:pPr>
            <w:r>
              <w:rPr>
                <w:spacing w:val="-2"/>
                <w:sz w:val="20"/>
                <w:szCs w:val="20"/>
              </w:rPr>
              <w:t>隔油</w:t>
            </w:r>
            <w:r>
              <w:rPr>
                <w:sz w:val="20"/>
                <w:szCs w:val="20"/>
              </w:rPr>
              <w:t xml:space="preserve"> 池</w:t>
            </w:r>
          </w:p>
        </w:tc>
        <w:tc>
          <w:tcPr>
            <w:tcW w:w="6117" w:type="dxa"/>
            <w:vAlign w:val="top"/>
          </w:tcPr>
          <w:p w14:paraId="5053B3F0">
            <w:pPr>
              <w:pStyle w:val="6"/>
              <w:spacing w:before="177" w:line="228" w:lineRule="auto"/>
              <w:ind w:left="112"/>
              <w:rPr>
                <w:sz w:val="20"/>
                <w:szCs w:val="20"/>
              </w:rPr>
            </w:pPr>
            <w:r>
              <w:rPr>
                <w:spacing w:val="1"/>
                <w:sz w:val="20"/>
                <w:szCs w:val="20"/>
              </w:rPr>
              <w:t>升压站设</w:t>
            </w:r>
            <w:r>
              <w:rPr>
                <w:spacing w:val="-20"/>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个</w:t>
            </w:r>
            <w:r>
              <w:rPr>
                <w:spacing w:val="-23"/>
                <w:sz w:val="20"/>
                <w:szCs w:val="20"/>
              </w:rPr>
              <w:t xml:space="preserve"> </w:t>
            </w:r>
            <w:r>
              <w:rPr>
                <w:rFonts w:ascii="Times New Roman" w:hAnsi="Times New Roman" w:eastAsia="Times New Roman" w:cs="Times New Roman"/>
                <w:spacing w:val="1"/>
                <w:sz w:val="20"/>
                <w:szCs w:val="20"/>
              </w:rPr>
              <w:t>1m</w:t>
            </w:r>
            <w:r>
              <w:rPr>
                <w:rFonts w:ascii="Times New Roman" w:hAnsi="Times New Roman" w:eastAsia="Times New Roman" w:cs="Times New Roman"/>
                <w:spacing w:val="1"/>
                <w:position w:val="6"/>
                <w:sz w:val="13"/>
                <w:szCs w:val="13"/>
              </w:rPr>
              <w:t xml:space="preserve">3  </w:t>
            </w:r>
            <w:r>
              <w:rPr>
                <w:spacing w:val="1"/>
                <w:sz w:val="20"/>
                <w:szCs w:val="20"/>
              </w:rPr>
              <w:t>的隔油池</w:t>
            </w:r>
          </w:p>
        </w:tc>
        <w:tc>
          <w:tcPr>
            <w:tcW w:w="549" w:type="dxa"/>
            <w:tcBorders>
              <w:right w:val="single" w:color="000000" w:sz="6" w:space="0"/>
            </w:tcBorders>
            <w:textDirection w:val="tbRlV"/>
            <w:vAlign w:val="top"/>
          </w:tcPr>
          <w:p w14:paraId="6AA71248">
            <w:pPr>
              <w:pStyle w:val="6"/>
              <w:spacing w:before="217" w:line="216" w:lineRule="auto"/>
              <w:ind w:left="40"/>
              <w:rPr>
                <w:sz w:val="20"/>
                <w:szCs w:val="20"/>
              </w:rPr>
            </w:pPr>
            <w:r>
              <w:rPr>
                <w:spacing w:val="8"/>
                <w:sz w:val="20"/>
                <w:szCs w:val="20"/>
              </w:rPr>
              <w:t>新</w:t>
            </w:r>
            <w:r>
              <w:rPr>
                <w:spacing w:val="-35"/>
                <w:sz w:val="20"/>
                <w:szCs w:val="20"/>
              </w:rPr>
              <w:t xml:space="preserve"> </w:t>
            </w:r>
            <w:r>
              <w:rPr>
                <w:spacing w:val="8"/>
                <w:sz w:val="20"/>
                <w:szCs w:val="20"/>
              </w:rPr>
              <w:t>建</w:t>
            </w:r>
          </w:p>
        </w:tc>
      </w:tr>
      <w:tr w14:paraId="12AFF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2" w:type="dxa"/>
            <w:vMerge w:val="continue"/>
            <w:tcBorders>
              <w:top w:val="nil"/>
              <w:left w:val="single" w:color="000000" w:sz="6" w:space="0"/>
              <w:bottom w:val="nil"/>
            </w:tcBorders>
            <w:vAlign w:val="top"/>
          </w:tcPr>
          <w:p w14:paraId="76BC1DC6">
            <w:pPr>
              <w:rPr>
                <w:rFonts w:ascii="Arial"/>
                <w:sz w:val="21"/>
              </w:rPr>
            </w:pPr>
          </w:p>
        </w:tc>
        <w:tc>
          <w:tcPr>
            <w:tcW w:w="426" w:type="dxa"/>
            <w:vMerge w:val="continue"/>
            <w:tcBorders>
              <w:top w:val="nil"/>
              <w:bottom w:val="nil"/>
            </w:tcBorders>
            <w:textDirection w:val="tbRlV"/>
            <w:vAlign w:val="top"/>
          </w:tcPr>
          <w:p w14:paraId="0BD6AF20">
            <w:pPr>
              <w:rPr>
                <w:rFonts w:ascii="Arial"/>
                <w:sz w:val="21"/>
              </w:rPr>
            </w:pPr>
          </w:p>
        </w:tc>
        <w:tc>
          <w:tcPr>
            <w:tcW w:w="478" w:type="dxa"/>
            <w:vMerge w:val="continue"/>
            <w:tcBorders>
              <w:top w:val="nil"/>
              <w:bottom w:val="nil"/>
            </w:tcBorders>
            <w:textDirection w:val="tbRlV"/>
            <w:vAlign w:val="top"/>
          </w:tcPr>
          <w:p w14:paraId="637245B6">
            <w:pPr>
              <w:rPr>
                <w:rFonts w:ascii="Arial"/>
                <w:sz w:val="21"/>
              </w:rPr>
            </w:pPr>
          </w:p>
        </w:tc>
        <w:tc>
          <w:tcPr>
            <w:tcW w:w="688" w:type="dxa"/>
            <w:vAlign w:val="top"/>
          </w:tcPr>
          <w:p w14:paraId="465375C2">
            <w:pPr>
              <w:pStyle w:val="6"/>
              <w:spacing w:before="41" w:line="229" w:lineRule="auto"/>
              <w:ind w:left="240" w:right="137" w:hanging="104"/>
              <w:rPr>
                <w:sz w:val="20"/>
                <w:szCs w:val="20"/>
              </w:rPr>
            </w:pPr>
            <w:r>
              <w:rPr>
                <w:spacing w:val="4"/>
                <w:sz w:val="20"/>
                <w:szCs w:val="20"/>
              </w:rPr>
              <w:t>化粪</w:t>
            </w:r>
            <w:r>
              <w:rPr>
                <w:sz w:val="20"/>
                <w:szCs w:val="20"/>
              </w:rPr>
              <w:t xml:space="preserve"> 池</w:t>
            </w:r>
          </w:p>
        </w:tc>
        <w:tc>
          <w:tcPr>
            <w:tcW w:w="6117" w:type="dxa"/>
            <w:vAlign w:val="top"/>
          </w:tcPr>
          <w:p w14:paraId="33905F77">
            <w:pPr>
              <w:pStyle w:val="6"/>
              <w:spacing w:before="175" w:line="228" w:lineRule="auto"/>
              <w:ind w:left="112"/>
              <w:rPr>
                <w:sz w:val="20"/>
                <w:szCs w:val="20"/>
              </w:rPr>
            </w:pPr>
            <w:r>
              <w:rPr>
                <w:spacing w:val="2"/>
                <w:sz w:val="20"/>
                <w:szCs w:val="20"/>
              </w:rPr>
              <w:t>升压站设</w:t>
            </w:r>
            <w:r>
              <w:rPr>
                <w:spacing w:val="-21"/>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个</w:t>
            </w:r>
            <w:r>
              <w:rPr>
                <w:spacing w:val="-38"/>
                <w:sz w:val="20"/>
                <w:szCs w:val="20"/>
              </w:rPr>
              <w:t xml:space="preserve"> </w:t>
            </w:r>
            <w:r>
              <w:rPr>
                <w:rFonts w:ascii="Times New Roman" w:hAnsi="Times New Roman" w:eastAsia="Times New Roman" w:cs="Times New Roman"/>
                <w:spacing w:val="2"/>
                <w:sz w:val="20"/>
                <w:szCs w:val="20"/>
              </w:rPr>
              <w:t>5m</w:t>
            </w:r>
            <w:r>
              <w:rPr>
                <w:rFonts w:ascii="Times New Roman" w:hAnsi="Times New Roman" w:eastAsia="Times New Roman" w:cs="Times New Roman"/>
                <w:spacing w:val="2"/>
                <w:position w:val="6"/>
                <w:sz w:val="13"/>
                <w:szCs w:val="13"/>
              </w:rPr>
              <w:t xml:space="preserve">3  </w:t>
            </w:r>
            <w:r>
              <w:rPr>
                <w:spacing w:val="2"/>
                <w:sz w:val="20"/>
                <w:szCs w:val="20"/>
              </w:rPr>
              <w:t>的化粪池</w:t>
            </w:r>
          </w:p>
        </w:tc>
        <w:tc>
          <w:tcPr>
            <w:tcW w:w="549" w:type="dxa"/>
            <w:tcBorders>
              <w:right w:val="single" w:color="000000" w:sz="6" w:space="0"/>
            </w:tcBorders>
            <w:textDirection w:val="tbRlV"/>
            <w:vAlign w:val="top"/>
          </w:tcPr>
          <w:p w14:paraId="0873CFCD">
            <w:pPr>
              <w:pStyle w:val="6"/>
              <w:spacing w:before="217" w:line="216" w:lineRule="auto"/>
              <w:ind w:left="41"/>
              <w:rPr>
                <w:sz w:val="20"/>
                <w:szCs w:val="20"/>
              </w:rPr>
            </w:pPr>
            <w:r>
              <w:rPr>
                <w:spacing w:val="8"/>
                <w:sz w:val="20"/>
                <w:szCs w:val="20"/>
              </w:rPr>
              <w:t>新</w:t>
            </w:r>
            <w:r>
              <w:rPr>
                <w:spacing w:val="-38"/>
                <w:sz w:val="20"/>
                <w:szCs w:val="20"/>
              </w:rPr>
              <w:t xml:space="preserve"> </w:t>
            </w:r>
            <w:r>
              <w:rPr>
                <w:spacing w:val="8"/>
                <w:sz w:val="20"/>
                <w:szCs w:val="20"/>
              </w:rPr>
              <w:t>建</w:t>
            </w:r>
          </w:p>
        </w:tc>
      </w:tr>
      <w:tr w14:paraId="574A9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802" w:type="dxa"/>
            <w:vMerge w:val="continue"/>
            <w:tcBorders>
              <w:top w:val="nil"/>
              <w:left w:val="single" w:color="000000" w:sz="6" w:space="0"/>
              <w:bottom w:val="nil"/>
            </w:tcBorders>
            <w:vAlign w:val="top"/>
          </w:tcPr>
          <w:p w14:paraId="597C23CE">
            <w:pPr>
              <w:rPr>
                <w:rFonts w:ascii="Arial"/>
                <w:sz w:val="21"/>
              </w:rPr>
            </w:pPr>
          </w:p>
        </w:tc>
        <w:tc>
          <w:tcPr>
            <w:tcW w:w="426" w:type="dxa"/>
            <w:vMerge w:val="continue"/>
            <w:tcBorders>
              <w:top w:val="nil"/>
              <w:bottom w:val="nil"/>
            </w:tcBorders>
            <w:textDirection w:val="tbRlV"/>
            <w:vAlign w:val="top"/>
          </w:tcPr>
          <w:p w14:paraId="7649327C">
            <w:pPr>
              <w:rPr>
                <w:rFonts w:ascii="Arial"/>
                <w:sz w:val="21"/>
              </w:rPr>
            </w:pPr>
          </w:p>
        </w:tc>
        <w:tc>
          <w:tcPr>
            <w:tcW w:w="478" w:type="dxa"/>
            <w:vMerge w:val="continue"/>
            <w:tcBorders>
              <w:top w:val="nil"/>
              <w:bottom w:val="nil"/>
            </w:tcBorders>
            <w:textDirection w:val="tbRlV"/>
            <w:vAlign w:val="top"/>
          </w:tcPr>
          <w:p w14:paraId="202C103C">
            <w:pPr>
              <w:rPr>
                <w:rFonts w:ascii="Arial"/>
                <w:sz w:val="21"/>
              </w:rPr>
            </w:pPr>
          </w:p>
        </w:tc>
        <w:tc>
          <w:tcPr>
            <w:tcW w:w="688" w:type="dxa"/>
            <w:vAlign w:val="top"/>
          </w:tcPr>
          <w:p w14:paraId="2CB9FF19">
            <w:pPr>
              <w:pStyle w:val="6"/>
              <w:spacing w:before="45" w:line="242" w:lineRule="auto"/>
              <w:ind w:left="136" w:right="137" w:firstLine="2"/>
              <w:jc w:val="both"/>
              <w:rPr>
                <w:sz w:val="20"/>
                <w:szCs w:val="20"/>
              </w:rPr>
            </w:pPr>
            <w:r>
              <w:rPr>
                <w:spacing w:val="3"/>
                <w:sz w:val="20"/>
                <w:szCs w:val="20"/>
              </w:rPr>
              <w:t>一体</w:t>
            </w:r>
            <w:r>
              <w:rPr>
                <w:sz w:val="20"/>
                <w:szCs w:val="20"/>
              </w:rPr>
              <w:t xml:space="preserve"> </w:t>
            </w:r>
            <w:r>
              <w:rPr>
                <w:spacing w:val="4"/>
                <w:sz w:val="20"/>
                <w:szCs w:val="20"/>
              </w:rPr>
              <w:t>化污</w:t>
            </w:r>
            <w:r>
              <w:rPr>
                <w:sz w:val="20"/>
                <w:szCs w:val="20"/>
              </w:rPr>
              <w:t xml:space="preserve"> </w:t>
            </w:r>
            <w:r>
              <w:rPr>
                <w:spacing w:val="4"/>
                <w:sz w:val="20"/>
                <w:szCs w:val="20"/>
              </w:rPr>
              <w:t>水处</w:t>
            </w:r>
            <w:r>
              <w:rPr>
                <w:sz w:val="20"/>
                <w:szCs w:val="20"/>
              </w:rPr>
              <w:t xml:space="preserve"> </w:t>
            </w:r>
            <w:r>
              <w:rPr>
                <w:spacing w:val="4"/>
                <w:sz w:val="20"/>
                <w:szCs w:val="20"/>
              </w:rPr>
              <w:t>理设</w:t>
            </w:r>
            <w:r>
              <w:rPr>
                <w:sz w:val="20"/>
                <w:szCs w:val="20"/>
              </w:rPr>
              <w:t xml:space="preserve"> </w:t>
            </w:r>
            <w:r>
              <w:rPr>
                <w:spacing w:val="29"/>
                <w:w w:val="138"/>
                <w:sz w:val="20"/>
                <w:szCs w:val="20"/>
              </w:rPr>
              <w:t>施</w:t>
            </w:r>
          </w:p>
        </w:tc>
        <w:tc>
          <w:tcPr>
            <w:tcW w:w="6117" w:type="dxa"/>
            <w:vAlign w:val="top"/>
          </w:tcPr>
          <w:p w14:paraId="65299F44">
            <w:pPr>
              <w:spacing w:line="245" w:lineRule="auto"/>
              <w:rPr>
                <w:rFonts w:ascii="Arial"/>
                <w:sz w:val="21"/>
              </w:rPr>
            </w:pPr>
          </w:p>
          <w:p w14:paraId="1A5F99DC">
            <w:pPr>
              <w:pStyle w:val="6"/>
              <w:spacing w:before="65" w:line="244" w:lineRule="auto"/>
              <w:ind w:left="112" w:right="98"/>
              <w:jc w:val="both"/>
              <w:rPr>
                <w:sz w:val="20"/>
                <w:szCs w:val="20"/>
              </w:rPr>
            </w:pPr>
            <w:r>
              <w:rPr>
                <w:spacing w:val="8"/>
                <w:sz w:val="20"/>
                <w:szCs w:val="20"/>
              </w:rPr>
              <w:t>升压站办公生活区设置</w:t>
            </w:r>
            <w:r>
              <w:rPr>
                <w:spacing w:val="-20"/>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6"/>
                <w:sz w:val="20"/>
                <w:szCs w:val="20"/>
              </w:rPr>
              <w:t xml:space="preserve"> </w:t>
            </w:r>
            <w:r>
              <w:rPr>
                <w:spacing w:val="8"/>
                <w:sz w:val="20"/>
                <w:szCs w:val="20"/>
              </w:rPr>
              <w:t>座处理规模为</w:t>
            </w:r>
            <w:r>
              <w:rPr>
                <w:spacing w:val="-41"/>
                <w:sz w:val="20"/>
                <w:szCs w:val="20"/>
              </w:rPr>
              <w:t xml:space="preserve"> </w:t>
            </w:r>
            <w:r>
              <w:rPr>
                <w:rFonts w:ascii="Times New Roman" w:hAnsi="Times New Roman" w:eastAsia="Times New Roman" w:cs="Times New Roman"/>
                <w:spacing w:val="8"/>
                <w:sz w:val="20"/>
                <w:szCs w:val="20"/>
              </w:rPr>
              <w:t>2m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8"/>
                <w:sz w:val="20"/>
                <w:szCs w:val="20"/>
              </w:rPr>
              <w:t>/d</w:t>
            </w:r>
            <w:r>
              <w:rPr>
                <w:rFonts w:ascii="Times New Roman" w:hAnsi="Times New Roman" w:eastAsia="Times New Roman" w:cs="Times New Roman"/>
                <w:spacing w:val="31"/>
                <w:w w:val="101"/>
                <w:sz w:val="20"/>
                <w:szCs w:val="20"/>
              </w:rPr>
              <w:t xml:space="preserve"> </w:t>
            </w:r>
            <w:r>
              <w:rPr>
                <w:spacing w:val="8"/>
                <w:sz w:val="20"/>
                <w:szCs w:val="20"/>
              </w:rPr>
              <w:t>的一体</w:t>
            </w:r>
            <w:r>
              <w:rPr>
                <w:spacing w:val="7"/>
                <w:sz w:val="20"/>
                <w:szCs w:val="20"/>
              </w:rPr>
              <w:t>化污水处理</w:t>
            </w:r>
            <w:r>
              <w:rPr>
                <w:sz w:val="20"/>
                <w:szCs w:val="20"/>
              </w:rPr>
              <w:t xml:space="preserve"> </w:t>
            </w:r>
            <w:r>
              <w:rPr>
                <w:spacing w:val="11"/>
                <w:sz w:val="20"/>
                <w:szCs w:val="20"/>
              </w:rPr>
              <w:t>设施，采用生物接触氧化法工艺，出水水质标</w:t>
            </w:r>
            <w:r>
              <w:rPr>
                <w:spacing w:val="10"/>
                <w:sz w:val="20"/>
                <w:szCs w:val="20"/>
              </w:rPr>
              <w:t>准为《城市污水再</w:t>
            </w:r>
            <w:r>
              <w:rPr>
                <w:sz w:val="20"/>
                <w:szCs w:val="20"/>
              </w:rPr>
              <w:t xml:space="preserve"> </w:t>
            </w:r>
            <w:r>
              <w:rPr>
                <w:spacing w:val="8"/>
                <w:sz w:val="20"/>
                <w:szCs w:val="20"/>
              </w:rPr>
              <w:t>生利用 城市杂用水水质》（</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/T1892</w:t>
            </w:r>
            <w:r>
              <w:rPr>
                <w:rFonts w:ascii="Times New Roman" w:hAnsi="Times New Roman" w:eastAsia="Times New Roman" w:cs="Times New Roman"/>
                <w:spacing w:val="7"/>
                <w:sz w:val="20"/>
                <w:szCs w:val="20"/>
              </w:rPr>
              <w:t>0-2020</w:t>
            </w:r>
            <w:r>
              <w:rPr>
                <w:spacing w:val="7"/>
                <w:sz w:val="20"/>
                <w:szCs w:val="20"/>
              </w:rPr>
              <w:t>）中绿化标准。</w:t>
            </w:r>
          </w:p>
        </w:tc>
        <w:tc>
          <w:tcPr>
            <w:tcW w:w="549" w:type="dxa"/>
            <w:tcBorders>
              <w:right w:val="single" w:color="000000" w:sz="6" w:space="0"/>
            </w:tcBorders>
            <w:textDirection w:val="tbRlV"/>
            <w:vAlign w:val="top"/>
          </w:tcPr>
          <w:p w14:paraId="32A77F30">
            <w:pPr>
              <w:pStyle w:val="6"/>
              <w:spacing w:before="217" w:line="216" w:lineRule="auto"/>
              <w:ind w:left="450"/>
              <w:rPr>
                <w:sz w:val="20"/>
                <w:szCs w:val="20"/>
              </w:rPr>
            </w:pPr>
            <w:r>
              <w:rPr>
                <w:spacing w:val="8"/>
                <w:sz w:val="20"/>
                <w:szCs w:val="20"/>
              </w:rPr>
              <w:t>新</w:t>
            </w:r>
            <w:r>
              <w:rPr>
                <w:spacing w:val="-35"/>
                <w:sz w:val="20"/>
                <w:szCs w:val="20"/>
              </w:rPr>
              <w:t xml:space="preserve"> </w:t>
            </w:r>
            <w:r>
              <w:rPr>
                <w:spacing w:val="8"/>
                <w:sz w:val="20"/>
                <w:szCs w:val="20"/>
              </w:rPr>
              <w:t>建</w:t>
            </w:r>
          </w:p>
        </w:tc>
      </w:tr>
      <w:tr w14:paraId="713B4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2" w:type="dxa"/>
            <w:vMerge w:val="continue"/>
            <w:tcBorders>
              <w:top w:val="nil"/>
              <w:left w:val="single" w:color="000000" w:sz="6" w:space="0"/>
              <w:bottom w:val="nil"/>
            </w:tcBorders>
            <w:vAlign w:val="top"/>
          </w:tcPr>
          <w:p w14:paraId="70504B2A">
            <w:pPr>
              <w:rPr>
                <w:rFonts w:ascii="Arial"/>
                <w:sz w:val="21"/>
              </w:rPr>
            </w:pPr>
          </w:p>
        </w:tc>
        <w:tc>
          <w:tcPr>
            <w:tcW w:w="426" w:type="dxa"/>
            <w:vMerge w:val="continue"/>
            <w:tcBorders>
              <w:top w:val="nil"/>
              <w:bottom w:val="nil"/>
            </w:tcBorders>
            <w:textDirection w:val="tbRlV"/>
            <w:vAlign w:val="top"/>
          </w:tcPr>
          <w:p w14:paraId="38F9BAF9">
            <w:pPr>
              <w:rPr>
                <w:rFonts w:ascii="Arial"/>
                <w:sz w:val="21"/>
              </w:rPr>
            </w:pPr>
          </w:p>
        </w:tc>
        <w:tc>
          <w:tcPr>
            <w:tcW w:w="478" w:type="dxa"/>
            <w:vMerge w:val="continue"/>
            <w:tcBorders>
              <w:top w:val="nil"/>
            </w:tcBorders>
            <w:textDirection w:val="tbRlV"/>
            <w:vAlign w:val="top"/>
          </w:tcPr>
          <w:p w14:paraId="5757EBCF">
            <w:pPr>
              <w:rPr>
                <w:rFonts w:ascii="Arial"/>
                <w:sz w:val="21"/>
              </w:rPr>
            </w:pPr>
          </w:p>
        </w:tc>
        <w:tc>
          <w:tcPr>
            <w:tcW w:w="688" w:type="dxa"/>
            <w:vAlign w:val="top"/>
          </w:tcPr>
          <w:p w14:paraId="021A8472">
            <w:pPr>
              <w:pStyle w:val="6"/>
              <w:spacing w:before="44" w:line="228" w:lineRule="auto"/>
              <w:ind w:left="240" w:right="137" w:hanging="85"/>
              <w:rPr>
                <w:sz w:val="20"/>
                <w:szCs w:val="20"/>
              </w:rPr>
            </w:pPr>
            <w:r>
              <w:rPr>
                <w:spacing w:val="-5"/>
                <w:sz w:val="20"/>
                <w:szCs w:val="20"/>
              </w:rPr>
              <w:t>中水</w:t>
            </w:r>
            <w:r>
              <w:rPr>
                <w:sz w:val="20"/>
                <w:szCs w:val="20"/>
              </w:rPr>
              <w:t xml:space="preserve"> 池</w:t>
            </w:r>
          </w:p>
        </w:tc>
        <w:tc>
          <w:tcPr>
            <w:tcW w:w="6117" w:type="dxa"/>
            <w:vAlign w:val="top"/>
          </w:tcPr>
          <w:p w14:paraId="5B36732A">
            <w:pPr>
              <w:pStyle w:val="6"/>
              <w:spacing w:before="178" w:line="228" w:lineRule="auto"/>
              <w:ind w:left="113"/>
              <w:rPr>
                <w:sz w:val="20"/>
                <w:szCs w:val="20"/>
              </w:rPr>
            </w:pPr>
            <w:r>
              <w:rPr>
                <w:spacing w:val="4"/>
                <w:sz w:val="20"/>
                <w:szCs w:val="20"/>
              </w:rPr>
              <w:t>一体化污水处理设施旁设置</w:t>
            </w:r>
            <w:r>
              <w:rPr>
                <w:spacing w:val="-20"/>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座</w:t>
            </w:r>
            <w:r>
              <w:rPr>
                <w:spacing w:val="-23"/>
                <w:sz w:val="20"/>
                <w:szCs w:val="20"/>
              </w:rPr>
              <w:t xml:space="preserve"> </w:t>
            </w:r>
            <w:r>
              <w:rPr>
                <w:rFonts w:ascii="Times New Roman" w:hAnsi="Times New Roman" w:eastAsia="Times New Roman" w:cs="Times New Roman"/>
                <w:spacing w:val="4"/>
                <w:sz w:val="20"/>
                <w:szCs w:val="20"/>
              </w:rPr>
              <w:t>10m</w:t>
            </w:r>
            <w:r>
              <w:rPr>
                <w:rFonts w:ascii="Times New Roman" w:hAnsi="Times New Roman" w:eastAsia="Times New Roman" w:cs="Times New Roman"/>
                <w:spacing w:val="4"/>
                <w:position w:val="6"/>
                <w:sz w:val="13"/>
                <w:szCs w:val="13"/>
              </w:rPr>
              <w:t xml:space="preserve">3  </w:t>
            </w:r>
            <w:r>
              <w:rPr>
                <w:spacing w:val="4"/>
                <w:sz w:val="20"/>
                <w:szCs w:val="20"/>
              </w:rPr>
              <w:t>的中水池</w:t>
            </w:r>
          </w:p>
        </w:tc>
        <w:tc>
          <w:tcPr>
            <w:tcW w:w="549" w:type="dxa"/>
            <w:tcBorders>
              <w:right w:val="single" w:color="000000" w:sz="6" w:space="0"/>
            </w:tcBorders>
            <w:textDirection w:val="tbRlV"/>
            <w:vAlign w:val="top"/>
          </w:tcPr>
          <w:p w14:paraId="2ABC518C">
            <w:pPr>
              <w:pStyle w:val="6"/>
              <w:spacing w:before="217" w:line="216" w:lineRule="auto"/>
              <w:ind w:left="44"/>
              <w:rPr>
                <w:sz w:val="20"/>
                <w:szCs w:val="20"/>
              </w:rPr>
            </w:pPr>
            <w:r>
              <w:rPr>
                <w:spacing w:val="8"/>
                <w:sz w:val="20"/>
                <w:szCs w:val="20"/>
              </w:rPr>
              <w:t>新</w:t>
            </w:r>
            <w:r>
              <w:rPr>
                <w:spacing w:val="-38"/>
                <w:sz w:val="20"/>
                <w:szCs w:val="20"/>
              </w:rPr>
              <w:t xml:space="preserve"> </w:t>
            </w:r>
            <w:r>
              <w:rPr>
                <w:spacing w:val="8"/>
                <w:sz w:val="20"/>
                <w:szCs w:val="20"/>
              </w:rPr>
              <w:t>建</w:t>
            </w:r>
          </w:p>
        </w:tc>
      </w:tr>
      <w:tr w14:paraId="7B29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802" w:type="dxa"/>
            <w:vMerge w:val="continue"/>
            <w:tcBorders>
              <w:top w:val="nil"/>
              <w:left w:val="single" w:color="000000" w:sz="6" w:space="0"/>
              <w:bottom w:val="single" w:color="000000" w:sz="6" w:space="0"/>
            </w:tcBorders>
            <w:vAlign w:val="top"/>
          </w:tcPr>
          <w:p w14:paraId="4F2BA360">
            <w:pPr>
              <w:rPr>
                <w:rFonts w:ascii="Arial"/>
                <w:sz w:val="21"/>
              </w:rPr>
            </w:pPr>
          </w:p>
        </w:tc>
        <w:tc>
          <w:tcPr>
            <w:tcW w:w="426" w:type="dxa"/>
            <w:vMerge w:val="continue"/>
            <w:tcBorders>
              <w:top w:val="nil"/>
              <w:bottom w:val="single" w:color="000000" w:sz="6" w:space="0"/>
            </w:tcBorders>
            <w:textDirection w:val="tbRlV"/>
            <w:vAlign w:val="top"/>
          </w:tcPr>
          <w:p w14:paraId="335BA4B8">
            <w:pPr>
              <w:rPr>
                <w:rFonts w:ascii="Arial"/>
                <w:sz w:val="21"/>
              </w:rPr>
            </w:pPr>
          </w:p>
        </w:tc>
        <w:tc>
          <w:tcPr>
            <w:tcW w:w="478" w:type="dxa"/>
            <w:tcBorders>
              <w:bottom w:val="single" w:color="000000" w:sz="6" w:space="0"/>
            </w:tcBorders>
            <w:textDirection w:val="tbRlV"/>
            <w:vAlign w:val="top"/>
          </w:tcPr>
          <w:p w14:paraId="5F3EE81A">
            <w:pPr>
              <w:pStyle w:val="6"/>
              <w:spacing w:before="138" w:line="217" w:lineRule="auto"/>
              <w:ind w:left="181"/>
              <w:rPr>
                <w:sz w:val="20"/>
                <w:szCs w:val="20"/>
              </w:rPr>
            </w:pPr>
            <w:r>
              <w:rPr>
                <w:spacing w:val="8"/>
                <w:sz w:val="20"/>
                <w:szCs w:val="20"/>
              </w:rPr>
              <w:t>废</w:t>
            </w:r>
            <w:r>
              <w:rPr>
                <w:spacing w:val="-38"/>
                <w:sz w:val="20"/>
                <w:szCs w:val="20"/>
              </w:rPr>
              <w:t xml:space="preserve"> </w:t>
            </w:r>
            <w:r>
              <w:rPr>
                <w:spacing w:val="8"/>
                <w:sz w:val="20"/>
                <w:szCs w:val="20"/>
              </w:rPr>
              <w:t>气</w:t>
            </w:r>
          </w:p>
        </w:tc>
        <w:tc>
          <w:tcPr>
            <w:tcW w:w="688" w:type="dxa"/>
            <w:tcBorders>
              <w:bottom w:val="single" w:color="000000" w:sz="6" w:space="0"/>
            </w:tcBorders>
            <w:vAlign w:val="top"/>
          </w:tcPr>
          <w:p w14:paraId="07B8A51E">
            <w:pPr>
              <w:pStyle w:val="6"/>
              <w:spacing w:before="45" w:line="245" w:lineRule="auto"/>
              <w:ind w:left="138" w:right="137"/>
              <w:jc w:val="both"/>
              <w:rPr>
                <w:sz w:val="20"/>
                <w:szCs w:val="20"/>
              </w:rPr>
            </w:pPr>
            <w:r>
              <w:rPr>
                <w:spacing w:val="3"/>
                <w:sz w:val="20"/>
                <w:szCs w:val="20"/>
              </w:rPr>
              <w:t>油烟</w:t>
            </w:r>
            <w:r>
              <w:rPr>
                <w:sz w:val="20"/>
                <w:szCs w:val="20"/>
              </w:rPr>
              <w:t xml:space="preserve"> </w:t>
            </w:r>
            <w:r>
              <w:rPr>
                <w:spacing w:val="3"/>
                <w:sz w:val="20"/>
                <w:szCs w:val="20"/>
              </w:rPr>
              <w:t>净化</w:t>
            </w:r>
            <w:r>
              <w:rPr>
                <w:sz w:val="20"/>
                <w:szCs w:val="20"/>
              </w:rPr>
              <w:t xml:space="preserve"> </w:t>
            </w:r>
            <w:r>
              <w:rPr>
                <w:spacing w:val="31"/>
                <w:w w:val="136"/>
                <w:sz w:val="20"/>
                <w:szCs w:val="20"/>
              </w:rPr>
              <w:t>器</w:t>
            </w:r>
          </w:p>
        </w:tc>
        <w:tc>
          <w:tcPr>
            <w:tcW w:w="6117" w:type="dxa"/>
            <w:tcBorders>
              <w:bottom w:val="single" w:color="000000" w:sz="6" w:space="0"/>
            </w:tcBorders>
            <w:vAlign w:val="top"/>
          </w:tcPr>
          <w:p w14:paraId="451384B3">
            <w:pPr>
              <w:pStyle w:val="6"/>
              <w:spacing w:before="181" w:line="239" w:lineRule="auto"/>
              <w:ind w:left="112" w:right="100"/>
              <w:rPr>
                <w:sz w:val="20"/>
                <w:szCs w:val="20"/>
              </w:rPr>
            </w:pPr>
            <w:r>
              <w:rPr>
                <w:spacing w:val="5"/>
                <w:sz w:val="20"/>
                <w:szCs w:val="20"/>
              </w:rPr>
              <w:t>综合楼备餐间内设置</w:t>
            </w:r>
            <w:r>
              <w:rPr>
                <w:spacing w:val="-16"/>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套集气罩</w:t>
            </w:r>
            <w:r>
              <w:rPr>
                <w:rFonts w:ascii="Times New Roman" w:hAnsi="Times New Roman" w:eastAsia="Times New Roman" w:cs="Times New Roman"/>
                <w:spacing w:val="5"/>
                <w:sz w:val="20"/>
                <w:szCs w:val="20"/>
              </w:rPr>
              <w:t>+</w:t>
            </w:r>
            <w:r>
              <w:rPr>
                <w:spacing w:val="5"/>
                <w:sz w:val="20"/>
                <w:szCs w:val="20"/>
              </w:rPr>
              <w:t>油烟净化器，厨房油烟经净化处</w:t>
            </w:r>
            <w:r>
              <w:rPr>
                <w:sz w:val="20"/>
                <w:szCs w:val="20"/>
              </w:rPr>
              <w:t xml:space="preserve"> </w:t>
            </w:r>
            <w:r>
              <w:rPr>
                <w:spacing w:val="8"/>
                <w:sz w:val="20"/>
                <w:szCs w:val="20"/>
              </w:rPr>
              <w:t>理后引至屋顶排放</w:t>
            </w:r>
          </w:p>
        </w:tc>
        <w:tc>
          <w:tcPr>
            <w:tcW w:w="549" w:type="dxa"/>
            <w:tcBorders>
              <w:bottom w:val="single" w:color="000000" w:sz="6" w:space="0"/>
              <w:right w:val="single" w:color="000000" w:sz="6" w:space="0"/>
            </w:tcBorders>
            <w:textDirection w:val="tbRlV"/>
            <w:vAlign w:val="top"/>
          </w:tcPr>
          <w:p w14:paraId="064AC736">
            <w:pPr>
              <w:pStyle w:val="6"/>
              <w:spacing w:before="217" w:line="216" w:lineRule="auto"/>
              <w:ind w:left="181"/>
              <w:rPr>
                <w:sz w:val="20"/>
                <w:szCs w:val="20"/>
              </w:rPr>
            </w:pPr>
            <w:r>
              <w:rPr>
                <w:spacing w:val="8"/>
                <w:sz w:val="20"/>
                <w:szCs w:val="20"/>
              </w:rPr>
              <w:t>新</w:t>
            </w:r>
            <w:r>
              <w:rPr>
                <w:spacing w:val="-38"/>
                <w:sz w:val="20"/>
                <w:szCs w:val="20"/>
              </w:rPr>
              <w:t xml:space="preserve"> </w:t>
            </w:r>
            <w:r>
              <w:rPr>
                <w:spacing w:val="8"/>
                <w:sz w:val="20"/>
                <w:szCs w:val="20"/>
              </w:rPr>
              <w:t>建</w:t>
            </w:r>
          </w:p>
        </w:tc>
      </w:tr>
    </w:tbl>
    <w:p w14:paraId="611C8B27">
      <w:pPr>
        <w:rPr>
          <w:rFonts w:ascii="Arial"/>
          <w:sz w:val="21"/>
        </w:rPr>
      </w:pPr>
    </w:p>
    <w:p w14:paraId="53D76210">
      <w:pPr>
        <w:rPr>
          <w:rFonts w:ascii="Arial" w:hAnsi="Arial" w:eastAsia="Arial" w:cs="Arial"/>
          <w:sz w:val="21"/>
          <w:szCs w:val="21"/>
        </w:rPr>
        <w:sectPr>
          <w:footerReference r:id="rId53" w:type="default"/>
          <w:pgSz w:w="11906" w:h="16839"/>
          <w:pgMar w:top="1431" w:right="1415" w:bottom="1278" w:left="1415" w:header="0" w:footer="1116" w:gutter="0"/>
          <w:cols w:space="720" w:num="1"/>
        </w:sectPr>
      </w:pPr>
    </w:p>
    <w:p w14:paraId="2CF8A832">
      <w:pPr>
        <w:spacing w:line="99" w:lineRule="exact"/>
      </w:pPr>
    </w:p>
    <w:tbl>
      <w:tblPr>
        <w:tblStyle w:val="5"/>
        <w:tblW w:w="90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9"/>
        <w:gridCol w:w="8371"/>
      </w:tblGrid>
      <w:tr w14:paraId="074B5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30" w:hRule="atLeast"/>
        </w:trPr>
        <w:tc>
          <w:tcPr>
            <w:tcW w:w="689" w:type="dxa"/>
            <w:tcBorders>
              <w:top w:val="single" w:color="000000" w:sz="4" w:space="0"/>
              <w:right w:val="single" w:color="000000" w:sz="2" w:space="0"/>
            </w:tcBorders>
            <w:vAlign w:val="top"/>
          </w:tcPr>
          <w:p w14:paraId="22DA7185">
            <w:pPr>
              <w:rPr>
                <w:rFonts w:ascii="Arial"/>
                <w:sz w:val="21"/>
              </w:rPr>
            </w:pPr>
          </w:p>
        </w:tc>
        <w:tc>
          <w:tcPr>
            <w:tcW w:w="8371" w:type="dxa"/>
            <w:tcBorders>
              <w:top w:val="single" w:color="000000" w:sz="4" w:space="0"/>
              <w:left w:val="single" w:color="000000" w:sz="2" w:space="0"/>
            </w:tcBorders>
            <w:vAlign w:val="top"/>
          </w:tcPr>
          <w:tbl>
            <w:tblPr>
              <w:tblStyle w:val="5"/>
              <w:tblW w:w="8153"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479"/>
              <w:gridCol w:w="689"/>
              <w:gridCol w:w="6123"/>
              <w:gridCol w:w="431"/>
            </w:tblGrid>
            <w:tr w14:paraId="508FE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431" w:type="dxa"/>
                  <w:vMerge w:val="restart"/>
                  <w:tcBorders>
                    <w:top w:val="nil"/>
                    <w:bottom w:val="nil"/>
                  </w:tcBorders>
                  <w:vAlign w:val="top"/>
                </w:tcPr>
                <w:p w14:paraId="1632AA7C">
                  <w:pPr>
                    <w:rPr>
                      <w:rFonts w:ascii="Arial"/>
                      <w:sz w:val="21"/>
                    </w:rPr>
                  </w:pPr>
                </w:p>
              </w:tc>
              <w:tc>
                <w:tcPr>
                  <w:tcW w:w="479" w:type="dxa"/>
                  <w:vMerge w:val="restart"/>
                  <w:tcBorders>
                    <w:top w:val="nil"/>
                    <w:bottom w:val="nil"/>
                  </w:tcBorders>
                  <w:textDirection w:val="tbRlV"/>
                  <w:vAlign w:val="top"/>
                </w:tcPr>
                <w:p w14:paraId="680EBC85">
                  <w:pPr>
                    <w:pStyle w:val="6"/>
                    <w:spacing w:before="136" w:line="217" w:lineRule="auto"/>
                    <w:ind w:left="1004"/>
                    <w:rPr>
                      <w:sz w:val="20"/>
                      <w:szCs w:val="20"/>
                    </w:rPr>
                  </w:pPr>
                  <w:r>
                    <w:rPr>
                      <w:spacing w:val="8"/>
                      <w:sz w:val="20"/>
                      <w:szCs w:val="20"/>
                    </w:rPr>
                    <w:t>固</w:t>
                  </w:r>
                  <w:r>
                    <w:rPr>
                      <w:spacing w:val="-36"/>
                      <w:sz w:val="20"/>
                      <w:szCs w:val="20"/>
                    </w:rPr>
                    <w:t xml:space="preserve"> </w:t>
                  </w:r>
                  <w:r>
                    <w:rPr>
                      <w:spacing w:val="8"/>
                      <w:sz w:val="20"/>
                      <w:szCs w:val="20"/>
                    </w:rPr>
                    <w:t>体</w:t>
                  </w:r>
                  <w:r>
                    <w:rPr>
                      <w:spacing w:val="-35"/>
                      <w:sz w:val="20"/>
                      <w:szCs w:val="20"/>
                    </w:rPr>
                    <w:t xml:space="preserve"> </w:t>
                  </w:r>
                  <w:r>
                    <w:rPr>
                      <w:spacing w:val="8"/>
                      <w:sz w:val="20"/>
                      <w:szCs w:val="20"/>
                    </w:rPr>
                    <w:t>废</w:t>
                  </w:r>
                  <w:r>
                    <w:rPr>
                      <w:spacing w:val="-38"/>
                      <w:sz w:val="20"/>
                      <w:szCs w:val="20"/>
                    </w:rPr>
                    <w:t xml:space="preserve"> </w:t>
                  </w:r>
                  <w:r>
                    <w:rPr>
                      <w:spacing w:val="8"/>
                      <w:sz w:val="20"/>
                      <w:szCs w:val="20"/>
                    </w:rPr>
                    <w:t>物</w:t>
                  </w:r>
                </w:p>
              </w:tc>
              <w:tc>
                <w:tcPr>
                  <w:tcW w:w="689" w:type="dxa"/>
                  <w:tcBorders>
                    <w:top w:val="nil"/>
                  </w:tcBorders>
                  <w:vAlign w:val="top"/>
                </w:tcPr>
                <w:p w14:paraId="4E10C27F">
                  <w:pPr>
                    <w:spacing w:line="247" w:lineRule="auto"/>
                    <w:rPr>
                      <w:rFonts w:ascii="Arial"/>
                      <w:sz w:val="21"/>
                    </w:rPr>
                  </w:pPr>
                </w:p>
                <w:p w14:paraId="0C8488DB">
                  <w:pPr>
                    <w:pStyle w:val="6"/>
                    <w:spacing w:before="65" w:line="228" w:lineRule="auto"/>
                    <w:ind w:left="140"/>
                    <w:rPr>
                      <w:sz w:val="20"/>
                      <w:szCs w:val="20"/>
                    </w:rPr>
                  </w:pPr>
                  <w:r>
                    <w:rPr>
                      <w:spacing w:val="3"/>
                      <w:sz w:val="20"/>
                      <w:szCs w:val="20"/>
                    </w:rPr>
                    <w:t>危废</w:t>
                  </w:r>
                </w:p>
                <w:p w14:paraId="4256C4A8">
                  <w:pPr>
                    <w:pStyle w:val="6"/>
                    <w:spacing w:before="23" w:line="228" w:lineRule="auto"/>
                    <w:ind w:left="138"/>
                    <w:rPr>
                      <w:sz w:val="20"/>
                      <w:szCs w:val="20"/>
                    </w:rPr>
                  </w:pPr>
                  <w:r>
                    <w:rPr>
                      <w:spacing w:val="4"/>
                      <w:sz w:val="20"/>
                      <w:szCs w:val="20"/>
                    </w:rPr>
                    <w:t>贮存</w:t>
                  </w:r>
                </w:p>
                <w:p w14:paraId="731AA30D">
                  <w:pPr>
                    <w:pStyle w:val="6"/>
                    <w:spacing w:before="26" w:line="228" w:lineRule="auto"/>
                    <w:ind w:left="244"/>
                    <w:rPr>
                      <w:sz w:val="20"/>
                      <w:szCs w:val="20"/>
                    </w:rPr>
                  </w:pPr>
                  <w:r>
                    <w:rPr>
                      <w:sz w:val="20"/>
                      <w:szCs w:val="20"/>
                    </w:rPr>
                    <w:t>库</w:t>
                  </w:r>
                </w:p>
              </w:tc>
              <w:tc>
                <w:tcPr>
                  <w:tcW w:w="6123" w:type="dxa"/>
                  <w:tcBorders>
                    <w:top w:val="nil"/>
                  </w:tcBorders>
                  <w:vAlign w:val="top"/>
                </w:tcPr>
                <w:p w14:paraId="352D8CAD">
                  <w:pPr>
                    <w:pStyle w:val="6"/>
                    <w:spacing w:before="174" w:line="246" w:lineRule="auto"/>
                    <w:ind w:left="111" w:right="34" w:firstLine="1"/>
                    <w:jc w:val="both"/>
                    <w:rPr>
                      <w:sz w:val="20"/>
                      <w:szCs w:val="20"/>
                    </w:rPr>
                  </w:pPr>
                  <w:r>
                    <w:rPr>
                      <w:spacing w:val="3"/>
                      <w:sz w:val="20"/>
                      <w:szCs w:val="20"/>
                    </w:rPr>
                    <w:t>升压站区设置</w:t>
                  </w:r>
                  <w:r>
                    <w:rPr>
                      <w:spacing w:val="-34"/>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间</w:t>
                  </w:r>
                  <w:r>
                    <w:rPr>
                      <w:rFonts w:ascii="Times New Roman" w:hAnsi="Times New Roman" w:eastAsia="Times New Roman" w:cs="Times New Roman"/>
                      <w:spacing w:val="3"/>
                      <w:sz w:val="20"/>
                      <w:szCs w:val="20"/>
                    </w:rPr>
                    <w:t>28m</w:t>
                  </w:r>
                  <w:r>
                    <w:rPr>
                      <w:rFonts w:ascii="Times New Roman" w:hAnsi="Times New Roman" w:eastAsia="Times New Roman" w:cs="Times New Roman"/>
                      <w:spacing w:val="3"/>
                      <w:position w:val="6"/>
                      <w:sz w:val="13"/>
                      <w:szCs w:val="13"/>
                    </w:rPr>
                    <w:t xml:space="preserve">2 </w:t>
                  </w:r>
                  <w:r>
                    <w:rPr>
                      <w:spacing w:val="3"/>
                      <w:sz w:val="20"/>
                      <w:szCs w:val="20"/>
                    </w:rPr>
                    <w:t>危废贮存库，为单层钢筋混凝土框架结构，</w:t>
                  </w:r>
                  <w:r>
                    <w:rPr>
                      <w:sz w:val="20"/>
                      <w:szCs w:val="20"/>
                    </w:rPr>
                    <w:t xml:space="preserve"> </w:t>
                  </w:r>
                  <w:r>
                    <w:rPr>
                      <w:spacing w:val="7"/>
                      <w:sz w:val="20"/>
                      <w:szCs w:val="20"/>
                    </w:rPr>
                    <w:t>层高</w:t>
                  </w:r>
                  <w:r>
                    <w:rPr>
                      <w:spacing w:val="-36"/>
                      <w:sz w:val="20"/>
                      <w:szCs w:val="20"/>
                    </w:rPr>
                    <w:t xml:space="preserve"> </w:t>
                  </w:r>
                  <w:r>
                    <w:rPr>
                      <w:rFonts w:ascii="Times New Roman" w:hAnsi="Times New Roman" w:eastAsia="Times New Roman" w:cs="Times New Roman"/>
                      <w:spacing w:val="7"/>
                      <w:sz w:val="20"/>
                      <w:szCs w:val="20"/>
                    </w:rPr>
                    <w:t>3.3m</w:t>
                  </w:r>
                  <w:r>
                    <w:rPr>
                      <w:rFonts w:ascii="Times New Roman" w:hAnsi="Times New Roman" w:eastAsia="Times New Roman" w:cs="Times New Roman"/>
                      <w:spacing w:val="-21"/>
                      <w:sz w:val="20"/>
                      <w:szCs w:val="20"/>
                    </w:rPr>
                    <w:t xml:space="preserve"> </w:t>
                  </w:r>
                  <w:r>
                    <w:rPr>
                      <w:spacing w:val="7"/>
                      <w:sz w:val="20"/>
                      <w:szCs w:val="20"/>
                    </w:rPr>
                    <w:t>。用于储存维修产生的废变压器油和事</w:t>
                  </w:r>
                  <w:r>
                    <w:rPr>
                      <w:spacing w:val="6"/>
                      <w:sz w:val="20"/>
                      <w:szCs w:val="20"/>
                    </w:rPr>
                    <w:t>故废油，贮存分</w:t>
                  </w:r>
                  <w:r>
                    <w:rPr>
                      <w:sz w:val="20"/>
                      <w:szCs w:val="20"/>
                    </w:rPr>
                    <w:t xml:space="preserve"> </w:t>
                  </w:r>
                  <w:r>
                    <w:rPr>
                      <w:spacing w:val="6"/>
                      <w:sz w:val="20"/>
                      <w:szCs w:val="20"/>
                    </w:rPr>
                    <w:t>区之间应采取隔离措施，隔离措施可根据危险废物特性采</w:t>
                  </w:r>
                  <w:r>
                    <w:rPr>
                      <w:spacing w:val="5"/>
                      <w:sz w:val="20"/>
                      <w:szCs w:val="20"/>
                    </w:rPr>
                    <w:t>用过道、</w:t>
                  </w:r>
                  <w:r>
                    <w:rPr>
                      <w:sz w:val="20"/>
                      <w:szCs w:val="20"/>
                    </w:rPr>
                    <w:t xml:space="preserve"> </w:t>
                  </w:r>
                  <w:r>
                    <w:rPr>
                      <w:spacing w:val="7"/>
                      <w:sz w:val="20"/>
                      <w:szCs w:val="20"/>
                    </w:rPr>
                    <w:t>隔板或隔墙等方式。</w:t>
                  </w:r>
                </w:p>
              </w:tc>
              <w:tc>
                <w:tcPr>
                  <w:tcW w:w="431" w:type="dxa"/>
                  <w:tcBorders>
                    <w:top w:val="nil"/>
                  </w:tcBorders>
                  <w:textDirection w:val="tbRlV"/>
                  <w:vAlign w:val="top"/>
                </w:tcPr>
                <w:p w14:paraId="797143C7">
                  <w:pPr>
                    <w:pStyle w:val="6"/>
                    <w:spacing w:before="108" w:line="216" w:lineRule="auto"/>
                    <w:ind w:left="450"/>
                    <w:rPr>
                      <w:sz w:val="20"/>
                      <w:szCs w:val="20"/>
                    </w:rPr>
                  </w:pPr>
                  <w:r>
                    <w:rPr>
                      <w:spacing w:val="8"/>
                      <w:sz w:val="20"/>
                      <w:szCs w:val="20"/>
                    </w:rPr>
                    <w:t>新</w:t>
                  </w:r>
                  <w:r>
                    <w:rPr>
                      <w:spacing w:val="-38"/>
                      <w:sz w:val="20"/>
                      <w:szCs w:val="20"/>
                    </w:rPr>
                    <w:t xml:space="preserve"> </w:t>
                  </w:r>
                  <w:r>
                    <w:rPr>
                      <w:spacing w:val="8"/>
                      <w:sz w:val="20"/>
                      <w:szCs w:val="20"/>
                    </w:rPr>
                    <w:t>建</w:t>
                  </w:r>
                </w:p>
              </w:tc>
            </w:tr>
            <w:tr w14:paraId="64723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31" w:type="dxa"/>
                  <w:vMerge w:val="continue"/>
                  <w:tcBorders>
                    <w:top w:val="nil"/>
                    <w:bottom w:val="nil"/>
                  </w:tcBorders>
                  <w:vAlign w:val="top"/>
                </w:tcPr>
                <w:p w14:paraId="2BBD2E33">
                  <w:pPr>
                    <w:rPr>
                      <w:rFonts w:ascii="Arial"/>
                      <w:sz w:val="21"/>
                    </w:rPr>
                  </w:pPr>
                </w:p>
              </w:tc>
              <w:tc>
                <w:tcPr>
                  <w:tcW w:w="479" w:type="dxa"/>
                  <w:vMerge w:val="continue"/>
                  <w:tcBorders>
                    <w:top w:val="nil"/>
                    <w:bottom w:val="nil"/>
                  </w:tcBorders>
                  <w:textDirection w:val="tbRlV"/>
                  <w:vAlign w:val="top"/>
                </w:tcPr>
                <w:p w14:paraId="0E90F31C">
                  <w:pPr>
                    <w:rPr>
                      <w:rFonts w:ascii="Arial"/>
                      <w:sz w:val="21"/>
                    </w:rPr>
                  </w:pPr>
                </w:p>
              </w:tc>
              <w:tc>
                <w:tcPr>
                  <w:tcW w:w="689" w:type="dxa"/>
                  <w:vAlign w:val="top"/>
                </w:tcPr>
                <w:p w14:paraId="031AB823">
                  <w:pPr>
                    <w:pStyle w:val="6"/>
                    <w:spacing w:before="31" w:line="229" w:lineRule="auto"/>
                    <w:ind w:left="141"/>
                    <w:rPr>
                      <w:sz w:val="20"/>
                      <w:szCs w:val="20"/>
                    </w:rPr>
                  </w:pPr>
                  <w:r>
                    <w:rPr>
                      <w:spacing w:val="3"/>
                      <w:sz w:val="20"/>
                      <w:szCs w:val="20"/>
                    </w:rPr>
                    <w:t>一般</w:t>
                  </w:r>
                </w:p>
                <w:p w14:paraId="59D4F3F2">
                  <w:pPr>
                    <w:pStyle w:val="6"/>
                    <w:spacing w:before="25" w:line="228" w:lineRule="auto"/>
                    <w:ind w:left="156"/>
                    <w:rPr>
                      <w:sz w:val="20"/>
                      <w:szCs w:val="20"/>
                    </w:rPr>
                  </w:pPr>
                  <w:r>
                    <w:rPr>
                      <w:spacing w:val="-5"/>
                      <w:sz w:val="20"/>
                      <w:szCs w:val="20"/>
                    </w:rPr>
                    <w:t>固废</w:t>
                  </w:r>
                </w:p>
                <w:p w14:paraId="11FFB760">
                  <w:pPr>
                    <w:pStyle w:val="6"/>
                    <w:spacing w:before="23" w:line="228" w:lineRule="auto"/>
                    <w:ind w:left="144"/>
                    <w:rPr>
                      <w:sz w:val="20"/>
                      <w:szCs w:val="20"/>
                    </w:rPr>
                  </w:pPr>
                  <w:r>
                    <w:rPr>
                      <w:spacing w:val="1"/>
                      <w:sz w:val="20"/>
                      <w:szCs w:val="20"/>
                    </w:rPr>
                    <w:t>暂存</w:t>
                  </w:r>
                </w:p>
                <w:p w14:paraId="683A3CF0">
                  <w:pPr>
                    <w:pStyle w:val="6"/>
                    <w:spacing w:before="27" w:line="215" w:lineRule="auto"/>
                    <w:ind w:left="260"/>
                    <w:rPr>
                      <w:sz w:val="20"/>
                      <w:szCs w:val="20"/>
                    </w:rPr>
                  </w:pPr>
                  <w:r>
                    <w:rPr>
                      <w:sz w:val="20"/>
                      <w:szCs w:val="20"/>
                    </w:rPr>
                    <w:t>间</w:t>
                  </w:r>
                </w:p>
              </w:tc>
              <w:tc>
                <w:tcPr>
                  <w:tcW w:w="6123" w:type="dxa"/>
                  <w:vAlign w:val="top"/>
                </w:tcPr>
                <w:p w14:paraId="70610814">
                  <w:pPr>
                    <w:pStyle w:val="6"/>
                    <w:spacing w:before="304" w:line="239" w:lineRule="auto"/>
                    <w:ind w:left="111" w:right="105" w:firstLine="1"/>
                    <w:rPr>
                      <w:sz w:val="20"/>
                      <w:szCs w:val="20"/>
                    </w:rPr>
                  </w:pPr>
                  <w:r>
                    <w:rPr>
                      <w:spacing w:val="3"/>
                      <w:sz w:val="20"/>
                      <w:szCs w:val="20"/>
                    </w:rPr>
                    <w:t>升压站区设置</w:t>
                  </w:r>
                  <w:r>
                    <w:rPr>
                      <w:spacing w:val="-15"/>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9"/>
                      <w:sz w:val="20"/>
                      <w:szCs w:val="20"/>
                    </w:rPr>
                    <w:t xml:space="preserve"> </w:t>
                  </w:r>
                  <w:r>
                    <w:rPr>
                      <w:spacing w:val="3"/>
                      <w:sz w:val="20"/>
                      <w:szCs w:val="20"/>
                    </w:rPr>
                    <w:t>间</w:t>
                  </w:r>
                  <w:r>
                    <w:rPr>
                      <w:spacing w:val="-23"/>
                      <w:sz w:val="20"/>
                      <w:szCs w:val="20"/>
                    </w:rPr>
                    <w:t xml:space="preserve"> </w:t>
                  </w:r>
                  <w:r>
                    <w:rPr>
                      <w:rFonts w:ascii="Times New Roman" w:hAnsi="Times New Roman" w:eastAsia="Times New Roman" w:cs="Times New Roman"/>
                      <w:spacing w:val="3"/>
                      <w:sz w:val="20"/>
                      <w:szCs w:val="20"/>
                    </w:rPr>
                    <w:t>10m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14"/>
                      <w:position w:val="6"/>
                      <w:sz w:val="13"/>
                      <w:szCs w:val="13"/>
                    </w:rPr>
                    <w:t xml:space="preserve"> </w:t>
                  </w:r>
                  <w:r>
                    <w:rPr>
                      <w:spacing w:val="3"/>
                      <w:sz w:val="20"/>
                      <w:szCs w:val="20"/>
                    </w:rPr>
                    <w:t>一般固废暂存间，收集暂存产生的废弃电</w:t>
                  </w:r>
                  <w:r>
                    <w:rPr>
                      <w:sz w:val="20"/>
                      <w:szCs w:val="20"/>
                    </w:rPr>
                    <w:t xml:space="preserve"> </w:t>
                  </w:r>
                  <w:r>
                    <w:rPr>
                      <w:spacing w:val="8"/>
                      <w:sz w:val="20"/>
                      <w:szCs w:val="20"/>
                    </w:rPr>
                    <w:t>池板及废弃电子元件。</w:t>
                  </w:r>
                </w:p>
              </w:tc>
              <w:tc>
                <w:tcPr>
                  <w:tcW w:w="431" w:type="dxa"/>
                  <w:textDirection w:val="tbRlV"/>
                  <w:vAlign w:val="top"/>
                </w:tcPr>
                <w:p w14:paraId="18CFB6C4">
                  <w:pPr>
                    <w:pStyle w:val="6"/>
                    <w:spacing w:before="108" w:line="216" w:lineRule="auto"/>
                    <w:ind w:left="305"/>
                    <w:rPr>
                      <w:sz w:val="20"/>
                      <w:szCs w:val="20"/>
                    </w:rPr>
                  </w:pPr>
                  <w:r>
                    <w:rPr>
                      <w:spacing w:val="8"/>
                      <w:sz w:val="20"/>
                      <w:szCs w:val="20"/>
                    </w:rPr>
                    <w:t>新</w:t>
                  </w:r>
                  <w:r>
                    <w:rPr>
                      <w:spacing w:val="-38"/>
                      <w:sz w:val="20"/>
                      <w:szCs w:val="20"/>
                    </w:rPr>
                    <w:t xml:space="preserve"> </w:t>
                  </w:r>
                  <w:r>
                    <w:rPr>
                      <w:spacing w:val="8"/>
                      <w:sz w:val="20"/>
                      <w:szCs w:val="20"/>
                    </w:rPr>
                    <w:t>建</w:t>
                  </w:r>
                </w:p>
              </w:tc>
            </w:tr>
            <w:tr w14:paraId="3D868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1" w:type="dxa"/>
                  <w:vMerge w:val="continue"/>
                  <w:tcBorders>
                    <w:top w:val="nil"/>
                    <w:bottom w:val="nil"/>
                  </w:tcBorders>
                  <w:vAlign w:val="top"/>
                </w:tcPr>
                <w:p w14:paraId="2A71D249">
                  <w:pPr>
                    <w:rPr>
                      <w:rFonts w:ascii="Arial"/>
                      <w:sz w:val="21"/>
                    </w:rPr>
                  </w:pPr>
                </w:p>
              </w:tc>
              <w:tc>
                <w:tcPr>
                  <w:tcW w:w="479" w:type="dxa"/>
                  <w:vMerge w:val="continue"/>
                  <w:tcBorders>
                    <w:top w:val="nil"/>
                  </w:tcBorders>
                  <w:textDirection w:val="tbRlV"/>
                  <w:vAlign w:val="top"/>
                </w:tcPr>
                <w:p w14:paraId="771D2A74">
                  <w:pPr>
                    <w:rPr>
                      <w:rFonts w:ascii="Arial"/>
                      <w:sz w:val="21"/>
                    </w:rPr>
                  </w:pPr>
                </w:p>
              </w:tc>
              <w:tc>
                <w:tcPr>
                  <w:tcW w:w="689" w:type="dxa"/>
                  <w:vAlign w:val="top"/>
                </w:tcPr>
                <w:p w14:paraId="52CC6A6C">
                  <w:pPr>
                    <w:pStyle w:val="6"/>
                    <w:spacing w:before="32" w:line="234" w:lineRule="auto"/>
                    <w:ind w:left="244" w:right="136" w:hanging="105"/>
                    <w:rPr>
                      <w:sz w:val="20"/>
                      <w:szCs w:val="20"/>
                    </w:rPr>
                  </w:pPr>
                  <w:r>
                    <w:rPr>
                      <w:spacing w:val="3"/>
                      <w:sz w:val="20"/>
                      <w:szCs w:val="20"/>
                    </w:rPr>
                    <w:t>垃圾</w:t>
                  </w:r>
                  <w:r>
                    <w:rPr>
                      <w:sz w:val="20"/>
                      <w:szCs w:val="20"/>
                    </w:rPr>
                    <w:t xml:space="preserve"> 桶</w:t>
                  </w:r>
                </w:p>
              </w:tc>
              <w:tc>
                <w:tcPr>
                  <w:tcW w:w="6123" w:type="dxa"/>
                  <w:vAlign w:val="top"/>
                </w:tcPr>
                <w:p w14:paraId="34666B47">
                  <w:pPr>
                    <w:pStyle w:val="6"/>
                    <w:spacing w:before="169" w:line="227" w:lineRule="auto"/>
                    <w:ind w:left="113"/>
                    <w:rPr>
                      <w:sz w:val="20"/>
                      <w:szCs w:val="20"/>
                    </w:rPr>
                  </w:pPr>
                  <w:r>
                    <w:rPr>
                      <w:spacing w:val="8"/>
                      <w:sz w:val="20"/>
                      <w:szCs w:val="20"/>
                    </w:rPr>
                    <w:t>升压站若干垃圾桶，分散设置于办公生活区。</w:t>
                  </w:r>
                </w:p>
              </w:tc>
              <w:tc>
                <w:tcPr>
                  <w:tcW w:w="431" w:type="dxa"/>
                  <w:textDirection w:val="tbRlV"/>
                  <w:vAlign w:val="top"/>
                </w:tcPr>
                <w:p w14:paraId="3732EDAB">
                  <w:pPr>
                    <w:pStyle w:val="6"/>
                    <w:spacing w:before="108" w:line="216" w:lineRule="auto"/>
                    <w:ind w:left="32"/>
                    <w:rPr>
                      <w:sz w:val="20"/>
                      <w:szCs w:val="20"/>
                    </w:rPr>
                  </w:pPr>
                  <w:r>
                    <w:rPr>
                      <w:spacing w:val="8"/>
                      <w:sz w:val="20"/>
                      <w:szCs w:val="20"/>
                    </w:rPr>
                    <w:t>新</w:t>
                  </w:r>
                  <w:r>
                    <w:rPr>
                      <w:spacing w:val="-35"/>
                      <w:sz w:val="20"/>
                      <w:szCs w:val="20"/>
                    </w:rPr>
                    <w:t xml:space="preserve"> </w:t>
                  </w:r>
                  <w:r>
                    <w:rPr>
                      <w:spacing w:val="8"/>
                      <w:sz w:val="20"/>
                      <w:szCs w:val="20"/>
                    </w:rPr>
                    <w:t>建</w:t>
                  </w:r>
                </w:p>
              </w:tc>
            </w:tr>
            <w:tr w14:paraId="00650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431" w:type="dxa"/>
                  <w:vMerge w:val="continue"/>
                  <w:tcBorders>
                    <w:top w:val="nil"/>
                    <w:bottom w:val="nil"/>
                  </w:tcBorders>
                  <w:vAlign w:val="top"/>
                </w:tcPr>
                <w:p w14:paraId="7B5BEC8E">
                  <w:pPr>
                    <w:rPr>
                      <w:rFonts w:ascii="Arial"/>
                      <w:sz w:val="21"/>
                    </w:rPr>
                  </w:pPr>
                </w:p>
              </w:tc>
              <w:tc>
                <w:tcPr>
                  <w:tcW w:w="479" w:type="dxa"/>
                  <w:textDirection w:val="tbRlV"/>
                  <w:vAlign w:val="top"/>
                </w:tcPr>
                <w:p w14:paraId="414843F5">
                  <w:pPr>
                    <w:pStyle w:val="6"/>
                    <w:spacing w:before="136" w:line="216" w:lineRule="auto"/>
                    <w:ind w:left="576"/>
                    <w:rPr>
                      <w:sz w:val="20"/>
                      <w:szCs w:val="20"/>
                    </w:rPr>
                  </w:pPr>
                  <w:r>
                    <w:rPr>
                      <w:spacing w:val="8"/>
                      <w:sz w:val="20"/>
                      <w:szCs w:val="20"/>
                    </w:rPr>
                    <w:t>环</w:t>
                  </w:r>
                  <w:r>
                    <w:rPr>
                      <w:spacing w:val="-34"/>
                      <w:sz w:val="20"/>
                      <w:szCs w:val="20"/>
                    </w:rPr>
                    <w:t xml:space="preserve"> </w:t>
                  </w:r>
                  <w:r>
                    <w:rPr>
                      <w:spacing w:val="8"/>
                      <w:sz w:val="20"/>
                      <w:szCs w:val="20"/>
                    </w:rPr>
                    <w:t>境</w:t>
                  </w:r>
                  <w:r>
                    <w:rPr>
                      <w:spacing w:val="-37"/>
                      <w:sz w:val="20"/>
                      <w:szCs w:val="20"/>
                    </w:rPr>
                    <w:t xml:space="preserve"> </w:t>
                  </w:r>
                  <w:r>
                    <w:rPr>
                      <w:spacing w:val="8"/>
                      <w:sz w:val="20"/>
                      <w:szCs w:val="20"/>
                    </w:rPr>
                    <w:t>风</w:t>
                  </w:r>
                  <w:r>
                    <w:rPr>
                      <w:spacing w:val="-35"/>
                      <w:sz w:val="20"/>
                      <w:szCs w:val="20"/>
                    </w:rPr>
                    <w:t xml:space="preserve"> </w:t>
                  </w:r>
                  <w:r>
                    <w:rPr>
                      <w:spacing w:val="8"/>
                      <w:sz w:val="20"/>
                      <w:szCs w:val="20"/>
                    </w:rPr>
                    <w:t>险</w:t>
                  </w:r>
                </w:p>
              </w:tc>
              <w:tc>
                <w:tcPr>
                  <w:tcW w:w="689" w:type="dxa"/>
                  <w:vAlign w:val="top"/>
                </w:tcPr>
                <w:p w14:paraId="3D5E17C9">
                  <w:pPr>
                    <w:spacing w:line="260" w:lineRule="auto"/>
                    <w:rPr>
                      <w:rFonts w:ascii="Arial"/>
                      <w:sz w:val="21"/>
                    </w:rPr>
                  </w:pPr>
                </w:p>
                <w:p w14:paraId="571A4D31">
                  <w:pPr>
                    <w:spacing w:line="260" w:lineRule="auto"/>
                    <w:rPr>
                      <w:rFonts w:ascii="Arial"/>
                      <w:sz w:val="21"/>
                    </w:rPr>
                  </w:pPr>
                </w:p>
                <w:p w14:paraId="01C3609F">
                  <w:pPr>
                    <w:spacing w:line="260" w:lineRule="auto"/>
                    <w:rPr>
                      <w:rFonts w:ascii="Arial"/>
                      <w:sz w:val="21"/>
                    </w:rPr>
                  </w:pPr>
                </w:p>
                <w:p w14:paraId="0DF35C9C">
                  <w:pPr>
                    <w:pStyle w:val="6"/>
                    <w:spacing w:before="65" w:line="241" w:lineRule="auto"/>
                    <w:ind w:left="141" w:right="136" w:hanging="3"/>
                    <w:rPr>
                      <w:sz w:val="20"/>
                      <w:szCs w:val="20"/>
                    </w:rPr>
                  </w:pPr>
                  <w:r>
                    <w:rPr>
                      <w:spacing w:val="4"/>
                      <w:sz w:val="20"/>
                      <w:szCs w:val="20"/>
                    </w:rPr>
                    <w:t>事故</w:t>
                  </w:r>
                  <w:r>
                    <w:rPr>
                      <w:sz w:val="20"/>
                      <w:szCs w:val="20"/>
                    </w:rPr>
                    <w:t xml:space="preserve"> </w:t>
                  </w:r>
                  <w:r>
                    <w:rPr>
                      <w:spacing w:val="3"/>
                      <w:sz w:val="20"/>
                      <w:szCs w:val="20"/>
                    </w:rPr>
                    <w:t>油池</w:t>
                  </w:r>
                </w:p>
              </w:tc>
              <w:tc>
                <w:tcPr>
                  <w:tcW w:w="6123" w:type="dxa"/>
                  <w:vAlign w:val="top"/>
                </w:tcPr>
                <w:p w14:paraId="3300B8BC">
                  <w:pPr>
                    <w:pStyle w:val="6"/>
                    <w:spacing w:before="31" w:line="247" w:lineRule="auto"/>
                    <w:ind w:left="107" w:right="86" w:firstLine="5"/>
                    <w:jc w:val="both"/>
                    <w:rPr>
                      <w:sz w:val="20"/>
                      <w:szCs w:val="20"/>
                    </w:rPr>
                  </w:pPr>
                  <w:r>
                    <w:rPr>
                      <w:spacing w:val="-6"/>
                      <w:sz w:val="20"/>
                      <w:szCs w:val="20"/>
                    </w:rPr>
                    <w:t>主变压器</w:t>
                  </w:r>
                  <w:r>
                    <w:rPr>
                      <w:rFonts w:ascii="FangSong_GB2312" w:hAnsi="FangSong_GB2312" w:eastAsia="FangSong_GB2312" w:cs="FangSong_GB2312"/>
                      <w:spacing w:val="-6"/>
                      <w:sz w:val="20"/>
                      <w:szCs w:val="20"/>
                    </w:rPr>
                    <w:t>下设置一座</w:t>
                  </w:r>
                  <w:r>
                    <w:rPr>
                      <w:rFonts w:ascii="Times New Roman" w:hAnsi="Times New Roman" w:eastAsia="Times New Roman" w:cs="Times New Roman"/>
                      <w:spacing w:val="-6"/>
                      <w:sz w:val="20"/>
                      <w:szCs w:val="20"/>
                    </w:rPr>
                    <w:t>20%</w:t>
                  </w:r>
                  <w:r>
                    <w:rPr>
                      <w:rFonts w:ascii="FangSong_GB2312" w:hAnsi="FangSong_GB2312" w:eastAsia="FangSong_GB2312" w:cs="FangSong_GB2312"/>
                      <w:spacing w:val="-6"/>
                      <w:sz w:val="20"/>
                      <w:szCs w:val="20"/>
                    </w:rPr>
                    <w:t>油量事故油池（</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rFonts w:ascii="FangSong_GB2312" w:hAnsi="FangSong_GB2312" w:eastAsia="FangSong_GB2312" w:cs="FangSong_GB2312"/>
                      <w:spacing w:val="-34"/>
                      <w:sz w:val="20"/>
                      <w:szCs w:val="20"/>
                    </w:rPr>
                    <w:t>），</w:t>
                  </w:r>
                  <w:r>
                    <w:rPr>
                      <w:rFonts w:ascii="FangSong_GB2312" w:hAnsi="FangSong_GB2312" w:eastAsia="FangSong_GB2312" w:cs="FangSong_GB2312"/>
                      <w:spacing w:val="-7"/>
                      <w:sz w:val="20"/>
                      <w:szCs w:val="20"/>
                    </w:rPr>
                    <w:t>并在主变压器东南侧</w:t>
                  </w:r>
                  <w:r>
                    <w:rPr>
                      <w:rFonts w:ascii="FangSong_GB2312" w:hAnsi="FangSong_GB2312" w:eastAsia="FangSong_GB2312" w:cs="FangSong_GB2312"/>
                      <w:spacing w:val="1"/>
                      <w:sz w:val="20"/>
                      <w:szCs w:val="20"/>
                    </w:rPr>
                    <w:t xml:space="preserve"> </w:t>
                  </w:r>
                  <w:r>
                    <w:rPr>
                      <w:rFonts w:ascii="FangSong_GB2312" w:hAnsi="FangSong_GB2312" w:eastAsia="FangSong_GB2312" w:cs="FangSong_GB2312"/>
                      <w:spacing w:val="7"/>
                      <w:sz w:val="20"/>
                      <w:szCs w:val="20"/>
                    </w:rPr>
                    <w:t>设</w:t>
                  </w:r>
                  <w:r>
                    <w:rPr>
                      <w:rFonts w:ascii="FangSong_GB2312" w:hAnsi="FangSong_GB2312" w:eastAsia="FangSong_GB2312" w:cs="FangSong_GB2312"/>
                      <w:spacing w:val="-20"/>
                      <w:sz w:val="20"/>
                      <w:szCs w:val="20"/>
                    </w:rPr>
                    <w:t xml:space="preserve"> </w:t>
                  </w:r>
                  <w:r>
                    <w:rPr>
                      <w:rFonts w:ascii="Times New Roman" w:hAnsi="Times New Roman" w:eastAsia="Times New Roman" w:cs="Times New Roman"/>
                      <w:spacing w:val="7"/>
                      <w:sz w:val="20"/>
                      <w:szCs w:val="20"/>
                    </w:rPr>
                    <w:t xml:space="preserve">1 </w:t>
                  </w:r>
                  <w:r>
                    <w:rPr>
                      <w:rFonts w:ascii="FangSong_GB2312" w:hAnsi="FangSong_GB2312" w:eastAsia="FangSong_GB2312" w:cs="FangSong_GB2312"/>
                      <w:spacing w:val="7"/>
                      <w:sz w:val="20"/>
                      <w:szCs w:val="20"/>
                    </w:rPr>
                    <w:t>座</w:t>
                  </w:r>
                  <w:r>
                    <w:rPr>
                      <w:rFonts w:ascii="FangSong_GB2312" w:hAnsi="FangSong_GB2312" w:eastAsia="FangSong_GB2312" w:cs="FangSong_GB2312"/>
                      <w:spacing w:val="-18"/>
                      <w:sz w:val="20"/>
                      <w:szCs w:val="20"/>
                    </w:rPr>
                    <w:t xml:space="preserve"> </w:t>
                  </w:r>
                  <w:r>
                    <w:rPr>
                      <w:rFonts w:ascii="Times New Roman" w:hAnsi="Times New Roman" w:eastAsia="Times New Roman" w:cs="Times New Roman"/>
                      <w:spacing w:val="7"/>
                      <w:sz w:val="20"/>
                      <w:szCs w:val="20"/>
                    </w:rPr>
                    <w:t>100%</w:t>
                  </w:r>
                  <w:r>
                    <w:rPr>
                      <w:rFonts w:ascii="FangSong_GB2312" w:hAnsi="FangSong_GB2312" w:eastAsia="FangSong_GB2312" w:cs="FangSong_GB2312"/>
                      <w:spacing w:val="7"/>
                      <w:sz w:val="20"/>
                      <w:szCs w:val="20"/>
                    </w:rPr>
                    <w:t>事故油池（有效容积约</w:t>
                  </w:r>
                  <w:r>
                    <w:rPr>
                      <w:rFonts w:ascii="FangSong_GB2312" w:hAnsi="FangSong_GB2312" w:eastAsia="FangSong_GB2312" w:cs="FangSong_GB2312"/>
                      <w:spacing w:val="-35"/>
                      <w:sz w:val="20"/>
                      <w:szCs w:val="20"/>
                    </w:rPr>
                    <w:t xml:space="preserve"> </w:t>
                  </w:r>
                  <w:r>
                    <w:rPr>
                      <w:rFonts w:ascii="Times New Roman" w:hAnsi="Times New Roman" w:eastAsia="Times New Roman" w:cs="Times New Roman"/>
                      <w:spacing w:val="7"/>
                      <w:sz w:val="20"/>
                      <w:szCs w:val="20"/>
                    </w:rPr>
                    <w:t>50m</w:t>
                  </w:r>
                  <w:r>
                    <w:rPr>
                      <w:rFonts w:ascii="Times New Roman" w:hAnsi="Times New Roman" w:eastAsia="Times New Roman" w:cs="Times New Roman"/>
                      <w:spacing w:val="7"/>
                      <w:position w:val="6"/>
                      <w:sz w:val="13"/>
                      <w:szCs w:val="13"/>
                    </w:rPr>
                    <w:t>3</w:t>
                  </w:r>
                  <w:r>
                    <w:rPr>
                      <w:rFonts w:ascii="FangSong_GB2312" w:hAnsi="FangSong_GB2312" w:eastAsia="FangSong_GB2312" w:cs="FangSong_GB2312"/>
                      <w:spacing w:val="18"/>
                      <w:sz w:val="20"/>
                      <w:szCs w:val="20"/>
                    </w:rPr>
                    <w:t>）；</w:t>
                  </w:r>
                  <w:r>
                    <w:rPr>
                      <w:rFonts w:ascii="FangSong_GB2312" w:hAnsi="FangSong_GB2312" w:eastAsia="FangSong_GB2312" w:cs="FangSong_GB2312"/>
                      <w:spacing w:val="7"/>
                      <w:sz w:val="20"/>
                      <w:szCs w:val="20"/>
                    </w:rPr>
                    <w:t>在箱式</w:t>
                  </w:r>
                  <w:r>
                    <w:rPr>
                      <w:rFonts w:ascii="FangSong_GB2312" w:hAnsi="FangSong_GB2312" w:eastAsia="FangSong_GB2312" w:cs="FangSong_GB2312"/>
                      <w:spacing w:val="6"/>
                      <w:sz w:val="20"/>
                      <w:szCs w:val="20"/>
                    </w:rPr>
                    <w:t>变压器下设</w:t>
                  </w:r>
                  <w:r>
                    <w:rPr>
                      <w:rFonts w:ascii="FangSong_GB2312" w:hAnsi="FangSong_GB2312" w:eastAsia="FangSong_GB2312" w:cs="FangSong_GB2312"/>
                      <w:sz w:val="20"/>
                      <w:szCs w:val="20"/>
                    </w:rPr>
                    <w:t xml:space="preserve"> </w:t>
                  </w:r>
                  <w:r>
                    <w:rPr>
                      <w:rFonts w:ascii="FangSong_GB2312" w:hAnsi="FangSong_GB2312" w:eastAsia="FangSong_GB2312" w:cs="FangSong_GB2312"/>
                      <w:spacing w:val="10"/>
                      <w:sz w:val="20"/>
                      <w:szCs w:val="20"/>
                    </w:rPr>
                    <w:t>置一个等容积集油坑，</w:t>
                  </w:r>
                  <w:r>
                    <w:rPr>
                      <w:rFonts w:ascii="FangSong_GB2312" w:hAnsi="FangSong_GB2312" w:eastAsia="FangSong_GB2312" w:cs="FangSong_GB2312"/>
                      <w:spacing w:val="-43"/>
                      <w:sz w:val="20"/>
                      <w:szCs w:val="20"/>
                    </w:rPr>
                    <w:t xml:space="preserve"> </w:t>
                  </w:r>
                  <w:r>
                    <w:rPr>
                      <w:rFonts w:ascii="FangSong_GB2312" w:hAnsi="FangSong_GB2312" w:eastAsia="FangSong_GB2312" w:cs="FangSong_GB2312"/>
                      <w:spacing w:val="10"/>
                      <w:sz w:val="20"/>
                      <w:szCs w:val="20"/>
                    </w:rPr>
                    <w:t>即：</w:t>
                  </w:r>
                  <w:r>
                    <w:rPr>
                      <w:rFonts w:ascii="Times New Roman" w:hAnsi="Times New Roman" w:eastAsia="Times New Roman" w:cs="Times New Roman"/>
                      <w:spacing w:val="10"/>
                      <w:sz w:val="20"/>
                      <w:szCs w:val="20"/>
                    </w:rPr>
                    <w:t>3</w:t>
                  </w:r>
                  <w:r>
                    <w:rPr>
                      <w:rFonts w:ascii="Times New Roman" w:hAnsi="Times New Roman" w:eastAsia="Times New Roman" w:cs="Times New Roman"/>
                      <w:spacing w:val="44"/>
                      <w:sz w:val="20"/>
                      <w:szCs w:val="20"/>
                    </w:rPr>
                    <w:t xml:space="preserve"> </w:t>
                  </w:r>
                  <w:r>
                    <w:rPr>
                      <w:rFonts w:ascii="FangSong_GB2312" w:hAnsi="FangSong_GB2312" w:eastAsia="FangSong_GB2312" w:cs="FangSong_GB2312"/>
                      <w:spacing w:val="10"/>
                      <w:sz w:val="20"/>
                      <w:szCs w:val="20"/>
                    </w:rPr>
                    <w:t>台</w:t>
                  </w:r>
                  <w:r>
                    <w:rPr>
                      <w:rFonts w:ascii="FangSong_GB2312" w:hAnsi="FangSong_GB2312" w:eastAsia="FangSong_GB2312" w:cs="FangSong_GB2312"/>
                      <w:spacing w:val="-32"/>
                      <w:sz w:val="20"/>
                      <w:szCs w:val="20"/>
                    </w:rPr>
                    <w:t xml:space="preserve"> </w:t>
                  </w:r>
                  <w:r>
                    <w:rPr>
                      <w:rFonts w:ascii="Times New Roman" w:hAnsi="Times New Roman" w:eastAsia="Times New Roman" w:cs="Times New Roman"/>
                      <w:spacing w:val="10"/>
                      <w:sz w:val="20"/>
                      <w:szCs w:val="20"/>
                    </w:rPr>
                    <w:t>900</w:t>
                  </w:r>
                  <w:r>
                    <w:rPr>
                      <w:rFonts w:ascii="Times New Roman" w:hAnsi="Times New Roman" w:eastAsia="Times New Roman" w:cs="Times New Roman"/>
                      <w:sz w:val="20"/>
                      <w:szCs w:val="20"/>
                    </w:rPr>
                    <w:t>kVA</w:t>
                  </w:r>
                  <w:r>
                    <w:rPr>
                      <w:rFonts w:ascii="Times New Roman" w:hAnsi="Times New Roman" w:eastAsia="Times New Roman" w:cs="Times New Roman"/>
                      <w:spacing w:val="21"/>
                      <w:sz w:val="20"/>
                      <w:szCs w:val="20"/>
                    </w:rPr>
                    <w:t xml:space="preserve"> </w:t>
                  </w:r>
                  <w:r>
                    <w:rPr>
                      <w:rFonts w:ascii="FangSong_GB2312" w:hAnsi="FangSong_GB2312" w:eastAsia="FangSong_GB2312" w:cs="FangSong_GB2312"/>
                      <w:spacing w:val="10"/>
                      <w:sz w:val="20"/>
                      <w:szCs w:val="20"/>
                    </w:rPr>
                    <w:t>箱变下各设一个</w:t>
                  </w:r>
                  <w:r>
                    <w:rPr>
                      <w:rFonts w:ascii="FangSong_GB2312" w:hAnsi="FangSong_GB2312" w:eastAsia="FangSong_GB2312" w:cs="FangSong_GB2312"/>
                      <w:spacing w:val="-33"/>
                      <w:sz w:val="20"/>
                      <w:szCs w:val="20"/>
                    </w:rPr>
                    <w:t xml:space="preserve"> </w:t>
                  </w:r>
                  <w:r>
                    <w:rPr>
                      <w:rFonts w:ascii="Times New Roman" w:hAnsi="Times New Roman" w:eastAsia="Times New Roman" w:cs="Times New Roman"/>
                      <w:spacing w:val="10"/>
                      <w:sz w:val="20"/>
                      <w:szCs w:val="20"/>
                    </w:rPr>
                    <w:t>0.8m</w:t>
                  </w:r>
                  <w:r>
                    <w:rPr>
                      <w:rFonts w:ascii="Times New Roman" w:hAnsi="Times New Roman" w:eastAsia="Times New Roman" w:cs="Times New Roman"/>
                      <w:spacing w:val="10"/>
                      <w:position w:val="6"/>
                      <w:sz w:val="13"/>
                      <w:szCs w:val="13"/>
                    </w:rPr>
                    <w:t>3</w:t>
                  </w:r>
                  <w:r>
                    <w:rPr>
                      <w:rFonts w:ascii="Times New Roman" w:hAnsi="Times New Roman" w:eastAsia="Times New Roman" w:cs="Times New Roman"/>
                      <w:position w:val="6"/>
                      <w:sz w:val="13"/>
                      <w:szCs w:val="13"/>
                    </w:rPr>
                    <w:t xml:space="preserve">  </w:t>
                  </w:r>
                  <w:r>
                    <w:rPr>
                      <w:rFonts w:ascii="FangSong_GB2312" w:hAnsi="FangSong_GB2312" w:eastAsia="FangSong_GB2312" w:cs="FangSong_GB2312"/>
                      <w:spacing w:val="-2"/>
                      <w:sz w:val="20"/>
                      <w:szCs w:val="20"/>
                    </w:rPr>
                    <w:t>集油坑，</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37"/>
                      <w:sz w:val="20"/>
                      <w:szCs w:val="20"/>
                    </w:rPr>
                    <w:t xml:space="preserve"> </w:t>
                  </w:r>
                  <w:r>
                    <w:rPr>
                      <w:rFonts w:ascii="FangSong_GB2312" w:hAnsi="FangSong_GB2312" w:eastAsia="FangSong_GB2312" w:cs="FangSong_GB2312"/>
                      <w:spacing w:val="-2"/>
                      <w:sz w:val="20"/>
                      <w:szCs w:val="20"/>
                    </w:rPr>
                    <w:t>台</w:t>
                  </w:r>
                  <w:r>
                    <w:rPr>
                      <w:rFonts w:ascii="FangSong_GB2312" w:hAnsi="FangSong_GB2312" w:eastAsia="FangSong_GB2312" w:cs="FangSong_GB2312"/>
                      <w:spacing w:val="-23"/>
                      <w:sz w:val="20"/>
                      <w:szCs w:val="20"/>
                    </w:rPr>
                    <w:t xml:space="preserve"> </w:t>
                  </w:r>
                  <w:r>
                    <w:rPr>
                      <w:rFonts w:ascii="Times New Roman" w:hAnsi="Times New Roman" w:eastAsia="Times New Roman" w:cs="Times New Roman"/>
                      <w:spacing w:val="-2"/>
                      <w:sz w:val="20"/>
                      <w:szCs w:val="20"/>
                    </w:rPr>
                    <w:t>1200kVA</w:t>
                  </w:r>
                  <w:r>
                    <w:rPr>
                      <w:rFonts w:ascii="Times New Roman" w:hAnsi="Times New Roman" w:eastAsia="Times New Roman" w:cs="Times New Roman"/>
                      <w:spacing w:val="14"/>
                      <w:sz w:val="20"/>
                      <w:szCs w:val="20"/>
                    </w:rPr>
                    <w:t xml:space="preserve"> </w:t>
                  </w:r>
                  <w:r>
                    <w:rPr>
                      <w:rFonts w:ascii="FangSong_GB2312" w:hAnsi="FangSong_GB2312" w:eastAsia="FangSong_GB2312" w:cs="FangSong_GB2312"/>
                      <w:spacing w:val="-2"/>
                      <w:sz w:val="20"/>
                      <w:szCs w:val="20"/>
                    </w:rPr>
                    <w:t>箱变各设一个</w:t>
                  </w:r>
                  <w:r>
                    <w:rPr>
                      <w:rFonts w:ascii="FangSong_GB2312" w:hAnsi="FangSong_GB2312" w:eastAsia="FangSong_GB2312" w:cs="FangSong_GB2312"/>
                      <w:spacing w:val="-21"/>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15"/>
                      <w:position w:val="6"/>
                      <w:sz w:val="13"/>
                      <w:szCs w:val="13"/>
                    </w:rPr>
                    <w:t xml:space="preserve"> </w:t>
                  </w:r>
                  <w:r>
                    <w:rPr>
                      <w:rFonts w:ascii="FangSong_GB2312" w:hAnsi="FangSong_GB2312" w:eastAsia="FangSong_GB2312" w:cs="FangSong_GB2312"/>
                      <w:spacing w:val="-2"/>
                      <w:sz w:val="20"/>
                      <w:szCs w:val="20"/>
                    </w:rPr>
                    <w:t>集</w:t>
                  </w:r>
                  <w:r>
                    <w:rPr>
                      <w:rFonts w:ascii="FangSong_GB2312" w:hAnsi="FangSong_GB2312" w:eastAsia="FangSong_GB2312" w:cs="FangSong_GB2312"/>
                      <w:spacing w:val="-3"/>
                      <w:sz w:val="20"/>
                      <w:szCs w:val="20"/>
                    </w:rPr>
                    <w:t>油坑，</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34"/>
                      <w:sz w:val="20"/>
                      <w:szCs w:val="20"/>
                    </w:rPr>
                    <w:t xml:space="preserve"> </w:t>
                  </w:r>
                  <w:r>
                    <w:rPr>
                      <w:rFonts w:ascii="FangSong_GB2312" w:hAnsi="FangSong_GB2312" w:eastAsia="FangSong_GB2312" w:cs="FangSong_GB2312"/>
                      <w:spacing w:val="-3"/>
                      <w:sz w:val="20"/>
                      <w:szCs w:val="20"/>
                    </w:rPr>
                    <w:t>台</w:t>
                  </w:r>
                  <w:r>
                    <w:rPr>
                      <w:rFonts w:ascii="FangSong_GB2312" w:hAnsi="FangSong_GB2312" w:eastAsia="FangSong_GB2312" w:cs="FangSong_GB2312"/>
                      <w:spacing w:val="-21"/>
                      <w:sz w:val="20"/>
                      <w:szCs w:val="20"/>
                    </w:rPr>
                    <w:t xml:space="preserve"> </w:t>
                  </w:r>
                  <w:r>
                    <w:rPr>
                      <w:rFonts w:ascii="Times New Roman" w:hAnsi="Times New Roman" w:eastAsia="Times New Roman" w:cs="Times New Roman"/>
                      <w:spacing w:val="-3"/>
                      <w:sz w:val="20"/>
                      <w:szCs w:val="20"/>
                    </w:rPr>
                    <w:t>1800kVA</w:t>
                  </w:r>
                  <w:r>
                    <w:rPr>
                      <w:rFonts w:ascii="Times New Roman" w:hAnsi="Times New Roman" w:eastAsia="Times New Roman" w:cs="Times New Roman"/>
                      <w:sz w:val="20"/>
                      <w:szCs w:val="20"/>
                    </w:rPr>
                    <w:t xml:space="preserve"> </w:t>
                  </w:r>
                  <w:r>
                    <w:rPr>
                      <w:rFonts w:ascii="FangSong_GB2312" w:hAnsi="FangSong_GB2312" w:eastAsia="FangSong_GB2312" w:cs="FangSong_GB2312"/>
                      <w:spacing w:val="2"/>
                      <w:sz w:val="20"/>
                      <w:szCs w:val="20"/>
                    </w:rPr>
                    <w:t>箱变各设一个</w:t>
                  </w:r>
                  <w:r>
                    <w:rPr>
                      <w:rFonts w:ascii="FangSong_GB2312" w:hAnsi="FangSong_GB2312" w:eastAsia="FangSong_GB2312" w:cs="FangSong_GB2312"/>
                      <w:spacing w:val="-7"/>
                      <w:sz w:val="20"/>
                      <w:szCs w:val="20"/>
                    </w:rPr>
                    <w:t xml:space="preserve"> </w:t>
                  </w:r>
                  <w:r>
                    <w:rPr>
                      <w:rFonts w:ascii="Times New Roman" w:hAnsi="Times New Roman" w:eastAsia="Times New Roman" w:cs="Times New Roman"/>
                      <w:spacing w:val="2"/>
                      <w:sz w:val="20"/>
                      <w:szCs w:val="20"/>
                    </w:rPr>
                    <w:t>1.6m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14"/>
                      <w:w w:val="102"/>
                      <w:position w:val="6"/>
                      <w:sz w:val="13"/>
                      <w:szCs w:val="13"/>
                    </w:rPr>
                    <w:t xml:space="preserve"> </w:t>
                  </w:r>
                  <w:r>
                    <w:rPr>
                      <w:rFonts w:ascii="FangSong_GB2312" w:hAnsi="FangSong_GB2312" w:eastAsia="FangSong_GB2312" w:cs="FangSong_GB2312"/>
                      <w:spacing w:val="2"/>
                      <w:sz w:val="20"/>
                      <w:szCs w:val="20"/>
                    </w:rPr>
                    <w:t>集油坑，</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36"/>
                      <w:w w:val="101"/>
                      <w:sz w:val="20"/>
                      <w:szCs w:val="20"/>
                    </w:rPr>
                    <w:t xml:space="preserve"> </w:t>
                  </w:r>
                  <w:r>
                    <w:rPr>
                      <w:rFonts w:ascii="FangSong_GB2312" w:hAnsi="FangSong_GB2312" w:eastAsia="FangSong_GB2312" w:cs="FangSong_GB2312"/>
                      <w:spacing w:val="2"/>
                      <w:sz w:val="20"/>
                      <w:szCs w:val="20"/>
                    </w:rPr>
                    <w:t>台</w:t>
                  </w:r>
                  <w:r>
                    <w:rPr>
                      <w:rFonts w:ascii="FangSong_GB2312" w:hAnsi="FangSong_GB2312" w:eastAsia="FangSong_GB2312" w:cs="FangSong_GB2312"/>
                      <w:spacing w:val="-43"/>
                      <w:sz w:val="20"/>
                      <w:szCs w:val="20"/>
                    </w:rPr>
                    <w:t xml:space="preserve"> </w:t>
                  </w:r>
                  <w:r>
                    <w:rPr>
                      <w:rFonts w:ascii="Times New Roman" w:hAnsi="Times New Roman" w:eastAsia="Times New Roman" w:cs="Times New Roman"/>
                      <w:spacing w:val="2"/>
                      <w:sz w:val="20"/>
                      <w:szCs w:val="20"/>
                    </w:rPr>
                    <w:t>2100</w:t>
                  </w:r>
                  <w:r>
                    <w:rPr>
                      <w:rFonts w:ascii="Times New Roman" w:hAnsi="Times New Roman" w:eastAsia="Times New Roman" w:cs="Times New Roman"/>
                      <w:sz w:val="20"/>
                      <w:szCs w:val="20"/>
                    </w:rPr>
                    <w:t>kVA</w:t>
                  </w:r>
                  <w:r>
                    <w:rPr>
                      <w:rFonts w:ascii="Times New Roman" w:hAnsi="Times New Roman" w:eastAsia="Times New Roman" w:cs="Times New Roman"/>
                      <w:spacing w:val="18"/>
                      <w:sz w:val="20"/>
                      <w:szCs w:val="20"/>
                    </w:rPr>
                    <w:t xml:space="preserve"> </w:t>
                  </w:r>
                  <w:r>
                    <w:rPr>
                      <w:rFonts w:ascii="FangSong_GB2312" w:hAnsi="FangSong_GB2312" w:eastAsia="FangSong_GB2312" w:cs="FangSong_GB2312"/>
                      <w:spacing w:val="2"/>
                      <w:sz w:val="20"/>
                      <w:szCs w:val="20"/>
                    </w:rPr>
                    <w:t>型箱变各设一个</w:t>
                  </w:r>
                  <w:r>
                    <w:rPr>
                      <w:rFonts w:ascii="FangSong_GB2312" w:hAnsi="FangSong_GB2312" w:eastAsia="FangSong_GB2312" w:cs="FangSong_GB2312"/>
                      <w:spacing w:val="-41"/>
                      <w:sz w:val="20"/>
                      <w:szCs w:val="20"/>
                    </w:rPr>
                    <w:t xml:space="preserve"> </w:t>
                  </w:r>
                  <w:r>
                    <w:rPr>
                      <w:rFonts w:ascii="Times New Roman" w:hAnsi="Times New Roman" w:eastAsia="Times New Roman" w:cs="Times New Roman"/>
                      <w:spacing w:val="2"/>
                      <w:sz w:val="20"/>
                      <w:szCs w:val="20"/>
                    </w:rPr>
                    <w:t>2.0m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position w:val="6"/>
                      <w:sz w:val="13"/>
                      <w:szCs w:val="13"/>
                    </w:rPr>
                    <w:t xml:space="preserve">  </w:t>
                  </w:r>
                  <w:r>
                    <w:rPr>
                      <w:rFonts w:ascii="FangSong_GB2312" w:hAnsi="FangSong_GB2312" w:eastAsia="FangSong_GB2312" w:cs="FangSong_GB2312"/>
                      <w:spacing w:val="-2"/>
                      <w:sz w:val="20"/>
                      <w:szCs w:val="20"/>
                    </w:rPr>
                    <w:t>集油坑，</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20"/>
                      <w:sz w:val="20"/>
                      <w:szCs w:val="20"/>
                    </w:rPr>
                    <w:t xml:space="preserve"> </w:t>
                  </w:r>
                  <w:r>
                    <w:rPr>
                      <w:rFonts w:ascii="FangSong_GB2312" w:hAnsi="FangSong_GB2312" w:eastAsia="FangSong_GB2312" w:cs="FangSong_GB2312"/>
                      <w:spacing w:val="-2"/>
                      <w:sz w:val="20"/>
                      <w:szCs w:val="20"/>
                    </w:rPr>
                    <w:t>台</w:t>
                  </w:r>
                  <w:r>
                    <w:rPr>
                      <w:rFonts w:ascii="FangSong_GB2312" w:hAnsi="FangSong_GB2312" w:eastAsia="FangSong_GB2312" w:cs="FangSong_GB2312"/>
                      <w:spacing w:val="-58"/>
                      <w:sz w:val="20"/>
                      <w:szCs w:val="20"/>
                    </w:rPr>
                    <w:t xml:space="preserve"> </w:t>
                  </w:r>
                  <w:r>
                    <w:rPr>
                      <w:rFonts w:ascii="Times New Roman" w:hAnsi="Times New Roman" w:eastAsia="Times New Roman" w:cs="Times New Roman"/>
                      <w:spacing w:val="-2"/>
                      <w:sz w:val="20"/>
                      <w:szCs w:val="20"/>
                    </w:rPr>
                    <w:t xml:space="preserve">2400kVA </w:t>
                  </w:r>
                  <w:r>
                    <w:rPr>
                      <w:rFonts w:ascii="FangSong_GB2312" w:hAnsi="FangSong_GB2312" w:eastAsia="FangSong_GB2312" w:cs="FangSong_GB2312"/>
                      <w:spacing w:val="-2"/>
                      <w:sz w:val="20"/>
                      <w:szCs w:val="20"/>
                    </w:rPr>
                    <w:t>型箱变各设一个</w:t>
                  </w:r>
                  <w:r>
                    <w:rPr>
                      <w:rFonts w:ascii="FangSong_GB2312" w:hAnsi="FangSong_GB2312" w:eastAsia="FangSong_GB2312" w:cs="FangSong_GB2312"/>
                      <w:spacing w:val="-57"/>
                      <w:sz w:val="20"/>
                      <w:szCs w:val="20"/>
                    </w:rPr>
                    <w:t xml:space="preserve"> </w:t>
                  </w:r>
                  <w:r>
                    <w:rPr>
                      <w:rFonts w:ascii="Times New Roman" w:hAnsi="Times New Roman" w:eastAsia="Times New Roman" w:cs="Times New Roman"/>
                      <w:spacing w:val="-2"/>
                      <w:sz w:val="20"/>
                      <w:szCs w:val="20"/>
                    </w:rPr>
                    <w:t>2.2m</w:t>
                  </w:r>
                  <w:r>
                    <w:rPr>
                      <w:rFonts w:ascii="Times New Roman" w:hAnsi="Times New Roman" w:eastAsia="Times New Roman" w:cs="Times New Roman"/>
                      <w:spacing w:val="-2"/>
                      <w:position w:val="6"/>
                      <w:sz w:val="13"/>
                      <w:szCs w:val="13"/>
                    </w:rPr>
                    <w:t xml:space="preserve">3 </w:t>
                  </w:r>
                  <w:r>
                    <w:rPr>
                      <w:rFonts w:ascii="FangSong_GB2312" w:hAnsi="FangSong_GB2312" w:eastAsia="FangSong_GB2312" w:cs="FangSong_GB2312"/>
                      <w:spacing w:val="-3"/>
                      <w:sz w:val="20"/>
                      <w:szCs w:val="20"/>
                    </w:rPr>
                    <w:t>集油坑，</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0"/>
                      <w:sz w:val="20"/>
                      <w:szCs w:val="20"/>
                    </w:rPr>
                    <w:t xml:space="preserve"> </w:t>
                  </w:r>
                  <w:r>
                    <w:rPr>
                      <w:rFonts w:ascii="FangSong_GB2312" w:hAnsi="FangSong_GB2312" w:eastAsia="FangSong_GB2312" w:cs="FangSong_GB2312"/>
                      <w:spacing w:val="-3"/>
                      <w:sz w:val="20"/>
                      <w:szCs w:val="20"/>
                    </w:rPr>
                    <w:t>台</w:t>
                  </w:r>
                  <w:r>
                    <w:rPr>
                      <w:rFonts w:ascii="FangSong_GB2312" w:hAnsi="FangSong_GB2312" w:eastAsia="FangSong_GB2312" w:cs="FangSong_GB2312"/>
                      <w:spacing w:val="-58"/>
                      <w:sz w:val="20"/>
                      <w:szCs w:val="20"/>
                    </w:rPr>
                    <w:t xml:space="preserve"> </w:t>
                  </w:r>
                  <w:r>
                    <w:rPr>
                      <w:rFonts w:ascii="Times New Roman" w:hAnsi="Times New Roman" w:eastAsia="Times New Roman" w:cs="Times New Roman"/>
                      <w:spacing w:val="-3"/>
                      <w:sz w:val="20"/>
                      <w:szCs w:val="20"/>
                    </w:rPr>
                    <w:t>2700kVA</w:t>
                  </w:r>
                  <w:r>
                    <w:rPr>
                      <w:rFonts w:ascii="Times New Roman" w:hAnsi="Times New Roman" w:eastAsia="Times New Roman" w:cs="Times New Roman"/>
                      <w:sz w:val="20"/>
                      <w:szCs w:val="20"/>
                    </w:rPr>
                    <w:t xml:space="preserve"> </w:t>
                  </w:r>
                  <w:r>
                    <w:rPr>
                      <w:rFonts w:ascii="FangSong_GB2312" w:hAnsi="FangSong_GB2312" w:eastAsia="FangSong_GB2312" w:cs="FangSong_GB2312"/>
                      <w:spacing w:val="8"/>
                      <w:sz w:val="20"/>
                      <w:szCs w:val="20"/>
                    </w:rPr>
                    <w:t>型箱变各设一个</w:t>
                  </w:r>
                  <w:r>
                    <w:rPr>
                      <w:rFonts w:ascii="FangSong_GB2312" w:hAnsi="FangSong_GB2312" w:eastAsia="FangSong_GB2312" w:cs="FangSong_GB2312"/>
                      <w:spacing w:val="-26"/>
                      <w:sz w:val="20"/>
                      <w:szCs w:val="20"/>
                    </w:rPr>
                    <w:t xml:space="preserve"> </w:t>
                  </w:r>
                  <w:r>
                    <w:rPr>
                      <w:rFonts w:ascii="Times New Roman" w:hAnsi="Times New Roman" w:eastAsia="Times New Roman" w:cs="Times New Roman"/>
                      <w:spacing w:val="8"/>
                      <w:sz w:val="20"/>
                      <w:szCs w:val="20"/>
                    </w:rPr>
                    <w:t>2.3m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20"/>
                      <w:position w:val="6"/>
                      <w:sz w:val="13"/>
                      <w:szCs w:val="13"/>
                    </w:rPr>
                    <w:t xml:space="preserve"> </w:t>
                  </w:r>
                  <w:r>
                    <w:rPr>
                      <w:rFonts w:ascii="FangSong_GB2312" w:hAnsi="FangSong_GB2312" w:eastAsia="FangSong_GB2312" w:cs="FangSong_GB2312"/>
                      <w:spacing w:val="8"/>
                      <w:sz w:val="20"/>
                      <w:szCs w:val="20"/>
                    </w:rPr>
                    <w:t>集油坑，</w:t>
                  </w:r>
                  <w:r>
                    <w:rPr>
                      <w:rFonts w:ascii="FangSong_GB2312" w:hAnsi="FangSong_GB2312" w:eastAsia="FangSong_GB2312" w:cs="FangSong_GB2312"/>
                      <w:spacing w:val="-60"/>
                      <w:sz w:val="20"/>
                      <w:szCs w:val="20"/>
                    </w:rPr>
                    <w:t xml:space="preserve"> </w:t>
                  </w:r>
                  <w:r>
                    <w:rPr>
                      <w:rFonts w:ascii="Times New Roman" w:hAnsi="Times New Roman" w:eastAsia="Times New Roman" w:cs="Times New Roman"/>
                      <w:spacing w:val="8"/>
                      <w:sz w:val="20"/>
                      <w:szCs w:val="20"/>
                    </w:rPr>
                    <w:t>19</w:t>
                  </w:r>
                  <w:r>
                    <w:rPr>
                      <w:rFonts w:ascii="Times New Roman" w:hAnsi="Times New Roman" w:eastAsia="Times New Roman" w:cs="Times New Roman"/>
                      <w:spacing w:val="44"/>
                      <w:sz w:val="20"/>
                      <w:szCs w:val="20"/>
                    </w:rPr>
                    <w:t xml:space="preserve"> </w:t>
                  </w:r>
                  <w:r>
                    <w:rPr>
                      <w:rFonts w:ascii="FangSong_GB2312" w:hAnsi="FangSong_GB2312" w:eastAsia="FangSong_GB2312" w:cs="FangSong_GB2312"/>
                      <w:spacing w:val="8"/>
                      <w:sz w:val="20"/>
                      <w:szCs w:val="20"/>
                    </w:rPr>
                    <w:t>台</w:t>
                  </w:r>
                  <w:r>
                    <w:rPr>
                      <w:rFonts w:ascii="FangSong_GB2312" w:hAnsi="FangSong_GB2312" w:eastAsia="FangSong_GB2312" w:cs="FangSong_GB2312"/>
                      <w:spacing w:val="-29"/>
                      <w:sz w:val="20"/>
                      <w:szCs w:val="20"/>
                    </w:rPr>
                    <w:t xml:space="preserve"> </w:t>
                  </w:r>
                  <w:r>
                    <w:rPr>
                      <w:rFonts w:ascii="Times New Roman" w:hAnsi="Times New Roman" w:eastAsia="Times New Roman" w:cs="Times New Roman"/>
                      <w:spacing w:val="8"/>
                      <w:sz w:val="20"/>
                      <w:szCs w:val="20"/>
                    </w:rPr>
                    <w:t>3300</w:t>
                  </w:r>
                  <w:r>
                    <w:rPr>
                      <w:rFonts w:ascii="Times New Roman" w:hAnsi="Times New Roman" w:eastAsia="Times New Roman" w:cs="Times New Roman"/>
                      <w:sz w:val="20"/>
                      <w:szCs w:val="20"/>
                    </w:rPr>
                    <w:t>kVA</w:t>
                  </w:r>
                  <w:r>
                    <w:rPr>
                      <w:rFonts w:ascii="Times New Roman" w:hAnsi="Times New Roman" w:eastAsia="Times New Roman" w:cs="Times New Roman"/>
                      <w:spacing w:val="25"/>
                      <w:sz w:val="20"/>
                      <w:szCs w:val="20"/>
                    </w:rPr>
                    <w:t xml:space="preserve"> </w:t>
                  </w:r>
                  <w:r>
                    <w:rPr>
                      <w:rFonts w:ascii="FangSong_GB2312" w:hAnsi="FangSong_GB2312" w:eastAsia="FangSong_GB2312" w:cs="FangSong_GB2312"/>
                      <w:spacing w:val="8"/>
                      <w:sz w:val="20"/>
                      <w:szCs w:val="20"/>
                    </w:rPr>
                    <w:t>型箱变各设一个</w:t>
                  </w:r>
                  <w:r>
                    <w:rPr>
                      <w:rFonts w:ascii="FangSong_GB2312" w:hAnsi="FangSong_GB2312" w:eastAsia="FangSong_GB2312" w:cs="FangSong_GB2312"/>
                      <w:sz w:val="20"/>
                      <w:szCs w:val="20"/>
                    </w:rPr>
                    <w:t xml:space="preserve"> </w:t>
                  </w:r>
                  <w:r>
                    <w:rPr>
                      <w:rFonts w:ascii="Times New Roman" w:hAnsi="Times New Roman" w:eastAsia="Times New Roman" w:cs="Times New Roman"/>
                      <w:spacing w:val="3"/>
                      <w:sz w:val="20"/>
                      <w:szCs w:val="20"/>
                    </w:rPr>
                    <w:t>2.5m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21"/>
                      <w:w w:val="101"/>
                      <w:position w:val="6"/>
                      <w:sz w:val="13"/>
                      <w:szCs w:val="13"/>
                    </w:rPr>
                    <w:t xml:space="preserve"> </w:t>
                  </w:r>
                  <w:r>
                    <w:rPr>
                      <w:rFonts w:ascii="FangSong_GB2312" w:hAnsi="FangSong_GB2312" w:eastAsia="FangSong_GB2312" w:cs="FangSong_GB2312"/>
                      <w:spacing w:val="3"/>
                      <w:sz w:val="20"/>
                      <w:szCs w:val="20"/>
                    </w:rPr>
                    <w:t>集油坑</w:t>
                  </w:r>
                  <w:r>
                    <w:rPr>
                      <w:spacing w:val="3"/>
                      <w:sz w:val="20"/>
                      <w:szCs w:val="20"/>
                    </w:rPr>
                    <w:t>。</w:t>
                  </w:r>
                </w:p>
              </w:tc>
              <w:tc>
                <w:tcPr>
                  <w:tcW w:w="431" w:type="dxa"/>
                  <w:textDirection w:val="tbRlV"/>
                  <w:vAlign w:val="top"/>
                </w:tcPr>
                <w:p w14:paraId="4048640C">
                  <w:pPr>
                    <w:pStyle w:val="6"/>
                    <w:spacing w:before="108" w:line="216" w:lineRule="auto"/>
                    <w:ind w:left="850"/>
                    <w:rPr>
                      <w:sz w:val="20"/>
                      <w:szCs w:val="20"/>
                    </w:rPr>
                  </w:pPr>
                  <w:r>
                    <w:rPr>
                      <w:spacing w:val="8"/>
                      <w:sz w:val="20"/>
                      <w:szCs w:val="20"/>
                    </w:rPr>
                    <w:t>新</w:t>
                  </w:r>
                  <w:r>
                    <w:rPr>
                      <w:spacing w:val="-38"/>
                      <w:sz w:val="20"/>
                      <w:szCs w:val="20"/>
                    </w:rPr>
                    <w:t xml:space="preserve"> </w:t>
                  </w:r>
                  <w:r>
                    <w:rPr>
                      <w:spacing w:val="8"/>
                      <w:sz w:val="20"/>
                      <w:szCs w:val="20"/>
                    </w:rPr>
                    <w:t>建</w:t>
                  </w:r>
                </w:p>
              </w:tc>
            </w:tr>
            <w:tr w14:paraId="1F656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3" w:hRule="atLeast"/>
              </w:trPr>
              <w:tc>
                <w:tcPr>
                  <w:tcW w:w="431" w:type="dxa"/>
                  <w:vMerge w:val="continue"/>
                  <w:tcBorders>
                    <w:top w:val="nil"/>
                    <w:bottom w:val="nil"/>
                  </w:tcBorders>
                  <w:vAlign w:val="top"/>
                </w:tcPr>
                <w:p w14:paraId="216D1AC8">
                  <w:pPr>
                    <w:rPr>
                      <w:rFonts w:ascii="Arial"/>
                      <w:sz w:val="21"/>
                    </w:rPr>
                  </w:pPr>
                </w:p>
              </w:tc>
              <w:tc>
                <w:tcPr>
                  <w:tcW w:w="1168" w:type="dxa"/>
                  <w:gridSpan w:val="2"/>
                  <w:vAlign w:val="top"/>
                </w:tcPr>
                <w:p w14:paraId="7B9F9C2E">
                  <w:pPr>
                    <w:spacing w:line="308" w:lineRule="auto"/>
                    <w:rPr>
                      <w:rFonts w:ascii="Arial"/>
                      <w:sz w:val="21"/>
                    </w:rPr>
                  </w:pPr>
                </w:p>
                <w:p w14:paraId="64E835F6">
                  <w:pPr>
                    <w:spacing w:line="309" w:lineRule="auto"/>
                    <w:rPr>
                      <w:rFonts w:ascii="Arial"/>
                      <w:sz w:val="21"/>
                    </w:rPr>
                  </w:pPr>
                </w:p>
                <w:p w14:paraId="725812B7">
                  <w:pPr>
                    <w:pStyle w:val="6"/>
                    <w:spacing w:before="65"/>
                    <w:ind w:left="481" w:right="107" w:hanging="371"/>
                    <w:rPr>
                      <w:sz w:val="20"/>
                      <w:szCs w:val="20"/>
                    </w:rPr>
                  </w:pPr>
                  <w:r>
                    <w:rPr>
                      <w:spacing w:val="-12"/>
                      <w:sz w:val="20"/>
                      <w:szCs w:val="20"/>
                    </w:rPr>
                    <w:t>地下水、土</w:t>
                  </w:r>
                  <w:r>
                    <w:rPr>
                      <w:spacing w:val="3"/>
                      <w:sz w:val="20"/>
                      <w:szCs w:val="20"/>
                    </w:rPr>
                    <w:t xml:space="preserve"> </w:t>
                  </w:r>
                  <w:r>
                    <w:rPr>
                      <w:sz w:val="20"/>
                      <w:szCs w:val="20"/>
                    </w:rPr>
                    <w:t>壤</w:t>
                  </w:r>
                </w:p>
              </w:tc>
              <w:tc>
                <w:tcPr>
                  <w:tcW w:w="6123" w:type="dxa"/>
                  <w:vAlign w:val="top"/>
                </w:tcPr>
                <w:p w14:paraId="522C8136">
                  <w:pPr>
                    <w:pStyle w:val="6"/>
                    <w:spacing w:before="141" w:line="246" w:lineRule="auto"/>
                    <w:ind w:left="105" w:right="12" w:firstLine="7"/>
                    <w:rPr>
                      <w:sz w:val="20"/>
                      <w:szCs w:val="20"/>
                    </w:rPr>
                  </w:pPr>
                  <w:r>
                    <w:rPr>
                      <w:spacing w:val="11"/>
                      <w:sz w:val="20"/>
                      <w:szCs w:val="20"/>
                    </w:rPr>
                    <w:t>光伏区：箱式变压器、事故油池，升压站：主变压器、集油坑、</w:t>
                  </w:r>
                  <w:r>
                    <w:rPr>
                      <w:spacing w:val="3"/>
                      <w:sz w:val="20"/>
                      <w:szCs w:val="20"/>
                    </w:rPr>
                    <w:t xml:space="preserve"> </w:t>
                  </w:r>
                  <w:r>
                    <w:rPr>
                      <w:spacing w:val="7"/>
                      <w:sz w:val="20"/>
                      <w:szCs w:val="20"/>
                    </w:rPr>
                    <w:t>事故油池、危废贮存库，严格按照《危险废物贮存污染</w:t>
                  </w:r>
                  <w:r>
                    <w:rPr>
                      <w:spacing w:val="6"/>
                      <w:sz w:val="20"/>
                      <w:szCs w:val="20"/>
                    </w:rPr>
                    <w:t>控制标准》</w:t>
                  </w:r>
                  <w:r>
                    <w:rPr>
                      <w:sz w:val="20"/>
                      <w:szCs w:val="20"/>
                    </w:rPr>
                    <w:t xml:space="preserve"> </w:t>
                  </w:r>
                  <w:r>
                    <w:rPr>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0"/>
                      <w:w w:val="101"/>
                      <w:sz w:val="20"/>
                      <w:szCs w:val="20"/>
                    </w:rPr>
                    <w:t xml:space="preserve"> </w:t>
                  </w:r>
                  <w:r>
                    <w:rPr>
                      <w:rFonts w:ascii="Times New Roman" w:hAnsi="Times New Roman" w:eastAsia="Times New Roman" w:cs="Times New Roman"/>
                      <w:spacing w:val="8"/>
                      <w:sz w:val="20"/>
                      <w:szCs w:val="20"/>
                    </w:rPr>
                    <w:t>18597-2023</w:t>
                  </w:r>
                  <w:r>
                    <w:rPr>
                      <w:spacing w:val="8"/>
                      <w:sz w:val="20"/>
                      <w:szCs w:val="20"/>
                    </w:rPr>
                    <w:t>）重点防渗进行设计建设：基础必须进行防渗，</w:t>
                  </w:r>
                  <w:r>
                    <w:rPr>
                      <w:sz w:val="20"/>
                      <w:szCs w:val="20"/>
                    </w:rPr>
                    <w:t xml:space="preserve"> </w:t>
                  </w:r>
                  <w:r>
                    <w:rPr>
                      <w:spacing w:val="5"/>
                      <w:sz w:val="20"/>
                      <w:szCs w:val="20"/>
                    </w:rPr>
                    <w:t>防渗层至少为</w:t>
                  </w:r>
                  <w:r>
                    <w:rPr>
                      <w:spacing w:val="-20"/>
                      <w:sz w:val="20"/>
                      <w:szCs w:val="20"/>
                    </w:rPr>
                    <w:t xml:space="preserve"> </w:t>
                  </w:r>
                  <w:r>
                    <w:rPr>
                      <w:rFonts w:ascii="Times New Roman" w:hAnsi="Times New Roman" w:eastAsia="Times New Roman" w:cs="Times New Roman"/>
                      <w:spacing w:val="5"/>
                      <w:sz w:val="20"/>
                      <w:szCs w:val="20"/>
                    </w:rPr>
                    <w:t>1m</w:t>
                  </w:r>
                  <w:r>
                    <w:rPr>
                      <w:rFonts w:ascii="Times New Roman" w:hAnsi="Times New Roman" w:eastAsia="Times New Roman" w:cs="Times New Roman"/>
                      <w:spacing w:val="17"/>
                      <w:sz w:val="20"/>
                      <w:szCs w:val="20"/>
                    </w:rPr>
                    <w:t xml:space="preserve"> </w:t>
                  </w:r>
                  <w:r>
                    <w:rPr>
                      <w:spacing w:val="5"/>
                      <w:sz w:val="20"/>
                      <w:szCs w:val="20"/>
                    </w:rPr>
                    <w:t>厚粘土层（渗透系数</w:t>
                  </w:r>
                  <w:r>
                    <w:rPr>
                      <w:rFonts w:ascii="Times New Roman" w:hAnsi="Times New Roman" w:eastAsia="Times New Roman" w:cs="Times New Roman"/>
                      <w:spacing w:val="5"/>
                      <w:sz w:val="20"/>
                      <w:szCs w:val="20"/>
                    </w:rPr>
                    <w:t>≤1×10</w:t>
                  </w:r>
                  <w:r>
                    <w:rPr>
                      <w:rFonts w:ascii="Times New Roman" w:hAnsi="Times New Roman" w:eastAsia="Times New Roman" w:cs="Times New Roman"/>
                      <w:spacing w:val="5"/>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/s</w:t>
                  </w:r>
                  <w:r>
                    <w:rPr>
                      <w:spacing w:val="6"/>
                      <w:sz w:val="20"/>
                      <w:szCs w:val="20"/>
                    </w:rPr>
                    <w:t>），</w:t>
                  </w:r>
                  <w:r>
                    <w:rPr>
                      <w:spacing w:val="5"/>
                      <w:sz w:val="20"/>
                      <w:szCs w:val="20"/>
                    </w:rPr>
                    <w:t>或</w:t>
                  </w:r>
                  <w:r>
                    <w:rPr>
                      <w:spacing w:val="-43"/>
                      <w:sz w:val="20"/>
                      <w:szCs w:val="20"/>
                    </w:rPr>
                    <w:t xml:space="preserve"> </w:t>
                  </w:r>
                  <w:r>
                    <w:rPr>
                      <w:rFonts w:ascii="Times New Roman" w:hAnsi="Times New Roman" w:eastAsia="Times New Roman" w:cs="Times New Roman"/>
                      <w:spacing w:val="5"/>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21"/>
                      <w:w w:val="101"/>
                      <w:sz w:val="20"/>
                      <w:szCs w:val="20"/>
                    </w:rPr>
                    <w:t xml:space="preserve"> </w:t>
                  </w:r>
                  <w:r>
                    <w:rPr>
                      <w:spacing w:val="5"/>
                      <w:sz w:val="20"/>
                      <w:szCs w:val="20"/>
                    </w:rPr>
                    <w:t>厚</w:t>
                  </w:r>
                  <w:r>
                    <w:rPr>
                      <w:sz w:val="20"/>
                      <w:szCs w:val="20"/>
                    </w:rPr>
                    <w:t xml:space="preserve">  </w:t>
                  </w:r>
                  <w:r>
                    <w:rPr>
                      <w:spacing w:val="24"/>
                      <w:sz w:val="20"/>
                      <w:szCs w:val="20"/>
                    </w:rPr>
                    <w:t>高密度聚乙烯</w:t>
                  </w:r>
                  <w:r>
                    <w:rPr>
                      <w:spacing w:val="-49"/>
                      <w:sz w:val="20"/>
                      <w:szCs w:val="20"/>
                    </w:rPr>
                    <w:t xml:space="preserve"> </w:t>
                  </w:r>
                  <w:r>
                    <w:rPr>
                      <w:spacing w:val="24"/>
                      <w:sz w:val="20"/>
                      <w:szCs w:val="20"/>
                    </w:rPr>
                    <w:t>，</w:t>
                  </w:r>
                  <w:r>
                    <w:rPr>
                      <w:spacing w:val="-59"/>
                      <w:sz w:val="20"/>
                      <w:szCs w:val="20"/>
                    </w:rPr>
                    <w:t xml:space="preserve"> </w:t>
                  </w:r>
                  <w:r>
                    <w:rPr>
                      <w:spacing w:val="24"/>
                      <w:sz w:val="20"/>
                      <w:szCs w:val="20"/>
                    </w:rPr>
                    <w:t>或至少</w:t>
                  </w:r>
                  <w:r>
                    <w:rPr>
                      <w:spacing w:val="-16"/>
                      <w:sz w:val="20"/>
                      <w:szCs w:val="20"/>
                    </w:rPr>
                    <w:t xml:space="preserve"> </w:t>
                  </w:r>
                  <w:r>
                    <w:rPr>
                      <w:rFonts w:ascii="Times New Roman" w:hAnsi="Times New Roman" w:eastAsia="Times New Roman" w:cs="Times New Roman"/>
                      <w:spacing w:val="24"/>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40"/>
                      <w:w w:val="101"/>
                      <w:sz w:val="20"/>
                      <w:szCs w:val="20"/>
                    </w:rPr>
                    <w:t xml:space="preserve"> </w:t>
                  </w:r>
                  <w:r>
                    <w:rPr>
                      <w:spacing w:val="24"/>
                      <w:sz w:val="20"/>
                      <w:szCs w:val="20"/>
                    </w:rPr>
                    <w:t>厚的其他人工材料</w:t>
                  </w:r>
                  <w:r>
                    <w:rPr>
                      <w:spacing w:val="-49"/>
                      <w:sz w:val="20"/>
                      <w:szCs w:val="20"/>
                    </w:rPr>
                    <w:t xml:space="preserve"> </w:t>
                  </w:r>
                  <w:r>
                    <w:rPr>
                      <w:spacing w:val="24"/>
                      <w:sz w:val="20"/>
                      <w:szCs w:val="20"/>
                    </w:rPr>
                    <w:t>，渗透系数</w:t>
                  </w:r>
                  <w:r>
                    <w:rPr>
                      <w:sz w:val="20"/>
                      <w:szCs w:val="20"/>
                    </w:rPr>
                    <w:t xml:space="preserve">  </w:t>
                  </w:r>
                  <w:r>
                    <w:rPr>
                      <w:rFonts w:ascii="Times New Roman" w:hAnsi="Times New Roman" w:eastAsia="Times New Roman" w:cs="Times New Roman"/>
                      <w:spacing w:val="4"/>
                      <w:sz w:val="20"/>
                      <w:szCs w:val="20"/>
                    </w:rPr>
                    <w:t>≤1×10</w:t>
                  </w:r>
                  <w:r>
                    <w:rPr>
                      <w:rFonts w:ascii="Times New Roman" w:hAnsi="Times New Roman" w:eastAsia="Times New Roman" w:cs="Times New Roman"/>
                      <w:spacing w:val="4"/>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/s</w:t>
                  </w:r>
                  <w:r>
                    <w:rPr>
                      <w:spacing w:val="4"/>
                      <w:sz w:val="20"/>
                      <w:szCs w:val="20"/>
                    </w:rPr>
                    <w:t>。</w:t>
                  </w:r>
                </w:p>
              </w:tc>
              <w:tc>
                <w:tcPr>
                  <w:tcW w:w="431" w:type="dxa"/>
                  <w:textDirection w:val="tbRlV"/>
                  <w:vAlign w:val="top"/>
                </w:tcPr>
                <w:p w14:paraId="5185947B">
                  <w:pPr>
                    <w:pStyle w:val="6"/>
                    <w:spacing w:before="108" w:line="216" w:lineRule="auto"/>
                    <w:ind w:left="686"/>
                    <w:rPr>
                      <w:sz w:val="20"/>
                      <w:szCs w:val="20"/>
                    </w:rPr>
                  </w:pPr>
                  <w:r>
                    <w:rPr>
                      <w:spacing w:val="8"/>
                      <w:sz w:val="20"/>
                      <w:szCs w:val="20"/>
                    </w:rPr>
                    <w:t>新</w:t>
                  </w:r>
                  <w:r>
                    <w:rPr>
                      <w:spacing w:val="-38"/>
                      <w:sz w:val="20"/>
                      <w:szCs w:val="20"/>
                    </w:rPr>
                    <w:t xml:space="preserve"> </w:t>
                  </w:r>
                  <w:r>
                    <w:rPr>
                      <w:spacing w:val="8"/>
                      <w:sz w:val="20"/>
                      <w:szCs w:val="20"/>
                    </w:rPr>
                    <w:t>建</w:t>
                  </w:r>
                </w:p>
              </w:tc>
            </w:tr>
            <w:tr w14:paraId="2B2D3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31" w:type="dxa"/>
                  <w:vMerge w:val="continue"/>
                  <w:tcBorders>
                    <w:top w:val="nil"/>
                  </w:tcBorders>
                  <w:vAlign w:val="top"/>
                </w:tcPr>
                <w:p w14:paraId="0270E53D">
                  <w:pPr>
                    <w:rPr>
                      <w:rFonts w:ascii="Arial"/>
                      <w:sz w:val="21"/>
                    </w:rPr>
                  </w:pPr>
                </w:p>
              </w:tc>
              <w:tc>
                <w:tcPr>
                  <w:tcW w:w="1168" w:type="dxa"/>
                  <w:gridSpan w:val="2"/>
                  <w:vAlign w:val="top"/>
                </w:tcPr>
                <w:p w14:paraId="6EF02F6B">
                  <w:pPr>
                    <w:pStyle w:val="6"/>
                    <w:spacing w:before="170" w:line="229" w:lineRule="auto"/>
                    <w:ind w:left="378"/>
                    <w:rPr>
                      <w:sz w:val="20"/>
                      <w:szCs w:val="20"/>
                    </w:rPr>
                  </w:pPr>
                  <w:r>
                    <w:rPr>
                      <w:spacing w:val="3"/>
                      <w:sz w:val="20"/>
                      <w:szCs w:val="20"/>
                    </w:rPr>
                    <w:t>绿化</w:t>
                  </w:r>
                </w:p>
              </w:tc>
              <w:tc>
                <w:tcPr>
                  <w:tcW w:w="6123" w:type="dxa"/>
                  <w:vAlign w:val="top"/>
                </w:tcPr>
                <w:p w14:paraId="356174EB">
                  <w:pPr>
                    <w:pStyle w:val="6"/>
                    <w:spacing w:before="169" w:line="228" w:lineRule="auto"/>
                    <w:ind w:left="113"/>
                    <w:rPr>
                      <w:sz w:val="20"/>
                      <w:szCs w:val="20"/>
                    </w:rPr>
                  </w:pPr>
                  <w:r>
                    <w:rPr>
                      <w:spacing w:val="6"/>
                      <w:sz w:val="20"/>
                      <w:szCs w:val="20"/>
                    </w:rPr>
                    <w:t>升压站办公生活区绿化面积为</w:t>
                  </w:r>
                  <w:r>
                    <w:rPr>
                      <w:spacing w:val="-19"/>
                      <w:sz w:val="20"/>
                      <w:szCs w:val="20"/>
                    </w:rPr>
                    <w:t xml:space="preserve"> </w:t>
                  </w:r>
                  <w:r>
                    <w:rPr>
                      <w:rFonts w:ascii="Times New Roman" w:hAnsi="Times New Roman" w:eastAsia="Times New Roman" w:cs="Times New Roman"/>
                      <w:spacing w:val="6"/>
                      <w:sz w:val="20"/>
                      <w:szCs w:val="20"/>
                    </w:rPr>
                    <w:t>1000m</w:t>
                  </w:r>
                  <w:r>
                    <w:rPr>
                      <w:rFonts w:ascii="Times New Roman" w:hAnsi="Times New Roman" w:eastAsia="Times New Roman" w:cs="Times New Roman"/>
                      <w:spacing w:val="6"/>
                      <w:position w:val="6"/>
                      <w:sz w:val="13"/>
                      <w:szCs w:val="13"/>
                    </w:rPr>
                    <w:t>2</w:t>
                  </w:r>
                  <w:r>
                    <w:rPr>
                      <w:spacing w:val="6"/>
                      <w:sz w:val="20"/>
                      <w:szCs w:val="20"/>
                    </w:rPr>
                    <w:t>。</w:t>
                  </w:r>
                </w:p>
              </w:tc>
              <w:tc>
                <w:tcPr>
                  <w:tcW w:w="431" w:type="dxa"/>
                  <w:textDirection w:val="tbRlV"/>
                  <w:vAlign w:val="top"/>
                </w:tcPr>
                <w:p w14:paraId="56296347">
                  <w:pPr>
                    <w:pStyle w:val="6"/>
                    <w:spacing w:before="108" w:line="216" w:lineRule="auto"/>
                    <w:ind w:left="35"/>
                    <w:rPr>
                      <w:sz w:val="20"/>
                      <w:szCs w:val="20"/>
                    </w:rPr>
                  </w:pPr>
                  <w:r>
                    <w:rPr>
                      <w:spacing w:val="8"/>
                      <w:sz w:val="20"/>
                      <w:szCs w:val="20"/>
                    </w:rPr>
                    <w:t>新</w:t>
                  </w:r>
                  <w:r>
                    <w:rPr>
                      <w:spacing w:val="-38"/>
                      <w:sz w:val="20"/>
                      <w:szCs w:val="20"/>
                    </w:rPr>
                    <w:t xml:space="preserve"> </w:t>
                  </w:r>
                  <w:r>
                    <w:rPr>
                      <w:spacing w:val="8"/>
                      <w:sz w:val="20"/>
                      <w:szCs w:val="20"/>
                    </w:rPr>
                    <w:t>建</w:t>
                  </w:r>
                </w:p>
              </w:tc>
            </w:tr>
          </w:tbl>
          <w:p w14:paraId="5221F7CE">
            <w:pPr>
              <w:pStyle w:val="6"/>
              <w:spacing w:before="35" w:line="219" w:lineRule="auto"/>
              <w:ind w:left="591"/>
            </w:pPr>
            <w:r>
              <w:rPr>
                <w:b/>
                <w:bCs/>
                <w:spacing w:val="-4"/>
              </w:rPr>
              <w:t>二、项目组成概况</w:t>
            </w:r>
          </w:p>
          <w:p w14:paraId="7245D16C">
            <w:pPr>
              <w:pStyle w:val="6"/>
              <w:spacing w:before="182" w:line="219" w:lineRule="auto"/>
              <w:ind w:left="594"/>
            </w:pPr>
            <w:r>
              <w:rPr>
                <w:rFonts w:ascii="Times New Roman" w:hAnsi="Times New Roman" w:eastAsia="Times New Roman" w:cs="Times New Roman"/>
                <w:b/>
                <w:bCs/>
                <w:spacing w:val="-7"/>
              </w:rPr>
              <w:t>1</w:t>
            </w:r>
            <w:r>
              <w:rPr>
                <w:rFonts w:ascii="Times New Roman" w:hAnsi="Times New Roman" w:eastAsia="Times New Roman" w:cs="Times New Roman"/>
                <w:b/>
                <w:bCs/>
                <w:spacing w:val="-27"/>
              </w:rPr>
              <w:t xml:space="preserve"> </w:t>
            </w:r>
            <w:r>
              <w:rPr>
                <w:b/>
                <w:bCs/>
                <w:spacing w:val="-7"/>
              </w:rPr>
              <w:t>、光伏发电系统区</w:t>
            </w:r>
          </w:p>
          <w:p w14:paraId="4E5769DB">
            <w:pPr>
              <w:pStyle w:val="6"/>
              <w:spacing w:before="175" w:line="357" w:lineRule="auto"/>
              <w:ind w:left="103" w:right="70" w:firstLine="488"/>
              <w:jc w:val="both"/>
            </w:pPr>
            <w:r>
              <w:rPr>
                <w:spacing w:val="-1"/>
              </w:rPr>
              <w:t>项目规划装机容量</w:t>
            </w:r>
            <w:r>
              <w:rPr>
                <w:spacing w:val="-35"/>
              </w:rPr>
              <w:t xml:space="preserve"> </w:t>
            </w:r>
            <w:r>
              <w:rPr>
                <w:rFonts w:ascii="Times New Roman" w:hAnsi="Times New Roman" w:eastAsia="Times New Roman" w:cs="Times New Roman"/>
                <w:spacing w:val="-1"/>
              </w:rPr>
              <w:t>95.7MW</w:t>
            </w:r>
            <w:r>
              <w:rPr>
                <w:rFonts w:ascii="Times New Roman" w:hAnsi="Times New Roman" w:eastAsia="Times New Roman" w:cs="Times New Roman"/>
                <w:spacing w:val="-26"/>
              </w:rPr>
              <w:t xml:space="preserve"> </w:t>
            </w:r>
            <w:r>
              <w:rPr>
                <w:spacing w:val="-1"/>
              </w:rPr>
              <w:t>。电站采用分块发电、集中并网方案。工程采</w:t>
            </w:r>
            <w:r>
              <w:t xml:space="preserve"> </w:t>
            </w:r>
            <w:r>
              <w:rPr>
                <w:spacing w:val="-4"/>
              </w:rPr>
              <w:t>用</w:t>
            </w:r>
            <w:r>
              <w:rPr>
                <w:spacing w:val="-41"/>
              </w:rPr>
              <w:t xml:space="preserve"> </w:t>
            </w:r>
            <w:r>
              <w:rPr>
                <w:rFonts w:ascii="Times New Roman" w:hAnsi="Times New Roman" w:eastAsia="Times New Roman" w:cs="Times New Roman"/>
                <w:spacing w:val="-4"/>
              </w:rPr>
              <w:t>630Wp</w:t>
            </w:r>
            <w:r>
              <w:rPr>
                <w:rFonts w:ascii="Times New Roman" w:hAnsi="Times New Roman" w:eastAsia="Times New Roman" w:cs="Times New Roman"/>
                <w:spacing w:val="29"/>
              </w:rPr>
              <w:t xml:space="preserve"> </w:t>
            </w:r>
            <w:r>
              <w:rPr>
                <w:spacing w:val="-4"/>
              </w:rPr>
              <w:t>的</w:t>
            </w:r>
            <w:r>
              <w:rPr>
                <w:spacing w:val="-63"/>
              </w:rPr>
              <w:t xml:space="preserve"> </w:t>
            </w:r>
            <w:r>
              <w:rPr>
                <w:rFonts w:ascii="Times New Roman" w:hAnsi="Times New Roman" w:eastAsia="Times New Roman" w:cs="Times New Roman"/>
                <w:spacing w:val="-4"/>
              </w:rPr>
              <w:t>N</w:t>
            </w:r>
            <w:r>
              <w:rPr>
                <w:rFonts w:ascii="Times New Roman" w:hAnsi="Times New Roman" w:eastAsia="Times New Roman" w:cs="Times New Roman"/>
                <w:spacing w:val="16"/>
                <w:w w:val="101"/>
              </w:rPr>
              <w:t xml:space="preserve"> </w:t>
            </w:r>
            <w:r>
              <w:rPr>
                <w:spacing w:val="-4"/>
              </w:rPr>
              <w:t>型单晶硅光伏组件，共分</w:t>
            </w:r>
            <w:r>
              <w:rPr>
                <w:spacing w:val="-51"/>
              </w:rPr>
              <w:t xml:space="preserve"> </w:t>
            </w:r>
            <w:r>
              <w:rPr>
                <w:rFonts w:ascii="Times New Roman" w:hAnsi="Times New Roman" w:eastAsia="Times New Roman" w:cs="Times New Roman"/>
                <w:spacing w:val="-4"/>
              </w:rPr>
              <w:t xml:space="preserve">37 </w:t>
            </w:r>
            <w:r>
              <w:rPr>
                <w:spacing w:val="-4"/>
              </w:rPr>
              <w:t>个光伏子阵，其中</w:t>
            </w:r>
            <w:r>
              <w:rPr>
                <w:rFonts w:ascii="Times New Roman" w:hAnsi="Times New Roman" w:eastAsia="Times New Roman" w:cs="Times New Roman"/>
                <w:spacing w:val="-4"/>
              </w:rPr>
              <w:t xml:space="preserve">3300kVA </w:t>
            </w:r>
            <w:r>
              <w:rPr>
                <w:spacing w:val="-4"/>
              </w:rPr>
              <w:t>箱变光</w:t>
            </w:r>
            <w:r>
              <w:t xml:space="preserve"> </w:t>
            </w:r>
            <w:r>
              <w:rPr>
                <w:spacing w:val="-2"/>
              </w:rPr>
              <w:t>伏发电子方阵配置</w:t>
            </w:r>
            <w:r>
              <w:rPr>
                <w:rFonts w:ascii="Times New Roman" w:hAnsi="Times New Roman" w:eastAsia="Times New Roman" w:cs="Times New Roman"/>
                <w:spacing w:val="-2"/>
              </w:rPr>
              <w:t>300kW</w:t>
            </w:r>
            <w:r>
              <w:rPr>
                <w:rFonts w:ascii="Times New Roman" w:hAnsi="Times New Roman" w:eastAsia="Times New Roman" w:cs="Times New Roman"/>
                <w:spacing w:val="-9"/>
              </w:rPr>
              <w:t xml:space="preserve"> </w:t>
            </w:r>
            <w:r>
              <w:rPr>
                <w:spacing w:val="-2"/>
              </w:rPr>
              <w:t>组串式逆变器</w:t>
            </w:r>
            <w:r>
              <w:rPr>
                <w:rFonts w:ascii="Times New Roman" w:hAnsi="Times New Roman" w:eastAsia="Times New Roman" w:cs="Times New Roman"/>
                <w:spacing w:val="-2"/>
              </w:rPr>
              <w:t xml:space="preserve">209 </w:t>
            </w:r>
            <w:r>
              <w:rPr>
                <w:spacing w:val="-2"/>
              </w:rPr>
              <w:t>台，每</w:t>
            </w:r>
            <w:r>
              <w:rPr>
                <w:rFonts w:ascii="Times New Roman" w:hAnsi="Times New Roman" w:eastAsia="Times New Roman" w:cs="Times New Roman"/>
                <w:spacing w:val="-2"/>
              </w:rPr>
              <w:t>23/24</w:t>
            </w:r>
            <w:r>
              <w:rPr>
                <w:rFonts w:ascii="Times New Roman" w:hAnsi="Times New Roman" w:eastAsia="Times New Roman" w:cs="Times New Roman"/>
                <w:spacing w:val="-15"/>
              </w:rPr>
              <w:t xml:space="preserve"> </w:t>
            </w:r>
            <w:r>
              <w:rPr>
                <w:spacing w:val="-2"/>
              </w:rPr>
              <w:t>个组串接入</w:t>
            </w:r>
            <w:r>
              <w:rPr>
                <w:spacing w:val="-56"/>
              </w:rPr>
              <w:t xml:space="preserve"> </w:t>
            </w:r>
            <w:r>
              <w:rPr>
                <w:rFonts w:ascii="Times New Roman" w:hAnsi="Times New Roman" w:eastAsia="Times New Roman" w:cs="Times New Roman"/>
                <w:spacing w:val="-2"/>
              </w:rPr>
              <w:t xml:space="preserve">1 </w:t>
            </w:r>
            <w:r>
              <w:rPr>
                <w:spacing w:val="-2"/>
              </w:rPr>
              <w:t>台</w:t>
            </w:r>
            <w:r>
              <w:rPr>
                <w:rFonts w:ascii="Times New Roman" w:hAnsi="Times New Roman" w:eastAsia="Times New Roman" w:cs="Times New Roman"/>
                <w:spacing w:val="-2"/>
              </w:rPr>
              <w:t>300kW</w:t>
            </w:r>
            <w:r>
              <w:rPr>
                <w:rFonts w:ascii="Times New Roman" w:hAnsi="Times New Roman" w:eastAsia="Times New Roman" w:cs="Times New Roman"/>
              </w:rPr>
              <w:t xml:space="preserve"> </w:t>
            </w:r>
            <w:r>
              <w:rPr>
                <w:spacing w:val="2"/>
              </w:rPr>
              <w:t>逆变器；</w:t>
            </w:r>
            <w:r>
              <w:rPr>
                <w:rFonts w:ascii="Times New Roman" w:hAnsi="Times New Roman" w:eastAsia="Times New Roman" w:cs="Times New Roman"/>
                <w:spacing w:val="2"/>
              </w:rPr>
              <w:t>2700</w:t>
            </w:r>
            <w:r>
              <w:rPr>
                <w:rFonts w:ascii="Times New Roman" w:hAnsi="Times New Roman" w:eastAsia="Times New Roman" w:cs="Times New Roman"/>
              </w:rPr>
              <w:t>kVA</w:t>
            </w:r>
            <w:r>
              <w:rPr>
                <w:rFonts w:ascii="Times New Roman" w:hAnsi="Times New Roman" w:eastAsia="Times New Roman" w:cs="Times New Roman"/>
                <w:spacing w:val="21"/>
              </w:rPr>
              <w:t xml:space="preserve"> </w:t>
            </w:r>
            <w:r>
              <w:rPr>
                <w:spacing w:val="2"/>
              </w:rPr>
              <w:t>箱变光伏发电子方阵配置</w:t>
            </w:r>
            <w:r>
              <w:rPr>
                <w:spacing w:val="-41"/>
              </w:rPr>
              <w:t xml:space="preserve"> </w:t>
            </w:r>
            <w:r>
              <w:rPr>
                <w:rFonts w:ascii="Times New Roman" w:hAnsi="Times New Roman" w:eastAsia="Times New Roman" w:cs="Times New Roman"/>
                <w:spacing w:val="2"/>
              </w:rPr>
              <w:t>300</w:t>
            </w:r>
            <w:r>
              <w:rPr>
                <w:rFonts w:ascii="Times New Roman" w:hAnsi="Times New Roman" w:eastAsia="Times New Roman" w:cs="Times New Roman"/>
              </w:rPr>
              <w:t>kW</w:t>
            </w:r>
            <w:r>
              <w:rPr>
                <w:rFonts w:ascii="Times New Roman" w:hAnsi="Times New Roman" w:eastAsia="Times New Roman" w:cs="Times New Roman"/>
                <w:spacing w:val="21"/>
                <w:w w:val="101"/>
              </w:rPr>
              <w:t xml:space="preserve"> </w:t>
            </w:r>
            <w:r>
              <w:rPr>
                <w:spacing w:val="2"/>
              </w:rPr>
              <w:t>组串式逆变器</w:t>
            </w:r>
            <w:r>
              <w:rPr>
                <w:spacing w:val="-25"/>
              </w:rPr>
              <w:t xml:space="preserve"> </w:t>
            </w:r>
            <w:r>
              <w:rPr>
                <w:rFonts w:ascii="Times New Roman" w:hAnsi="Times New Roman" w:eastAsia="Times New Roman" w:cs="Times New Roman"/>
                <w:spacing w:val="2"/>
              </w:rPr>
              <w:t>18</w:t>
            </w:r>
            <w:r>
              <w:rPr>
                <w:rFonts w:ascii="Times New Roman" w:hAnsi="Times New Roman" w:eastAsia="Times New Roman" w:cs="Times New Roman"/>
                <w:spacing w:val="38"/>
              </w:rPr>
              <w:t xml:space="preserve"> </w:t>
            </w:r>
            <w:r>
              <w:rPr>
                <w:spacing w:val="2"/>
              </w:rPr>
              <w:t>台，每</w:t>
            </w:r>
            <w:r>
              <w:t xml:space="preserve"> </w:t>
            </w:r>
            <w:r>
              <w:rPr>
                <w:rFonts w:ascii="Times New Roman" w:hAnsi="Times New Roman" w:eastAsia="Times New Roman" w:cs="Times New Roman"/>
              </w:rPr>
              <w:t>22/23/24</w:t>
            </w:r>
            <w:r>
              <w:rPr>
                <w:rFonts w:ascii="Times New Roman" w:hAnsi="Times New Roman" w:eastAsia="Times New Roman" w:cs="Times New Roman"/>
                <w:spacing w:val="24"/>
                <w:w w:val="101"/>
              </w:rPr>
              <w:t xml:space="preserve"> </w:t>
            </w:r>
            <w:r>
              <w:t>个组串接入</w:t>
            </w:r>
            <w:r>
              <w:rPr>
                <w:spacing w:val="-25"/>
              </w:rPr>
              <w:t xml:space="preserve"> </w:t>
            </w:r>
            <w:r>
              <w:rPr>
                <w:rFonts w:ascii="Times New Roman" w:hAnsi="Times New Roman" w:eastAsia="Times New Roman" w:cs="Times New Roman"/>
              </w:rPr>
              <w:t>1</w:t>
            </w:r>
            <w:r>
              <w:rPr>
                <w:rFonts w:ascii="Times New Roman" w:hAnsi="Times New Roman" w:eastAsia="Times New Roman" w:cs="Times New Roman"/>
                <w:spacing w:val="33"/>
              </w:rPr>
              <w:t xml:space="preserve"> </w:t>
            </w:r>
            <w:r>
              <w:t>台</w:t>
            </w:r>
            <w:r>
              <w:rPr>
                <w:spacing w:val="-43"/>
              </w:rPr>
              <w:t xml:space="preserve"> </w:t>
            </w:r>
            <w:r>
              <w:rPr>
                <w:rFonts w:ascii="Times New Roman" w:hAnsi="Times New Roman" w:eastAsia="Times New Roman" w:cs="Times New Roman"/>
              </w:rPr>
              <w:t>300kW</w:t>
            </w:r>
            <w:r>
              <w:rPr>
                <w:rFonts w:ascii="Times New Roman" w:hAnsi="Times New Roman" w:eastAsia="Times New Roman" w:cs="Times New Roman"/>
                <w:spacing w:val="17"/>
                <w:w w:val="101"/>
              </w:rPr>
              <w:t xml:space="preserve"> </w:t>
            </w:r>
            <w:r>
              <w:t>逆变器；</w:t>
            </w:r>
            <w:r>
              <w:rPr>
                <w:rFonts w:ascii="Times New Roman" w:hAnsi="Times New Roman" w:eastAsia="Times New Roman" w:cs="Times New Roman"/>
              </w:rPr>
              <w:t xml:space="preserve">2400kVA </w:t>
            </w:r>
            <w:r>
              <w:t xml:space="preserve">箱变光伏发电子方阵配置 </w:t>
            </w:r>
            <w:r>
              <w:rPr>
                <w:rFonts w:ascii="Times New Roman" w:hAnsi="Times New Roman" w:eastAsia="Times New Roman" w:cs="Times New Roman"/>
                <w:spacing w:val="-6"/>
              </w:rPr>
              <w:t>300kW</w:t>
            </w:r>
            <w:r>
              <w:rPr>
                <w:rFonts w:ascii="Times New Roman" w:hAnsi="Times New Roman" w:eastAsia="Times New Roman" w:cs="Times New Roman"/>
                <w:spacing w:val="3"/>
              </w:rPr>
              <w:t xml:space="preserve"> </w:t>
            </w:r>
            <w:r>
              <w:rPr>
                <w:spacing w:val="-6"/>
              </w:rPr>
              <w:t>组串式逆变器</w:t>
            </w:r>
            <w:r>
              <w:rPr>
                <w:rFonts w:ascii="Times New Roman" w:hAnsi="Times New Roman" w:eastAsia="Times New Roman" w:cs="Times New Roman"/>
                <w:spacing w:val="-6"/>
              </w:rPr>
              <w:t xml:space="preserve">24 </w:t>
            </w:r>
            <w:r>
              <w:rPr>
                <w:spacing w:val="-6"/>
              </w:rPr>
              <w:t>台，每</w:t>
            </w:r>
            <w:r>
              <w:rPr>
                <w:rFonts w:ascii="Times New Roman" w:hAnsi="Times New Roman" w:eastAsia="Times New Roman" w:cs="Times New Roman"/>
                <w:spacing w:val="-6"/>
              </w:rPr>
              <w:t>22/24/25</w:t>
            </w:r>
            <w:r>
              <w:rPr>
                <w:rFonts w:ascii="Times New Roman" w:hAnsi="Times New Roman" w:eastAsia="Times New Roman" w:cs="Times New Roman"/>
                <w:spacing w:val="-17"/>
              </w:rPr>
              <w:t xml:space="preserve"> </w:t>
            </w:r>
            <w:r>
              <w:rPr>
                <w:spacing w:val="-6"/>
              </w:rPr>
              <w:t>个组串接入</w:t>
            </w:r>
            <w:r>
              <w:rPr>
                <w:spacing w:val="-58"/>
              </w:rPr>
              <w:t xml:space="preserve"> </w:t>
            </w:r>
            <w:r>
              <w:rPr>
                <w:rFonts w:ascii="Times New Roman" w:hAnsi="Times New Roman" w:eastAsia="Times New Roman" w:cs="Times New Roman"/>
                <w:spacing w:val="-6"/>
              </w:rPr>
              <w:t xml:space="preserve">1 </w:t>
            </w:r>
            <w:r>
              <w:rPr>
                <w:spacing w:val="-6"/>
              </w:rPr>
              <w:t>台</w:t>
            </w:r>
            <w:r>
              <w:rPr>
                <w:rFonts w:ascii="Times New Roman" w:hAnsi="Times New Roman" w:eastAsia="Times New Roman" w:cs="Times New Roman"/>
                <w:spacing w:val="-6"/>
              </w:rPr>
              <w:t>300kW</w:t>
            </w:r>
            <w:r>
              <w:rPr>
                <w:rFonts w:ascii="Times New Roman" w:hAnsi="Times New Roman" w:eastAsia="Times New Roman" w:cs="Times New Roman"/>
                <w:spacing w:val="-16"/>
              </w:rPr>
              <w:t xml:space="preserve"> </w:t>
            </w:r>
            <w:r>
              <w:rPr>
                <w:spacing w:val="-6"/>
              </w:rPr>
              <w:t>逆变器；</w:t>
            </w:r>
            <w:r>
              <w:rPr>
                <w:rFonts w:ascii="Times New Roman" w:hAnsi="Times New Roman" w:eastAsia="Times New Roman" w:cs="Times New Roman"/>
                <w:spacing w:val="-6"/>
              </w:rPr>
              <w:t>2100kVA</w:t>
            </w:r>
            <w:r>
              <w:rPr>
                <w:rFonts w:ascii="Times New Roman" w:hAnsi="Times New Roman" w:eastAsia="Times New Roman" w:cs="Times New Roman"/>
              </w:rPr>
              <w:t xml:space="preserve"> </w:t>
            </w:r>
            <w:r>
              <w:rPr>
                <w:spacing w:val="-1"/>
              </w:rPr>
              <w:t>箱变光伏发电子方阵配置</w:t>
            </w:r>
            <w:r>
              <w:rPr>
                <w:spacing w:val="-51"/>
              </w:rPr>
              <w:t xml:space="preserve"> </w:t>
            </w:r>
            <w:r>
              <w:rPr>
                <w:rFonts w:ascii="Times New Roman" w:hAnsi="Times New Roman" w:eastAsia="Times New Roman" w:cs="Times New Roman"/>
                <w:spacing w:val="-1"/>
              </w:rPr>
              <w:t xml:space="preserve">300kW </w:t>
            </w:r>
            <w:r>
              <w:rPr>
                <w:spacing w:val="-1"/>
              </w:rPr>
              <w:t>组串式逆变器</w:t>
            </w:r>
            <w:r>
              <w:rPr>
                <w:spacing w:val="-55"/>
              </w:rPr>
              <w:t xml:space="preserve"> </w:t>
            </w:r>
            <w:r>
              <w:rPr>
                <w:rFonts w:ascii="Times New Roman" w:hAnsi="Times New Roman" w:eastAsia="Times New Roman" w:cs="Times New Roman"/>
                <w:spacing w:val="-1"/>
              </w:rPr>
              <w:t>21</w:t>
            </w:r>
            <w:r>
              <w:rPr>
                <w:rFonts w:ascii="Times New Roman" w:hAnsi="Times New Roman" w:eastAsia="Times New Roman" w:cs="Times New Roman"/>
                <w:spacing w:val="29"/>
              </w:rPr>
              <w:t xml:space="preserve"> </w:t>
            </w:r>
            <w:r>
              <w:rPr>
                <w:spacing w:val="-1"/>
              </w:rPr>
              <w:t>台，每</w:t>
            </w:r>
            <w:r>
              <w:rPr>
                <w:spacing w:val="-55"/>
              </w:rPr>
              <w:t xml:space="preserve"> </w:t>
            </w:r>
            <w:r>
              <w:rPr>
                <w:rFonts w:ascii="Times New Roman" w:hAnsi="Times New Roman" w:eastAsia="Times New Roman" w:cs="Times New Roman"/>
                <w:spacing w:val="-1"/>
              </w:rPr>
              <w:t>22</w:t>
            </w:r>
            <w:r>
              <w:rPr>
                <w:rFonts w:ascii="Times New Roman" w:hAnsi="Times New Roman" w:eastAsia="Times New Roman" w:cs="Times New Roman"/>
                <w:spacing w:val="-2"/>
              </w:rPr>
              <w:t xml:space="preserve">/24/25 </w:t>
            </w:r>
            <w:r>
              <w:rPr>
                <w:spacing w:val="-2"/>
              </w:rPr>
              <w:t>个组串接入</w:t>
            </w:r>
            <w:r>
              <w:t xml:space="preserve"> </w:t>
            </w:r>
            <w:r>
              <w:rPr>
                <w:rFonts w:ascii="Times New Roman" w:hAnsi="Times New Roman" w:eastAsia="Times New Roman" w:cs="Times New Roman"/>
                <w:spacing w:val="-1"/>
              </w:rPr>
              <w:t>1</w:t>
            </w:r>
            <w:r>
              <w:rPr>
                <w:rFonts w:ascii="Times New Roman" w:hAnsi="Times New Roman" w:eastAsia="Times New Roman" w:cs="Times New Roman"/>
                <w:spacing w:val="32"/>
                <w:w w:val="101"/>
              </w:rPr>
              <w:t xml:space="preserve"> </w:t>
            </w:r>
            <w:r>
              <w:rPr>
                <w:spacing w:val="-1"/>
              </w:rPr>
              <w:t>台</w:t>
            </w:r>
            <w:r>
              <w:rPr>
                <w:spacing w:val="-45"/>
              </w:rPr>
              <w:t xml:space="preserve"> </w:t>
            </w:r>
            <w:r>
              <w:rPr>
                <w:rFonts w:ascii="Times New Roman" w:hAnsi="Times New Roman" w:eastAsia="Times New Roman" w:cs="Times New Roman"/>
                <w:spacing w:val="-1"/>
              </w:rPr>
              <w:t xml:space="preserve">300kW </w:t>
            </w:r>
            <w:r>
              <w:rPr>
                <w:spacing w:val="-1"/>
              </w:rPr>
              <w:t>逆变器；</w:t>
            </w:r>
            <w:r>
              <w:rPr>
                <w:rFonts w:ascii="Times New Roman" w:hAnsi="Times New Roman" w:eastAsia="Times New Roman" w:cs="Times New Roman"/>
                <w:spacing w:val="-1"/>
              </w:rPr>
              <w:t xml:space="preserve">1800kVA </w:t>
            </w:r>
            <w:r>
              <w:rPr>
                <w:spacing w:val="-1"/>
              </w:rPr>
              <w:t>箱变光伏发电子方阵配置</w:t>
            </w:r>
            <w:r>
              <w:rPr>
                <w:spacing w:val="-48"/>
              </w:rPr>
              <w:t xml:space="preserve"> </w:t>
            </w:r>
            <w:r>
              <w:rPr>
                <w:rFonts w:ascii="Times New Roman" w:hAnsi="Times New Roman" w:eastAsia="Times New Roman" w:cs="Times New Roman"/>
                <w:spacing w:val="-1"/>
              </w:rPr>
              <w:t>300kW</w:t>
            </w:r>
            <w:r>
              <w:rPr>
                <w:rFonts w:ascii="Times New Roman" w:hAnsi="Times New Roman" w:eastAsia="Times New Roman" w:cs="Times New Roman"/>
                <w:spacing w:val="16"/>
                <w:w w:val="101"/>
              </w:rPr>
              <w:t xml:space="preserve"> </w:t>
            </w:r>
            <w:r>
              <w:rPr>
                <w:spacing w:val="-1"/>
              </w:rPr>
              <w:t>组串式逆变器</w:t>
            </w:r>
            <w:r>
              <w:t xml:space="preserve"> </w:t>
            </w:r>
            <w:r>
              <w:rPr>
                <w:rFonts w:ascii="Times New Roman" w:hAnsi="Times New Roman" w:eastAsia="Times New Roman" w:cs="Times New Roman"/>
                <w:spacing w:val="-3"/>
              </w:rPr>
              <w:t>30</w:t>
            </w:r>
            <w:r>
              <w:rPr>
                <w:rFonts w:ascii="Times New Roman" w:hAnsi="Times New Roman" w:eastAsia="Times New Roman" w:cs="Times New Roman"/>
                <w:spacing w:val="28"/>
                <w:w w:val="101"/>
              </w:rPr>
              <w:t xml:space="preserve"> </w:t>
            </w:r>
            <w:r>
              <w:rPr>
                <w:spacing w:val="-3"/>
              </w:rPr>
              <w:t>台，每</w:t>
            </w:r>
            <w:r>
              <w:rPr>
                <w:spacing w:val="-55"/>
              </w:rPr>
              <w:t xml:space="preserve"> </w:t>
            </w:r>
            <w:r>
              <w:rPr>
                <w:rFonts w:ascii="Times New Roman" w:hAnsi="Times New Roman" w:eastAsia="Times New Roman" w:cs="Times New Roman"/>
                <w:spacing w:val="-3"/>
              </w:rPr>
              <w:t xml:space="preserve">23/24/25/26 </w:t>
            </w:r>
            <w:r>
              <w:rPr>
                <w:spacing w:val="-3"/>
              </w:rPr>
              <w:t>个组串接入</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8"/>
              </w:rPr>
              <w:t xml:space="preserve"> </w:t>
            </w:r>
            <w:r>
              <w:rPr>
                <w:spacing w:val="-3"/>
              </w:rPr>
              <w:t>台</w:t>
            </w:r>
            <w:r>
              <w:rPr>
                <w:spacing w:val="-50"/>
              </w:rPr>
              <w:t xml:space="preserve"> </w:t>
            </w:r>
            <w:r>
              <w:rPr>
                <w:rFonts w:ascii="Times New Roman" w:hAnsi="Times New Roman" w:eastAsia="Times New Roman" w:cs="Times New Roman"/>
                <w:spacing w:val="-3"/>
              </w:rPr>
              <w:t xml:space="preserve">300kW </w:t>
            </w:r>
            <w:r>
              <w:rPr>
                <w:spacing w:val="-3"/>
              </w:rPr>
              <w:t>逆变器</w:t>
            </w:r>
            <w:r>
              <w:rPr>
                <w:spacing w:val="-4"/>
              </w:rPr>
              <w:t>；</w:t>
            </w:r>
            <w:r>
              <w:rPr>
                <w:rFonts w:ascii="Times New Roman" w:hAnsi="Times New Roman" w:eastAsia="Times New Roman" w:cs="Times New Roman"/>
                <w:spacing w:val="-4"/>
              </w:rPr>
              <w:t xml:space="preserve">1200kVA </w:t>
            </w:r>
            <w:r>
              <w:rPr>
                <w:spacing w:val="-4"/>
              </w:rPr>
              <w:t>箱变光伏发电</w:t>
            </w:r>
            <w:r>
              <w:t xml:space="preserve"> </w:t>
            </w:r>
            <w:r>
              <w:rPr>
                <w:spacing w:val="-5"/>
              </w:rPr>
              <w:t>子方阵配置</w:t>
            </w:r>
            <w:r>
              <w:rPr>
                <w:spacing w:val="-50"/>
              </w:rPr>
              <w:t xml:space="preserve"> </w:t>
            </w:r>
            <w:r>
              <w:rPr>
                <w:rFonts w:ascii="Times New Roman" w:hAnsi="Times New Roman" w:eastAsia="Times New Roman" w:cs="Times New Roman"/>
                <w:spacing w:val="-5"/>
              </w:rPr>
              <w:t>300kW</w:t>
            </w:r>
            <w:r>
              <w:rPr>
                <w:rFonts w:ascii="Times New Roman" w:hAnsi="Times New Roman" w:eastAsia="Times New Roman" w:cs="Times New Roman"/>
                <w:spacing w:val="14"/>
              </w:rPr>
              <w:t xml:space="preserve"> </w:t>
            </w:r>
            <w:r>
              <w:rPr>
                <w:spacing w:val="-5"/>
              </w:rPr>
              <w:t>组串式逆变器</w:t>
            </w:r>
            <w:r>
              <w:rPr>
                <w:spacing w:val="-45"/>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28"/>
              </w:rPr>
              <w:t xml:space="preserve"> </w:t>
            </w:r>
            <w:r>
              <w:rPr>
                <w:spacing w:val="-5"/>
              </w:rPr>
              <w:t>台，每</w:t>
            </w:r>
            <w:r>
              <w:rPr>
                <w:spacing w:val="-55"/>
              </w:rPr>
              <w:t xml:space="preserve"> </w:t>
            </w:r>
            <w:r>
              <w:rPr>
                <w:rFonts w:ascii="Times New Roman" w:hAnsi="Times New Roman" w:eastAsia="Times New Roman" w:cs="Times New Roman"/>
                <w:spacing w:val="-5"/>
              </w:rPr>
              <w:t xml:space="preserve">24 </w:t>
            </w:r>
            <w:r>
              <w:rPr>
                <w:spacing w:val="-5"/>
              </w:rPr>
              <w:t>个组串接入</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8"/>
              </w:rPr>
              <w:t xml:space="preserve"> </w:t>
            </w:r>
            <w:r>
              <w:rPr>
                <w:spacing w:val="-5"/>
              </w:rPr>
              <w:t>台</w:t>
            </w:r>
            <w:r>
              <w:rPr>
                <w:spacing w:val="-50"/>
              </w:rPr>
              <w:t xml:space="preserve"> </w:t>
            </w:r>
            <w:r>
              <w:rPr>
                <w:rFonts w:ascii="Times New Roman" w:hAnsi="Times New Roman" w:eastAsia="Times New Roman" w:cs="Times New Roman"/>
                <w:spacing w:val="-5"/>
              </w:rPr>
              <w:t>300kW</w:t>
            </w:r>
            <w:r>
              <w:rPr>
                <w:rFonts w:ascii="Times New Roman" w:hAnsi="Times New Roman" w:eastAsia="Times New Roman" w:cs="Times New Roman"/>
                <w:spacing w:val="-6"/>
              </w:rPr>
              <w:t xml:space="preserve"> </w:t>
            </w:r>
            <w:r>
              <w:rPr>
                <w:spacing w:val="-6"/>
              </w:rPr>
              <w:t>逆变器；</w:t>
            </w:r>
            <w:r>
              <w:t xml:space="preserve"> </w:t>
            </w:r>
            <w:r>
              <w:rPr>
                <w:rFonts w:ascii="Times New Roman" w:hAnsi="Times New Roman" w:eastAsia="Times New Roman" w:cs="Times New Roman"/>
                <w:spacing w:val="-3"/>
              </w:rPr>
              <w:t xml:space="preserve">900kVA </w:t>
            </w:r>
            <w:r>
              <w:rPr>
                <w:spacing w:val="-3"/>
              </w:rPr>
              <w:t>箱变光伏发电子方阵配置</w:t>
            </w:r>
            <w:r>
              <w:rPr>
                <w:spacing w:val="-50"/>
              </w:rPr>
              <w:t xml:space="preserve"> </w:t>
            </w:r>
            <w:r>
              <w:rPr>
                <w:rFonts w:ascii="Times New Roman" w:hAnsi="Times New Roman" w:eastAsia="Times New Roman" w:cs="Times New Roman"/>
                <w:spacing w:val="-3"/>
              </w:rPr>
              <w:t xml:space="preserve">300kW </w:t>
            </w:r>
            <w:r>
              <w:rPr>
                <w:spacing w:val="-3"/>
              </w:rPr>
              <w:t>组</w:t>
            </w:r>
            <w:r>
              <w:rPr>
                <w:spacing w:val="-4"/>
              </w:rPr>
              <w:t>串式逆变器</w:t>
            </w:r>
            <w:r>
              <w:rPr>
                <w:spacing w:val="-51"/>
              </w:rPr>
              <w:t xml:space="preserve"> </w:t>
            </w:r>
            <w:r>
              <w:rPr>
                <w:rFonts w:ascii="Times New Roman" w:hAnsi="Times New Roman" w:eastAsia="Times New Roman" w:cs="Times New Roman"/>
                <w:spacing w:val="-4"/>
              </w:rPr>
              <w:t>9</w:t>
            </w:r>
            <w:r>
              <w:rPr>
                <w:rFonts w:ascii="Times New Roman" w:hAnsi="Times New Roman" w:eastAsia="Times New Roman" w:cs="Times New Roman"/>
                <w:spacing w:val="29"/>
              </w:rPr>
              <w:t xml:space="preserve"> </w:t>
            </w:r>
            <w:r>
              <w:rPr>
                <w:spacing w:val="-4"/>
              </w:rPr>
              <w:t>台，每</w:t>
            </w:r>
            <w:r>
              <w:rPr>
                <w:spacing w:val="-55"/>
              </w:rPr>
              <w:t xml:space="preserve"> </w:t>
            </w:r>
            <w:r>
              <w:rPr>
                <w:rFonts w:ascii="Times New Roman" w:hAnsi="Times New Roman" w:eastAsia="Times New Roman" w:cs="Times New Roman"/>
                <w:spacing w:val="-4"/>
              </w:rPr>
              <w:t xml:space="preserve">20/23/24/25 </w:t>
            </w:r>
            <w:r>
              <w:rPr>
                <w:spacing w:val="-4"/>
              </w:rPr>
              <w:t>个</w:t>
            </w:r>
          </w:p>
        </w:tc>
      </w:tr>
    </w:tbl>
    <w:p w14:paraId="060A594D">
      <w:pPr>
        <w:rPr>
          <w:rFonts w:ascii="Arial"/>
          <w:sz w:val="21"/>
        </w:rPr>
      </w:pPr>
    </w:p>
    <w:p w14:paraId="79627AF8">
      <w:pPr>
        <w:rPr>
          <w:rFonts w:ascii="Arial" w:hAnsi="Arial" w:eastAsia="Arial" w:cs="Arial"/>
          <w:sz w:val="21"/>
          <w:szCs w:val="21"/>
        </w:rPr>
        <w:sectPr>
          <w:footerReference r:id="rId54" w:type="default"/>
          <w:pgSz w:w="11906" w:h="16839"/>
          <w:pgMar w:top="1431" w:right="1415" w:bottom="1278" w:left="1415" w:header="0" w:footer="1116" w:gutter="0"/>
          <w:cols w:space="720" w:num="1"/>
        </w:sectPr>
      </w:pPr>
    </w:p>
    <w:p w14:paraId="79ECD4A0">
      <w:pPr>
        <w:spacing w:line="99" w:lineRule="exact"/>
      </w:pPr>
    </w:p>
    <w:tbl>
      <w:tblPr>
        <w:tblStyle w:val="5"/>
        <w:tblW w:w="90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9"/>
        <w:gridCol w:w="8371"/>
      </w:tblGrid>
      <w:tr w14:paraId="2D76B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9" w:hRule="atLeast"/>
        </w:trPr>
        <w:tc>
          <w:tcPr>
            <w:tcW w:w="689" w:type="dxa"/>
            <w:tcBorders>
              <w:bottom w:val="single" w:color="000000" w:sz="4" w:space="0"/>
              <w:right w:val="single" w:color="000000" w:sz="2" w:space="0"/>
            </w:tcBorders>
            <w:vAlign w:val="top"/>
          </w:tcPr>
          <w:p w14:paraId="0E7926F1">
            <w:pPr>
              <w:rPr>
                <w:rFonts w:ascii="Arial"/>
                <w:sz w:val="21"/>
              </w:rPr>
            </w:pPr>
          </w:p>
        </w:tc>
        <w:tc>
          <w:tcPr>
            <w:tcW w:w="8371" w:type="dxa"/>
            <w:tcBorders>
              <w:left w:val="single" w:color="000000" w:sz="2" w:space="0"/>
              <w:bottom w:val="single" w:color="000000" w:sz="4" w:space="0"/>
            </w:tcBorders>
            <w:vAlign w:val="top"/>
          </w:tcPr>
          <w:p w14:paraId="70789440">
            <w:pPr>
              <w:pStyle w:val="6"/>
              <w:spacing w:before="29" w:line="347" w:lineRule="auto"/>
              <w:ind w:left="109" w:right="102"/>
            </w:pPr>
            <w:r>
              <w:rPr>
                <w:spacing w:val="-4"/>
              </w:rPr>
              <w:t>组串接入</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1"/>
              </w:rPr>
              <w:t xml:space="preserve"> </w:t>
            </w:r>
            <w:r>
              <w:rPr>
                <w:spacing w:val="-4"/>
              </w:rPr>
              <w:t>台</w:t>
            </w:r>
            <w:r>
              <w:rPr>
                <w:spacing w:val="-50"/>
              </w:rPr>
              <w:t xml:space="preserve"> </w:t>
            </w:r>
            <w:r>
              <w:rPr>
                <w:rFonts w:ascii="Times New Roman" w:hAnsi="Times New Roman" w:eastAsia="Times New Roman" w:cs="Times New Roman"/>
                <w:spacing w:val="-4"/>
              </w:rPr>
              <w:t xml:space="preserve">300kW </w:t>
            </w:r>
            <w:r>
              <w:rPr>
                <w:spacing w:val="-4"/>
              </w:rPr>
              <w:t>逆变器；每个发电单元经</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8"/>
              </w:rPr>
              <w:t xml:space="preserve"> </w:t>
            </w:r>
            <w:r>
              <w:rPr>
                <w:spacing w:val="-4"/>
              </w:rPr>
              <w:t>台箱变升压变至</w:t>
            </w:r>
            <w:r>
              <w:rPr>
                <w:spacing w:val="-50"/>
              </w:rPr>
              <w:t xml:space="preserve"> </w:t>
            </w:r>
            <w:r>
              <w:rPr>
                <w:rFonts w:ascii="Times New Roman" w:hAnsi="Times New Roman" w:eastAsia="Times New Roman" w:cs="Times New Roman"/>
                <w:spacing w:val="-4"/>
              </w:rPr>
              <w:t>35</w:t>
            </w:r>
            <w:r>
              <w:rPr>
                <w:rFonts w:ascii="Times New Roman" w:hAnsi="Times New Roman" w:eastAsia="Times New Roman" w:cs="Times New Roman"/>
                <w:spacing w:val="-5"/>
              </w:rPr>
              <w:t>kV</w:t>
            </w:r>
            <w:r>
              <w:rPr>
                <w:rFonts w:ascii="Times New Roman" w:hAnsi="Times New Roman" w:eastAsia="Times New Roman" w:cs="Times New Roman"/>
                <w:spacing w:val="-32"/>
              </w:rPr>
              <w:t xml:space="preserve"> </w:t>
            </w:r>
            <w:r>
              <w:rPr>
                <w:spacing w:val="-5"/>
              </w:rPr>
              <w:t>，后送</w:t>
            </w:r>
            <w:r>
              <w:t xml:space="preserve"> </w:t>
            </w:r>
            <w:r>
              <w:rPr>
                <w:spacing w:val="-2"/>
              </w:rPr>
              <w:t>至</w:t>
            </w:r>
            <w:r>
              <w:rPr>
                <w:spacing w:val="-37"/>
              </w:rPr>
              <w:t xml:space="preserve"> </w:t>
            </w:r>
            <w:r>
              <w:rPr>
                <w:rFonts w:ascii="Times New Roman" w:hAnsi="Times New Roman" w:eastAsia="Times New Roman" w:cs="Times New Roman"/>
                <w:spacing w:val="-2"/>
              </w:rPr>
              <w:t xml:space="preserve">220kV </w:t>
            </w:r>
            <w:r>
              <w:rPr>
                <w:spacing w:val="-2"/>
              </w:rPr>
              <w:t>升压站的</w:t>
            </w:r>
            <w:r>
              <w:rPr>
                <w:spacing w:val="-50"/>
              </w:rPr>
              <w:t xml:space="preserve"> </w:t>
            </w:r>
            <w:r>
              <w:rPr>
                <w:rFonts w:ascii="Times New Roman" w:hAnsi="Times New Roman" w:eastAsia="Times New Roman" w:cs="Times New Roman"/>
                <w:spacing w:val="-2"/>
              </w:rPr>
              <w:t xml:space="preserve">35kV </w:t>
            </w:r>
            <w:r>
              <w:rPr>
                <w:spacing w:val="-2"/>
              </w:rPr>
              <w:t>配电装置中。</w:t>
            </w:r>
          </w:p>
          <w:p w14:paraId="4500444A">
            <w:pPr>
              <w:pStyle w:val="6"/>
              <w:spacing w:before="30" w:line="350" w:lineRule="auto"/>
              <w:ind w:left="109" w:right="102" w:firstLine="478"/>
              <w:jc w:val="both"/>
            </w:pPr>
            <w:r>
              <w:rPr>
                <w:spacing w:val="-6"/>
              </w:rPr>
              <w:t>全站装机容量通过</w:t>
            </w:r>
            <w:r>
              <w:rPr>
                <w:spacing w:val="-66"/>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24"/>
              </w:rPr>
              <w:t xml:space="preserve"> </w:t>
            </w:r>
            <w:r>
              <w:rPr>
                <w:spacing w:val="-6"/>
              </w:rPr>
              <w:t>回</w:t>
            </w:r>
            <w:r>
              <w:rPr>
                <w:spacing w:val="-60"/>
              </w:rPr>
              <w:t xml:space="preserve"> </w:t>
            </w:r>
            <w:r>
              <w:rPr>
                <w:rFonts w:ascii="Times New Roman" w:hAnsi="Times New Roman" w:eastAsia="Times New Roman" w:cs="Times New Roman"/>
                <w:spacing w:val="-6"/>
              </w:rPr>
              <w:t>35kV</w:t>
            </w:r>
            <w:r>
              <w:rPr>
                <w:rFonts w:ascii="Times New Roman" w:hAnsi="Times New Roman" w:eastAsia="Times New Roman" w:cs="Times New Roman"/>
                <w:spacing w:val="30"/>
              </w:rPr>
              <w:t xml:space="preserve"> </w:t>
            </w:r>
            <w:r>
              <w:rPr>
                <w:spacing w:val="-6"/>
              </w:rPr>
              <w:t>电缆集电线路输送至升压站。新建一座</w:t>
            </w:r>
            <w:r>
              <w:rPr>
                <w:spacing w:val="-65"/>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7"/>
              </w:rPr>
              <w:t>20kV</w:t>
            </w:r>
            <w:r>
              <w:rPr>
                <w:rFonts w:ascii="Times New Roman" w:hAnsi="Times New Roman" w:eastAsia="Times New Roman" w:cs="Times New Roman"/>
              </w:rPr>
              <w:t xml:space="preserve"> </w:t>
            </w:r>
            <w:r>
              <w:rPr>
                <w:spacing w:val="-3"/>
              </w:rPr>
              <w:t>升压站，配套建设</w:t>
            </w:r>
            <w:r>
              <w:rPr>
                <w:spacing w:val="-29"/>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3"/>
              </w:rPr>
              <w:t xml:space="preserve"> </w:t>
            </w:r>
            <w:r>
              <w:rPr>
                <w:spacing w:val="-3"/>
              </w:rPr>
              <w:t>台容量为</w:t>
            </w:r>
            <w:r>
              <w:rPr>
                <w:spacing w:val="-28"/>
              </w:rPr>
              <w:t xml:space="preserve"> </w:t>
            </w:r>
            <w:r>
              <w:rPr>
                <w:rFonts w:ascii="Times New Roman" w:hAnsi="Times New Roman" w:eastAsia="Times New Roman" w:cs="Times New Roman"/>
                <w:spacing w:val="-3"/>
              </w:rPr>
              <w:t>180MVA</w:t>
            </w:r>
            <w:r>
              <w:rPr>
                <w:rFonts w:ascii="Times New Roman" w:hAnsi="Times New Roman" w:eastAsia="Times New Roman" w:cs="Times New Roman"/>
                <w:spacing w:val="34"/>
              </w:rPr>
              <w:t xml:space="preserve"> </w:t>
            </w:r>
            <w:r>
              <w:rPr>
                <w:spacing w:val="-3"/>
              </w:rPr>
              <w:t>的主变压器，拟采用</w:t>
            </w:r>
            <w:r>
              <w:rPr>
                <w:spacing w:val="-30"/>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8"/>
              </w:rPr>
              <w:t xml:space="preserve"> </w:t>
            </w:r>
            <w:r>
              <w:rPr>
                <w:spacing w:val="-3"/>
              </w:rPr>
              <w:t>回</w:t>
            </w:r>
            <w:r>
              <w:rPr>
                <w:spacing w:val="-50"/>
              </w:rPr>
              <w:t xml:space="preserve"> </w:t>
            </w:r>
            <w:r>
              <w:rPr>
                <w:rFonts w:ascii="Times New Roman" w:hAnsi="Times New Roman" w:eastAsia="Times New Roman" w:cs="Times New Roman"/>
                <w:spacing w:val="-3"/>
              </w:rPr>
              <w:t xml:space="preserve">220kV </w:t>
            </w:r>
            <w:r>
              <w:rPr>
                <w:spacing w:val="-3"/>
              </w:rPr>
              <w:t>架空</w:t>
            </w:r>
            <w:r>
              <w:t xml:space="preserve"> </w:t>
            </w:r>
            <w:r>
              <w:rPr>
                <w:spacing w:val="-1"/>
              </w:rPr>
              <w:t>线路接入</w:t>
            </w:r>
            <w:r>
              <w:rPr>
                <w:spacing w:val="-37"/>
              </w:rPr>
              <w:t xml:space="preserve"> </w:t>
            </w:r>
            <w:r>
              <w:rPr>
                <w:rFonts w:ascii="Times New Roman" w:hAnsi="Times New Roman" w:eastAsia="Times New Roman" w:cs="Times New Roman"/>
                <w:spacing w:val="-1"/>
              </w:rPr>
              <w:t xml:space="preserve">500kV </w:t>
            </w:r>
            <w:r>
              <w:rPr>
                <w:spacing w:val="-1"/>
              </w:rPr>
              <w:t>麒麟变</w:t>
            </w:r>
            <w:r>
              <w:rPr>
                <w:spacing w:val="-55"/>
              </w:rPr>
              <w:t xml:space="preserve"> </w:t>
            </w:r>
            <w:r>
              <w:rPr>
                <w:rFonts w:ascii="Times New Roman" w:hAnsi="Times New Roman" w:eastAsia="Times New Roman" w:cs="Times New Roman"/>
                <w:spacing w:val="-1"/>
              </w:rPr>
              <w:t xml:space="preserve">220kV </w:t>
            </w:r>
            <w:r>
              <w:rPr>
                <w:spacing w:val="-1"/>
              </w:rPr>
              <w:t>侧。（本次评价不包含送出线路工程内容）。</w:t>
            </w:r>
          </w:p>
          <w:p w14:paraId="3CC4AC4B">
            <w:pPr>
              <w:pStyle w:val="6"/>
              <w:spacing w:before="37" w:line="219" w:lineRule="auto"/>
              <w:ind w:left="2492"/>
            </w:pPr>
            <w:r>
              <w:rPr>
                <w:b/>
                <w:bCs/>
                <w:spacing w:val="-3"/>
              </w:rPr>
              <w:t>表</w:t>
            </w:r>
            <w:r>
              <w:rPr>
                <w:spacing w:val="-40"/>
              </w:rPr>
              <w:t xml:space="preserve"> </w:t>
            </w:r>
            <w:r>
              <w:rPr>
                <w:rFonts w:ascii="Times New Roman" w:hAnsi="Times New Roman" w:eastAsia="Times New Roman" w:cs="Times New Roman"/>
                <w:b/>
                <w:bCs/>
                <w:spacing w:val="-3"/>
              </w:rPr>
              <w:t xml:space="preserve">2-2  </w:t>
            </w:r>
            <w:r>
              <w:rPr>
                <w:b/>
                <w:bCs/>
                <w:spacing w:val="-3"/>
              </w:rPr>
              <w:t>光伏发电系统配置一览表</w:t>
            </w:r>
          </w:p>
          <w:p w14:paraId="07B01BB7">
            <w:pPr>
              <w:spacing w:line="146" w:lineRule="exact"/>
            </w:pPr>
          </w:p>
          <w:tbl>
            <w:tblPr>
              <w:tblStyle w:val="5"/>
              <w:tblW w:w="8011"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1052"/>
              <w:gridCol w:w="1192"/>
              <w:gridCol w:w="953"/>
              <w:gridCol w:w="1053"/>
              <w:gridCol w:w="687"/>
              <w:gridCol w:w="915"/>
              <w:gridCol w:w="1158"/>
            </w:tblGrid>
            <w:tr w14:paraId="102CD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1001" w:type="dxa"/>
                  <w:tcBorders>
                    <w:top w:val="single" w:color="000000" w:sz="6" w:space="0"/>
                    <w:left w:val="single" w:color="000000" w:sz="6" w:space="0"/>
                  </w:tcBorders>
                  <w:vAlign w:val="top"/>
                </w:tcPr>
                <w:p w14:paraId="5AE170FD">
                  <w:pPr>
                    <w:spacing w:line="251" w:lineRule="auto"/>
                    <w:rPr>
                      <w:rFonts w:ascii="Arial"/>
                      <w:sz w:val="21"/>
                    </w:rPr>
                  </w:pPr>
                </w:p>
                <w:p w14:paraId="0E969C56">
                  <w:pPr>
                    <w:pStyle w:val="6"/>
                    <w:spacing w:before="65" w:line="228" w:lineRule="auto"/>
                    <w:ind w:left="304"/>
                    <w:rPr>
                      <w:sz w:val="20"/>
                      <w:szCs w:val="20"/>
                    </w:rPr>
                  </w:pPr>
                  <w:r>
                    <w:rPr>
                      <w:spacing w:val="-3"/>
                      <w:sz w:val="20"/>
                      <w:szCs w:val="20"/>
                    </w:rPr>
                    <w:t>区块</w:t>
                  </w:r>
                </w:p>
              </w:tc>
              <w:tc>
                <w:tcPr>
                  <w:tcW w:w="1052" w:type="dxa"/>
                  <w:tcBorders>
                    <w:top w:val="single" w:color="000000" w:sz="6" w:space="0"/>
                  </w:tcBorders>
                  <w:vAlign w:val="top"/>
                </w:tcPr>
                <w:p w14:paraId="50BF7195">
                  <w:pPr>
                    <w:pStyle w:val="6"/>
                    <w:spacing w:before="47" w:line="243" w:lineRule="auto"/>
                    <w:ind w:left="222" w:right="213" w:hanging="8"/>
                    <w:jc w:val="both"/>
                    <w:rPr>
                      <w:sz w:val="20"/>
                      <w:szCs w:val="20"/>
                    </w:rPr>
                  </w:pPr>
                  <w:r>
                    <w:rPr>
                      <w:spacing w:val="6"/>
                      <w:sz w:val="20"/>
                      <w:szCs w:val="20"/>
                    </w:rPr>
                    <w:t>直流组</w:t>
                  </w:r>
                  <w:r>
                    <w:rPr>
                      <w:sz w:val="20"/>
                      <w:szCs w:val="20"/>
                    </w:rPr>
                    <w:t xml:space="preserve"> </w:t>
                  </w:r>
                  <w:r>
                    <w:rPr>
                      <w:spacing w:val="3"/>
                      <w:sz w:val="20"/>
                      <w:szCs w:val="20"/>
                    </w:rPr>
                    <w:t>串数量</w:t>
                  </w:r>
                  <w:r>
                    <w:rPr>
                      <w:sz w:val="20"/>
                      <w:szCs w:val="20"/>
                    </w:rPr>
                    <w:t xml:space="preserve"> </w:t>
                  </w:r>
                  <w:r>
                    <w:rPr>
                      <w:spacing w:val="-1"/>
                      <w:sz w:val="20"/>
                      <w:szCs w:val="20"/>
                    </w:rPr>
                    <w:t>（串）</w:t>
                  </w:r>
                </w:p>
              </w:tc>
              <w:tc>
                <w:tcPr>
                  <w:tcW w:w="1192" w:type="dxa"/>
                  <w:tcBorders>
                    <w:top w:val="single" w:color="000000" w:sz="6" w:space="0"/>
                  </w:tcBorders>
                  <w:vAlign w:val="top"/>
                </w:tcPr>
                <w:p w14:paraId="20C7BE84">
                  <w:pPr>
                    <w:pStyle w:val="6"/>
                    <w:spacing w:before="182" w:line="237" w:lineRule="auto"/>
                    <w:ind w:left="257" w:right="179" w:hanging="78"/>
                    <w:rPr>
                      <w:rFonts w:ascii="Times New Roman" w:hAnsi="Times New Roman" w:eastAsia="Times New Roman" w:cs="Times New Roman"/>
                      <w:sz w:val="20"/>
                      <w:szCs w:val="20"/>
                    </w:rPr>
                  </w:pPr>
                  <w:r>
                    <w:rPr>
                      <w:spacing w:val="6"/>
                      <w:sz w:val="20"/>
                      <w:szCs w:val="20"/>
                    </w:rPr>
                    <w:t>直流容量</w:t>
                  </w:r>
                  <w:r>
                    <w:rPr>
                      <w:spacing w:val="2"/>
                      <w:sz w:val="20"/>
                      <w:szCs w:val="20"/>
                    </w:rPr>
                    <w:t xml:space="preserve"> </w:t>
                  </w:r>
                  <w:r>
                    <w:rPr>
                      <w:spacing w:val="6"/>
                      <w:sz w:val="20"/>
                      <w:szCs w:val="20"/>
                    </w:rPr>
                    <w:t>（</w:t>
                  </w:r>
                  <w:r>
                    <w:rPr>
                      <w:rFonts w:ascii="Times New Roman" w:hAnsi="Times New Roman" w:eastAsia="Times New Roman" w:cs="Times New Roman"/>
                      <w:sz w:val="20"/>
                      <w:szCs w:val="20"/>
                    </w:rPr>
                    <w:t>kWP</w:t>
                  </w:r>
                  <w:r>
                    <w:rPr>
                      <w:rFonts w:ascii="Times New Roman" w:hAnsi="Times New Roman" w:eastAsia="Times New Roman" w:cs="Times New Roman"/>
                      <w:spacing w:val="6"/>
                      <w:sz w:val="20"/>
                      <w:szCs w:val="20"/>
                    </w:rPr>
                    <w:t>)</w:t>
                  </w:r>
                </w:p>
              </w:tc>
              <w:tc>
                <w:tcPr>
                  <w:tcW w:w="953" w:type="dxa"/>
                  <w:tcBorders>
                    <w:top w:val="single" w:color="000000" w:sz="6" w:space="0"/>
                  </w:tcBorders>
                  <w:vAlign w:val="top"/>
                </w:tcPr>
                <w:p w14:paraId="6D5A1EC3">
                  <w:pPr>
                    <w:pStyle w:val="6"/>
                    <w:spacing w:before="182"/>
                    <w:ind w:left="380" w:right="160" w:hanging="212"/>
                    <w:rPr>
                      <w:sz w:val="20"/>
                      <w:szCs w:val="20"/>
                    </w:rPr>
                  </w:pPr>
                  <w:r>
                    <w:rPr>
                      <w:spacing w:val="6"/>
                      <w:sz w:val="20"/>
                      <w:szCs w:val="20"/>
                    </w:rPr>
                    <w:t>箱变编</w:t>
                  </w:r>
                  <w:r>
                    <w:rPr>
                      <w:sz w:val="20"/>
                      <w:szCs w:val="20"/>
                    </w:rPr>
                    <w:t xml:space="preserve"> 号</w:t>
                  </w:r>
                </w:p>
              </w:tc>
              <w:tc>
                <w:tcPr>
                  <w:tcW w:w="1053" w:type="dxa"/>
                  <w:tcBorders>
                    <w:top w:val="single" w:color="000000" w:sz="6" w:space="0"/>
                  </w:tcBorders>
                  <w:vAlign w:val="top"/>
                </w:tcPr>
                <w:p w14:paraId="773D9D0D">
                  <w:pPr>
                    <w:pStyle w:val="6"/>
                    <w:spacing w:before="182" w:line="242" w:lineRule="auto"/>
                    <w:ind w:left="113" w:right="17" w:firstLine="104"/>
                    <w:rPr>
                      <w:sz w:val="20"/>
                      <w:szCs w:val="20"/>
                    </w:rPr>
                  </w:pPr>
                  <w:r>
                    <w:rPr>
                      <w:spacing w:val="6"/>
                      <w:sz w:val="20"/>
                      <w:szCs w:val="20"/>
                    </w:rPr>
                    <w:t>箱变容</w:t>
                  </w:r>
                  <w:r>
                    <w:rPr>
                      <w:sz w:val="20"/>
                      <w:szCs w:val="20"/>
                    </w:rPr>
                    <w:t xml:space="preserve">   </w:t>
                  </w:r>
                  <w:r>
                    <w:rPr>
                      <w:spacing w:val="-12"/>
                      <w:sz w:val="20"/>
                      <w:szCs w:val="20"/>
                    </w:rPr>
                    <w:t>量（</w:t>
                  </w:r>
                  <w:r>
                    <w:rPr>
                      <w:rFonts w:ascii="Times New Roman" w:hAnsi="Times New Roman" w:eastAsia="Times New Roman" w:cs="Times New Roman"/>
                      <w:spacing w:val="-12"/>
                      <w:sz w:val="20"/>
                      <w:szCs w:val="20"/>
                    </w:rPr>
                    <w:t>kVA</w:t>
                  </w:r>
                  <w:r>
                    <w:rPr>
                      <w:spacing w:val="-12"/>
                      <w:sz w:val="20"/>
                      <w:szCs w:val="20"/>
                    </w:rPr>
                    <w:t>）</w:t>
                  </w:r>
                </w:p>
              </w:tc>
              <w:tc>
                <w:tcPr>
                  <w:tcW w:w="687" w:type="dxa"/>
                  <w:tcBorders>
                    <w:top w:val="single" w:color="000000" w:sz="6" w:space="0"/>
                  </w:tcBorders>
                  <w:vAlign w:val="top"/>
                </w:tcPr>
                <w:p w14:paraId="2658ECE0">
                  <w:pPr>
                    <w:pStyle w:val="6"/>
                    <w:spacing w:before="47" w:line="243" w:lineRule="auto"/>
                    <w:ind w:left="142" w:right="131" w:hanging="2"/>
                    <w:jc w:val="both"/>
                    <w:rPr>
                      <w:sz w:val="20"/>
                      <w:szCs w:val="20"/>
                    </w:rPr>
                  </w:pPr>
                  <w:r>
                    <w:rPr>
                      <w:spacing w:val="4"/>
                      <w:sz w:val="20"/>
                      <w:szCs w:val="20"/>
                    </w:rPr>
                    <w:t>集电</w:t>
                  </w:r>
                  <w:r>
                    <w:rPr>
                      <w:sz w:val="20"/>
                      <w:szCs w:val="20"/>
                    </w:rPr>
                    <w:t xml:space="preserve"> </w:t>
                  </w:r>
                  <w:r>
                    <w:rPr>
                      <w:spacing w:val="3"/>
                      <w:sz w:val="20"/>
                      <w:szCs w:val="20"/>
                    </w:rPr>
                    <w:t>线路</w:t>
                  </w:r>
                  <w:r>
                    <w:rPr>
                      <w:sz w:val="20"/>
                      <w:szCs w:val="20"/>
                    </w:rPr>
                    <w:t xml:space="preserve"> </w:t>
                  </w:r>
                  <w:r>
                    <w:rPr>
                      <w:spacing w:val="3"/>
                      <w:sz w:val="20"/>
                      <w:szCs w:val="20"/>
                    </w:rPr>
                    <w:t>名称</w:t>
                  </w:r>
                </w:p>
              </w:tc>
              <w:tc>
                <w:tcPr>
                  <w:tcW w:w="915" w:type="dxa"/>
                  <w:tcBorders>
                    <w:top w:val="single" w:color="000000" w:sz="6" w:space="0"/>
                  </w:tcBorders>
                  <w:vAlign w:val="top"/>
                </w:tcPr>
                <w:p w14:paraId="76BD2D8C">
                  <w:pPr>
                    <w:pStyle w:val="6"/>
                    <w:spacing w:before="47" w:line="241" w:lineRule="auto"/>
                    <w:ind w:left="133" w:right="108" w:firstLine="18"/>
                    <w:jc w:val="both"/>
                    <w:rPr>
                      <w:rFonts w:ascii="Times New Roman" w:hAnsi="Times New Roman" w:eastAsia="Times New Roman" w:cs="Times New Roman"/>
                      <w:sz w:val="20"/>
                      <w:szCs w:val="20"/>
                    </w:rPr>
                  </w:pPr>
                  <w:r>
                    <w:rPr>
                      <w:spacing w:val="6"/>
                      <w:sz w:val="20"/>
                      <w:szCs w:val="20"/>
                    </w:rPr>
                    <w:t>变压器</w:t>
                  </w:r>
                  <w:r>
                    <w:rPr>
                      <w:spacing w:val="1"/>
                      <w:sz w:val="20"/>
                      <w:szCs w:val="20"/>
                    </w:rPr>
                    <w:t xml:space="preserve"> </w:t>
                  </w:r>
                  <w:r>
                    <w:rPr>
                      <w:spacing w:val="13"/>
                      <w:sz w:val="20"/>
                      <w:szCs w:val="20"/>
                    </w:rPr>
                    <w:t>总容量</w:t>
                  </w:r>
                  <w:r>
                    <w:rPr>
                      <w:sz w:val="20"/>
                      <w:szCs w:val="20"/>
                    </w:rPr>
                    <w:t xml:space="preserve"> </w:t>
                  </w:r>
                  <w:r>
                    <w:rPr>
                      <w:spacing w:val="6"/>
                      <w:sz w:val="20"/>
                      <w:szCs w:val="20"/>
                    </w:rPr>
                    <w:t>（</w:t>
                  </w:r>
                  <w:r>
                    <w:rPr>
                      <w:rFonts w:ascii="Times New Roman" w:hAnsi="Times New Roman" w:eastAsia="Times New Roman" w:cs="Times New Roman"/>
                      <w:sz w:val="20"/>
                      <w:szCs w:val="20"/>
                    </w:rPr>
                    <w:t>kVA</w:t>
                  </w:r>
                  <w:r>
                    <w:rPr>
                      <w:rFonts w:ascii="Times New Roman" w:hAnsi="Times New Roman" w:eastAsia="Times New Roman" w:cs="Times New Roman"/>
                      <w:spacing w:val="6"/>
                      <w:sz w:val="20"/>
                      <w:szCs w:val="20"/>
                    </w:rPr>
                    <w:t>)</w:t>
                  </w:r>
                </w:p>
              </w:tc>
              <w:tc>
                <w:tcPr>
                  <w:tcW w:w="1158" w:type="dxa"/>
                  <w:tcBorders>
                    <w:top w:val="single" w:color="000000" w:sz="6" w:space="0"/>
                    <w:right w:val="single" w:color="000000" w:sz="6" w:space="0"/>
                  </w:tcBorders>
                  <w:vAlign w:val="top"/>
                </w:tcPr>
                <w:p w14:paraId="710D726F">
                  <w:pPr>
                    <w:pStyle w:val="6"/>
                    <w:spacing w:before="45" w:line="228" w:lineRule="auto"/>
                    <w:ind w:left="167"/>
                    <w:rPr>
                      <w:sz w:val="20"/>
                      <w:szCs w:val="20"/>
                    </w:rPr>
                  </w:pPr>
                  <w:r>
                    <w:rPr>
                      <w:spacing w:val="6"/>
                      <w:sz w:val="20"/>
                      <w:szCs w:val="20"/>
                    </w:rPr>
                    <w:t>直流侧总</w:t>
                  </w:r>
                </w:p>
                <w:p w14:paraId="0633591C">
                  <w:pPr>
                    <w:pStyle w:val="6"/>
                    <w:spacing w:before="24" w:line="228" w:lineRule="auto"/>
                    <w:ind w:left="377"/>
                    <w:rPr>
                      <w:sz w:val="20"/>
                      <w:szCs w:val="20"/>
                    </w:rPr>
                  </w:pPr>
                  <w:r>
                    <w:rPr>
                      <w:spacing w:val="3"/>
                      <w:sz w:val="20"/>
                      <w:szCs w:val="20"/>
                    </w:rPr>
                    <w:t>容量</w:t>
                  </w:r>
                </w:p>
                <w:p w14:paraId="15DC41B0">
                  <w:pPr>
                    <w:pStyle w:val="6"/>
                    <w:spacing w:before="26" w:line="221" w:lineRule="auto"/>
                    <w:ind w:left="140"/>
                    <w:rPr>
                      <w:sz w:val="20"/>
                      <w:szCs w:val="20"/>
                    </w:rPr>
                  </w:pPr>
                  <w:r>
                    <w:rPr>
                      <w:spacing w:val="6"/>
                      <w:sz w:val="20"/>
                      <w:szCs w:val="20"/>
                    </w:rPr>
                    <w:t>（</w:t>
                  </w:r>
                  <w:r>
                    <w:rPr>
                      <w:rFonts w:ascii="Times New Roman" w:hAnsi="Times New Roman" w:eastAsia="Times New Roman" w:cs="Times New Roman"/>
                      <w:sz w:val="20"/>
                      <w:szCs w:val="20"/>
                    </w:rPr>
                    <w:t>MWp</w:t>
                  </w:r>
                  <w:r>
                    <w:rPr>
                      <w:spacing w:val="6"/>
                      <w:sz w:val="20"/>
                      <w:szCs w:val="20"/>
                    </w:rPr>
                    <w:t>）</w:t>
                  </w:r>
                </w:p>
              </w:tc>
            </w:tr>
            <w:tr w14:paraId="30697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restart"/>
                  <w:tcBorders>
                    <w:left w:val="single" w:color="000000" w:sz="6" w:space="0"/>
                    <w:bottom w:val="nil"/>
                  </w:tcBorders>
                  <w:vAlign w:val="top"/>
                </w:tcPr>
                <w:p w14:paraId="176CB1CD">
                  <w:pPr>
                    <w:spacing w:line="317" w:lineRule="auto"/>
                    <w:rPr>
                      <w:rFonts w:ascii="Arial"/>
                      <w:sz w:val="21"/>
                    </w:rPr>
                  </w:pPr>
                </w:p>
                <w:p w14:paraId="3F1AA0A3">
                  <w:pPr>
                    <w:pStyle w:val="6"/>
                    <w:spacing w:before="65" w:line="228" w:lineRule="auto"/>
                    <w:ind w:left="225"/>
                    <w:rPr>
                      <w:rFonts w:ascii="Times New Roman" w:hAnsi="Times New Roman" w:eastAsia="Times New Roman" w:cs="Times New Roman"/>
                      <w:sz w:val="20"/>
                      <w:szCs w:val="20"/>
                    </w:rPr>
                  </w:pPr>
                  <w:r>
                    <w:rPr>
                      <w:spacing w:val="-2"/>
                      <w:sz w:val="20"/>
                      <w:szCs w:val="20"/>
                    </w:rPr>
                    <w:t>区块</w:t>
                  </w:r>
                  <w:r>
                    <w:rPr>
                      <w:spacing w:val="-21"/>
                      <w:sz w:val="20"/>
                      <w:szCs w:val="20"/>
                    </w:rPr>
                    <w:t xml:space="preserve"> </w:t>
                  </w:r>
                  <w:r>
                    <w:rPr>
                      <w:rFonts w:ascii="Times New Roman" w:hAnsi="Times New Roman" w:eastAsia="Times New Roman" w:cs="Times New Roman"/>
                      <w:spacing w:val="-2"/>
                      <w:sz w:val="20"/>
                      <w:szCs w:val="20"/>
                    </w:rPr>
                    <w:t>1</w:t>
                  </w:r>
                </w:p>
              </w:tc>
              <w:tc>
                <w:tcPr>
                  <w:tcW w:w="1052" w:type="dxa"/>
                  <w:vAlign w:val="top"/>
                </w:tcPr>
                <w:p w14:paraId="4F6B560B">
                  <w:pPr>
                    <w:spacing w:before="9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258</w:t>
                  </w:r>
                </w:p>
              </w:tc>
              <w:tc>
                <w:tcPr>
                  <w:tcW w:w="1192" w:type="dxa"/>
                  <w:vAlign w:val="top"/>
                </w:tcPr>
                <w:p w14:paraId="3EEC49CE">
                  <w:pPr>
                    <w:spacing w:before="91"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3900.96</w:t>
                  </w:r>
                </w:p>
              </w:tc>
              <w:tc>
                <w:tcPr>
                  <w:tcW w:w="953" w:type="dxa"/>
                  <w:vAlign w:val="top"/>
                </w:tcPr>
                <w:p w14:paraId="38743AF6">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T01</w:t>
                  </w:r>
                </w:p>
              </w:tc>
              <w:tc>
                <w:tcPr>
                  <w:tcW w:w="1053" w:type="dxa"/>
                  <w:vAlign w:val="top"/>
                </w:tcPr>
                <w:p w14:paraId="45A1361F">
                  <w:pPr>
                    <w:spacing w:before="9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restart"/>
                  <w:tcBorders>
                    <w:bottom w:val="nil"/>
                  </w:tcBorders>
                  <w:vAlign w:val="top"/>
                </w:tcPr>
                <w:p w14:paraId="223A662A">
                  <w:pPr>
                    <w:spacing w:line="312" w:lineRule="auto"/>
                    <w:rPr>
                      <w:rFonts w:ascii="Arial"/>
                      <w:sz w:val="21"/>
                    </w:rPr>
                  </w:pPr>
                </w:p>
                <w:p w14:paraId="714D9250">
                  <w:pPr>
                    <w:spacing w:line="312" w:lineRule="auto"/>
                    <w:rPr>
                      <w:rFonts w:ascii="Arial"/>
                      <w:sz w:val="21"/>
                    </w:rPr>
                  </w:pPr>
                </w:p>
                <w:p w14:paraId="7E2BBEA7">
                  <w:pPr>
                    <w:spacing w:line="312" w:lineRule="auto"/>
                    <w:rPr>
                      <w:rFonts w:ascii="Arial"/>
                      <w:sz w:val="21"/>
                    </w:rPr>
                  </w:pPr>
                </w:p>
                <w:p w14:paraId="37BBEA26">
                  <w:pPr>
                    <w:pStyle w:val="6"/>
                    <w:spacing w:before="58" w:line="243" w:lineRule="auto"/>
                    <w:ind w:left="119" w:right="108" w:hanging="2"/>
                    <w:jc w:val="both"/>
                    <w:rPr>
                      <w:sz w:val="20"/>
                      <w:szCs w:val="20"/>
                    </w:rPr>
                  </w:pP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 xml:space="preserve">kV </w:t>
                  </w:r>
                  <w:r>
                    <w:rPr>
                      <w:spacing w:val="15"/>
                      <w:sz w:val="20"/>
                      <w:szCs w:val="20"/>
                    </w:rPr>
                    <w:t>集电</w:t>
                  </w:r>
                  <w:r>
                    <w:rPr>
                      <w:sz w:val="20"/>
                      <w:szCs w:val="20"/>
                    </w:rPr>
                    <w:t xml:space="preserve"> </w:t>
                  </w:r>
                  <w:r>
                    <w:rPr>
                      <w:spacing w:val="3"/>
                      <w:sz w:val="20"/>
                      <w:szCs w:val="20"/>
                    </w:rPr>
                    <w:t>线路</w:t>
                  </w:r>
                  <w:r>
                    <w:rPr>
                      <w:sz w:val="20"/>
                      <w:szCs w:val="20"/>
                    </w:rPr>
                    <w:t xml:space="preserve"> </w:t>
                  </w:r>
                  <w:r>
                    <w:rPr>
                      <w:rFonts w:ascii="Times New Roman" w:hAnsi="Times New Roman" w:eastAsia="Times New Roman" w:cs="Times New Roman"/>
                      <w:spacing w:val="12"/>
                      <w:sz w:val="20"/>
                      <w:szCs w:val="20"/>
                    </w:rPr>
                    <w:t>A</w:t>
                  </w:r>
                  <w:r>
                    <w:rPr>
                      <w:rFonts w:ascii="Times New Roman" w:hAnsi="Times New Roman" w:eastAsia="Times New Roman" w:cs="Times New Roman"/>
                      <w:spacing w:val="31"/>
                      <w:w w:val="101"/>
                      <w:sz w:val="20"/>
                      <w:szCs w:val="20"/>
                    </w:rPr>
                    <w:t xml:space="preserve"> </w:t>
                  </w:r>
                  <w:r>
                    <w:rPr>
                      <w:spacing w:val="12"/>
                      <w:sz w:val="20"/>
                      <w:szCs w:val="20"/>
                    </w:rPr>
                    <w:t>回</w:t>
                  </w:r>
                </w:p>
              </w:tc>
              <w:tc>
                <w:tcPr>
                  <w:tcW w:w="915" w:type="dxa"/>
                  <w:vMerge w:val="restart"/>
                  <w:tcBorders>
                    <w:bottom w:val="nil"/>
                  </w:tcBorders>
                  <w:vAlign w:val="top"/>
                </w:tcPr>
                <w:p w14:paraId="7D0C624B">
                  <w:pPr>
                    <w:spacing w:line="269" w:lineRule="auto"/>
                    <w:rPr>
                      <w:rFonts w:ascii="Arial"/>
                      <w:sz w:val="21"/>
                    </w:rPr>
                  </w:pPr>
                </w:p>
                <w:p w14:paraId="51691AD5">
                  <w:pPr>
                    <w:spacing w:line="269" w:lineRule="auto"/>
                    <w:rPr>
                      <w:rFonts w:ascii="Arial"/>
                      <w:sz w:val="21"/>
                    </w:rPr>
                  </w:pPr>
                </w:p>
                <w:p w14:paraId="226DE942">
                  <w:pPr>
                    <w:spacing w:line="269" w:lineRule="auto"/>
                    <w:rPr>
                      <w:rFonts w:ascii="Arial"/>
                      <w:sz w:val="21"/>
                    </w:rPr>
                  </w:pPr>
                </w:p>
                <w:p w14:paraId="74A3879D">
                  <w:pPr>
                    <w:spacing w:line="269" w:lineRule="auto"/>
                    <w:rPr>
                      <w:rFonts w:ascii="Arial"/>
                      <w:sz w:val="21"/>
                    </w:rPr>
                  </w:pPr>
                </w:p>
                <w:p w14:paraId="659E17C6">
                  <w:pPr>
                    <w:spacing w:line="269" w:lineRule="auto"/>
                    <w:rPr>
                      <w:rFonts w:ascii="Arial"/>
                      <w:sz w:val="21"/>
                    </w:rPr>
                  </w:pPr>
                </w:p>
                <w:p w14:paraId="77E13CD5">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21600</w:t>
                  </w:r>
                </w:p>
              </w:tc>
              <w:tc>
                <w:tcPr>
                  <w:tcW w:w="1158" w:type="dxa"/>
                  <w:vMerge w:val="restart"/>
                  <w:tcBorders>
                    <w:bottom w:val="nil"/>
                    <w:right w:val="single" w:color="000000" w:sz="6" w:space="0"/>
                  </w:tcBorders>
                  <w:vAlign w:val="top"/>
                </w:tcPr>
                <w:p w14:paraId="20EFDB63">
                  <w:pPr>
                    <w:spacing w:line="269" w:lineRule="auto"/>
                    <w:rPr>
                      <w:rFonts w:ascii="Arial"/>
                      <w:sz w:val="21"/>
                    </w:rPr>
                  </w:pPr>
                </w:p>
                <w:p w14:paraId="7C5F0891">
                  <w:pPr>
                    <w:spacing w:line="269" w:lineRule="auto"/>
                    <w:rPr>
                      <w:rFonts w:ascii="Arial"/>
                      <w:sz w:val="21"/>
                    </w:rPr>
                  </w:pPr>
                </w:p>
                <w:p w14:paraId="78EF4C73">
                  <w:pPr>
                    <w:spacing w:line="269" w:lineRule="auto"/>
                    <w:rPr>
                      <w:rFonts w:ascii="Arial"/>
                      <w:sz w:val="21"/>
                    </w:rPr>
                  </w:pPr>
                </w:p>
                <w:p w14:paraId="5FC42E90">
                  <w:pPr>
                    <w:spacing w:line="269" w:lineRule="auto"/>
                    <w:rPr>
                      <w:rFonts w:ascii="Arial"/>
                      <w:sz w:val="21"/>
                    </w:rPr>
                  </w:pPr>
                </w:p>
                <w:p w14:paraId="030BE5B1">
                  <w:pPr>
                    <w:spacing w:line="269" w:lineRule="auto"/>
                    <w:rPr>
                      <w:rFonts w:ascii="Arial"/>
                      <w:sz w:val="21"/>
                    </w:rPr>
                  </w:pPr>
                </w:p>
                <w:p w14:paraId="57B080DE">
                  <w:pPr>
                    <w:spacing w:before="58"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24660.72</w:t>
                  </w:r>
                </w:p>
              </w:tc>
            </w:tr>
            <w:tr w14:paraId="6D55F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bottom w:val="nil"/>
                  </w:tcBorders>
                  <w:vAlign w:val="top"/>
                </w:tcPr>
                <w:p w14:paraId="69215383">
                  <w:pPr>
                    <w:rPr>
                      <w:rFonts w:ascii="Arial"/>
                      <w:sz w:val="21"/>
                    </w:rPr>
                  </w:pPr>
                </w:p>
              </w:tc>
              <w:tc>
                <w:tcPr>
                  <w:tcW w:w="1052" w:type="dxa"/>
                  <w:vAlign w:val="top"/>
                </w:tcPr>
                <w:p w14:paraId="663A3955">
                  <w:pPr>
                    <w:spacing w:before="92"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170</w:t>
                  </w:r>
                </w:p>
              </w:tc>
              <w:tc>
                <w:tcPr>
                  <w:tcW w:w="1192" w:type="dxa"/>
                  <w:vAlign w:val="top"/>
                </w:tcPr>
                <w:p w14:paraId="2963F2A0">
                  <w:pPr>
                    <w:spacing w:before="92"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2570.4</w:t>
                  </w:r>
                </w:p>
              </w:tc>
              <w:tc>
                <w:tcPr>
                  <w:tcW w:w="953" w:type="dxa"/>
                  <w:vAlign w:val="top"/>
                </w:tcPr>
                <w:p w14:paraId="3278ACCC">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T02</w:t>
                  </w:r>
                </w:p>
              </w:tc>
              <w:tc>
                <w:tcPr>
                  <w:tcW w:w="1053" w:type="dxa"/>
                  <w:vAlign w:val="top"/>
                </w:tcPr>
                <w:p w14:paraId="74116C38">
                  <w:pPr>
                    <w:spacing w:before="9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continue"/>
                  <w:tcBorders>
                    <w:top w:val="nil"/>
                    <w:bottom w:val="nil"/>
                  </w:tcBorders>
                  <w:vAlign w:val="top"/>
                </w:tcPr>
                <w:p w14:paraId="27927746">
                  <w:pPr>
                    <w:rPr>
                      <w:rFonts w:ascii="Arial"/>
                      <w:sz w:val="21"/>
                    </w:rPr>
                  </w:pPr>
                </w:p>
              </w:tc>
              <w:tc>
                <w:tcPr>
                  <w:tcW w:w="915" w:type="dxa"/>
                  <w:vMerge w:val="continue"/>
                  <w:tcBorders>
                    <w:top w:val="nil"/>
                    <w:bottom w:val="nil"/>
                  </w:tcBorders>
                  <w:vAlign w:val="top"/>
                </w:tcPr>
                <w:p w14:paraId="16631A01">
                  <w:pPr>
                    <w:rPr>
                      <w:rFonts w:ascii="Arial"/>
                      <w:sz w:val="21"/>
                    </w:rPr>
                  </w:pPr>
                </w:p>
              </w:tc>
              <w:tc>
                <w:tcPr>
                  <w:tcW w:w="1158" w:type="dxa"/>
                  <w:vMerge w:val="continue"/>
                  <w:tcBorders>
                    <w:top w:val="nil"/>
                    <w:bottom w:val="nil"/>
                    <w:right w:val="single" w:color="000000" w:sz="6" w:space="0"/>
                  </w:tcBorders>
                  <w:vAlign w:val="top"/>
                </w:tcPr>
                <w:p w14:paraId="7EEF8BF0">
                  <w:pPr>
                    <w:rPr>
                      <w:rFonts w:ascii="Arial"/>
                      <w:sz w:val="21"/>
                    </w:rPr>
                  </w:pPr>
                </w:p>
              </w:tc>
            </w:tr>
            <w:tr w14:paraId="357BA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tcBorders>
                  <w:vAlign w:val="top"/>
                </w:tcPr>
                <w:p w14:paraId="59E4D5FE">
                  <w:pPr>
                    <w:rPr>
                      <w:rFonts w:ascii="Arial"/>
                      <w:sz w:val="21"/>
                    </w:rPr>
                  </w:pPr>
                </w:p>
              </w:tc>
              <w:tc>
                <w:tcPr>
                  <w:tcW w:w="1052" w:type="dxa"/>
                  <w:vAlign w:val="top"/>
                </w:tcPr>
                <w:p w14:paraId="5A63F211">
                  <w:pPr>
                    <w:spacing w:before="91"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143</w:t>
                  </w:r>
                </w:p>
              </w:tc>
              <w:tc>
                <w:tcPr>
                  <w:tcW w:w="1192" w:type="dxa"/>
                  <w:vAlign w:val="top"/>
                </w:tcPr>
                <w:p w14:paraId="59A1176F">
                  <w:pPr>
                    <w:spacing w:before="9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2162.16</w:t>
                  </w:r>
                </w:p>
              </w:tc>
              <w:tc>
                <w:tcPr>
                  <w:tcW w:w="953" w:type="dxa"/>
                  <w:vAlign w:val="top"/>
                </w:tcPr>
                <w:p w14:paraId="4CBD2381">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T03</w:t>
                  </w:r>
                </w:p>
              </w:tc>
              <w:tc>
                <w:tcPr>
                  <w:tcW w:w="1053" w:type="dxa"/>
                  <w:vAlign w:val="top"/>
                </w:tcPr>
                <w:p w14:paraId="2F1D5E29">
                  <w:pPr>
                    <w:spacing w:before="9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continue"/>
                  <w:tcBorders>
                    <w:top w:val="nil"/>
                    <w:bottom w:val="nil"/>
                  </w:tcBorders>
                  <w:vAlign w:val="top"/>
                </w:tcPr>
                <w:p w14:paraId="28BF1D04">
                  <w:pPr>
                    <w:rPr>
                      <w:rFonts w:ascii="Arial"/>
                      <w:sz w:val="21"/>
                    </w:rPr>
                  </w:pPr>
                </w:p>
              </w:tc>
              <w:tc>
                <w:tcPr>
                  <w:tcW w:w="915" w:type="dxa"/>
                  <w:vMerge w:val="continue"/>
                  <w:tcBorders>
                    <w:top w:val="nil"/>
                    <w:bottom w:val="nil"/>
                  </w:tcBorders>
                  <w:vAlign w:val="top"/>
                </w:tcPr>
                <w:p w14:paraId="1AD7A87B">
                  <w:pPr>
                    <w:rPr>
                      <w:rFonts w:ascii="Arial"/>
                      <w:sz w:val="21"/>
                    </w:rPr>
                  </w:pPr>
                </w:p>
              </w:tc>
              <w:tc>
                <w:tcPr>
                  <w:tcW w:w="1158" w:type="dxa"/>
                  <w:vMerge w:val="continue"/>
                  <w:tcBorders>
                    <w:top w:val="nil"/>
                    <w:bottom w:val="nil"/>
                    <w:right w:val="single" w:color="000000" w:sz="6" w:space="0"/>
                  </w:tcBorders>
                  <w:vAlign w:val="top"/>
                </w:tcPr>
                <w:p w14:paraId="7A423550">
                  <w:pPr>
                    <w:rPr>
                      <w:rFonts w:ascii="Arial"/>
                      <w:sz w:val="21"/>
                    </w:rPr>
                  </w:pPr>
                </w:p>
              </w:tc>
            </w:tr>
            <w:tr w14:paraId="4274C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restart"/>
                  <w:tcBorders>
                    <w:left w:val="single" w:color="000000" w:sz="6" w:space="0"/>
                    <w:bottom w:val="nil"/>
                  </w:tcBorders>
                  <w:vAlign w:val="top"/>
                </w:tcPr>
                <w:p w14:paraId="6EAD1B23">
                  <w:pPr>
                    <w:spacing w:line="319" w:lineRule="auto"/>
                    <w:rPr>
                      <w:rFonts w:ascii="Arial"/>
                      <w:sz w:val="21"/>
                    </w:rPr>
                  </w:pPr>
                </w:p>
                <w:p w14:paraId="6486D8FF">
                  <w:pPr>
                    <w:pStyle w:val="6"/>
                    <w:spacing w:before="65" w:line="228" w:lineRule="auto"/>
                    <w:ind w:left="225"/>
                    <w:rPr>
                      <w:rFonts w:ascii="Times New Roman" w:hAnsi="Times New Roman" w:eastAsia="Times New Roman" w:cs="Times New Roman"/>
                      <w:sz w:val="20"/>
                      <w:szCs w:val="20"/>
                    </w:rPr>
                  </w:pPr>
                  <w:r>
                    <w:rPr>
                      <w:spacing w:val="-2"/>
                      <w:sz w:val="20"/>
                      <w:szCs w:val="20"/>
                    </w:rPr>
                    <w:t>区块</w:t>
                  </w:r>
                  <w:r>
                    <w:rPr>
                      <w:spacing w:val="-41"/>
                      <w:sz w:val="20"/>
                      <w:szCs w:val="20"/>
                    </w:rPr>
                    <w:t xml:space="preserve"> </w:t>
                  </w:r>
                  <w:r>
                    <w:rPr>
                      <w:rFonts w:ascii="Times New Roman" w:hAnsi="Times New Roman" w:eastAsia="Times New Roman" w:cs="Times New Roman"/>
                      <w:spacing w:val="-2"/>
                      <w:sz w:val="20"/>
                      <w:szCs w:val="20"/>
                    </w:rPr>
                    <w:t>2</w:t>
                  </w:r>
                </w:p>
              </w:tc>
              <w:tc>
                <w:tcPr>
                  <w:tcW w:w="1052" w:type="dxa"/>
                  <w:vAlign w:val="top"/>
                </w:tcPr>
                <w:p w14:paraId="43ABDEBA">
                  <w:pPr>
                    <w:spacing w:before="92"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183</w:t>
                  </w:r>
                </w:p>
              </w:tc>
              <w:tc>
                <w:tcPr>
                  <w:tcW w:w="1192" w:type="dxa"/>
                  <w:vAlign w:val="top"/>
                </w:tcPr>
                <w:p w14:paraId="1931E52E">
                  <w:pPr>
                    <w:spacing w:before="9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2766.96</w:t>
                  </w:r>
                </w:p>
              </w:tc>
              <w:tc>
                <w:tcPr>
                  <w:tcW w:w="953" w:type="dxa"/>
                  <w:vAlign w:val="top"/>
                </w:tcPr>
                <w:p w14:paraId="57AA67C8">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T04</w:t>
                  </w:r>
                </w:p>
              </w:tc>
              <w:tc>
                <w:tcPr>
                  <w:tcW w:w="1053" w:type="dxa"/>
                  <w:vAlign w:val="top"/>
                </w:tcPr>
                <w:p w14:paraId="04B2CC2E">
                  <w:pPr>
                    <w:spacing w:before="9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continue"/>
                  <w:tcBorders>
                    <w:top w:val="nil"/>
                    <w:bottom w:val="nil"/>
                  </w:tcBorders>
                  <w:vAlign w:val="top"/>
                </w:tcPr>
                <w:p w14:paraId="037B757F">
                  <w:pPr>
                    <w:rPr>
                      <w:rFonts w:ascii="Arial"/>
                      <w:sz w:val="21"/>
                    </w:rPr>
                  </w:pPr>
                </w:p>
              </w:tc>
              <w:tc>
                <w:tcPr>
                  <w:tcW w:w="915" w:type="dxa"/>
                  <w:vMerge w:val="continue"/>
                  <w:tcBorders>
                    <w:top w:val="nil"/>
                    <w:bottom w:val="nil"/>
                  </w:tcBorders>
                  <w:vAlign w:val="top"/>
                </w:tcPr>
                <w:p w14:paraId="0406891D">
                  <w:pPr>
                    <w:rPr>
                      <w:rFonts w:ascii="Arial"/>
                      <w:sz w:val="21"/>
                    </w:rPr>
                  </w:pPr>
                </w:p>
              </w:tc>
              <w:tc>
                <w:tcPr>
                  <w:tcW w:w="1158" w:type="dxa"/>
                  <w:vMerge w:val="continue"/>
                  <w:tcBorders>
                    <w:top w:val="nil"/>
                    <w:bottom w:val="nil"/>
                    <w:right w:val="single" w:color="000000" w:sz="6" w:space="0"/>
                  </w:tcBorders>
                  <w:vAlign w:val="top"/>
                </w:tcPr>
                <w:p w14:paraId="7A121760">
                  <w:pPr>
                    <w:rPr>
                      <w:rFonts w:ascii="Arial"/>
                      <w:sz w:val="21"/>
                    </w:rPr>
                  </w:pPr>
                </w:p>
              </w:tc>
            </w:tr>
            <w:tr w14:paraId="0822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bottom w:val="nil"/>
                  </w:tcBorders>
                  <w:vAlign w:val="top"/>
                </w:tcPr>
                <w:p w14:paraId="5C6735FF">
                  <w:pPr>
                    <w:rPr>
                      <w:rFonts w:ascii="Arial"/>
                      <w:sz w:val="21"/>
                    </w:rPr>
                  </w:pPr>
                </w:p>
              </w:tc>
              <w:tc>
                <w:tcPr>
                  <w:tcW w:w="1052" w:type="dxa"/>
                  <w:vAlign w:val="top"/>
                </w:tcPr>
                <w:p w14:paraId="58EDE718">
                  <w:pPr>
                    <w:spacing w:before="9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226</w:t>
                  </w:r>
                </w:p>
              </w:tc>
              <w:tc>
                <w:tcPr>
                  <w:tcW w:w="1192" w:type="dxa"/>
                  <w:vAlign w:val="top"/>
                </w:tcPr>
                <w:p w14:paraId="60224530">
                  <w:pPr>
                    <w:spacing w:before="91"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3417.</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12</w:t>
                  </w:r>
                </w:p>
              </w:tc>
              <w:tc>
                <w:tcPr>
                  <w:tcW w:w="953" w:type="dxa"/>
                  <w:vAlign w:val="top"/>
                </w:tcPr>
                <w:p w14:paraId="06544C7B">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T07</w:t>
                  </w:r>
                </w:p>
              </w:tc>
              <w:tc>
                <w:tcPr>
                  <w:tcW w:w="1053" w:type="dxa"/>
                  <w:vAlign w:val="top"/>
                </w:tcPr>
                <w:p w14:paraId="2A7F8A77">
                  <w:pPr>
                    <w:spacing w:before="9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4117D965">
                  <w:pPr>
                    <w:rPr>
                      <w:rFonts w:ascii="Arial"/>
                      <w:sz w:val="21"/>
                    </w:rPr>
                  </w:pPr>
                </w:p>
              </w:tc>
              <w:tc>
                <w:tcPr>
                  <w:tcW w:w="915" w:type="dxa"/>
                  <w:vMerge w:val="continue"/>
                  <w:tcBorders>
                    <w:top w:val="nil"/>
                    <w:bottom w:val="nil"/>
                  </w:tcBorders>
                  <w:vAlign w:val="top"/>
                </w:tcPr>
                <w:p w14:paraId="217561C8">
                  <w:pPr>
                    <w:rPr>
                      <w:rFonts w:ascii="Arial"/>
                      <w:sz w:val="21"/>
                    </w:rPr>
                  </w:pPr>
                </w:p>
              </w:tc>
              <w:tc>
                <w:tcPr>
                  <w:tcW w:w="1158" w:type="dxa"/>
                  <w:vMerge w:val="continue"/>
                  <w:tcBorders>
                    <w:top w:val="nil"/>
                    <w:bottom w:val="nil"/>
                    <w:right w:val="single" w:color="000000" w:sz="6" w:space="0"/>
                  </w:tcBorders>
                  <w:vAlign w:val="top"/>
                </w:tcPr>
                <w:p w14:paraId="52055F90">
                  <w:pPr>
                    <w:rPr>
                      <w:rFonts w:ascii="Arial"/>
                      <w:sz w:val="21"/>
                    </w:rPr>
                  </w:pPr>
                </w:p>
              </w:tc>
            </w:tr>
            <w:tr w14:paraId="6E59D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tcBorders>
                  <w:vAlign w:val="top"/>
                </w:tcPr>
                <w:p w14:paraId="3FB7B418">
                  <w:pPr>
                    <w:rPr>
                      <w:rFonts w:ascii="Arial"/>
                      <w:sz w:val="21"/>
                    </w:rPr>
                  </w:pPr>
                </w:p>
              </w:tc>
              <w:tc>
                <w:tcPr>
                  <w:tcW w:w="1052" w:type="dxa"/>
                  <w:vAlign w:val="top"/>
                </w:tcPr>
                <w:p w14:paraId="33A84E38">
                  <w:pPr>
                    <w:spacing w:before="9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w:t>
                  </w:r>
                </w:p>
              </w:tc>
              <w:tc>
                <w:tcPr>
                  <w:tcW w:w="1192" w:type="dxa"/>
                  <w:vAlign w:val="top"/>
                </w:tcPr>
                <w:p w14:paraId="332D2390">
                  <w:pPr>
                    <w:spacing w:before="92"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3840.48</w:t>
                  </w:r>
                </w:p>
              </w:tc>
              <w:tc>
                <w:tcPr>
                  <w:tcW w:w="953" w:type="dxa"/>
                  <w:vAlign w:val="top"/>
                </w:tcPr>
                <w:p w14:paraId="12CBBB5D">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T06</w:t>
                  </w:r>
                </w:p>
              </w:tc>
              <w:tc>
                <w:tcPr>
                  <w:tcW w:w="1053" w:type="dxa"/>
                  <w:vAlign w:val="top"/>
                </w:tcPr>
                <w:p w14:paraId="2B4C2AD3">
                  <w:pPr>
                    <w:spacing w:before="92"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56763476">
                  <w:pPr>
                    <w:rPr>
                      <w:rFonts w:ascii="Arial"/>
                      <w:sz w:val="21"/>
                    </w:rPr>
                  </w:pPr>
                </w:p>
              </w:tc>
              <w:tc>
                <w:tcPr>
                  <w:tcW w:w="915" w:type="dxa"/>
                  <w:vMerge w:val="continue"/>
                  <w:tcBorders>
                    <w:top w:val="nil"/>
                    <w:bottom w:val="nil"/>
                  </w:tcBorders>
                  <w:vAlign w:val="top"/>
                </w:tcPr>
                <w:p w14:paraId="7BB94D17">
                  <w:pPr>
                    <w:rPr>
                      <w:rFonts w:ascii="Arial"/>
                      <w:sz w:val="21"/>
                    </w:rPr>
                  </w:pPr>
                </w:p>
              </w:tc>
              <w:tc>
                <w:tcPr>
                  <w:tcW w:w="1158" w:type="dxa"/>
                  <w:vMerge w:val="continue"/>
                  <w:tcBorders>
                    <w:top w:val="nil"/>
                    <w:bottom w:val="nil"/>
                    <w:right w:val="single" w:color="000000" w:sz="6" w:space="0"/>
                  </w:tcBorders>
                  <w:vAlign w:val="top"/>
                </w:tcPr>
                <w:p w14:paraId="431D8D92">
                  <w:pPr>
                    <w:rPr>
                      <w:rFonts w:ascii="Arial"/>
                      <w:sz w:val="21"/>
                    </w:rPr>
                  </w:pPr>
                </w:p>
              </w:tc>
            </w:tr>
            <w:tr w14:paraId="492BB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restart"/>
                  <w:tcBorders>
                    <w:left w:val="single" w:color="000000" w:sz="6" w:space="0"/>
                    <w:bottom w:val="nil"/>
                  </w:tcBorders>
                  <w:vAlign w:val="top"/>
                </w:tcPr>
                <w:p w14:paraId="334368E4">
                  <w:pPr>
                    <w:pStyle w:val="6"/>
                    <w:spacing w:before="221" w:line="228" w:lineRule="auto"/>
                    <w:ind w:left="225"/>
                    <w:rPr>
                      <w:rFonts w:ascii="Times New Roman" w:hAnsi="Times New Roman" w:eastAsia="Times New Roman" w:cs="Times New Roman"/>
                      <w:sz w:val="20"/>
                      <w:szCs w:val="20"/>
                    </w:rPr>
                  </w:pPr>
                  <w:r>
                    <w:rPr>
                      <w:spacing w:val="-2"/>
                      <w:sz w:val="20"/>
                      <w:szCs w:val="20"/>
                    </w:rPr>
                    <w:t>区块</w:t>
                  </w:r>
                  <w:r>
                    <w:rPr>
                      <w:spacing w:val="-37"/>
                      <w:sz w:val="20"/>
                      <w:szCs w:val="20"/>
                    </w:rPr>
                    <w:t xml:space="preserve"> </w:t>
                  </w:r>
                  <w:r>
                    <w:rPr>
                      <w:rFonts w:ascii="Times New Roman" w:hAnsi="Times New Roman" w:eastAsia="Times New Roman" w:cs="Times New Roman"/>
                      <w:spacing w:val="-2"/>
                      <w:sz w:val="20"/>
                      <w:szCs w:val="20"/>
                    </w:rPr>
                    <w:t>3</w:t>
                  </w:r>
                </w:p>
              </w:tc>
              <w:tc>
                <w:tcPr>
                  <w:tcW w:w="1052" w:type="dxa"/>
                  <w:vAlign w:val="top"/>
                </w:tcPr>
                <w:p w14:paraId="6E4F563D">
                  <w:pPr>
                    <w:spacing w:before="91"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168</w:t>
                  </w:r>
                </w:p>
              </w:tc>
              <w:tc>
                <w:tcPr>
                  <w:tcW w:w="1192" w:type="dxa"/>
                  <w:vAlign w:val="top"/>
                </w:tcPr>
                <w:p w14:paraId="3848DC42">
                  <w:pPr>
                    <w:spacing w:before="9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2540.16</w:t>
                  </w:r>
                </w:p>
              </w:tc>
              <w:tc>
                <w:tcPr>
                  <w:tcW w:w="953" w:type="dxa"/>
                  <w:vAlign w:val="top"/>
                </w:tcPr>
                <w:p w14:paraId="41695B81">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T09</w:t>
                  </w:r>
                </w:p>
              </w:tc>
              <w:tc>
                <w:tcPr>
                  <w:tcW w:w="1053" w:type="dxa"/>
                  <w:vAlign w:val="top"/>
                </w:tcPr>
                <w:p w14:paraId="1A6A929C">
                  <w:pPr>
                    <w:spacing w:before="9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continue"/>
                  <w:tcBorders>
                    <w:top w:val="nil"/>
                    <w:bottom w:val="nil"/>
                  </w:tcBorders>
                  <w:vAlign w:val="top"/>
                </w:tcPr>
                <w:p w14:paraId="417A8835">
                  <w:pPr>
                    <w:rPr>
                      <w:rFonts w:ascii="Arial"/>
                      <w:sz w:val="21"/>
                    </w:rPr>
                  </w:pPr>
                </w:p>
              </w:tc>
              <w:tc>
                <w:tcPr>
                  <w:tcW w:w="915" w:type="dxa"/>
                  <w:vMerge w:val="continue"/>
                  <w:tcBorders>
                    <w:top w:val="nil"/>
                    <w:bottom w:val="nil"/>
                  </w:tcBorders>
                  <w:vAlign w:val="top"/>
                </w:tcPr>
                <w:p w14:paraId="20FC861F">
                  <w:pPr>
                    <w:rPr>
                      <w:rFonts w:ascii="Arial"/>
                      <w:sz w:val="21"/>
                    </w:rPr>
                  </w:pPr>
                </w:p>
              </w:tc>
              <w:tc>
                <w:tcPr>
                  <w:tcW w:w="1158" w:type="dxa"/>
                  <w:vMerge w:val="continue"/>
                  <w:tcBorders>
                    <w:top w:val="nil"/>
                    <w:bottom w:val="nil"/>
                    <w:right w:val="single" w:color="000000" w:sz="6" w:space="0"/>
                  </w:tcBorders>
                  <w:vAlign w:val="top"/>
                </w:tcPr>
                <w:p w14:paraId="447E8C3C">
                  <w:pPr>
                    <w:rPr>
                      <w:rFonts w:ascii="Arial"/>
                      <w:sz w:val="21"/>
                    </w:rPr>
                  </w:pPr>
                </w:p>
              </w:tc>
            </w:tr>
            <w:tr w14:paraId="33294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tcBorders>
                  <w:vAlign w:val="top"/>
                </w:tcPr>
                <w:p w14:paraId="3E250D7A">
                  <w:pPr>
                    <w:rPr>
                      <w:rFonts w:ascii="Arial"/>
                      <w:sz w:val="21"/>
                    </w:rPr>
                  </w:pPr>
                </w:p>
              </w:tc>
              <w:tc>
                <w:tcPr>
                  <w:tcW w:w="1052" w:type="dxa"/>
                  <w:vAlign w:val="top"/>
                </w:tcPr>
                <w:p w14:paraId="5DEB2873">
                  <w:pPr>
                    <w:spacing w:before="95" w:line="192"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192" w:type="dxa"/>
                  <w:vAlign w:val="top"/>
                </w:tcPr>
                <w:p w14:paraId="6C93C80A">
                  <w:pPr>
                    <w:spacing w:before="9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1134</w:t>
                  </w:r>
                </w:p>
              </w:tc>
              <w:tc>
                <w:tcPr>
                  <w:tcW w:w="953" w:type="dxa"/>
                  <w:vAlign w:val="top"/>
                </w:tcPr>
                <w:p w14:paraId="4B011ABA">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T10</w:t>
                  </w:r>
                </w:p>
              </w:tc>
              <w:tc>
                <w:tcPr>
                  <w:tcW w:w="1053" w:type="dxa"/>
                  <w:vAlign w:val="top"/>
                </w:tcPr>
                <w:p w14:paraId="26E8DD61">
                  <w:pPr>
                    <w:spacing w:before="9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687" w:type="dxa"/>
                  <w:vMerge w:val="continue"/>
                  <w:tcBorders>
                    <w:top w:val="nil"/>
                    <w:bottom w:val="nil"/>
                  </w:tcBorders>
                  <w:vAlign w:val="top"/>
                </w:tcPr>
                <w:p w14:paraId="44371463">
                  <w:pPr>
                    <w:rPr>
                      <w:rFonts w:ascii="Arial"/>
                      <w:sz w:val="21"/>
                    </w:rPr>
                  </w:pPr>
                </w:p>
              </w:tc>
              <w:tc>
                <w:tcPr>
                  <w:tcW w:w="915" w:type="dxa"/>
                  <w:vMerge w:val="continue"/>
                  <w:tcBorders>
                    <w:top w:val="nil"/>
                    <w:bottom w:val="nil"/>
                  </w:tcBorders>
                  <w:vAlign w:val="top"/>
                </w:tcPr>
                <w:p w14:paraId="0A281D46">
                  <w:pPr>
                    <w:rPr>
                      <w:rFonts w:ascii="Arial"/>
                      <w:sz w:val="21"/>
                    </w:rPr>
                  </w:pPr>
                </w:p>
              </w:tc>
              <w:tc>
                <w:tcPr>
                  <w:tcW w:w="1158" w:type="dxa"/>
                  <w:vMerge w:val="continue"/>
                  <w:tcBorders>
                    <w:top w:val="nil"/>
                    <w:bottom w:val="nil"/>
                    <w:right w:val="single" w:color="000000" w:sz="6" w:space="0"/>
                  </w:tcBorders>
                  <w:vAlign w:val="top"/>
                </w:tcPr>
                <w:p w14:paraId="12876A42">
                  <w:pPr>
                    <w:rPr>
                      <w:rFonts w:ascii="Arial"/>
                      <w:sz w:val="21"/>
                    </w:rPr>
                  </w:pPr>
                </w:p>
              </w:tc>
            </w:tr>
            <w:tr w14:paraId="470C5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tcBorders>
                    <w:left w:val="single" w:color="000000" w:sz="6" w:space="0"/>
                  </w:tcBorders>
                  <w:vAlign w:val="top"/>
                </w:tcPr>
                <w:p w14:paraId="2538D6A9">
                  <w:pPr>
                    <w:pStyle w:val="6"/>
                    <w:spacing w:before="56" w:line="228" w:lineRule="auto"/>
                    <w:ind w:left="172"/>
                    <w:rPr>
                      <w:rFonts w:ascii="Times New Roman" w:hAnsi="Times New Roman" w:eastAsia="Times New Roman" w:cs="Times New Roman"/>
                      <w:sz w:val="20"/>
                      <w:szCs w:val="20"/>
                    </w:rPr>
                  </w:pPr>
                  <w:r>
                    <w:rPr>
                      <w:spacing w:val="-6"/>
                      <w:sz w:val="20"/>
                      <w:szCs w:val="20"/>
                    </w:rPr>
                    <w:t>区块</w:t>
                  </w:r>
                  <w:r>
                    <w:rPr>
                      <w:spacing w:val="-18"/>
                      <w:sz w:val="20"/>
                      <w:szCs w:val="20"/>
                    </w:rPr>
                    <w:t xml:space="preserve"> </w:t>
                  </w:r>
                  <w:r>
                    <w:rPr>
                      <w:rFonts w:ascii="Times New Roman" w:hAnsi="Times New Roman" w:eastAsia="Times New Roman" w:cs="Times New Roman"/>
                      <w:spacing w:val="-6"/>
                      <w:sz w:val="20"/>
                      <w:szCs w:val="20"/>
                    </w:rPr>
                    <w:t>10</w:t>
                  </w:r>
                </w:p>
              </w:tc>
              <w:tc>
                <w:tcPr>
                  <w:tcW w:w="1052" w:type="dxa"/>
                  <w:vAlign w:val="top"/>
                </w:tcPr>
                <w:p w14:paraId="546DDBE9">
                  <w:pPr>
                    <w:spacing w:before="91"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154</w:t>
                  </w:r>
                </w:p>
              </w:tc>
              <w:tc>
                <w:tcPr>
                  <w:tcW w:w="1192" w:type="dxa"/>
                  <w:vAlign w:val="top"/>
                </w:tcPr>
                <w:p w14:paraId="1B6FC89B">
                  <w:pPr>
                    <w:spacing w:before="9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2328.48</w:t>
                  </w:r>
                </w:p>
              </w:tc>
              <w:tc>
                <w:tcPr>
                  <w:tcW w:w="953" w:type="dxa"/>
                  <w:vAlign w:val="top"/>
                </w:tcPr>
                <w:p w14:paraId="2CEE2B34">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T25</w:t>
                  </w:r>
                </w:p>
              </w:tc>
              <w:tc>
                <w:tcPr>
                  <w:tcW w:w="1053" w:type="dxa"/>
                  <w:vAlign w:val="top"/>
                </w:tcPr>
                <w:p w14:paraId="5713F41E">
                  <w:pPr>
                    <w:spacing w:before="9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continue"/>
                  <w:tcBorders>
                    <w:top w:val="nil"/>
                  </w:tcBorders>
                  <w:vAlign w:val="top"/>
                </w:tcPr>
                <w:p w14:paraId="7D477858">
                  <w:pPr>
                    <w:rPr>
                      <w:rFonts w:ascii="Arial"/>
                      <w:sz w:val="21"/>
                    </w:rPr>
                  </w:pPr>
                </w:p>
              </w:tc>
              <w:tc>
                <w:tcPr>
                  <w:tcW w:w="915" w:type="dxa"/>
                  <w:vMerge w:val="continue"/>
                  <w:tcBorders>
                    <w:top w:val="nil"/>
                  </w:tcBorders>
                  <w:vAlign w:val="top"/>
                </w:tcPr>
                <w:p w14:paraId="5B005896">
                  <w:pPr>
                    <w:rPr>
                      <w:rFonts w:ascii="Arial"/>
                      <w:sz w:val="21"/>
                    </w:rPr>
                  </w:pPr>
                </w:p>
              </w:tc>
              <w:tc>
                <w:tcPr>
                  <w:tcW w:w="1158" w:type="dxa"/>
                  <w:vMerge w:val="continue"/>
                  <w:tcBorders>
                    <w:top w:val="nil"/>
                    <w:right w:val="single" w:color="000000" w:sz="6" w:space="0"/>
                  </w:tcBorders>
                  <w:vAlign w:val="top"/>
                </w:tcPr>
                <w:p w14:paraId="5A8E660E">
                  <w:pPr>
                    <w:rPr>
                      <w:rFonts w:ascii="Arial"/>
                      <w:sz w:val="21"/>
                    </w:rPr>
                  </w:pPr>
                </w:p>
              </w:tc>
            </w:tr>
            <w:tr w14:paraId="58D4C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tcBorders>
                    <w:left w:val="single" w:color="000000" w:sz="6" w:space="0"/>
                  </w:tcBorders>
                  <w:vAlign w:val="top"/>
                </w:tcPr>
                <w:p w14:paraId="245F1FB2">
                  <w:pPr>
                    <w:pStyle w:val="6"/>
                    <w:spacing w:before="54" w:line="228" w:lineRule="auto"/>
                    <w:ind w:left="225"/>
                    <w:rPr>
                      <w:rFonts w:ascii="Times New Roman" w:hAnsi="Times New Roman" w:eastAsia="Times New Roman" w:cs="Times New Roman"/>
                      <w:sz w:val="20"/>
                      <w:szCs w:val="20"/>
                    </w:rPr>
                  </w:pPr>
                  <w:r>
                    <w:rPr>
                      <w:spacing w:val="-2"/>
                      <w:sz w:val="20"/>
                      <w:szCs w:val="20"/>
                    </w:rPr>
                    <w:t>区块</w:t>
                  </w:r>
                  <w:r>
                    <w:rPr>
                      <w:spacing w:val="-37"/>
                      <w:sz w:val="20"/>
                      <w:szCs w:val="20"/>
                    </w:rPr>
                    <w:t xml:space="preserve"> </w:t>
                  </w:r>
                  <w:r>
                    <w:rPr>
                      <w:rFonts w:ascii="Times New Roman" w:hAnsi="Times New Roman" w:eastAsia="Times New Roman" w:cs="Times New Roman"/>
                      <w:spacing w:val="-2"/>
                      <w:sz w:val="20"/>
                      <w:szCs w:val="20"/>
                    </w:rPr>
                    <w:t>9</w:t>
                  </w:r>
                </w:p>
              </w:tc>
              <w:tc>
                <w:tcPr>
                  <w:tcW w:w="1052" w:type="dxa"/>
                  <w:vAlign w:val="top"/>
                </w:tcPr>
                <w:p w14:paraId="4B15F28D">
                  <w:pPr>
                    <w:spacing w:before="92"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168</w:t>
                  </w:r>
                </w:p>
              </w:tc>
              <w:tc>
                <w:tcPr>
                  <w:tcW w:w="1192" w:type="dxa"/>
                  <w:vAlign w:val="top"/>
                </w:tcPr>
                <w:p w14:paraId="203A198E">
                  <w:pPr>
                    <w:spacing w:before="9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2540.16</w:t>
                  </w:r>
                </w:p>
              </w:tc>
              <w:tc>
                <w:tcPr>
                  <w:tcW w:w="953" w:type="dxa"/>
                  <w:vAlign w:val="top"/>
                </w:tcPr>
                <w:p w14:paraId="03A99E42">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T11</w:t>
                  </w:r>
                </w:p>
              </w:tc>
              <w:tc>
                <w:tcPr>
                  <w:tcW w:w="1053" w:type="dxa"/>
                  <w:vAlign w:val="top"/>
                </w:tcPr>
                <w:p w14:paraId="12AD85D9">
                  <w:pPr>
                    <w:spacing w:before="9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restart"/>
                  <w:tcBorders>
                    <w:bottom w:val="nil"/>
                  </w:tcBorders>
                  <w:vAlign w:val="top"/>
                </w:tcPr>
                <w:p w14:paraId="6271CB0B">
                  <w:pPr>
                    <w:spacing w:line="247" w:lineRule="auto"/>
                    <w:rPr>
                      <w:rFonts w:ascii="Arial"/>
                      <w:sz w:val="21"/>
                    </w:rPr>
                  </w:pPr>
                </w:p>
                <w:p w14:paraId="5ED0018B">
                  <w:pPr>
                    <w:spacing w:line="247" w:lineRule="auto"/>
                    <w:rPr>
                      <w:rFonts w:ascii="Arial"/>
                      <w:sz w:val="21"/>
                    </w:rPr>
                  </w:pPr>
                </w:p>
                <w:p w14:paraId="2AEF6713">
                  <w:pPr>
                    <w:spacing w:line="248" w:lineRule="auto"/>
                    <w:rPr>
                      <w:rFonts w:ascii="Arial"/>
                      <w:sz w:val="21"/>
                    </w:rPr>
                  </w:pPr>
                </w:p>
                <w:p w14:paraId="61DE5E66">
                  <w:pPr>
                    <w:spacing w:line="248" w:lineRule="auto"/>
                    <w:rPr>
                      <w:rFonts w:ascii="Arial"/>
                      <w:sz w:val="21"/>
                    </w:rPr>
                  </w:pPr>
                </w:p>
                <w:p w14:paraId="55881E58">
                  <w:pPr>
                    <w:spacing w:line="248" w:lineRule="auto"/>
                    <w:rPr>
                      <w:rFonts w:ascii="Arial"/>
                      <w:sz w:val="21"/>
                    </w:rPr>
                  </w:pPr>
                </w:p>
                <w:p w14:paraId="3EFA15B7">
                  <w:pPr>
                    <w:spacing w:line="248" w:lineRule="auto"/>
                    <w:rPr>
                      <w:rFonts w:ascii="Arial"/>
                      <w:sz w:val="21"/>
                    </w:rPr>
                  </w:pPr>
                </w:p>
                <w:p w14:paraId="6E406840">
                  <w:pPr>
                    <w:spacing w:line="248" w:lineRule="auto"/>
                    <w:rPr>
                      <w:rFonts w:ascii="Arial"/>
                      <w:sz w:val="21"/>
                    </w:rPr>
                  </w:pPr>
                </w:p>
                <w:p w14:paraId="358BE028">
                  <w:pPr>
                    <w:pStyle w:val="6"/>
                    <w:spacing w:before="58" w:line="243" w:lineRule="auto"/>
                    <w:ind w:left="119" w:right="108" w:hanging="2"/>
                    <w:jc w:val="both"/>
                    <w:rPr>
                      <w:sz w:val="20"/>
                      <w:szCs w:val="20"/>
                    </w:rPr>
                  </w:pP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 xml:space="preserve">kV </w:t>
                  </w:r>
                  <w:r>
                    <w:rPr>
                      <w:spacing w:val="15"/>
                      <w:sz w:val="20"/>
                      <w:szCs w:val="20"/>
                    </w:rPr>
                    <w:t>集电</w:t>
                  </w:r>
                  <w:r>
                    <w:rPr>
                      <w:sz w:val="20"/>
                      <w:szCs w:val="20"/>
                    </w:rPr>
                    <w:t xml:space="preserve"> </w:t>
                  </w:r>
                  <w:r>
                    <w:rPr>
                      <w:spacing w:val="3"/>
                      <w:sz w:val="20"/>
                      <w:szCs w:val="20"/>
                    </w:rPr>
                    <w:t>线路</w:t>
                  </w:r>
                  <w:r>
                    <w:rPr>
                      <w:sz w:val="20"/>
                      <w:szCs w:val="20"/>
                    </w:rPr>
                    <w:t xml:space="preserve"> </w:t>
                  </w:r>
                  <w:r>
                    <w:rPr>
                      <w:rFonts w:ascii="Times New Roman" w:hAnsi="Times New Roman" w:eastAsia="Times New Roman" w:cs="Times New Roman"/>
                      <w:spacing w:val="14"/>
                      <w:sz w:val="20"/>
                      <w:szCs w:val="20"/>
                    </w:rPr>
                    <w:t>B</w:t>
                  </w:r>
                  <w:r>
                    <w:rPr>
                      <w:rFonts w:ascii="Times New Roman" w:hAnsi="Times New Roman" w:eastAsia="Times New Roman" w:cs="Times New Roman"/>
                      <w:spacing w:val="31"/>
                      <w:sz w:val="20"/>
                      <w:szCs w:val="20"/>
                    </w:rPr>
                    <w:t xml:space="preserve"> </w:t>
                  </w:r>
                  <w:r>
                    <w:rPr>
                      <w:spacing w:val="14"/>
                      <w:sz w:val="20"/>
                      <w:szCs w:val="20"/>
                    </w:rPr>
                    <w:t>回</w:t>
                  </w:r>
                </w:p>
              </w:tc>
              <w:tc>
                <w:tcPr>
                  <w:tcW w:w="915" w:type="dxa"/>
                  <w:vMerge w:val="restart"/>
                  <w:tcBorders>
                    <w:bottom w:val="nil"/>
                  </w:tcBorders>
                  <w:vAlign w:val="top"/>
                </w:tcPr>
                <w:p w14:paraId="6BBF4F4C">
                  <w:pPr>
                    <w:spacing w:line="268" w:lineRule="auto"/>
                    <w:rPr>
                      <w:rFonts w:ascii="Arial"/>
                      <w:sz w:val="21"/>
                    </w:rPr>
                  </w:pPr>
                </w:p>
                <w:p w14:paraId="1FCF3CBF">
                  <w:pPr>
                    <w:spacing w:line="268" w:lineRule="auto"/>
                    <w:rPr>
                      <w:rFonts w:ascii="Arial"/>
                      <w:sz w:val="21"/>
                    </w:rPr>
                  </w:pPr>
                </w:p>
                <w:p w14:paraId="1FA1C005">
                  <w:pPr>
                    <w:spacing w:line="268" w:lineRule="auto"/>
                    <w:rPr>
                      <w:rFonts w:ascii="Arial"/>
                      <w:sz w:val="21"/>
                    </w:rPr>
                  </w:pPr>
                </w:p>
                <w:p w14:paraId="3601E45D">
                  <w:pPr>
                    <w:spacing w:line="268" w:lineRule="auto"/>
                    <w:rPr>
                      <w:rFonts w:ascii="Arial"/>
                      <w:sz w:val="21"/>
                    </w:rPr>
                  </w:pPr>
                </w:p>
                <w:p w14:paraId="2BD4EF2A">
                  <w:pPr>
                    <w:spacing w:line="268" w:lineRule="auto"/>
                    <w:rPr>
                      <w:rFonts w:ascii="Arial"/>
                      <w:sz w:val="21"/>
                    </w:rPr>
                  </w:pPr>
                </w:p>
                <w:p w14:paraId="6F2FF87E">
                  <w:pPr>
                    <w:spacing w:line="268" w:lineRule="auto"/>
                    <w:rPr>
                      <w:rFonts w:ascii="Arial"/>
                      <w:sz w:val="21"/>
                    </w:rPr>
                  </w:pPr>
                </w:p>
                <w:p w14:paraId="575E0713">
                  <w:pPr>
                    <w:spacing w:line="269" w:lineRule="auto"/>
                    <w:rPr>
                      <w:rFonts w:ascii="Arial"/>
                      <w:sz w:val="21"/>
                    </w:rPr>
                  </w:pPr>
                </w:p>
                <w:p w14:paraId="643BCA78">
                  <w:pPr>
                    <w:spacing w:line="269" w:lineRule="auto"/>
                    <w:rPr>
                      <w:rFonts w:ascii="Arial"/>
                      <w:sz w:val="21"/>
                    </w:rPr>
                  </w:pPr>
                </w:p>
                <w:p w14:paraId="3FFDBB6B">
                  <w:pPr>
                    <w:spacing w:before="5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27000</w:t>
                  </w:r>
                </w:p>
              </w:tc>
              <w:tc>
                <w:tcPr>
                  <w:tcW w:w="1158" w:type="dxa"/>
                  <w:vMerge w:val="restart"/>
                  <w:tcBorders>
                    <w:bottom w:val="nil"/>
                    <w:right w:val="single" w:color="000000" w:sz="6" w:space="0"/>
                  </w:tcBorders>
                  <w:vAlign w:val="top"/>
                </w:tcPr>
                <w:p w14:paraId="0E1D894D">
                  <w:pPr>
                    <w:spacing w:line="268" w:lineRule="auto"/>
                    <w:rPr>
                      <w:rFonts w:ascii="Arial"/>
                      <w:sz w:val="21"/>
                    </w:rPr>
                  </w:pPr>
                </w:p>
                <w:p w14:paraId="3FD68B4F">
                  <w:pPr>
                    <w:spacing w:line="268" w:lineRule="auto"/>
                    <w:rPr>
                      <w:rFonts w:ascii="Arial"/>
                      <w:sz w:val="21"/>
                    </w:rPr>
                  </w:pPr>
                </w:p>
                <w:p w14:paraId="5A2F7DE1">
                  <w:pPr>
                    <w:spacing w:line="268" w:lineRule="auto"/>
                    <w:rPr>
                      <w:rFonts w:ascii="Arial"/>
                      <w:sz w:val="21"/>
                    </w:rPr>
                  </w:pPr>
                </w:p>
                <w:p w14:paraId="04F2DE01">
                  <w:pPr>
                    <w:spacing w:line="268" w:lineRule="auto"/>
                    <w:rPr>
                      <w:rFonts w:ascii="Arial"/>
                      <w:sz w:val="21"/>
                    </w:rPr>
                  </w:pPr>
                </w:p>
                <w:p w14:paraId="369B6040">
                  <w:pPr>
                    <w:spacing w:line="268" w:lineRule="auto"/>
                    <w:rPr>
                      <w:rFonts w:ascii="Arial"/>
                      <w:sz w:val="21"/>
                    </w:rPr>
                  </w:pPr>
                </w:p>
                <w:p w14:paraId="3EA2663E">
                  <w:pPr>
                    <w:spacing w:line="268" w:lineRule="auto"/>
                    <w:rPr>
                      <w:rFonts w:ascii="Arial"/>
                      <w:sz w:val="21"/>
                    </w:rPr>
                  </w:pPr>
                </w:p>
                <w:p w14:paraId="1E148719">
                  <w:pPr>
                    <w:spacing w:line="269" w:lineRule="auto"/>
                    <w:rPr>
                      <w:rFonts w:ascii="Arial"/>
                      <w:sz w:val="21"/>
                    </w:rPr>
                  </w:pPr>
                </w:p>
                <w:p w14:paraId="66CAB2AE">
                  <w:pPr>
                    <w:spacing w:line="269" w:lineRule="auto"/>
                    <w:rPr>
                      <w:rFonts w:ascii="Arial"/>
                      <w:sz w:val="21"/>
                    </w:rPr>
                  </w:pPr>
                </w:p>
                <w:p w14:paraId="5247CE6C">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31494.96</w:t>
                  </w:r>
                </w:p>
              </w:tc>
            </w:tr>
            <w:tr w14:paraId="63C60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restart"/>
                  <w:tcBorders>
                    <w:left w:val="single" w:color="000000" w:sz="6" w:space="0"/>
                    <w:bottom w:val="nil"/>
                  </w:tcBorders>
                  <w:vAlign w:val="top"/>
                </w:tcPr>
                <w:p w14:paraId="6F28C161">
                  <w:pPr>
                    <w:pStyle w:val="6"/>
                    <w:spacing w:before="221" w:line="228" w:lineRule="auto"/>
                    <w:ind w:left="172"/>
                    <w:rPr>
                      <w:rFonts w:ascii="Times New Roman" w:hAnsi="Times New Roman" w:eastAsia="Times New Roman" w:cs="Times New Roman"/>
                      <w:sz w:val="20"/>
                      <w:szCs w:val="20"/>
                    </w:rPr>
                  </w:pPr>
                  <w:r>
                    <w:rPr>
                      <w:spacing w:val="-6"/>
                      <w:sz w:val="20"/>
                      <w:szCs w:val="20"/>
                    </w:rPr>
                    <w:t>区块</w:t>
                  </w:r>
                  <w:r>
                    <w:rPr>
                      <w:spacing w:val="-18"/>
                      <w:sz w:val="20"/>
                      <w:szCs w:val="20"/>
                    </w:rPr>
                    <w:t xml:space="preserve"> </w:t>
                  </w:r>
                  <w:r>
                    <w:rPr>
                      <w:rFonts w:ascii="Times New Roman" w:hAnsi="Times New Roman" w:eastAsia="Times New Roman" w:cs="Times New Roman"/>
                      <w:spacing w:val="-6"/>
                      <w:sz w:val="20"/>
                      <w:szCs w:val="20"/>
                    </w:rPr>
                    <w:t>13</w:t>
                  </w:r>
                </w:p>
              </w:tc>
              <w:tc>
                <w:tcPr>
                  <w:tcW w:w="1052" w:type="dxa"/>
                  <w:vAlign w:val="top"/>
                </w:tcPr>
                <w:p w14:paraId="2B8C398D">
                  <w:pPr>
                    <w:spacing w:before="91"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165</w:t>
                  </w:r>
                </w:p>
              </w:tc>
              <w:tc>
                <w:tcPr>
                  <w:tcW w:w="1192" w:type="dxa"/>
                  <w:vAlign w:val="top"/>
                </w:tcPr>
                <w:p w14:paraId="6831A586">
                  <w:pPr>
                    <w:spacing w:before="91"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2494.8</w:t>
                  </w:r>
                </w:p>
              </w:tc>
              <w:tc>
                <w:tcPr>
                  <w:tcW w:w="953" w:type="dxa"/>
                  <w:vAlign w:val="top"/>
                </w:tcPr>
                <w:p w14:paraId="1FA0D275">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T12</w:t>
                  </w:r>
                </w:p>
              </w:tc>
              <w:tc>
                <w:tcPr>
                  <w:tcW w:w="1053" w:type="dxa"/>
                  <w:vAlign w:val="top"/>
                </w:tcPr>
                <w:p w14:paraId="3E0D0466">
                  <w:pPr>
                    <w:spacing w:before="9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continue"/>
                  <w:tcBorders>
                    <w:top w:val="nil"/>
                    <w:bottom w:val="nil"/>
                  </w:tcBorders>
                  <w:vAlign w:val="top"/>
                </w:tcPr>
                <w:p w14:paraId="5AD2AE7C">
                  <w:pPr>
                    <w:rPr>
                      <w:rFonts w:ascii="Arial"/>
                      <w:sz w:val="21"/>
                    </w:rPr>
                  </w:pPr>
                </w:p>
              </w:tc>
              <w:tc>
                <w:tcPr>
                  <w:tcW w:w="915" w:type="dxa"/>
                  <w:vMerge w:val="continue"/>
                  <w:tcBorders>
                    <w:top w:val="nil"/>
                    <w:bottom w:val="nil"/>
                  </w:tcBorders>
                  <w:vAlign w:val="top"/>
                </w:tcPr>
                <w:p w14:paraId="605B0E8D">
                  <w:pPr>
                    <w:rPr>
                      <w:rFonts w:ascii="Arial"/>
                      <w:sz w:val="21"/>
                    </w:rPr>
                  </w:pPr>
                </w:p>
              </w:tc>
              <w:tc>
                <w:tcPr>
                  <w:tcW w:w="1158" w:type="dxa"/>
                  <w:vMerge w:val="continue"/>
                  <w:tcBorders>
                    <w:top w:val="nil"/>
                    <w:bottom w:val="nil"/>
                    <w:right w:val="single" w:color="000000" w:sz="6" w:space="0"/>
                  </w:tcBorders>
                  <w:vAlign w:val="top"/>
                </w:tcPr>
                <w:p w14:paraId="2DD49F51">
                  <w:pPr>
                    <w:rPr>
                      <w:rFonts w:ascii="Arial"/>
                      <w:sz w:val="21"/>
                    </w:rPr>
                  </w:pPr>
                </w:p>
              </w:tc>
            </w:tr>
            <w:tr w14:paraId="030C8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tcBorders>
                  <w:vAlign w:val="top"/>
                </w:tcPr>
                <w:p w14:paraId="2A1524DD">
                  <w:pPr>
                    <w:rPr>
                      <w:rFonts w:ascii="Arial"/>
                      <w:sz w:val="21"/>
                    </w:rPr>
                  </w:pPr>
                </w:p>
              </w:tc>
              <w:tc>
                <w:tcPr>
                  <w:tcW w:w="1052" w:type="dxa"/>
                  <w:vAlign w:val="top"/>
                </w:tcPr>
                <w:p w14:paraId="453AC707">
                  <w:pPr>
                    <w:spacing w:before="95" w:line="192"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192" w:type="dxa"/>
                  <w:vAlign w:val="top"/>
                </w:tcPr>
                <w:p w14:paraId="6A3610B4">
                  <w:pPr>
                    <w:spacing w:before="9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1134</w:t>
                  </w:r>
                </w:p>
              </w:tc>
              <w:tc>
                <w:tcPr>
                  <w:tcW w:w="953" w:type="dxa"/>
                  <w:vAlign w:val="top"/>
                </w:tcPr>
                <w:p w14:paraId="1BC385CF">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T13</w:t>
                  </w:r>
                </w:p>
              </w:tc>
              <w:tc>
                <w:tcPr>
                  <w:tcW w:w="1053" w:type="dxa"/>
                  <w:vAlign w:val="top"/>
                </w:tcPr>
                <w:p w14:paraId="5AD09FCA">
                  <w:pPr>
                    <w:spacing w:before="9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687" w:type="dxa"/>
                  <w:vMerge w:val="continue"/>
                  <w:tcBorders>
                    <w:top w:val="nil"/>
                    <w:bottom w:val="nil"/>
                  </w:tcBorders>
                  <w:vAlign w:val="top"/>
                </w:tcPr>
                <w:p w14:paraId="60D1879F">
                  <w:pPr>
                    <w:rPr>
                      <w:rFonts w:ascii="Arial"/>
                      <w:sz w:val="21"/>
                    </w:rPr>
                  </w:pPr>
                </w:p>
              </w:tc>
              <w:tc>
                <w:tcPr>
                  <w:tcW w:w="915" w:type="dxa"/>
                  <w:vMerge w:val="continue"/>
                  <w:tcBorders>
                    <w:top w:val="nil"/>
                    <w:bottom w:val="nil"/>
                  </w:tcBorders>
                  <w:vAlign w:val="top"/>
                </w:tcPr>
                <w:p w14:paraId="315B6DB4">
                  <w:pPr>
                    <w:rPr>
                      <w:rFonts w:ascii="Arial"/>
                      <w:sz w:val="21"/>
                    </w:rPr>
                  </w:pPr>
                </w:p>
              </w:tc>
              <w:tc>
                <w:tcPr>
                  <w:tcW w:w="1158" w:type="dxa"/>
                  <w:vMerge w:val="continue"/>
                  <w:tcBorders>
                    <w:top w:val="nil"/>
                    <w:bottom w:val="nil"/>
                    <w:right w:val="single" w:color="000000" w:sz="6" w:space="0"/>
                  </w:tcBorders>
                  <w:vAlign w:val="top"/>
                </w:tcPr>
                <w:p w14:paraId="6EC8F4E7">
                  <w:pPr>
                    <w:rPr>
                      <w:rFonts w:ascii="Arial"/>
                      <w:sz w:val="21"/>
                    </w:rPr>
                  </w:pPr>
                </w:p>
              </w:tc>
            </w:tr>
            <w:tr w14:paraId="5C3B1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tcBorders>
                    <w:left w:val="single" w:color="000000" w:sz="6" w:space="0"/>
                  </w:tcBorders>
                  <w:vAlign w:val="top"/>
                </w:tcPr>
                <w:p w14:paraId="6B4EACBF">
                  <w:pPr>
                    <w:pStyle w:val="6"/>
                    <w:spacing w:before="56" w:line="228" w:lineRule="auto"/>
                    <w:ind w:left="172"/>
                    <w:rPr>
                      <w:rFonts w:ascii="Times New Roman" w:hAnsi="Times New Roman" w:eastAsia="Times New Roman" w:cs="Times New Roman"/>
                      <w:sz w:val="20"/>
                      <w:szCs w:val="20"/>
                    </w:rPr>
                  </w:pPr>
                  <w:r>
                    <w:rPr>
                      <w:spacing w:val="-6"/>
                      <w:sz w:val="20"/>
                      <w:szCs w:val="20"/>
                    </w:rPr>
                    <w:t>区块</w:t>
                  </w:r>
                  <w:r>
                    <w:rPr>
                      <w:spacing w:val="-18"/>
                      <w:sz w:val="20"/>
                      <w:szCs w:val="20"/>
                    </w:rPr>
                    <w:t xml:space="preserve"> </w:t>
                  </w:r>
                  <w:r>
                    <w:rPr>
                      <w:rFonts w:ascii="Times New Roman" w:hAnsi="Times New Roman" w:eastAsia="Times New Roman" w:cs="Times New Roman"/>
                      <w:spacing w:val="-6"/>
                      <w:sz w:val="20"/>
                      <w:szCs w:val="20"/>
                    </w:rPr>
                    <w:t>14</w:t>
                  </w:r>
                </w:p>
              </w:tc>
              <w:tc>
                <w:tcPr>
                  <w:tcW w:w="1052" w:type="dxa"/>
                  <w:vAlign w:val="top"/>
                </w:tcPr>
                <w:p w14:paraId="28EF2834">
                  <w:pPr>
                    <w:spacing w:before="91"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1192" w:type="dxa"/>
                  <w:vAlign w:val="top"/>
                </w:tcPr>
                <w:p w14:paraId="0075DC09">
                  <w:pPr>
                    <w:spacing w:before="9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2283.</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12</w:t>
                  </w:r>
                </w:p>
              </w:tc>
              <w:tc>
                <w:tcPr>
                  <w:tcW w:w="953" w:type="dxa"/>
                  <w:vAlign w:val="top"/>
                </w:tcPr>
                <w:p w14:paraId="309FDAB8">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T08</w:t>
                  </w:r>
                </w:p>
              </w:tc>
              <w:tc>
                <w:tcPr>
                  <w:tcW w:w="1053" w:type="dxa"/>
                  <w:vAlign w:val="top"/>
                </w:tcPr>
                <w:p w14:paraId="02CD81FB">
                  <w:pPr>
                    <w:spacing w:before="9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continue"/>
                  <w:tcBorders>
                    <w:top w:val="nil"/>
                    <w:bottom w:val="nil"/>
                  </w:tcBorders>
                  <w:vAlign w:val="top"/>
                </w:tcPr>
                <w:p w14:paraId="47B6133B">
                  <w:pPr>
                    <w:rPr>
                      <w:rFonts w:ascii="Arial"/>
                      <w:sz w:val="21"/>
                    </w:rPr>
                  </w:pPr>
                </w:p>
              </w:tc>
              <w:tc>
                <w:tcPr>
                  <w:tcW w:w="915" w:type="dxa"/>
                  <w:vMerge w:val="continue"/>
                  <w:tcBorders>
                    <w:top w:val="nil"/>
                    <w:bottom w:val="nil"/>
                  </w:tcBorders>
                  <w:vAlign w:val="top"/>
                </w:tcPr>
                <w:p w14:paraId="3137924E">
                  <w:pPr>
                    <w:rPr>
                      <w:rFonts w:ascii="Arial"/>
                      <w:sz w:val="21"/>
                    </w:rPr>
                  </w:pPr>
                </w:p>
              </w:tc>
              <w:tc>
                <w:tcPr>
                  <w:tcW w:w="1158" w:type="dxa"/>
                  <w:vMerge w:val="continue"/>
                  <w:tcBorders>
                    <w:top w:val="nil"/>
                    <w:bottom w:val="nil"/>
                    <w:right w:val="single" w:color="000000" w:sz="6" w:space="0"/>
                  </w:tcBorders>
                  <w:vAlign w:val="top"/>
                </w:tcPr>
                <w:p w14:paraId="31C8B9F1">
                  <w:pPr>
                    <w:rPr>
                      <w:rFonts w:ascii="Arial"/>
                      <w:sz w:val="21"/>
                    </w:rPr>
                  </w:pPr>
                </w:p>
              </w:tc>
            </w:tr>
            <w:tr w14:paraId="69B52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tcBorders>
                    <w:left w:val="single" w:color="000000" w:sz="6" w:space="0"/>
                  </w:tcBorders>
                  <w:vAlign w:val="top"/>
                </w:tcPr>
                <w:p w14:paraId="3FE57AEB">
                  <w:pPr>
                    <w:pStyle w:val="6"/>
                    <w:spacing w:before="54" w:line="228" w:lineRule="auto"/>
                    <w:ind w:left="225"/>
                    <w:rPr>
                      <w:rFonts w:ascii="Times New Roman" w:hAnsi="Times New Roman" w:eastAsia="Times New Roman" w:cs="Times New Roman"/>
                      <w:sz w:val="20"/>
                      <w:szCs w:val="20"/>
                    </w:rPr>
                  </w:pPr>
                  <w:r>
                    <w:rPr>
                      <w:spacing w:val="-2"/>
                      <w:sz w:val="20"/>
                      <w:szCs w:val="20"/>
                    </w:rPr>
                    <w:t>区块</w:t>
                  </w:r>
                  <w:r>
                    <w:rPr>
                      <w:spacing w:val="-42"/>
                      <w:sz w:val="20"/>
                      <w:szCs w:val="20"/>
                    </w:rPr>
                    <w:t xml:space="preserve"> </w:t>
                  </w:r>
                  <w:r>
                    <w:rPr>
                      <w:rFonts w:ascii="Times New Roman" w:hAnsi="Times New Roman" w:eastAsia="Times New Roman" w:cs="Times New Roman"/>
                      <w:spacing w:val="-2"/>
                      <w:sz w:val="20"/>
                      <w:szCs w:val="20"/>
                    </w:rPr>
                    <w:t>4</w:t>
                  </w:r>
                </w:p>
              </w:tc>
              <w:tc>
                <w:tcPr>
                  <w:tcW w:w="1052" w:type="dxa"/>
                  <w:vAlign w:val="top"/>
                </w:tcPr>
                <w:p w14:paraId="1546B73B">
                  <w:pPr>
                    <w:spacing w:before="92"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176</w:t>
                  </w:r>
                </w:p>
              </w:tc>
              <w:tc>
                <w:tcPr>
                  <w:tcW w:w="1192" w:type="dxa"/>
                  <w:vAlign w:val="top"/>
                </w:tcPr>
                <w:p w14:paraId="32829D38">
                  <w:pPr>
                    <w:spacing w:before="9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2661.</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12</w:t>
                  </w:r>
                </w:p>
              </w:tc>
              <w:tc>
                <w:tcPr>
                  <w:tcW w:w="953" w:type="dxa"/>
                  <w:vAlign w:val="top"/>
                </w:tcPr>
                <w:p w14:paraId="557B3F04">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T14</w:t>
                  </w:r>
                </w:p>
              </w:tc>
              <w:tc>
                <w:tcPr>
                  <w:tcW w:w="1053" w:type="dxa"/>
                  <w:vAlign w:val="top"/>
                </w:tcPr>
                <w:p w14:paraId="788AC824">
                  <w:pPr>
                    <w:spacing w:before="9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continue"/>
                  <w:tcBorders>
                    <w:top w:val="nil"/>
                    <w:bottom w:val="nil"/>
                  </w:tcBorders>
                  <w:vAlign w:val="top"/>
                </w:tcPr>
                <w:p w14:paraId="704A779B">
                  <w:pPr>
                    <w:rPr>
                      <w:rFonts w:ascii="Arial"/>
                      <w:sz w:val="21"/>
                    </w:rPr>
                  </w:pPr>
                </w:p>
              </w:tc>
              <w:tc>
                <w:tcPr>
                  <w:tcW w:w="915" w:type="dxa"/>
                  <w:vMerge w:val="continue"/>
                  <w:tcBorders>
                    <w:top w:val="nil"/>
                    <w:bottom w:val="nil"/>
                  </w:tcBorders>
                  <w:vAlign w:val="top"/>
                </w:tcPr>
                <w:p w14:paraId="3F5E1300">
                  <w:pPr>
                    <w:rPr>
                      <w:rFonts w:ascii="Arial"/>
                      <w:sz w:val="21"/>
                    </w:rPr>
                  </w:pPr>
                </w:p>
              </w:tc>
              <w:tc>
                <w:tcPr>
                  <w:tcW w:w="1158" w:type="dxa"/>
                  <w:vMerge w:val="continue"/>
                  <w:tcBorders>
                    <w:top w:val="nil"/>
                    <w:bottom w:val="nil"/>
                    <w:right w:val="single" w:color="000000" w:sz="6" w:space="0"/>
                  </w:tcBorders>
                  <w:vAlign w:val="top"/>
                </w:tcPr>
                <w:p w14:paraId="6349428D">
                  <w:pPr>
                    <w:rPr>
                      <w:rFonts w:ascii="Arial"/>
                      <w:sz w:val="21"/>
                    </w:rPr>
                  </w:pPr>
                </w:p>
              </w:tc>
            </w:tr>
            <w:tr w14:paraId="3640E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restart"/>
                  <w:tcBorders>
                    <w:left w:val="single" w:color="000000" w:sz="6" w:space="0"/>
                    <w:bottom w:val="nil"/>
                  </w:tcBorders>
                  <w:vAlign w:val="top"/>
                </w:tcPr>
                <w:p w14:paraId="3A2FC490">
                  <w:pPr>
                    <w:pStyle w:val="6"/>
                    <w:spacing w:before="221" w:line="228" w:lineRule="auto"/>
                    <w:ind w:left="225"/>
                    <w:rPr>
                      <w:rFonts w:ascii="Times New Roman" w:hAnsi="Times New Roman" w:eastAsia="Times New Roman" w:cs="Times New Roman"/>
                      <w:sz w:val="20"/>
                      <w:szCs w:val="20"/>
                    </w:rPr>
                  </w:pPr>
                  <w:r>
                    <w:rPr>
                      <w:spacing w:val="-2"/>
                      <w:sz w:val="20"/>
                      <w:szCs w:val="20"/>
                    </w:rPr>
                    <w:t>区块</w:t>
                  </w:r>
                  <w:r>
                    <w:rPr>
                      <w:spacing w:val="-35"/>
                      <w:sz w:val="20"/>
                      <w:szCs w:val="20"/>
                    </w:rPr>
                    <w:t xml:space="preserve"> </w:t>
                  </w:r>
                  <w:r>
                    <w:rPr>
                      <w:rFonts w:ascii="Times New Roman" w:hAnsi="Times New Roman" w:eastAsia="Times New Roman" w:cs="Times New Roman"/>
                      <w:spacing w:val="-2"/>
                      <w:sz w:val="20"/>
                      <w:szCs w:val="20"/>
                    </w:rPr>
                    <w:t>5</w:t>
                  </w:r>
                </w:p>
              </w:tc>
              <w:tc>
                <w:tcPr>
                  <w:tcW w:w="1052" w:type="dxa"/>
                  <w:vAlign w:val="top"/>
                </w:tcPr>
                <w:p w14:paraId="223D11AF">
                  <w:pPr>
                    <w:spacing w:before="91"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w:t>
                  </w:r>
                </w:p>
              </w:tc>
              <w:tc>
                <w:tcPr>
                  <w:tcW w:w="1192" w:type="dxa"/>
                  <w:vAlign w:val="top"/>
                </w:tcPr>
                <w:p w14:paraId="08A517CC">
                  <w:pPr>
                    <w:spacing w:before="9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2101.68</w:t>
                  </w:r>
                </w:p>
              </w:tc>
              <w:tc>
                <w:tcPr>
                  <w:tcW w:w="953" w:type="dxa"/>
                  <w:vAlign w:val="top"/>
                </w:tcPr>
                <w:p w14:paraId="4A315A4A">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T15</w:t>
                  </w:r>
                </w:p>
              </w:tc>
              <w:tc>
                <w:tcPr>
                  <w:tcW w:w="1053" w:type="dxa"/>
                  <w:vAlign w:val="top"/>
                </w:tcPr>
                <w:p w14:paraId="25E084C9">
                  <w:pPr>
                    <w:spacing w:before="9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continue"/>
                  <w:tcBorders>
                    <w:top w:val="nil"/>
                    <w:bottom w:val="nil"/>
                  </w:tcBorders>
                  <w:vAlign w:val="top"/>
                </w:tcPr>
                <w:p w14:paraId="4C7443EF">
                  <w:pPr>
                    <w:rPr>
                      <w:rFonts w:ascii="Arial"/>
                      <w:sz w:val="21"/>
                    </w:rPr>
                  </w:pPr>
                </w:p>
              </w:tc>
              <w:tc>
                <w:tcPr>
                  <w:tcW w:w="915" w:type="dxa"/>
                  <w:vMerge w:val="continue"/>
                  <w:tcBorders>
                    <w:top w:val="nil"/>
                    <w:bottom w:val="nil"/>
                  </w:tcBorders>
                  <w:vAlign w:val="top"/>
                </w:tcPr>
                <w:p w14:paraId="17B9A53C">
                  <w:pPr>
                    <w:rPr>
                      <w:rFonts w:ascii="Arial"/>
                      <w:sz w:val="21"/>
                    </w:rPr>
                  </w:pPr>
                </w:p>
              </w:tc>
              <w:tc>
                <w:tcPr>
                  <w:tcW w:w="1158" w:type="dxa"/>
                  <w:vMerge w:val="continue"/>
                  <w:tcBorders>
                    <w:top w:val="nil"/>
                    <w:bottom w:val="nil"/>
                    <w:right w:val="single" w:color="000000" w:sz="6" w:space="0"/>
                  </w:tcBorders>
                  <w:vAlign w:val="top"/>
                </w:tcPr>
                <w:p w14:paraId="55A52071">
                  <w:pPr>
                    <w:rPr>
                      <w:rFonts w:ascii="Arial"/>
                      <w:sz w:val="21"/>
                    </w:rPr>
                  </w:pPr>
                </w:p>
              </w:tc>
            </w:tr>
            <w:tr w14:paraId="4D50A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tcBorders>
                  <w:vAlign w:val="top"/>
                </w:tcPr>
                <w:p w14:paraId="6AEBE423">
                  <w:pPr>
                    <w:rPr>
                      <w:rFonts w:ascii="Arial"/>
                      <w:sz w:val="21"/>
                    </w:rPr>
                  </w:pPr>
                </w:p>
              </w:tc>
              <w:tc>
                <w:tcPr>
                  <w:tcW w:w="1052" w:type="dxa"/>
                  <w:vAlign w:val="top"/>
                </w:tcPr>
                <w:p w14:paraId="4AF975AB">
                  <w:pPr>
                    <w:spacing w:before="92" w:line="195"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192" w:type="dxa"/>
                  <w:vAlign w:val="top"/>
                </w:tcPr>
                <w:p w14:paraId="376146E1">
                  <w:pPr>
                    <w:spacing w:before="92"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1481.76</w:t>
                  </w:r>
                </w:p>
              </w:tc>
              <w:tc>
                <w:tcPr>
                  <w:tcW w:w="953" w:type="dxa"/>
                  <w:vAlign w:val="top"/>
                </w:tcPr>
                <w:p w14:paraId="022E50B5">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T05</w:t>
                  </w:r>
                </w:p>
              </w:tc>
              <w:tc>
                <w:tcPr>
                  <w:tcW w:w="1053" w:type="dxa"/>
                  <w:vAlign w:val="top"/>
                </w:tcPr>
                <w:p w14:paraId="2BB561F3">
                  <w:pPr>
                    <w:spacing w:before="9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687" w:type="dxa"/>
                  <w:vMerge w:val="continue"/>
                  <w:tcBorders>
                    <w:top w:val="nil"/>
                    <w:bottom w:val="nil"/>
                  </w:tcBorders>
                  <w:vAlign w:val="top"/>
                </w:tcPr>
                <w:p w14:paraId="5B0C5903">
                  <w:pPr>
                    <w:rPr>
                      <w:rFonts w:ascii="Arial"/>
                      <w:sz w:val="21"/>
                    </w:rPr>
                  </w:pPr>
                </w:p>
              </w:tc>
              <w:tc>
                <w:tcPr>
                  <w:tcW w:w="915" w:type="dxa"/>
                  <w:vMerge w:val="continue"/>
                  <w:tcBorders>
                    <w:top w:val="nil"/>
                    <w:bottom w:val="nil"/>
                  </w:tcBorders>
                  <w:vAlign w:val="top"/>
                </w:tcPr>
                <w:p w14:paraId="75403718">
                  <w:pPr>
                    <w:rPr>
                      <w:rFonts w:ascii="Arial"/>
                      <w:sz w:val="21"/>
                    </w:rPr>
                  </w:pPr>
                </w:p>
              </w:tc>
              <w:tc>
                <w:tcPr>
                  <w:tcW w:w="1158" w:type="dxa"/>
                  <w:vMerge w:val="continue"/>
                  <w:tcBorders>
                    <w:top w:val="nil"/>
                    <w:bottom w:val="nil"/>
                    <w:right w:val="single" w:color="000000" w:sz="6" w:space="0"/>
                  </w:tcBorders>
                  <w:vAlign w:val="top"/>
                </w:tcPr>
                <w:p w14:paraId="6167B599">
                  <w:pPr>
                    <w:rPr>
                      <w:rFonts w:ascii="Arial"/>
                      <w:sz w:val="21"/>
                    </w:rPr>
                  </w:pPr>
                </w:p>
              </w:tc>
            </w:tr>
            <w:tr w14:paraId="6C2F1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restart"/>
                  <w:tcBorders>
                    <w:left w:val="single" w:color="000000" w:sz="6" w:space="0"/>
                    <w:bottom w:val="nil"/>
                  </w:tcBorders>
                  <w:vAlign w:val="top"/>
                </w:tcPr>
                <w:p w14:paraId="6DF59ADD">
                  <w:pPr>
                    <w:spacing w:line="346" w:lineRule="auto"/>
                    <w:rPr>
                      <w:rFonts w:ascii="Arial"/>
                      <w:sz w:val="21"/>
                    </w:rPr>
                  </w:pPr>
                </w:p>
                <w:p w14:paraId="156A77A8">
                  <w:pPr>
                    <w:pStyle w:val="6"/>
                    <w:spacing w:before="65"/>
                    <w:ind w:left="121" w:right="68" w:firstLine="103"/>
                    <w:rPr>
                      <w:sz w:val="20"/>
                      <w:szCs w:val="20"/>
                    </w:rPr>
                  </w:pPr>
                  <w:r>
                    <w:rPr>
                      <w:spacing w:val="-5"/>
                      <w:sz w:val="20"/>
                      <w:szCs w:val="20"/>
                    </w:rPr>
                    <w:t>区块</w:t>
                  </w:r>
                  <w:r>
                    <w:rPr>
                      <w:spacing w:val="-33"/>
                      <w:sz w:val="20"/>
                      <w:szCs w:val="20"/>
                    </w:rPr>
                    <w:t xml:space="preserve"> </w:t>
                  </w:r>
                  <w:r>
                    <w:rPr>
                      <w:rFonts w:ascii="Times New Roman" w:hAnsi="Times New Roman" w:eastAsia="Times New Roman" w:cs="Times New Roman"/>
                      <w:spacing w:val="-5"/>
                      <w:sz w:val="20"/>
                      <w:szCs w:val="20"/>
                    </w:rPr>
                    <w:t>8</w:t>
                  </w:r>
                  <w:r>
                    <w:rPr>
                      <w:rFonts w:ascii="Times New Roman" w:hAnsi="Times New Roman" w:eastAsia="Times New Roman" w:cs="Times New Roman"/>
                      <w:sz w:val="20"/>
                      <w:szCs w:val="20"/>
                    </w:rPr>
                    <w:t xml:space="preserve">    </w:t>
                  </w:r>
                  <w:r>
                    <w:rPr>
                      <w:sz w:val="20"/>
                      <w:szCs w:val="20"/>
                    </w:rPr>
                    <w:t>（南侧）</w:t>
                  </w:r>
                </w:p>
              </w:tc>
              <w:tc>
                <w:tcPr>
                  <w:tcW w:w="1052" w:type="dxa"/>
                  <w:vAlign w:val="top"/>
                </w:tcPr>
                <w:p w14:paraId="67423553">
                  <w:pPr>
                    <w:spacing w:before="9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2" w:type="dxa"/>
                  <w:vAlign w:val="top"/>
                </w:tcPr>
                <w:p w14:paraId="573F3077">
                  <w:pPr>
                    <w:spacing w:before="91"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3" w:type="dxa"/>
                  <w:vAlign w:val="top"/>
                </w:tcPr>
                <w:p w14:paraId="5208C94D">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T16</w:t>
                  </w:r>
                </w:p>
              </w:tc>
              <w:tc>
                <w:tcPr>
                  <w:tcW w:w="1053" w:type="dxa"/>
                  <w:vAlign w:val="top"/>
                </w:tcPr>
                <w:p w14:paraId="19B00890">
                  <w:pPr>
                    <w:spacing w:before="9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5470B0CF">
                  <w:pPr>
                    <w:rPr>
                      <w:rFonts w:ascii="Arial"/>
                      <w:sz w:val="21"/>
                    </w:rPr>
                  </w:pPr>
                </w:p>
              </w:tc>
              <w:tc>
                <w:tcPr>
                  <w:tcW w:w="915" w:type="dxa"/>
                  <w:vMerge w:val="continue"/>
                  <w:tcBorders>
                    <w:top w:val="nil"/>
                    <w:bottom w:val="nil"/>
                  </w:tcBorders>
                  <w:vAlign w:val="top"/>
                </w:tcPr>
                <w:p w14:paraId="1B52FE24">
                  <w:pPr>
                    <w:rPr>
                      <w:rFonts w:ascii="Arial"/>
                      <w:sz w:val="21"/>
                    </w:rPr>
                  </w:pPr>
                </w:p>
              </w:tc>
              <w:tc>
                <w:tcPr>
                  <w:tcW w:w="1158" w:type="dxa"/>
                  <w:vMerge w:val="continue"/>
                  <w:tcBorders>
                    <w:top w:val="nil"/>
                    <w:bottom w:val="nil"/>
                    <w:right w:val="single" w:color="000000" w:sz="6" w:space="0"/>
                  </w:tcBorders>
                  <w:vAlign w:val="top"/>
                </w:tcPr>
                <w:p w14:paraId="4CABFA93">
                  <w:pPr>
                    <w:rPr>
                      <w:rFonts w:ascii="Arial"/>
                      <w:sz w:val="21"/>
                    </w:rPr>
                  </w:pPr>
                </w:p>
              </w:tc>
            </w:tr>
            <w:tr w14:paraId="217AD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bottom w:val="nil"/>
                  </w:tcBorders>
                  <w:vAlign w:val="top"/>
                </w:tcPr>
                <w:p w14:paraId="1CC73A5A">
                  <w:pPr>
                    <w:rPr>
                      <w:rFonts w:ascii="Arial"/>
                      <w:sz w:val="21"/>
                    </w:rPr>
                  </w:pPr>
                </w:p>
              </w:tc>
              <w:tc>
                <w:tcPr>
                  <w:tcW w:w="1052" w:type="dxa"/>
                  <w:vAlign w:val="top"/>
                </w:tcPr>
                <w:p w14:paraId="288C4C41">
                  <w:pPr>
                    <w:spacing w:before="92"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w:t>
                  </w:r>
                </w:p>
              </w:tc>
              <w:tc>
                <w:tcPr>
                  <w:tcW w:w="1192" w:type="dxa"/>
                  <w:vAlign w:val="top"/>
                </w:tcPr>
                <w:p w14:paraId="56637731">
                  <w:pPr>
                    <w:spacing w:before="9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2404.08</w:t>
                  </w:r>
                </w:p>
              </w:tc>
              <w:tc>
                <w:tcPr>
                  <w:tcW w:w="953" w:type="dxa"/>
                  <w:vAlign w:val="top"/>
                </w:tcPr>
                <w:p w14:paraId="5F03AEDD">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T17</w:t>
                  </w:r>
                </w:p>
              </w:tc>
              <w:tc>
                <w:tcPr>
                  <w:tcW w:w="1053" w:type="dxa"/>
                  <w:vAlign w:val="top"/>
                </w:tcPr>
                <w:p w14:paraId="30676B51">
                  <w:pPr>
                    <w:spacing w:before="9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continue"/>
                  <w:tcBorders>
                    <w:top w:val="nil"/>
                    <w:bottom w:val="nil"/>
                  </w:tcBorders>
                  <w:vAlign w:val="top"/>
                </w:tcPr>
                <w:p w14:paraId="0AA105C0">
                  <w:pPr>
                    <w:rPr>
                      <w:rFonts w:ascii="Arial"/>
                      <w:sz w:val="21"/>
                    </w:rPr>
                  </w:pPr>
                </w:p>
              </w:tc>
              <w:tc>
                <w:tcPr>
                  <w:tcW w:w="915" w:type="dxa"/>
                  <w:vMerge w:val="continue"/>
                  <w:tcBorders>
                    <w:top w:val="nil"/>
                    <w:bottom w:val="nil"/>
                  </w:tcBorders>
                  <w:vAlign w:val="top"/>
                </w:tcPr>
                <w:p w14:paraId="202EDA31">
                  <w:pPr>
                    <w:rPr>
                      <w:rFonts w:ascii="Arial"/>
                      <w:sz w:val="21"/>
                    </w:rPr>
                  </w:pPr>
                </w:p>
              </w:tc>
              <w:tc>
                <w:tcPr>
                  <w:tcW w:w="1158" w:type="dxa"/>
                  <w:vMerge w:val="continue"/>
                  <w:tcBorders>
                    <w:top w:val="nil"/>
                    <w:bottom w:val="nil"/>
                    <w:right w:val="single" w:color="000000" w:sz="6" w:space="0"/>
                  </w:tcBorders>
                  <w:vAlign w:val="top"/>
                </w:tcPr>
                <w:p w14:paraId="23C7ECE9">
                  <w:pPr>
                    <w:rPr>
                      <w:rFonts w:ascii="Arial"/>
                      <w:sz w:val="21"/>
                    </w:rPr>
                  </w:pPr>
                </w:p>
              </w:tc>
            </w:tr>
            <w:tr w14:paraId="7B8AA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bottom w:val="nil"/>
                  </w:tcBorders>
                  <w:vAlign w:val="top"/>
                </w:tcPr>
                <w:p w14:paraId="408F30E6">
                  <w:pPr>
                    <w:rPr>
                      <w:rFonts w:ascii="Arial"/>
                      <w:sz w:val="21"/>
                    </w:rPr>
                  </w:pPr>
                </w:p>
              </w:tc>
              <w:tc>
                <w:tcPr>
                  <w:tcW w:w="1052" w:type="dxa"/>
                  <w:vAlign w:val="top"/>
                </w:tcPr>
                <w:p w14:paraId="2254F4F6">
                  <w:pPr>
                    <w:spacing w:before="9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2" w:type="dxa"/>
                  <w:vAlign w:val="top"/>
                </w:tcPr>
                <w:p w14:paraId="52923DBE">
                  <w:pPr>
                    <w:spacing w:before="91"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3" w:type="dxa"/>
                  <w:vAlign w:val="top"/>
                </w:tcPr>
                <w:p w14:paraId="3DC283B2">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T18</w:t>
                  </w:r>
                </w:p>
              </w:tc>
              <w:tc>
                <w:tcPr>
                  <w:tcW w:w="1053" w:type="dxa"/>
                  <w:vAlign w:val="top"/>
                </w:tcPr>
                <w:p w14:paraId="58856658">
                  <w:pPr>
                    <w:spacing w:before="9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7D2ED78B">
                  <w:pPr>
                    <w:rPr>
                      <w:rFonts w:ascii="Arial"/>
                      <w:sz w:val="21"/>
                    </w:rPr>
                  </w:pPr>
                </w:p>
              </w:tc>
              <w:tc>
                <w:tcPr>
                  <w:tcW w:w="915" w:type="dxa"/>
                  <w:vMerge w:val="continue"/>
                  <w:tcBorders>
                    <w:top w:val="nil"/>
                    <w:bottom w:val="nil"/>
                  </w:tcBorders>
                  <w:vAlign w:val="top"/>
                </w:tcPr>
                <w:p w14:paraId="521272D0">
                  <w:pPr>
                    <w:rPr>
                      <w:rFonts w:ascii="Arial"/>
                      <w:sz w:val="21"/>
                    </w:rPr>
                  </w:pPr>
                </w:p>
              </w:tc>
              <w:tc>
                <w:tcPr>
                  <w:tcW w:w="1158" w:type="dxa"/>
                  <w:vMerge w:val="continue"/>
                  <w:tcBorders>
                    <w:top w:val="nil"/>
                    <w:bottom w:val="nil"/>
                    <w:right w:val="single" w:color="000000" w:sz="6" w:space="0"/>
                  </w:tcBorders>
                  <w:vAlign w:val="top"/>
                </w:tcPr>
                <w:p w14:paraId="23EA5854">
                  <w:pPr>
                    <w:rPr>
                      <w:rFonts w:ascii="Arial"/>
                      <w:sz w:val="21"/>
                    </w:rPr>
                  </w:pPr>
                </w:p>
              </w:tc>
            </w:tr>
            <w:tr w14:paraId="344EF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tcBorders>
                  <w:vAlign w:val="top"/>
                </w:tcPr>
                <w:p w14:paraId="7D05808B">
                  <w:pPr>
                    <w:rPr>
                      <w:rFonts w:ascii="Arial"/>
                      <w:sz w:val="21"/>
                    </w:rPr>
                  </w:pPr>
                </w:p>
              </w:tc>
              <w:tc>
                <w:tcPr>
                  <w:tcW w:w="1052" w:type="dxa"/>
                  <w:vAlign w:val="top"/>
                </w:tcPr>
                <w:p w14:paraId="6B34F65C">
                  <w:pPr>
                    <w:spacing w:before="92"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192" w:type="dxa"/>
                  <w:vAlign w:val="top"/>
                </w:tcPr>
                <w:p w14:paraId="39677035">
                  <w:pPr>
                    <w:spacing w:before="92"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2419.2</w:t>
                  </w:r>
                </w:p>
              </w:tc>
              <w:tc>
                <w:tcPr>
                  <w:tcW w:w="953" w:type="dxa"/>
                  <w:vAlign w:val="top"/>
                </w:tcPr>
                <w:p w14:paraId="5E306F95">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T19</w:t>
                  </w:r>
                </w:p>
              </w:tc>
              <w:tc>
                <w:tcPr>
                  <w:tcW w:w="1053" w:type="dxa"/>
                  <w:vAlign w:val="top"/>
                </w:tcPr>
                <w:p w14:paraId="27B43D1F">
                  <w:pPr>
                    <w:spacing w:before="9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w:t>
                  </w:r>
                </w:p>
              </w:tc>
              <w:tc>
                <w:tcPr>
                  <w:tcW w:w="687" w:type="dxa"/>
                  <w:vMerge w:val="continue"/>
                  <w:tcBorders>
                    <w:top w:val="nil"/>
                    <w:bottom w:val="nil"/>
                  </w:tcBorders>
                  <w:vAlign w:val="top"/>
                </w:tcPr>
                <w:p w14:paraId="36736553">
                  <w:pPr>
                    <w:rPr>
                      <w:rFonts w:ascii="Arial"/>
                      <w:sz w:val="21"/>
                    </w:rPr>
                  </w:pPr>
                </w:p>
              </w:tc>
              <w:tc>
                <w:tcPr>
                  <w:tcW w:w="915" w:type="dxa"/>
                  <w:vMerge w:val="continue"/>
                  <w:tcBorders>
                    <w:top w:val="nil"/>
                    <w:bottom w:val="nil"/>
                  </w:tcBorders>
                  <w:vAlign w:val="top"/>
                </w:tcPr>
                <w:p w14:paraId="55886F3A">
                  <w:pPr>
                    <w:rPr>
                      <w:rFonts w:ascii="Arial"/>
                      <w:sz w:val="21"/>
                    </w:rPr>
                  </w:pPr>
                </w:p>
              </w:tc>
              <w:tc>
                <w:tcPr>
                  <w:tcW w:w="1158" w:type="dxa"/>
                  <w:vMerge w:val="continue"/>
                  <w:tcBorders>
                    <w:top w:val="nil"/>
                    <w:bottom w:val="nil"/>
                    <w:right w:val="single" w:color="000000" w:sz="6" w:space="0"/>
                  </w:tcBorders>
                  <w:vAlign w:val="top"/>
                </w:tcPr>
                <w:p w14:paraId="0265D4D1">
                  <w:pPr>
                    <w:rPr>
                      <w:rFonts w:ascii="Arial"/>
                      <w:sz w:val="21"/>
                    </w:rPr>
                  </w:pPr>
                </w:p>
              </w:tc>
            </w:tr>
            <w:tr w14:paraId="4538B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001" w:type="dxa"/>
                  <w:tcBorders>
                    <w:left w:val="single" w:color="000000" w:sz="6" w:space="0"/>
                  </w:tcBorders>
                  <w:vAlign w:val="top"/>
                </w:tcPr>
                <w:p w14:paraId="487BED2F">
                  <w:pPr>
                    <w:pStyle w:val="6"/>
                    <w:spacing w:before="228" w:line="239" w:lineRule="auto"/>
                    <w:ind w:left="121" w:right="68" w:firstLine="103"/>
                    <w:rPr>
                      <w:sz w:val="20"/>
                      <w:szCs w:val="20"/>
                    </w:rPr>
                  </w:pPr>
                  <w:r>
                    <w:rPr>
                      <w:spacing w:val="-5"/>
                      <w:sz w:val="20"/>
                      <w:szCs w:val="20"/>
                    </w:rPr>
                    <w:t>区块</w:t>
                  </w:r>
                  <w:r>
                    <w:rPr>
                      <w:spacing w:val="-33"/>
                      <w:sz w:val="20"/>
                      <w:szCs w:val="20"/>
                    </w:rPr>
                    <w:t xml:space="preserve"> </w:t>
                  </w:r>
                  <w:r>
                    <w:rPr>
                      <w:rFonts w:ascii="Times New Roman" w:hAnsi="Times New Roman" w:eastAsia="Times New Roman" w:cs="Times New Roman"/>
                      <w:spacing w:val="-5"/>
                      <w:sz w:val="20"/>
                      <w:szCs w:val="20"/>
                    </w:rPr>
                    <w:t>8</w:t>
                  </w:r>
                  <w:r>
                    <w:rPr>
                      <w:rFonts w:ascii="Times New Roman" w:hAnsi="Times New Roman" w:eastAsia="Times New Roman" w:cs="Times New Roman"/>
                      <w:sz w:val="20"/>
                      <w:szCs w:val="20"/>
                    </w:rPr>
                    <w:t xml:space="preserve">    </w:t>
                  </w:r>
                  <w:r>
                    <w:rPr>
                      <w:sz w:val="20"/>
                      <w:szCs w:val="20"/>
                    </w:rPr>
                    <w:t>（东侧）</w:t>
                  </w:r>
                </w:p>
              </w:tc>
              <w:tc>
                <w:tcPr>
                  <w:tcW w:w="1052" w:type="dxa"/>
                  <w:vAlign w:val="top"/>
                </w:tcPr>
                <w:p w14:paraId="538A2C92">
                  <w:pPr>
                    <w:spacing w:line="341" w:lineRule="auto"/>
                    <w:rPr>
                      <w:rFonts w:ascii="Arial"/>
                      <w:sz w:val="21"/>
                    </w:rPr>
                  </w:pPr>
                </w:p>
                <w:p w14:paraId="231956AA">
                  <w:pPr>
                    <w:spacing w:before="5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2" w:type="dxa"/>
                  <w:vAlign w:val="top"/>
                </w:tcPr>
                <w:p w14:paraId="2F089934">
                  <w:pPr>
                    <w:spacing w:line="341" w:lineRule="auto"/>
                    <w:rPr>
                      <w:rFonts w:ascii="Arial"/>
                      <w:sz w:val="21"/>
                    </w:rPr>
                  </w:pPr>
                </w:p>
                <w:p w14:paraId="75FB7971">
                  <w:pPr>
                    <w:spacing w:before="5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3" w:type="dxa"/>
                  <w:vAlign w:val="top"/>
                </w:tcPr>
                <w:p w14:paraId="54D27607">
                  <w:pPr>
                    <w:spacing w:line="341" w:lineRule="auto"/>
                    <w:rPr>
                      <w:rFonts w:ascii="Arial"/>
                      <w:sz w:val="21"/>
                    </w:rPr>
                  </w:pPr>
                </w:p>
                <w:p w14:paraId="083F7197">
                  <w:pPr>
                    <w:spacing w:before="58"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T20</w:t>
                  </w:r>
                </w:p>
              </w:tc>
              <w:tc>
                <w:tcPr>
                  <w:tcW w:w="1053" w:type="dxa"/>
                  <w:vAlign w:val="top"/>
                </w:tcPr>
                <w:p w14:paraId="5FC0E394">
                  <w:pPr>
                    <w:spacing w:line="341" w:lineRule="auto"/>
                    <w:rPr>
                      <w:rFonts w:ascii="Arial"/>
                      <w:sz w:val="21"/>
                    </w:rPr>
                  </w:pPr>
                </w:p>
                <w:p w14:paraId="6C7C9C4D">
                  <w:pPr>
                    <w:spacing w:before="5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tcBorders>
                  <w:vAlign w:val="top"/>
                </w:tcPr>
                <w:p w14:paraId="13AA6825">
                  <w:pPr>
                    <w:rPr>
                      <w:rFonts w:ascii="Arial"/>
                      <w:sz w:val="21"/>
                    </w:rPr>
                  </w:pPr>
                </w:p>
              </w:tc>
              <w:tc>
                <w:tcPr>
                  <w:tcW w:w="915" w:type="dxa"/>
                  <w:vMerge w:val="continue"/>
                  <w:tcBorders>
                    <w:top w:val="nil"/>
                  </w:tcBorders>
                  <w:vAlign w:val="top"/>
                </w:tcPr>
                <w:p w14:paraId="6330F973">
                  <w:pPr>
                    <w:rPr>
                      <w:rFonts w:ascii="Arial"/>
                      <w:sz w:val="21"/>
                    </w:rPr>
                  </w:pPr>
                </w:p>
              </w:tc>
              <w:tc>
                <w:tcPr>
                  <w:tcW w:w="1158" w:type="dxa"/>
                  <w:vMerge w:val="continue"/>
                  <w:tcBorders>
                    <w:top w:val="nil"/>
                    <w:right w:val="single" w:color="000000" w:sz="6" w:space="0"/>
                  </w:tcBorders>
                  <w:vAlign w:val="top"/>
                </w:tcPr>
                <w:p w14:paraId="3953B6C3">
                  <w:pPr>
                    <w:rPr>
                      <w:rFonts w:ascii="Arial"/>
                      <w:sz w:val="21"/>
                    </w:rPr>
                  </w:pPr>
                </w:p>
              </w:tc>
            </w:tr>
            <w:tr w14:paraId="76DB3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tcBorders>
                    <w:left w:val="single" w:color="000000" w:sz="6" w:space="0"/>
                  </w:tcBorders>
                  <w:vAlign w:val="top"/>
                </w:tcPr>
                <w:p w14:paraId="5889A161">
                  <w:pPr>
                    <w:pStyle w:val="6"/>
                    <w:spacing w:before="56" w:line="228" w:lineRule="auto"/>
                    <w:ind w:left="172"/>
                    <w:rPr>
                      <w:rFonts w:ascii="Times New Roman" w:hAnsi="Times New Roman" w:eastAsia="Times New Roman" w:cs="Times New Roman"/>
                      <w:sz w:val="20"/>
                      <w:szCs w:val="20"/>
                    </w:rPr>
                  </w:pPr>
                  <w:r>
                    <w:rPr>
                      <w:spacing w:val="-6"/>
                      <w:sz w:val="20"/>
                      <w:szCs w:val="20"/>
                    </w:rPr>
                    <w:t>区块</w:t>
                  </w:r>
                  <w:r>
                    <w:rPr>
                      <w:spacing w:val="-18"/>
                      <w:sz w:val="20"/>
                      <w:szCs w:val="20"/>
                    </w:rPr>
                    <w:t xml:space="preserve"> </w:t>
                  </w:r>
                  <w:r>
                    <w:rPr>
                      <w:rFonts w:ascii="Times New Roman" w:hAnsi="Times New Roman" w:eastAsia="Times New Roman" w:cs="Times New Roman"/>
                      <w:spacing w:val="-6"/>
                      <w:sz w:val="20"/>
                      <w:szCs w:val="20"/>
                    </w:rPr>
                    <w:t>12</w:t>
                  </w:r>
                </w:p>
              </w:tc>
              <w:tc>
                <w:tcPr>
                  <w:tcW w:w="1052" w:type="dxa"/>
                  <w:vAlign w:val="top"/>
                </w:tcPr>
                <w:p w14:paraId="55F51DA2">
                  <w:pPr>
                    <w:spacing w:before="9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w:t>
                  </w:r>
                </w:p>
              </w:tc>
              <w:tc>
                <w:tcPr>
                  <w:tcW w:w="1192" w:type="dxa"/>
                  <w:vAlign w:val="top"/>
                </w:tcPr>
                <w:p w14:paraId="4DA0D338">
                  <w:pPr>
                    <w:spacing w:before="91"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3402</w:t>
                  </w:r>
                </w:p>
              </w:tc>
              <w:tc>
                <w:tcPr>
                  <w:tcW w:w="953" w:type="dxa"/>
                  <w:vAlign w:val="top"/>
                </w:tcPr>
                <w:p w14:paraId="37A37381">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T21</w:t>
                  </w:r>
                </w:p>
              </w:tc>
              <w:tc>
                <w:tcPr>
                  <w:tcW w:w="1053" w:type="dxa"/>
                  <w:vAlign w:val="top"/>
                </w:tcPr>
                <w:p w14:paraId="00C1E1E9">
                  <w:pPr>
                    <w:spacing w:before="9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687" w:type="dxa"/>
                  <w:vMerge w:val="restart"/>
                  <w:tcBorders>
                    <w:bottom w:val="nil"/>
                  </w:tcBorders>
                  <w:vAlign w:val="top"/>
                </w:tcPr>
                <w:p w14:paraId="52880FC7">
                  <w:pPr>
                    <w:spacing w:line="303" w:lineRule="auto"/>
                    <w:rPr>
                      <w:rFonts w:ascii="Arial"/>
                      <w:sz w:val="21"/>
                    </w:rPr>
                  </w:pPr>
                </w:p>
                <w:p w14:paraId="4CDD48F9">
                  <w:pPr>
                    <w:spacing w:line="304" w:lineRule="auto"/>
                    <w:rPr>
                      <w:rFonts w:ascii="Arial"/>
                      <w:sz w:val="21"/>
                    </w:rPr>
                  </w:pPr>
                </w:p>
                <w:p w14:paraId="6DC466E1">
                  <w:pPr>
                    <w:pStyle w:val="6"/>
                    <w:spacing w:before="57" w:line="243" w:lineRule="auto"/>
                    <w:ind w:left="119" w:right="108" w:hanging="2"/>
                    <w:jc w:val="both"/>
                    <w:rPr>
                      <w:sz w:val="20"/>
                      <w:szCs w:val="20"/>
                    </w:rPr>
                  </w:pP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 xml:space="preserve">kV </w:t>
                  </w:r>
                  <w:r>
                    <w:rPr>
                      <w:spacing w:val="15"/>
                      <w:sz w:val="20"/>
                      <w:szCs w:val="20"/>
                    </w:rPr>
                    <w:t>集电</w:t>
                  </w:r>
                  <w:r>
                    <w:rPr>
                      <w:sz w:val="20"/>
                      <w:szCs w:val="20"/>
                    </w:rPr>
                    <w:t xml:space="preserve"> </w:t>
                  </w:r>
                  <w:r>
                    <w:rPr>
                      <w:spacing w:val="3"/>
                      <w:sz w:val="20"/>
                      <w:szCs w:val="20"/>
                    </w:rPr>
                    <w:t>线路</w:t>
                  </w:r>
                  <w:r>
                    <w:rPr>
                      <w:sz w:val="20"/>
                      <w:szCs w:val="20"/>
                    </w:rPr>
                    <w:t xml:space="preserve"> </w:t>
                  </w:r>
                  <w:r>
                    <w:rPr>
                      <w:rFonts w:ascii="Times New Roman" w:hAnsi="Times New Roman" w:eastAsia="Times New Roman" w:cs="Times New Roman"/>
                      <w:spacing w:val="14"/>
                      <w:sz w:val="20"/>
                      <w:szCs w:val="20"/>
                    </w:rPr>
                    <w:t>C</w:t>
                  </w:r>
                  <w:r>
                    <w:rPr>
                      <w:rFonts w:ascii="Times New Roman" w:hAnsi="Times New Roman" w:eastAsia="Times New Roman" w:cs="Times New Roman"/>
                      <w:spacing w:val="31"/>
                      <w:sz w:val="20"/>
                      <w:szCs w:val="20"/>
                    </w:rPr>
                    <w:t xml:space="preserve"> </w:t>
                  </w:r>
                  <w:r>
                    <w:rPr>
                      <w:spacing w:val="14"/>
                      <w:sz w:val="20"/>
                      <w:szCs w:val="20"/>
                    </w:rPr>
                    <w:t>回</w:t>
                  </w:r>
                </w:p>
              </w:tc>
              <w:tc>
                <w:tcPr>
                  <w:tcW w:w="915" w:type="dxa"/>
                  <w:vMerge w:val="restart"/>
                  <w:tcBorders>
                    <w:bottom w:val="nil"/>
                  </w:tcBorders>
                  <w:vAlign w:val="top"/>
                </w:tcPr>
                <w:p w14:paraId="5C4AD77C">
                  <w:pPr>
                    <w:spacing w:line="254" w:lineRule="auto"/>
                    <w:rPr>
                      <w:rFonts w:ascii="Arial"/>
                      <w:sz w:val="21"/>
                    </w:rPr>
                  </w:pPr>
                </w:p>
                <w:p w14:paraId="4702781E">
                  <w:pPr>
                    <w:spacing w:line="254" w:lineRule="auto"/>
                    <w:rPr>
                      <w:rFonts w:ascii="Arial"/>
                      <w:sz w:val="21"/>
                    </w:rPr>
                  </w:pPr>
                </w:p>
                <w:p w14:paraId="2815CB38">
                  <w:pPr>
                    <w:spacing w:line="255" w:lineRule="auto"/>
                    <w:rPr>
                      <w:rFonts w:ascii="Arial"/>
                      <w:sz w:val="21"/>
                    </w:rPr>
                  </w:pPr>
                </w:p>
                <w:p w14:paraId="2FF78671">
                  <w:pPr>
                    <w:spacing w:line="255" w:lineRule="auto"/>
                    <w:rPr>
                      <w:rFonts w:ascii="Arial"/>
                      <w:sz w:val="21"/>
                    </w:rPr>
                  </w:pPr>
                </w:p>
                <w:p w14:paraId="084AF655">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27300</w:t>
                  </w:r>
                </w:p>
              </w:tc>
              <w:tc>
                <w:tcPr>
                  <w:tcW w:w="1158" w:type="dxa"/>
                  <w:vMerge w:val="restart"/>
                  <w:tcBorders>
                    <w:bottom w:val="nil"/>
                    <w:right w:val="single" w:color="000000" w:sz="6" w:space="0"/>
                  </w:tcBorders>
                  <w:vAlign w:val="top"/>
                </w:tcPr>
                <w:p w14:paraId="66442CF8">
                  <w:pPr>
                    <w:spacing w:line="254" w:lineRule="auto"/>
                    <w:rPr>
                      <w:rFonts w:ascii="Arial"/>
                      <w:sz w:val="21"/>
                    </w:rPr>
                  </w:pPr>
                </w:p>
                <w:p w14:paraId="598E7A81">
                  <w:pPr>
                    <w:spacing w:line="254" w:lineRule="auto"/>
                    <w:rPr>
                      <w:rFonts w:ascii="Arial"/>
                      <w:sz w:val="21"/>
                    </w:rPr>
                  </w:pPr>
                </w:p>
                <w:p w14:paraId="06E4F44D">
                  <w:pPr>
                    <w:spacing w:line="255" w:lineRule="auto"/>
                    <w:rPr>
                      <w:rFonts w:ascii="Arial"/>
                      <w:sz w:val="21"/>
                    </w:rPr>
                  </w:pPr>
                </w:p>
                <w:p w14:paraId="48253EBC">
                  <w:pPr>
                    <w:spacing w:line="255" w:lineRule="auto"/>
                    <w:rPr>
                      <w:rFonts w:ascii="Arial"/>
                      <w:sz w:val="21"/>
                    </w:rPr>
                  </w:pPr>
                </w:p>
                <w:p w14:paraId="7912DC6A">
                  <w:pPr>
                    <w:spacing w:before="58"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31147.2</w:t>
                  </w:r>
                </w:p>
              </w:tc>
            </w:tr>
            <w:tr w14:paraId="00118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tcBorders>
                    <w:left w:val="single" w:color="000000" w:sz="6" w:space="0"/>
                  </w:tcBorders>
                  <w:vAlign w:val="top"/>
                </w:tcPr>
                <w:p w14:paraId="32851B59">
                  <w:pPr>
                    <w:pStyle w:val="6"/>
                    <w:spacing w:before="54" w:line="228" w:lineRule="auto"/>
                    <w:ind w:left="225"/>
                    <w:rPr>
                      <w:rFonts w:ascii="Times New Roman" w:hAnsi="Times New Roman" w:eastAsia="Times New Roman" w:cs="Times New Roman"/>
                      <w:sz w:val="20"/>
                      <w:szCs w:val="20"/>
                    </w:rPr>
                  </w:pPr>
                  <w:r>
                    <w:rPr>
                      <w:spacing w:val="-2"/>
                      <w:sz w:val="20"/>
                      <w:szCs w:val="20"/>
                    </w:rPr>
                    <w:t>区块</w:t>
                  </w:r>
                  <w:r>
                    <w:rPr>
                      <w:spacing w:val="-38"/>
                      <w:sz w:val="20"/>
                      <w:szCs w:val="20"/>
                    </w:rPr>
                    <w:t xml:space="preserve"> </w:t>
                  </w:r>
                  <w:r>
                    <w:rPr>
                      <w:rFonts w:ascii="Times New Roman" w:hAnsi="Times New Roman" w:eastAsia="Times New Roman" w:cs="Times New Roman"/>
                      <w:spacing w:val="-2"/>
                      <w:sz w:val="20"/>
                      <w:szCs w:val="20"/>
                    </w:rPr>
                    <w:t>7</w:t>
                  </w:r>
                </w:p>
              </w:tc>
              <w:tc>
                <w:tcPr>
                  <w:tcW w:w="1052" w:type="dxa"/>
                  <w:vAlign w:val="top"/>
                </w:tcPr>
                <w:p w14:paraId="0ECE6E1B">
                  <w:pPr>
                    <w:spacing w:before="92"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92" w:type="dxa"/>
                  <w:vAlign w:val="top"/>
                </w:tcPr>
                <w:p w14:paraId="5C161B9F">
                  <w:pPr>
                    <w:spacing w:before="9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1512</w:t>
                  </w:r>
                </w:p>
              </w:tc>
              <w:tc>
                <w:tcPr>
                  <w:tcW w:w="953" w:type="dxa"/>
                  <w:vAlign w:val="top"/>
                </w:tcPr>
                <w:p w14:paraId="3BB48C37">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T23</w:t>
                  </w:r>
                </w:p>
              </w:tc>
              <w:tc>
                <w:tcPr>
                  <w:tcW w:w="1053" w:type="dxa"/>
                  <w:vAlign w:val="top"/>
                </w:tcPr>
                <w:p w14:paraId="70CB0BA5">
                  <w:pPr>
                    <w:spacing w:before="9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687" w:type="dxa"/>
                  <w:vMerge w:val="continue"/>
                  <w:tcBorders>
                    <w:top w:val="nil"/>
                    <w:bottom w:val="nil"/>
                  </w:tcBorders>
                  <w:vAlign w:val="top"/>
                </w:tcPr>
                <w:p w14:paraId="554246D4">
                  <w:pPr>
                    <w:rPr>
                      <w:rFonts w:ascii="Arial"/>
                      <w:sz w:val="21"/>
                    </w:rPr>
                  </w:pPr>
                </w:p>
              </w:tc>
              <w:tc>
                <w:tcPr>
                  <w:tcW w:w="915" w:type="dxa"/>
                  <w:vMerge w:val="continue"/>
                  <w:tcBorders>
                    <w:top w:val="nil"/>
                    <w:bottom w:val="nil"/>
                  </w:tcBorders>
                  <w:vAlign w:val="top"/>
                </w:tcPr>
                <w:p w14:paraId="2F3A0EB3">
                  <w:pPr>
                    <w:rPr>
                      <w:rFonts w:ascii="Arial"/>
                      <w:sz w:val="21"/>
                    </w:rPr>
                  </w:pPr>
                </w:p>
              </w:tc>
              <w:tc>
                <w:tcPr>
                  <w:tcW w:w="1158" w:type="dxa"/>
                  <w:vMerge w:val="continue"/>
                  <w:tcBorders>
                    <w:top w:val="nil"/>
                    <w:bottom w:val="nil"/>
                    <w:right w:val="single" w:color="000000" w:sz="6" w:space="0"/>
                  </w:tcBorders>
                  <w:vAlign w:val="top"/>
                </w:tcPr>
                <w:p w14:paraId="1E9F51B2">
                  <w:pPr>
                    <w:rPr>
                      <w:rFonts w:ascii="Arial"/>
                      <w:sz w:val="21"/>
                    </w:rPr>
                  </w:pPr>
                </w:p>
              </w:tc>
            </w:tr>
            <w:tr w14:paraId="3E2C5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tcBorders>
                    <w:left w:val="single" w:color="000000" w:sz="6" w:space="0"/>
                  </w:tcBorders>
                  <w:vAlign w:val="top"/>
                </w:tcPr>
                <w:p w14:paraId="4736A330">
                  <w:pPr>
                    <w:pStyle w:val="6"/>
                    <w:spacing w:before="56" w:line="228" w:lineRule="auto"/>
                    <w:ind w:left="225"/>
                    <w:rPr>
                      <w:rFonts w:ascii="Times New Roman" w:hAnsi="Times New Roman" w:eastAsia="Times New Roman" w:cs="Times New Roman"/>
                      <w:sz w:val="20"/>
                      <w:szCs w:val="20"/>
                    </w:rPr>
                  </w:pPr>
                  <w:r>
                    <w:rPr>
                      <w:spacing w:val="-2"/>
                      <w:sz w:val="20"/>
                      <w:szCs w:val="20"/>
                    </w:rPr>
                    <w:t>区块</w:t>
                  </w:r>
                  <w:r>
                    <w:rPr>
                      <w:spacing w:val="-36"/>
                      <w:sz w:val="20"/>
                      <w:szCs w:val="20"/>
                    </w:rPr>
                    <w:t xml:space="preserve"> </w:t>
                  </w:r>
                  <w:r>
                    <w:rPr>
                      <w:rFonts w:ascii="Times New Roman" w:hAnsi="Times New Roman" w:eastAsia="Times New Roman" w:cs="Times New Roman"/>
                      <w:spacing w:val="-2"/>
                      <w:sz w:val="20"/>
                      <w:szCs w:val="20"/>
                    </w:rPr>
                    <w:t>6</w:t>
                  </w:r>
                </w:p>
              </w:tc>
              <w:tc>
                <w:tcPr>
                  <w:tcW w:w="1052" w:type="dxa"/>
                  <w:vAlign w:val="top"/>
                </w:tcPr>
                <w:p w14:paraId="3E0AB5DA">
                  <w:pPr>
                    <w:spacing w:before="9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229</w:t>
                  </w:r>
                </w:p>
              </w:tc>
              <w:tc>
                <w:tcPr>
                  <w:tcW w:w="1192" w:type="dxa"/>
                  <w:vAlign w:val="top"/>
                </w:tcPr>
                <w:p w14:paraId="460D881C">
                  <w:pPr>
                    <w:spacing w:before="91"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3462.48</w:t>
                  </w:r>
                </w:p>
              </w:tc>
              <w:tc>
                <w:tcPr>
                  <w:tcW w:w="953" w:type="dxa"/>
                  <w:vAlign w:val="top"/>
                </w:tcPr>
                <w:p w14:paraId="09802322">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T24</w:t>
                  </w:r>
                </w:p>
              </w:tc>
              <w:tc>
                <w:tcPr>
                  <w:tcW w:w="1053" w:type="dxa"/>
                  <w:vAlign w:val="top"/>
                </w:tcPr>
                <w:p w14:paraId="36A443B7">
                  <w:pPr>
                    <w:spacing w:before="9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687" w:type="dxa"/>
                  <w:vMerge w:val="continue"/>
                  <w:tcBorders>
                    <w:top w:val="nil"/>
                    <w:bottom w:val="nil"/>
                  </w:tcBorders>
                  <w:vAlign w:val="top"/>
                </w:tcPr>
                <w:p w14:paraId="5B960120">
                  <w:pPr>
                    <w:rPr>
                      <w:rFonts w:ascii="Arial"/>
                      <w:sz w:val="21"/>
                    </w:rPr>
                  </w:pPr>
                </w:p>
              </w:tc>
              <w:tc>
                <w:tcPr>
                  <w:tcW w:w="915" w:type="dxa"/>
                  <w:vMerge w:val="continue"/>
                  <w:tcBorders>
                    <w:top w:val="nil"/>
                    <w:bottom w:val="nil"/>
                  </w:tcBorders>
                  <w:vAlign w:val="top"/>
                </w:tcPr>
                <w:p w14:paraId="592F1D48">
                  <w:pPr>
                    <w:rPr>
                      <w:rFonts w:ascii="Arial"/>
                      <w:sz w:val="21"/>
                    </w:rPr>
                  </w:pPr>
                </w:p>
              </w:tc>
              <w:tc>
                <w:tcPr>
                  <w:tcW w:w="1158" w:type="dxa"/>
                  <w:vMerge w:val="continue"/>
                  <w:tcBorders>
                    <w:top w:val="nil"/>
                    <w:bottom w:val="nil"/>
                    <w:right w:val="single" w:color="000000" w:sz="6" w:space="0"/>
                  </w:tcBorders>
                  <w:vAlign w:val="top"/>
                </w:tcPr>
                <w:p w14:paraId="7F9ADD3E">
                  <w:pPr>
                    <w:rPr>
                      <w:rFonts w:ascii="Arial"/>
                      <w:sz w:val="21"/>
                    </w:rPr>
                  </w:pPr>
                </w:p>
              </w:tc>
            </w:tr>
            <w:tr w14:paraId="18262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restart"/>
                  <w:tcBorders>
                    <w:left w:val="single" w:color="000000" w:sz="6" w:space="0"/>
                    <w:bottom w:val="nil"/>
                  </w:tcBorders>
                  <w:vAlign w:val="top"/>
                </w:tcPr>
                <w:p w14:paraId="009A02BE">
                  <w:pPr>
                    <w:spacing w:line="346" w:lineRule="auto"/>
                    <w:rPr>
                      <w:rFonts w:ascii="Arial"/>
                      <w:sz w:val="21"/>
                    </w:rPr>
                  </w:pPr>
                </w:p>
                <w:p w14:paraId="4649BF44">
                  <w:pPr>
                    <w:pStyle w:val="6"/>
                    <w:spacing w:before="65" w:line="241" w:lineRule="auto"/>
                    <w:ind w:left="193" w:right="204" w:firstLine="31"/>
                    <w:rPr>
                      <w:sz w:val="20"/>
                      <w:szCs w:val="20"/>
                    </w:rPr>
                  </w:pPr>
                  <w:r>
                    <w:rPr>
                      <w:spacing w:val="-5"/>
                      <w:sz w:val="20"/>
                      <w:szCs w:val="20"/>
                    </w:rPr>
                    <w:t>区块</w:t>
                  </w:r>
                  <w:r>
                    <w:rPr>
                      <w:spacing w:val="-33"/>
                      <w:sz w:val="20"/>
                      <w:szCs w:val="20"/>
                    </w:rPr>
                    <w:t xml:space="preserve"> </w:t>
                  </w:r>
                  <w:r>
                    <w:rPr>
                      <w:rFonts w:ascii="Times New Roman" w:hAnsi="Times New Roman" w:eastAsia="Times New Roman" w:cs="Times New Roman"/>
                      <w:spacing w:val="-5"/>
                      <w:sz w:val="20"/>
                      <w:szCs w:val="20"/>
                    </w:rPr>
                    <w:t>8</w:t>
                  </w:r>
                  <w:r>
                    <w:rPr>
                      <w:rFonts w:ascii="Times New Roman" w:hAnsi="Times New Roman" w:eastAsia="Times New Roman" w:cs="Times New Roman"/>
                      <w:sz w:val="20"/>
                      <w:szCs w:val="20"/>
                    </w:rPr>
                    <w:t xml:space="preserve"> </w:t>
                  </w:r>
                  <w:r>
                    <w:rPr>
                      <w:spacing w:val="-3"/>
                      <w:sz w:val="20"/>
                      <w:szCs w:val="20"/>
                    </w:rPr>
                    <w:t>（北）</w:t>
                  </w:r>
                </w:p>
              </w:tc>
              <w:tc>
                <w:tcPr>
                  <w:tcW w:w="1052" w:type="dxa"/>
                  <w:vAlign w:val="top"/>
                </w:tcPr>
                <w:p w14:paraId="2B81DB7F">
                  <w:pPr>
                    <w:spacing w:before="9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231</w:t>
                  </w:r>
                </w:p>
              </w:tc>
              <w:tc>
                <w:tcPr>
                  <w:tcW w:w="1192" w:type="dxa"/>
                  <w:vAlign w:val="top"/>
                </w:tcPr>
                <w:p w14:paraId="119F7FDB">
                  <w:pPr>
                    <w:spacing w:before="92"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3492.72</w:t>
                  </w:r>
                </w:p>
              </w:tc>
              <w:tc>
                <w:tcPr>
                  <w:tcW w:w="953" w:type="dxa"/>
                  <w:vAlign w:val="top"/>
                </w:tcPr>
                <w:p w14:paraId="50FF9DD8">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T26</w:t>
                  </w:r>
                </w:p>
              </w:tc>
              <w:tc>
                <w:tcPr>
                  <w:tcW w:w="1053" w:type="dxa"/>
                  <w:vAlign w:val="top"/>
                </w:tcPr>
                <w:p w14:paraId="70530B74">
                  <w:pPr>
                    <w:spacing w:before="92"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687" w:type="dxa"/>
                  <w:vMerge w:val="continue"/>
                  <w:tcBorders>
                    <w:top w:val="nil"/>
                    <w:bottom w:val="nil"/>
                  </w:tcBorders>
                  <w:vAlign w:val="top"/>
                </w:tcPr>
                <w:p w14:paraId="750BECD9">
                  <w:pPr>
                    <w:rPr>
                      <w:rFonts w:ascii="Arial"/>
                      <w:sz w:val="21"/>
                    </w:rPr>
                  </w:pPr>
                </w:p>
              </w:tc>
              <w:tc>
                <w:tcPr>
                  <w:tcW w:w="915" w:type="dxa"/>
                  <w:vMerge w:val="continue"/>
                  <w:tcBorders>
                    <w:top w:val="nil"/>
                    <w:bottom w:val="nil"/>
                  </w:tcBorders>
                  <w:vAlign w:val="top"/>
                </w:tcPr>
                <w:p w14:paraId="37E03194">
                  <w:pPr>
                    <w:rPr>
                      <w:rFonts w:ascii="Arial"/>
                      <w:sz w:val="21"/>
                    </w:rPr>
                  </w:pPr>
                </w:p>
              </w:tc>
              <w:tc>
                <w:tcPr>
                  <w:tcW w:w="1158" w:type="dxa"/>
                  <w:vMerge w:val="continue"/>
                  <w:tcBorders>
                    <w:top w:val="nil"/>
                    <w:bottom w:val="nil"/>
                    <w:right w:val="single" w:color="000000" w:sz="6" w:space="0"/>
                  </w:tcBorders>
                  <w:vAlign w:val="top"/>
                </w:tcPr>
                <w:p w14:paraId="14038832">
                  <w:pPr>
                    <w:rPr>
                      <w:rFonts w:ascii="Arial"/>
                      <w:sz w:val="21"/>
                    </w:rPr>
                  </w:pPr>
                </w:p>
              </w:tc>
            </w:tr>
            <w:tr w14:paraId="4B5E2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bottom w:val="nil"/>
                  </w:tcBorders>
                  <w:vAlign w:val="top"/>
                </w:tcPr>
                <w:p w14:paraId="581E6B24">
                  <w:pPr>
                    <w:rPr>
                      <w:rFonts w:ascii="Arial"/>
                      <w:sz w:val="21"/>
                    </w:rPr>
                  </w:pPr>
                </w:p>
              </w:tc>
              <w:tc>
                <w:tcPr>
                  <w:tcW w:w="1052" w:type="dxa"/>
                  <w:vAlign w:val="top"/>
                </w:tcPr>
                <w:p w14:paraId="62908794">
                  <w:pPr>
                    <w:spacing w:before="9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212</w:t>
                  </w:r>
                </w:p>
              </w:tc>
              <w:tc>
                <w:tcPr>
                  <w:tcW w:w="1192" w:type="dxa"/>
                  <w:vAlign w:val="top"/>
                </w:tcPr>
                <w:p w14:paraId="709396FB">
                  <w:pPr>
                    <w:spacing w:before="91"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3205.44</w:t>
                  </w:r>
                </w:p>
              </w:tc>
              <w:tc>
                <w:tcPr>
                  <w:tcW w:w="953" w:type="dxa"/>
                  <w:vAlign w:val="top"/>
                </w:tcPr>
                <w:p w14:paraId="6DEC704B">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T27</w:t>
                  </w:r>
                </w:p>
              </w:tc>
              <w:tc>
                <w:tcPr>
                  <w:tcW w:w="1053" w:type="dxa"/>
                  <w:vAlign w:val="top"/>
                </w:tcPr>
                <w:p w14:paraId="6A8CF409">
                  <w:pPr>
                    <w:spacing w:before="9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687" w:type="dxa"/>
                  <w:vMerge w:val="continue"/>
                  <w:tcBorders>
                    <w:top w:val="nil"/>
                    <w:bottom w:val="nil"/>
                  </w:tcBorders>
                  <w:vAlign w:val="top"/>
                </w:tcPr>
                <w:p w14:paraId="0B89AD3E">
                  <w:pPr>
                    <w:rPr>
                      <w:rFonts w:ascii="Arial"/>
                      <w:sz w:val="21"/>
                    </w:rPr>
                  </w:pPr>
                </w:p>
              </w:tc>
              <w:tc>
                <w:tcPr>
                  <w:tcW w:w="915" w:type="dxa"/>
                  <w:vMerge w:val="continue"/>
                  <w:tcBorders>
                    <w:top w:val="nil"/>
                    <w:bottom w:val="nil"/>
                  </w:tcBorders>
                  <w:vAlign w:val="top"/>
                </w:tcPr>
                <w:p w14:paraId="6588F499">
                  <w:pPr>
                    <w:rPr>
                      <w:rFonts w:ascii="Arial"/>
                      <w:sz w:val="21"/>
                    </w:rPr>
                  </w:pPr>
                </w:p>
              </w:tc>
              <w:tc>
                <w:tcPr>
                  <w:tcW w:w="1158" w:type="dxa"/>
                  <w:vMerge w:val="continue"/>
                  <w:tcBorders>
                    <w:top w:val="nil"/>
                    <w:bottom w:val="nil"/>
                    <w:right w:val="single" w:color="000000" w:sz="6" w:space="0"/>
                  </w:tcBorders>
                  <w:vAlign w:val="top"/>
                </w:tcPr>
                <w:p w14:paraId="66E5EB14">
                  <w:pPr>
                    <w:rPr>
                      <w:rFonts w:ascii="Arial"/>
                      <w:sz w:val="21"/>
                    </w:rPr>
                  </w:pPr>
                </w:p>
              </w:tc>
            </w:tr>
            <w:tr w14:paraId="34537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01" w:type="dxa"/>
                  <w:vMerge w:val="continue"/>
                  <w:tcBorders>
                    <w:top w:val="nil"/>
                    <w:left w:val="single" w:color="000000" w:sz="6" w:space="0"/>
                    <w:bottom w:val="nil"/>
                  </w:tcBorders>
                  <w:vAlign w:val="top"/>
                </w:tcPr>
                <w:p w14:paraId="3D817A61">
                  <w:pPr>
                    <w:rPr>
                      <w:rFonts w:ascii="Arial"/>
                      <w:sz w:val="21"/>
                    </w:rPr>
                  </w:pPr>
                </w:p>
              </w:tc>
              <w:tc>
                <w:tcPr>
                  <w:tcW w:w="1052" w:type="dxa"/>
                  <w:vAlign w:val="top"/>
                </w:tcPr>
                <w:p w14:paraId="5A889DD5">
                  <w:pPr>
                    <w:spacing w:before="9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2" w:type="dxa"/>
                  <w:vAlign w:val="top"/>
                </w:tcPr>
                <w:p w14:paraId="0F42BAEC">
                  <w:pPr>
                    <w:spacing w:before="92"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3" w:type="dxa"/>
                  <w:vAlign w:val="top"/>
                </w:tcPr>
                <w:p w14:paraId="1C9E737C">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T28</w:t>
                  </w:r>
                </w:p>
              </w:tc>
              <w:tc>
                <w:tcPr>
                  <w:tcW w:w="1053" w:type="dxa"/>
                  <w:vAlign w:val="top"/>
                </w:tcPr>
                <w:p w14:paraId="7326D13D">
                  <w:pPr>
                    <w:spacing w:before="92"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2570C713">
                  <w:pPr>
                    <w:rPr>
                      <w:rFonts w:ascii="Arial"/>
                      <w:sz w:val="21"/>
                    </w:rPr>
                  </w:pPr>
                </w:p>
              </w:tc>
              <w:tc>
                <w:tcPr>
                  <w:tcW w:w="915" w:type="dxa"/>
                  <w:vMerge w:val="continue"/>
                  <w:tcBorders>
                    <w:top w:val="nil"/>
                    <w:bottom w:val="nil"/>
                  </w:tcBorders>
                  <w:vAlign w:val="top"/>
                </w:tcPr>
                <w:p w14:paraId="61683A3C">
                  <w:pPr>
                    <w:rPr>
                      <w:rFonts w:ascii="Arial"/>
                      <w:sz w:val="21"/>
                    </w:rPr>
                  </w:pPr>
                </w:p>
              </w:tc>
              <w:tc>
                <w:tcPr>
                  <w:tcW w:w="1158" w:type="dxa"/>
                  <w:vMerge w:val="continue"/>
                  <w:tcBorders>
                    <w:top w:val="nil"/>
                    <w:bottom w:val="nil"/>
                    <w:right w:val="single" w:color="000000" w:sz="6" w:space="0"/>
                  </w:tcBorders>
                  <w:vAlign w:val="top"/>
                </w:tcPr>
                <w:p w14:paraId="11D7D92F">
                  <w:pPr>
                    <w:rPr>
                      <w:rFonts w:ascii="Arial"/>
                      <w:sz w:val="21"/>
                    </w:rPr>
                  </w:pPr>
                </w:p>
              </w:tc>
            </w:tr>
            <w:tr w14:paraId="7A379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001" w:type="dxa"/>
                  <w:vMerge w:val="continue"/>
                  <w:tcBorders>
                    <w:top w:val="nil"/>
                    <w:left w:val="single" w:color="000000" w:sz="6" w:space="0"/>
                    <w:bottom w:val="nil"/>
                  </w:tcBorders>
                  <w:vAlign w:val="top"/>
                </w:tcPr>
                <w:p w14:paraId="2F632BBB">
                  <w:pPr>
                    <w:rPr>
                      <w:rFonts w:ascii="Arial"/>
                      <w:sz w:val="21"/>
                    </w:rPr>
                  </w:pPr>
                </w:p>
              </w:tc>
              <w:tc>
                <w:tcPr>
                  <w:tcW w:w="1052" w:type="dxa"/>
                  <w:tcBorders>
                    <w:bottom w:val="nil"/>
                  </w:tcBorders>
                  <w:vAlign w:val="top"/>
                </w:tcPr>
                <w:p w14:paraId="04268B4F">
                  <w:pPr>
                    <w:spacing w:before="9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2" w:type="dxa"/>
                  <w:tcBorders>
                    <w:bottom w:val="nil"/>
                  </w:tcBorders>
                  <w:vAlign w:val="top"/>
                </w:tcPr>
                <w:p w14:paraId="20E19138">
                  <w:pPr>
                    <w:spacing w:before="91"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3" w:type="dxa"/>
                  <w:tcBorders>
                    <w:bottom w:val="nil"/>
                  </w:tcBorders>
                  <w:vAlign w:val="top"/>
                </w:tcPr>
                <w:p w14:paraId="01CF0B7C">
                  <w:pPr>
                    <w:spacing w:before="9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T29</w:t>
                  </w:r>
                </w:p>
              </w:tc>
              <w:tc>
                <w:tcPr>
                  <w:tcW w:w="1053" w:type="dxa"/>
                  <w:tcBorders>
                    <w:bottom w:val="nil"/>
                  </w:tcBorders>
                  <w:vAlign w:val="top"/>
                </w:tcPr>
                <w:p w14:paraId="4E6B228B">
                  <w:pPr>
                    <w:spacing w:before="91"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199E07C3">
                  <w:pPr>
                    <w:rPr>
                      <w:rFonts w:ascii="Arial"/>
                      <w:sz w:val="21"/>
                    </w:rPr>
                  </w:pPr>
                </w:p>
              </w:tc>
              <w:tc>
                <w:tcPr>
                  <w:tcW w:w="915" w:type="dxa"/>
                  <w:vMerge w:val="continue"/>
                  <w:tcBorders>
                    <w:top w:val="nil"/>
                    <w:bottom w:val="nil"/>
                  </w:tcBorders>
                  <w:vAlign w:val="top"/>
                </w:tcPr>
                <w:p w14:paraId="401DF874">
                  <w:pPr>
                    <w:rPr>
                      <w:rFonts w:ascii="Arial"/>
                      <w:sz w:val="21"/>
                    </w:rPr>
                  </w:pPr>
                </w:p>
              </w:tc>
              <w:tc>
                <w:tcPr>
                  <w:tcW w:w="1158" w:type="dxa"/>
                  <w:vMerge w:val="continue"/>
                  <w:tcBorders>
                    <w:top w:val="nil"/>
                    <w:bottom w:val="nil"/>
                    <w:right w:val="single" w:color="000000" w:sz="6" w:space="0"/>
                  </w:tcBorders>
                  <w:vAlign w:val="top"/>
                </w:tcPr>
                <w:p w14:paraId="5C2C9983">
                  <w:pPr>
                    <w:rPr>
                      <w:rFonts w:ascii="Arial"/>
                      <w:sz w:val="21"/>
                    </w:rPr>
                  </w:pPr>
                </w:p>
              </w:tc>
            </w:tr>
          </w:tbl>
          <w:p w14:paraId="6108EFF9">
            <w:pPr>
              <w:spacing w:line="98" w:lineRule="auto"/>
              <w:rPr>
                <w:rFonts w:ascii="Arial"/>
                <w:sz w:val="2"/>
              </w:rPr>
            </w:pPr>
          </w:p>
        </w:tc>
      </w:tr>
    </w:tbl>
    <w:p w14:paraId="7286ACA0">
      <w:pPr>
        <w:rPr>
          <w:rFonts w:ascii="Arial"/>
          <w:sz w:val="21"/>
        </w:rPr>
      </w:pPr>
    </w:p>
    <w:p w14:paraId="04DE8FAD">
      <w:pPr>
        <w:rPr>
          <w:rFonts w:ascii="Arial" w:hAnsi="Arial" w:eastAsia="Arial" w:cs="Arial"/>
          <w:sz w:val="21"/>
          <w:szCs w:val="21"/>
        </w:rPr>
        <w:sectPr>
          <w:footerReference r:id="rId55" w:type="default"/>
          <w:pgSz w:w="11906" w:h="16839"/>
          <w:pgMar w:top="1431" w:right="1415" w:bottom="1278" w:left="1415" w:header="0" w:footer="1116" w:gutter="0"/>
          <w:cols w:space="720" w:num="1"/>
        </w:sectPr>
      </w:pPr>
    </w:p>
    <w:p w14:paraId="42731AA9">
      <w:pPr>
        <w:spacing w:line="99" w:lineRule="exact"/>
      </w:pPr>
    </w:p>
    <w:tbl>
      <w:tblPr>
        <w:tblStyle w:val="5"/>
        <w:tblW w:w="9060"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60"/>
      </w:tblGrid>
      <w:tr w14:paraId="00406B7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35" w:hRule="atLeast"/>
        </w:trPr>
        <w:tc>
          <w:tcPr>
            <w:tcW w:w="9060" w:type="dxa"/>
            <w:vAlign w:val="top"/>
          </w:tcPr>
          <w:tbl>
            <w:tblPr>
              <w:tblStyle w:val="5"/>
              <w:tblW w:w="8266" w:type="dxa"/>
              <w:tblInd w:w="6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5"/>
              <w:gridCol w:w="277"/>
              <w:gridCol w:w="778"/>
              <w:gridCol w:w="1193"/>
              <w:gridCol w:w="517"/>
              <w:gridCol w:w="438"/>
              <w:gridCol w:w="435"/>
              <w:gridCol w:w="620"/>
              <w:gridCol w:w="687"/>
              <w:gridCol w:w="155"/>
              <w:gridCol w:w="761"/>
              <w:gridCol w:w="1150"/>
              <w:gridCol w:w="140"/>
            </w:tblGrid>
            <w:tr w14:paraId="22B6D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115" w:type="dxa"/>
                  <w:tcBorders>
                    <w:top w:val="nil"/>
                  </w:tcBorders>
                  <w:vAlign w:val="top"/>
                </w:tcPr>
                <w:p w14:paraId="3593EC97">
                  <w:pPr>
                    <w:rPr>
                      <w:rFonts w:ascii="Arial"/>
                      <w:sz w:val="21"/>
                    </w:rPr>
                  </w:pPr>
                </w:p>
              </w:tc>
              <w:tc>
                <w:tcPr>
                  <w:tcW w:w="1055" w:type="dxa"/>
                  <w:gridSpan w:val="2"/>
                  <w:tcBorders>
                    <w:top w:val="nil"/>
                  </w:tcBorders>
                  <w:vAlign w:val="top"/>
                </w:tcPr>
                <w:p w14:paraId="28A1F4E6">
                  <w:pPr>
                    <w:spacing w:before="101"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3" w:type="dxa"/>
                  <w:tcBorders>
                    <w:top w:val="nil"/>
                  </w:tcBorders>
                  <w:vAlign w:val="top"/>
                </w:tcPr>
                <w:p w14:paraId="7720B842">
                  <w:pPr>
                    <w:spacing w:before="10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5" w:type="dxa"/>
                  <w:gridSpan w:val="2"/>
                  <w:tcBorders>
                    <w:top w:val="nil"/>
                  </w:tcBorders>
                  <w:vAlign w:val="top"/>
                </w:tcPr>
                <w:p w14:paraId="30327C76">
                  <w:pPr>
                    <w:spacing w:before="10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T30</w:t>
                  </w:r>
                </w:p>
              </w:tc>
              <w:tc>
                <w:tcPr>
                  <w:tcW w:w="1055" w:type="dxa"/>
                  <w:gridSpan w:val="2"/>
                  <w:tcBorders>
                    <w:top w:val="nil"/>
                  </w:tcBorders>
                  <w:vAlign w:val="top"/>
                </w:tcPr>
                <w:p w14:paraId="2C52B50F">
                  <w:pPr>
                    <w:spacing w:before="101"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restart"/>
                  <w:tcBorders>
                    <w:top w:val="nil"/>
                    <w:bottom w:val="nil"/>
                  </w:tcBorders>
                  <w:vAlign w:val="top"/>
                </w:tcPr>
                <w:p w14:paraId="03417768">
                  <w:pPr>
                    <w:rPr>
                      <w:rFonts w:ascii="Arial"/>
                      <w:sz w:val="21"/>
                    </w:rPr>
                  </w:pPr>
                </w:p>
              </w:tc>
              <w:tc>
                <w:tcPr>
                  <w:tcW w:w="916" w:type="dxa"/>
                  <w:gridSpan w:val="2"/>
                  <w:vMerge w:val="restart"/>
                  <w:tcBorders>
                    <w:top w:val="nil"/>
                    <w:bottom w:val="nil"/>
                  </w:tcBorders>
                  <w:vAlign w:val="top"/>
                </w:tcPr>
                <w:p w14:paraId="27358EF6">
                  <w:pPr>
                    <w:rPr>
                      <w:rFonts w:ascii="Arial"/>
                      <w:sz w:val="21"/>
                    </w:rPr>
                  </w:pPr>
                </w:p>
              </w:tc>
              <w:tc>
                <w:tcPr>
                  <w:tcW w:w="1150" w:type="dxa"/>
                  <w:vMerge w:val="restart"/>
                  <w:tcBorders>
                    <w:top w:val="nil"/>
                    <w:bottom w:val="nil"/>
                    <w:right w:val="single" w:color="000000" w:sz="6" w:space="0"/>
                  </w:tcBorders>
                  <w:vAlign w:val="top"/>
                </w:tcPr>
                <w:p w14:paraId="05EBCF0B">
                  <w:pPr>
                    <w:rPr>
                      <w:rFonts w:ascii="Arial"/>
                      <w:sz w:val="21"/>
                    </w:rPr>
                  </w:pPr>
                </w:p>
              </w:tc>
              <w:tc>
                <w:tcPr>
                  <w:tcW w:w="140" w:type="dxa"/>
                  <w:vMerge w:val="restart"/>
                  <w:tcBorders>
                    <w:top w:val="nil"/>
                    <w:left w:val="single" w:color="000000" w:sz="6" w:space="0"/>
                    <w:bottom w:val="nil"/>
                    <w:right w:val="nil"/>
                  </w:tcBorders>
                  <w:vAlign w:val="top"/>
                </w:tcPr>
                <w:p w14:paraId="403A6102">
                  <w:pPr>
                    <w:rPr>
                      <w:rFonts w:ascii="Arial"/>
                      <w:sz w:val="21"/>
                    </w:rPr>
                  </w:pPr>
                </w:p>
              </w:tc>
            </w:tr>
            <w:tr w14:paraId="3357E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15" w:type="dxa"/>
                  <w:vMerge w:val="restart"/>
                  <w:tcBorders>
                    <w:bottom w:val="nil"/>
                  </w:tcBorders>
                  <w:vAlign w:val="top"/>
                </w:tcPr>
                <w:p w14:paraId="53E17CE7">
                  <w:pPr>
                    <w:pStyle w:val="6"/>
                    <w:spacing w:before="221" w:line="228" w:lineRule="auto"/>
                    <w:ind w:left="295"/>
                    <w:rPr>
                      <w:rFonts w:ascii="Times New Roman" w:hAnsi="Times New Roman" w:eastAsia="Times New Roman" w:cs="Times New Roman"/>
                      <w:sz w:val="20"/>
                      <w:szCs w:val="20"/>
                    </w:rPr>
                  </w:pPr>
                  <w:r>
                    <w:rPr>
                      <w:spacing w:val="-6"/>
                      <w:sz w:val="20"/>
                      <w:szCs w:val="20"/>
                    </w:rPr>
                    <w:t>区块</w:t>
                  </w:r>
                  <w:r>
                    <w:rPr>
                      <w:spacing w:val="-18"/>
                      <w:sz w:val="20"/>
                      <w:szCs w:val="20"/>
                    </w:rPr>
                    <w:t xml:space="preserve"> </w:t>
                  </w:r>
                  <w:r>
                    <w:rPr>
                      <w:rFonts w:ascii="Times New Roman" w:hAnsi="Times New Roman" w:eastAsia="Times New Roman" w:cs="Times New Roman"/>
                      <w:spacing w:val="-6"/>
                      <w:sz w:val="20"/>
                      <w:szCs w:val="20"/>
                    </w:rPr>
                    <w:t>15</w:t>
                  </w:r>
                </w:p>
              </w:tc>
              <w:tc>
                <w:tcPr>
                  <w:tcW w:w="1055" w:type="dxa"/>
                  <w:gridSpan w:val="2"/>
                  <w:vAlign w:val="top"/>
                </w:tcPr>
                <w:p w14:paraId="7990975B">
                  <w:pPr>
                    <w:spacing w:before="91"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193" w:type="dxa"/>
                  <w:vAlign w:val="top"/>
                </w:tcPr>
                <w:p w14:paraId="58DE02C1">
                  <w:pPr>
                    <w:spacing w:before="9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1209.6</w:t>
                  </w:r>
                </w:p>
              </w:tc>
              <w:tc>
                <w:tcPr>
                  <w:tcW w:w="955" w:type="dxa"/>
                  <w:gridSpan w:val="2"/>
                  <w:vAlign w:val="top"/>
                </w:tcPr>
                <w:p w14:paraId="73E83024">
                  <w:pPr>
                    <w:spacing w:before="9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T39</w:t>
                  </w:r>
                </w:p>
              </w:tc>
              <w:tc>
                <w:tcPr>
                  <w:tcW w:w="1055" w:type="dxa"/>
                  <w:gridSpan w:val="2"/>
                  <w:vAlign w:val="top"/>
                </w:tcPr>
                <w:p w14:paraId="18427A0F">
                  <w:pPr>
                    <w:spacing w:before="91"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687" w:type="dxa"/>
                  <w:vMerge w:val="continue"/>
                  <w:tcBorders>
                    <w:top w:val="nil"/>
                    <w:bottom w:val="nil"/>
                  </w:tcBorders>
                  <w:vAlign w:val="top"/>
                </w:tcPr>
                <w:p w14:paraId="25010941">
                  <w:pPr>
                    <w:rPr>
                      <w:rFonts w:ascii="Arial"/>
                      <w:sz w:val="21"/>
                    </w:rPr>
                  </w:pPr>
                </w:p>
              </w:tc>
              <w:tc>
                <w:tcPr>
                  <w:tcW w:w="916" w:type="dxa"/>
                  <w:gridSpan w:val="2"/>
                  <w:vMerge w:val="continue"/>
                  <w:tcBorders>
                    <w:top w:val="nil"/>
                    <w:bottom w:val="nil"/>
                  </w:tcBorders>
                  <w:vAlign w:val="top"/>
                </w:tcPr>
                <w:p w14:paraId="7D9ACFB4">
                  <w:pPr>
                    <w:rPr>
                      <w:rFonts w:ascii="Arial"/>
                      <w:sz w:val="21"/>
                    </w:rPr>
                  </w:pPr>
                </w:p>
              </w:tc>
              <w:tc>
                <w:tcPr>
                  <w:tcW w:w="1150" w:type="dxa"/>
                  <w:vMerge w:val="continue"/>
                  <w:tcBorders>
                    <w:top w:val="nil"/>
                    <w:bottom w:val="nil"/>
                    <w:right w:val="single" w:color="000000" w:sz="6" w:space="0"/>
                  </w:tcBorders>
                  <w:vAlign w:val="top"/>
                </w:tcPr>
                <w:p w14:paraId="2726161D">
                  <w:pPr>
                    <w:rPr>
                      <w:rFonts w:ascii="Arial"/>
                      <w:sz w:val="21"/>
                    </w:rPr>
                  </w:pPr>
                </w:p>
              </w:tc>
              <w:tc>
                <w:tcPr>
                  <w:tcW w:w="140" w:type="dxa"/>
                  <w:vMerge w:val="continue"/>
                  <w:tcBorders>
                    <w:top w:val="nil"/>
                    <w:left w:val="single" w:color="000000" w:sz="6" w:space="0"/>
                    <w:bottom w:val="nil"/>
                    <w:right w:val="nil"/>
                  </w:tcBorders>
                  <w:vAlign w:val="top"/>
                </w:tcPr>
                <w:p w14:paraId="76C93305">
                  <w:pPr>
                    <w:rPr>
                      <w:rFonts w:ascii="Arial"/>
                      <w:sz w:val="21"/>
                    </w:rPr>
                  </w:pPr>
                </w:p>
              </w:tc>
            </w:tr>
            <w:tr w14:paraId="581F4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15" w:type="dxa"/>
                  <w:vMerge w:val="continue"/>
                  <w:tcBorders>
                    <w:top w:val="nil"/>
                  </w:tcBorders>
                  <w:vAlign w:val="top"/>
                </w:tcPr>
                <w:p w14:paraId="7B944AB9">
                  <w:pPr>
                    <w:rPr>
                      <w:rFonts w:ascii="Arial"/>
                      <w:sz w:val="21"/>
                    </w:rPr>
                  </w:pPr>
                </w:p>
              </w:tc>
              <w:tc>
                <w:tcPr>
                  <w:tcW w:w="1055" w:type="dxa"/>
                  <w:gridSpan w:val="2"/>
                  <w:vAlign w:val="top"/>
                </w:tcPr>
                <w:p w14:paraId="4E37E476">
                  <w:pPr>
                    <w:spacing w:before="93"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191</w:t>
                  </w:r>
                </w:p>
              </w:tc>
              <w:tc>
                <w:tcPr>
                  <w:tcW w:w="1193" w:type="dxa"/>
                  <w:vAlign w:val="top"/>
                </w:tcPr>
                <w:p w14:paraId="7838005D">
                  <w:pPr>
                    <w:spacing w:before="93"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2887.92</w:t>
                  </w:r>
                </w:p>
              </w:tc>
              <w:tc>
                <w:tcPr>
                  <w:tcW w:w="955" w:type="dxa"/>
                  <w:gridSpan w:val="2"/>
                  <w:vAlign w:val="top"/>
                </w:tcPr>
                <w:p w14:paraId="396B6507">
                  <w:pPr>
                    <w:spacing w:before="9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T40</w:t>
                  </w:r>
                </w:p>
              </w:tc>
              <w:tc>
                <w:tcPr>
                  <w:tcW w:w="1055" w:type="dxa"/>
                  <w:gridSpan w:val="2"/>
                  <w:vAlign w:val="top"/>
                </w:tcPr>
                <w:p w14:paraId="08AE6A1D">
                  <w:pPr>
                    <w:spacing w:before="93"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687" w:type="dxa"/>
                  <w:vMerge w:val="continue"/>
                  <w:tcBorders>
                    <w:top w:val="nil"/>
                  </w:tcBorders>
                  <w:vAlign w:val="top"/>
                </w:tcPr>
                <w:p w14:paraId="4A70373F">
                  <w:pPr>
                    <w:rPr>
                      <w:rFonts w:ascii="Arial"/>
                      <w:sz w:val="21"/>
                    </w:rPr>
                  </w:pPr>
                </w:p>
              </w:tc>
              <w:tc>
                <w:tcPr>
                  <w:tcW w:w="916" w:type="dxa"/>
                  <w:gridSpan w:val="2"/>
                  <w:vMerge w:val="continue"/>
                  <w:tcBorders>
                    <w:top w:val="nil"/>
                  </w:tcBorders>
                  <w:vAlign w:val="top"/>
                </w:tcPr>
                <w:p w14:paraId="6944D55D">
                  <w:pPr>
                    <w:rPr>
                      <w:rFonts w:ascii="Arial"/>
                      <w:sz w:val="21"/>
                    </w:rPr>
                  </w:pPr>
                </w:p>
              </w:tc>
              <w:tc>
                <w:tcPr>
                  <w:tcW w:w="1150" w:type="dxa"/>
                  <w:vMerge w:val="continue"/>
                  <w:tcBorders>
                    <w:top w:val="nil"/>
                    <w:right w:val="single" w:color="000000" w:sz="6" w:space="0"/>
                  </w:tcBorders>
                  <w:vAlign w:val="top"/>
                </w:tcPr>
                <w:p w14:paraId="32F25D29">
                  <w:pPr>
                    <w:rPr>
                      <w:rFonts w:ascii="Arial"/>
                      <w:sz w:val="21"/>
                    </w:rPr>
                  </w:pPr>
                </w:p>
              </w:tc>
              <w:tc>
                <w:tcPr>
                  <w:tcW w:w="140" w:type="dxa"/>
                  <w:vMerge w:val="continue"/>
                  <w:tcBorders>
                    <w:top w:val="nil"/>
                    <w:left w:val="single" w:color="000000" w:sz="6" w:space="0"/>
                    <w:bottom w:val="nil"/>
                    <w:right w:val="nil"/>
                  </w:tcBorders>
                  <w:vAlign w:val="top"/>
                </w:tcPr>
                <w:p w14:paraId="7778CBA3">
                  <w:pPr>
                    <w:rPr>
                      <w:rFonts w:ascii="Arial"/>
                      <w:sz w:val="21"/>
                    </w:rPr>
                  </w:pPr>
                </w:p>
              </w:tc>
            </w:tr>
            <w:tr w14:paraId="7E363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115" w:type="dxa"/>
                  <w:vMerge w:val="restart"/>
                  <w:tcBorders>
                    <w:bottom w:val="nil"/>
                  </w:tcBorders>
                  <w:vAlign w:val="top"/>
                </w:tcPr>
                <w:p w14:paraId="6ED51F48">
                  <w:pPr>
                    <w:spacing w:line="250" w:lineRule="auto"/>
                    <w:rPr>
                      <w:rFonts w:ascii="Arial"/>
                      <w:sz w:val="21"/>
                    </w:rPr>
                  </w:pPr>
                </w:p>
                <w:p w14:paraId="776CFA00">
                  <w:pPr>
                    <w:spacing w:line="250" w:lineRule="auto"/>
                    <w:rPr>
                      <w:rFonts w:ascii="Arial"/>
                      <w:sz w:val="21"/>
                    </w:rPr>
                  </w:pPr>
                </w:p>
                <w:p w14:paraId="049BEDD1">
                  <w:pPr>
                    <w:spacing w:line="251" w:lineRule="auto"/>
                    <w:rPr>
                      <w:rFonts w:ascii="Arial"/>
                      <w:sz w:val="21"/>
                    </w:rPr>
                  </w:pPr>
                </w:p>
                <w:p w14:paraId="10987837">
                  <w:pPr>
                    <w:spacing w:line="251" w:lineRule="auto"/>
                    <w:rPr>
                      <w:rFonts w:ascii="Arial"/>
                      <w:sz w:val="21"/>
                    </w:rPr>
                  </w:pPr>
                </w:p>
                <w:p w14:paraId="277D2105">
                  <w:pPr>
                    <w:pStyle w:val="6"/>
                    <w:spacing w:before="65"/>
                    <w:ind w:left="244" w:right="63" w:firstLine="103"/>
                    <w:rPr>
                      <w:sz w:val="20"/>
                      <w:szCs w:val="20"/>
                    </w:rPr>
                  </w:pPr>
                  <w:r>
                    <w:rPr>
                      <w:spacing w:val="-5"/>
                      <w:sz w:val="20"/>
                      <w:szCs w:val="20"/>
                    </w:rPr>
                    <w:t>区块</w:t>
                  </w:r>
                  <w:r>
                    <w:rPr>
                      <w:spacing w:val="-33"/>
                      <w:sz w:val="20"/>
                      <w:szCs w:val="20"/>
                    </w:rPr>
                    <w:t xml:space="preserve"> </w:t>
                  </w:r>
                  <w:r>
                    <w:rPr>
                      <w:rFonts w:ascii="Times New Roman" w:hAnsi="Times New Roman" w:eastAsia="Times New Roman" w:cs="Times New Roman"/>
                      <w:spacing w:val="-5"/>
                      <w:sz w:val="20"/>
                      <w:szCs w:val="20"/>
                    </w:rPr>
                    <w:t>8</w:t>
                  </w:r>
                  <w:r>
                    <w:rPr>
                      <w:rFonts w:ascii="Times New Roman" w:hAnsi="Times New Roman" w:eastAsia="Times New Roman" w:cs="Times New Roman"/>
                      <w:sz w:val="20"/>
                      <w:szCs w:val="20"/>
                    </w:rPr>
                    <w:t xml:space="preserve">    </w:t>
                  </w:r>
                  <w:r>
                    <w:rPr>
                      <w:sz w:val="20"/>
                      <w:szCs w:val="20"/>
                    </w:rPr>
                    <w:t>（中间）</w:t>
                  </w:r>
                </w:p>
              </w:tc>
              <w:tc>
                <w:tcPr>
                  <w:tcW w:w="1055" w:type="dxa"/>
                  <w:gridSpan w:val="2"/>
                  <w:vAlign w:val="top"/>
                </w:tcPr>
                <w:p w14:paraId="12DC6F68">
                  <w:pPr>
                    <w:spacing w:before="92"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3" w:type="dxa"/>
                  <w:vAlign w:val="top"/>
                </w:tcPr>
                <w:p w14:paraId="3C5DAC9B">
                  <w:pPr>
                    <w:spacing w:before="9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5" w:type="dxa"/>
                  <w:gridSpan w:val="2"/>
                  <w:vAlign w:val="top"/>
                </w:tcPr>
                <w:p w14:paraId="319525D4">
                  <w:pPr>
                    <w:spacing w:before="9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T31</w:t>
                  </w:r>
                </w:p>
              </w:tc>
              <w:tc>
                <w:tcPr>
                  <w:tcW w:w="1055" w:type="dxa"/>
                  <w:gridSpan w:val="2"/>
                  <w:vAlign w:val="top"/>
                </w:tcPr>
                <w:p w14:paraId="0CB06433">
                  <w:pPr>
                    <w:spacing w:before="9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restart"/>
                  <w:tcBorders>
                    <w:bottom w:val="nil"/>
                  </w:tcBorders>
                  <w:vAlign w:val="top"/>
                </w:tcPr>
                <w:p w14:paraId="46210F9B">
                  <w:pPr>
                    <w:spacing w:line="257" w:lineRule="auto"/>
                    <w:rPr>
                      <w:rFonts w:ascii="Arial"/>
                      <w:sz w:val="21"/>
                    </w:rPr>
                  </w:pPr>
                </w:p>
                <w:p w14:paraId="597B3CBE">
                  <w:pPr>
                    <w:spacing w:line="257" w:lineRule="auto"/>
                    <w:rPr>
                      <w:rFonts w:ascii="Arial"/>
                      <w:sz w:val="21"/>
                    </w:rPr>
                  </w:pPr>
                </w:p>
                <w:p w14:paraId="6900D908">
                  <w:pPr>
                    <w:spacing w:line="257" w:lineRule="auto"/>
                    <w:rPr>
                      <w:rFonts w:ascii="Arial"/>
                      <w:sz w:val="21"/>
                    </w:rPr>
                  </w:pPr>
                </w:p>
                <w:p w14:paraId="53FE9367">
                  <w:pPr>
                    <w:pStyle w:val="6"/>
                    <w:spacing w:before="58" w:line="243" w:lineRule="auto"/>
                    <w:ind w:left="115" w:right="111" w:hanging="2"/>
                    <w:jc w:val="both"/>
                    <w:rPr>
                      <w:sz w:val="20"/>
                      <w:szCs w:val="20"/>
                    </w:rPr>
                  </w:pP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 xml:space="preserve">kV </w:t>
                  </w:r>
                  <w:r>
                    <w:rPr>
                      <w:spacing w:val="15"/>
                      <w:sz w:val="20"/>
                      <w:szCs w:val="20"/>
                    </w:rPr>
                    <w:t>集电</w:t>
                  </w:r>
                  <w:r>
                    <w:rPr>
                      <w:sz w:val="20"/>
                      <w:szCs w:val="20"/>
                    </w:rPr>
                    <w:t xml:space="preserve"> </w:t>
                  </w:r>
                  <w:r>
                    <w:rPr>
                      <w:spacing w:val="3"/>
                      <w:sz w:val="20"/>
                      <w:szCs w:val="20"/>
                    </w:rPr>
                    <w:t>线路</w:t>
                  </w:r>
                  <w:r>
                    <w:rPr>
                      <w:sz w:val="20"/>
                      <w:szCs w:val="20"/>
                    </w:rPr>
                    <w:t xml:space="preserve"> </w:t>
                  </w:r>
                  <w:r>
                    <w:rPr>
                      <w:rFonts w:ascii="Times New Roman" w:hAnsi="Times New Roman" w:eastAsia="Times New Roman" w:cs="Times New Roman"/>
                      <w:spacing w:val="12"/>
                      <w:sz w:val="20"/>
                      <w:szCs w:val="20"/>
                    </w:rPr>
                    <w:t>D</w:t>
                  </w:r>
                  <w:r>
                    <w:rPr>
                      <w:rFonts w:ascii="Times New Roman" w:hAnsi="Times New Roman" w:eastAsia="Times New Roman" w:cs="Times New Roman"/>
                      <w:spacing w:val="31"/>
                      <w:w w:val="101"/>
                      <w:sz w:val="20"/>
                      <w:szCs w:val="20"/>
                    </w:rPr>
                    <w:t xml:space="preserve"> </w:t>
                  </w:r>
                  <w:r>
                    <w:rPr>
                      <w:spacing w:val="12"/>
                      <w:sz w:val="20"/>
                      <w:szCs w:val="20"/>
                    </w:rPr>
                    <w:t>回</w:t>
                  </w:r>
                </w:p>
              </w:tc>
              <w:tc>
                <w:tcPr>
                  <w:tcW w:w="916" w:type="dxa"/>
                  <w:gridSpan w:val="2"/>
                  <w:vMerge w:val="restart"/>
                  <w:tcBorders>
                    <w:bottom w:val="nil"/>
                  </w:tcBorders>
                  <w:vAlign w:val="top"/>
                </w:tcPr>
                <w:p w14:paraId="38176AF1">
                  <w:pPr>
                    <w:spacing w:line="295" w:lineRule="auto"/>
                    <w:rPr>
                      <w:rFonts w:ascii="Arial"/>
                      <w:sz w:val="21"/>
                    </w:rPr>
                  </w:pPr>
                </w:p>
                <w:p w14:paraId="1E4E25A0">
                  <w:pPr>
                    <w:spacing w:line="295" w:lineRule="auto"/>
                    <w:rPr>
                      <w:rFonts w:ascii="Arial"/>
                      <w:sz w:val="21"/>
                    </w:rPr>
                  </w:pPr>
                </w:p>
                <w:p w14:paraId="2CC131C4">
                  <w:pPr>
                    <w:spacing w:line="295" w:lineRule="auto"/>
                    <w:rPr>
                      <w:rFonts w:ascii="Arial"/>
                      <w:sz w:val="21"/>
                    </w:rPr>
                  </w:pPr>
                </w:p>
                <w:p w14:paraId="2BD098C2">
                  <w:pPr>
                    <w:spacing w:line="296" w:lineRule="auto"/>
                    <w:rPr>
                      <w:rFonts w:ascii="Arial"/>
                      <w:sz w:val="21"/>
                    </w:rPr>
                  </w:pPr>
                </w:p>
                <w:p w14:paraId="0880D0D2">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26400</w:t>
                  </w:r>
                </w:p>
              </w:tc>
              <w:tc>
                <w:tcPr>
                  <w:tcW w:w="1150" w:type="dxa"/>
                  <w:vMerge w:val="restart"/>
                  <w:tcBorders>
                    <w:bottom w:val="nil"/>
                    <w:right w:val="single" w:color="000000" w:sz="6" w:space="0"/>
                  </w:tcBorders>
                  <w:vAlign w:val="top"/>
                </w:tcPr>
                <w:p w14:paraId="15F70983">
                  <w:pPr>
                    <w:spacing w:line="295" w:lineRule="auto"/>
                    <w:rPr>
                      <w:rFonts w:ascii="Arial"/>
                      <w:sz w:val="21"/>
                    </w:rPr>
                  </w:pPr>
                </w:p>
                <w:p w14:paraId="6E71B1DD">
                  <w:pPr>
                    <w:spacing w:line="295" w:lineRule="auto"/>
                    <w:rPr>
                      <w:rFonts w:ascii="Arial"/>
                      <w:sz w:val="21"/>
                    </w:rPr>
                  </w:pPr>
                </w:p>
                <w:p w14:paraId="23B3E17C">
                  <w:pPr>
                    <w:spacing w:line="295" w:lineRule="auto"/>
                    <w:rPr>
                      <w:rFonts w:ascii="Arial"/>
                      <w:sz w:val="21"/>
                    </w:rPr>
                  </w:pPr>
                </w:p>
                <w:p w14:paraId="774E4789">
                  <w:pPr>
                    <w:spacing w:line="296" w:lineRule="auto"/>
                    <w:rPr>
                      <w:rFonts w:ascii="Arial"/>
                      <w:sz w:val="21"/>
                    </w:rPr>
                  </w:pPr>
                </w:p>
                <w:p w14:paraId="2947FF5B">
                  <w:pPr>
                    <w:spacing w:before="57"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31933.44</w:t>
                  </w:r>
                </w:p>
              </w:tc>
              <w:tc>
                <w:tcPr>
                  <w:tcW w:w="140" w:type="dxa"/>
                  <w:vMerge w:val="restart"/>
                  <w:tcBorders>
                    <w:top w:val="nil"/>
                    <w:left w:val="single" w:color="000000" w:sz="6" w:space="0"/>
                    <w:bottom w:val="nil"/>
                    <w:right w:val="nil"/>
                  </w:tcBorders>
                  <w:vAlign w:val="top"/>
                </w:tcPr>
                <w:p w14:paraId="126DCC34">
                  <w:pPr>
                    <w:rPr>
                      <w:rFonts w:ascii="Arial"/>
                      <w:sz w:val="21"/>
                    </w:rPr>
                  </w:pPr>
                </w:p>
              </w:tc>
            </w:tr>
            <w:tr w14:paraId="7659D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115" w:type="dxa"/>
                  <w:vMerge w:val="continue"/>
                  <w:tcBorders>
                    <w:top w:val="nil"/>
                    <w:bottom w:val="nil"/>
                  </w:tcBorders>
                  <w:vAlign w:val="top"/>
                </w:tcPr>
                <w:p w14:paraId="4759E77F">
                  <w:pPr>
                    <w:rPr>
                      <w:rFonts w:ascii="Arial"/>
                      <w:sz w:val="21"/>
                    </w:rPr>
                  </w:pPr>
                </w:p>
              </w:tc>
              <w:tc>
                <w:tcPr>
                  <w:tcW w:w="1055" w:type="dxa"/>
                  <w:gridSpan w:val="2"/>
                  <w:vAlign w:val="top"/>
                </w:tcPr>
                <w:p w14:paraId="09153BA3">
                  <w:pPr>
                    <w:spacing w:before="93"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3" w:type="dxa"/>
                  <w:vAlign w:val="top"/>
                </w:tcPr>
                <w:p w14:paraId="37B7BCE6">
                  <w:pPr>
                    <w:spacing w:before="9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5" w:type="dxa"/>
                  <w:gridSpan w:val="2"/>
                  <w:vAlign w:val="top"/>
                </w:tcPr>
                <w:p w14:paraId="499C27B7">
                  <w:pPr>
                    <w:spacing w:before="9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T32</w:t>
                  </w:r>
                </w:p>
              </w:tc>
              <w:tc>
                <w:tcPr>
                  <w:tcW w:w="1055" w:type="dxa"/>
                  <w:gridSpan w:val="2"/>
                  <w:vAlign w:val="top"/>
                </w:tcPr>
                <w:p w14:paraId="77DE0F95">
                  <w:pPr>
                    <w:spacing w:before="93"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2A930017">
                  <w:pPr>
                    <w:rPr>
                      <w:rFonts w:ascii="Arial"/>
                      <w:sz w:val="21"/>
                    </w:rPr>
                  </w:pPr>
                </w:p>
              </w:tc>
              <w:tc>
                <w:tcPr>
                  <w:tcW w:w="916" w:type="dxa"/>
                  <w:gridSpan w:val="2"/>
                  <w:vMerge w:val="continue"/>
                  <w:tcBorders>
                    <w:top w:val="nil"/>
                    <w:bottom w:val="nil"/>
                  </w:tcBorders>
                  <w:vAlign w:val="top"/>
                </w:tcPr>
                <w:p w14:paraId="7729539A">
                  <w:pPr>
                    <w:rPr>
                      <w:rFonts w:ascii="Arial"/>
                      <w:sz w:val="21"/>
                    </w:rPr>
                  </w:pPr>
                </w:p>
              </w:tc>
              <w:tc>
                <w:tcPr>
                  <w:tcW w:w="1150" w:type="dxa"/>
                  <w:vMerge w:val="continue"/>
                  <w:tcBorders>
                    <w:top w:val="nil"/>
                    <w:bottom w:val="nil"/>
                    <w:right w:val="single" w:color="000000" w:sz="6" w:space="0"/>
                  </w:tcBorders>
                  <w:vAlign w:val="top"/>
                </w:tcPr>
                <w:p w14:paraId="5BFD7C06">
                  <w:pPr>
                    <w:rPr>
                      <w:rFonts w:ascii="Arial"/>
                      <w:sz w:val="21"/>
                    </w:rPr>
                  </w:pPr>
                </w:p>
              </w:tc>
              <w:tc>
                <w:tcPr>
                  <w:tcW w:w="140" w:type="dxa"/>
                  <w:vMerge w:val="continue"/>
                  <w:tcBorders>
                    <w:top w:val="nil"/>
                    <w:left w:val="single" w:color="000000" w:sz="6" w:space="0"/>
                    <w:bottom w:val="nil"/>
                    <w:right w:val="nil"/>
                  </w:tcBorders>
                  <w:vAlign w:val="top"/>
                </w:tcPr>
                <w:p w14:paraId="27C4CD37">
                  <w:pPr>
                    <w:rPr>
                      <w:rFonts w:ascii="Arial"/>
                      <w:sz w:val="21"/>
                    </w:rPr>
                  </w:pPr>
                </w:p>
              </w:tc>
            </w:tr>
            <w:tr w14:paraId="54715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115" w:type="dxa"/>
                  <w:vMerge w:val="continue"/>
                  <w:tcBorders>
                    <w:top w:val="nil"/>
                    <w:bottom w:val="nil"/>
                  </w:tcBorders>
                  <w:vAlign w:val="top"/>
                </w:tcPr>
                <w:p w14:paraId="7E3341D3">
                  <w:pPr>
                    <w:rPr>
                      <w:rFonts w:ascii="Arial"/>
                      <w:sz w:val="21"/>
                    </w:rPr>
                  </w:pPr>
                </w:p>
              </w:tc>
              <w:tc>
                <w:tcPr>
                  <w:tcW w:w="1055" w:type="dxa"/>
                  <w:gridSpan w:val="2"/>
                  <w:vAlign w:val="top"/>
                </w:tcPr>
                <w:p w14:paraId="7AF38D7A">
                  <w:pPr>
                    <w:spacing w:before="92"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3" w:type="dxa"/>
                  <w:vAlign w:val="top"/>
                </w:tcPr>
                <w:p w14:paraId="3EE726C1">
                  <w:pPr>
                    <w:spacing w:before="9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5" w:type="dxa"/>
                  <w:gridSpan w:val="2"/>
                  <w:vAlign w:val="top"/>
                </w:tcPr>
                <w:p w14:paraId="6679A938">
                  <w:pPr>
                    <w:spacing w:before="9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T33</w:t>
                  </w:r>
                </w:p>
              </w:tc>
              <w:tc>
                <w:tcPr>
                  <w:tcW w:w="1055" w:type="dxa"/>
                  <w:gridSpan w:val="2"/>
                  <w:vAlign w:val="top"/>
                </w:tcPr>
                <w:p w14:paraId="0906A388">
                  <w:pPr>
                    <w:spacing w:before="9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34E07A5A">
                  <w:pPr>
                    <w:rPr>
                      <w:rFonts w:ascii="Arial"/>
                      <w:sz w:val="21"/>
                    </w:rPr>
                  </w:pPr>
                </w:p>
              </w:tc>
              <w:tc>
                <w:tcPr>
                  <w:tcW w:w="916" w:type="dxa"/>
                  <w:gridSpan w:val="2"/>
                  <w:vMerge w:val="continue"/>
                  <w:tcBorders>
                    <w:top w:val="nil"/>
                    <w:bottom w:val="nil"/>
                  </w:tcBorders>
                  <w:vAlign w:val="top"/>
                </w:tcPr>
                <w:p w14:paraId="674AE44D">
                  <w:pPr>
                    <w:rPr>
                      <w:rFonts w:ascii="Arial"/>
                      <w:sz w:val="21"/>
                    </w:rPr>
                  </w:pPr>
                </w:p>
              </w:tc>
              <w:tc>
                <w:tcPr>
                  <w:tcW w:w="1150" w:type="dxa"/>
                  <w:vMerge w:val="continue"/>
                  <w:tcBorders>
                    <w:top w:val="nil"/>
                    <w:bottom w:val="nil"/>
                    <w:right w:val="single" w:color="000000" w:sz="6" w:space="0"/>
                  </w:tcBorders>
                  <w:vAlign w:val="top"/>
                </w:tcPr>
                <w:p w14:paraId="2C8D5154">
                  <w:pPr>
                    <w:rPr>
                      <w:rFonts w:ascii="Arial"/>
                      <w:sz w:val="21"/>
                    </w:rPr>
                  </w:pPr>
                </w:p>
              </w:tc>
              <w:tc>
                <w:tcPr>
                  <w:tcW w:w="140" w:type="dxa"/>
                  <w:vMerge w:val="continue"/>
                  <w:tcBorders>
                    <w:top w:val="nil"/>
                    <w:left w:val="single" w:color="000000" w:sz="6" w:space="0"/>
                    <w:bottom w:val="nil"/>
                    <w:right w:val="nil"/>
                  </w:tcBorders>
                  <w:vAlign w:val="top"/>
                </w:tcPr>
                <w:p w14:paraId="6330CEC2">
                  <w:pPr>
                    <w:rPr>
                      <w:rFonts w:ascii="Arial"/>
                      <w:sz w:val="21"/>
                    </w:rPr>
                  </w:pPr>
                </w:p>
              </w:tc>
            </w:tr>
            <w:tr w14:paraId="6B55B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115" w:type="dxa"/>
                  <w:vMerge w:val="continue"/>
                  <w:tcBorders>
                    <w:top w:val="nil"/>
                    <w:bottom w:val="nil"/>
                  </w:tcBorders>
                  <w:vAlign w:val="top"/>
                </w:tcPr>
                <w:p w14:paraId="5061ED4C">
                  <w:pPr>
                    <w:rPr>
                      <w:rFonts w:ascii="Arial"/>
                      <w:sz w:val="21"/>
                    </w:rPr>
                  </w:pPr>
                </w:p>
              </w:tc>
              <w:tc>
                <w:tcPr>
                  <w:tcW w:w="1055" w:type="dxa"/>
                  <w:gridSpan w:val="2"/>
                  <w:vAlign w:val="top"/>
                </w:tcPr>
                <w:p w14:paraId="0C01445D">
                  <w:pPr>
                    <w:spacing w:before="92"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3" w:type="dxa"/>
                  <w:vAlign w:val="top"/>
                </w:tcPr>
                <w:p w14:paraId="1F6155F1">
                  <w:pPr>
                    <w:spacing w:before="9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5" w:type="dxa"/>
                  <w:gridSpan w:val="2"/>
                  <w:vAlign w:val="top"/>
                </w:tcPr>
                <w:p w14:paraId="479C8745">
                  <w:pPr>
                    <w:spacing w:before="9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T34</w:t>
                  </w:r>
                </w:p>
              </w:tc>
              <w:tc>
                <w:tcPr>
                  <w:tcW w:w="1055" w:type="dxa"/>
                  <w:gridSpan w:val="2"/>
                  <w:vAlign w:val="top"/>
                </w:tcPr>
                <w:p w14:paraId="46464E7D">
                  <w:pPr>
                    <w:spacing w:before="9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42EFDE4C">
                  <w:pPr>
                    <w:rPr>
                      <w:rFonts w:ascii="Arial"/>
                      <w:sz w:val="21"/>
                    </w:rPr>
                  </w:pPr>
                </w:p>
              </w:tc>
              <w:tc>
                <w:tcPr>
                  <w:tcW w:w="916" w:type="dxa"/>
                  <w:gridSpan w:val="2"/>
                  <w:vMerge w:val="continue"/>
                  <w:tcBorders>
                    <w:top w:val="nil"/>
                    <w:bottom w:val="nil"/>
                  </w:tcBorders>
                  <w:vAlign w:val="top"/>
                </w:tcPr>
                <w:p w14:paraId="3CC63507">
                  <w:pPr>
                    <w:rPr>
                      <w:rFonts w:ascii="Arial"/>
                      <w:sz w:val="21"/>
                    </w:rPr>
                  </w:pPr>
                </w:p>
              </w:tc>
              <w:tc>
                <w:tcPr>
                  <w:tcW w:w="1150" w:type="dxa"/>
                  <w:vMerge w:val="continue"/>
                  <w:tcBorders>
                    <w:top w:val="nil"/>
                    <w:bottom w:val="nil"/>
                    <w:right w:val="single" w:color="000000" w:sz="6" w:space="0"/>
                  </w:tcBorders>
                  <w:vAlign w:val="top"/>
                </w:tcPr>
                <w:p w14:paraId="1BEFF6F5">
                  <w:pPr>
                    <w:rPr>
                      <w:rFonts w:ascii="Arial"/>
                      <w:sz w:val="21"/>
                    </w:rPr>
                  </w:pPr>
                </w:p>
              </w:tc>
              <w:tc>
                <w:tcPr>
                  <w:tcW w:w="140" w:type="dxa"/>
                  <w:vMerge w:val="continue"/>
                  <w:tcBorders>
                    <w:top w:val="nil"/>
                    <w:left w:val="single" w:color="000000" w:sz="6" w:space="0"/>
                    <w:bottom w:val="nil"/>
                    <w:right w:val="nil"/>
                  </w:tcBorders>
                  <w:vAlign w:val="top"/>
                </w:tcPr>
                <w:p w14:paraId="4E3EB360">
                  <w:pPr>
                    <w:rPr>
                      <w:rFonts w:ascii="Arial"/>
                      <w:sz w:val="21"/>
                    </w:rPr>
                  </w:pPr>
                </w:p>
              </w:tc>
            </w:tr>
            <w:tr w14:paraId="6ED11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15" w:type="dxa"/>
                  <w:vMerge w:val="continue"/>
                  <w:tcBorders>
                    <w:top w:val="nil"/>
                    <w:bottom w:val="nil"/>
                  </w:tcBorders>
                  <w:vAlign w:val="top"/>
                </w:tcPr>
                <w:p w14:paraId="44A39E38">
                  <w:pPr>
                    <w:rPr>
                      <w:rFonts w:ascii="Arial"/>
                      <w:sz w:val="21"/>
                    </w:rPr>
                  </w:pPr>
                </w:p>
              </w:tc>
              <w:tc>
                <w:tcPr>
                  <w:tcW w:w="1055" w:type="dxa"/>
                  <w:gridSpan w:val="2"/>
                  <w:vAlign w:val="top"/>
                </w:tcPr>
                <w:p w14:paraId="1F102114">
                  <w:pPr>
                    <w:spacing w:before="91"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3" w:type="dxa"/>
                  <w:vAlign w:val="top"/>
                </w:tcPr>
                <w:p w14:paraId="43CF4392">
                  <w:pPr>
                    <w:spacing w:before="9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5" w:type="dxa"/>
                  <w:gridSpan w:val="2"/>
                  <w:vAlign w:val="top"/>
                </w:tcPr>
                <w:p w14:paraId="6316B1F6">
                  <w:pPr>
                    <w:spacing w:before="9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T35</w:t>
                  </w:r>
                </w:p>
              </w:tc>
              <w:tc>
                <w:tcPr>
                  <w:tcW w:w="1055" w:type="dxa"/>
                  <w:gridSpan w:val="2"/>
                  <w:vAlign w:val="top"/>
                </w:tcPr>
                <w:p w14:paraId="70B366DC">
                  <w:pPr>
                    <w:spacing w:before="91"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010C1B3A">
                  <w:pPr>
                    <w:rPr>
                      <w:rFonts w:ascii="Arial"/>
                      <w:sz w:val="21"/>
                    </w:rPr>
                  </w:pPr>
                </w:p>
              </w:tc>
              <w:tc>
                <w:tcPr>
                  <w:tcW w:w="916" w:type="dxa"/>
                  <w:gridSpan w:val="2"/>
                  <w:vMerge w:val="continue"/>
                  <w:tcBorders>
                    <w:top w:val="nil"/>
                    <w:bottom w:val="nil"/>
                  </w:tcBorders>
                  <w:vAlign w:val="top"/>
                </w:tcPr>
                <w:p w14:paraId="240A391B">
                  <w:pPr>
                    <w:rPr>
                      <w:rFonts w:ascii="Arial"/>
                      <w:sz w:val="21"/>
                    </w:rPr>
                  </w:pPr>
                </w:p>
              </w:tc>
              <w:tc>
                <w:tcPr>
                  <w:tcW w:w="1150" w:type="dxa"/>
                  <w:vMerge w:val="continue"/>
                  <w:tcBorders>
                    <w:top w:val="nil"/>
                    <w:bottom w:val="nil"/>
                    <w:right w:val="single" w:color="000000" w:sz="6" w:space="0"/>
                  </w:tcBorders>
                  <w:vAlign w:val="top"/>
                </w:tcPr>
                <w:p w14:paraId="05FB7DAE">
                  <w:pPr>
                    <w:rPr>
                      <w:rFonts w:ascii="Arial"/>
                      <w:sz w:val="21"/>
                    </w:rPr>
                  </w:pPr>
                </w:p>
              </w:tc>
              <w:tc>
                <w:tcPr>
                  <w:tcW w:w="140" w:type="dxa"/>
                  <w:vMerge w:val="continue"/>
                  <w:tcBorders>
                    <w:top w:val="nil"/>
                    <w:left w:val="single" w:color="000000" w:sz="6" w:space="0"/>
                    <w:bottom w:val="nil"/>
                    <w:right w:val="nil"/>
                  </w:tcBorders>
                  <w:vAlign w:val="top"/>
                </w:tcPr>
                <w:p w14:paraId="0BDD2082">
                  <w:pPr>
                    <w:rPr>
                      <w:rFonts w:ascii="Arial"/>
                      <w:sz w:val="21"/>
                    </w:rPr>
                  </w:pPr>
                </w:p>
              </w:tc>
            </w:tr>
            <w:tr w14:paraId="37746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115" w:type="dxa"/>
                  <w:vMerge w:val="continue"/>
                  <w:tcBorders>
                    <w:top w:val="nil"/>
                    <w:bottom w:val="nil"/>
                  </w:tcBorders>
                  <w:vAlign w:val="top"/>
                </w:tcPr>
                <w:p w14:paraId="5B472D59">
                  <w:pPr>
                    <w:rPr>
                      <w:rFonts w:ascii="Arial"/>
                      <w:sz w:val="21"/>
                    </w:rPr>
                  </w:pPr>
                </w:p>
              </w:tc>
              <w:tc>
                <w:tcPr>
                  <w:tcW w:w="1055" w:type="dxa"/>
                  <w:gridSpan w:val="2"/>
                  <w:vAlign w:val="top"/>
                </w:tcPr>
                <w:p w14:paraId="3C7F2E2D">
                  <w:pPr>
                    <w:spacing w:before="93"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3" w:type="dxa"/>
                  <w:vAlign w:val="top"/>
                </w:tcPr>
                <w:p w14:paraId="60E03E80">
                  <w:pPr>
                    <w:spacing w:before="9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5" w:type="dxa"/>
                  <w:gridSpan w:val="2"/>
                  <w:vAlign w:val="top"/>
                </w:tcPr>
                <w:p w14:paraId="064AF00B">
                  <w:pPr>
                    <w:spacing w:before="93"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T36</w:t>
                  </w:r>
                </w:p>
              </w:tc>
              <w:tc>
                <w:tcPr>
                  <w:tcW w:w="1055" w:type="dxa"/>
                  <w:gridSpan w:val="2"/>
                  <w:vAlign w:val="top"/>
                </w:tcPr>
                <w:p w14:paraId="32ECF986">
                  <w:pPr>
                    <w:spacing w:before="93"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6CEB0156">
                  <w:pPr>
                    <w:rPr>
                      <w:rFonts w:ascii="Arial"/>
                      <w:sz w:val="21"/>
                    </w:rPr>
                  </w:pPr>
                </w:p>
              </w:tc>
              <w:tc>
                <w:tcPr>
                  <w:tcW w:w="916" w:type="dxa"/>
                  <w:gridSpan w:val="2"/>
                  <w:vMerge w:val="continue"/>
                  <w:tcBorders>
                    <w:top w:val="nil"/>
                    <w:bottom w:val="nil"/>
                  </w:tcBorders>
                  <w:vAlign w:val="top"/>
                </w:tcPr>
                <w:p w14:paraId="2F3A8200">
                  <w:pPr>
                    <w:rPr>
                      <w:rFonts w:ascii="Arial"/>
                      <w:sz w:val="21"/>
                    </w:rPr>
                  </w:pPr>
                </w:p>
              </w:tc>
              <w:tc>
                <w:tcPr>
                  <w:tcW w:w="1150" w:type="dxa"/>
                  <w:vMerge w:val="continue"/>
                  <w:tcBorders>
                    <w:top w:val="nil"/>
                    <w:bottom w:val="nil"/>
                    <w:right w:val="single" w:color="000000" w:sz="6" w:space="0"/>
                  </w:tcBorders>
                  <w:vAlign w:val="top"/>
                </w:tcPr>
                <w:p w14:paraId="3A0351A0">
                  <w:pPr>
                    <w:rPr>
                      <w:rFonts w:ascii="Arial"/>
                      <w:sz w:val="21"/>
                    </w:rPr>
                  </w:pPr>
                </w:p>
              </w:tc>
              <w:tc>
                <w:tcPr>
                  <w:tcW w:w="140" w:type="dxa"/>
                  <w:vMerge w:val="continue"/>
                  <w:tcBorders>
                    <w:top w:val="nil"/>
                    <w:left w:val="single" w:color="000000" w:sz="6" w:space="0"/>
                    <w:bottom w:val="nil"/>
                    <w:right w:val="nil"/>
                  </w:tcBorders>
                  <w:vAlign w:val="top"/>
                </w:tcPr>
                <w:p w14:paraId="2DD9C4F5">
                  <w:pPr>
                    <w:rPr>
                      <w:rFonts w:ascii="Arial"/>
                      <w:sz w:val="21"/>
                    </w:rPr>
                  </w:pPr>
                </w:p>
              </w:tc>
            </w:tr>
            <w:tr w14:paraId="00C30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115" w:type="dxa"/>
                  <w:vMerge w:val="continue"/>
                  <w:tcBorders>
                    <w:top w:val="nil"/>
                    <w:bottom w:val="nil"/>
                  </w:tcBorders>
                  <w:vAlign w:val="top"/>
                </w:tcPr>
                <w:p w14:paraId="4BE2DC19">
                  <w:pPr>
                    <w:rPr>
                      <w:rFonts w:ascii="Arial"/>
                      <w:sz w:val="21"/>
                    </w:rPr>
                  </w:pPr>
                </w:p>
              </w:tc>
              <w:tc>
                <w:tcPr>
                  <w:tcW w:w="1055" w:type="dxa"/>
                  <w:gridSpan w:val="2"/>
                  <w:vAlign w:val="top"/>
                </w:tcPr>
                <w:p w14:paraId="0A10A8B8">
                  <w:pPr>
                    <w:spacing w:before="91"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3" w:type="dxa"/>
                  <w:vAlign w:val="top"/>
                </w:tcPr>
                <w:p w14:paraId="6B583FF9">
                  <w:pPr>
                    <w:spacing w:before="9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5" w:type="dxa"/>
                  <w:gridSpan w:val="2"/>
                  <w:vAlign w:val="top"/>
                </w:tcPr>
                <w:p w14:paraId="5E5374B3">
                  <w:pPr>
                    <w:spacing w:before="9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T37</w:t>
                  </w:r>
                </w:p>
              </w:tc>
              <w:tc>
                <w:tcPr>
                  <w:tcW w:w="1055" w:type="dxa"/>
                  <w:gridSpan w:val="2"/>
                  <w:vAlign w:val="top"/>
                </w:tcPr>
                <w:p w14:paraId="6381CC45">
                  <w:pPr>
                    <w:spacing w:before="91"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bottom w:val="nil"/>
                  </w:tcBorders>
                  <w:vAlign w:val="top"/>
                </w:tcPr>
                <w:p w14:paraId="29C5947E">
                  <w:pPr>
                    <w:rPr>
                      <w:rFonts w:ascii="Arial"/>
                      <w:sz w:val="21"/>
                    </w:rPr>
                  </w:pPr>
                </w:p>
              </w:tc>
              <w:tc>
                <w:tcPr>
                  <w:tcW w:w="916" w:type="dxa"/>
                  <w:gridSpan w:val="2"/>
                  <w:vMerge w:val="continue"/>
                  <w:tcBorders>
                    <w:top w:val="nil"/>
                    <w:bottom w:val="nil"/>
                  </w:tcBorders>
                  <w:vAlign w:val="top"/>
                </w:tcPr>
                <w:p w14:paraId="24F8CE2D">
                  <w:pPr>
                    <w:rPr>
                      <w:rFonts w:ascii="Arial"/>
                      <w:sz w:val="21"/>
                    </w:rPr>
                  </w:pPr>
                </w:p>
              </w:tc>
              <w:tc>
                <w:tcPr>
                  <w:tcW w:w="1150" w:type="dxa"/>
                  <w:vMerge w:val="continue"/>
                  <w:tcBorders>
                    <w:top w:val="nil"/>
                    <w:bottom w:val="nil"/>
                    <w:right w:val="single" w:color="000000" w:sz="6" w:space="0"/>
                  </w:tcBorders>
                  <w:vAlign w:val="top"/>
                </w:tcPr>
                <w:p w14:paraId="6B4D1347">
                  <w:pPr>
                    <w:rPr>
                      <w:rFonts w:ascii="Arial"/>
                      <w:sz w:val="21"/>
                    </w:rPr>
                  </w:pPr>
                </w:p>
              </w:tc>
              <w:tc>
                <w:tcPr>
                  <w:tcW w:w="140" w:type="dxa"/>
                  <w:vMerge w:val="continue"/>
                  <w:tcBorders>
                    <w:top w:val="nil"/>
                    <w:left w:val="single" w:color="000000" w:sz="6" w:space="0"/>
                    <w:bottom w:val="nil"/>
                    <w:right w:val="nil"/>
                  </w:tcBorders>
                  <w:vAlign w:val="top"/>
                </w:tcPr>
                <w:p w14:paraId="4FF9E36A">
                  <w:pPr>
                    <w:rPr>
                      <w:rFonts w:ascii="Arial"/>
                      <w:sz w:val="21"/>
                    </w:rPr>
                  </w:pPr>
                </w:p>
              </w:tc>
            </w:tr>
            <w:tr w14:paraId="00DC4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115" w:type="dxa"/>
                  <w:vMerge w:val="continue"/>
                  <w:tcBorders>
                    <w:top w:val="nil"/>
                  </w:tcBorders>
                  <w:vAlign w:val="top"/>
                </w:tcPr>
                <w:p w14:paraId="6F64E9E5">
                  <w:pPr>
                    <w:rPr>
                      <w:rFonts w:ascii="Arial"/>
                      <w:sz w:val="21"/>
                    </w:rPr>
                  </w:pPr>
                </w:p>
              </w:tc>
              <w:tc>
                <w:tcPr>
                  <w:tcW w:w="1055" w:type="dxa"/>
                  <w:gridSpan w:val="2"/>
                  <w:vAlign w:val="top"/>
                </w:tcPr>
                <w:p w14:paraId="57ADD162">
                  <w:pPr>
                    <w:spacing w:before="92"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193" w:type="dxa"/>
                  <w:vAlign w:val="top"/>
                </w:tcPr>
                <w:p w14:paraId="19E62490">
                  <w:pPr>
                    <w:spacing w:before="9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3991.68</w:t>
                  </w:r>
                </w:p>
              </w:tc>
              <w:tc>
                <w:tcPr>
                  <w:tcW w:w="955" w:type="dxa"/>
                  <w:gridSpan w:val="2"/>
                  <w:vAlign w:val="top"/>
                </w:tcPr>
                <w:p w14:paraId="3176B04B">
                  <w:pPr>
                    <w:spacing w:before="92"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T38</w:t>
                  </w:r>
                </w:p>
              </w:tc>
              <w:tc>
                <w:tcPr>
                  <w:tcW w:w="1055" w:type="dxa"/>
                  <w:gridSpan w:val="2"/>
                  <w:vAlign w:val="top"/>
                </w:tcPr>
                <w:p w14:paraId="72C1C924">
                  <w:pPr>
                    <w:spacing w:before="9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w:t>
                  </w:r>
                </w:p>
              </w:tc>
              <w:tc>
                <w:tcPr>
                  <w:tcW w:w="687" w:type="dxa"/>
                  <w:vMerge w:val="continue"/>
                  <w:tcBorders>
                    <w:top w:val="nil"/>
                  </w:tcBorders>
                  <w:vAlign w:val="top"/>
                </w:tcPr>
                <w:p w14:paraId="2377AC93">
                  <w:pPr>
                    <w:rPr>
                      <w:rFonts w:ascii="Arial"/>
                      <w:sz w:val="21"/>
                    </w:rPr>
                  </w:pPr>
                </w:p>
              </w:tc>
              <w:tc>
                <w:tcPr>
                  <w:tcW w:w="916" w:type="dxa"/>
                  <w:gridSpan w:val="2"/>
                  <w:vMerge w:val="continue"/>
                  <w:tcBorders>
                    <w:top w:val="nil"/>
                  </w:tcBorders>
                  <w:vAlign w:val="top"/>
                </w:tcPr>
                <w:p w14:paraId="7833DFA0">
                  <w:pPr>
                    <w:rPr>
                      <w:rFonts w:ascii="Arial"/>
                      <w:sz w:val="21"/>
                    </w:rPr>
                  </w:pPr>
                </w:p>
              </w:tc>
              <w:tc>
                <w:tcPr>
                  <w:tcW w:w="1150" w:type="dxa"/>
                  <w:vMerge w:val="continue"/>
                  <w:tcBorders>
                    <w:top w:val="nil"/>
                    <w:right w:val="single" w:color="000000" w:sz="6" w:space="0"/>
                  </w:tcBorders>
                  <w:vAlign w:val="top"/>
                </w:tcPr>
                <w:p w14:paraId="388AA825">
                  <w:pPr>
                    <w:rPr>
                      <w:rFonts w:ascii="Arial"/>
                      <w:sz w:val="21"/>
                    </w:rPr>
                  </w:pPr>
                </w:p>
              </w:tc>
              <w:tc>
                <w:tcPr>
                  <w:tcW w:w="140" w:type="dxa"/>
                  <w:vMerge w:val="continue"/>
                  <w:tcBorders>
                    <w:top w:val="nil"/>
                    <w:left w:val="single" w:color="000000" w:sz="6" w:space="0"/>
                    <w:bottom w:val="nil"/>
                    <w:right w:val="nil"/>
                  </w:tcBorders>
                  <w:vAlign w:val="top"/>
                </w:tcPr>
                <w:p w14:paraId="4CA64A68">
                  <w:pPr>
                    <w:rPr>
                      <w:rFonts w:ascii="Arial"/>
                      <w:sz w:val="21"/>
                    </w:rPr>
                  </w:pPr>
                </w:p>
              </w:tc>
            </w:tr>
            <w:tr w14:paraId="57886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115" w:type="dxa"/>
                  <w:tcBorders>
                    <w:bottom w:val="single" w:color="000000" w:sz="6" w:space="0"/>
                  </w:tcBorders>
                  <w:vAlign w:val="top"/>
                </w:tcPr>
                <w:p w14:paraId="0E3F65FC">
                  <w:pPr>
                    <w:pStyle w:val="6"/>
                    <w:spacing w:before="110" w:line="229" w:lineRule="auto"/>
                    <w:ind w:left="417"/>
                    <w:rPr>
                      <w:sz w:val="20"/>
                      <w:szCs w:val="20"/>
                    </w:rPr>
                  </w:pPr>
                  <w:r>
                    <w:rPr>
                      <w:spacing w:val="2"/>
                      <w:sz w:val="20"/>
                      <w:szCs w:val="20"/>
                    </w:rPr>
                    <w:t>总计</w:t>
                  </w:r>
                </w:p>
              </w:tc>
              <w:tc>
                <w:tcPr>
                  <w:tcW w:w="1055" w:type="dxa"/>
                  <w:gridSpan w:val="2"/>
                  <w:tcBorders>
                    <w:bottom w:val="single" w:color="000000" w:sz="6" w:space="0"/>
                  </w:tcBorders>
                  <w:vAlign w:val="top"/>
                </w:tcPr>
                <w:p w14:paraId="086D97CC">
                  <w:pPr>
                    <w:rPr>
                      <w:rFonts w:ascii="Arial"/>
                      <w:sz w:val="21"/>
                    </w:rPr>
                  </w:pPr>
                </w:p>
              </w:tc>
              <w:tc>
                <w:tcPr>
                  <w:tcW w:w="1193" w:type="dxa"/>
                  <w:tcBorders>
                    <w:bottom w:val="single" w:color="000000" w:sz="6" w:space="0"/>
                  </w:tcBorders>
                  <w:vAlign w:val="top"/>
                </w:tcPr>
                <w:p w14:paraId="0199D2DC">
                  <w:pPr>
                    <w:rPr>
                      <w:rFonts w:ascii="Arial"/>
                      <w:sz w:val="21"/>
                    </w:rPr>
                  </w:pPr>
                </w:p>
              </w:tc>
              <w:tc>
                <w:tcPr>
                  <w:tcW w:w="955" w:type="dxa"/>
                  <w:gridSpan w:val="2"/>
                  <w:tcBorders>
                    <w:bottom w:val="single" w:color="000000" w:sz="6" w:space="0"/>
                  </w:tcBorders>
                  <w:vAlign w:val="top"/>
                </w:tcPr>
                <w:p w14:paraId="2200B2F8">
                  <w:pPr>
                    <w:rPr>
                      <w:rFonts w:ascii="Arial"/>
                      <w:sz w:val="21"/>
                    </w:rPr>
                  </w:pPr>
                </w:p>
              </w:tc>
              <w:tc>
                <w:tcPr>
                  <w:tcW w:w="1055" w:type="dxa"/>
                  <w:gridSpan w:val="2"/>
                  <w:tcBorders>
                    <w:bottom w:val="single" w:color="000000" w:sz="6" w:space="0"/>
                  </w:tcBorders>
                  <w:vAlign w:val="top"/>
                </w:tcPr>
                <w:p w14:paraId="5640A129">
                  <w:pPr>
                    <w:rPr>
                      <w:rFonts w:ascii="Arial"/>
                      <w:sz w:val="21"/>
                    </w:rPr>
                  </w:pPr>
                </w:p>
              </w:tc>
              <w:tc>
                <w:tcPr>
                  <w:tcW w:w="687" w:type="dxa"/>
                  <w:tcBorders>
                    <w:bottom w:val="single" w:color="000000" w:sz="6" w:space="0"/>
                  </w:tcBorders>
                  <w:vAlign w:val="top"/>
                </w:tcPr>
                <w:p w14:paraId="418FAE0A">
                  <w:pPr>
                    <w:rPr>
                      <w:rFonts w:ascii="Arial"/>
                      <w:sz w:val="21"/>
                    </w:rPr>
                  </w:pPr>
                </w:p>
              </w:tc>
              <w:tc>
                <w:tcPr>
                  <w:tcW w:w="916" w:type="dxa"/>
                  <w:gridSpan w:val="2"/>
                  <w:tcBorders>
                    <w:bottom w:val="single" w:color="000000" w:sz="6" w:space="0"/>
                  </w:tcBorders>
                  <w:vAlign w:val="top"/>
                </w:tcPr>
                <w:p w14:paraId="49474A95">
                  <w:pPr>
                    <w:spacing w:before="146"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102300</w:t>
                  </w:r>
                </w:p>
              </w:tc>
              <w:tc>
                <w:tcPr>
                  <w:tcW w:w="1150" w:type="dxa"/>
                  <w:tcBorders>
                    <w:bottom w:val="single" w:color="000000" w:sz="6" w:space="0"/>
                    <w:right w:val="single" w:color="000000" w:sz="6" w:space="0"/>
                  </w:tcBorders>
                  <w:vAlign w:val="top"/>
                </w:tcPr>
                <w:p w14:paraId="2D0F18E7">
                  <w:pPr>
                    <w:spacing w:before="146"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119236.3</w:t>
                  </w:r>
                </w:p>
              </w:tc>
              <w:tc>
                <w:tcPr>
                  <w:tcW w:w="140" w:type="dxa"/>
                  <w:tcBorders>
                    <w:top w:val="nil"/>
                    <w:left w:val="single" w:color="000000" w:sz="6" w:space="0"/>
                    <w:bottom w:val="nil"/>
                    <w:right w:val="nil"/>
                  </w:tcBorders>
                  <w:vAlign w:val="top"/>
                </w:tcPr>
                <w:p w14:paraId="7A35B381">
                  <w:pPr>
                    <w:rPr>
                      <w:rFonts w:ascii="Arial"/>
                      <w:sz w:val="21"/>
                    </w:rPr>
                  </w:pPr>
                </w:p>
              </w:tc>
            </w:tr>
            <w:tr w14:paraId="44EAF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8266" w:type="dxa"/>
                  <w:gridSpan w:val="13"/>
                  <w:tcBorders>
                    <w:top w:val="single" w:color="000000" w:sz="6" w:space="0"/>
                    <w:right w:val="nil"/>
                  </w:tcBorders>
                  <w:vAlign w:val="top"/>
                </w:tcPr>
                <w:p w14:paraId="30AD105E">
                  <w:pPr>
                    <w:spacing w:line="365" w:lineRule="auto"/>
                    <w:rPr>
                      <w:rFonts w:ascii="Arial"/>
                      <w:sz w:val="21"/>
                    </w:rPr>
                  </w:pPr>
                </w:p>
                <w:p w14:paraId="1ACDA1B1">
                  <w:pPr>
                    <w:pStyle w:val="6"/>
                    <w:spacing w:before="78" w:line="218" w:lineRule="auto"/>
                    <w:ind w:left="607"/>
                  </w:pPr>
                  <w:r>
                    <w:rPr>
                      <w:b/>
                      <w:bCs/>
                      <w:spacing w:val="-5"/>
                    </w:rPr>
                    <w:t>（</w:t>
                  </w:r>
                  <w:r>
                    <w:rPr>
                      <w:rFonts w:ascii="Times New Roman" w:hAnsi="Times New Roman" w:eastAsia="Times New Roman" w:cs="Times New Roman"/>
                      <w:b/>
                      <w:bCs/>
                      <w:spacing w:val="-5"/>
                    </w:rPr>
                    <w:t>1</w:t>
                  </w:r>
                  <w:r>
                    <w:rPr>
                      <w:b/>
                      <w:bCs/>
                      <w:spacing w:val="-5"/>
                    </w:rPr>
                    <w:t>）光伏组件</w:t>
                  </w:r>
                </w:p>
                <w:p w14:paraId="7A6D32D7">
                  <w:pPr>
                    <w:pStyle w:val="6"/>
                    <w:spacing w:before="180" w:line="335" w:lineRule="auto"/>
                    <w:ind w:left="115" w:firstLine="479"/>
                  </w:pPr>
                  <w:r>
                    <w:rPr>
                      <w:spacing w:val="-2"/>
                    </w:rPr>
                    <w:t>根据建设单位提供资料，本项目拟采用</w:t>
                  </w:r>
                  <w:r>
                    <w:rPr>
                      <w:rFonts w:ascii="Times New Roman" w:hAnsi="Times New Roman" w:eastAsia="Times New Roman" w:cs="Times New Roman"/>
                      <w:spacing w:val="-2"/>
                    </w:rPr>
                    <w:t xml:space="preserve">630Wp </w:t>
                  </w:r>
                  <w:r>
                    <w:rPr>
                      <w:spacing w:val="-2"/>
                    </w:rPr>
                    <w:t>单晶硅双面光伏组件进行光</w:t>
                  </w:r>
                  <w:r>
                    <w:rPr>
                      <w:spacing w:val="10"/>
                    </w:rPr>
                    <w:t xml:space="preserve"> </w:t>
                  </w:r>
                  <w:r>
                    <w:rPr>
                      <w:spacing w:val="-3"/>
                    </w:rPr>
                    <w:t>伏发电。</w:t>
                  </w:r>
                </w:p>
                <w:p w14:paraId="214853EA">
                  <w:pPr>
                    <w:pStyle w:val="6"/>
                    <w:spacing w:before="60" w:line="215" w:lineRule="auto"/>
                    <w:ind w:left="2943"/>
                    <w:rPr>
                      <w:sz w:val="20"/>
                      <w:szCs w:val="20"/>
                    </w:rPr>
                  </w:pPr>
                  <w:r>
                    <w:rPr>
                      <w:b/>
                      <w:bCs/>
                      <w:spacing w:val="5"/>
                      <w:sz w:val="20"/>
                      <w:szCs w:val="20"/>
                    </w:rPr>
                    <w:t>表</w:t>
                  </w:r>
                  <w:r>
                    <w:rPr>
                      <w:spacing w:val="-37"/>
                      <w:sz w:val="20"/>
                      <w:szCs w:val="20"/>
                    </w:rPr>
                    <w:t xml:space="preserve"> </w:t>
                  </w:r>
                  <w:r>
                    <w:rPr>
                      <w:rFonts w:ascii="Times New Roman" w:hAnsi="Times New Roman" w:eastAsia="Times New Roman" w:cs="Times New Roman"/>
                      <w:b/>
                      <w:bCs/>
                      <w:spacing w:val="5"/>
                      <w:sz w:val="20"/>
                      <w:szCs w:val="20"/>
                    </w:rPr>
                    <w:t>2-3    630</w:t>
                  </w:r>
                  <w:r>
                    <w:rPr>
                      <w:rFonts w:ascii="Times New Roman" w:hAnsi="Times New Roman" w:eastAsia="Times New Roman" w:cs="Times New Roman"/>
                      <w:b/>
                      <w:bCs/>
                      <w:sz w:val="20"/>
                      <w:szCs w:val="20"/>
                    </w:rPr>
                    <w:t>Wp</w:t>
                  </w:r>
                  <w:r>
                    <w:rPr>
                      <w:rFonts w:ascii="Times New Roman" w:hAnsi="Times New Roman" w:eastAsia="Times New Roman" w:cs="Times New Roman"/>
                      <w:b/>
                      <w:bCs/>
                      <w:spacing w:val="14"/>
                      <w:w w:val="101"/>
                      <w:sz w:val="20"/>
                      <w:szCs w:val="20"/>
                    </w:rPr>
                    <w:t xml:space="preserve"> </w:t>
                  </w:r>
                  <w:r>
                    <w:rPr>
                      <w:b/>
                      <w:bCs/>
                      <w:spacing w:val="5"/>
                      <w:sz w:val="20"/>
                      <w:szCs w:val="20"/>
                    </w:rPr>
                    <w:t>单晶硅组件参数</w:t>
                  </w:r>
                </w:p>
              </w:tc>
            </w:tr>
            <w:tr w14:paraId="177FD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170" w:type="dxa"/>
                  <w:gridSpan w:val="3"/>
                  <w:vAlign w:val="top"/>
                </w:tcPr>
                <w:p w14:paraId="7ED0452B">
                  <w:pPr>
                    <w:pStyle w:val="6"/>
                    <w:spacing w:before="33" w:line="216" w:lineRule="auto"/>
                    <w:ind w:left="941"/>
                    <w:rPr>
                      <w:sz w:val="20"/>
                      <w:szCs w:val="20"/>
                    </w:rPr>
                  </w:pPr>
                  <w:r>
                    <w:rPr>
                      <w:spacing w:val="3"/>
                      <w:sz w:val="20"/>
                      <w:szCs w:val="20"/>
                    </w:rPr>
                    <w:t>项目</w:t>
                  </w:r>
                </w:p>
              </w:tc>
              <w:tc>
                <w:tcPr>
                  <w:tcW w:w="1710" w:type="dxa"/>
                  <w:gridSpan w:val="2"/>
                  <w:vAlign w:val="top"/>
                </w:tcPr>
                <w:p w14:paraId="74E35996">
                  <w:pPr>
                    <w:pStyle w:val="6"/>
                    <w:spacing w:before="33" w:line="216" w:lineRule="auto"/>
                    <w:ind w:left="653"/>
                    <w:rPr>
                      <w:sz w:val="20"/>
                      <w:szCs w:val="20"/>
                    </w:rPr>
                  </w:pPr>
                  <w:r>
                    <w:rPr>
                      <w:spacing w:val="3"/>
                      <w:sz w:val="20"/>
                      <w:szCs w:val="20"/>
                    </w:rPr>
                    <w:t>参数</w:t>
                  </w:r>
                </w:p>
              </w:tc>
              <w:tc>
                <w:tcPr>
                  <w:tcW w:w="2335" w:type="dxa"/>
                  <w:gridSpan w:val="5"/>
                  <w:vAlign w:val="top"/>
                </w:tcPr>
                <w:p w14:paraId="7D663A48">
                  <w:pPr>
                    <w:pStyle w:val="6"/>
                    <w:spacing w:before="33" w:line="216" w:lineRule="auto"/>
                    <w:ind w:left="968"/>
                    <w:rPr>
                      <w:sz w:val="20"/>
                      <w:szCs w:val="20"/>
                    </w:rPr>
                  </w:pPr>
                  <w:r>
                    <w:rPr>
                      <w:spacing w:val="3"/>
                      <w:sz w:val="20"/>
                      <w:szCs w:val="20"/>
                    </w:rPr>
                    <w:t>项目</w:t>
                  </w:r>
                </w:p>
              </w:tc>
              <w:tc>
                <w:tcPr>
                  <w:tcW w:w="2051" w:type="dxa"/>
                  <w:gridSpan w:val="3"/>
                  <w:vAlign w:val="top"/>
                </w:tcPr>
                <w:p w14:paraId="1F312818">
                  <w:pPr>
                    <w:pStyle w:val="6"/>
                    <w:spacing w:before="33" w:line="216" w:lineRule="auto"/>
                    <w:ind w:left="820"/>
                    <w:rPr>
                      <w:sz w:val="20"/>
                      <w:szCs w:val="20"/>
                    </w:rPr>
                  </w:pPr>
                  <w:r>
                    <w:rPr>
                      <w:spacing w:val="3"/>
                      <w:sz w:val="20"/>
                      <w:szCs w:val="20"/>
                    </w:rPr>
                    <w:t>参数</w:t>
                  </w:r>
                </w:p>
              </w:tc>
            </w:tr>
            <w:tr w14:paraId="72F75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170" w:type="dxa"/>
                  <w:gridSpan w:val="3"/>
                  <w:vAlign w:val="top"/>
                </w:tcPr>
                <w:p w14:paraId="3E2EAB73">
                  <w:pPr>
                    <w:pStyle w:val="6"/>
                    <w:spacing w:before="33" w:line="216" w:lineRule="auto"/>
                    <w:ind w:left="492"/>
                    <w:rPr>
                      <w:sz w:val="20"/>
                      <w:szCs w:val="20"/>
                    </w:rPr>
                  </w:pPr>
                  <w:r>
                    <w:rPr>
                      <w:spacing w:val="10"/>
                      <w:sz w:val="20"/>
                      <w:szCs w:val="20"/>
                    </w:rPr>
                    <w:t>功率（</w:t>
                  </w:r>
                  <w:r>
                    <w:rPr>
                      <w:rFonts w:ascii="Times New Roman" w:hAnsi="Times New Roman" w:eastAsia="Times New Roman" w:cs="Times New Roman"/>
                      <w:sz w:val="20"/>
                      <w:szCs w:val="20"/>
                    </w:rPr>
                    <w:t>Pmax</w:t>
                  </w:r>
                  <w:r>
                    <w:rPr>
                      <w:spacing w:val="10"/>
                      <w:sz w:val="20"/>
                      <w:szCs w:val="20"/>
                    </w:rPr>
                    <w:t>）</w:t>
                  </w:r>
                </w:p>
              </w:tc>
              <w:tc>
                <w:tcPr>
                  <w:tcW w:w="1710" w:type="dxa"/>
                  <w:gridSpan w:val="2"/>
                  <w:vAlign w:val="top"/>
                </w:tcPr>
                <w:p w14:paraId="1F306780">
                  <w:pPr>
                    <w:spacing w:before="70" w:line="196"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630</w:t>
                  </w:r>
                  <w:r>
                    <w:rPr>
                      <w:rFonts w:ascii="Times New Roman" w:hAnsi="Times New Roman" w:eastAsia="Times New Roman" w:cs="Times New Roman"/>
                      <w:sz w:val="20"/>
                      <w:szCs w:val="20"/>
                    </w:rPr>
                    <w:t>Wp</w:t>
                  </w:r>
                </w:p>
              </w:tc>
              <w:tc>
                <w:tcPr>
                  <w:tcW w:w="2335" w:type="dxa"/>
                  <w:gridSpan w:val="5"/>
                  <w:vAlign w:val="top"/>
                </w:tcPr>
                <w:p w14:paraId="74C5D7A1">
                  <w:pPr>
                    <w:pStyle w:val="6"/>
                    <w:spacing w:before="33" w:line="216" w:lineRule="auto"/>
                    <w:ind w:left="384"/>
                    <w:rPr>
                      <w:sz w:val="20"/>
                      <w:szCs w:val="20"/>
                    </w:rPr>
                  </w:pPr>
                  <w:r>
                    <w:rPr>
                      <w:spacing w:val="8"/>
                      <w:sz w:val="20"/>
                      <w:szCs w:val="20"/>
                    </w:rPr>
                    <w:t>组件尺寸（</w:t>
                  </w:r>
                  <w:r>
                    <w:rPr>
                      <w:rFonts w:ascii="Times New Roman" w:hAnsi="Times New Roman" w:eastAsia="Times New Roman" w:cs="Times New Roman"/>
                      <w:sz w:val="20"/>
                      <w:szCs w:val="20"/>
                    </w:rPr>
                    <w:t>mm</w:t>
                  </w:r>
                  <w:r>
                    <w:rPr>
                      <w:spacing w:val="8"/>
                      <w:sz w:val="20"/>
                      <w:szCs w:val="20"/>
                    </w:rPr>
                    <w:t>）</w:t>
                  </w:r>
                </w:p>
              </w:tc>
              <w:tc>
                <w:tcPr>
                  <w:tcW w:w="2051" w:type="dxa"/>
                  <w:gridSpan w:val="3"/>
                  <w:vAlign w:val="top"/>
                </w:tcPr>
                <w:p w14:paraId="5F62F9C6">
                  <w:pPr>
                    <w:spacing w:before="69"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2465×1134×30</w:t>
                  </w:r>
                </w:p>
              </w:tc>
            </w:tr>
            <w:tr w14:paraId="7711D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70" w:type="dxa"/>
                  <w:gridSpan w:val="3"/>
                  <w:vAlign w:val="top"/>
                </w:tcPr>
                <w:p w14:paraId="33F29579">
                  <w:pPr>
                    <w:pStyle w:val="6"/>
                    <w:spacing w:before="65" w:line="227" w:lineRule="auto"/>
                    <w:ind w:left="357"/>
                    <w:rPr>
                      <w:sz w:val="20"/>
                      <w:szCs w:val="20"/>
                    </w:rPr>
                  </w:pPr>
                  <w:r>
                    <w:rPr>
                      <w:spacing w:val="4"/>
                      <w:sz w:val="20"/>
                      <w:szCs w:val="20"/>
                    </w:rPr>
                    <w:t>开路电压（</w:t>
                  </w:r>
                  <w:r>
                    <w:rPr>
                      <w:rFonts w:ascii="Times New Roman" w:hAnsi="Times New Roman" w:eastAsia="Times New Roman" w:cs="Times New Roman"/>
                      <w:sz w:val="20"/>
                      <w:szCs w:val="20"/>
                    </w:rPr>
                    <w:t>Voc</w:t>
                  </w:r>
                  <w:r>
                    <w:rPr>
                      <w:spacing w:val="4"/>
                      <w:sz w:val="20"/>
                      <w:szCs w:val="20"/>
                    </w:rPr>
                    <w:t>）</w:t>
                  </w:r>
                </w:p>
              </w:tc>
              <w:tc>
                <w:tcPr>
                  <w:tcW w:w="1710" w:type="dxa"/>
                  <w:gridSpan w:val="2"/>
                  <w:vAlign w:val="top"/>
                </w:tcPr>
                <w:p w14:paraId="361B6964">
                  <w:pPr>
                    <w:spacing w:before="102" w:line="195"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57.08V</w:t>
                  </w:r>
                </w:p>
              </w:tc>
              <w:tc>
                <w:tcPr>
                  <w:tcW w:w="2335" w:type="dxa"/>
                  <w:gridSpan w:val="5"/>
                  <w:vAlign w:val="top"/>
                </w:tcPr>
                <w:p w14:paraId="48D4ABBF">
                  <w:pPr>
                    <w:pStyle w:val="6"/>
                    <w:spacing w:before="64" w:line="221" w:lineRule="auto"/>
                    <w:ind w:left="336"/>
                    <w:rPr>
                      <w:sz w:val="20"/>
                      <w:szCs w:val="20"/>
                    </w:rPr>
                  </w:pPr>
                  <w:r>
                    <w:rPr>
                      <w:spacing w:val="9"/>
                      <w:sz w:val="20"/>
                      <w:szCs w:val="20"/>
                    </w:rPr>
                    <w:t>工作电压（</w:t>
                  </w:r>
                  <w:r>
                    <w:rPr>
                      <w:rFonts w:ascii="Times New Roman" w:hAnsi="Times New Roman" w:eastAsia="Times New Roman" w:cs="Times New Roman"/>
                      <w:sz w:val="20"/>
                      <w:szCs w:val="20"/>
                    </w:rPr>
                    <w:t>Vmp</w:t>
                  </w:r>
                  <w:r>
                    <w:rPr>
                      <w:spacing w:val="9"/>
                      <w:sz w:val="20"/>
                      <w:szCs w:val="20"/>
                    </w:rPr>
                    <w:t>）</w:t>
                  </w:r>
                </w:p>
              </w:tc>
              <w:tc>
                <w:tcPr>
                  <w:tcW w:w="2051" w:type="dxa"/>
                  <w:gridSpan w:val="3"/>
                  <w:vAlign w:val="top"/>
                </w:tcPr>
                <w:p w14:paraId="35CE9D86">
                  <w:pPr>
                    <w:spacing w:before="102" w:line="195" w:lineRule="auto"/>
                    <w:ind w:left="7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47.7V</w:t>
                  </w:r>
                </w:p>
              </w:tc>
            </w:tr>
            <w:tr w14:paraId="4F610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70" w:type="dxa"/>
                  <w:gridSpan w:val="3"/>
                  <w:vAlign w:val="top"/>
                </w:tcPr>
                <w:p w14:paraId="1CCA28A9">
                  <w:pPr>
                    <w:pStyle w:val="6"/>
                    <w:spacing w:before="66" w:line="227" w:lineRule="auto"/>
                    <w:ind w:left="398"/>
                    <w:rPr>
                      <w:sz w:val="20"/>
                      <w:szCs w:val="20"/>
                    </w:rPr>
                  </w:pPr>
                  <w:r>
                    <w:rPr>
                      <w:spacing w:val="8"/>
                      <w:sz w:val="20"/>
                      <w:szCs w:val="20"/>
                    </w:rPr>
                    <w:t>短路电流（</w:t>
                  </w:r>
                  <w:r>
                    <w:rPr>
                      <w:rFonts w:ascii="Times New Roman" w:hAnsi="Times New Roman" w:eastAsia="Times New Roman" w:cs="Times New Roman"/>
                      <w:sz w:val="20"/>
                      <w:szCs w:val="20"/>
                    </w:rPr>
                    <w:t>Isc</w:t>
                  </w:r>
                  <w:r>
                    <w:rPr>
                      <w:spacing w:val="8"/>
                      <w:sz w:val="20"/>
                      <w:szCs w:val="20"/>
                    </w:rPr>
                    <w:t>）</w:t>
                  </w:r>
                </w:p>
              </w:tc>
              <w:tc>
                <w:tcPr>
                  <w:tcW w:w="1710" w:type="dxa"/>
                  <w:gridSpan w:val="2"/>
                  <w:vAlign w:val="top"/>
                </w:tcPr>
                <w:p w14:paraId="5FBEFBD6">
                  <w:pPr>
                    <w:spacing w:before="101" w:line="195" w:lineRule="auto"/>
                    <w:ind w:left="565"/>
                    <w:rPr>
                      <w:rFonts w:ascii="Times New Roman" w:hAnsi="Times New Roman" w:eastAsia="Times New Roman" w:cs="Times New Roman"/>
                      <w:sz w:val="20"/>
                      <w:szCs w:val="20"/>
                    </w:rPr>
                  </w:pPr>
                  <w:r>
                    <w:rPr>
                      <w:rFonts w:ascii="Times New Roman" w:hAnsi="Times New Roman" w:eastAsia="Times New Roman" w:cs="Times New Roman"/>
                      <w:sz w:val="20"/>
                      <w:szCs w:val="20"/>
                    </w:rPr>
                    <w:t>13.86A</w:t>
                  </w:r>
                </w:p>
              </w:tc>
              <w:tc>
                <w:tcPr>
                  <w:tcW w:w="2335" w:type="dxa"/>
                  <w:gridSpan w:val="5"/>
                  <w:vAlign w:val="top"/>
                </w:tcPr>
                <w:p w14:paraId="6DD06659">
                  <w:pPr>
                    <w:pStyle w:val="6"/>
                    <w:spacing w:before="65" w:line="221" w:lineRule="auto"/>
                    <w:ind w:left="377"/>
                    <w:rPr>
                      <w:sz w:val="20"/>
                      <w:szCs w:val="20"/>
                    </w:rPr>
                  </w:pPr>
                  <w:r>
                    <w:rPr>
                      <w:spacing w:val="9"/>
                      <w:sz w:val="20"/>
                      <w:szCs w:val="20"/>
                    </w:rPr>
                    <w:t>工作电流（</w:t>
                  </w:r>
                  <w:r>
                    <w:rPr>
                      <w:rFonts w:ascii="Times New Roman" w:hAnsi="Times New Roman" w:eastAsia="Times New Roman" w:cs="Times New Roman"/>
                      <w:sz w:val="20"/>
                      <w:szCs w:val="20"/>
                    </w:rPr>
                    <w:t>Imp</w:t>
                  </w:r>
                  <w:r>
                    <w:rPr>
                      <w:spacing w:val="9"/>
                      <w:sz w:val="20"/>
                      <w:szCs w:val="20"/>
                    </w:rPr>
                    <w:t>）</w:t>
                  </w:r>
                </w:p>
              </w:tc>
              <w:tc>
                <w:tcPr>
                  <w:tcW w:w="2051" w:type="dxa"/>
                  <w:gridSpan w:val="3"/>
                  <w:vAlign w:val="top"/>
                </w:tcPr>
                <w:p w14:paraId="05662B22">
                  <w:pPr>
                    <w:spacing w:before="101" w:line="195" w:lineRule="auto"/>
                    <w:ind w:left="734"/>
                    <w:rPr>
                      <w:rFonts w:ascii="Times New Roman" w:hAnsi="Times New Roman" w:eastAsia="Times New Roman" w:cs="Times New Roman"/>
                      <w:sz w:val="20"/>
                      <w:szCs w:val="20"/>
                    </w:rPr>
                  </w:pPr>
                  <w:r>
                    <w:rPr>
                      <w:rFonts w:ascii="Times New Roman" w:hAnsi="Times New Roman" w:eastAsia="Times New Roman" w:cs="Times New Roman"/>
                      <w:sz w:val="20"/>
                      <w:szCs w:val="20"/>
                    </w:rPr>
                    <w:t>13.21A</w:t>
                  </w:r>
                </w:p>
              </w:tc>
            </w:tr>
            <w:tr w14:paraId="189AE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70" w:type="dxa"/>
                  <w:gridSpan w:val="3"/>
                  <w:vAlign w:val="top"/>
                </w:tcPr>
                <w:p w14:paraId="2DFF1B8E">
                  <w:pPr>
                    <w:pStyle w:val="6"/>
                    <w:spacing w:before="67" w:line="227" w:lineRule="auto"/>
                    <w:ind w:left="309"/>
                    <w:rPr>
                      <w:sz w:val="20"/>
                      <w:szCs w:val="20"/>
                    </w:rPr>
                  </w:pPr>
                  <w:r>
                    <w:rPr>
                      <w:spacing w:val="8"/>
                      <w:sz w:val="20"/>
                      <w:szCs w:val="20"/>
                    </w:rPr>
                    <w:t>开路电压温度系数</w:t>
                  </w:r>
                </w:p>
              </w:tc>
              <w:tc>
                <w:tcPr>
                  <w:tcW w:w="1710" w:type="dxa"/>
                  <w:gridSpan w:val="2"/>
                  <w:vAlign w:val="top"/>
                </w:tcPr>
                <w:p w14:paraId="51EAE272">
                  <w:pPr>
                    <w:spacing w:before="98" w:line="199"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w:t>
                  </w:r>
                </w:p>
              </w:tc>
              <w:tc>
                <w:tcPr>
                  <w:tcW w:w="2335" w:type="dxa"/>
                  <w:gridSpan w:val="5"/>
                  <w:vAlign w:val="top"/>
                </w:tcPr>
                <w:p w14:paraId="48D8FD5F">
                  <w:pPr>
                    <w:pStyle w:val="6"/>
                    <w:spacing w:before="67" w:line="227" w:lineRule="auto"/>
                    <w:ind w:left="336"/>
                    <w:rPr>
                      <w:sz w:val="20"/>
                      <w:szCs w:val="20"/>
                    </w:rPr>
                  </w:pPr>
                  <w:r>
                    <w:rPr>
                      <w:spacing w:val="8"/>
                      <w:sz w:val="20"/>
                      <w:szCs w:val="20"/>
                    </w:rPr>
                    <w:t>短路电流温度系数</w:t>
                  </w:r>
                </w:p>
              </w:tc>
              <w:tc>
                <w:tcPr>
                  <w:tcW w:w="2051" w:type="dxa"/>
                  <w:gridSpan w:val="3"/>
                  <w:vAlign w:val="top"/>
                </w:tcPr>
                <w:p w14:paraId="24168CC8">
                  <w:pPr>
                    <w:spacing w:before="98" w:line="199"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+0.045%/℃</w:t>
                  </w:r>
                </w:p>
              </w:tc>
            </w:tr>
            <w:tr w14:paraId="0157A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70" w:type="dxa"/>
                  <w:gridSpan w:val="3"/>
                  <w:vAlign w:val="top"/>
                </w:tcPr>
                <w:p w14:paraId="2B6264D7">
                  <w:pPr>
                    <w:pStyle w:val="6"/>
                    <w:spacing w:before="68" w:line="227" w:lineRule="auto"/>
                    <w:ind w:left="316"/>
                    <w:rPr>
                      <w:sz w:val="20"/>
                      <w:szCs w:val="20"/>
                    </w:rPr>
                  </w:pPr>
                  <w:r>
                    <w:rPr>
                      <w:spacing w:val="7"/>
                      <w:sz w:val="20"/>
                      <w:szCs w:val="20"/>
                    </w:rPr>
                    <w:t>峰值功率温度系数</w:t>
                  </w:r>
                </w:p>
              </w:tc>
              <w:tc>
                <w:tcPr>
                  <w:tcW w:w="1710" w:type="dxa"/>
                  <w:gridSpan w:val="2"/>
                  <w:vAlign w:val="top"/>
                </w:tcPr>
                <w:p w14:paraId="34F15488">
                  <w:pPr>
                    <w:spacing w:before="99" w:line="199"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-0.29%/℃</w:t>
                  </w:r>
                </w:p>
              </w:tc>
              <w:tc>
                <w:tcPr>
                  <w:tcW w:w="2335" w:type="dxa"/>
                  <w:gridSpan w:val="5"/>
                  <w:vAlign w:val="top"/>
                </w:tcPr>
                <w:p w14:paraId="3D6F77E2">
                  <w:pPr>
                    <w:pStyle w:val="6"/>
                    <w:spacing w:before="68" w:line="233" w:lineRule="auto"/>
                    <w:ind w:left="965"/>
                    <w:rPr>
                      <w:sz w:val="20"/>
                      <w:szCs w:val="20"/>
                    </w:rPr>
                  </w:pPr>
                  <w:r>
                    <w:rPr>
                      <w:spacing w:val="4"/>
                      <w:sz w:val="20"/>
                      <w:szCs w:val="20"/>
                    </w:rPr>
                    <w:t>重量</w:t>
                  </w:r>
                </w:p>
              </w:tc>
              <w:tc>
                <w:tcPr>
                  <w:tcW w:w="2051" w:type="dxa"/>
                  <w:gridSpan w:val="3"/>
                  <w:vAlign w:val="top"/>
                </w:tcPr>
                <w:p w14:paraId="43966697">
                  <w:pPr>
                    <w:spacing w:before="100" w:line="200" w:lineRule="auto"/>
                    <w:ind w:left="81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34</w:t>
                  </w:r>
                  <w:r>
                    <w:rPr>
                      <w:rFonts w:ascii="Times New Roman" w:hAnsi="Times New Roman" w:eastAsia="Times New Roman" w:cs="Times New Roman"/>
                      <w:sz w:val="20"/>
                      <w:szCs w:val="20"/>
                    </w:rPr>
                    <w:t>kg</w:t>
                  </w:r>
                </w:p>
              </w:tc>
            </w:tr>
            <w:tr w14:paraId="02426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70" w:type="dxa"/>
                  <w:gridSpan w:val="3"/>
                  <w:vAlign w:val="top"/>
                </w:tcPr>
                <w:p w14:paraId="6A604DAB">
                  <w:pPr>
                    <w:pStyle w:val="6"/>
                    <w:spacing w:before="69" w:line="227" w:lineRule="auto"/>
                    <w:ind w:left="731"/>
                    <w:rPr>
                      <w:sz w:val="20"/>
                      <w:szCs w:val="20"/>
                    </w:rPr>
                  </w:pPr>
                  <w:r>
                    <w:rPr>
                      <w:spacing w:val="6"/>
                      <w:sz w:val="20"/>
                      <w:szCs w:val="20"/>
                    </w:rPr>
                    <w:t>组件效率</w:t>
                  </w:r>
                </w:p>
              </w:tc>
              <w:tc>
                <w:tcPr>
                  <w:tcW w:w="1710" w:type="dxa"/>
                  <w:gridSpan w:val="2"/>
                  <w:vAlign w:val="top"/>
                </w:tcPr>
                <w:p w14:paraId="681E32D8">
                  <w:pPr>
                    <w:spacing w:before="104" w:line="195" w:lineRule="auto"/>
                    <w:ind w:left="5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w:t>
                  </w:r>
                </w:p>
              </w:tc>
              <w:tc>
                <w:tcPr>
                  <w:tcW w:w="2335" w:type="dxa"/>
                  <w:gridSpan w:val="5"/>
                  <w:vAlign w:val="top"/>
                </w:tcPr>
                <w:p w14:paraId="0897EDC4">
                  <w:pPr>
                    <w:rPr>
                      <w:rFonts w:ascii="Arial"/>
                      <w:sz w:val="21"/>
                    </w:rPr>
                  </w:pPr>
                </w:p>
              </w:tc>
              <w:tc>
                <w:tcPr>
                  <w:tcW w:w="2051" w:type="dxa"/>
                  <w:gridSpan w:val="3"/>
                  <w:vAlign w:val="top"/>
                </w:tcPr>
                <w:p w14:paraId="78678C02">
                  <w:pPr>
                    <w:rPr>
                      <w:rFonts w:ascii="Arial"/>
                      <w:sz w:val="21"/>
                    </w:rPr>
                  </w:pPr>
                </w:p>
              </w:tc>
            </w:tr>
            <w:tr w14:paraId="5F807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7" w:hRule="atLeast"/>
              </w:trPr>
              <w:tc>
                <w:tcPr>
                  <w:tcW w:w="8266" w:type="dxa"/>
                  <w:gridSpan w:val="13"/>
                  <w:tcBorders>
                    <w:right w:val="nil"/>
                  </w:tcBorders>
                  <w:vAlign w:val="top"/>
                </w:tcPr>
                <w:p w14:paraId="6DB88226">
                  <w:pPr>
                    <w:pStyle w:val="6"/>
                    <w:spacing w:before="160" w:line="220" w:lineRule="auto"/>
                    <w:ind w:left="607"/>
                  </w:pPr>
                  <w:r>
                    <w:rPr>
                      <w:b/>
                      <w:bCs/>
                      <w:spacing w:val="-6"/>
                    </w:rPr>
                    <w:t>（</w:t>
                  </w:r>
                  <w:r>
                    <w:rPr>
                      <w:rFonts w:ascii="Times New Roman" w:hAnsi="Times New Roman" w:eastAsia="Times New Roman" w:cs="Times New Roman"/>
                      <w:b/>
                      <w:bCs/>
                      <w:spacing w:val="-6"/>
                    </w:rPr>
                    <w:t>2</w:t>
                  </w:r>
                  <w:r>
                    <w:rPr>
                      <w:b/>
                      <w:bCs/>
                      <w:spacing w:val="-6"/>
                    </w:rPr>
                    <w:t>）支架</w:t>
                  </w:r>
                </w:p>
                <w:p w14:paraId="0B8EAAEF">
                  <w:pPr>
                    <w:pStyle w:val="6"/>
                    <w:spacing w:before="180" w:line="350" w:lineRule="auto"/>
                    <w:ind w:left="117" w:firstLine="477"/>
                    <w:jc w:val="both"/>
                  </w:pPr>
                  <w:r>
                    <w:rPr>
                      <w:spacing w:val="-1"/>
                    </w:rPr>
                    <w:t>根据建设单位提供资料，光伏组件支架采用钢结构固定式支架，支架离地</w:t>
                  </w:r>
                  <w:r>
                    <w:rPr>
                      <w:spacing w:val="18"/>
                    </w:rPr>
                    <w:t xml:space="preserve"> </w:t>
                  </w:r>
                  <w:r>
                    <w:rPr>
                      <w:spacing w:val="-1"/>
                    </w:rPr>
                    <w:t>最低高度</w:t>
                  </w:r>
                  <w:r>
                    <w:rPr>
                      <w:spacing w:val="-40"/>
                    </w:rPr>
                    <w:t xml:space="preserve"> </w:t>
                  </w:r>
                  <w:r>
                    <w:rPr>
                      <w:rFonts w:ascii="Times New Roman" w:hAnsi="Times New Roman" w:eastAsia="Times New Roman" w:cs="Times New Roman"/>
                      <w:spacing w:val="-1"/>
                    </w:rPr>
                    <w:t>2.5m</w:t>
                  </w:r>
                  <w:r>
                    <w:rPr>
                      <w:rFonts w:ascii="Times New Roman" w:hAnsi="Times New Roman" w:eastAsia="Times New Roman" w:cs="Times New Roman"/>
                      <w:spacing w:val="-28"/>
                    </w:rPr>
                    <w:t xml:space="preserve"> </w:t>
                  </w:r>
                  <w:r>
                    <w:rPr>
                      <w:spacing w:val="-1"/>
                    </w:rPr>
                    <w:t>，光伏组件正朝南布置，倾角</w:t>
                  </w:r>
                  <w:r>
                    <w:rPr>
                      <w:spacing w:val="-50"/>
                    </w:rPr>
                    <w:t xml:space="preserve"> </w:t>
                  </w:r>
                  <w:r>
                    <w:rPr>
                      <w:rFonts w:ascii="Times New Roman" w:hAnsi="Times New Roman" w:eastAsia="Times New Roman" w:cs="Times New Roman"/>
                      <w:spacing w:val="-1"/>
                    </w:rPr>
                    <w:t>23</w:t>
                  </w:r>
                  <w:r>
                    <w:rPr>
                      <w:rFonts w:ascii="Times New Roman" w:hAnsi="Times New Roman" w:eastAsia="Times New Roman" w:cs="Times New Roman"/>
                      <w:spacing w:val="-24"/>
                    </w:rPr>
                    <w:t xml:space="preserve"> </w:t>
                  </w:r>
                  <w:r>
                    <w:rPr>
                      <w:spacing w:val="-1"/>
                    </w:rPr>
                    <w:t>°</w:t>
                  </w:r>
                  <w:r>
                    <w:rPr>
                      <w:spacing w:val="-85"/>
                    </w:rPr>
                    <w:t xml:space="preserve"> </w:t>
                  </w:r>
                  <w:r>
                    <w:rPr>
                      <w:spacing w:val="-1"/>
                    </w:rPr>
                    <w:t>。光伏阵列支架根据地形进</w:t>
                  </w:r>
                  <w:r>
                    <w:t xml:space="preserve"> </w:t>
                  </w:r>
                  <w:r>
                    <w:rPr>
                      <w:spacing w:val="-1"/>
                    </w:rPr>
                    <w:t>行布置，每个光伏支架布置</w:t>
                  </w:r>
                  <w:r>
                    <w:rPr>
                      <w:spacing w:val="-55"/>
                    </w:rPr>
                    <w:t xml:space="preserve"> </w:t>
                  </w:r>
                  <w:r>
                    <w:rPr>
                      <w:rFonts w:ascii="Times New Roman" w:hAnsi="Times New Roman" w:eastAsia="Times New Roman" w:cs="Times New Roman"/>
                      <w:spacing w:val="-1"/>
                    </w:rPr>
                    <w:t xml:space="preserve">2 </w:t>
                  </w:r>
                  <w:r>
                    <w:rPr>
                      <w:spacing w:val="-1"/>
                    </w:rPr>
                    <w:t>排，每排布置</w:t>
                  </w:r>
                  <w:r>
                    <w:rPr>
                      <w:spacing w:val="-35"/>
                    </w:rPr>
                    <w:t xml:space="preserve"> </w:t>
                  </w:r>
                  <w:r>
                    <w:rPr>
                      <w:rFonts w:ascii="Times New Roman" w:hAnsi="Times New Roman" w:eastAsia="Times New Roman" w:cs="Times New Roman"/>
                      <w:spacing w:val="-1"/>
                    </w:rPr>
                    <w:t xml:space="preserve">12 </w:t>
                  </w:r>
                  <w:r>
                    <w:rPr>
                      <w:spacing w:val="-1"/>
                    </w:rPr>
                    <w:t>块</w:t>
                  </w:r>
                  <w:r>
                    <w:rPr>
                      <w:spacing w:val="-47"/>
                    </w:rPr>
                    <w:t xml:space="preserve"> </w:t>
                  </w:r>
                  <w:r>
                    <w:rPr>
                      <w:rFonts w:ascii="Times New Roman" w:hAnsi="Times New Roman" w:eastAsia="Times New Roman" w:cs="Times New Roman"/>
                      <w:spacing w:val="-1"/>
                    </w:rPr>
                    <w:t xml:space="preserve">630Wp </w:t>
                  </w:r>
                  <w:r>
                    <w:rPr>
                      <w:spacing w:val="-2"/>
                    </w:rPr>
                    <w:t>单晶硅电池板，一个</w:t>
                  </w:r>
                  <w:r>
                    <w:t xml:space="preserve"> </w:t>
                  </w:r>
                  <w:r>
                    <w:rPr>
                      <w:spacing w:val="-2"/>
                    </w:rPr>
                    <w:t>光伏支架</w:t>
                  </w:r>
                  <w:r>
                    <w:rPr>
                      <w:spacing w:val="-43"/>
                    </w:rPr>
                    <w:t xml:space="preserve"> </w:t>
                  </w:r>
                  <w:r>
                    <w:rPr>
                      <w:rFonts w:ascii="Times New Roman" w:hAnsi="Times New Roman" w:eastAsia="Times New Roman" w:cs="Times New Roman"/>
                      <w:spacing w:val="-2"/>
                    </w:rPr>
                    <w:t xml:space="preserve">24 </w:t>
                  </w:r>
                  <w:r>
                    <w:rPr>
                      <w:spacing w:val="-2"/>
                    </w:rPr>
                    <w:t>块电池板串联后形成</w:t>
                  </w:r>
                  <w:r>
                    <w:rPr>
                      <w:spacing w:val="-32"/>
                    </w:rPr>
                    <w:t xml:space="preserve"> </w:t>
                  </w:r>
                  <w:r>
                    <w:rPr>
                      <w:rFonts w:ascii="Times New Roman" w:hAnsi="Times New Roman" w:eastAsia="Times New Roman" w:cs="Times New Roman"/>
                      <w:spacing w:val="-2"/>
                    </w:rPr>
                    <w:t xml:space="preserve">1 </w:t>
                  </w:r>
                  <w:r>
                    <w:rPr>
                      <w:spacing w:val="-2"/>
                    </w:rPr>
                    <w:t>个组串接入组串式逆变器。</w:t>
                  </w:r>
                </w:p>
                <w:p w14:paraId="6F801FD4">
                  <w:pPr>
                    <w:pStyle w:val="6"/>
                    <w:spacing w:before="44" w:line="220" w:lineRule="auto"/>
                    <w:ind w:left="607"/>
                  </w:pPr>
                  <w:r>
                    <w:rPr>
                      <w:b/>
                      <w:bCs/>
                      <w:spacing w:val="-4"/>
                    </w:rPr>
                    <w:t>（</w:t>
                  </w:r>
                  <w:r>
                    <w:rPr>
                      <w:rFonts w:ascii="Times New Roman" w:hAnsi="Times New Roman" w:eastAsia="Times New Roman" w:cs="Times New Roman"/>
                      <w:b/>
                      <w:bCs/>
                      <w:spacing w:val="-4"/>
                    </w:rPr>
                    <w:t>3</w:t>
                  </w:r>
                  <w:r>
                    <w:rPr>
                      <w:b/>
                      <w:bCs/>
                      <w:spacing w:val="-4"/>
                    </w:rPr>
                    <w:t>）组串式逆变器</w:t>
                  </w:r>
                </w:p>
                <w:p w14:paraId="52DDA591">
                  <w:pPr>
                    <w:pStyle w:val="6"/>
                    <w:spacing w:before="180" w:line="345" w:lineRule="auto"/>
                    <w:ind w:left="119" w:right="83" w:firstLine="477"/>
                  </w:pPr>
                  <w:r>
                    <w:rPr>
                      <w:spacing w:val="-1"/>
                    </w:rPr>
                    <w:t>本光伏电站采用</w:t>
                  </w:r>
                  <w:r>
                    <w:rPr>
                      <w:rFonts w:ascii="Times New Roman" w:hAnsi="Times New Roman" w:eastAsia="Times New Roman" w:cs="Times New Roman"/>
                      <w:spacing w:val="-1"/>
                    </w:rPr>
                    <w:t>300kW</w:t>
                  </w:r>
                  <w:r>
                    <w:rPr>
                      <w:spacing w:val="-1"/>
                    </w:rPr>
                    <w:t>组串式逆变器，共设置</w:t>
                  </w:r>
                  <w:r>
                    <w:rPr>
                      <w:rFonts w:ascii="Times New Roman" w:hAnsi="Times New Roman" w:eastAsia="Times New Roman" w:cs="Times New Roman"/>
                      <w:spacing w:val="-1"/>
                    </w:rPr>
                    <w:t>319</w:t>
                  </w:r>
                  <w:r>
                    <w:rPr>
                      <w:spacing w:val="-1"/>
                    </w:rPr>
                    <w:t>台。逆</w:t>
                  </w:r>
                  <w:r>
                    <w:rPr>
                      <w:spacing w:val="-69"/>
                    </w:rPr>
                    <w:t xml:space="preserve"> </w:t>
                  </w:r>
                  <w:r>
                    <w:rPr>
                      <w:spacing w:val="-2"/>
                    </w:rPr>
                    <w:t>变</w:t>
                  </w:r>
                  <w:r>
                    <w:rPr>
                      <w:spacing w:val="-68"/>
                    </w:rPr>
                    <w:t xml:space="preserve"> </w:t>
                  </w:r>
                  <w:r>
                    <w:rPr>
                      <w:spacing w:val="-2"/>
                    </w:rPr>
                    <w:t>器</w:t>
                  </w:r>
                  <w:r>
                    <w:rPr>
                      <w:spacing w:val="-68"/>
                    </w:rPr>
                    <w:t xml:space="preserve"> </w:t>
                  </w:r>
                  <w:r>
                    <w:rPr>
                      <w:spacing w:val="-2"/>
                    </w:rPr>
                    <w:t>主</w:t>
                  </w:r>
                  <w:r>
                    <w:rPr>
                      <w:spacing w:val="-66"/>
                    </w:rPr>
                    <w:t xml:space="preserve"> </w:t>
                  </w:r>
                  <w:r>
                    <w:rPr>
                      <w:spacing w:val="-2"/>
                    </w:rPr>
                    <w:t>要</w:t>
                  </w:r>
                  <w:r>
                    <w:rPr>
                      <w:spacing w:val="-68"/>
                    </w:rPr>
                    <w:t xml:space="preserve"> </w:t>
                  </w:r>
                  <w:r>
                    <w:rPr>
                      <w:spacing w:val="-2"/>
                    </w:rPr>
                    <w:t>参</w:t>
                  </w:r>
                  <w:r>
                    <w:rPr>
                      <w:spacing w:val="-66"/>
                    </w:rPr>
                    <w:t xml:space="preserve"> </w:t>
                  </w:r>
                  <w:r>
                    <w:rPr>
                      <w:spacing w:val="-2"/>
                    </w:rPr>
                    <w:t>数</w:t>
                  </w:r>
                  <w:r>
                    <w:t xml:space="preserve"> </w:t>
                  </w:r>
                  <w:r>
                    <w:rPr>
                      <w:spacing w:val="5"/>
                    </w:rPr>
                    <w:t>见下表。</w:t>
                  </w:r>
                </w:p>
                <w:p w14:paraId="4FEF75B3">
                  <w:pPr>
                    <w:pStyle w:val="6"/>
                    <w:spacing w:before="32" w:line="212" w:lineRule="auto"/>
                    <w:ind w:left="2789"/>
                    <w:rPr>
                      <w:sz w:val="20"/>
                      <w:szCs w:val="20"/>
                    </w:rPr>
                  </w:pPr>
                  <w:r>
                    <w:rPr>
                      <w:b/>
                      <w:bCs/>
                      <w:spacing w:val="6"/>
                      <w:sz w:val="20"/>
                      <w:szCs w:val="20"/>
                    </w:rPr>
                    <w:t>表</w:t>
                  </w:r>
                  <w:r>
                    <w:rPr>
                      <w:rFonts w:ascii="Times New Roman" w:hAnsi="Times New Roman" w:eastAsia="Times New Roman" w:cs="Times New Roman"/>
                      <w:b/>
                      <w:bCs/>
                      <w:spacing w:val="6"/>
                      <w:sz w:val="20"/>
                      <w:szCs w:val="20"/>
                    </w:rPr>
                    <w:t xml:space="preserve">2-4    </w:t>
                  </w:r>
                  <w:r>
                    <w:rPr>
                      <w:b/>
                      <w:bCs/>
                      <w:spacing w:val="6"/>
                      <w:sz w:val="20"/>
                      <w:szCs w:val="20"/>
                    </w:rPr>
                    <w:t>组串式逆变器主要参数</w:t>
                  </w:r>
                </w:p>
              </w:tc>
            </w:tr>
            <w:tr w14:paraId="6565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4753" w:type="dxa"/>
                  <w:gridSpan w:val="7"/>
                  <w:vAlign w:val="top"/>
                </w:tcPr>
                <w:p w14:paraId="5F0DBBD8">
                  <w:pPr>
                    <w:pStyle w:val="6"/>
                    <w:spacing w:before="50" w:line="213" w:lineRule="auto"/>
                    <w:ind w:left="2234"/>
                    <w:rPr>
                      <w:sz w:val="20"/>
                      <w:szCs w:val="20"/>
                    </w:rPr>
                  </w:pPr>
                  <w:r>
                    <w:rPr>
                      <w:b/>
                      <w:bCs/>
                      <w:spacing w:val="2"/>
                      <w:sz w:val="20"/>
                      <w:szCs w:val="20"/>
                    </w:rPr>
                    <w:t>项目</w:t>
                  </w:r>
                </w:p>
              </w:tc>
              <w:tc>
                <w:tcPr>
                  <w:tcW w:w="3513" w:type="dxa"/>
                  <w:gridSpan w:val="6"/>
                  <w:vAlign w:val="top"/>
                </w:tcPr>
                <w:p w14:paraId="44CAEF86">
                  <w:pPr>
                    <w:pStyle w:val="6"/>
                    <w:spacing w:before="50" w:line="213" w:lineRule="auto"/>
                    <w:ind w:left="1092"/>
                    <w:rPr>
                      <w:sz w:val="20"/>
                      <w:szCs w:val="20"/>
                    </w:rPr>
                  </w:pPr>
                  <w:r>
                    <w:rPr>
                      <w:rFonts w:ascii="Times New Roman" w:hAnsi="Times New Roman" w:eastAsia="Times New Roman" w:cs="Times New Roman"/>
                      <w:b/>
                      <w:bCs/>
                      <w:spacing w:val="8"/>
                      <w:sz w:val="20"/>
                      <w:szCs w:val="20"/>
                    </w:rPr>
                    <w:t>300</w:t>
                  </w:r>
                  <w:r>
                    <w:rPr>
                      <w:rFonts w:ascii="Times New Roman" w:hAnsi="Times New Roman" w:eastAsia="Times New Roman" w:cs="Times New Roman"/>
                      <w:b/>
                      <w:bCs/>
                      <w:sz w:val="20"/>
                      <w:szCs w:val="20"/>
                    </w:rPr>
                    <w:t>kW</w:t>
                  </w:r>
                  <w:r>
                    <w:rPr>
                      <w:rFonts w:ascii="Times New Roman" w:hAnsi="Times New Roman" w:eastAsia="Times New Roman" w:cs="Times New Roman"/>
                      <w:b/>
                      <w:bCs/>
                      <w:spacing w:val="8"/>
                      <w:sz w:val="20"/>
                      <w:szCs w:val="20"/>
                    </w:rPr>
                    <w:t xml:space="preserve"> </w:t>
                  </w:r>
                  <w:r>
                    <w:rPr>
                      <w:b/>
                      <w:bCs/>
                      <w:spacing w:val="8"/>
                      <w:sz w:val="20"/>
                      <w:szCs w:val="20"/>
                    </w:rPr>
                    <w:t>逆变器</w:t>
                  </w:r>
                </w:p>
              </w:tc>
            </w:tr>
            <w:tr w14:paraId="7331B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392" w:type="dxa"/>
                  <w:gridSpan w:val="2"/>
                  <w:vMerge w:val="restart"/>
                  <w:tcBorders>
                    <w:bottom w:val="nil"/>
                  </w:tcBorders>
                  <w:vAlign w:val="top"/>
                </w:tcPr>
                <w:p w14:paraId="612D6D32">
                  <w:pPr>
                    <w:pStyle w:val="6"/>
                    <w:spacing w:before="198" w:line="227" w:lineRule="auto"/>
                    <w:ind w:left="305"/>
                    <w:rPr>
                      <w:sz w:val="20"/>
                      <w:szCs w:val="20"/>
                    </w:rPr>
                  </w:pPr>
                  <w:r>
                    <w:rPr>
                      <w:spacing w:val="18"/>
                      <w:sz w:val="20"/>
                      <w:szCs w:val="20"/>
                    </w:rPr>
                    <w:t>输入参数</w:t>
                  </w:r>
                </w:p>
              </w:tc>
              <w:tc>
                <w:tcPr>
                  <w:tcW w:w="3361" w:type="dxa"/>
                  <w:gridSpan w:val="5"/>
                  <w:vAlign w:val="top"/>
                </w:tcPr>
                <w:p w14:paraId="6F69FC6E">
                  <w:pPr>
                    <w:pStyle w:val="6"/>
                    <w:spacing w:before="51" w:line="213" w:lineRule="auto"/>
                    <w:ind w:left="599"/>
                    <w:rPr>
                      <w:sz w:val="20"/>
                      <w:szCs w:val="20"/>
                    </w:rPr>
                  </w:pPr>
                  <w:r>
                    <w:rPr>
                      <w:spacing w:val="23"/>
                      <w:sz w:val="20"/>
                      <w:szCs w:val="20"/>
                    </w:rPr>
                    <w:t>最大输入电压（</w:t>
                  </w:r>
                  <w:r>
                    <w:rPr>
                      <w:rFonts w:ascii="Times New Roman" w:hAnsi="Times New Roman" w:eastAsia="Times New Roman" w:cs="Times New Roman"/>
                      <w:sz w:val="20"/>
                      <w:szCs w:val="20"/>
                    </w:rPr>
                    <w:t>Vdc</w:t>
                  </w:r>
                  <w:r>
                    <w:rPr>
                      <w:spacing w:val="23"/>
                      <w:sz w:val="20"/>
                      <w:szCs w:val="20"/>
                    </w:rPr>
                    <w:t>）</w:t>
                  </w:r>
                </w:p>
              </w:tc>
              <w:tc>
                <w:tcPr>
                  <w:tcW w:w="3513" w:type="dxa"/>
                  <w:gridSpan w:val="6"/>
                  <w:vAlign w:val="top"/>
                </w:tcPr>
                <w:p w14:paraId="7E4CE4B4">
                  <w:pPr>
                    <w:spacing w:before="87" w:line="195" w:lineRule="auto"/>
                    <w:ind w:left="15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r>
            <w:tr w14:paraId="61E01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92" w:type="dxa"/>
                  <w:gridSpan w:val="2"/>
                  <w:vMerge w:val="continue"/>
                  <w:tcBorders>
                    <w:top w:val="nil"/>
                  </w:tcBorders>
                  <w:vAlign w:val="top"/>
                </w:tcPr>
                <w:p w14:paraId="67AE2EE8">
                  <w:pPr>
                    <w:rPr>
                      <w:rFonts w:ascii="Arial"/>
                      <w:sz w:val="21"/>
                    </w:rPr>
                  </w:pPr>
                </w:p>
              </w:tc>
              <w:tc>
                <w:tcPr>
                  <w:tcW w:w="3361" w:type="dxa"/>
                  <w:gridSpan w:val="5"/>
                  <w:vAlign w:val="top"/>
                </w:tcPr>
                <w:p w14:paraId="2C5B9448">
                  <w:pPr>
                    <w:pStyle w:val="6"/>
                    <w:spacing w:before="49" w:line="226" w:lineRule="auto"/>
                    <w:ind w:left="597"/>
                    <w:rPr>
                      <w:sz w:val="20"/>
                      <w:szCs w:val="20"/>
                    </w:rPr>
                  </w:pPr>
                  <w:r>
                    <w:rPr>
                      <w:spacing w:val="23"/>
                      <w:sz w:val="20"/>
                      <w:szCs w:val="20"/>
                    </w:rPr>
                    <w:t>额定输入电压（</w:t>
                  </w:r>
                  <w:r>
                    <w:rPr>
                      <w:rFonts w:ascii="Times New Roman" w:hAnsi="Times New Roman" w:eastAsia="Times New Roman" w:cs="Times New Roman"/>
                      <w:sz w:val="20"/>
                      <w:szCs w:val="20"/>
                    </w:rPr>
                    <w:t>Vdc</w:t>
                  </w:r>
                  <w:r>
                    <w:rPr>
                      <w:spacing w:val="23"/>
                      <w:sz w:val="20"/>
                      <w:szCs w:val="20"/>
                    </w:rPr>
                    <w:t>）</w:t>
                  </w:r>
                </w:p>
              </w:tc>
              <w:tc>
                <w:tcPr>
                  <w:tcW w:w="3513" w:type="dxa"/>
                  <w:gridSpan w:val="6"/>
                  <w:vAlign w:val="top"/>
                </w:tcPr>
                <w:p w14:paraId="20D5BDBE">
                  <w:pPr>
                    <w:spacing w:before="85" w:line="195" w:lineRule="auto"/>
                    <w:ind w:left="15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1080</w:t>
                  </w:r>
                </w:p>
              </w:tc>
            </w:tr>
          </w:tbl>
          <w:p w14:paraId="78C24BE5">
            <w:pPr>
              <w:spacing w:line="14" w:lineRule="auto"/>
              <w:rPr>
                <w:rFonts w:ascii="Arial"/>
                <w:sz w:val="2"/>
              </w:rPr>
            </w:pPr>
            <w:r>
              <w:pict>
                <v:shape id="_x0000_s1060" o:spid="_x0000_s1060" style="position:absolute;left:0pt;margin-left:39.65pt;margin-top:631.95pt;height:44.85pt;width:0.5pt;mso-position-horizontal-relative:page;mso-position-vertical-relative:page;z-index:251698176;mso-width-relative:page;mso-height-relative:page;" filled="f" stroked="t" coordsize="10,896" path="m4,0l4,896e">
                  <v:fill on="f" focussize="0,0"/>
                  <v:stroke weight="0.48pt" color="#000000" miterlimit="2" joinstyle="bevel"/>
                  <v:imagedata o:title=""/>
                  <o:lock v:ext="edit"/>
                </v:shape>
              </w:pict>
            </w:r>
            <w:r>
              <w:pict>
                <v:shape id="_x0000_s1061" o:spid="_x0000_s1061" style="position:absolute;left:0pt;margin-left:39.65pt;margin-top:309.35pt;height:115.75pt;width:0.5pt;mso-position-horizontal-relative:page;mso-position-vertical-relative:page;z-index:251696128;mso-width-relative:page;mso-height-relative:page;" filled="f" stroked="t" coordsize="10,2315" path="m4,0l4,2315e">
                  <v:fill on="f" focussize="0,0"/>
                  <v:stroke weight="0.48pt" color="#000000" miterlimit="2" joinstyle="bevel"/>
                  <v:imagedata o:title=""/>
                  <o:lock v:ext="edit"/>
                </v:shape>
              </w:pict>
            </w:r>
            <w:r>
              <w:pict>
                <v:shape id="_x0000_s1062" o:spid="_x0000_s1062" style="position:absolute;left:0pt;margin-left:39.6pt;margin-top:0.5pt;height:204.5pt;width:1pt;mso-position-horizontal-relative:page;mso-position-vertical-relative:page;z-index:251697152;mso-width-relative:page;mso-height-relative:page;" filled="f" stroked="t" coordsize="20,4090" path="m9,0l9,4089e">
                  <v:fill on="f" focussize="0,0"/>
                  <v:stroke weight="0.96pt" color="#000000" miterlimit="2" joinstyle="bevel"/>
                  <v:imagedata o:title=""/>
                  <o:lock v:ext="edit"/>
                </v:shape>
              </w:pict>
            </w:r>
          </w:p>
        </w:tc>
      </w:tr>
    </w:tbl>
    <w:p w14:paraId="4EF01B2B">
      <w:pPr>
        <w:rPr>
          <w:rFonts w:ascii="Arial"/>
          <w:sz w:val="21"/>
        </w:rPr>
      </w:pPr>
    </w:p>
    <w:p w14:paraId="45862317">
      <w:pPr>
        <w:rPr>
          <w:rFonts w:ascii="Arial" w:hAnsi="Arial" w:eastAsia="Arial" w:cs="Arial"/>
          <w:sz w:val="21"/>
          <w:szCs w:val="21"/>
        </w:rPr>
        <w:sectPr>
          <w:footerReference r:id="rId56" w:type="default"/>
          <w:pgSz w:w="11906" w:h="16839"/>
          <w:pgMar w:top="1431" w:right="1415" w:bottom="1278" w:left="1415" w:header="0" w:footer="1116" w:gutter="0"/>
          <w:cols w:space="720" w:num="1"/>
        </w:sectPr>
      </w:pPr>
    </w:p>
    <w:p w14:paraId="026FA949">
      <w:pPr>
        <w:spacing w:line="99" w:lineRule="exact"/>
      </w:pPr>
    </w:p>
    <w:tbl>
      <w:tblPr>
        <w:tblStyle w:val="5"/>
        <w:tblW w:w="9060"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9"/>
        <w:gridCol w:w="8371"/>
      </w:tblGrid>
      <w:tr w14:paraId="007E5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13" w:hRule="atLeast"/>
        </w:trPr>
        <w:tc>
          <w:tcPr>
            <w:tcW w:w="689" w:type="dxa"/>
            <w:tcBorders>
              <w:left w:val="single" w:color="000000" w:sz="6" w:space="0"/>
              <w:right w:val="single" w:color="000000" w:sz="2" w:space="0"/>
            </w:tcBorders>
            <w:vAlign w:val="top"/>
          </w:tcPr>
          <w:p w14:paraId="5A647DE5">
            <w:pPr>
              <w:rPr>
                <w:rFonts w:ascii="Arial"/>
                <w:sz w:val="21"/>
              </w:rPr>
            </w:pPr>
          </w:p>
        </w:tc>
        <w:tc>
          <w:tcPr>
            <w:tcW w:w="8371" w:type="dxa"/>
            <w:tcBorders>
              <w:left w:val="single" w:color="000000" w:sz="2" w:space="0"/>
              <w:right w:val="single" w:color="000000" w:sz="6" w:space="0"/>
            </w:tcBorders>
            <w:vAlign w:val="top"/>
          </w:tcPr>
          <w:tbl>
            <w:tblPr>
              <w:tblStyle w:val="5"/>
              <w:tblW w:w="8150"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8"/>
              <w:gridCol w:w="3360"/>
              <w:gridCol w:w="3512"/>
            </w:tblGrid>
            <w:tr w14:paraId="033DF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278" w:type="dxa"/>
                  <w:vMerge w:val="restart"/>
                  <w:tcBorders>
                    <w:top w:val="nil"/>
                    <w:bottom w:val="nil"/>
                  </w:tcBorders>
                  <w:vAlign w:val="top"/>
                </w:tcPr>
                <w:p w14:paraId="6C0C988F">
                  <w:pPr>
                    <w:rPr>
                      <w:rFonts w:ascii="Arial"/>
                      <w:sz w:val="21"/>
                    </w:rPr>
                  </w:pPr>
                </w:p>
              </w:tc>
              <w:tc>
                <w:tcPr>
                  <w:tcW w:w="3360" w:type="dxa"/>
                  <w:tcBorders>
                    <w:top w:val="nil"/>
                  </w:tcBorders>
                  <w:vAlign w:val="top"/>
                </w:tcPr>
                <w:p w14:paraId="6D4E9D8C">
                  <w:pPr>
                    <w:pStyle w:val="6"/>
                    <w:spacing w:before="56" w:line="216" w:lineRule="auto"/>
                    <w:ind w:left="798"/>
                    <w:rPr>
                      <w:sz w:val="20"/>
                      <w:szCs w:val="20"/>
                    </w:rPr>
                  </w:pPr>
                  <w:r>
                    <w:rPr>
                      <w:rFonts w:ascii="Times New Roman" w:hAnsi="Times New Roman" w:eastAsia="Times New Roman" w:cs="Times New Roman"/>
                      <w:sz w:val="20"/>
                      <w:szCs w:val="20"/>
                    </w:rPr>
                    <w:t>MPPT</w:t>
                  </w:r>
                  <w:r>
                    <w:rPr>
                      <w:rFonts w:ascii="Times New Roman" w:hAnsi="Times New Roman" w:eastAsia="Times New Roman" w:cs="Times New Roman"/>
                      <w:spacing w:val="30"/>
                      <w:sz w:val="20"/>
                      <w:szCs w:val="20"/>
                    </w:rPr>
                    <w:t xml:space="preserve"> </w:t>
                  </w:r>
                  <w:r>
                    <w:rPr>
                      <w:spacing w:val="22"/>
                      <w:sz w:val="20"/>
                      <w:szCs w:val="20"/>
                    </w:rPr>
                    <w:t>数量（个）</w:t>
                  </w:r>
                </w:p>
              </w:tc>
              <w:tc>
                <w:tcPr>
                  <w:tcW w:w="3512" w:type="dxa"/>
                  <w:tcBorders>
                    <w:top w:val="nil"/>
                  </w:tcBorders>
                  <w:vAlign w:val="top"/>
                </w:tcPr>
                <w:p w14:paraId="3F015CAE">
                  <w:pPr>
                    <w:spacing w:before="92" w:line="195" w:lineRule="auto"/>
                    <w:ind w:left="170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17488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278" w:type="dxa"/>
                  <w:vMerge w:val="continue"/>
                  <w:tcBorders>
                    <w:top w:val="nil"/>
                    <w:bottom w:val="nil"/>
                  </w:tcBorders>
                  <w:vAlign w:val="top"/>
                </w:tcPr>
                <w:p w14:paraId="7802E692">
                  <w:pPr>
                    <w:rPr>
                      <w:rFonts w:ascii="Arial"/>
                      <w:sz w:val="21"/>
                    </w:rPr>
                  </w:pPr>
                </w:p>
              </w:tc>
              <w:tc>
                <w:tcPr>
                  <w:tcW w:w="3360" w:type="dxa"/>
                  <w:vAlign w:val="top"/>
                </w:tcPr>
                <w:p w14:paraId="42D27DCD">
                  <w:pPr>
                    <w:pStyle w:val="6"/>
                    <w:spacing w:before="46" w:line="217" w:lineRule="auto"/>
                    <w:ind w:left="501"/>
                    <w:rPr>
                      <w:sz w:val="20"/>
                      <w:szCs w:val="20"/>
                    </w:rPr>
                  </w:pPr>
                  <w:r>
                    <w:rPr>
                      <w:rFonts w:ascii="Times New Roman" w:hAnsi="Times New Roman" w:eastAsia="Times New Roman" w:cs="Times New Roman"/>
                      <w:sz w:val="20"/>
                      <w:szCs w:val="20"/>
                    </w:rPr>
                    <w:t>MPPT</w:t>
                  </w:r>
                  <w:r>
                    <w:rPr>
                      <w:rFonts w:ascii="Times New Roman" w:hAnsi="Times New Roman" w:eastAsia="Times New Roman" w:cs="Times New Roman"/>
                      <w:spacing w:val="49"/>
                      <w:w w:val="101"/>
                      <w:sz w:val="20"/>
                      <w:szCs w:val="20"/>
                    </w:rPr>
                    <w:t xml:space="preserve"> </w:t>
                  </w:r>
                  <w:r>
                    <w:rPr>
                      <w:spacing w:val="26"/>
                      <w:sz w:val="20"/>
                      <w:szCs w:val="20"/>
                    </w:rPr>
                    <w:t>电压范围（</w:t>
                  </w:r>
                  <w:r>
                    <w:rPr>
                      <w:rFonts w:ascii="Times New Roman" w:hAnsi="Times New Roman" w:eastAsia="Times New Roman" w:cs="Times New Roman"/>
                      <w:sz w:val="20"/>
                      <w:szCs w:val="20"/>
                    </w:rPr>
                    <w:t>Vdc</w:t>
                  </w:r>
                  <w:r>
                    <w:rPr>
                      <w:spacing w:val="26"/>
                      <w:sz w:val="20"/>
                      <w:szCs w:val="20"/>
                    </w:rPr>
                    <w:t>）</w:t>
                  </w:r>
                </w:p>
              </w:tc>
              <w:tc>
                <w:tcPr>
                  <w:tcW w:w="3512" w:type="dxa"/>
                  <w:vAlign w:val="top"/>
                </w:tcPr>
                <w:p w14:paraId="4E992711">
                  <w:pPr>
                    <w:pStyle w:val="6"/>
                    <w:spacing w:before="82" w:line="184" w:lineRule="auto"/>
                    <w:ind w:left="11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500V</w:t>
                  </w:r>
                  <w:r>
                    <w:rPr>
                      <w:spacing w:val="4"/>
                      <w:sz w:val="20"/>
                      <w:szCs w:val="20"/>
                    </w:rPr>
                    <w:t>—</w:t>
                  </w:r>
                  <w:r>
                    <w:rPr>
                      <w:rFonts w:ascii="Times New Roman" w:hAnsi="Times New Roman" w:eastAsia="Times New Roman" w:cs="Times New Roman"/>
                      <w:spacing w:val="4"/>
                      <w:sz w:val="20"/>
                      <w:szCs w:val="20"/>
                    </w:rPr>
                    <w:t>1500V</w:t>
                  </w:r>
                </w:p>
              </w:tc>
            </w:tr>
            <w:tr w14:paraId="74EBB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278" w:type="dxa"/>
                  <w:vMerge w:val="continue"/>
                  <w:tcBorders>
                    <w:top w:val="nil"/>
                  </w:tcBorders>
                  <w:vAlign w:val="top"/>
                </w:tcPr>
                <w:p w14:paraId="120037B8">
                  <w:pPr>
                    <w:rPr>
                      <w:rFonts w:ascii="Arial"/>
                      <w:sz w:val="21"/>
                    </w:rPr>
                  </w:pPr>
                </w:p>
              </w:tc>
              <w:tc>
                <w:tcPr>
                  <w:tcW w:w="3360" w:type="dxa"/>
                  <w:vAlign w:val="top"/>
                </w:tcPr>
                <w:p w14:paraId="1F369DFF">
                  <w:pPr>
                    <w:pStyle w:val="6"/>
                    <w:spacing w:before="44" w:line="218" w:lineRule="auto"/>
                    <w:ind w:left="30"/>
                    <w:rPr>
                      <w:sz w:val="20"/>
                      <w:szCs w:val="20"/>
                    </w:rPr>
                  </w:pPr>
                  <w:r>
                    <w:rPr>
                      <w:spacing w:val="24"/>
                      <w:sz w:val="20"/>
                      <w:szCs w:val="20"/>
                    </w:rPr>
                    <w:t>每路</w:t>
                  </w:r>
                  <w:r>
                    <w:rPr>
                      <w:spacing w:val="-18"/>
                      <w:sz w:val="20"/>
                      <w:szCs w:val="20"/>
                    </w:rPr>
                    <w:t xml:space="preserve"> </w:t>
                  </w:r>
                  <w:r>
                    <w:rPr>
                      <w:rFonts w:ascii="Times New Roman" w:hAnsi="Times New Roman" w:eastAsia="Times New Roman" w:cs="Times New Roman"/>
                      <w:sz w:val="20"/>
                      <w:szCs w:val="20"/>
                    </w:rPr>
                    <w:t>MPPT</w:t>
                  </w:r>
                  <w:r>
                    <w:rPr>
                      <w:rFonts w:ascii="Times New Roman" w:hAnsi="Times New Roman" w:eastAsia="Times New Roman" w:cs="Times New Roman"/>
                      <w:spacing w:val="28"/>
                      <w:sz w:val="20"/>
                      <w:szCs w:val="20"/>
                    </w:rPr>
                    <w:t xml:space="preserve"> </w:t>
                  </w:r>
                  <w:r>
                    <w:rPr>
                      <w:spacing w:val="24"/>
                      <w:sz w:val="20"/>
                      <w:szCs w:val="20"/>
                    </w:rPr>
                    <w:t>最大输入电流（</w:t>
                  </w:r>
                  <w:r>
                    <w:rPr>
                      <w:rFonts w:ascii="Times New Roman" w:hAnsi="Times New Roman" w:eastAsia="Times New Roman" w:cs="Times New Roman"/>
                      <w:sz w:val="20"/>
                      <w:szCs w:val="20"/>
                    </w:rPr>
                    <w:t>Adc</w:t>
                  </w:r>
                  <w:r>
                    <w:rPr>
                      <w:spacing w:val="24"/>
                      <w:sz w:val="20"/>
                      <w:szCs w:val="20"/>
                    </w:rPr>
                    <w:t>）</w:t>
                  </w:r>
                </w:p>
              </w:tc>
              <w:tc>
                <w:tcPr>
                  <w:tcW w:w="3512" w:type="dxa"/>
                  <w:vAlign w:val="top"/>
                </w:tcPr>
                <w:p w14:paraId="475182E1">
                  <w:pPr>
                    <w:spacing w:before="80" w:line="195" w:lineRule="auto"/>
                    <w:ind w:left="1651"/>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14:paraId="4C50A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278" w:type="dxa"/>
                  <w:vMerge w:val="restart"/>
                  <w:tcBorders>
                    <w:bottom w:val="nil"/>
                  </w:tcBorders>
                  <w:vAlign w:val="top"/>
                </w:tcPr>
                <w:p w14:paraId="586E0247">
                  <w:pPr>
                    <w:spacing w:line="287" w:lineRule="auto"/>
                    <w:rPr>
                      <w:rFonts w:ascii="Arial"/>
                      <w:sz w:val="21"/>
                    </w:rPr>
                  </w:pPr>
                </w:p>
                <w:p w14:paraId="19700BB2">
                  <w:pPr>
                    <w:spacing w:line="288" w:lineRule="auto"/>
                    <w:rPr>
                      <w:rFonts w:ascii="Arial"/>
                      <w:sz w:val="21"/>
                    </w:rPr>
                  </w:pPr>
                </w:p>
                <w:p w14:paraId="1B3D4ACA">
                  <w:pPr>
                    <w:spacing w:line="288" w:lineRule="auto"/>
                    <w:rPr>
                      <w:rFonts w:ascii="Arial"/>
                      <w:sz w:val="21"/>
                    </w:rPr>
                  </w:pPr>
                </w:p>
                <w:p w14:paraId="5436EEAB">
                  <w:pPr>
                    <w:pStyle w:val="6"/>
                    <w:spacing w:before="65" w:line="228" w:lineRule="auto"/>
                    <w:ind w:left="227"/>
                    <w:rPr>
                      <w:sz w:val="20"/>
                      <w:szCs w:val="20"/>
                    </w:rPr>
                  </w:pPr>
                  <w:r>
                    <w:rPr>
                      <w:spacing w:val="7"/>
                      <w:sz w:val="20"/>
                      <w:szCs w:val="20"/>
                    </w:rPr>
                    <w:t>输出参数</w:t>
                  </w:r>
                </w:p>
              </w:tc>
              <w:tc>
                <w:tcPr>
                  <w:tcW w:w="3360" w:type="dxa"/>
                  <w:vAlign w:val="top"/>
                </w:tcPr>
                <w:p w14:paraId="5B772A93">
                  <w:pPr>
                    <w:pStyle w:val="6"/>
                    <w:spacing w:before="46" w:line="216" w:lineRule="auto"/>
                    <w:ind w:left="628"/>
                    <w:rPr>
                      <w:sz w:val="20"/>
                      <w:szCs w:val="20"/>
                    </w:rPr>
                  </w:pPr>
                  <w:r>
                    <w:rPr>
                      <w:spacing w:val="22"/>
                      <w:sz w:val="20"/>
                      <w:szCs w:val="20"/>
                    </w:rPr>
                    <w:t>最大输出功率（</w:t>
                  </w:r>
                  <w:r>
                    <w:rPr>
                      <w:rFonts w:ascii="Times New Roman" w:hAnsi="Times New Roman" w:eastAsia="Times New Roman" w:cs="Times New Roman"/>
                      <w:sz w:val="20"/>
                      <w:szCs w:val="20"/>
                    </w:rPr>
                    <w:t>kW</w:t>
                  </w:r>
                  <w:r>
                    <w:rPr>
                      <w:spacing w:val="22"/>
                      <w:sz w:val="20"/>
                      <w:szCs w:val="20"/>
                    </w:rPr>
                    <w:t>）</w:t>
                  </w:r>
                </w:p>
              </w:tc>
              <w:tc>
                <w:tcPr>
                  <w:tcW w:w="3512" w:type="dxa"/>
                  <w:vAlign w:val="top"/>
                </w:tcPr>
                <w:p w14:paraId="345E629F">
                  <w:pPr>
                    <w:spacing w:before="82" w:line="195" w:lineRule="auto"/>
                    <w:ind w:left="15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330</w:t>
                  </w:r>
                </w:p>
              </w:tc>
            </w:tr>
            <w:tr w14:paraId="5DCC3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278" w:type="dxa"/>
                  <w:vMerge w:val="continue"/>
                  <w:tcBorders>
                    <w:top w:val="nil"/>
                    <w:bottom w:val="nil"/>
                  </w:tcBorders>
                  <w:vAlign w:val="top"/>
                </w:tcPr>
                <w:p w14:paraId="0B455ABC">
                  <w:pPr>
                    <w:rPr>
                      <w:rFonts w:ascii="Arial"/>
                      <w:sz w:val="21"/>
                    </w:rPr>
                  </w:pPr>
                </w:p>
              </w:tc>
              <w:tc>
                <w:tcPr>
                  <w:tcW w:w="3360" w:type="dxa"/>
                  <w:vAlign w:val="top"/>
                </w:tcPr>
                <w:p w14:paraId="46DF3C83">
                  <w:pPr>
                    <w:pStyle w:val="6"/>
                    <w:spacing w:before="45" w:line="217" w:lineRule="auto"/>
                    <w:ind w:left="606"/>
                    <w:rPr>
                      <w:sz w:val="20"/>
                      <w:szCs w:val="20"/>
                    </w:rPr>
                  </w:pPr>
                  <w:r>
                    <w:rPr>
                      <w:spacing w:val="23"/>
                      <w:sz w:val="20"/>
                      <w:szCs w:val="20"/>
                    </w:rPr>
                    <w:t>最大输出电流（</w:t>
                  </w:r>
                  <w:r>
                    <w:rPr>
                      <w:rFonts w:ascii="Times New Roman" w:hAnsi="Times New Roman" w:eastAsia="Times New Roman" w:cs="Times New Roman"/>
                      <w:sz w:val="20"/>
                      <w:szCs w:val="20"/>
                    </w:rPr>
                    <w:t>Aac</w:t>
                  </w:r>
                  <w:r>
                    <w:rPr>
                      <w:spacing w:val="23"/>
                      <w:sz w:val="20"/>
                      <w:szCs w:val="20"/>
                    </w:rPr>
                    <w:t>）</w:t>
                  </w:r>
                </w:p>
              </w:tc>
              <w:tc>
                <w:tcPr>
                  <w:tcW w:w="3512" w:type="dxa"/>
                  <w:vAlign w:val="top"/>
                </w:tcPr>
                <w:p w14:paraId="63EA469D">
                  <w:pPr>
                    <w:spacing w:before="81" w:line="195" w:lineRule="auto"/>
                    <w:ind w:left="15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238.2</w:t>
                  </w:r>
                </w:p>
              </w:tc>
            </w:tr>
            <w:tr w14:paraId="2CA32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278" w:type="dxa"/>
                  <w:vMerge w:val="continue"/>
                  <w:tcBorders>
                    <w:top w:val="nil"/>
                    <w:bottom w:val="nil"/>
                  </w:tcBorders>
                  <w:vAlign w:val="top"/>
                </w:tcPr>
                <w:p w14:paraId="227472D0">
                  <w:pPr>
                    <w:rPr>
                      <w:rFonts w:ascii="Arial"/>
                      <w:sz w:val="21"/>
                    </w:rPr>
                  </w:pPr>
                </w:p>
              </w:tc>
              <w:tc>
                <w:tcPr>
                  <w:tcW w:w="3360" w:type="dxa"/>
                  <w:vAlign w:val="top"/>
                </w:tcPr>
                <w:p w14:paraId="36B396C2">
                  <w:pPr>
                    <w:pStyle w:val="6"/>
                    <w:spacing w:before="46" w:line="216" w:lineRule="auto"/>
                    <w:ind w:left="616"/>
                    <w:rPr>
                      <w:sz w:val="20"/>
                      <w:szCs w:val="20"/>
                    </w:rPr>
                  </w:pPr>
                  <w:r>
                    <w:rPr>
                      <w:spacing w:val="20"/>
                      <w:sz w:val="20"/>
                      <w:szCs w:val="20"/>
                    </w:rPr>
                    <w:t>额定电网电压（</w:t>
                  </w:r>
                  <w:r>
                    <w:rPr>
                      <w:rFonts w:ascii="Times New Roman" w:hAnsi="Times New Roman" w:eastAsia="Times New Roman" w:cs="Times New Roman"/>
                      <w:sz w:val="20"/>
                      <w:szCs w:val="20"/>
                    </w:rPr>
                    <w:t>Vac</w:t>
                  </w:r>
                  <w:r>
                    <w:rPr>
                      <w:spacing w:val="20"/>
                      <w:sz w:val="20"/>
                      <w:szCs w:val="20"/>
                    </w:rPr>
                    <w:t>）</w:t>
                  </w:r>
                </w:p>
              </w:tc>
              <w:tc>
                <w:tcPr>
                  <w:tcW w:w="3512" w:type="dxa"/>
                  <w:vAlign w:val="top"/>
                </w:tcPr>
                <w:p w14:paraId="3D994705">
                  <w:pPr>
                    <w:pStyle w:val="6"/>
                    <w:spacing w:before="83" w:line="182" w:lineRule="auto"/>
                    <w:ind w:left="10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800V</w:t>
                  </w:r>
                  <w:r>
                    <w:rPr>
                      <w:rFonts w:ascii="Times New Roman" w:hAnsi="Times New Roman" w:eastAsia="Times New Roman" w:cs="Times New Roman"/>
                      <w:spacing w:val="-27"/>
                      <w:sz w:val="20"/>
                      <w:szCs w:val="20"/>
                    </w:rPr>
                    <w:t xml:space="preserve"> </w:t>
                  </w:r>
                  <w:r>
                    <w:rPr>
                      <w:spacing w:val="3"/>
                      <w:sz w:val="20"/>
                      <w:szCs w:val="20"/>
                    </w:rPr>
                    <w:t>，</w:t>
                  </w:r>
                  <w:r>
                    <w:rPr>
                      <w:rFonts w:ascii="Times New Roman" w:hAnsi="Times New Roman" w:eastAsia="Times New Roman" w:cs="Times New Roman"/>
                      <w:spacing w:val="3"/>
                      <w:sz w:val="20"/>
                      <w:szCs w:val="20"/>
                    </w:rPr>
                    <w:t>3W+</w:t>
                  </w:r>
                  <w:r>
                    <w:rPr>
                      <w:rFonts w:ascii="Times New Roman" w:hAnsi="Times New Roman" w:eastAsia="Times New Roman" w:cs="Times New Roman"/>
                      <w:sz w:val="20"/>
                      <w:szCs w:val="20"/>
                    </w:rPr>
                    <w:t>PE</w:t>
                  </w:r>
                </w:p>
              </w:tc>
            </w:tr>
            <w:tr w14:paraId="7C26F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278" w:type="dxa"/>
                  <w:vMerge w:val="continue"/>
                  <w:tcBorders>
                    <w:top w:val="nil"/>
                    <w:bottom w:val="nil"/>
                  </w:tcBorders>
                  <w:vAlign w:val="top"/>
                </w:tcPr>
                <w:p w14:paraId="67A869BC">
                  <w:pPr>
                    <w:rPr>
                      <w:rFonts w:ascii="Arial"/>
                      <w:sz w:val="21"/>
                    </w:rPr>
                  </w:pPr>
                </w:p>
              </w:tc>
              <w:tc>
                <w:tcPr>
                  <w:tcW w:w="3360" w:type="dxa"/>
                  <w:vAlign w:val="top"/>
                </w:tcPr>
                <w:p w14:paraId="0C64BE50">
                  <w:pPr>
                    <w:pStyle w:val="6"/>
                    <w:spacing w:before="46" w:line="216" w:lineRule="auto"/>
                    <w:ind w:left="625"/>
                    <w:rPr>
                      <w:sz w:val="20"/>
                      <w:szCs w:val="20"/>
                    </w:rPr>
                  </w:pPr>
                  <w:r>
                    <w:rPr>
                      <w:spacing w:val="22"/>
                      <w:sz w:val="20"/>
                      <w:szCs w:val="20"/>
                    </w:rPr>
                    <w:t>额定输出功率（</w:t>
                  </w:r>
                  <w:r>
                    <w:rPr>
                      <w:rFonts w:ascii="Times New Roman" w:hAnsi="Times New Roman" w:eastAsia="Times New Roman" w:cs="Times New Roman"/>
                      <w:sz w:val="20"/>
                      <w:szCs w:val="20"/>
                    </w:rPr>
                    <w:t>kW</w:t>
                  </w:r>
                  <w:r>
                    <w:rPr>
                      <w:spacing w:val="22"/>
                      <w:sz w:val="20"/>
                      <w:szCs w:val="20"/>
                    </w:rPr>
                    <w:t>）</w:t>
                  </w:r>
                </w:p>
              </w:tc>
              <w:tc>
                <w:tcPr>
                  <w:tcW w:w="3512" w:type="dxa"/>
                  <w:vAlign w:val="top"/>
                </w:tcPr>
                <w:p w14:paraId="4B8EEDE4">
                  <w:pPr>
                    <w:spacing w:before="82" w:line="195" w:lineRule="auto"/>
                    <w:ind w:left="15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3283D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278" w:type="dxa"/>
                  <w:vMerge w:val="continue"/>
                  <w:tcBorders>
                    <w:top w:val="nil"/>
                    <w:bottom w:val="nil"/>
                  </w:tcBorders>
                  <w:vAlign w:val="top"/>
                </w:tcPr>
                <w:p w14:paraId="06391158">
                  <w:pPr>
                    <w:rPr>
                      <w:rFonts w:ascii="Arial"/>
                      <w:sz w:val="21"/>
                    </w:rPr>
                  </w:pPr>
                </w:p>
              </w:tc>
              <w:tc>
                <w:tcPr>
                  <w:tcW w:w="3360" w:type="dxa"/>
                  <w:vAlign w:val="top"/>
                </w:tcPr>
                <w:p w14:paraId="306B9580">
                  <w:pPr>
                    <w:pStyle w:val="6"/>
                    <w:spacing w:before="48" w:line="215" w:lineRule="auto"/>
                    <w:ind w:left="787"/>
                    <w:rPr>
                      <w:sz w:val="20"/>
                      <w:szCs w:val="20"/>
                    </w:rPr>
                  </w:pPr>
                  <w:r>
                    <w:rPr>
                      <w:spacing w:val="20"/>
                      <w:sz w:val="20"/>
                      <w:szCs w:val="20"/>
                    </w:rPr>
                    <w:t>功率因数可调范围</w:t>
                  </w:r>
                </w:p>
              </w:tc>
              <w:tc>
                <w:tcPr>
                  <w:tcW w:w="3512" w:type="dxa"/>
                  <w:vAlign w:val="top"/>
                </w:tcPr>
                <w:p w14:paraId="7A1A4144">
                  <w:pPr>
                    <w:pStyle w:val="6"/>
                    <w:spacing w:before="48" w:line="215" w:lineRule="auto"/>
                    <w:ind w:left="546"/>
                    <w:rPr>
                      <w:sz w:val="20"/>
                      <w:szCs w:val="20"/>
                    </w:rPr>
                  </w:pPr>
                  <w:r>
                    <w:rPr>
                      <w:rFonts w:ascii="Times New Roman" w:hAnsi="Times New Roman" w:eastAsia="Times New Roman" w:cs="Times New Roman"/>
                      <w:spacing w:val="7"/>
                      <w:sz w:val="20"/>
                      <w:szCs w:val="20"/>
                    </w:rPr>
                    <w:t>0.8</w:t>
                  </w:r>
                  <w:r>
                    <w:rPr>
                      <w:spacing w:val="7"/>
                      <w:sz w:val="20"/>
                      <w:szCs w:val="20"/>
                    </w:rPr>
                    <w:t>（超前</w:t>
                  </w:r>
                  <w:r>
                    <w:rPr>
                      <w:spacing w:val="3"/>
                      <w:sz w:val="20"/>
                      <w:szCs w:val="20"/>
                    </w:rPr>
                    <w:t>）～</w:t>
                  </w:r>
                  <w:r>
                    <w:rPr>
                      <w:rFonts w:ascii="Times New Roman" w:hAnsi="Times New Roman" w:eastAsia="Times New Roman" w:cs="Times New Roman"/>
                      <w:spacing w:val="7"/>
                      <w:sz w:val="20"/>
                      <w:szCs w:val="20"/>
                    </w:rPr>
                    <w:t>0.8</w:t>
                  </w:r>
                  <w:r>
                    <w:rPr>
                      <w:spacing w:val="7"/>
                      <w:sz w:val="20"/>
                      <w:szCs w:val="20"/>
                    </w:rPr>
                    <w:t>（滞后）</w:t>
                  </w:r>
                </w:p>
              </w:tc>
            </w:tr>
            <w:tr w14:paraId="76C52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278" w:type="dxa"/>
                  <w:vMerge w:val="continue"/>
                  <w:tcBorders>
                    <w:top w:val="nil"/>
                    <w:bottom w:val="nil"/>
                  </w:tcBorders>
                  <w:vAlign w:val="top"/>
                </w:tcPr>
                <w:p w14:paraId="2D46E7BB">
                  <w:pPr>
                    <w:rPr>
                      <w:rFonts w:ascii="Arial"/>
                      <w:sz w:val="21"/>
                    </w:rPr>
                  </w:pPr>
                </w:p>
              </w:tc>
              <w:tc>
                <w:tcPr>
                  <w:tcW w:w="3360" w:type="dxa"/>
                  <w:vAlign w:val="top"/>
                </w:tcPr>
                <w:p w14:paraId="723B03F7">
                  <w:pPr>
                    <w:pStyle w:val="6"/>
                    <w:spacing w:before="46" w:line="216" w:lineRule="auto"/>
                    <w:ind w:left="362"/>
                    <w:rPr>
                      <w:sz w:val="20"/>
                      <w:szCs w:val="20"/>
                    </w:rPr>
                  </w:pPr>
                  <w:r>
                    <w:rPr>
                      <w:spacing w:val="21"/>
                      <w:sz w:val="20"/>
                      <w:szCs w:val="20"/>
                    </w:rPr>
                    <w:t>最大输出视在功率（</w:t>
                  </w:r>
                  <w:r>
                    <w:rPr>
                      <w:rFonts w:ascii="Times New Roman" w:hAnsi="Times New Roman" w:eastAsia="Times New Roman" w:cs="Times New Roman"/>
                      <w:sz w:val="20"/>
                      <w:szCs w:val="20"/>
                    </w:rPr>
                    <w:t>kVA</w:t>
                  </w:r>
                  <w:r>
                    <w:rPr>
                      <w:spacing w:val="21"/>
                      <w:sz w:val="20"/>
                      <w:szCs w:val="20"/>
                    </w:rPr>
                    <w:t>）</w:t>
                  </w:r>
                </w:p>
              </w:tc>
              <w:tc>
                <w:tcPr>
                  <w:tcW w:w="3512" w:type="dxa"/>
                  <w:vAlign w:val="top"/>
                </w:tcPr>
                <w:p w14:paraId="7631CC2B">
                  <w:pPr>
                    <w:spacing w:before="83" w:line="195" w:lineRule="auto"/>
                    <w:ind w:left="15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r>
            <w:tr w14:paraId="354FF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278" w:type="dxa"/>
                  <w:vMerge w:val="continue"/>
                  <w:tcBorders>
                    <w:top w:val="nil"/>
                  </w:tcBorders>
                  <w:vAlign w:val="top"/>
                </w:tcPr>
                <w:p w14:paraId="57AD14AF">
                  <w:pPr>
                    <w:rPr>
                      <w:rFonts w:ascii="Arial"/>
                      <w:sz w:val="21"/>
                    </w:rPr>
                  </w:pPr>
                </w:p>
              </w:tc>
              <w:tc>
                <w:tcPr>
                  <w:tcW w:w="3360" w:type="dxa"/>
                  <w:vAlign w:val="top"/>
                </w:tcPr>
                <w:p w14:paraId="07D0C12E">
                  <w:pPr>
                    <w:pStyle w:val="6"/>
                    <w:spacing w:before="49" w:line="213" w:lineRule="auto"/>
                    <w:ind w:left="789"/>
                    <w:rPr>
                      <w:sz w:val="20"/>
                      <w:szCs w:val="20"/>
                    </w:rPr>
                  </w:pPr>
                  <w:r>
                    <w:rPr>
                      <w:spacing w:val="20"/>
                      <w:sz w:val="20"/>
                      <w:szCs w:val="20"/>
                    </w:rPr>
                    <w:t>总电流波形畸变率</w:t>
                  </w:r>
                </w:p>
              </w:tc>
              <w:tc>
                <w:tcPr>
                  <w:tcW w:w="3512" w:type="dxa"/>
                  <w:vAlign w:val="top"/>
                </w:tcPr>
                <w:p w14:paraId="14A5752F">
                  <w:pPr>
                    <w:pStyle w:val="6"/>
                    <w:spacing w:before="49" w:line="213" w:lineRule="auto"/>
                    <w:ind w:left="895"/>
                    <w:rPr>
                      <w:sz w:val="20"/>
                      <w:szCs w:val="20"/>
                    </w:rPr>
                  </w:pPr>
                  <w:r>
                    <w:rPr>
                      <w:spacing w:val="5"/>
                      <w:sz w:val="20"/>
                      <w:szCs w:val="20"/>
                    </w:rPr>
                    <w:t>＜</w:t>
                  </w:r>
                  <w:r>
                    <w:rPr>
                      <w:rFonts w:ascii="Times New Roman" w:hAnsi="Times New Roman" w:eastAsia="Times New Roman" w:cs="Times New Roman"/>
                      <w:spacing w:val="5"/>
                      <w:sz w:val="20"/>
                      <w:szCs w:val="20"/>
                    </w:rPr>
                    <w:t>1%</w:t>
                  </w:r>
                  <w:r>
                    <w:rPr>
                      <w:spacing w:val="5"/>
                      <w:sz w:val="20"/>
                      <w:szCs w:val="20"/>
                    </w:rPr>
                    <w:t>（额定功率）</w:t>
                  </w:r>
                </w:p>
              </w:tc>
            </w:tr>
            <w:tr w14:paraId="320AD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278" w:type="dxa"/>
                  <w:vMerge w:val="restart"/>
                  <w:tcBorders>
                    <w:bottom w:val="nil"/>
                  </w:tcBorders>
                  <w:vAlign w:val="top"/>
                </w:tcPr>
                <w:p w14:paraId="73337622">
                  <w:pPr>
                    <w:spacing w:line="296" w:lineRule="auto"/>
                    <w:rPr>
                      <w:rFonts w:ascii="Arial"/>
                      <w:sz w:val="21"/>
                    </w:rPr>
                  </w:pPr>
                </w:p>
                <w:p w14:paraId="0B1CEB70">
                  <w:pPr>
                    <w:spacing w:line="296" w:lineRule="auto"/>
                    <w:rPr>
                      <w:rFonts w:ascii="Arial"/>
                      <w:sz w:val="21"/>
                    </w:rPr>
                  </w:pPr>
                </w:p>
                <w:p w14:paraId="20E86843">
                  <w:pPr>
                    <w:spacing w:line="297" w:lineRule="auto"/>
                    <w:rPr>
                      <w:rFonts w:ascii="Arial"/>
                      <w:sz w:val="21"/>
                    </w:rPr>
                  </w:pPr>
                </w:p>
                <w:p w14:paraId="162F67A1">
                  <w:pPr>
                    <w:spacing w:line="297" w:lineRule="auto"/>
                    <w:rPr>
                      <w:rFonts w:ascii="Arial"/>
                      <w:sz w:val="21"/>
                    </w:rPr>
                  </w:pPr>
                </w:p>
                <w:p w14:paraId="47301E14">
                  <w:pPr>
                    <w:pStyle w:val="6"/>
                    <w:spacing w:before="65" w:line="229" w:lineRule="auto"/>
                    <w:ind w:left="232"/>
                    <w:rPr>
                      <w:sz w:val="20"/>
                      <w:szCs w:val="20"/>
                    </w:rPr>
                  </w:pPr>
                  <w:r>
                    <w:rPr>
                      <w:spacing w:val="6"/>
                      <w:sz w:val="20"/>
                      <w:szCs w:val="20"/>
                    </w:rPr>
                    <w:t>系统性能</w:t>
                  </w:r>
                </w:p>
              </w:tc>
              <w:tc>
                <w:tcPr>
                  <w:tcW w:w="3360" w:type="dxa"/>
                  <w:vAlign w:val="top"/>
                </w:tcPr>
                <w:p w14:paraId="4A1DE7B3">
                  <w:pPr>
                    <w:pStyle w:val="6"/>
                    <w:spacing w:before="49" w:line="215" w:lineRule="auto"/>
                    <w:ind w:left="918"/>
                    <w:rPr>
                      <w:sz w:val="20"/>
                      <w:szCs w:val="20"/>
                    </w:rPr>
                  </w:pPr>
                  <w:r>
                    <w:rPr>
                      <w:spacing w:val="16"/>
                      <w:sz w:val="20"/>
                      <w:szCs w:val="20"/>
                    </w:rPr>
                    <w:t>最大效率（</w:t>
                  </w:r>
                  <w:r>
                    <w:rPr>
                      <w:rFonts w:ascii="Times New Roman" w:hAnsi="Times New Roman" w:eastAsia="Times New Roman" w:cs="Times New Roman"/>
                      <w:spacing w:val="16"/>
                      <w:sz w:val="20"/>
                      <w:szCs w:val="20"/>
                    </w:rPr>
                    <w:t>%</w:t>
                  </w:r>
                  <w:r>
                    <w:rPr>
                      <w:spacing w:val="16"/>
                      <w:sz w:val="20"/>
                      <w:szCs w:val="20"/>
                    </w:rPr>
                    <w:t>）</w:t>
                  </w:r>
                </w:p>
              </w:tc>
              <w:tc>
                <w:tcPr>
                  <w:tcW w:w="3512" w:type="dxa"/>
                  <w:vAlign w:val="top"/>
                </w:tcPr>
                <w:p w14:paraId="2FA21AB1">
                  <w:pPr>
                    <w:spacing w:before="84" w:line="195" w:lineRule="auto"/>
                    <w:ind w:left="1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99.01</w:t>
                  </w:r>
                </w:p>
              </w:tc>
            </w:tr>
            <w:tr w14:paraId="62378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278" w:type="dxa"/>
                  <w:vMerge w:val="continue"/>
                  <w:tcBorders>
                    <w:top w:val="nil"/>
                    <w:bottom w:val="nil"/>
                  </w:tcBorders>
                  <w:vAlign w:val="top"/>
                </w:tcPr>
                <w:p w14:paraId="435A3C63">
                  <w:pPr>
                    <w:rPr>
                      <w:rFonts w:ascii="Arial"/>
                      <w:sz w:val="21"/>
                    </w:rPr>
                  </w:pPr>
                </w:p>
              </w:tc>
              <w:tc>
                <w:tcPr>
                  <w:tcW w:w="3360" w:type="dxa"/>
                  <w:vAlign w:val="top"/>
                </w:tcPr>
                <w:p w14:paraId="706EE2EF">
                  <w:pPr>
                    <w:pStyle w:val="6"/>
                    <w:spacing w:before="47" w:line="215" w:lineRule="auto"/>
                    <w:ind w:left="935"/>
                    <w:rPr>
                      <w:sz w:val="20"/>
                      <w:szCs w:val="20"/>
                    </w:rPr>
                  </w:pPr>
                  <w:r>
                    <w:rPr>
                      <w:spacing w:val="14"/>
                      <w:sz w:val="20"/>
                      <w:szCs w:val="20"/>
                    </w:rPr>
                    <w:t>中国效率（</w:t>
                  </w:r>
                  <w:r>
                    <w:rPr>
                      <w:rFonts w:ascii="Times New Roman" w:hAnsi="Times New Roman" w:eastAsia="Times New Roman" w:cs="Times New Roman"/>
                      <w:spacing w:val="14"/>
                      <w:sz w:val="20"/>
                      <w:szCs w:val="20"/>
                    </w:rPr>
                    <w:t>%</w:t>
                  </w:r>
                  <w:r>
                    <w:rPr>
                      <w:spacing w:val="14"/>
                      <w:sz w:val="20"/>
                      <w:szCs w:val="20"/>
                    </w:rPr>
                    <w:t>）</w:t>
                  </w:r>
                </w:p>
              </w:tc>
              <w:tc>
                <w:tcPr>
                  <w:tcW w:w="3512" w:type="dxa"/>
                  <w:vAlign w:val="top"/>
                </w:tcPr>
                <w:p w14:paraId="017065AE">
                  <w:pPr>
                    <w:spacing w:before="83" w:line="195" w:lineRule="auto"/>
                    <w:ind w:left="1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98.52</w:t>
                  </w:r>
                </w:p>
              </w:tc>
            </w:tr>
            <w:tr w14:paraId="6102F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278" w:type="dxa"/>
                  <w:vMerge w:val="continue"/>
                  <w:tcBorders>
                    <w:top w:val="nil"/>
                    <w:bottom w:val="nil"/>
                  </w:tcBorders>
                  <w:vAlign w:val="top"/>
                </w:tcPr>
                <w:p w14:paraId="52B46C44">
                  <w:pPr>
                    <w:rPr>
                      <w:rFonts w:ascii="Arial"/>
                      <w:sz w:val="21"/>
                    </w:rPr>
                  </w:pPr>
                </w:p>
              </w:tc>
              <w:tc>
                <w:tcPr>
                  <w:tcW w:w="3360" w:type="dxa"/>
                  <w:vAlign w:val="top"/>
                </w:tcPr>
                <w:p w14:paraId="28400C33">
                  <w:pPr>
                    <w:pStyle w:val="6"/>
                    <w:spacing w:before="50" w:line="213" w:lineRule="auto"/>
                    <w:ind w:left="1243"/>
                    <w:rPr>
                      <w:sz w:val="20"/>
                      <w:szCs w:val="20"/>
                    </w:rPr>
                  </w:pPr>
                  <w:r>
                    <w:rPr>
                      <w:spacing w:val="14"/>
                      <w:sz w:val="20"/>
                      <w:szCs w:val="20"/>
                    </w:rPr>
                    <w:t>防护等级</w:t>
                  </w:r>
                </w:p>
              </w:tc>
              <w:tc>
                <w:tcPr>
                  <w:tcW w:w="3512" w:type="dxa"/>
                  <w:vAlign w:val="top"/>
                </w:tcPr>
                <w:p w14:paraId="4BBC26AA">
                  <w:pPr>
                    <w:spacing w:before="85" w:line="195" w:lineRule="auto"/>
                    <w:ind w:left="1554"/>
                    <w:rPr>
                      <w:rFonts w:ascii="Times New Roman" w:hAnsi="Times New Roman" w:eastAsia="Times New Roman" w:cs="Times New Roman"/>
                      <w:sz w:val="20"/>
                      <w:szCs w:val="20"/>
                    </w:rPr>
                  </w:pPr>
                  <w:r>
                    <w:rPr>
                      <w:rFonts w:ascii="Times New Roman" w:hAnsi="Times New Roman" w:eastAsia="Times New Roman" w:cs="Times New Roman"/>
                      <w:sz w:val="20"/>
                      <w:szCs w:val="20"/>
                    </w:rPr>
                    <w:t>IP</w:t>
                  </w:r>
                  <w:r>
                    <w:rPr>
                      <w:rFonts w:ascii="Times New Roman" w:hAnsi="Times New Roman" w:eastAsia="Times New Roman" w:cs="Times New Roman"/>
                      <w:spacing w:val="5"/>
                      <w:sz w:val="20"/>
                      <w:szCs w:val="20"/>
                    </w:rPr>
                    <w:t>66</w:t>
                  </w:r>
                </w:p>
              </w:tc>
            </w:tr>
            <w:tr w14:paraId="2231E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278" w:type="dxa"/>
                  <w:vMerge w:val="continue"/>
                  <w:tcBorders>
                    <w:top w:val="nil"/>
                    <w:bottom w:val="nil"/>
                  </w:tcBorders>
                  <w:vAlign w:val="top"/>
                </w:tcPr>
                <w:p w14:paraId="39755FA1">
                  <w:pPr>
                    <w:rPr>
                      <w:rFonts w:ascii="Arial"/>
                      <w:sz w:val="21"/>
                    </w:rPr>
                  </w:pPr>
                </w:p>
              </w:tc>
              <w:tc>
                <w:tcPr>
                  <w:tcW w:w="3360" w:type="dxa"/>
                  <w:vAlign w:val="top"/>
                </w:tcPr>
                <w:p w14:paraId="5496B515">
                  <w:pPr>
                    <w:pStyle w:val="6"/>
                    <w:spacing w:before="51" w:line="213" w:lineRule="auto"/>
                    <w:ind w:left="676"/>
                    <w:rPr>
                      <w:sz w:val="20"/>
                      <w:szCs w:val="20"/>
                    </w:rPr>
                  </w:pPr>
                  <w:r>
                    <w:rPr>
                      <w:spacing w:val="14"/>
                      <w:sz w:val="20"/>
                      <w:szCs w:val="20"/>
                    </w:rPr>
                    <w:t>工作温度范围</w:t>
                  </w:r>
                  <w:r>
                    <w:rPr>
                      <w:spacing w:val="38"/>
                      <w:sz w:val="20"/>
                      <w:szCs w:val="20"/>
                    </w:rPr>
                    <w:t xml:space="preserve"> </w:t>
                  </w:r>
                  <w:r>
                    <w:rPr>
                      <w:spacing w:val="14"/>
                      <w:sz w:val="20"/>
                      <w:szCs w:val="20"/>
                    </w:rPr>
                    <w:t>(</w:t>
                  </w:r>
                  <w:r>
                    <w:rPr>
                      <w:rFonts w:ascii="Times New Roman" w:hAnsi="Times New Roman" w:eastAsia="Times New Roman" w:cs="Times New Roman"/>
                      <w:spacing w:val="14"/>
                      <w:sz w:val="20"/>
                      <w:szCs w:val="20"/>
                    </w:rPr>
                    <w:t>℃</w:t>
                  </w:r>
                  <w:r>
                    <w:rPr>
                      <w:spacing w:val="14"/>
                      <w:sz w:val="20"/>
                      <w:szCs w:val="20"/>
                    </w:rPr>
                    <w:t>)</w:t>
                  </w:r>
                </w:p>
              </w:tc>
              <w:tc>
                <w:tcPr>
                  <w:tcW w:w="3512" w:type="dxa"/>
                  <w:vAlign w:val="top"/>
                </w:tcPr>
                <w:p w14:paraId="63DA637C">
                  <w:pPr>
                    <w:pStyle w:val="6"/>
                    <w:spacing w:before="51" w:line="213" w:lineRule="auto"/>
                    <w:ind w:left="1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w:t>
                  </w:r>
                  <w:r>
                    <w:rPr>
                      <w:spacing w:val="4"/>
                      <w:sz w:val="20"/>
                      <w:szCs w:val="20"/>
                    </w:rPr>
                    <w:t>～</w:t>
                  </w:r>
                  <w:r>
                    <w:rPr>
                      <w:rFonts w:ascii="Times New Roman" w:hAnsi="Times New Roman" w:eastAsia="Times New Roman" w:cs="Times New Roman"/>
                      <w:spacing w:val="4"/>
                      <w:sz w:val="20"/>
                      <w:szCs w:val="20"/>
                    </w:rPr>
                    <w:t>60</w:t>
                  </w:r>
                </w:p>
              </w:tc>
            </w:tr>
            <w:tr w14:paraId="1B471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278" w:type="dxa"/>
                  <w:vMerge w:val="continue"/>
                  <w:tcBorders>
                    <w:top w:val="nil"/>
                    <w:bottom w:val="nil"/>
                  </w:tcBorders>
                  <w:vAlign w:val="top"/>
                </w:tcPr>
                <w:p w14:paraId="452A6CBD">
                  <w:pPr>
                    <w:rPr>
                      <w:rFonts w:ascii="Arial"/>
                      <w:sz w:val="21"/>
                    </w:rPr>
                  </w:pPr>
                </w:p>
              </w:tc>
              <w:tc>
                <w:tcPr>
                  <w:tcW w:w="3360" w:type="dxa"/>
                  <w:vAlign w:val="top"/>
                </w:tcPr>
                <w:p w14:paraId="122D348E">
                  <w:pPr>
                    <w:pStyle w:val="6"/>
                    <w:spacing w:before="49" w:line="214" w:lineRule="auto"/>
                    <w:ind w:left="1232"/>
                    <w:rPr>
                      <w:sz w:val="20"/>
                      <w:szCs w:val="20"/>
                    </w:rPr>
                  </w:pPr>
                  <w:r>
                    <w:rPr>
                      <w:spacing w:val="17"/>
                      <w:sz w:val="20"/>
                      <w:szCs w:val="20"/>
                    </w:rPr>
                    <w:t>冷却方式</w:t>
                  </w:r>
                </w:p>
              </w:tc>
              <w:tc>
                <w:tcPr>
                  <w:tcW w:w="3512" w:type="dxa"/>
                  <w:vAlign w:val="top"/>
                </w:tcPr>
                <w:p w14:paraId="36EB1365">
                  <w:pPr>
                    <w:pStyle w:val="6"/>
                    <w:spacing w:before="49" w:line="214" w:lineRule="auto"/>
                    <w:ind w:left="1341"/>
                    <w:rPr>
                      <w:sz w:val="20"/>
                      <w:szCs w:val="20"/>
                    </w:rPr>
                  </w:pPr>
                  <w:r>
                    <w:rPr>
                      <w:spacing w:val="6"/>
                      <w:sz w:val="20"/>
                      <w:szCs w:val="20"/>
                    </w:rPr>
                    <w:t>智能风冷</w:t>
                  </w:r>
                </w:p>
              </w:tc>
            </w:tr>
            <w:tr w14:paraId="22A1C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278" w:type="dxa"/>
                  <w:vMerge w:val="continue"/>
                  <w:tcBorders>
                    <w:top w:val="nil"/>
                    <w:bottom w:val="nil"/>
                  </w:tcBorders>
                  <w:vAlign w:val="top"/>
                </w:tcPr>
                <w:p w14:paraId="774EB99A">
                  <w:pPr>
                    <w:rPr>
                      <w:rFonts w:ascii="Arial"/>
                      <w:sz w:val="21"/>
                    </w:rPr>
                  </w:pPr>
                </w:p>
              </w:tc>
              <w:tc>
                <w:tcPr>
                  <w:tcW w:w="3360" w:type="dxa"/>
                  <w:vAlign w:val="top"/>
                </w:tcPr>
                <w:p w14:paraId="10020467">
                  <w:pPr>
                    <w:pStyle w:val="6"/>
                    <w:spacing w:before="51" w:line="213" w:lineRule="auto"/>
                    <w:ind w:left="933"/>
                    <w:rPr>
                      <w:sz w:val="20"/>
                      <w:szCs w:val="20"/>
                    </w:rPr>
                  </w:pPr>
                  <w:r>
                    <w:rPr>
                      <w:spacing w:val="15"/>
                      <w:sz w:val="20"/>
                      <w:szCs w:val="20"/>
                    </w:rPr>
                    <w:t>相对湿度（</w:t>
                  </w:r>
                  <w:r>
                    <w:rPr>
                      <w:rFonts w:ascii="Times New Roman" w:hAnsi="Times New Roman" w:eastAsia="Times New Roman" w:cs="Times New Roman"/>
                      <w:spacing w:val="15"/>
                      <w:sz w:val="20"/>
                      <w:szCs w:val="20"/>
                    </w:rPr>
                    <w:t>%</w:t>
                  </w:r>
                  <w:r>
                    <w:rPr>
                      <w:spacing w:val="15"/>
                      <w:sz w:val="20"/>
                      <w:szCs w:val="20"/>
                    </w:rPr>
                    <w:t>）</w:t>
                  </w:r>
                </w:p>
              </w:tc>
              <w:tc>
                <w:tcPr>
                  <w:tcW w:w="3512" w:type="dxa"/>
                  <w:vAlign w:val="top"/>
                </w:tcPr>
                <w:p w14:paraId="59329B2F">
                  <w:pPr>
                    <w:pStyle w:val="6"/>
                    <w:spacing w:before="51" w:line="213" w:lineRule="auto"/>
                    <w:ind w:left="14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spacing w:val="4"/>
                      <w:sz w:val="20"/>
                      <w:szCs w:val="20"/>
                    </w:rPr>
                    <w:t>～</w:t>
                  </w:r>
                  <w:r>
                    <w:rPr>
                      <w:rFonts w:ascii="Times New Roman" w:hAnsi="Times New Roman" w:eastAsia="Times New Roman" w:cs="Times New Roman"/>
                      <w:spacing w:val="4"/>
                      <w:sz w:val="20"/>
                      <w:szCs w:val="20"/>
                    </w:rPr>
                    <w:t>100</w:t>
                  </w:r>
                </w:p>
              </w:tc>
            </w:tr>
            <w:tr w14:paraId="7BE1E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278" w:type="dxa"/>
                  <w:vMerge w:val="continue"/>
                  <w:tcBorders>
                    <w:top w:val="nil"/>
                    <w:bottom w:val="nil"/>
                  </w:tcBorders>
                  <w:vAlign w:val="top"/>
                </w:tcPr>
                <w:p w14:paraId="06944CED">
                  <w:pPr>
                    <w:rPr>
                      <w:rFonts w:ascii="Arial"/>
                      <w:sz w:val="21"/>
                    </w:rPr>
                  </w:pPr>
                </w:p>
              </w:tc>
              <w:tc>
                <w:tcPr>
                  <w:tcW w:w="3360" w:type="dxa"/>
                  <w:vAlign w:val="top"/>
                </w:tcPr>
                <w:p w14:paraId="6AF7EEE1">
                  <w:pPr>
                    <w:pStyle w:val="6"/>
                    <w:spacing w:before="49" w:line="214" w:lineRule="auto"/>
                    <w:ind w:left="258"/>
                    <w:rPr>
                      <w:sz w:val="20"/>
                      <w:szCs w:val="20"/>
                    </w:rPr>
                  </w:pPr>
                  <w:r>
                    <w:rPr>
                      <w:spacing w:val="15"/>
                      <w:sz w:val="20"/>
                      <w:szCs w:val="20"/>
                    </w:rPr>
                    <w:t>允许最高安装海拔高度（</w:t>
                  </w:r>
                  <w:r>
                    <w:rPr>
                      <w:spacing w:val="-43"/>
                      <w:sz w:val="20"/>
                      <w:szCs w:val="20"/>
                    </w:rPr>
                    <w:t xml:space="preserve"> </w:t>
                  </w:r>
                  <w:r>
                    <w:rPr>
                      <w:rFonts w:ascii="Times New Roman" w:hAnsi="Times New Roman" w:eastAsia="Times New Roman" w:cs="Times New Roman"/>
                      <w:spacing w:val="15"/>
                      <w:sz w:val="20"/>
                      <w:szCs w:val="20"/>
                    </w:rPr>
                    <w:t>m</w:t>
                  </w:r>
                  <w:r>
                    <w:rPr>
                      <w:spacing w:val="15"/>
                      <w:sz w:val="20"/>
                      <w:szCs w:val="20"/>
                    </w:rPr>
                    <w:t>）</w:t>
                  </w:r>
                </w:p>
              </w:tc>
              <w:tc>
                <w:tcPr>
                  <w:tcW w:w="3512" w:type="dxa"/>
                  <w:vAlign w:val="top"/>
                </w:tcPr>
                <w:p w14:paraId="5AC8538E">
                  <w:pPr>
                    <w:pStyle w:val="6"/>
                    <w:spacing w:before="49" w:line="214" w:lineRule="auto"/>
                    <w:ind w:left="642"/>
                    <w:rPr>
                      <w:sz w:val="20"/>
                      <w:szCs w:val="20"/>
                    </w:rPr>
                  </w:pPr>
                  <w:r>
                    <w:rPr>
                      <w:rFonts w:ascii="Times New Roman" w:hAnsi="Times New Roman" w:eastAsia="Times New Roman" w:cs="Times New Roman"/>
                      <w:spacing w:val="3"/>
                      <w:sz w:val="20"/>
                      <w:szCs w:val="20"/>
                    </w:rPr>
                    <w:t>5000m</w:t>
                  </w:r>
                  <w:r>
                    <w:rPr>
                      <w:spacing w:val="3"/>
                      <w:sz w:val="20"/>
                      <w:szCs w:val="20"/>
                    </w:rPr>
                    <w:t>（</w:t>
                  </w:r>
                  <w:r>
                    <w:rPr>
                      <w:rFonts w:ascii="Times New Roman" w:hAnsi="Times New Roman" w:eastAsia="Times New Roman" w:cs="Times New Roman"/>
                      <w:spacing w:val="3"/>
                      <w:sz w:val="20"/>
                      <w:szCs w:val="20"/>
                    </w:rPr>
                    <w:t>&gt; 4000m</w:t>
                  </w:r>
                  <w:r>
                    <w:rPr>
                      <w:rFonts w:ascii="Times New Roman" w:hAnsi="Times New Roman" w:eastAsia="Times New Roman" w:cs="Times New Roman"/>
                      <w:spacing w:val="35"/>
                      <w:w w:val="101"/>
                      <w:sz w:val="20"/>
                      <w:szCs w:val="20"/>
                    </w:rPr>
                    <w:t xml:space="preserve"> </w:t>
                  </w:r>
                  <w:r>
                    <w:rPr>
                      <w:spacing w:val="3"/>
                      <w:sz w:val="20"/>
                      <w:szCs w:val="20"/>
                    </w:rPr>
                    <w:t>降额）</w:t>
                  </w:r>
                </w:p>
              </w:tc>
            </w:tr>
            <w:tr w14:paraId="670AD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278" w:type="dxa"/>
                  <w:vMerge w:val="continue"/>
                  <w:tcBorders>
                    <w:top w:val="nil"/>
                    <w:bottom w:val="nil"/>
                  </w:tcBorders>
                  <w:vAlign w:val="top"/>
                </w:tcPr>
                <w:p w14:paraId="0ABE030A">
                  <w:pPr>
                    <w:rPr>
                      <w:rFonts w:ascii="Arial"/>
                      <w:sz w:val="21"/>
                    </w:rPr>
                  </w:pPr>
                </w:p>
              </w:tc>
              <w:tc>
                <w:tcPr>
                  <w:tcW w:w="3360" w:type="dxa"/>
                  <w:vAlign w:val="top"/>
                </w:tcPr>
                <w:p w14:paraId="42149A8B">
                  <w:pPr>
                    <w:pStyle w:val="6"/>
                    <w:spacing w:before="49" w:line="214" w:lineRule="auto"/>
                    <w:ind w:left="833"/>
                    <w:rPr>
                      <w:sz w:val="20"/>
                      <w:szCs w:val="20"/>
                    </w:rPr>
                  </w:pPr>
                  <w:r>
                    <w:rPr>
                      <w:spacing w:val="10"/>
                      <w:sz w:val="20"/>
                      <w:szCs w:val="20"/>
                    </w:rPr>
                    <w:t>宽</w:t>
                  </w:r>
                  <w:r>
                    <w:rPr>
                      <w:rFonts w:ascii="Times New Roman" w:hAnsi="Times New Roman" w:eastAsia="Times New Roman" w:cs="Times New Roman"/>
                      <w:spacing w:val="10"/>
                      <w:sz w:val="20"/>
                      <w:szCs w:val="20"/>
                    </w:rPr>
                    <w:t>×</w:t>
                  </w:r>
                  <w:r>
                    <w:rPr>
                      <w:spacing w:val="10"/>
                      <w:sz w:val="20"/>
                      <w:szCs w:val="20"/>
                    </w:rPr>
                    <w:t>高</w:t>
                  </w:r>
                  <w:r>
                    <w:rPr>
                      <w:rFonts w:ascii="Times New Roman" w:hAnsi="Times New Roman" w:eastAsia="Times New Roman" w:cs="Times New Roman"/>
                      <w:spacing w:val="10"/>
                      <w:sz w:val="20"/>
                      <w:szCs w:val="20"/>
                    </w:rPr>
                    <w:t>×</w:t>
                  </w:r>
                  <w:r>
                    <w:rPr>
                      <w:spacing w:val="10"/>
                      <w:sz w:val="20"/>
                      <w:szCs w:val="20"/>
                    </w:rPr>
                    <w:t>深（</w:t>
                  </w:r>
                  <w:r>
                    <w:rPr>
                      <w:spacing w:val="-48"/>
                      <w:sz w:val="20"/>
                      <w:szCs w:val="20"/>
                    </w:rPr>
                    <w:t xml:space="preserve"> </w:t>
                  </w:r>
                  <w:r>
                    <w:rPr>
                      <w:rFonts w:ascii="Times New Roman" w:hAnsi="Times New Roman" w:eastAsia="Times New Roman" w:cs="Times New Roman"/>
                      <w:sz w:val="20"/>
                      <w:szCs w:val="20"/>
                    </w:rPr>
                    <w:t>mm</w:t>
                  </w:r>
                  <w:r>
                    <w:rPr>
                      <w:spacing w:val="10"/>
                      <w:sz w:val="20"/>
                      <w:szCs w:val="20"/>
                    </w:rPr>
                    <w:t>）</w:t>
                  </w:r>
                </w:p>
              </w:tc>
              <w:tc>
                <w:tcPr>
                  <w:tcW w:w="3512" w:type="dxa"/>
                  <w:vAlign w:val="top"/>
                </w:tcPr>
                <w:p w14:paraId="6FEE2B28">
                  <w:pPr>
                    <w:pStyle w:val="6"/>
                    <w:spacing w:before="49" w:line="214" w:lineRule="auto"/>
                    <w:ind w:left="10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1048</w:t>
                  </w:r>
                  <w:r>
                    <w:rPr>
                      <w:spacing w:val="3"/>
                      <w:sz w:val="20"/>
                      <w:szCs w:val="20"/>
                    </w:rPr>
                    <w:t>×</w:t>
                  </w:r>
                  <w:r>
                    <w:rPr>
                      <w:rFonts w:ascii="Times New Roman" w:hAnsi="Times New Roman" w:eastAsia="Times New Roman" w:cs="Times New Roman"/>
                      <w:spacing w:val="3"/>
                      <w:sz w:val="20"/>
                      <w:szCs w:val="20"/>
                    </w:rPr>
                    <w:t>732</w:t>
                  </w:r>
                  <w:r>
                    <w:rPr>
                      <w:spacing w:val="3"/>
                      <w:sz w:val="20"/>
                      <w:szCs w:val="20"/>
                    </w:rPr>
                    <w:t>×</w:t>
                  </w:r>
                  <w:r>
                    <w:rPr>
                      <w:rFonts w:ascii="Times New Roman" w:hAnsi="Times New Roman" w:eastAsia="Times New Roman" w:cs="Times New Roman"/>
                      <w:spacing w:val="3"/>
                      <w:sz w:val="20"/>
                      <w:szCs w:val="20"/>
                    </w:rPr>
                    <w:t>395</w:t>
                  </w:r>
                </w:p>
              </w:tc>
            </w:tr>
            <w:tr w14:paraId="36090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78" w:type="dxa"/>
                  <w:vMerge w:val="continue"/>
                  <w:tcBorders>
                    <w:top w:val="nil"/>
                  </w:tcBorders>
                  <w:vAlign w:val="top"/>
                </w:tcPr>
                <w:p w14:paraId="51C37F54">
                  <w:pPr>
                    <w:rPr>
                      <w:rFonts w:ascii="Arial"/>
                      <w:sz w:val="21"/>
                    </w:rPr>
                  </w:pPr>
                </w:p>
              </w:tc>
              <w:tc>
                <w:tcPr>
                  <w:tcW w:w="3360" w:type="dxa"/>
                  <w:vAlign w:val="top"/>
                </w:tcPr>
                <w:p w14:paraId="42F29527">
                  <w:pPr>
                    <w:pStyle w:val="6"/>
                    <w:spacing w:before="74" w:line="221" w:lineRule="auto"/>
                    <w:ind w:left="672"/>
                    <w:rPr>
                      <w:sz w:val="20"/>
                      <w:szCs w:val="20"/>
                    </w:rPr>
                  </w:pPr>
                  <w:r>
                    <w:rPr>
                      <w:spacing w:val="21"/>
                      <w:sz w:val="20"/>
                      <w:szCs w:val="20"/>
                    </w:rPr>
                    <w:t>重量（含挂架，</w:t>
                  </w:r>
                  <w:r>
                    <w:rPr>
                      <w:rFonts w:ascii="Times New Roman" w:hAnsi="Times New Roman" w:eastAsia="Times New Roman" w:cs="Times New Roman"/>
                      <w:sz w:val="20"/>
                      <w:szCs w:val="20"/>
                    </w:rPr>
                    <w:t>kg</w:t>
                  </w:r>
                  <w:r>
                    <w:rPr>
                      <w:spacing w:val="21"/>
                      <w:sz w:val="20"/>
                      <w:szCs w:val="20"/>
                    </w:rPr>
                    <w:t>）</w:t>
                  </w:r>
                </w:p>
              </w:tc>
              <w:tc>
                <w:tcPr>
                  <w:tcW w:w="3512" w:type="dxa"/>
                  <w:vAlign w:val="top"/>
                </w:tcPr>
                <w:p w14:paraId="6B5F6486">
                  <w:pPr>
                    <w:pStyle w:val="6"/>
                    <w:spacing w:before="97" w:line="219" w:lineRule="auto"/>
                    <w:ind w:left="1521"/>
                    <w:rPr>
                      <w:rFonts w:ascii="Times New Roman" w:hAnsi="Times New Roman" w:eastAsia="Times New Roman" w:cs="Times New Roman"/>
                      <w:sz w:val="20"/>
                      <w:szCs w:val="20"/>
                    </w:rPr>
                  </w:pPr>
                  <w:r>
                    <w:rPr>
                      <w:spacing w:val="-1"/>
                      <w:sz w:val="20"/>
                      <w:szCs w:val="20"/>
                    </w:rPr>
                    <w:t>≤</w:t>
                  </w:r>
                  <w:r>
                    <w:rPr>
                      <w:rFonts w:ascii="Times New Roman" w:hAnsi="Times New Roman" w:eastAsia="Times New Roman" w:cs="Times New Roman"/>
                      <w:spacing w:val="-1"/>
                      <w:sz w:val="20"/>
                      <w:szCs w:val="20"/>
                    </w:rPr>
                    <w:t>112</w:t>
                  </w:r>
                </w:p>
              </w:tc>
            </w:tr>
          </w:tbl>
          <w:p w14:paraId="236A2D5C">
            <w:pPr>
              <w:spacing w:line="368" w:lineRule="auto"/>
              <w:rPr>
                <w:rFonts w:ascii="Arial"/>
                <w:sz w:val="21"/>
              </w:rPr>
            </w:pPr>
            <w:r>
              <w:pict>
                <v:shape id="_x0000_s1063" o:spid="_x0000_s1063" o:spt="202" type="#_x0000_t202" style="position:absolute;left:0pt;margin-left:374.6pt;margin-top:664.2pt;height:14.45pt;width:19.95pt;mso-position-horizontal-relative:page;mso-position-vertical-relative:page;z-index:251700224;mso-width-relative:page;mso-height-relative:page;" filled="f" stroked="f" coordsize="21600,21600">
                  <v:path/>
                  <v:fill on="f" focussize="0,0"/>
                  <v:stroke on="f"/>
                  <v:imagedata o:title=""/>
                  <o:lock v:ext="edit" aspectratio="f"/>
                  <v:textbox inset="0mm,0mm,0mm,0mm">
                    <w:txbxContent>
                      <w:p w14:paraId="1E5FDF16">
                        <w:pPr>
                          <w:pStyle w:val="6"/>
                          <w:spacing w:before="19" w:line="230" w:lineRule="auto"/>
                          <w:ind w:left="20"/>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9"/>
                            <w:sz w:val="20"/>
                            <w:szCs w:val="20"/>
                          </w:rPr>
                          <w:t xml:space="preserve"> </w:t>
                        </w:r>
                        <w:r>
                          <w:rPr>
                            <w:spacing w:val="-3"/>
                            <w:sz w:val="20"/>
                            <w:szCs w:val="20"/>
                          </w:rPr>
                          <w:t>台</w:t>
                        </w:r>
                      </w:p>
                    </w:txbxContent>
                  </v:textbox>
                </v:shape>
              </w:pict>
            </w:r>
            <w:r>
              <w:pict>
                <v:shape id="_x0000_s1064" o:spid="_x0000_s1064" o:spt="202" type="#_x0000_t202" style="position:absolute;left:0pt;margin-left:17.05pt;margin-top:671.05pt;height:14.45pt;width:45.45pt;mso-position-horizontal-relative:page;mso-position-vertical-relative:page;z-index:251699200;mso-width-relative:page;mso-height-relative:page;" filled="f" stroked="f" coordsize="21600,21600">
                  <v:path/>
                  <v:fill on="f" focussize="0,0"/>
                  <v:stroke on="f"/>
                  <v:imagedata o:title=""/>
                  <o:lock v:ext="edit" aspectratio="f"/>
                  <v:textbox inset="0mm,0mm,0mm,0mm">
                    <w:txbxContent>
                      <w:p w14:paraId="0B7330D7">
                        <w:pPr>
                          <w:pStyle w:val="6"/>
                          <w:spacing w:before="20" w:line="229" w:lineRule="auto"/>
                          <w:ind w:left="20"/>
                          <w:rPr>
                            <w:sz w:val="20"/>
                            <w:szCs w:val="20"/>
                          </w:rPr>
                        </w:pPr>
                        <w:r>
                          <w:rPr>
                            <w:spacing w:val="17"/>
                            <w:sz w:val="20"/>
                            <w:szCs w:val="20"/>
                          </w:rPr>
                          <w:t>式变压器</w:t>
                        </w:r>
                      </w:p>
                    </w:txbxContent>
                  </v:textbox>
                </v:shape>
              </w:pict>
            </w:r>
            <w:r>
              <w:pict>
                <v:shape id="_x0000_s1065" o:spid="_x0000_s1065" o:spt="202" type="#_x0000_t202" style="position:absolute;left:0pt;margin-left:118.95pt;margin-top:671.8pt;height:14.35pt;width:193.65pt;mso-position-horizontal-relative:page;mso-position-vertical-relative:page;z-index:251701248;mso-width-relative:page;mso-height-relative:page;" filled="f" stroked="f" coordsize="21600,21600">
                  <v:path/>
                  <v:fill on="f" focussize="0,0"/>
                  <v:stroke on="f"/>
                  <v:imagedata o:title=""/>
                  <o:lock v:ext="edit" aspectratio="f"/>
                  <v:textbox inset="0mm,0mm,0mm,0mm">
                    <w:txbxContent>
                      <w:p w14:paraId="655AB654">
                        <w:pPr>
                          <w:pStyle w:val="6"/>
                          <w:spacing w:before="19" w:line="228" w:lineRule="auto"/>
                          <w:ind w:left="20"/>
                          <w:rPr>
                            <w:rFonts w:ascii="Times New Roman" w:hAnsi="Times New Roman" w:eastAsia="Times New Roman" w:cs="Times New Roman"/>
                            <w:sz w:val="20"/>
                            <w:szCs w:val="20"/>
                          </w:rPr>
                        </w:pPr>
                        <w:r>
                          <w:rPr>
                            <w:spacing w:val="7"/>
                            <w:sz w:val="20"/>
                            <w:szCs w:val="20"/>
                          </w:rPr>
                          <w:t>型号规格：</w:t>
                        </w:r>
                        <w:r>
                          <w:rPr>
                            <w:spacing w:val="-47"/>
                            <w:sz w:val="20"/>
                            <w:szCs w:val="20"/>
                          </w:rPr>
                          <w:t xml:space="preserve"> </w:t>
                        </w:r>
                        <w:r>
                          <w:rPr>
                            <w:rFonts w:ascii="Times New Roman" w:hAnsi="Times New Roman" w:eastAsia="Times New Roman" w:cs="Times New Roman"/>
                            <w:spacing w:val="7"/>
                            <w:sz w:val="20"/>
                            <w:szCs w:val="20"/>
                          </w:rPr>
                          <w:t>S-2100-</w:t>
                        </w:r>
                        <w:r>
                          <w:rPr>
                            <w:rFonts w:ascii="Times New Roman" w:hAnsi="Times New Roman" w:eastAsia="Times New Roman" w:cs="Times New Roman"/>
                            <w:sz w:val="20"/>
                            <w:szCs w:val="20"/>
                          </w:rPr>
                          <w:t>NX</w:t>
                        </w:r>
                        <w:r>
                          <w:rPr>
                            <w:rFonts w:ascii="Times New Roman" w:hAnsi="Times New Roman" w:eastAsia="Times New Roman" w:cs="Times New Roman"/>
                            <w:spacing w:val="7"/>
                            <w:sz w:val="20"/>
                            <w:szCs w:val="20"/>
                          </w:rPr>
                          <w:t>237</w:t>
                        </w:r>
                        <w:r>
                          <w:rPr>
                            <w:spacing w:val="7"/>
                            <w:sz w:val="20"/>
                            <w:szCs w:val="20"/>
                          </w:rPr>
                          <w:t>±</w:t>
                        </w:r>
                        <w:r>
                          <w:rPr>
                            <w:rFonts w:ascii="Times New Roman" w:hAnsi="Times New Roman" w:eastAsia="Times New Roman" w:cs="Times New Roman"/>
                            <w:spacing w:val="7"/>
                            <w:sz w:val="20"/>
                            <w:szCs w:val="20"/>
                          </w:rPr>
                          <w:t>2x2.5%</w:t>
                        </w:r>
                        <w:r>
                          <w:rPr>
                            <w:rFonts w:ascii="Times New Roman" w:hAnsi="Times New Roman" w:eastAsia="Times New Roman" w:cs="Times New Roman"/>
                            <w:spacing w:val="6"/>
                            <w:sz w:val="20"/>
                            <w:szCs w:val="20"/>
                          </w:rPr>
                          <w:t>/0.8</w:t>
                        </w:r>
                        <w:r>
                          <w:rPr>
                            <w:rFonts w:ascii="Times New Roman" w:hAnsi="Times New Roman" w:eastAsia="Times New Roman" w:cs="Times New Roman"/>
                            <w:sz w:val="20"/>
                            <w:szCs w:val="20"/>
                          </w:rPr>
                          <w:t>kV</w:t>
                        </w:r>
                      </w:p>
                    </w:txbxContent>
                  </v:textbox>
                </v:shape>
              </w:pict>
            </w:r>
          </w:p>
          <w:p w14:paraId="5EF2526B">
            <w:pPr>
              <w:pStyle w:val="6"/>
              <w:spacing w:before="78" w:line="220" w:lineRule="auto"/>
              <w:ind w:left="599"/>
            </w:pPr>
            <w:r>
              <w:rPr>
                <w:spacing w:val="-4"/>
              </w:rPr>
              <w:t>（</w:t>
            </w:r>
            <w:r>
              <w:rPr>
                <w:rFonts w:ascii="Times New Roman" w:hAnsi="Times New Roman" w:eastAsia="Times New Roman" w:cs="Times New Roman"/>
                <w:spacing w:val="-4"/>
              </w:rPr>
              <w:t>4</w:t>
            </w:r>
            <w:r>
              <w:rPr>
                <w:spacing w:val="-4"/>
              </w:rPr>
              <w:t>）</w:t>
            </w:r>
            <w:r>
              <w:rPr>
                <w:b/>
                <w:bCs/>
                <w:spacing w:val="-4"/>
              </w:rPr>
              <w:t>箱式变压器</w:t>
            </w:r>
          </w:p>
          <w:p w14:paraId="26BCBAB4">
            <w:pPr>
              <w:pStyle w:val="6"/>
              <w:spacing w:before="180" w:line="354" w:lineRule="auto"/>
              <w:ind w:left="107" w:right="102" w:firstLine="483"/>
              <w:jc w:val="both"/>
            </w:pPr>
            <w:r>
              <w:rPr>
                <w:spacing w:val="-8"/>
              </w:rPr>
              <w:t>项目布置</w:t>
            </w:r>
            <w:r>
              <w:rPr>
                <w:spacing w:val="-51"/>
              </w:rPr>
              <w:t xml:space="preserve"> </w:t>
            </w:r>
            <w:r>
              <w:rPr>
                <w:rFonts w:ascii="Times New Roman" w:hAnsi="Times New Roman" w:eastAsia="Times New Roman" w:cs="Times New Roman"/>
                <w:spacing w:val="-8"/>
              </w:rPr>
              <w:t>37</w:t>
            </w:r>
            <w:r>
              <w:rPr>
                <w:rFonts w:ascii="Times New Roman" w:hAnsi="Times New Roman" w:eastAsia="Times New Roman" w:cs="Times New Roman"/>
                <w:spacing w:val="29"/>
              </w:rPr>
              <w:t xml:space="preserve"> </w:t>
            </w:r>
            <w:r>
              <w:rPr>
                <w:spacing w:val="-8"/>
              </w:rPr>
              <w:t>台箱变，其中</w:t>
            </w:r>
            <w:r>
              <w:rPr>
                <w:spacing w:val="-51"/>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28"/>
                <w:w w:val="101"/>
              </w:rPr>
              <w:t xml:space="preserve"> </w:t>
            </w:r>
            <w:r>
              <w:rPr>
                <w:spacing w:val="-8"/>
              </w:rPr>
              <w:t>台</w:t>
            </w:r>
            <w:r>
              <w:rPr>
                <w:spacing w:val="-51"/>
              </w:rPr>
              <w:t xml:space="preserve"> </w:t>
            </w:r>
            <w:r>
              <w:rPr>
                <w:rFonts w:ascii="Times New Roman" w:hAnsi="Times New Roman" w:eastAsia="Times New Roman" w:cs="Times New Roman"/>
                <w:spacing w:val="-8"/>
              </w:rPr>
              <w:t>900kVA</w:t>
            </w: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29"/>
              </w:rPr>
              <w:t xml:space="preserve"> </w:t>
            </w:r>
            <w:r>
              <w:rPr>
                <w:spacing w:val="-8"/>
              </w:rPr>
              <w:t>台</w:t>
            </w:r>
            <w:r>
              <w:rPr>
                <w:spacing w:val="-32"/>
              </w:rPr>
              <w:t xml:space="preserve"> </w:t>
            </w:r>
            <w:r>
              <w:rPr>
                <w:rFonts w:ascii="Times New Roman" w:hAnsi="Times New Roman" w:eastAsia="Times New Roman" w:cs="Times New Roman"/>
                <w:spacing w:val="-8"/>
              </w:rPr>
              <w:t>120</w:t>
            </w:r>
            <w:r>
              <w:rPr>
                <w:rFonts w:ascii="Times New Roman" w:hAnsi="Times New Roman" w:eastAsia="Times New Roman" w:cs="Times New Roman"/>
                <w:spacing w:val="-9"/>
              </w:rPr>
              <w:t>0kVA</w:t>
            </w:r>
            <w:r>
              <w:rPr>
                <w:spacing w:val="-9"/>
              </w:rPr>
              <w:t>、</w:t>
            </w:r>
            <w:r>
              <w:rPr>
                <w:rFonts w:ascii="Times New Roman" w:hAnsi="Times New Roman" w:eastAsia="Times New Roman" w:cs="Times New Roman"/>
                <w:spacing w:val="-9"/>
              </w:rPr>
              <w:t>5</w:t>
            </w:r>
            <w:r>
              <w:rPr>
                <w:rFonts w:ascii="Times New Roman" w:hAnsi="Times New Roman" w:eastAsia="Times New Roman" w:cs="Times New Roman"/>
                <w:spacing w:val="28"/>
              </w:rPr>
              <w:t xml:space="preserve"> </w:t>
            </w:r>
            <w:r>
              <w:rPr>
                <w:spacing w:val="-9"/>
              </w:rPr>
              <w:t>台</w:t>
            </w:r>
            <w:r>
              <w:rPr>
                <w:spacing w:val="-32"/>
              </w:rPr>
              <w:t xml:space="preserve"> </w:t>
            </w:r>
            <w:r>
              <w:rPr>
                <w:rFonts w:ascii="Times New Roman" w:hAnsi="Times New Roman" w:eastAsia="Times New Roman" w:cs="Times New Roman"/>
                <w:spacing w:val="-9"/>
              </w:rPr>
              <w:t>1800kVA</w:t>
            </w:r>
            <w:r>
              <w:rPr>
                <w:spacing w:val="-9"/>
              </w:rPr>
              <w:t>、</w:t>
            </w:r>
            <w:r>
              <w:rPr>
                <w:rFonts w:ascii="Times New Roman" w:hAnsi="Times New Roman" w:eastAsia="Times New Roman" w:cs="Times New Roman"/>
                <w:spacing w:val="-9"/>
              </w:rPr>
              <w:t>3</w:t>
            </w:r>
            <w:r>
              <w:rPr>
                <w:rFonts w:ascii="Times New Roman" w:hAnsi="Times New Roman" w:eastAsia="Times New Roman" w:cs="Times New Roman"/>
              </w:rPr>
              <w:t xml:space="preserve"> </w:t>
            </w:r>
            <w:r>
              <w:rPr>
                <w:spacing w:val="-6"/>
              </w:rPr>
              <w:t>台</w:t>
            </w:r>
            <w:r>
              <w:rPr>
                <w:spacing w:val="-52"/>
              </w:rPr>
              <w:t xml:space="preserve"> </w:t>
            </w:r>
            <w:r>
              <w:rPr>
                <w:rFonts w:ascii="Times New Roman" w:hAnsi="Times New Roman" w:eastAsia="Times New Roman" w:cs="Times New Roman"/>
                <w:spacing w:val="-6"/>
              </w:rPr>
              <w:t>2100kVA</w:t>
            </w:r>
            <w:r>
              <w:rPr>
                <w:rFonts w:ascii="Times New Roman" w:hAnsi="Times New Roman" w:eastAsia="Times New Roman" w:cs="Times New Roman"/>
                <w:spacing w:val="-35"/>
              </w:rPr>
              <w:t xml:space="preserve"> </w:t>
            </w:r>
            <w:r>
              <w:rPr>
                <w:spacing w:val="-6"/>
              </w:rPr>
              <w:t>、</w:t>
            </w:r>
            <w:r>
              <w:rPr>
                <w:rFonts w:ascii="Times New Roman" w:hAnsi="Times New Roman" w:eastAsia="Times New Roman" w:cs="Times New Roman"/>
                <w:spacing w:val="-6"/>
              </w:rPr>
              <w:t>3</w:t>
            </w:r>
            <w:r>
              <w:rPr>
                <w:rFonts w:ascii="Times New Roman" w:hAnsi="Times New Roman" w:eastAsia="Times New Roman" w:cs="Times New Roman"/>
                <w:spacing w:val="31"/>
              </w:rPr>
              <w:t xml:space="preserve"> </w:t>
            </w:r>
            <w:r>
              <w:rPr>
                <w:spacing w:val="-6"/>
              </w:rPr>
              <w:t>台</w:t>
            </w:r>
            <w:r>
              <w:rPr>
                <w:spacing w:val="-50"/>
              </w:rPr>
              <w:t xml:space="preserve"> </w:t>
            </w:r>
            <w:r>
              <w:rPr>
                <w:rFonts w:ascii="Times New Roman" w:hAnsi="Times New Roman" w:eastAsia="Times New Roman" w:cs="Times New Roman"/>
                <w:spacing w:val="-6"/>
              </w:rPr>
              <w:t>2400kVA</w:t>
            </w:r>
            <w:r>
              <w:rPr>
                <w:rFonts w:ascii="Times New Roman" w:hAnsi="Times New Roman" w:eastAsia="Times New Roman" w:cs="Times New Roman"/>
                <w:spacing w:val="-35"/>
              </w:rPr>
              <w:t xml:space="preserve"> </w:t>
            </w:r>
            <w:r>
              <w:rPr>
                <w:spacing w:val="-6"/>
              </w:rPr>
              <w:t>、</w:t>
            </w:r>
            <w:r>
              <w:rPr>
                <w:rFonts w:ascii="Times New Roman" w:hAnsi="Times New Roman" w:eastAsia="Times New Roman" w:cs="Times New Roman"/>
                <w:spacing w:val="-6"/>
              </w:rPr>
              <w:t>2</w:t>
            </w:r>
            <w:r>
              <w:rPr>
                <w:rFonts w:ascii="Times New Roman" w:hAnsi="Times New Roman" w:eastAsia="Times New Roman" w:cs="Times New Roman"/>
                <w:spacing w:val="31"/>
              </w:rPr>
              <w:t xml:space="preserve"> </w:t>
            </w:r>
            <w:r>
              <w:rPr>
                <w:spacing w:val="-6"/>
              </w:rPr>
              <w:t>台</w:t>
            </w:r>
            <w:r>
              <w:rPr>
                <w:spacing w:val="-53"/>
              </w:rPr>
              <w:t xml:space="preserve"> </w:t>
            </w:r>
            <w:r>
              <w:rPr>
                <w:rFonts w:ascii="Times New Roman" w:hAnsi="Times New Roman" w:eastAsia="Times New Roman" w:cs="Times New Roman"/>
                <w:spacing w:val="-6"/>
              </w:rPr>
              <w:t xml:space="preserve">2700kVA </w:t>
            </w:r>
            <w:r>
              <w:rPr>
                <w:spacing w:val="-6"/>
              </w:rPr>
              <w:t>和</w:t>
            </w:r>
            <w:r>
              <w:rPr>
                <w:spacing w:val="-29"/>
              </w:rPr>
              <w:t xml:space="preserve"> </w:t>
            </w:r>
            <w:r>
              <w:rPr>
                <w:rFonts w:ascii="Times New Roman" w:hAnsi="Times New Roman" w:eastAsia="Times New Roman" w:cs="Times New Roman"/>
                <w:spacing w:val="-6"/>
              </w:rPr>
              <w:t>19</w:t>
            </w:r>
            <w:r>
              <w:rPr>
                <w:rFonts w:ascii="Times New Roman" w:hAnsi="Times New Roman" w:eastAsia="Times New Roman" w:cs="Times New Roman"/>
                <w:spacing w:val="30"/>
                <w:w w:val="101"/>
              </w:rPr>
              <w:t xml:space="preserve"> </w:t>
            </w:r>
            <w:r>
              <w:rPr>
                <w:spacing w:val="-6"/>
              </w:rPr>
              <w:t>台</w:t>
            </w:r>
            <w:r>
              <w:rPr>
                <w:spacing w:val="-48"/>
              </w:rPr>
              <w:t xml:space="preserve"> </w:t>
            </w:r>
            <w:r>
              <w:rPr>
                <w:rFonts w:ascii="Times New Roman" w:hAnsi="Times New Roman" w:eastAsia="Times New Roman" w:cs="Times New Roman"/>
                <w:spacing w:val="-6"/>
              </w:rPr>
              <w:t xml:space="preserve">3300kVA </w:t>
            </w:r>
            <w:r>
              <w:rPr>
                <w:spacing w:val="-6"/>
              </w:rPr>
              <w:t>箱式变压器，箱</w:t>
            </w:r>
            <w:r>
              <w:t xml:space="preserve"> </w:t>
            </w:r>
            <w:r>
              <w:rPr>
                <w:spacing w:val="3"/>
              </w:rPr>
              <w:t>式变压器均为油浸式，箱变基础为灌注桩</w:t>
            </w:r>
            <w:r>
              <w:rPr>
                <w:rFonts w:ascii="Times New Roman" w:hAnsi="Times New Roman" w:eastAsia="Times New Roman" w:cs="Times New Roman"/>
                <w:spacing w:val="3"/>
              </w:rPr>
              <w:t>+</w:t>
            </w:r>
            <w:r>
              <w:rPr>
                <w:spacing w:val="3"/>
              </w:rPr>
              <w:t>钢筋混凝土平台</w:t>
            </w:r>
            <w:r>
              <w:rPr>
                <w:spacing w:val="2"/>
              </w:rPr>
              <w:t>结构，箱式变压器</w:t>
            </w:r>
            <w:r>
              <w:t xml:space="preserve"> 布置在户外，沿场内道路布置，以便于光伏区电缆采</w:t>
            </w:r>
            <w:r>
              <w:rPr>
                <w:spacing w:val="-1"/>
              </w:rPr>
              <w:t>用沿道路直埋敷设。箱式</w:t>
            </w:r>
            <w:r>
              <w:t xml:space="preserve"> </w:t>
            </w:r>
            <w:r>
              <w:rPr>
                <w:spacing w:val="-2"/>
              </w:rPr>
              <w:t>变压器参数见下表：</w:t>
            </w:r>
          </w:p>
          <w:p w14:paraId="0FEE00DA">
            <w:pPr>
              <w:pStyle w:val="6"/>
              <w:spacing w:before="30" w:line="228" w:lineRule="auto"/>
              <w:ind w:left="2860"/>
              <w:rPr>
                <w:sz w:val="20"/>
                <w:szCs w:val="20"/>
              </w:rPr>
            </w:pPr>
            <w:r>
              <w:rPr>
                <w:b/>
                <w:bCs/>
                <w:spacing w:val="5"/>
                <w:sz w:val="20"/>
                <w:szCs w:val="20"/>
              </w:rPr>
              <w:t>表</w:t>
            </w:r>
            <w:r>
              <w:rPr>
                <w:spacing w:val="-32"/>
                <w:sz w:val="20"/>
                <w:szCs w:val="20"/>
              </w:rPr>
              <w:t xml:space="preserve"> </w:t>
            </w:r>
            <w:r>
              <w:rPr>
                <w:rFonts w:ascii="Times New Roman" w:hAnsi="Times New Roman" w:eastAsia="Times New Roman" w:cs="Times New Roman"/>
                <w:b/>
                <w:bCs/>
                <w:spacing w:val="5"/>
                <w:sz w:val="20"/>
                <w:szCs w:val="20"/>
              </w:rPr>
              <w:t xml:space="preserve">2-5    </w:t>
            </w:r>
            <w:r>
              <w:rPr>
                <w:b/>
                <w:bCs/>
                <w:spacing w:val="5"/>
                <w:sz w:val="20"/>
                <w:szCs w:val="20"/>
              </w:rPr>
              <w:t>箱式变压器主要参数</w:t>
            </w:r>
          </w:p>
          <w:p w14:paraId="6064BBB3">
            <w:pPr>
              <w:spacing w:line="129" w:lineRule="exact"/>
            </w:pPr>
          </w:p>
          <w:tbl>
            <w:tblPr>
              <w:tblStyle w:val="5"/>
              <w:tblW w:w="8150"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3"/>
              <w:gridCol w:w="5630"/>
              <w:gridCol w:w="1127"/>
            </w:tblGrid>
            <w:tr w14:paraId="339C8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1393" w:type="dxa"/>
                  <w:vAlign w:val="top"/>
                </w:tcPr>
                <w:p w14:paraId="203E2228">
                  <w:pPr>
                    <w:pStyle w:val="6"/>
                    <w:spacing w:before="50" w:line="217" w:lineRule="auto"/>
                    <w:ind w:left="496"/>
                    <w:rPr>
                      <w:sz w:val="20"/>
                      <w:szCs w:val="20"/>
                    </w:rPr>
                  </w:pPr>
                  <w:r>
                    <w:rPr>
                      <w:b/>
                      <w:bCs/>
                      <w:spacing w:val="2"/>
                      <w:sz w:val="20"/>
                      <w:szCs w:val="20"/>
                    </w:rPr>
                    <w:t>项目</w:t>
                  </w:r>
                </w:p>
              </w:tc>
              <w:tc>
                <w:tcPr>
                  <w:tcW w:w="5630" w:type="dxa"/>
                  <w:vAlign w:val="top"/>
                </w:tcPr>
                <w:p w14:paraId="07B9D234">
                  <w:pPr>
                    <w:pStyle w:val="6"/>
                    <w:spacing w:before="50" w:line="217" w:lineRule="auto"/>
                    <w:ind w:left="2087"/>
                    <w:rPr>
                      <w:sz w:val="20"/>
                      <w:szCs w:val="20"/>
                    </w:rPr>
                  </w:pPr>
                  <w:r>
                    <w:rPr>
                      <w:b/>
                      <w:bCs/>
                      <w:spacing w:val="7"/>
                      <w:sz w:val="20"/>
                      <w:szCs w:val="20"/>
                    </w:rPr>
                    <w:t>箱式变压器参数</w:t>
                  </w:r>
                </w:p>
              </w:tc>
              <w:tc>
                <w:tcPr>
                  <w:tcW w:w="1127" w:type="dxa"/>
                  <w:vAlign w:val="top"/>
                </w:tcPr>
                <w:p w14:paraId="534A7D22">
                  <w:pPr>
                    <w:pStyle w:val="6"/>
                    <w:spacing w:before="50" w:line="217" w:lineRule="auto"/>
                    <w:ind w:left="361"/>
                    <w:rPr>
                      <w:sz w:val="20"/>
                      <w:szCs w:val="20"/>
                    </w:rPr>
                  </w:pPr>
                  <w:r>
                    <w:rPr>
                      <w:b/>
                      <w:bCs/>
                      <w:spacing w:val="3"/>
                      <w:sz w:val="20"/>
                      <w:szCs w:val="20"/>
                    </w:rPr>
                    <w:t>数量</w:t>
                  </w:r>
                </w:p>
              </w:tc>
            </w:tr>
            <w:tr w14:paraId="7C2FE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393" w:type="dxa"/>
                  <w:vMerge w:val="restart"/>
                  <w:tcBorders>
                    <w:bottom w:val="nil"/>
                  </w:tcBorders>
                  <w:vAlign w:val="top"/>
                </w:tcPr>
                <w:p w14:paraId="703890B3">
                  <w:pPr>
                    <w:spacing w:line="274" w:lineRule="auto"/>
                    <w:rPr>
                      <w:rFonts w:ascii="Arial"/>
                      <w:sz w:val="21"/>
                    </w:rPr>
                  </w:pPr>
                </w:p>
                <w:p w14:paraId="76F2688B">
                  <w:pPr>
                    <w:pStyle w:val="6"/>
                    <w:spacing w:before="65"/>
                    <w:ind w:left="251" w:right="125" w:hanging="142"/>
                    <w:rPr>
                      <w:sz w:val="20"/>
                      <w:szCs w:val="20"/>
                    </w:rPr>
                  </w:pPr>
                  <w:r>
                    <w:rPr>
                      <w:rFonts w:ascii="Times New Roman" w:hAnsi="Times New Roman" w:eastAsia="Times New Roman" w:cs="Times New Roman"/>
                      <w:spacing w:val="9"/>
                      <w:sz w:val="20"/>
                      <w:szCs w:val="20"/>
                    </w:rPr>
                    <w:t>3300</w:t>
                  </w:r>
                  <w:r>
                    <w:rPr>
                      <w:rFonts w:ascii="Times New Roman" w:hAnsi="Times New Roman" w:eastAsia="Times New Roman" w:cs="Times New Roman"/>
                      <w:sz w:val="20"/>
                      <w:szCs w:val="20"/>
                    </w:rPr>
                    <w:t>KVA</w:t>
                  </w:r>
                  <w:r>
                    <w:rPr>
                      <w:rFonts w:ascii="Times New Roman" w:hAnsi="Times New Roman" w:eastAsia="Times New Roman" w:cs="Times New Roman"/>
                      <w:spacing w:val="23"/>
                      <w:w w:val="101"/>
                      <w:sz w:val="20"/>
                      <w:szCs w:val="20"/>
                    </w:rPr>
                    <w:t xml:space="preserve"> </w:t>
                  </w:r>
                  <w:r>
                    <w:rPr>
                      <w:spacing w:val="9"/>
                      <w:sz w:val="20"/>
                      <w:szCs w:val="20"/>
                    </w:rPr>
                    <w:t>箱</w:t>
                  </w:r>
                  <w:r>
                    <w:rPr>
                      <w:sz w:val="20"/>
                      <w:szCs w:val="20"/>
                    </w:rPr>
                    <w:t xml:space="preserve"> </w:t>
                  </w:r>
                  <w:r>
                    <w:rPr>
                      <w:spacing w:val="17"/>
                      <w:sz w:val="20"/>
                      <w:szCs w:val="20"/>
                    </w:rPr>
                    <w:t>式变压器</w:t>
                  </w:r>
                </w:p>
              </w:tc>
              <w:tc>
                <w:tcPr>
                  <w:tcW w:w="5630" w:type="dxa"/>
                  <w:vAlign w:val="top"/>
                </w:tcPr>
                <w:p w14:paraId="5201BBDE">
                  <w:pPr>
                    <w:pStyle w:val="6"/>
                    <w:spacing w:before="44" w:line="218" w:lineRule="auto"/>
                    <w:ind w:left="1313"/>
                    <w:rPr>
                      <w:rFonts w:ascii="Times New Roman" w:hAnsi="Times New Roman" w:eastAsia="Times New Roman" w:cs="Times New Roman"/>
                      <w:sz w:val="20"/>
                      <w:szCs w:val="20"/>
                    </w:rPr>
                  </w:pPr>
                  <w:r>
                    <w:rPr>
                      <w:spacing w:val="10"/>
                      <w:sz w:val="20"/>
                      <w:szCs w:val="20"/>
                    </w:rPr>
                    <w:t>电压等级</w:t>
                  </w:r>
                  <w:r>
                    <w:rPr>
                      <w:rFonts w:ascii="Times New Roman" w:hAnsi="Times New Roman" w:eastAsia="Times New Roman" w:cs="Times New Roman"/>
                      <w:spacing w:val="10"/>
                      <w:sz w:val="20"/>
                      <w:szCs w:val="20"/>
                    </w:rPr>
                    <w:t>/</w:t>
                  </w:r>
                  <w:r>
                    <w:rPr>
                      <w:spacing w:val="10"/>
                      <w:sz w:val="20"/>
                      <w:szCs w:val="20"/>
                    </w:rPr>
                    <w:t>容量：</w:t>
                  </w:r>
                  <w:r>
                    <w:rPr>
                      <w:spacing w:val="-48"/>
                      <w:sz w:val="20"/>
                      <w:szCs w:val="20"/>
                    </w:rPr>
                    <w:t xml:space="preserve"> </w:t>
                  </w:r>
                  <w:r>
                    <w:rPr>
                      <w:rFonts w:ascii="Times New Roman" w:hAnsi="Times New Roman" w:eastAsia="Times New Roman" w:cs="Times New Roman"/>
                      <w:spacing w:val="10"/>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0"/>
                      <w:sz w:val="20"/>
                      <w:szCs w:val="20"/>
                    </w:rPr>
                    <w:t>/3300</w:t>
                  </w:r>
                  <w:r>
                    <w:rPr>
                      <w:rFonts w:ascii="Times New Roman" w:hAnsi="Times New Roman" w:eastAsia="Times New Roman" w:cs="Times New Roman"/>
                      <w:sz w:val="20"/>
                      <w:szCs w:val="20"/>
                    </w:rPr>
                    <w:t>KVA</w:t>
                  </w:r>
                </w:p>
              </w:tc>
              <w:tc>
                <w:tcPr>
                  <w:tcW w:w="1127" w:type="dxa"/>
                  <w:vMerge w:val="restart"/>
                  <w:tcBorders>
                    <w:bottom w:val="nil"/>
                  </w:tcBorders>
                  <w:vAlign w:val="top"/>
                </w:tcPr>
                <w:p w14:paraId="5438F2D0">
                  <w:pPr>
                    <w:spacing w:line="408" w:lineRule="auto"/>
                    <w:rPr>
                      <w:rFonts w:ascii="Arial"/>
                      <w:sz w:val="21"/>
                    </w:rPr>
                  </w:pPr>
                </w:p>
                <w:p w14:paraId="69F798E7">
                  <w:pPr>
                    <w:pStyle w:val="6"/>
                    <w:spacing w:before="65" w:line="230" w:lineRule="auto"/>
                    <w:ind w:left="345"/>
                    <w:rPr>
                      <w:sz w:val="20"/>
                      <w:szCs w:val="20"/>
                    </w:rPr>
                  </w:pPr>
                  <w:r>
                    <w:rPr>
                      <w:rFonts w:ascii="Times New Roman" w:hAnsi="Times New Roman" w:eastAsia="Times New Roman" w:cs="Times New Roman"/>
                      <w:spacing w:val="-5"/>
                      <w:sz w:val="20"/>
                      <w:szCs w:val="20"/>
                    </w:rPr>
                    <w:t>19</w:t>
                  </w:r>
                  <w:r>
                    <w:rPr>
                      <w:rFonts w:ascii="Times New Roman" w:hAnsi="Times New Roman" w:eastAsia="Times New Roman" w:cs="Times New Roman"/>
                      <w:spacing w:val="25"/>
                      <w:w w:val="101"/>
                      <w:sz w:val="20"/>
                      <w:szCs w:val="20"/>
                    </w:rPr>
                    <w:t xml:space="preserve"> </w:t>
                  </w:r>
                  <w:r>
                    <w:rPr>
                      <w:spacing w:val="-5"/>
                      <w:sz w:val="20"/>
                      <w:szCs w:val="20"/>
                    </w:rPr>
                    <w:t>台</w:t>
                  </w:r>
                </w:p>
              </w:tc>
            </w:tr>
            <w:tr w14:paraId="65B8F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393" w:type="dxa"/>
                  <w:vMerge w:val="continue"/>
                  <w:tcBorders>
                    <w:top w:val="nil"/>
                    <w:bottom w:val="nil"/>
                  </w:tcBorders>
                  <w:vAlign w:val="top"/>
                </w:tcPr>
                <w:p w14:paraId="2763FE56">
                  <w:pPr>
                    <w:rPr>
                      <w:rFonts w:ascii="Arial"/>
                      <w:sz w:val="21"/>
                    </w:rPr>
                  </w:pPr>
                </w:p>
              </w:tc>
              <w:tc>
                <w:tcPr>
                  <w:tcW w:w="5630" w:type="dxa"/>
                  <w:vAlign w:val="top"/>
                </w:tcPr>
                <w:p w14:paraId="3AD78F7B">
                  <w:pPr>
                    <w:pStyle w:val="6"/>
                    <w:spacing w:before="45" w:line="217" w:lineRule="auto"/>
                    <w:ind w:left="896"/>
                    <w:rPr>
                      <w:rFonts w:ascii="Times New Roman" w:hAnsi="Times New Roman" w:eastAsia="Times New Roman" w:cs="Times New Roman"/>
                      <w:sz w:val="20"/>
                      <w:szCs w:val="20"/>
                    </w:rPr>
                  </w:pPr>
                  <w:r>
                    <w:rPr>
                      <w:spacing w:val="7"/>
                      <w:sz w:val="20"/>
                      <w:szCs w:val="20"/>
                    </w:rPr>
                    <w:t>型号规格：</w:t>
                  </w:r>
                  <w:r>
                    <w:rPr>
                      <w:spacing w:val="-47"/>
                      <w:sz w:val="20"/>
                      <w:szCs w:val="20"/>
                    </w:rPr>
                    <w:t xml:space="preserve"> </w:t>
                  </w:r>
                  <w:r>
                    <w:rPr>
                      <w:rFonts w:ascii="Times New Roman" w:hAnsi="Times New Roman" w:eastAsia="Times New Roman" w:cs="Times New Roman"/>
                      <w:spacing w:val="7"/>
                      <w:sz w:val="20"/>
                      <w:szCs w:val="20"/>
                    </w:rPr>
                    <w:t>S-3300-</w:t>
                  </w:r>
                  <w:r>
                    <w:rPr>
                      <w:rFonts w:ascii="Times New Roman" w:hAnsi="Times New Roman" w:eastAsia="Times New Roman" w:cs="Times New Roman"/>
                      <w:sz w:val="20"/>
                      <w:szCs w:val="20"/>
                    </w:rPr>
                    <w:t>NX</w:t>
                  </w:r>
                  <w:r>
                    <w:rPr>
                      <w:rFonts w:ascii="Times New Roman" w:hAnsi="Times New Roman" w:eastAsia="Times New Roman" w:cs="Times New Roman"/>
                      <w:spacing w:val="7"/>
                      <w:sz w:val="20"/>
                      <w:szCs w:val="20"/>
                    </w:rPr>
                    <w:t>237</w:t>
                  </w:r>
                  <w:r>
                    <w:rPr>
                      <w:spacing w:val="7"/>
                      <w:sz w:val="20"/>
                      <w:szCs w:val="20"/>
                    </w:rPr>
                    <w:t>±</w:t>
                  </w:r>
                  <w:r>
                    <w:rPr>
                      <w:rFonts w:ascii="Times New Roman" w:hAnsi="Times New Roman" w:eastAsia="Times New Roman" w:cs="Times New Roman"/>
                      <w:spacing w:val="7"/>
                      <w:sz w:val="20"/>
                      <w:szCs w:val="20"/>
                    </w:rPr>
                    <w:t>2x2.5%</w:t>
                  </w:r>
                  <w:r>
                    <w:rPr>
                      <w:rFonts w:ascii="Times New Roman" w:hAnsi="Times New Roman" w:eastAsia="Times New Roman" w:cs="Times New Roman"/>
                      <w:spacing w:val="6"/>
                      <w:sz w:val="20"/>
                      <w:szCs w:val="20"/>
                    </w:rPr>
                    <w:t>/0.8</w:t>
                  </w:r>
                  <w:r>
                    <w:rPr>
                      <w:rFonts w:ascii="Times New Roman" w:hAnsi="Times New Roman" w:eastAsia="Times New Roman" w:cs="Times New Roman"/>
                      <w:sz w:val="20"/>
                      <w:szCs w:val="20"/>
                    </w:rPr>
                    <w:t>kV</w:t>
                  </w:r>
                </w:p>
              </w:tc>
              <w:tc>
                <w:tcPr>
                  <w:tcW w:w="1127" w:type="dxa"/>
                  <w:vMerge w:val="continue"/>
                  <w:tcBorders>
                    <w:top w:val="nil"/>
                    <w:bottom w:val="nil"/>
                  </w:tcBorders>
                  <w:vAlign w:val="top"/>
                </w:tcPr>
                <w:p w14:paraId="7BAA9E29">
                  <w:pPr>
                    <w:rPr>
                      <w:rFonts w:ascii="Arial"/>
                      <w:sz w:val="21"/>
                    </w:rPr>
                  </w:pPr>
                </w:p>
              </w:tc>
            </w:tr>
            <w:tr w14:paraId="17734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393" w:type="dxa"/>
                  <w:vMerge w:val="continue"/>
                  <w:tcBorders>
                    <w:top w:val="nil"/>
                  </w:tcBorders>
                  <w:vAlign w:val="top"/>
                </w:tcPr>
                <w:p w14:paraId="1FE8F8A1">
                  <w:pPr>
                    <w:rPr>
                      <w:rFonts w:ascii="Arial"/>
                      <w:sz w:val="21"/>
                    </w:rPr>
                  </w:pPr>
                </w:p>
              </w:tc>
              <w:tc>
                <w:tcPr>
                  <w:tcW w:w="5630" w:type="dxa"/>
                  <w:vAlign w:val="top"/>
                </w:tcPr>
                <w:p w14:paraId="461F52B7">
                  <w:pPr>
                    <w:pStyle w:val="6"/>
                    <w:spacing w:before="45" w:line="234" w:lineRule="auto"/>
                    <w:ind w:left="2587" w:hanging="2578"/>
                    <w:rPr>
                      <w:sz w:val="20"/>
                      <w:szCs w:val="20"/>
                    </w:rPr>
                  </w:pPr>
                  <w:r>
                    <w:rPr>
                      <w:spacing w:val="-1"/>
                      <w:sz w:val="20"/>
                      <w:szCs w:val="20"/>
                    </w:rPr>
                    <w:t>含纵向加密、环网交换机</w:t>
                  </w:r>
                  <w:r>
                    <w:rPr>
                      <w:spacing w:val="-17"/>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8"/>
                      <w:sz w:val="20"/>
                      <w:szCs w:val="20"/>
                    </w:rPr>
                    <w:t xml:space="preserve"> </w:t>
                  </w:r>
                  <w:r>
                    <w:rPr>
                      <w:spacing w:val="-1"/>
                      <w:sz w:val="20"/>
                      <w:szCs w:val="20"/>
                    </w:rPr>
                    <w:t>台，三合一箱变测控，</w:t>
                  </w:r>
                  <w:r>
                    <w:rPr>
                      <w:rFonts w:ascii="Times New Roman" w:hAnsi="Times New Roman" w:eastAsia="Times New Roman" w:cs="Times New Roman"/>
                      <w:spacing w:val="-1"/>
                      <w:sz w:val="20"/>
                      <w:szCs w:val="20"/>
                    </w:rPr>
                    <w:t xml:space="preserve">5KVA </w:t>
                  </w:r>
                  <w:r>
                    <w:rPr>
                      <w:spacing w:val="-1"/>
                      <w:sz w:val="20"/>
                      <w:szCs w:val="20"/>
                    </w:rPr>
                    <w:t>干变，</w:t>
                  </w:r>
                  <w:r>
                    <w:rPr>
                      <w:sz w:val="20"/>
                      <w:szCs w:val="20"/>
                    </w:rPr>
                    <w:t xml:space="preserve"> </w:t>
                  </w:r>
                  <w:r>
                    <w:rPr>
                      <w:spacing w:val="2"/>
                      <w:sz w:val="20"/>
                      <w:szCs w:val="20"/>
                    </w:rPr>
                    <w:t>华变</w:t>
                  </w:r>
                </w:p>
              </w:tc>
              <w:tc>
                <w:tcPr>
                  <w:tcW w:w="1127" w:type="dxa"/>
                  <w:vMerge w:val="continue"/>
                  <w:tcBorders>
                    <w:top w:val="nil"/>
                  </w:tcBorders>
                  <w:vAlign w:val="top"/>
                </w:tcPr>
                <w:p w14:paraId="5D262068">
                  <w:pPr>
                    <w:rPr>
                      <w:rFonts w:ascii="Arial"/>
                      <w:sz w:val="21"/>
                    </w:rPr>
                  </w:pPr>
                </w:p>
              </w:tc>
            </w:tr>
            <w:tr w14:paraId="3ADCE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393" w:type="dxa"/>
                  <w:vMerge w:val="restart"/>
                  <w:tcBorders>
                    <w:bottom w:val="nil"/>
                  </w:tcBorders>
                  <w:vAlign w:val="top"/>
                </w:tcPr>
                <w:p w14:paraId="7DC87659">
                  <w:pPr>
                    <w:spacing w:line="274" w:lineRule="auto"/>
                    <w:rPr>
                      <w:rFonts w:ascii="Arial"/>
                      <w:sz w:val="21"/>
                    </w:rPr>
                  </w:pPr>
                </w:p>
                <w:p w14:paraId="38C84450">
                  <w:pPr>
                    <w:pStyle w:val="6"/>
                    <w:spacing w:before="65" w:line="241" w:lineRule="auto"/>
                    <w:ind w:left="251" w:right="125" w:hanging="147"/>
                    <w:rPr>
                      <w:sz w:val="20"/>
                      <w:szCs w:val="20"/>
                    </w:rPr>
                  </w:pPr>
                  <w:r>
                    <w:rPr>
                      <w:rFonts w:ascii="Times New Roman" w:hAnsi="Times New Roman" w:eastAsia="Times New Roman" w:cs="Times New Roman"/>
                      <w:spacing w:val="10"/>
                      <w:sz w:val="20"/>
                      <w:szCs w:val="20"/>
                    </w:rPr>
                    <w:t>2700</w:t>
                  </w:r>
                  <w:r>
                    <w:rPr>
                      <w:rFonts w:ascii="Times New Roman" w:hAnsi="Times New Roman" w:eastAsia="Times New Roman" w:cs="Times New Roman"/>
                      <w:sz w:val="20"/>
                      <w:szCs w:val="20"/>
                    </w:rPr>
                    <w:t>KVA</w:t>
                  </w:r>
                  <w:r>
                    <w:rPr>
                      <w:rFonts w:ascii="Times New Roman" w:hAnsi="Times New Roman" w:eastAsia="Times New Roman" w:cs="Times New Roman"/>
                      <w:spacing w:val="23"/>
                      <w:sz w:val="20"/>
                      <w:szCs w:val="20"/>
                    </w:rPr>
                    <w:t xml:space="preserve"> </w:t>
                  </w:r>
                  <w:r>
                    <w:rPr>
                      <w:spacing w:val="10"/>
                      <w:sz w:val="20"/>
                      <w:szCs w:val="20"/>
                    </w:rPr>
                    <w:t>箱</w:t>
                  </w:r>
                  <w:r>
                    <w:rPr>
                      <w:sz w:val="20"/>
                      <w:szCs w:val="20"/>
                    </w:rPr>
                    <w:t xml:space="preserve"> </w:t>
                  </w:r>
                  <w:r>
                    <w:rPr>
                      <w:spacing w:val="17"/>
                      <w:sz w:val="20"/>
                      <w:szCs w:val="20"/>
                    </w:rPr>
                    <w:t>式变压器</w:t>
                  </w:r>
                </w:p>
              </w:tc>
              <w:tc>
                <w:tcPr>
                  <w:tcW w:w="5630" w:type="dxa"/>
                  <w:vAlign w:val="top"/>
                </w:tcPr>
                <w:p w14:paraId="638F4760">
                  <w:pPr>
                    <w:pStyle w:val="6"/>
                    <w:spacing w:before="45" w:line="217" w:lineRule="auto"/>
                    <w:ind w:left="1313"/>
                    <w:rPr>
                      <w:rFonts w:ascii="Times New Roman" w:hAnsi="Times New Roman" w:eastAsia="Times New Roman" w:cs="Times New Roman"/>
                      <w:sz w:val="20"/>
                      <w:szCs w:val="20"/>
                    </w:rPr>
                  </w:pPr>
                  <w:r>
                    <w:rPr>
                      <w:spacing w:val="10"/>
                      <w:sz w:val="20"/>
                      <w:szCs w:val="20"/>
                    </w:rPr>
                    <w:t>电压等级</w:t>
                  </w:r>
                  <w:r>
                    <w:rPr>
                      <w:rFonts w:ascii="Times New Roman" w:hAnsi="Times New Roman" w:eastAsia="Times New Roman" w:cs="Times New Roman"/>
                      <w:spacing w:val="10"/>
                      <w:sz w:val="20"/>
                      <w:szCs w:val="20"/>
                    </w:rPr>
                    <w:t>/</w:t>
                  </w:r>
                  <w:r>
                    <w:rPr>
                      <w:spacing w:val="10"/>
                      <w:sz w:val="20"/>
                      <w:szCs w:val="20"/>
                    </w:rPr>
                    <w:t>容量：</w:t>
                  </w:r>
                  <w:r>
                    <w:rPr>
                      <w:spacing w:val="-48"/>
                      <w:sz w:val="20"/>
                      <w:szCs w:val="20"/>
                    </w:rPr>
                    <w:t xml:space="preserve"> </w:t>
                  </w:r>
                  <w:r>
                    <w:rPr>
                      <w:rFonts w:ascii="Times New Roman" w:hAnsi="Times New Roman" w:eastAsia="Times New Roman" w:cs="Times New Roman"/>
                      <w:spacing w:val="10"/>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0"/>
                      <w:sz w:val="20"/>
                      <w:szCs w:val="20"/>
                    </w:rPr>
                    <w:t>/2700</w:t>
                  </w:r>
                  <w:r>
                    <w:rPr>
                      <w:rFonts w:ascii="Times New Roman" w:hAnsi="Times New Roman" w:eastAsia="Times New Roman" w:cs="Times New Roman"/>
                      <w:sz w:val="20"/>
                      <w:szCs w:val="20"/>
                    </w:rPr>
                    <w:t>KVA</w:t>
                  </w:r>
                </w:p>
              </w:tc>
              <w:tc>
                <w:tcPr>
                  <w:tcW w:w="1127" w:type="dxa"/>
                  <w:vMerge w:val="restart"/>
                  <w:tcBorders>
                    <w:bottom w:val="nil"/>
                  </w:tcBorders>
                  <w:vAlign w:val="top"/>
                </w:tcPr>
                <w:p w14:paraId="70E0CD32">
                  <w:pPr>
                    <w:spacing w:line="410" w:lineRule="auto"/>
                    <w:rPr>
                      <w:rFonts w:ascii="Arial"/>
                      <w:sz w:val="21"/>
                    </w:rPr>
                  </w:pPr>
                </w:p>
                <w:p w14:paraId="334A8B9E">
                  <w:pPr>
                    <w:pStyle w:val="6"/>
                    <w:spacing w:before="65" w:line="230" w:lineRule="auto"/>
                    <w:ind w:left="375"/>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8"/>
                      <w:sz w:val="20"/>
                      <w:szCs w:val="20"/>
                    </w:rPr>
                    <w:t xml:space="preserve"> </w:t>
                  </w:r>
                  <w:r>
                    <w:rPr>
                      <w:sz w:val="20"/>
                      <w:szCs w:val="20"/>
                    </w:rPr>
                    <w:t>台</w:t>
                  </w:r>
                </w:p>
              </w:tc>
            </w:tr>
            <w:tr w14:paraId="1FC4F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393" w:type="dxa"/>
                  <w:vMerge w:val="continue"/>
                  <w:tcBorders>
                    <w:top w:val="nil"/>
                    <w:bottom w:val="nil"/>
                  </w:tcBorders>
                  <w:vAlign w:val="top"/>
                </w:tcPr>
                <w:p w14:paraId="189B6C3B">
                  <w:pPr>
                    <w:rPr>
                      <w:rFonts w:ascii="Arial"/>
                      <w:sz w:val="21"/>
                    </w:rPr>
                  </w:pPr>
                </w:p>
              </w:tc>
              <w:tc>
                <w:tcPr>
                  <w:tcW w:w="5630" w:type="dxa"/>
                  <w:vAlign w:val="top"/>
                </w:tcPr>
                <w:p w14:paraId="76D629A1">
                  <w:pPr>
                    <w:pStyle w:val="6"/>
                    <w:spacing w:before="48" w:line="216" w:lineRule="auto"/>
                    <w:ind w:left="896"/>
                    <w:rPr>
                      <w:rFonts w:ascii="Times New Roman" w:hAnsi="Times New Roman" w:eastAsia="Times New Roman" w:cs="Times New Roman"/>
                      <w:sz w:val="20"/>
                      <w:szCs w:val="20"/>
                    </w:rPr>
                  </w:pPr>
                  <w:r>
                    <w:rPr>
                      <w:spacing w:val="7"/>
                      <w:sz w:val="20"/>
                      <w:szCs w:val="20"/>
                    </w:rPr>
                    <w:t>型号规格：</w:t>
                  </w:r>
                  <w:r>
                    <w:rPr>
                      <w:spacing w:val="-47"/>
                      <w:sz w:val="20"/>
                      <w:szCs w:val="20"/>
                    </w:rPr>
                    <w:t xml:space="preserve"> </w:t>
                  </w:r>
                  <w:r>
                    <w:rPr>
                      <w:rFonts w:ascii="Times New Roman" w:hAnsi="Times New Roman" w:eastAsia="Times New Roman" w:cs="Times New Roman"/>
                      <w:spacing w:val="7"/>
                      <w:sz w:val="20"/>
                      <w:szCs w:val="20"/>
                    </w:rPr>
                    <w:t>S-2700-</w:t>
                  </w:r>
                  <w:r>
                    <w:rPr>
                      <w:rFonts w:ascii="Times New Roman" w:hAnsi="Times New Roman" w:eastAsia="Times New Roman" w:cs="Times New Roman"/>
                      <w:sz w:val="20"/>
                      <w:szCs w:val="20"/>
                    </w:rPr>
                    <w:t>NX</w:t>
                  </w:r>
                  <w:r>
                    <w:rPr>
                      <w:rFonts w:ascii="Times New Roman" w:hAnsi="Times New Roman" w:eastAsia="Times New Roman" w:cs="Times New Roman"/>
                      <w:spacing w:val="7"/>
                      <w:sz w:val="20"/>
                      <w:szCs w:val="20"/>
                    </w:rPr>
                    <w:t>237</w:t>
                  </w:r>
                  <w:r>
                    <w:rPr>
                      <w:spacing w:val="7"/>
                      <w:sz w:val="20"/>
                      <w:szCs w:val="20"/>
                    </w:rPr>
                    <w:t>±</w:t>
                  </w:r>
                  <w:r>
                    <w:rPr>
                      <w:rFonts w:ascii="Times New Roman" w:hAnsi="Times New Roman" w:eastAsia="Times New Roman" w:cs="Times New Roman"/>
                      <w:spacing w:val="7"/>
                      <w:sz w:val="20"/>
                      <w:szCs w:val="20"/>
                    </w:rPr>
                    <w:t>2x2.5%</w:t>
                  </w:r>
                  <w:r>
                    <w:rPr>
                      <w:rFonts w:ascii="Times New Roman" w:hAnsi="Times New Roman" w:eastAsia="Times New Roman" w:cs="Times New Roman"/>
                      <w:spacing w:val="6"/>
                      <w:sz w:val="20"/>
                      <w:szCs w:val="20"/>
                    </w:rPr>
                    <w:t>/0.8</w:t>
                  </w:r>
                  <w:r>
                    <w:rPr>
                      <w:rFonts w:ascii="Times New Roman" w:hAnsi="Times New Roman" w:eastAsia="Times New Roman" w:cs="Times New Roman"/>
                      <w:sz w:val="20"/>
                      <w:szCs w:val="20"/>
                    </w:rPr>
                    <w:t>kV</w:t>
                  </w:r>
                </w:p>
              </w:tc>
              <w:tc>
                <w:tcPr>
                  <w:tcW w:w="1127" w:type="dxa"/>
                  <w:vMerge w:val="continue"/>
                  <w:tcBorders>
                    <w:top w:val="nil"/>
                    <w:bottom w:val="nil"/>
                  </w:tcBorders>
                  <w:vAlign w:val="top"/>
                </w:tcPr>
                <w:p w14:paraId="4A703637">
                  <w:pPr>
                    <w:rPr>
                      <w:rFonts w:ascii="Arial"/>
                      <w:sz w:val="21"/>
                    </w:rPr>
                  </w:pPr>
                </w:p>
              </w:tc>
            </w:tr>
            <w:tr w14:paraId="26881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93" w:type="dxa"/>
                  <w:vMerge w:val="continue"/>
                  <w:tcBorders>
                    <w:top w:val="nil"/>
                  </w:tcBorders>
                  <w:vAlign w:val="top"/>
                </w:tcPr>
                <w:p w14:paraId="1902FAEF">
                  <w:pPr>
                    <w:rPr>
                      <w:rFonts w:ascii="Arial"/>
                      <w:sz w:val="21"/>
                    </w:rPr>
                  </w:pPr>
                </w:p>
              </w:tc>
              <w:tc>
                <w:tcPr>
                  <w:tcW w:w="5630" w:type="dxa"/>
                  <w:vAlign w:val="top"/>
                </w:tcPr>
                <w:p w14:paraId="3D4ACD57">
                  <w:pPr>
                    <w:pStyle w:val="6"/>
                    <w:spacing w:before="45" w:line="234" w:lineRule="auto"/>
                    <w:ind w:left="2587" w:hanging="2578"/>
                    <w:rPr>
                      <w:sz w:val="20"/>
                      <w:szCs w:val="20"/>
                    </w:rPr>
                  </w:pPr>
                  <w:r>
                    <w:rPr>
                      <w:spacing w:val="-1"/>
                      <w:sz w:val="20"/>
                      <w:szCs w:val="20"/>
                    </w:rPr>
                    <w:t>含纵向加密、环网交换机</w:t>
                  </w:r>
                  <w:r>
                    <w:rPr>
                      <w:spacing w:val="-17"/>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8"/>
                      <w:sz w:val="20"/>
                      <w:szCs w:val="20"/>
                    </w:rPr>
                    <w:t xml:space="preserve"> </w:t>
                  </w:r>
                  <w:r>
                    <w:rPr>
                      <w:spacing w:val="-1"/>
                      <w:sz w:val="20"/>
                      <w:szCs w:val="20"/>
                    </w:rPr>
                    <w:t>台，三合一箱变测控，</w:t>
                  </w:r>
                  <w:r>
                    <w:rPr>
                      <w:rFonts w:ascii="Times New Roman" w:hAnsi="Times New Roman" w:eastAsia="Times New Roman" w:cs="Times New Roman"/>
                      <w:spacing w:val="-1"/>
                      <w:sz w:val="20"/>
                      <w:szCs w:val="20"/>
                    </w:rPr>
                    <w:t xml:space="preserve">5KVA </w:t>
                  </w:r>
                  <w:r>
                    <w:rPr>
                      <w:spacing w:val="-1"/>
                      <w:sz w:val="20"/>
                      <w:szCs w:val="20"/>
                    </w:rPr>
                    <w:t>干变，</w:t>
                  </w:r>
                  <w:r>
                    <w:rPr>
                      <w:sz w:val="20"/>
                      <w:szCs w:val="20"/>
                    </w:rPr>
                    <w:t xml:space="preserve"> </w:t>
                  </w:r>
                  <w:r>
                    <w:rPr>
                      <w:spacing w:val="2"/>
                      <w:sz w:val="20"/>
                      <w:szCs w:val="20"/>
                    </w:rPr>
                    <w:t>华变</w:t>
                  </w:r>
                </w:p>
              </w:tc>
              <w:tc>
                <w:tcPr>
                  <w:tcW w:w="1127" w:type="dxa"/>
                  <w:vMerge w:val="continue"/>
                  <w:tcBorders>
                    <w:top w:val="nil"/>
                  </w:tcBorders>
                  <w:vAlign w:val="top"/>
                </w:tcPr>
                <w:p w14:paraId="61DD150A">
                  <w:pPr>
                    <w:rPr>
                      <w:rFonts w:ascii="Arial"/>
                      <w:sz w:val="21"/>
                    </w:rPr>
                  </w:pPr>
                </w:p>
              </w:tc>
            </w:tr>
            <w:tr w14:paraId="67730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393" w:type="dxa"/>
                  <w:vMerge w:val="restart"/>
                  <w:tcBorders>
                    <w:bottom w:val="nil"/>
                  </w:tcBorders>
                  <w:vAlign w:val="top"/>
                </w:tcPr>
                <w:p w14:paraId="3343DFDC">
                  <w:pPr>
                    <w:spacing w:line="278" w:lineRule="auto"/>
                    <w:rPr>
                      <w:rFonts w:ascii="Arial"/>
                      <w:sz w:val="21"/>
                    </w:rPr>
                  </w:pPr>
                </w:p>
                <w:p w14:paraId="5E9E26FF">
                  <w:pPr>
                    <w:pStyle w:val="6"/>
                    <w:spacing w:before="65"/>
                    <w:ind w:left="251" w:right="125" w:hanging="147"/>
                    <w:rPr>
                      <w:sz w:val="20"/>
                      <w:szCs w:val="20"/>
                    </w:rPr>
                  </w:pPr>
                  <w:r>
                    <w:rPr>
                      <w:rFonts w:ascii="Times New Roman" w:hAnsi="Times New Roman" w:eastAsia="Times New Roman" w:cs="Times New Roman"/>
                      <w:spacing w:val="10"/>
                      <w:sz w:val="20"/>
                      <w:szCs w:val="20"/>
                    </w:rPr>
                    <w:t>2400</w:t>
                  </w:r>
                  <w:r>
                    <w:rPr>
                      <w:rFonts w:ascii="Times New Roman" w:hAnsi="Times New Roman" w:eastAsia="Times New Roman" w:cs="Times New Roman"/>
                      <w:sz w:val="20"/>
                      <w:szCs w:val="20"/>
                    </w:rPr>
                    <w:t>KVA</w:t>
                  </w:r>
                  <w:r>
                    <w:rPr>
                      <w:rFonts w:ascii="Times New Roman" w:hAnsi="Times New Roman" w:eastAsia="Times New Roman" w:cs="Times New Roman"/>
                      <w:spacing w:val="23"/>
                      <w:sz w:val="20"/>
                      <w:szCs w:val="20"/>
                    </w:rPr>
                    <w:t xml:space="preserve"> </w:t>
                  </w:r>
                  <w:r>
                    <w:rPr>
                      <w:spacing w:val="10"/>
                      <w:sz w:val="20"/>
                      <w:szCs w:val="20"/>
                    </w:rPr>
                    <w:t>箱</w:t>
                  </w:r>
                  <w:r>
                    <w:rPr>
                      <w:sz w:val="20"/>
                      <w:szCs w:val="20"/>
                    </w:rPr>
                    <w:t xml:space="preserve"> </w:t>
                  </w:r>
                  <w:r>
                    <w:rPr>
                      <w:spacing w:val="17"/>
                      <w:sz w:val="20"/>
                      <w:szCs w:val="20"/>
                    </w:rPr>
                    <w:t>式变压器</w:t>
                  </w:r>
                </w:p>
              </w:tc>
              <w:tc>
                <w:tcPr>
                  <w:tcW w:w="5630" w:type="dxa"/>
                  <w:vAlign w:val="top"/>
                </w:tcPr>
                <w:p w14:paraId="5181C115">
                  <w:pPr>
                    <w:pStyle w:val="6"/>
                    <w:spacing w:before="48" w:line="215" w:lineRule="auto"/>
                    <w:ind w:left="1313"/>
                    <w:rPr>
                      <w:rFonts w:ascii="Times New Roman" w:hAnsi="Times New Roman" w:eastAsia="Times New Roman" w:cs="Times New Roman"/>
                      <w:sz w:val="20"/>
                      <w:szCs w:val="20"/>
                    </w:rPr>
                  </w:pPr>
                  <w:r>
                    <w:rPr>
                      <w:spacing w:val="10"/>
                      <w:sz w:val="20"/>
                      <w:szCs w:val="20"/>
                    </w:rPr>
                    <w:t>电压等级</w:t>
                  </w:r>
                  <w:r>
                    <w:rPr>
                      <w:rFonts w:ascii="Times New Roman" w:hAnsi="Times New Roman" w:eastAsia="Times New Roman" w:cs="Times New Roman"/>
                      <w:spacing w:val="10"/>
                      <w:sz w:val="20"/>
                      <w:szCs w:val="20"/>
                    </w:rPr>
                    <w:t>/</w:t>
                  </w:r>
                  <w:r>
                    <w:rPr>
                      <w:spacing w:val="10"/>
                      <w:sz w:val="20"/>
                      <w:szCs w:val="20"/>
                    </w:rPr>
                    <w:t>容量：</w:t>
                  </w:r>
                  <w:r>
                    <w:rPr>
                      <w:spacing w:val="-48"/>
                      <w:sz w:val="20"/>
                      <w:szCs w:val="20"/>
                    </w:rPr>
                    <w:t xml:space="preserve"> </w:t>
                  </w:r>
                  <w:r>
                    <w:rPr>
                      <w:rFonts w:ascii="Times New Roman" w:hAnsi="Times New Roman" w:eastAsia="Times New Roman" w:cs="Times New Roman"/>
                      <w:spacing w:val="10"/>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0"/>
                      <w:sz w:val="20"/>
                      <w:szCs w:val="20"/>
                    </w:rPr>
                    <w:t>/2400</w:t>
                  </w:r>
                  <w:r>
                    <w:rPr>
                      <w:rFonts w:ascii="Times New Roman" w:hAnsi="Times New Roman" w:eastAsia="Times New Roman" w:cs="Times New Roman"/>
                      <w:sz w:val="20"/>
                      <w:szCs w:val="20"/>
                    </w:rPr>
                    <w:t>KVA</w:t>
                  </w:r>
                </w:p>
              </w:tc>
              <w:tc>
                <w:tcPr>
                  <w:tcW w:w="1127" w:type="dxa"/>
                  <w:vMerge w:val="restart"/>
                  <w:tcBorders>
                    <w:bottom w:val="nil"/>
                  </w:tcBorders>
                  <w:vAlign w:val="top"/>
                </w:tcPr>
                <w:p w14:paraId="272B9E53">
                  <w:pPr>
                    <w:spacing w:line="412" w:lineRule="auto"/>
                    <w:rPr>
                      <w:rFonts w:ascii="Arial"/>
                      <w:sz w:val="21"/>
                    </w:rPr>
                  </w:pPr>
                </w:p>
                <w:p w14:paraId="244A67F1">
                  <w:pPr>
                    <w:pStyle w:val="6"/>
                    <w:spacing w:before="65" w:line="230" w:lineRule="auto"/>
                    <w:ind w:left="379"/>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9"/>
                      <w:sz w:val="20"/>
                      <w:szCs w:val="20"/>
                    </w:rPr>
                    <w:t xml:space="preserve"> </w:t>
                  </w:r>
                  <w:r>
                    <w:rPr>
                      <w:spacing w:val="-3"/>
                      <w:sz w:val="20"/>
                      <w:szCs w:val="20"/>
                    </w:rPr>
                    <w:t>台</w:t>
                  </w:r>
                </w:p>
              </w:tc>
            </w:tr>
            <w:tr w14:paraId="674ED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393" w:type="dxa"/>
                  <w:vMerge w:val="continue"/>
                  <w:tcBorders>
                    <w:top w:val="nil"/>
                    <w:bottom w:val="nil"/>
                  </w:tcBorders>
                  <w:vAlign w:val="top"/>
                </w:tcPr>
                <w:p w14:paraId="58F31473">
                  <w:pPr>
                    <w:rPr>
                      <w:rFonts w:ascii="Arial"/>
                      <w:sz w:val="21"/>
                    </w:rPr>
                  </w:pPr>
                </w:p>
              </w:tc>
              <w:tc>
                <w:tcPr>
                  <w:tcW w:w="5630" w:type="dxa"/>
                  <w:vAlign w:val="top"/>
                </w:tcPr>
                <w:p w14:paraId="20C51861">
                  <w:pPr>
                    <w:pStyle w:val="6"/>
                    <w:spacing w:before="49" w:line="214" w:lineRule="auto"/>
                    <w:ind w:left="896"/>
                    <w:rPr>
                      <w:rFonts w:ascii="Times New Roman" w:hAnsi="Times New Roman" w:eastAsia="Times New Roman" w:cs="Times New Roman"/>
                      <w:sz w:val="20"/>
                      <w:szCs w:val="20"/>
                    </w:rPr>
                  </w:pPr>
                  <w:r>
                    <w:rPr>
                      <w:spacing w:val="7"/>
                      <w:sz w:val="20"/>
                      <w:szCs w:val="20"/>
                    </w:rPr>
                    <w:t>型号规格：</w:t>
                  </w:r>
                  <w:r>
                    <w:rPr>
                      <w:spacing w:val="-47"/>
                      <w:sz w:val="20"/>
                      <w:szCs w:val="20"/>
                    </w:rPr>
                    <w:t xml:space="preserve"> </w:t>
                  </w:r>
                  <w:r>
                    <w:rPr>
                      <w:rFonts w:ascii="Times New Roman" w:hAnsi="Times New Roman" w:eastAsia="Times New Roman" w:cs="Times New Roman"/>
                      <w:spacing w:val="7"/>
                      <w:sz w:val="20"/>
                      <w:szCs w:val="20"/>
                    </w:rPr>
                    <w:t>S-2400-</w:t>
                  </w:r>
                  <w:r>
                    <w:rPr>
                      <w:rFonts w:ascii="Times New Roman" w:hAnsi="Times New Roman" w:eastAsia="Times New Roman" w:cs="Times New Roman"/>
                      <w:sz w:val="20"/>
                      <w:szCs w:val="20"/>
                    </w:rPr>
                    <w:t>NX</w:t>
                  </w:r>
                  <w:r>
                    <w:rPr>
                      <w:rFonts w:ascii="Times New Roman" w:hAnsi="Times New Roman" w:eastAsia="Times New Roman" w:cs="Times New Roman"/>
                      <w:spacing w:val="7"/>
                      <w:sz w:val="20"/>
                      <w:szCs w:val="20"/>
                    </w:rPr>
                    <w:t>237</w:t>
                  </w:r>
                  <w:r>
                    <w:rPr>
                      <w:spacing w:val="7"/>
                      <w:sz w:val="20"/>
                      <w:szCs w:val="20"/>
                    </w:rPr>
                    <w:t>±</w:t>
                  </w:r>
                  <w:r>
                    <w:rPr>
                      <w:rFonts w:ascii="Times New Roman" w:hAnsi="Times New Roman" w:eastAsia="Times New Roman" w:cs="Times New Roman"/>
                      <w:spacing w:val="7"/>
                      <w:sz w:val="20"/>
                      <w:szCs w:val="20"/>
                    </w:rPr>
                    <w:t>2x2.5%</w:t>
                  </w:r>
                  <w:r>
                    <w:rPr>
                      <w:rFonts w:ascii="Times New Roman" w:hAnsi="Times New Roman" w:eastAsia="Times New Roman" w:cs="Times New Roman"/>
                      <w:spacing w:val="6"/>
                      <w:sz w:val="20"/>
                      <w:szCs w:val="20"/>
                    </w:rPr>
                    <w:t>/0.8</w:t>
                  </w:r>
                  <w:r>
                    <w:rPr>
                      <w:rFonts w:ascii="Times New Roman" w:hAnsi="Times New Roman" w:eastAsia="Times New Roman" w:cs="Times New Roman"/>
                      <w:sz w:val="20"/>
                      <w:szCs w:val="20"/>
                    </w:rPr>
                    <w:t>kV</w:t>
                  </w:r>
                </w:p>
              </w:tc>
              <w:tc>
                <w:tcPr>
                  <w:tcW w:w="1127" w:type="dxa"/>
                  <w:vMerge w:val="continue"/>
                  <w:tcBorders>
                    <w:top w:val="nil"/>
                    <w:bottom w:val="nil"/>
                  </w:tcBorders>
                  <w:vAlign w:val="top"/>
                </w:tcPr>
                <w:p w14:paraId="6E5C3D32">
                  <w:pPr>
                    <w:rPr>
                      <w:rFonts w:ascii="Arial"/>
                      <w:sz w:val="21"/>
                    </w:rPr>
                  </w:pPr>
                </w:p>
              </w:tc>
            </w:tr>
            <w:tr w14:paraId="51772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393" w:type="dxa"/>
                  <w:vMerge w:val="continue"/>
                  <w:tcBorders>
                    <w:top w:val="nil"/>
                  </w:tcBorders>
                  <w:vAlign w:val="top"/>
                </w:tcPr>
                <w:p w14:paraId="3BA56DAB">
                  <w:pPr>
                    <w:rPr>
                      <w:rFonts w:ascii="Arial"/>
                      <w:sz w:val="21"/>
                    </w:rPr>
                  </w:pPr>
                </w:p>
              </w:tc>
              <w:tc>
                <w:tcPr>
                  <w:tcW w:w="5630" w:type="dxa"/>
                  <w:vAlign w:val="top"/>
                </w:tcPr>
                <w:p w14:paraId="638C386E">
                  <w:pPr>
                    <w:pStyle w:val="6"/>
                    <w:spacing w:before="48" w:line="233" w:lineRule="auto"/>
                    <w:ind w:left="2587" w:hanging="2578"/>
                    <w:rPr>
                      <w:sz w:val="20"/>
                      <w:szCs w:val="20"/>
                    </w:rPr>
                  </w:pPr>
                  <w:r>
                    <w:rPr>
                      <w:spacing w:val="-1"/>
                      <w:sz w:val="20"/>
                      <w:szCs w:val="20"/>
                    </w:rPr>
                    <w:t>含纵向加密、环网交换机</w:t>
                  </w:r>
                  <w:r>
                    <w:rPr>
                      <w:spacing w:val="-17"/>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8"/>
                      <w:sz w:val="20"/>
                      <w:szCs w:val="20"/>
                    </w:rPr>
                    <w:t xml:space="preserve"> </w:t>
                  </w:r>
                  <w:r>
                    <w:rPr>
                      <w:spacing w:val="-1"/>
                      <w:sz w:val="20"/>
                      <w:szCs w:val="20"/>
                    </w:rPr>
                    <w:t>台，三合一箱变测控，</w:t>
                  </w:r>
                  <w:r>
                    <w:rPr>
                      <w:rFonts w:ascii="Times New Roman" w:hAnsi="Times New Roman" w:eastAsia="Times New Roman" w:cs="Times New Roman"/>
                      <w:spacing w:val="-1"/>
                      <w:sz w:val="20"/>
                      <w:szCs w:val="20"/>
                    </w:rPr>
                    <w:t xml:space="preserve">5KVA </w:t>
                  </w:r>
                  <w:r>
                    <w:rPr>
                      <w:spacing w:val="-1"/>
                      <w:sz w:val="20"/>
                      <w:szCs w:val="20"/>
                    </w:rPr>
                    <w:t>干变，</w:t>
                  </w:r>
                  <w:r>
                    <w:rPr>
                      <w:sz w:val="20"/>
                      <w:szCs w:val="20"/>
                    </w:rPr>
                    <w:t xml:space="preserve"> </w:t>
                  </w:r>
                  <w:r>
                    <w:rPr>
                      <w:spacing w:val="2"/>
                      <w:sz w:val="20"/>
                      <w:szCs w:val="20"/>
                    </w:rPr>
                    <w:t>华变</w:t>
                  </w:r>
                </w:p>
              </w:tc>
              <w:tc>
                <w:tcPr>
                  <w:tcW w:w="1127" w:type="dxa"/>
                  <w:vMerge w:val="continue"/>
                  <w:tcBorders>
                    <w:top w:val="nil"/>
                  </w:tcBorders>
                  <w:vAlign w:val="top"/>
                </w:tcPr>
                <w:p w14:paraId="7D916770">
                  <w:pPr>
                    <w:rPr>
                      <w:rFonts w:ascii="Arial"/>
                      <w:sz w:val="21"/>
                    </w:rPr>
                  </w:pPr>
                </w:p>
              </w:tc>
            </w:tr>
            <w:tr w14:paraId="42FAF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393" w:type="dxa"/>
                  <w:tcBorders>
                    <w:bottom w:val="nil"/>
                  </w:tcBorders>
                  <w:vAlign w:val="top"/>
                </w:tcPr>
                <w:p w14:paraId="2CCE5567">
                  <w:pPr>
                    <w:pStyle w:val="6"/>
                    <w:spacing w:before="61" w:line="228" w:lineRule="auto"/>
                    <w:ind w:left="104"/>
                    <w:rPr>
                      <w:sz w:val="20"/>
                      <w:szCs w:val="20"/>
                    </w:rPr>
                  </w:pPr>
                  <w:r>
                    <w:rPr>
                      <w:rFonts w:ascii="Times New Roman" w:hAnsi="Times New Roman" w:eastAsia="Times New Roman" w:cs="Times New Roman"/>
                      <w:spacing w:val="10"/>
                      <w:sz w:val="20"/>
                      <w:szCs w:val="20"/>
                    </w:rPr>
                    <w:t>2100</w:t>
                  </w:r>
                  <w:r>
                    <w:rPr>
                      <w:rFonts w:ascii="Times New Roman" w:hAnsi="Times New Roman" w:eastAsia="Times New Roman" w:cs="Times New Roman"/>
                      <w:sz w:val="20"/>
                      <w:szCs w:val="20"/>
                    </w:rPr>
                    <w:t>KVA</w:t>
                  </w:r>
                  <w:r>
                    <w:rPr>
                      <w:rFonts w:ascii="Times New Roman" w:hAnsi="Times New Roman" w:eastAsia="Times New Roman" w:cs="Times New Roman"/>
                      <w:spacing w:val="23"/>
                      <w:w w:val="101"/>
                      <w:sz w:val="20"/>
                      <w:szCs w:val="20"/>
                    </w:rPr>
                    <w:t xml:space="preserve"> </w:t>
                  </w:r>
                  <w:r>
                    <w:rPr>
                      <w:spacing w:val="10"/>
                      <w:sz w:val="20"/>
                      <w:szCs w:val="20"/>
                    </w:rPr>
                    <w:t>箱</w:t>
                  </w:r>
                </w:p>
              </w:tc>
              <w:tc>
                <w:tcPr>
                  <w:tcW w:w="5630" w:type="dxa"/>
                  <w:vAlign w:val="top"/>
                </w:tcPr>
                <w:p w14:paraId="0EA92227">
                  <w:pPr>
                    <w:pStyle w:val="6"/>
                    <w:spacing w:before="49" w:line="228" w:lineRule="auto"/>
                    <w:ind w:left="1313"/>
                    <w:rPr>
                      <w:rFonts w:ascii="Times New Roman" w:hAnsi="Times New Roman" w:eastAsia="Times New Roman" w:cs="Times New Roman"/>
                      <w:sz w:val="20"/>
                      <w:szCs w:val="20"/>
                    </w:rPr>
                  </w:pPr>
                  <w:r>
                    <w:rPr>
                      <w:spacing w:val="10"/>
                      <w:sz w:val="20"/>
                      <w:szCs w:val="20"/>
                    </w:rPr>
                    <w:t>电压等级</w:t>
                  </w:r>
                  <w:r>
                    <w:rPr>
                      <w:rFonts w:ascii="Times New Roman" w:hAnsi="Times New Roman" w:eastAsia="Times New Roman" w:cs="Times New Roman"/>
                      <w:spacing w:val="10"/>
                      <w:sz w:val="20"/>
                      <w:szCs w:val="20"/>
                    </w:rPr>
                    <w:t>/</w:t>
                  </w:r>
                  <w:r>
                    <w:rPr>
                      <w:spacing w:val="10"/>
                      <w:sz w:val="20"/>
                      <w:szCs w:val="20"/>
                    </w:rPr>
                    <w:t>容量：</w:t>
                  </w:r>
                  <w:r>
                    <w:rPr>
                      <w:spacing w:val="-48"/>
                      <w:sz w:val="20"/>
                      <w:szCs w:val="20"/>
                    </w:rPr>
                    <w:t xml:space="preserve"> </w:t>
                  </w:r>
                  <w:r>
                    <w:rPr>
                      <w:rFonts w:ascii="Times New Roman" w:hAnsi="Times New Roman" w:eastAsia="Times New Roman" w:cs="Times New Roman"/>
                      <w:spacing w:val="10"/>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0"/>
                      <w:sz w:val="20"/>
                      <w:szCs w:val="20"/>
                    </w:rPr>
                    <w:t>/2100</w:t>
                  </w:r>
                  <w:r>
                    <w:rPr>
                      <w:rFonts w:ascii="Times New Roman" w:hAnsi="Times New Roman" w:eastAsia="Times New Roman" w:cs="Times New Roman"/>
                      <w:sz w:val="20"/>
                      <w:szCs w:val="20"/>
                    </w:rPr>
                    <w:t>KVA</w:t>
                  </w:r>
                </w:p>
              </w:tc>
              <w:tc>
                <w:tcPr>
                  <w:tcW w:w="1127" w:type="dxa"/>
                  <w:tcBorders>
                    <w:bottom w:val="nil"/>
                  </w:tcBorders>
                  <w:vAlign w:val="top"/>
                </w:tcPr>
                <w:p w14:paraId="61ED1485">
                  <w:pPr>
                    <w:rPr>
                      <w:rFonts w:ascii="Arial"/>
                      <w:sz w:val="21"/>
                    </w:rPr>
                  </w:pPr>
                </w:p>
              </w:tc>
            </w:tr>
          </w:tbl>
          <w:p w14:paraId="16773CD0">
            <w:pPr>
              <w:spacing w:line="98" w:lineRule="auto"/>
              <w:rPr>
                <w:rFonts w:ascii="Arial"/>
                <w:sz w:val="2"/>
              </w:rPr>
            </w:pPr>
          </w:p>
        </w:tc>
      </w:tr>
    </w:tbl>
    <w:p w14:paraId="2A703DB3">
      <w:pPr>
        <w:rPr>
          <w:rFonts w:ascii="Arial"/>
          <w:sz w:val="21"/>
        </w:rPr>
      </w:pPr>
    </w:p>
    <w:p w14:paraId="54FFBB6F">
      <w:pPr>
        <w:rPr>
          <w:rFonts w:ascii="Arial" w:hAnsi="Arial" w:eastAsia="Arial" w:cs="Arial"/>
          <w:sz w:val="21"/>
          <w:szCs w:val="21"/>
        </w:rPr>
        <w:sectPr>
          <w:footerReference r:id="rId57" w:type="default"/>
          <w:pgSz w:w="11906" w:h="16839"/>
          <w:pgMar w:top="1431" w:right="1415" w:bottom="1278" w:left="1415" w:header="0" w:footer="1116" w:gutter="0"/>
          <w:cols w:space="720" w:num="1"/>
        </w:sectPr>
      </w:pPr>
    </w:p>
    <w:p w14:paraId="15F173F9">
      <w:pPr>
        <w:spacing w:line="99" w:lineRule="exact"/>
      </w:pPr>
    </w:p>
    <w:tbl>
      <w:tblPr>
        <w:tblStyle w:val="5"/>
        <w:tblW w:w="906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9"/>
        <w:gridCol w:w="8371"/>
      </w:tblGrid>
      <w:tr w14:paraId="2697F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82" w:hRule="atLeast"/>
        </w:trPr>
        <w:tc>
          <w:tcPr>
            <w:tcW w:w="689" w:type="dxa"/>
            <w:tcBorders>
              <w:top w:val="single" w:color="000000" w:sz="4" w:space="0"/>
              <w:right w:val="single" w:color="000000" w:sz="2" w:space="0"/>
            </w:tcBorders>
            <w:vAlign w:val="top"/>
          </w:tcPr>
          <w:p w14:paraId="1F27ADB7">
            <w:pPr>
              <w:rPr>
                <w:rFonts w:ascii="Arial"/>
                <w:sz w:val="21"/>
              </w:rPr>
            </w:pPr>
          </w:p>
        </w:tc>
        <w:tc>
          <w:tcPr>
            <w:tcW w:w="8371" w:type="dxa"/>
            <w:tcBorders>
              <w:top w:val="single" w:color="000000" w:sz="4" w:space="0"/>
              <w:left w:val="single" w:color="000000" w:sz="2" w:space="0"/>
            </w:tcBorders>
            <w:vAlign w:val="top"/>
          </w:tcPr>
          <w:tbl>
            <w:tblPr>
              <w:tblStyle w:val="5"/>
              <w:tblW w:w="8150"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3"/>
              <w:gridCol w:w="5630"/>
              <w:gridCol w:w="1127"/>
            </w:tblGrid>
            <w:tr w14:paraId="6BABE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93" w:type="dxa"/>
                  <w:tcBorders>
                    <w:top w:val="nil"/>
                  </w:tcBorders>
                  <w:vAlign w:val="top"/>
                </w:tcPr>
                <w:p w14:paraId="3E2B7AB0">
                  <w:pPr>
                    <w:rPr>
                      <w:rFonts w:ascii="Arial"/>
                      <w:sz w:val="21"/>
                    </w:rPr>
                  </w:pPr>
                </w:p>
              </w:tc>
              <w:tc>
                <w:tcPr>
                  <w:tcW w:w="5630" w:type="dxa"/>
                  <w:tcBorders>
                    <w:top w:val="nil"/>
                  </w:tcBorders>
                  <w:vAlign w:val="top"/>
                </w:tcPr>
                <w:p w14:paraId="75808156">
                  <w:pPr>
                    <w:pStyle w:val="6"/>
                    <w:spacing w:before="56" w:line="234" w:lineRule="auto"/>
                    <w:ind w:left="2587" w:hanging="2578"/>
                    <w:rPr>
                      <w:sz w:val="20"/>
                      <w:szCs w:val="20"/>
                    </w:rPr>
                  </w:pPr>
                  <w:r>
                    <w:rPr>
                      <w:spacing w:val="-1"/>
                      <w:sz w:val="20"/>
                      <w:szCs w:val="20"/>
                    </w:rPr>
                    <w:t>含纵向加密、环网交换机</w:t>
                  </w:r>
                  <w:r>
                    <w:rPr>
                      <w:spacing w:val="-17"/>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8"/>
                      <w:sz w:val="20"/>
                      <w:szCs w:val="20"/>
                    </w:rPr>
                    <w:t xml:space="preserve"> </w:t>
                  </w:r>
                  <w:r>
                    <w:rPr>
                      <w:spacing w:val="-1"/>
                      <w:sz w:val="20"/>
                      <w:szCs w:val="20"/>
                    </w:rPr>
                    <w:t>台，三合一箱变测控，</w:t>
                  </w:r>
                  <w:r>
                    <w:rPr>
                      <w:rFonts w:ascii="Times New Roman" w:hAnsi="Times New Roman" w:eastAsia="Times New Roman" w:cs="Times New Roman"/>
                      <w:spacing w:val="-1"/>
                      <w:sz w:val="20"/>
                      <w:szCs w:val="20"/>
                    </w:rPr>
                    <w:t xml:space="preserve">5KVA </w:t>
                  </w:r>
                  <w:r>
                    <w:rPr>
                      <w:spacing w:val="-1"/>
                      <w:sz w:val="20"/>
                      <w:szCs w:val="20"/>
                    </w:rPr>
                    <w:t>干变，</w:t>
                  </w:r>
                  <w:r>
                    <w:rPr>
                      <w:sz w:val="20"/>
                      <w:szCs w:val="20"/>
                    </w:rPr>
                    <w:t xml:space="preserve"> </w:t>
                  </w:r>
                  <w:r>
                    <w:rPr>
                      <w:spacing w:val="2"/>
                      <w:sz w:val="20"/>
                      <w:szCs w:val="20"/>
                    </w:rPr>
                    <w:t>华变</w:t>
                  </w:r>
                </w:p>
              </w:tc>
              <w:tc>
                <w:tcPr>
                  <w:tcW w:w="1127" w:type="dxa"/>
                  <w:tcBorders>
                    <w:top w:val="nil"/>
                  </w:tcBorders>
                  <w:vAlign w:val="top"/>
                </w:tcPr>
                <w:p w14:paraId="762EE9D6">
                  <w:pPr>
                    <w:rPr>
                      <w:rFonts w:ascii="Arial"/>
                      <w:sz w:val="21"/>
                    </w:rPr>
                  </w:pPr>
                </w:p>
              </w:tc>
            </w:tr>
            <w:tr w14:paraId="35988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393" w:type="dxa"/>
                  <w:vMerge w:val="restart"/>
                  <w:tcBorders>
                    <w:bottom w:val="nil"/>
                  </w:tcBorders>
                  <w:vAlign w:val="top"/>
                </w:tcPr>
                <w:p w14:paraId="767FB91E">
                  <w:pPr>
                    <w:spacing w:line="275" w:lineRule="auto"/>
                    <w:rPr>
                      <w:rFonts w:ascii="Arial"/>
                      <w:sz w:val="21"/>
                    </w:rPr>
                  </w:pPr>
                </w:p>
                <w:p w14:paraId="38D53052">
                  <w:pPr>
                    <w:pStyle w:val="6"/>
                    <w:spacing w:before="65"/>
                    <w:ind w:left="252" w:right="125" w:hanging="127"/>
                    <w:rPr>
                      <w:sz w:val="20"/>
                      <w:szCs w:val="20"/>
                    </w:rPr>
                  </w:pPr>
                  <w:r>
                    <w:rPr>
                      <w:rFonts w:ascii="Times New Roman" w:hAnsi="Times New Roman" w:eastAsia="Times New Roman" w:cs="Times New Roman"/>
                      <w:spacing w:val="6"/>
                      <w:sz w:val="20"/>
                      <w:szCs w:val="20"/>
                    </w:rPr>
                    <w:t>1800</w:t>
                  </w:r>
                  <w:r>
                    <w:rPr>
                      <w:rFonts w:ascii="Times New Roman" w:hAnsi="Times New Roman" w:eastAsia="Times New Roman" w:cs="Times New Roman"/>
                      <w:sz w:val="20"/>
                      <w:szCs w:val="20"/>
                    </w:rPr>
                    <w:t>KVA</w:t>
                  </w:r>
                  <w:r>
                    <w:rPr>
                      <w:rFonts w:ascii="Times New Roman" w:hAnsi="Times New Roman" w:eastAsia="Times New Roman" w:cs="Times New Roman"/>
                      <w:spacing w:val="23"/>
                      <w:sz w:val="20"/>
                      <w:szCs w:val="20"/>
                    </w:rPr>
                    <w:t xml:space="preserve"> </w:t>
                  </w:r>
                  <w:r>
                    <w:rPr>
                      <w:spacing w:val="6"/>
                      <w:sz w:val="20"/>
                      <w:szCs w:val="20"/>
                    </w:rPr>
                    <w:t>箱</w:t>
                  </w:r>
                  <w:r>
                    <w:rPr>
                      <w:sz w:val="20"/>
                      <w:szCs w:val="20"/>
                    </w:rPr>
                    <w:t xml:space="preserve"> </w:t>
                  </w:r>
                  <w:r>
                    <w:rPr>
                      <w:spacing w:val="17"/>
                      <w:sz w:val="20"/>
                      <w:szCs w:val="20"/>
                    </w:rPr>
                    <w:t>式变压器</w:t>
                  </w:r>
                </w:p>
              </w:tc>
              <w:tc>
                <w:tcPr>
                  <w:tcW w:w="5630" w:type="dxa"/>
                  <w:vAlign w:val="top"/>
                </w:tcPr>
                <w:p w14:paraId="6DCC6D72">
                  <w:pPr>
                    <w:pStyle w:val="6"/>
                    <w:spacing w:before="44" w:line="218" w:lineRule="auto"/>
                    <w:ind w:left="1313"/>
                    <w:rPr>
                      <w:rFonts w:ascii="Times New Roman" w:hAnsi="Times New Roman" w:eastAsia="Times New Roman" w:cs="Times New Roman"/>
                      <w:sz w:val="20"/>
                      <w:szCs w:val="20"/>
                    </w:rPr>
                  </w:pPr>
                  <w:r>
                    <w:rPr>
                      <w:spacing w:val="10"/>
                      <w:sz w:val="20"/>
                      <w:szCs w:val="20"/>
                    </w:rPr>
                    <w:t>电压等级</w:t>
                  </w:r>
                  <w:r>
                    <w:rPr>
                      <w:rFonts w:ascii="Times New Roman" w:hAnsi="Times New Roman" w:eastAsia="Times New Roman" w:cs="Times New Roman"/>
                      <w:spacing w:val="10"/>
                      <w:sz w:val="20"/>
                      <w:szCs w:val="20"/>
                    </w:rPr>
                    <w:t>/</w:t>
                  </w:r>
                  <w:r>
                    <w:rPr>
                      <w:spacing w:val="10"/>
                      <w:sz w:val="20"/>
                      <w:szCs w:val="20"/>
                    </w:rPr>
                    <w:t>容量：</w:t>
                  </w:r>
                  <w:r>
                    <w:rPr>
                      <w:spacing w:val="-48"/>
                      <w:sz w:val="20"/>
                      <w:szCs w:val="20"/>
                    </w:rPr>
                    <w:t xml:space="preserve"> </w:t>
                  </w:r>
                  <w:r>
                    <w:rPr>
                      <w:rFonts w:ascii="Times New Roman" w:hAnsi="Times New Roman" w:eastAsia="Times New Roman" w:cs="Times New Roman"/>
                      <w:spacing w:val="10"/>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0"/>
                      <w:sz w:val="20"/>
                      <w:szCs w:val="20"/>
                    </w:rPr>
                    <w:t>/1800</w:t>
                  </w:r>
                  <w:r>
                    <w:rPr>
                      <w:rFonts w:ascii="Times New Roman" w:hAnsi="Times New Roman" w:eastAsia="Times New Roman" w:cs="Times New Roman"/>
                      <w:sz w:val="20"/>
                      <w:szCs w:val="20"/>
                    </w:rPr>
                    <w:t>KVA</w:t>
                  </w:r>
                </w:p>
              </w:tc>
              <w:tc>
                <w:tcPr>
                  <w:tcW w:w="1127" w:type="dxa"/>
                  <w:vMerge w:val="restart"/>
                  <w:tcBorders>
                    <w:bottom w:val="nil"/>
                  </w:tcBorders>
                  <w:vAlign w:val="top"/>
                </w:tcPr>
                <w:p w14:paraId="00C8324D">
                  <w:pPr>
                    <w:spacing w:line="409" w:lineRule="auto"/>
                    <w:rPr>
                      <w:rFonts w:ascii="Arial"/>
                      <w:sz w:val="21"/>
                    </w:rPr>
                  </w:pPr>
                </w:p>
                <w:p w14:paraId="669C6A79">
                  <w:pPr>
                    <w:pStyle w:val="6"/>
                    <w:spacing w:before="65" w:line="230" w:lineRule="auto"/>
                    <w:ind w:left="381"/>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8"/>
                      <w:sz w:val="20"/>
                      <w:szCs w:val="20"/>
                    </w:rPr>
                    <w:t xml:space="preserve"> </w:t>
                  </w:r>
                  <w:r>
                    <w:rPr>
                      <w:spacing w:val="-3"/>
                      <w:sz w:val="20"/>
                      <w:szCs w:val="20"/>
                    </w:rPr>
                    <w:t>台</w:t>
                  </w:r>
                </w:p>
              </w:tc>
            </w:tr>
            <w:tr w14:paraId="03E4E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393" w:type="dxa"/>
                  <w:vMerge w:val="continue"/>
                  <w:tcBorders>
                    <w:top w:val="nil"/>
                    <w:bottom w:val="nil"/>
                  </w:tcBorders>
                  <w:vAlign w:val="top"/>
                </w:tcPr>
                <w:p w14:paraId="07281EB7">
                  <w:pPr>
                    <w:rPr>
                      <w:rFonts w:ascii="Arial"/>
                      <w:sz w:val="21"/>
                    </w:rPr>
                  </w:pPr>
                </w:p>
              </w:tc>
              <w:tc>
                <w:tcPr>
                  <w:tcW w:w="5630" w:type="dxa"/>
                  <w:vAlign w:val="top"/>
                </w:tcPr>
                <w:p w14:paraId="4C40A28B">
                  <w:pPr>
                    <w:pStyle w:val="6"/>
                    <w:spacing w:before="46" w:line="216" w:lineRule="auto"/>
                    <w:ind w:left="896"/>
                    <w:rPr>
                      <w:rFonts w:ascii="Times New Roman" w:hAnsi="Times New Roman" w:eastAsia="Times New Roman" w:cs="Times New Roman"/>
                      <w:sz w:val="20"/>
                      <w:szCs w:val="20"/>
                    </w:rPr>
                  </w:pPr>
                  <w:r>
                    <w:rPr>
                      <w:spacing w:val="7"/>
                      <w:sz w:val="20"/>
                      <w:szCs w:val="20"/>
                    </w:rPr>
                    <w:t>型号规格：</w:t>
                  </w:r>
                  <w:r>
                    <w:rPr>
                      <w:spacing w:val="-47"/>
                      <w:sz w:val="20"/>
                      <w:szCs w:val="20"/>
                    </w:rPr>
                    <w:t xml:space="preserve"> </w:t>
                  </w:r>
                  <w:r>
                    <w:rPr>
                      <w:rFonts w:ascii="Times New Roman" w:hAnsi="Times New Roman" w:eastAsia="Times New Roman" w:cs="Times New Roman"/>
                      <w:spacing w:val="7"/>
                      <w:sz w:val="20"/>
                      <w:szCs w:val="20"/>
                    </w:rPr>
                    <w:t>S-1800-</w:t>
                  </w:r>
                  <w:r>
                    <w:rPr>
                      <w:rFonts w:ascii="Times New Roman" w:hAnsi="Times New Roman" w:eastAsia="Times New Roman" w:cs="Times New Roman"/>
                      <w:sz w:val="20"/>
                      <w:szCs w:val="20"/>
                    </w:rPr>
                    <w:t>NX</w:t>
                  </w:r>
                  <w:r>
                    <w:rPr>
                      <w:rFonts w:ascii="Times New Roman" w:hAnsi="Times New Roman" w:eastAsia="Times New Roman" w:cs="Times New Roman"/>
                      <w:spacing w:val="7"/>
                      <w:sz w:val="20"/>
                      <w:szCs w:val="20"/>
                    </w:rPr>
                    <w:t>237</w:t>
                  </w:r>
                  <w:r>
                    <w:rPr>
                      <w:spacing w:val="7"/>
                      <w:sz w:val="20"/>
                      <w:szCs w:val="20"/>
                    </w:rPr>
                    <w:t>±</w:t>
                  </w:r>
                  <w:r>
                    <w:rPr>
                      <w:rFonts w:ascii="Times New Roman" w:hAnsi="Times New Roman" w:eastAsia="Times New Roman" w:cs="Times New Roman"/>
                      <w:spacing w:val="7"/>
                      <w:sz w:val="20"/>
                      <w:szCs w:val="20"/>
                    </w:rPr>
                    <w:t>2x2.5%</w:t>
                  </w:r>
                  <w:r>
                    <w:rPr>
                      <w:rFonts w:ascii="Times New Roman" w:hAnsi="Times New Roman" w:eastAsia="Times New Roman" w:cs="Times New Roman"/>
                      <w:spacing w:val="6"/>
                      <w:sz w:val="20"/>
                      <w:szCs w:val="20"/>
                    </w:rPr>
                    <w:t>/0.8</w:t>
                  </w:r>
                  <w:r>
                    <w:rPr>
                      <w:rFonts w:ascii="Times New Roman" w:hAnsi="Times New Roman" w:eastAsia="Times New Roman" w:cs="Times New Roman"/>
                      <w:sz w:val="20"/>
                      <w:szCs w:val="20"/>
                    </w:rPr>
                    <w:t>kV</w:t>
                  </w:r>
                </w:p>
              </w:tc>
              <w:tc>
                <w:tcPr>
                  <w:tcW w:w="1127" w:type="dxa"/>
                  <w:vMerge w:val="continue"/>
                  <w:tcBorders>
                    <w:top w:val="nil"/>
                    <w:bottom w:val="nil"/>
                  </w:tcBorders>
                  <w:vAlign w:val="top"/>
                </w:tcPr>
                <w:p w14:paraId="464100D3">
                  <w:pPr>
                    <w:rPr>
                      <w:rFonts w:ascii="Arial"/>
                      <w:sz w:val="21"/>
                    </w:rPr>
                  </w:pPr>
                </w:p>
              </w:tc>
            </w:tr>
            <w:tr w14:paraId="4FFA3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393" w:type="dxa"/>
                  <w:vMerge w:val="continue"/>
                  <w:tcBorders>
                    <w:top w:val="nil"/>
                  </w:tcBorders>
                  <w:vAlign w:val="top"/>
                </w:tcPr>
                <w:p w14:paraId="5CCB9B58">
                  <w:pPr>
                    <w:rPr>
                      <w:rFonts w:ascii="Arial"/>
                      <w:sz w:val="21"/>
                    </w:rPr>
                  </w:pPr>
                </w:p>
              </w:tc>
              <w:tc>
                <w:tcPr>
                  <w:tcW w:w="5630" w:type="dxa"/>
                  <w:vAlign w:val="top"/>
                </w:tcPr>
                <w:p w14:paraId="3E1DFC11">
                  <w:pPr>
                    <w:pStyle w:val="6"/>
                    <w:spacing w:before="46" w:line="234" w:lineRule="auto"/>
                    <w:ind w:left="2587" w:hanging="2578"/>
                    <w:rPr>
                      <w:sz w:val="20"/>
                      <w:szCs w:val="20"/>
                    </w:rPr>
                  </w:pPr>
                  <w:r>
                    <w:rPr>
                      <w:spacing w:val="-1"/>
                      <w:sz w:val="20"/>
                      <w:szCs w:val="20"/>
                    </w:rPr>
                    <w:t>含纵向加密、环网交换机</w:t>
                  </w:r>
                  <w:r>
                    <w:rPr>
                      <w:spacing w:val="-17"/>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8"/>
                      <w:sz w:val="20"/>
                      <w:szCs w:val="20"/>
                    </w:rPr>
                    <w:t xml:space="preserve"> </w:t>
                  </w:r>
                  <w:r>
                    <w:rPr>
                      <w:spacing w:val="-1"/>
                      <w:sz w:val="20"/>
                      <w:szCs w:val="20"/>
                    </w:rPr>
                    <w:t>台，三合一箱变测控，</w:t>
                  </w:r>
                  <w:r>
                    <w:rPr>
                      <w:rFonts w:ascii="Times New Roman" w:hAnsi="Times New Roman" w:eastAsia="Times New Roman" w:cs="Times New Roman"/>
                      <w:spacing w:val="-1"/>
                      <w:sz w:val="20"/>
                      <w:szCs w:val="20"/>
                    </w:rPr>
                    <w:t xml:space="preserve">5KVA </w:t>
                  </w:r>
                  <w:r>
                    <w:rPr>
                      <w:spacing w:val="-1"/>
                      <w:sz w:val="20"/>
                      <w:szCs w:val="20"/>
                    </w:rPr>
                    <w:t>干变，</w:t>
                  </w:r>
                  <w:r>
                    <w:rPr>
                      <w:sz w:val="20"/>
                      <w:szCs w:val="20"/>
                    </w:rPr>
                    <w:t xml:space="preserve"> </w:t>
                  </w:r>
                  <w:r>
                    <w:rPr>
                      <w:spacing w:val="2"/>
                      <w:sz w:val="20"/>
                      <w:szCs w:val="20"/>
                    </w:rPr>
                    <w:t>华变</w:t>
                  </w:r>
                </w:p>
              </w:tc>
              <w:tc>
                <w:tcPr>
                  <w:tcW w:w="1127" w:type="dxa"/>
                  <w:vMerge w:val="continue"/>
                  <w:tcBorders>
                    <w:top w:val="nil"/>
                  </w:tcBorders>
                  <w:vAlign w:val="top"/>
                </w:tcPr>
                <w:p w14:paraId="2AC7875A">
                  <w:pPr>
                    <w:rPr>
                      <w:rFonts w:ascii="Arial"/>
                      <w:sz w:val="21"/>
                    </w:rPr>
                  </w:pPr>
                </w:p>
              </w:tc>
            </w:tr>
            <w:tr w14:paraId="773BA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393" w:type="dxa"/>
                  <w:vMerge w:val="restart"/>
                  <w:tcBorders>
                    <w:bottom w:val="nil"/>
                  </w:tcBorders>
                  <w:vAlign w:val="top"/>
                </w:tcPr>
                <w:p w14:paraId="56D7F585">
                  <w:pPr>
                    <w:spacing w:line="277" w:lineRule="auto"/>
                    <w:rPr>
                      <w:rFonts w:ascii="Arial"/>
                      <w:sz w:val="21"/>
                    </w:rPr>
                  </w:pPr>
                </w:p>
                <w:p w14:paraId="4C8D94A6">
                  <w:pPr>
                    <w:pStyle w:val="6"/>
                    <w:spacing w:before="65"/>
                    <w:ind w:left="252" w:right="125" w:hanging="127"/>
                    <w:rPr>
                      <w:sz w:val="20"/>
                      <w:szCs w:val="20"/>
                    </w:rPr>
                  </w:pPr>
                  <w:r>
                    <w:rPr>
                      <w:rFonts w:ascii="Times New Roman" w:hAnsi="Times New Roman" w:eastAsia="Times New Roman" w:cs="Times New Roman"/>
                      <w:spacing w:val="6"/>
                      <w:sz w:val="20"/>
                      <w:szCs w:val="20"/>
                    </w:rPr>
                    <w:t>1200</w:t>
                  </w:r>
                  <w:r>
                    <w:rPr>
                      <w:rFonts w:ascii="Times New Roman" w:hAnsi="Times New Roman" w:eastAsia="Times New Roman" w:cs="Times New Roman"/>
                      <w:sz w:val="20"/>
                      <w:szCs w:val="20"/>
                    </w:rPr>
                    <w:t>KVA</w:t>
                  </w:r>
                  <w:r>
                    <w:rPr>
                      <w:rFonts w:ascii="Times New Roman" w:hAnsi="Times New Roman" w:eastAsia="Times New Roman" w:cs="Times New Roman"/>
                      <w:spacing w:val="23"/>
                      <w:sz w:val="20"/>
                      <w:szCs w:val="20"/>
                    </w:rPr>
                    <w:t xml:space="preserve"> </w:t>
                  </w:r>
                  <w:r>
                    <w:rPr>
                      <w:spacing w:val="6"/>
                      <w:sz w:val="20"/>
                      <w:szCs w:val="20"/>
                    </w:rPr>
                    <w:t>箱</w:t>
                  </w:r>
                  <w:r>
                    <w:rPr>
                      <w:sz w:val="20"/>
                      <w:szCs w:val="20"/>
                    </w:rPr>
                    <w:t xml:space="preserve"> </w:t>
                  </w:r>
                  <w:r>
                    <w:rPr>
                      <w:spacing w:val="17"/>
                      <w:sz w:val="20"/>
                      <w:szCs w:val="20"/>
                    </w:rPr>
                    <w:t>式变压器</w:t>
                  </w:r>
                </w:p>
              </w:tc>
              <w:tc>
                <w:tcPr>
                  <w:tcW w:w="5630" w:type="dxa"/>
                  <w:vAlign w:val="top"/>
                </w:tcPr>
                <w:p w14:paraId="26D4035A">
                  <w:pPr>
                    <w:pStyle w:val="6"/>
                    <w:spacing w:before="46" w:line="216" w:lineRule="auto"/>
                    <w:ind w:left="1313"/>
                    <w:rPr>
                      <w:rFonts w:ascii="Times New Roman" w:hAnsi="Times New Roman" w:eastAsia="Times New Roman" w:cs="Times New Roman"/>
                      <w:sz w:val="20"/>
                      <w:szCs w:val="20"/>
                    </w:rPr>
                  </w:pPr>
                  <w:r>
                    <w:rPr>
                      <w:spacing w:val="10"/>
                      <w:sz w:val="20"/>
                      <w:szCs w:val="20"/>
                    </w:rPr>
                    <w:t>电压等级</w:t>
                  </w:r>
                  <w:r>
                    <w:rPr>
                      <w:rFonts w:ascii="Times New Roman" w:hAnsi="Times New Roman" w:eastAsia="Times New Roman" w:cs="Times New Roman"/>
                      <w:spacing w:val="10"/>
                      <w:sz w:val="20"/>
                      <w:szCs w:val="20"/>
                    </w:rPr>
                    <w:t>/</w:t>
                  </w:r>
                  <w:r>
                    <w:rPr>
                      <w:spacing w:val="10"/>
                      <w:sz w:val="20"/>
                      <w:szCs w:val="20"/>
                    </w:rPr>
                    <w:t>容量：</w:t>
                  </w:r>
                  <w:r>
                    <w:rPr>
                      <w:spacing w:val="-48"/>
                      <w:sz w:val="20"/>
                      <w:szCs w:val="20"/>
                    </w:rPr>
                    <w:t xml:space="preserve"> </w:t>
                  </w:r>
                  <w:r>
                    <w:rPr>
                      <w:rFonts w:ascii="Times New Roman" w:hAnsi="Times New Roman" w:eastAsia="Times New Roman" w:cs="Times New Roman"/>
                      <w:spacing w:val="10"/>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0"/>
                      <w:sz w:val="20"/>
                      <w:szCs w:val="20"/>
                    </w:rPr>
                    <w:t>/1200</w:t>
                  </w:r>
                  <w:r>
                    <w:rPr>
                      <w:rFonts w:ascii="Times New Roman" w:hAnsi="Times New Roman" w:eastAsia="Times New Roman" w:cs="Times New Roman"/>
                      <w:sz w:val="20"/>
                      <w:szCs w:val="20"/>
                    </w:rPr>
                    <w:t>KVA</w:t>
                  </w:r>
                </w:p>
              </w:tc>
              <w:tc>
                <w:tcPr>
                  <w:tcW w:w="1127" w:type="dxa"/>
                  <w:vMerge w:val="restart"/>
                  <w:tcBorders>
                    <w:bottom w:val="nil"/>
                  </w:tcBorders>
                  <w:vAlign w:val="top"/>
                </w:tcPr>
                <w:p w14:paraId="027C1B5F">
                  <w:pPr>
                    <w:spacing w:line="411" w:lineRule="auto"/>
                    <w:rPr>
                      <w:rFonts w:ascii="Arial"/>
                      <w:sz w:val="21"/>
                    </w:rPr>
                  </w:pPr>
                </w:p>
                <w:p w14:paraId="78D68CA9">
                  <w:pPr>
                    <w:pStyle w:val="6"/>
                    <w:spacing w:before="65" w:line="230" w:lineRule="auto"/>
                    <w:ind w:left="375"/>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8"/>
                      <w:sz w:val="20"/>
                      <w:szCs w:val="20"/>
                    </w:rPr>
                    <w:t xml:space="preserve"> </w:t>
                  </w:r>
                  <w:r>
                    <w:rPr>
                      <w:sz w:val="20"/>
                      <w:szCs w:val="20"/>
                    </w:rPr>
                    <w:t>台</w:t>
                  </w:r>
                </w:p>
              </w:tc>
            </w:tr>
            <w:tr w14:paraId="04F4E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393" w:type="dxa"/>
                  <w:vMerge w:val="continue"/>
                  <w:tcBorders>
                    <w:top w:val="nil"/>
                    <w:bottom w:val="nil"/>
                  </w:tcBorders>
                  <w:vAlign w:val="top"/>
                </w:tcPr>
                <w:p w14:paraId="4EABB747">
                  <w:pPr>
                    <w:rPr>
                      <w:rFonts w:ascii="Arial"/>
                      <w:sz w:val="21"/>
                    </w:rPr>
                  </w:pPr>
                </w:p>
              </w:tc>
              <w:tc>
                <w:tcPr>
                  <w:tcW w:w="5630" w:type="dxa"/>
                  <w:vAlign w:val="top"/>
                </w:tcPr>
                <w:p w14:paraId="4DE8BE24">
                  <w:pPr>
                    <w:pStyle w:val="6"/>
                    <w:spacing w:before="49" w:line="214" w:lineRule="auto"/>
                    <w:ind w:left="896"/>
                    <w:rPr>
                      <w:rFonts w:ascii="Times New Roman" w:hAnsi="Times New Roman" w:eastAsia="Times New Roman" w:cs="Times New Roman"/>
                      <w:sz w:val="20"/>
                      <w:szCs w:val="20"/>
                    </w:rPr>
                  </w:pPr>
                  <w:r>
                    <w:rPr>
                      <w:spacing w:val="7"/>
                      <w:sz w:val="20"/>
                      <w:szCs w:val="20"/>
                    </w:rPr>
                    <w:t>型号规格：</w:t>
                  </w:r>
                  <w:r>
                    <w:rPr>
                      <w:spacing w:val="-47"/>
                      <w:sz w:val="20"/>
                      <w:szCs w:val="20"/>
                    </w:rPr>
                    <w:t xml:space="preserve"> </w:t>
                  </w:r>
                  <w:r>
                    <w:rPr>
                      <w:rFonts w:ascii="Times New Roman" w:hAnsi="Times New Roman" w:eastAsia="Times New Roman" w:cs="Times New Roman"/>
                      <w:spacing w:val="7"/>
                      <w:sz w:val="20"/>
                      <w:szCs w:val="20"/>
                    </w:rPr>
                    <w:t>S-1200-</w:t>
                  </w:r>
                  <w:r>
                    <w:rPr>
                      <w:rFonts w:ascii="Times New Roman" w:hAnsi="Times New Roman" w:eastAsia="Times New Roman" w:cs="Times New Roman"/>
                      <w:sz w:val="20"/>
                      <w:szCs w:val="20"/>
                    </w:rPr>
                    <w:t>NX</w:t>
                  </w:r>
                  <w:r>
                    <w:rPr>
                      <w:rFonts w:ascii="Times New Roman" w:hAnsi="Times New Roman" w:eastAsia="Times New Roman" w:cs="Times New Roman"/>
                      <w:spacing w:val="7"/>
                      <w:sz w:val="20"/>
                      <w:szCs w:val="20"/>
                    </w:rPr>
                    <w:t>237</w:t>
                  </w:r>
                  <w:r>
                    <w:rPr>
                      <w:spacing w:val="7"/>
                      <w:sz w:val="20"/>
                      <w:szCs w:val="20"/>
                    </w:rPr>
                    <w:t>±</w:t>
                  </w:r>
                  <w:r>
                    <w:rPr>
                      <w:rFonts w:ascii="Times New Roman" w:hAnsi="Times New Roman" w:eastAsia="Times New Roman" w:cs="Times New Roman"/>
                      <w:spacing w:val="7"/>
                      <w:sz w:val="20"/>
                      <w:szCs w:val="20"/>
                    </w:rPr>
                    <w:t>2x2.5%</w:t>
                  </w:r>
                  <w:r>
                    <w:rPr>
                      <w:rFonts w:ascii="Times New Roman" w:hAnsi="Times New Roman" w:eastAsia="Times New Roman" w:cs="Times New Roman"/>
                      <w:spacing w:val="6"/>
                      <w:sz w:val="20"/>
                      <w:szCs w:val="20"/>
                    </w:rPr>
                    <w:t>/0.8</w:t>
                  </w:r>
                  <w:r>
                    <w:rPr>
                      <w:rFonts w:ascii="Times New Roman" w:hAnsi="Times New Roman" w:eastAsia="Times New Roman" w:cs="Times New Roman"/>
                      <w:sz w:val="20"/>
                      <w:szCs w:val="20"/>
                    </w:rPr>
                    <w:t>kV</w:t>
                  </w:r>
                </w:p>
              </w:tc>
              <w:tc>
                <w:tcPr>
                  <w:tcW w:w="1127" w:type="dxa"/>
                  <w:vMerge w:val="continue"/>
                  <w:tcBorders>
                    <w:top w:val="nil"/>
                    <w:bottom w:val="nil"/>
                  </w:tcBorders>
                  <w:vAlign w:val="top"/>
                </w:tcPr>
                <w:p w14:paraId="15990F1E">
                  <w:pPr>
                    <w:rPr>
                      <w:rFonts w:ascii="Arial"/>
                      <w:sz w:val="21"/>
                    </w:rPr>
                  </w:pPr>
                </w:p>
              </w:tc>
            </w:tr>
            <w:tr w14:paraId="56656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93" w:type="dxa"/>
                  <w:vMerge w:val="continue"/>
                  <w:tcBorders>
                    <w:top w:val="nil"/>
                  </w:tcBorders>
                  <w:vAlign w:val="top"/>
                </w:tcPr>
                <w:p w14:paraId="0C710E55">
                  <w:pPr>
                    <w:rPr>
                      <w:rFonts w:ascii="Arial"/>
                      <w:sz w:val="21"/>
                    </w:rPr>
                  </w:pPr>
                </w:p>
              </w:tc>
              <w:tc>
                <w:tcPr>
                  <w:tcW w:w="5630" w:type="dxa"/>
                  <w:vAlign w:val="top"/>
                </w:tcPr>
                <w:p w14:paraId="3F778870">
                  <w:pPr>
                    <w:pStyle w:val="6"/>
                    <w:spacing w:before="49" w:line="232" w:lineRule="auto"/>
                    <w:ind w:left="2587" w:hanging="2578"/>
                    <w:rPr>
                      <w:sz w:val="20"/>
                      <w:szCs w:val="20"/>
                    </w:rPr>
                  </w:pPr>
                  <w:r>
                    <w:rPr>
                      <w:spacing w:val="-1"/>
                      <w:sz w:val="20"/>
                      <w:szCs w:val="20"/>
                    </w:rPr>
                    <w:t>含纵向加密、环网交换机</w:t>
                  </w:r>
                  <w:r>
                    <w:rPr>
                      <w:spacing w:val="-17"/>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8"/>
                      <w:sz w:val="20"/>
                      <w:szCs w:val="20"/>
                    </w:rPr>
                    <w:t xml:space="preserve"> </w:t>
                  </w:r>
                  <w:r>
                    <w:rPr>
                      <w:spacing w:val="-1"/>
                      <w:sz w:val="20"/>
                      <w:szCs w:val="20"/>
                    </w:rPr>
                    <w:t>台，三合一箱变测控，</w:t>
                  </w:r>
                  <w:r>
                    <w:rPr>
                      <w:rFonts w:ascii="Times New Roman" w:hAnsi="Times New Roman" w:eastAsia="Times New Roman" w:cs="Times New Roman"/>
                      <w:spacing w:val="-1"/>
                      <w:sz w:val="20"/>
                      <w:szCs w:val="20"/>
                    </w:rPr>
                    <w:t xml:space="preserve">5KVA </w:t>
                  </w:r>
                  <w:r>
                    <w:rPr>
                      <w:spacing w:val="-1"/>
                      <w:sz w:val="20"/>
                      <w:szCs w:val="20"/>
                    </w:rPr>
                    <w:t>干变，</w:t>
                  </w:r>
                  <w:r>
                    <w:rPr>
                      <w:sz w:val="20"/>
                      <w:szCs w:val="20"/>
                    </w:rPr>
                    <w:t xml:space="preserve"> </w:t>
                  </w:r>
                  <w:r>
                    <w:rPr>
                      <w:spacing w:val="2"/>
                      <w:sz w:val="20"/>
                      <w:szCs w:val="20"/>
                    </w:rPr>
                    <w:t>华变</w:t>
                  </w:r>
                </w:p>
              </w:tc>
              <w:tc>
                <w:tcPr>
                  <w:tcW w:w="1127" w:type="dxa"/>
                  <w:vMerge w:val="continue"/>
                  <w:tcBorders>
                    <w:top w:val="nil"/>
                  </w:tcBorders>
                  <w:vAlign w:val="top"/>
                </w:tcPr>
                <w:p w14:paraId="696CDCE4">
                  <w:pPr>
                    <w:rPr>
                      <w:rFonts w:ascii="Arial"/>
                      <w:sz w:val="21"/>
                    </w:rPr>
                  </w:pPr>
                </w:p>
              </w:tc>
            </w:tr>
            <w:tr w14:paraId="36BEB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393" w:type="dxa"/>
                  <w:vMerge w:val="restart"/>
                  <w:tcBorders>
                    <w:bottom w:val="nil"/>
                  </w:tcBorders>
                  <w:vAlign w:val="top"/>
                </w:tcPr>
                <w:p w14:paraId="40D1536C">
                  <w:pPr>
                    <w:spacing w:line="278" w:lineRule="auto"/>
                    <w:rPr>
                      <w:rFonts w:ascii="Arial"/>
                      <w:sz w:val="21"/>
                    </w:rPr>
                  </w:pPr>
                </w:p>
                <w:p w14:paraId="5246C6EC">
                  <w:pPr>
                    <w:pStyle w:val="6"/>
                    <w:spacing w:before="65" w:line="241" w:lineRule="auto"/>
                    <w:ind w:left="359" w:right="70" w:hanging="306"/>
                    <w:rPr>
                      <w:sz w:val="20"/>
                      <w:szCs w:val="20"/>
                    </w:rPr>
                  </w:pPr>
                  <w:r>
                    <w:rPr>
                      <w:rFonts w:ascii="Times New Roman" w:hAnsi="Times New Roman" w:eastAsia="Times New Roman" w:cs="Times New Roman"/>
                      <w:spacing w:val="12"/>
                      <w:sz w:val="20"/>
                      <w:szCs w:val="20"/>
                    </w:rPr>
                    <w:t>900</w:t>
                  </w:r>
                  <w:r>
                    <w:rPr>
                      <w:rFonts w:ascii="Times New Roman" w:hAnsi="Times New Roman" w:eastAsia="Times New Roman" w:cs="Times New Roman"/>
                      <w:sz w:val="20"/>
                      <w:szCs w:val="20"/>
                    </w:rPr>
                    <w:t>KVA</w:t>
                  </w:r>
                  <w:r>
                    <w:rPr>
                      <w:rFonts w:ascii="Times New Roman" w:hAnsi="Times New Roman" w:eastAsia="Times New Roman" w:cs="Times New Roman"/>
                      <w:spacing w:val="20"/>
                      <w:sz w:val="20"/>
                      <w:szCs w:val="20"/>
                    </w:rPr>
                    <w:t xml:space="preserve"> </w:t>
                  </w:r>
                  <w:r>
                    <w:rPr>
                      <w:spacing w:val="12"/>
                      <w:sz w:val="20"/>
                      <w:szCs w:val="20"/>
                    </w:rPr>
                    <w:t>箱式</w:t>
                  </w:r>
                  <w:r>
                    <w:rPr>
                      <w:sz w:val="20"/>
                      <w:szCs w:val="20"/>
                    </w:rPr>
                    <w:t xml:space="preserve"> </w:t>
                  </w:r>
                  <w:r>
                    <w:rPr>
                      <w:spacing w:val="16"/>
                      <w:sz w:val="20"/>
                      <w:szCs w:val="20"/>
                    </w:rPr>
                    <w:t>变压器</w:t>
                  </w:r>
                </w:p>
              </w:tc>
              <w:tc>
                <w:tcPr>
                  <w:tcW w:w="5630" w:type="dxa"/>
                  <w:vAlign w:val="top"/>
                </w:tcPr>
                <w:p w14:paraId="6C22BD7E">
                  <w:pPr>
                    <w:pStyle w:val="6"/>
                    <w:spacing w:before="50" w:line="214" w:lineRule="auto"/>
                    <w:ind w:left="1365"/>
                    <w:rPr>
                      <w:rFonts w:ascii="Times New Roman" w:hAnsi="Times New Roman" w:eastAsia="Times New Roman" w:cs="Times New Roman"/>
                      <w:sz w:val="20"/>
                      <w:szCs w:val="20"/>
                    </w:rPr>
                  </w:pPr>
                  <w:r>
                    <w:rPr>
                      <w:spacing w:val="10"/>
                      <w:sz w:val="20"/>
                      <w:szCs w:val="20"/>
                    </w:rPr>
                    <w:t>电压等级</w:t>
                  </w:r>
                  <w:r>
                    <w:rPr>
                      <w:rFonts w:ascii="Times New Roman" w:hAnsi="Times New Roman" w:eastAsia="Times New Roman" w:cs="Times New Roman"/>
                      <w:spacing w:val="10"/>
                      <w:sz w:val="20"/>
                      <w:szCs w:val="20"/>
                    </w:rPr>
                    <w:t>/</w:t>
                  </w:r>
                  <w:r>
                    <w:rPr>
                      <w:spacing w:val="10"/>
                      <w:sz w:val="20"/>
                      <w:szCs w:val="20"/>
                    </w:rPr>
                    <w:t>容量：</w:t>
                  </w:r>
                  <w:r>
                    <w:rPr>
                      <w:spacing w:val="-41"/>
                      <w:sz w:val="20"/>
                      <w:szCs w:val="20"/>
                    </w:rPr>
                    <w:t xml:space="preserve"> </w:t>
                  </w:r>
                  <w:r>
                    <w:rPr>
                      <w:rFonts w:ascii="Times New Roman" w:hAnsi="Times New Roman" w:eastAsia="Times New Roman" w:cs="Times New Roman"/>
                      <w:spacing w:val="10"/>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0"/>
                      <w:sz w:val="20"/>
                      <w:szCs w:val="20"/>
                    </w:rPr>
                    <w:t>/900</w:t>
                  </w:r>
                  <w:r>
                    <w:rPr>
                      <w:rFonts w:ascii="Times New Roman" w:hAnsi="Times New Roman" w:eastAsia="Times New Roman" w:cs="Times New Roman"/>
                      <w:sz w:val="20"/>
                      <w:szCs w:val="20"/>
                    </w:rPr>
                    <w:t>KVA</w:t>
                  </w:r>
                </w:p>
              </w:tc>
              <w:tc>
                <w:tcPr>
                  <w:tcW w:w="1127" w:type="dxa"/>
                  <w:vMerge w:val="restart"/>
                  <w:tcBorders>
                    <w:bottom w:val="nil"/>
                  </w:tcBorders>
                  <w:vAlign w:val="top"/>
                </w:tcPr>
                <w:p w14:paraId="1372A6E4">
                  <w:pPr>
                    <w:spacing w:line="438" w:lineRule="auto"/>
                    <w:rPr>
                      <w:rFonts w:ascii="Arial"/>
                      <w:sz w:val="21"/>
                    </w:rPr>
                  </w:pPr>
                </w:p>
                <w:p w14:paraId="78C1607E">
                  <w:pPr>
                    <w:pStyle w:val="6"/>
                    <w:spacing w:before="65" w:line="230" w:lineRule="auto"/>
                    <w:ind w:left="389"/>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9"/>
                      <w:sz w:val="20"/>
                      <w:szCs w:val="20"/>
                    </w:rPr>
                    <w:t xml:space="preserve"> </w:t>
                  </w:r>
                  <w:r>
                    <w:rPr>
                      <w:spacing w:val="-3"/>
                      <w:sz w:val="20"/>
                      <w:szCs w:val="20"/>
                    </w:rPr>
                    <w:t>台</w:t>
                  </w:r>
                </w:p>
              </w:tc>
            </w:tr>
            <w:tr w14:paraId="659C1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393" w:type="dxa"/>
                  <w:vMerge w:val="continue"/>
                  <w:tcBorders>
                    <w:top w:val="nil"/>
                    <w:bottom w:val="nil"/>
                  </w:tcBorders>
                  <w:vAlign w:val="top"/>
                </w:tcPr>
                <w:p w14:paraId="0637F1FA">
                  <w:pPr>
                    <w:rPr>
                      <w:rFonts w:ascii="Arial"/>
                      <w:sz w:val="21"/>
                    </w:rPr>
                  </w:pPr>
                </w:p>
              </w:tc>
              <w:tc>
                <w:tcPr>
                  <w:tcW w:w="5630" w:type="dxa"/>
                  <w:vAlign w:val="top"/>
                </w:tcPr>
                <w:p w14:paraId="149788F8">
                  <w:pPr>
                    <w:pStyle w:val="6"/>
                    <w:spacing w:before="48" w:line="215" w:lineRule="auto"/>
                    <w:ind w:left="949"/>
                    <w:rPr>
                      <w:rFonts w:ascii="Times New Roman" w:hAnsi="Times New Roman" w:eastAsia="Times New Roman" w:cs="Times New Roman"/>
                      <w:sz w:val="20"/>
                      <w:szCs w:val="20"/>
                    </w:rPr>
                  </w:pPr>
                  <w:r>
                    <w:rPr>
                      <w:spacing w:val="7"/>
                      <w:sz w:val="20"/>
                      <w:szCs w:val="20"/>
                    </w:rPr>
                    <w:t>型号规格：</w:t>
                  </w:r>
                  <w:r>
                    <w:rPr>
                      <w:spacing w:val="-47"/>
                      <w:sz w:val="20"/>
                      <w:szCs w:val="20"/>
                    </w:rPr>
                    <w:t xml:space="preserve"> </w:t>
                  </w:r>
                  <w:r>
                    <w:rPr>
                      <w:rFonts w:ascii="Times New Roman" w:hAnsi="Times New Roman" w:eastAsia="Times New Roman" w:cs="Times New Roman"/>
                      <w:spacing w:val="7"/>
                      <w:sz w:val="20"/>
                      <w:szCs w:val="20"/>
                    </w:rPr>
                    <w:t>S-900-</w:t>
                  </w:r>
                  <w:r>
                    <w:rPr>
                      <w:rFonts w:ascii="Times New Roman" w:hAnsi="Times New Roman" w:eastAsia="Times New Roman" w:cs="Times New Roman"/>
                      <w:sz w:val="20"/>
                      <w:szCs w:val="20"/>
                    </w:rPr>
                    <w:t>NX</w:t>
                  </w:r>
                  <w:r>
                    <w:rPr>
                      <w:rFonts w:ascii="Times New Roman" w:hAnsi="Times New Roman" w:eastAsia="Times New Roman" w:cs="Times New Roman"/>
                      <w:spacing w:val="7"/>
                      <w:sz w:val="20"/>
                      <w:szCs w:val="20"/>
                    </w:rPr>
                    <w:t>237</w:t>
                  </w:r>
                  <w:r>
                    <w:rPr>
                      <w:spacing w:val="7"/>
                      <w:sz w:val="20"/>
                      <w:szCs w:val="20"/>
                    </w:rPr>
                    <w:t>±</w:t>
                  </w:r>
                  <w:r>
                    <w:rPr>
                      <w:rFonts w:ascii="Times New Roman" w:hAnsi="Times New Roman" w:eastAsia="Times New Roman" w:cs="Times New Roman"/>
                      <w:spacing w:val="7"/>
                      <w:sz w:val="20"/>
                      <w:szCs w:val="20"/>
                    </w:rPr>
                    <w:t>2x2.5%/</w:t>
                  </w:r>
                  <w:r>
                    <w:rPr>
                      <w:rFonts w:ascii="Times New Roman" w:hAnsi="Times New Roman" w:eastAsia="Times New Roman" w:cs="Times New Roman"/>
                      <w:spacing w:val="6"/>
                      <w:sz w:val="20"/>
                      <w:szCs w:val="20"/>
                    </w:rPr>
                    <w:t>0.8</w:t>
                  </w:r>
                  <w:r>
                    <w:rPr>
                      <w:rFonts w:ascii="Times New Roman" w:hAnsi="Times New Roman" w:eastAsia="Times New Roman" w:cs="Times New Roman"/>
                      <w:sz w:val="20"/>
                      <w:szCs w:val="20"/>
                    </w:rPr>
                    <w:t>kV</w:t>
                  </w:r>
                </w:p>
              </w:tc>
              <w:tc>
                <w:tcPr>
                  <w:tcW w:w="1127" w:type="dxa"/>
                  <w:vMerge w:val="continue"/>
                  <w:tcBorders>
                    <w:top w:val="nil"/>
                    <w:bottom w:val="nil"/>
                  </w:tcBorders>
                  <w:vAlign w:val="top"/>
                </w:tcPr>
                <w:p w14:paraId="3762E593">
                  <w:pPr>
                    <w:rPr>
                      <w:rFonts w:ascii="Arial"/>
                      <w:sz w:val="21"/>
                    </w:rPr>
                  </w:pPr>
                </w:p>
              </w:tc>
            </w:tr>
            <w:tr w14:paraId="75AA8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393" w:type="dxa"/>
                  <w:vMerge w:val="continue"/>
                  <w:tcBorders>
                    <w:top w:val="nil"/>
                  </w:tcBorders>
                  <w:vAlign w:val="top"/>
                </w:tcPr>
                <w:p w14:paraId="72FDF19E">
                  <w:pPr>
                    <w:rPr>
                      <w:rFonts w:ascii="Arial"/>
                      <w:sz w:val="21"/>
                    </w:rPr>
                  </w:pPr>
                </w:p>
              </w:tc>
              <w:tc>
                <w:tcPr>
                  <w:tcW w:w="5630" w:type="dxa"/>
                  <w:vAlign w:val="top"/>
                </w:tcPr>
                <w:p w14:paraId="524231B5">
                  <w:pPr>
                    <w:pStyle w:val="6"/>
                    <w:spacing w:before="48" w:line="235" w:lineRule="auto"/>
                    <w:ind w:left="2587" w:hanging="2578"/>
                    <w:rPr>
                      <w:sz w:val="20"/>
                      <w:szCs w:val="20"/>
                    </w:rPr>
                  </w:pPr>
                  <w:r>
                    <w:rPr>
                      <w:spacing w:val="-1"/>
                      <w:sz w:val="20"/>
                      <w:szCs w:val="20"/>
                    </w:rPr>
                    <w:t>含纵向加密、环网交换机</w:t>
                  </w:r>
                  <w:r>
                    <w:rPr>
                      <w:spacing w:val="-17"/>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8"/>
                      <w:sz w:val="20"/>
                      <w:szCs w:val="20"/>
                    </w:rPr>
                    <w:t xml:space="preserve"> </w:t>
                  </w:r>
                  <w:r>
                    <w:rPr>
                      <w:spacing w:val="-1"/>
                      <w:sz w:val="20"/>
                      <w:szCs w:val="20"/>
                    </w:rPr>
                    <w:t>台，三合一箱变测控，</w:t>
                  </w:r>
                  <w:r>
                    <w:rPr>
                      <w:rFonts w:ascii="Times New Roman" w:hAnsi="Times New Roman" w:eastAsia="Times New Roman" w:cs="Times New Roman"/>
                      <w:spacing w:val="-1"/>
                      <w:sz w:val="20"/>
                      <w:szCs w:val="20"/>
                    </w:rPr>
                    <w:t xml:space="preserve">5KVA </w:t>
                  </w:r>
                  <w:r>
                    <w:rPr>
                      <w:spacing w:val="-1"/>
                      <w:sz w:val="20"/>
                      <w:szCs w:val="20"/>
                    </w:rPr>
                    <w:t>干变，</w:t>
                  </w:r>
                  <w:r>
                    <w:rPr>
                      <w:sz w:val="20"/>
                      <w:szCs w:val="20"/>
                    </w:rPr>
                    <w:t xml:space="preserve"> </w:t>
                  </w:r>
                  <w:r>
                    <w:rPr>
                      <w:spacing w:val="2"/>
                      <w:sz w:val="20"/>
                      <w:szCs w:val="20"/>
                    </w:rPr>
                    <w:t>华变</w:t>
                  </w:r>
                </w:p>
              </w:tc>
              <w:tc>
                <w:tcPr>
                  <w:tcW w:w="1127" w:type="dxa"/>
                  <w:vMerge w:val="continue"/>
                  <w:tcBorders>
                    <w:top w:val="nil"/>
                  </w:tcBorders>
                  <w:vAlign w:val="top"/>
                </w:tcPr>
                <w:p w14:paraId="6A3A829E">
                  <w:pPr>
                    <w:rPr>
                      <w:rFonts w:ascii="Arial"/>
                      <w:sz w:val="21"/>
                    </w:rPr>
                  </w:pPr>
                </w:p>
              </w:tc>
            </w:tr>
          </w:tbl>
          <w:p w14:paraId="43CDF154">
            <w:pPr>
              <w:spacing w:line="367" w:lineRule="auto"/>
              <w:rPr>
                <w:rFonts w:ascii="Arial"/>
                <w:sz w:val="21"/>
              </w:rPr>
            </w:pPr>
          </w:p>
          <w:p w14:paraId="171D11B6">
            <w:pPr>
              <w:pStyle w:val="6"/>
              <w:spacing w:before="78" w:line="219" w:lineRule="auto"/>
              <w:ind w:left="599"/>
            </w:pPr>
            <w:r>
              <w:rPr>
                <w:b/>
                <w:bCs/>
                <w:spacing w:val="-4"/>
              </w:rPr>
              <w:t>（</w:t>
            </w:r>
            <w:r>
              <w:rPr>
                <w:rFonts w:ascii="Times New Roman" w:hAnsi="Times New Roman" w:eastAsia="Times New Roman" w:cs="Times New Roman"/>
                <w:b/>
                <w:bCs/>
                <w:spacing w:val="-4"/>
              </w:rPr>
              <w:t>5</w:t>
            </w:r>
            <w:r>
              <w:rPr>
                <w:b/>
                <w:bCs/>
                <w:spacing w:val="-4"/>
              </w:rPr>
              <w:t>）光伏阵列设计</w:t>
            </w:r>
          </w:p>
          <w:p w14:paraId="1D786BCF">
            <w:pPr>
              <w:pStyle w:val="6"/>
              <w:spacing w:before="184" w:line="335" w:lineRule="auto"/>
              <w:ind w:left="126" w:right="102" w:firstLine="462"/>
            </w:pPr>
            <w:r>
              <w:rPr>
                <w:spacing w:val="4"/>
              </w:rPr>
              <w:t>本项目规划容量</w:t>
            </w:r>
            <w:r>
              <w:rPr>
                <w:spacing w:val="-28"/>
              </w:rPr>
              <w:t xml:space="preserve"> </w:t>
            </w:r>
            <w:r>
              <w:rPr>
                <w:rFonts w:ascii="Times New Roman" w:hAnsi="Times New Roman" w:eastAsia="Times New Roman" w:cs="Times New Roman"/>
                <w:spacing w:val="4"/>
              </w:rPr>
              <w:t>95.7</w:t>
            </w:r>
            <w:r>
              <w:rPr>
                <w:rFonts w:ascii="Times New Roman" w:hAnsi="Times New Roman" w:eastAsia="Times New Roman" w:cs="Times New Roman"/>
              </w:rPr>
              <w:t>MW</w:t>
            </w:r>
            <w:r>
              <w:rPr>
                <w:rFonts w:ascii="Times New Roman" w:hAnsi="Times New Roman" w:eastAsia="Times New Roman" w:cs="Times New Roman"/>
                <w:spacing w:val="-14"/>
              </w:rPr>
              <w:t xml:space="preserve"> </w:t>
            </w:r>
            <w:r>
              <w:rPr>
                <w:spacing w:val="4"/>
              </w:rPr>
              <w:t xml:space="preserve">，可研设计容量为 </w:t>
            </w:r>
            <w:r>
              <w:rPr>
                <w:rFonts w:ascii="Times New Roman" w:hAnsi="Times New Roman" w:eastAsia="Times New Roman" w:cs="Times New Roman"/>
                <w:spacing w:val="4"/>
              </w:rPr>
              <w:t>115.290</w:t>
            </w:r>
            <w:r>
              <w:rPr>
                <w:rFonts w:ascii="Times New Roman" w:hAnsi="Times New Roman" w:eastAsia="Times New Roman" w:cs="Times New Roman"/>
              </w:rPr>
              <w:t>MWp</w:t>
            </w:r>
            <w:r>
              <w:rPr>
                <w:rFonts w:ascii="Times New Roman" w:hAnsi="Times New Roman" w:eastAsia="Times New Roman" w:cs="Times New Roman"/>
                <w:spacing w:val="-22"/>
              </w:rPr>
              <w:t xml:space="preserve"> </w:t>
            </w:r>
            <w:r>
              <w:rPr>
                <w:spacing w:val="4"/>
              </w:rPr>
              <w:t>，项目拟安装</w:t>
            </w:r>
            <w:r>
              <w:t xml:space="preserve"> </w:t>
            </w:r>
            <w:r>
              <w:rPr>
                <w:rFonts w:ascii="Times New Roman" w:hAnsi="Times New Roman" w:eastAsia="Times New Roman" w:cs="Times New Roman"/>
                <w:spacing w:val="-2"/>
              </w:rPr>
              <w:t xml:space="preserve">183000 </w:t>
            </w:r>
            <w:r>
              <w:rPr>
                <w:spacing w:val="-2"/>
              </w:rPr>
              <w:t>块光伏组件，由</w:t>
            </w:r>
            <w:r>
              <w:rPr>
                <w:spacing w:val="-40"/>
              </w:rPr>
              <w:t xml:space="preserve"> </w:t>
            </w:r>
            <w:r>
              <w:rPr>
                <w:rFonts w:ascii="Times New Roman" w:hAnsi="Times New Roman" w:eastAsia="Times New Roman" w:cs="Times New Roman"/>
                <w:spacing w:val="-2"/>
              </w:rPr>
              <w:t xml:space="preserve">37 </w:t>
            </w:r>
            <w:r>
              <w:rPr>
                <w:spacing w:val="-2"/>
              </w:rPr>
              <w:t>个光伏阵列组成。</w:t>
            </w:r>
          </w:p>
          <w:p w14:paraId="78E6F9F8">
            <w:pPr>
              <w:pStyle w:val="6"/>
              <w:spacing w:before="60" w:line="349" w:lineRule="auto"/>
              <w:ind w:left="106" w:right="102" w:firstLine="481"/>
            </w:pPr>
            <w:r>
              <w:rPr>
                <w:spacing w:val="-6"/>
              </w:rPr>
              <w:t>本项目采用固定式支架安装，固定支架最佳倾角为</w:t>
            </w:r>
            <w:r>
              <w:rPr>
                <w:spacing w:val="-39"/>
              </w:rPr>
              <w:t xml:space="preserve"> </w:t>
            </w:r>
            <w:r>
              <w:rPr>
                <w:rFonts w:ascii="Times New Roman" w:hAnsi="Times New Roman" w:eastAsia="Times New Roman" w:cs="Times New Roman"/>
                <w:spacing w:val="-6"/>
              </w:rPr>
              <w:t>23</w:t>
            </w:r>
            <w:r>
              <w:rPr>
                <w:rFonts w:ascii="Times New Roman" w:hAnsi="Times New Roman" w:eastAsia="Times New Roman" w:cs="Times New Roman"/>
                <w:spacing w:val="-29"/>
              </w:rPr>
              <w:t xml:space="preserve"> </w:t>
            </w:r>
            <w:r>
              <w:rPr>
                <w:spacing w:val="-6"/>
              </w:rPr>
              <w:t>°</w:t>
            </w:r>
            <w:r>
              <w:rPr>
                <w:spacing w:val="-91"/>
              </w:rPr>
              <w:t xml:space="preserve"> </w:t>
            </w:r>
            <w:r>
              <w:rPr>
                <w:spacing w:val="-6"/>
              </w:rPr>
              <w:t>,</w:t>
            </w:r>
            <w:r>
              <w:rPr>
                <w:spacing w:val="45"/>
              </w:rPr>
              <w:t xml:space="preserve"> </w:t>
            </w:r>
            <w:r>
              <w:rPr>
                <w:spacing w:val="-6"/>
              </w:rPr>
              <w:t>阵列布置大多为</w:t>
            </w:r>
            <w:r>
              <w:t xml:space="preserve"> </w:t>
            </w:r>
            <w:r>
              <w:rPr>
                <w:spacing w:val="-1"/>
              </w:rPr>
              <w:t>狭长布置，桩基间列间距大于</w:t>
            </w:r>
            <w:r>
              <w:rPr>
                <w:spacing w:val="-54"/>
              </w:rPr>
              <w:t xml:space="preserve"> </w:t>
            </w:r>
            <w:r>
              <w:rPr>
                <w:rFonts w:ascii="Times New Roman" w:hAnsi="Times New Roman" w:eastAsia="Times New Roman" w:cs="Times New Roman"/>
                <w:spacing w:val="-1"/>
              </w:rPr>
              <w:t>4m</w:t>
            </w:r>
            <w:r>
              <w:rPr>
                <w:rFonts w:ascii="Times New Roman" w:hAnsi="Times New Roman" w:eastAsia="Times New Roman" w:cs="Times New Roman"/>
                <w:spacing w:val="-31"/>
              </w:rPr>
              <w:t xml:space="preserve"> </w:t>
            </w:r>
            <w:r>
              <w:rPr>
                <w:spacing w:val="-1"/>
              </w:rPr>
              <w:t>、行间距大于</w:t>
            </w:r>
            <w:r>
              <w:rPr>
                <w:spacing w:val="-49"/>
              </w:rPr>
              <w:t xml:space="preserve"> </w:t>
            </w:r>
            <w:r>
              <w:rPr>
                <w:rFonts w:ascii="Times New Roman" w:hAnsi="Times New Roman" w:eastAsia="Times New Roman" w:cs="Times New Roman"/>
                <w:spacing w:val="-1"/>
              </w:rPr>
              <w:t>6.5m</w:t>
            </w:r>
            <w:r>
              <w:rPr>
                <w:rFonts w:ascii="Times New Roman" w:hAnsi="Times New Roman" w:eastAsia="Times New Roman" w:cs="Times New Roman"/>
                <w:spacing w:val="-28"/>
              </w:rPr>
              <w:t xml:space="preserve"> </w:t>
            </w:r>
            <w:r>
              <w:rPr>
                <w:spacing w:val="-1"/>
              </w:rPr>
              <w:t>，固定支架光</w:t>
            </w:r>
            <w:r>
              <w:rPr>
                <w:spacing w:val="-2"/>
              </w:rPr>
              <w:t>伏组件最低</w:t>
            </w:r>
            <w:r>
              <w:t xml:space="preserve"> </w:t>
            </w:r>
            <w:r>
              <w:rPr>
                <w:spacing w:val="-2"/>
              </w:rPr>
              <w:t>离地高度</w:t>
            </w:r>
            <w:r>
              <w:rPr>
                <w:spacing w:val="-55"/>
              </w:rPr>
              <w:t xml:space="preserve"> </w:t>
            </w:r>
            <w:r>
              <w:rPr>
                <w:rFonts w:ascii="Times New Roman" w:hAnsi="Times New Roman" w:eastAsia="Times New Roman" w:cs="Times New Roman"/>
                <w:spacing w:val="-2"/>
              </w:rPr>
              <w:t>2.5m</w:t>
            </w:r>
            <w:r>
              <w:rPr>
                <w:rFonts w:ascii="Times New Roman" w:hAnsi="Times New Roman" w:eastAsia="Times New Roman" w:cs="Times New Roman"/>
                <w:spacing w:val="-26"/>
              </w:rPr>
              <w:t xml:space="preserve"> </w:t>
            </w:r>
            <w:r>
              <w:rPr>
                <w:spacing w:val="-2"/>
              </w:rPr>
              <w:t>。光伏阵列组串配置详见表</w:t>
            </w:r>
            <w:r>
              <w:rPr>
                <w:spacing w:val="-55"/>
              </w:rPr>
              <w:t xml:space="preserve"> </w:t>
            </w:r>
            <w:r>
              <w:rPr>
                <w:rFonts w:ascii="Times New Roman" w:hAnsi="Times New Roman" w:eastAsia="Times New Roman" w:cs="Times New Roman"/>
                <w:spacing w:val="-2"/>
              </w:rPr>
              <w:t xml:space="preserve">2-6 </w:t>
            </w:r>
            <w:r>
              <w:rPr>
                <w:spacing w:val="-2"/>
              </w:rPr>
              <w:t>所示。</w:t>
            </w:r>
          </w:p>
        </w:tc>
      </w:tr>
    </w:tbl>
    <w:p w14:paraId="62518D9D">
      <w:pPr>
        <w:rPr>
          <w:rFonts w:ascii="Arial"/>
          <w:sz w:val="21"/>
        </w:rPr>
      </w:pPr>
    </w:p>
    <w:p w14:paraId="51D00371">
      <w:pPr>
        <w:rPr>
          <w:rFonts w:ascii="Arial" w:hAnsi="Arial" w:eastAsia="Arial" w:cs="Arial"/>
          <w:sz w:val="21"/>
          <w:szCs w:val="21"/>
        </w:rPr>
        <w:sectPr>
          <w:footerReference r:id="rId58" w:type="default"/>
          <w:pgSz w:w="11906" w:h="16839"/>
          <w:pgMar w:top="1431" w:right="1415" w:bottom="1278" w:left="1415" w:header="0" w:footer="1116" w:gutter="0"/>
          <w:cols w:space="720" w:num="1"/>
        </w:sectPr>
      </w:pPr>
    </w:p>
    <w:p w14:paraId="4B030EBB">
      <w:pPr>
        <w:spacing w:before="18"/>
      </w:pPr>
      <w:r>
        <w:pict>
          <v:shape id="_x0000_s1066" o:spid="_x0000_s1066" style="position:absolute;left:0pt;margin-left:764.65pt;margin-top:98.45pt;height:417.7pt;width:0.5pt;mso-position-horizontal-relative:page;mso-position-vertical-relative:page;z-index:251702272;mso-width-relative:page;mso-height-relative:page;" filled="f" stroked="t" coordsize="10,8354" o:allowincell="f" path="m4,0l4,8353e">
            <v:fill on="f" focussize="0,0"/>
            <v:stroke weight="0.48pt" color="#000000" miterlimit="2" joinstyle="bevel"/>
            <v:imagedata o:title=""/>
            <o:lock v:ext="edit"/>
          </v:shape>
        </w:pict>
      </w:r>
    </w:p>
    <w:p w14:paraId="35916627">
      <w:pPr>
        <w:spacing w:before="18"/>
      </w:pPr>
    </w:p>
    <w:tbl>
      <w:tblPr>
        <w:tblStyle w:val="5"/>
        <w:tblW w:w="13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113"/>
        <w:gridCol w:w="757"/>
        <w:gridCol w:w="757"/>
        <w:gridCol w:w="768"/>
        <w:gridCol w:w="756"/>
        <w:gridCol w:w="798"/>
        <w:gridCol w:w="757"/>
        <w:gridCol w:w="758"/>
        <w:gridCol w:w="814"/>
        <w:gridCol w:w="791"/>
        <w:gridCol w:w="756"/>
        <w:gridCol w:w="875"/>
        <w:gridCol w:w="965"/>
        <w:gridCol w:w="754"/>
        <w:gridCol w:w="974"/>
        <w:gridCol w:w="966"/>
        <w:gridCol w:w="1089"/>
      </w:tblGrid>
      <w:tr w14:paraId="6517E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540" w:type="dxa"/>
            <w:vMerge w:val="restart"/>
            <w:tcBorders>
              <w:top w:val="single" w:color="000000" w:sz="6" w:space="0"/>
              <w:left w:val="single" w:color="000000" w:sz="6" w:space="0"/>
              <w:bottom w:val="nil"/>
            </w:tcBorders>
            <w:vAlign w:val="top"/>
          </w:tcPr>
          <w:p w14:paraId="5EADF03F">
            <w:pPr>
              <w:rPr>
                <w:rFonts w:ascii="Arial"/>
                <w:sz w:val="21"/>
              </w:rPr>
            </w:pPr>
          </w:p>
        </w:tc>
        <w:tc>
          <w:tcPr>
            <w:tcW w:w="13448" w:type="dxa"/>
            <w:gridSpan w:val="17"/>
            <w:tcBorders>
              <w:top w:val="single" w:color="000000" w:sz="6" w:space="0"/>
              <w:right w:val="single" w:color="000000" w:sz="6" w:space="0"/>
            </w:tcBorders>
            <w:vAlign w:val="top"/>
          </w:tcPr>
          <w:p w14:paraId="4E469481">
            <w:pPr>
              <w:pStyle w:val="6"/>
              <w:spacing w:before="36" w:line="227" w:lineRule="auto"/>
              <w:ind w:left="5451"/>
              <w:rPr>
                <w:sz w:val="20"/>
                <w:szCs w:val="20"/>
              </w:rPr>
            </w:pPr>
            <w:r>
              <w:rPr>
                <w:b/>
                <w:bCs/>
                <w:spacing w:val="6"/>
                <w:sz w:val="20"/>
                <w:szCs w:val="20"/>
              </w:rPr>
              <w:t>表</w:t>
            </w:r>
            <w:r>
              <w:rPr>
                <w:spacing w:val="-42"/>
                <w:sz w:val="20"/>
                <w:szCs w:val="20"/>
              </w:rPr>
              <w:t xml:space="preserve"> </w:t>
            </w:r>
            <w:r>
              <w:rPr>
                <w:rFonts w:ascii="Times New Roman" w:hAnsi="Times New Roman" w:eastAsia="Times New Roman" w:cs="Times New Roman"/>
                <w:b/>
                <w:bCs/>
                <w:spacing w:val="6"/>
                <w:sz w:val="20"/>
                <w:szCs w:val="20"/>
              </w:rPr>
              <w:t xml:space="preserve">2-6  </w:t>
            </w:r>
            <w:r>
              <w:rPr>
                <w:b/>
                <w:bCs/>
                <w:spacing w:val="6"/>
                <w:sz w:val="20"/>
                <w:szCs w:val="20"/>
              </w:rPr>
              <w:t>光伏阵列组串配置表</w:t>
            </w:r>
          </w:p>
        </w:tc>
      </w:tr>
      <w:tr w14:paraId="3605C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40" w:type="dxa"/>
            <w:vMerge w:val="continue"/>
            <w:tcBorders>
              <w:top w:val="nil"/>
              <w:left w:val="single" w:color="000000" w:sz="6" w:space="0"/>
              <w:bottom w:val="nil"/>
            </w:tcBorders>
            <w:vAlign w:val="top"/>
          </w:tcPr>
          <w:p w14:paraId="59E23F71">
            <w:pPr>
              <w:rPr>
                <w:rFonts w:ascii="Arial"/>
                <w:sz w:val="21"/>
              </w:rPr>
            </w:pPr>
          </w:p>
        </w:tc>
        <w:tc>
          <w:tcPr>
            <w:tcW w:w="113" w:type="dxa"/>
            <w:vMerge w:val="restart"/>
            <w:tcBorders>
              <w:top w:val="nil"/>
              <w:bottom w:val="nil"/>
            </w:tcBorders>
            <w:vAlign w:val="top"/>
          </w:tcPr>
          <w:p w14:paraId="73B02282">
            <w:pPr>
              <w:rPr>
                <w:rFonts w:ascii="Arial"/>
                <w:sz w:val="21"/>
              </w:rPr>
            </w:pPr>
          </w:p>
        </w:tc>
        <w:tc>
          <w:tcPr>
            <w:tcW w:w="757" w:type="dxa"/>
            <w:vMerge w:val="restart"/>
            <w:tcBorders>
              <w:bottom w:val="nil"/>
            </w:tcBorders>
            <w:vAlign w:val="top"/>
          </w:tcPr>
          <w:p w14:paraId="26F4B9EF">
            <w:pPr>
              <w:spacing w:line="327" w:lineRule="auto"/>
              <w:rPr>
                <w:rFonts w:ascii="Arial"/>
                <w:sz w:val="21"/>
              </w:rPr>
            </w:pPr>
          </w:p>
          <w:p w14:paraId="31810C31">
            <w:pPr>
              <w:pStyle w:val="6"/>
              <w:spacing w:before="59" w:line="230" w:lineRule="auto"/>
              <w:ind w:left="284" w:right="113" w:hanging="179"/>
              <w:rPr>
                <w:sz w:val="18"/>
                <w:szCs w:val="18"/>
              </w:rPr>
            </w:pPr>
            <w:r>
              <w:rPr>
                <w:spacing w:val="-3"/>
                <w:sz w:val="18"/>
                <w:szCs w:val="18"/>
              </w:rPr>
              <w:t>地块名</w:t>
            </w:r>
            <w:r>
              <w:rPr>
                <w:sz w:val="18"/>
                <w:szCs w:val="18"/>
              </w:rPr>
              <w:t xml:space="preserve"> 称</w:t>
            </w:r>
          </w:p>
        </w:tc>
        <w:tc>
          <w:tcPr>
            <w:tcW w:w="2281" w:type="dxa"/>
            <w:gridSpan w:val="3"/>
            <w:vAlign w:val="top"/>
          </w:tcPr>
          <w:p w14:paraId="62FF31F7">
            <w:pPr>
              <w:pStyle w:val="6"/>
              <w:spacing w:before="143" w:line="219" w:lineRule="auto"/>
              <w:ind w:left="603"/>
              <w:rPr>
                <w:sz w:val="18"/>
                <w:szCs w:val="18"/>
              </w:rPr>
            </w:pPr>
            <w:r>
              <w:rPr>
                <w:spacing w:val="-2"/>
                <w:sz w:val="18"/>
                <w:szCs w:val="18"/>
              </w:rPr>
              <w:t>组串组件构成</w:t>
            </w:r>
          </w:p>
        </w:tc>
        <w:tc>
          <w:tcPr>
            <w:tcW w:w="798" w:type="dxa"/>
            <w:vAlign w:val="top"/>
          </w:tcPr>
          <w:p w14:paraId="5F6BC25D">
            <w:pPr>
              <w:pStyle w:val="6"/>
              <w:spacing w:before="27" w:line="222" w:lineRule="auto"/>
              <w:ind w:left="311" w:right="129" w:hanging="179"/>
              <w:rPr>
                <w:sz w:val="18"/>
                <w:szCs w:val="18"/>
              </w:rPr>
            </w:pPr>
            <w:r>
              <w:rPr>
                <w:spacing w:val="-4"/>
                <w:sz w:val="18"/>
                <w:szCs w:val="18"/>
              </w:rPr>
              <w:t>组串功</w:t>
            </w:r>
            <w:r>
              <w:rPr>
                <w:spacing w:val="1"/>
                <w:sz w:val="18"/>
                <w:szCs w:val="18"/>
              </w:rPr>
              <w:t xml:space="preserve"> </w:t>
            </w:r>
            <w:r>
              <w:rPr>
                <w:sz w:val="18"/>
                <w:szCs w:val="18"/>
              </w:rPr>
              <w:t>率</w:t>
            </w:r>
          </w:p>
        </w:tc>
        <w:tc>
          <w:tcPr>
            <w:tcW w:w="757" w:type="dxa"/>
            <w:vMerge w:val="restart"/>
            <w:tcBorders>
              <w:bottom w:val="nil"/>
            </w:tcBorders>
            <w:vAlign w:val="top"/>
          </w:tcPr>
          <w:p w14:paraId="67711947">
            <w:pPr>
              <w:spacing w:line="328" w:lineRule="auto"/>
              <w:rPr>
                <w:rFonts w:ascii="Arial"/>
                <w:sz w:val="21"/>
              </w:rPr>
            </w:pPr>
          </w:p>
          <w:p w14:paraId="5B719E28">
            <w:pPr>
              <w:pStyle w:val="6"/>
              <w:spacing w:before="58" w:line="229" w:lineRule="auto"/>
              <w:ind w:left="112" w:right="106" w:firstLine="2"/>
              <w:rPr>
                <w:sz w:val="18"/>
                <w:szCs w:val="18"/>
              </w:rPr>
            </w:pPr>
            <w:r>
              <w:rPr>
                <w:spacing w:val="-4"/>
                <w:sz w:val="18"/>
                <w:szCs w:val="18"/>
              </w:rPr>
              <w:t>组件安</w:t>
            </w:r>
            <w:r>
              <w:rPr>
                <w:spacing w:val="1"/>
                <w:sz w:val="18"/>
                <w:szCs w:val="18"/>
              </w:rPr>
              <w:t xml:space="preserve"> </w:t>
            </w:r>
            <w:r>
              <w:rPr>
                <w:spacing w:val="-3"/>
                <w:sz w:val="18"/>
                <w:szCs w:val="18"/>
              </w:rPr>
              <w:t>装方式</w:t>
            </w:r>
          </w:p>
        </w:tc>
        <w:tc>
          <w:tcPr>
            <w:tcW w:w="2363" w:type="dxa"/>
            <w:gridSpan w:val="3"/>
            <w:vAlign w:val="top"/>
          </w:tcPr>
          <w:p w14:paraId="1A67CCCA">
            <w:pPr>
              <w:pStyle w:val="6"/>
              <w:spacing w:before="143" w:line="219" w:lineRule="auto"/>
              <w:ind w:left="557"/>
              <w:rPr>
                <w:sz w:val="18"/>
                <w:szCs w:val="18"/>
              </w:rPr>
            </w:pPr>
            <w:r>
              <w:rPr>
                <w:spacing w:val="-2"/>
                <w:sz w:val="18"/>
                <w:szCs w:val="18"/>
              </w:rPr>
              <w:t>配置逆变器参数</w:t>
            </w:r>
          </w:p>
        </w:tc>
        <w:tc>
          <w:tcPr>
            <w:tcW w:w="2596" w:type="dxa"/>
            <w:gridSpan w:val="3"/>
            <w:vAlign w:val="top"/>
          </w:tcPr>
          <w:p w14:paraId="43DA3B0C">
            <w:pPr>
              <w:pStyle w:val="6"/>
              <w:spacing w:before="143" w:line="219" w:lineRule="auto"/>
              <w:ind w:left="945"/>
              <w:rPr>
                <w:sz w:val="18"/>
                <w:szCs w:val="18"/>
              </w:rPr>
            </w:pPr>
            <w:r>
              <w:rPr>
                <w:spacing w:val="-2"/>
                <w:sz w:val="18"/>
                <w:szCs w:val="18"/>
              </w:rPr>
              <w:t>方阵配置</w:t>
            </w:r>
          </w:p>
        </w:tc>
        <w:tc>
          <w:tcPr>
            <w:tcW w:w="754" w:type="dxa"/>
            <w:vMerge w:val="restart"/>
            <w:tcBorders>
              <w:bottom w:val="nil"/>
            </w:tcBorders>
            <w:vAlign w:val="top"/>
          </w:tcPr>
          <w:p w14:paraId="2735DE04">
            <w:pPr>
              <w:spacing w:line="327" w:lineRule="auto"/>
              <w:rPr>
                <w:rFonts w:ascii="Arial"/>
                <w:sz w:val="21"/>
              </w:rPr>
            </w:pPr>
          </w:p>
          <w:p w14:paraId="0A091FC8">
            <w:pPr>
              <w:pStyle w:val="6"/>
              <w:spacing w:before="58" w:line="229" w:lineRule="auto"/>
              <w:ind w:left="207" w:right="189"/>
              <w:rPr>
                <w:sz w:val="18"/>
                <w:szCs w:val="18"/>
              </w:rPr>
            </w:pPr>
            <w:r>
              <w:rPr>
                <w:spacing w:val="-4"/>
                <w:sz w:val="18"/>
                <w:szCs w:val="18"/>
              </w:rPr>
              <w:t>方阵</w:t>
            </w:r>
            <w:r>
              <w:rPr>
                <w:sz w:val="18"/>
                <w:szCs w:val="18"/>
              </w:rPr>
              <w:t xml:space="preserve"> </w:t>
            </w:r>
            <w:r>
              <w:rPr>
                <w:spacing w:val="-5"/>
                <w:sz w:val="18"/>
                <w:szCs w:val="18"/>
              </w:rPr>
              <w:t>数量</w:t>
            </w:r>
          </w:p>
        </w:tc>
        <w:tc>
          <w:tcPr>
            <w:tcW w:w="974" w:type="dxa"/>
            <w:vMerge w:val="restart"/>
            <w:tcBorders>
              <w:bottom w:val="nil"/>
            </w:tcBorders>
            <w:vAlign w:val="top"/>
          </w:tcPr>
          <w:p w14:paraId="33499A85">
            <w:pPr>
              <w:pStyle w:val="6"/>
              <w:spacing w:before="270" w:line="219" w:lineRule="auto"/>
              <w:ind w:left="138"/>
              <w:rPr>
                <w:sz w:val="18"/>
                <w:szCs w:val="18"/>
              </w:rPr>
            </w:pPr>
            <w:r>
              <w:rPr>
                <w:spacing w:val="-3"/>
                <w:sz w:val="18"/>
                <w:szCs w:val="18"/>
              </w:rPr>
              <w:t>直流侧总</w:t>
            </w:r>
          </w:p>
          <w:p w14:paraId="0F9F3972">
            <w:pPr>
              <w:pStyle w:val="6"/>
              <w:spacing w:before="19" w:line="220" w:lineRule="auto"/>
              <w:ind w:left="318"/>
              <w:rPr>
                <w:sz w:val="18"/>
                <w:szCs w:val="18"/>
              </w:rPr>
            </w:pPr>
            <w:r>
              <w:rPr>
                <w:spacing w:val="-5"/>
                <w:sz w:val="18"/>
                <w:szCs w:val="18"/>
              </w:rPr>
              <w:t>容量</w:t>
            </w:r>
          </w:p>
          <w:p w14:paraId="4FF98E17">
            <w:pPr>
              <w:pStyle w:val="6"/>
              <w:spacing w:before="18" w:line="212" w:lineRule="auto"/>
              <w:ind w:left="132"/>
              <w:rPr>
                <w:sz w:val="18"/>
                <w:szCs w:val="18"/>
              </w:rPr>
            </w:pPr>
            <w:r>
              <w:rPr>
                <w:spacing w:val="-4"/>
                <w:sz w:val="18"/>
                <w:szCs w:val="18"/>
              </w:rPr>
              <w:t>（</w:t>
            </w:r>
            <w:r>
              <w:rPr>
                <w:rFonts w:ascii="Times New Roman" w:hAnsi="Times New Roman" w:eastAsia="Times New Roman" w:cs="Times New Roman"/>
                <w:spacing w:val="-4"/>
                <w:sz w:val="18"/>
                <w:szCs w:val="18"/>
              </w:rPr>
              <w:t>KWp</w:t>
            </w:r>
            <w:r>
              <w:rPr>
                <w:spacing w:val="-4"/>
                <w:sz w:val="18"/>
                <w:szCs w:val="18"/>
              </w:rPr>
              <w:t>）</w:t>
            </w:r>
          </w:p>
        </w:tc>
        <w:tc>
          <w:tcPr>
            <w:tcW w:w="966" w:type="dxa"/>
            <w:vMerge w:val="restart"/>
            <w:tcBorders>
              <w:bottom w:val="nil"/>
            </w:tcBorders>
            <w:vAlign w:val="top"/>
          </w:tcPr>
          <w:p w14:paraId="1808B303">
            <w:pPr>
              <w:pStyle w:val="6"/>
              <w:spacing w:before="269" w:line="230" w:lineRule="auto"/>
              <w:ind w:left="117" w:right="24" w:firstLine="16"/>
              <w:jc w:val="both"/>
              <w:rPr>
                <w:sz w:val="18"/>
                <w:szCs w:val="18"/>
              </w:rPr>
            </w:pPr>
            <w:r>
              <w:rPr>
                <w:spacing w:val="-2"/>
                <w:sz w:val="18"/>
                <w:szCs w:val="18"/>
              </w:rPr>
              <w:t>每个方阵</w:t>
            </w:r>
            <w:r>
              <w:rPr>
                <w:sz w:val="18"/>
                <w:szCs w:val="18"/>
              </w:rPr>
              <w:t xml:space="preserve">  </w:t>
            </w:r>
            <w:r>
              <w:rPr>
                <w:spacing w:val="2"/>
                <w:sz w:val="18"/>
                <w:szCs w:val="18"/>
              </w:rPr>
              <w:t>交流侧容</w:t>
            </w:r>
            <w:r>
              <w:rPr>
                <w:sz w:val="18"/>
                <w:szCs w:val="18"/>
              </w:rPr>
              <w:t xml:space="preserve">  </w:t>
            </w:r>
            <w:r>
              <w:rPr>
                <w:spacing w:val="-19"/>
                <w:sz w:val="18"/>
                <w:szCs w:val="18"/>
              </w:rPr>
              <w:t>量（</w:t>
            </w:r>
            <w:r>
              <w:rPr>
                <w:rFonts w:ascii="Times New Roman" w:hAnsi="Times New Roman" w:eastAsia="Times New Roman" w:cs="Times New Roman"/>
                <w:spacing w:val="-19"/>
                <w:sz w:val="18"/>
                <w:szCs w:val="18"/>
              </w:rPr>
              <w:t>KWp</w:t>
            </w:r>
            <w:r>
              <w:rPr>
                <w:spacing w:val="-19"/>
                <w:sz w:val="18"/>
                <w:szCs w:val="18"/>
              </w:rPr>
              <w:t>）</w:t>
            </w:r>
          </w:p>
        </w:tc>
        <w:tc>
          <w:tcPr>
            <w:tcW w:w="1089" w:type="dxa"/>
            <w:vMerge w:val="restart"/>
            <w:tcBorders>
              <w:bottom w:val="nil"/>
              <w:right w:val="single" w:color="000000" w:sz="6" w:space="0"/>
            </w:tcBorders>
            <w:vAlign w:val="top"/>
          </w:tcPr>
          <w:p w14:paraId="6E1EA86C">
            <w:pPr>
              <w:pStyle w:val="6"/>
              <w:spacing w:before="270" w:line="219" w:lineRule="auto"/>
              <w:ind w:left="137"/>
              <w:rPr>
                <w:sz w:val="18"/>
                <w:szCs w:val="18"/>
              </w:rPr>
            </w:pPr>
            <w:r>
              <w:rPr>
                <w:spacing w:val="-3"/>
                <w:sz w:val="18"/>
                <w:szCs w:val="18"/>
              </w:rPr>
              <w:t>交流侧总</w:t>
            </w:r>
          </w:p>
          <w:p w14:paraId="5360AB41">
            <w:pPr>
              <w:pStyle w:val="6"/>
              <w:spacing w:before="19" w:line="220" w:lineRule="auto"/>
              <w:ind w:left="315"/>
              <w:rPr>
                <w:sz w:val="18"/>
                <w:szCs w:val="18"/>
              </w:rPr>
            </w:pPr>
            <w:r>
              <w:rPr>
                <w:spacing w:val="-5"/>
                <w:sz w:val="18"/>
                <w:szCs w:val="18"/>
              </w:rPr>
              <w:t>容量</w:t>
            </w:r>
          </w:p>
          <w:p w14:paraId="49BFA6B8">
            <w:pPr>
              <w:pStyle w:val="6"/>
              <w:spacing w:before="18" w:line="212" w:lineRule="auto"/>
              <w:ind w:left="128"/>
              <w:rPr>
                <w:sz w:val="18"/>
                <w:szCs w:val="18"/>
              </w:rPr>
            </w:pPr>
            <w:r>
              <w:rPr>
                <w:spacing w:val="-4"/>
                <w:sz w:val="18"/>
                <w:szCs w:val="18"/>
              </w:rPr>
              <w:t>（</w:t>
            </w:r>
            <w:r>
              <w:rPr>
                <w:rFonts w:ascii="Times New Roman" w:hAnsi="Times New Roman" w:eastAsia="Times New Roman" w:cs="Times New Roman"/>
                <w:spacing w:val="-4"/>
                <w:sz w:val="18"/>
                <w:szCs w:val="18"/>
              </w:rPr>
              <w:t>KWp</w:t>
            </w:r>
            <w:r>
              <w:rPr>
                <w:spacing w:val="-4"/>
                <w:sz w:val="18"/>
                <w:szCs w:val="18"/>
              </w:rPr>
              <w:t>）</w:t>
            </w:r>
          </w:p>
        </w:tc>
      </w:tr>
      <w:tr w14:paraId="48C74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0" w:type="dxa"/>
            <w:vMerge w:val="continue"/>
            <w:tcBorders>
              <w:top w:val="nil"/>
              <w:left w:val="single" w:color="000000" w:sz="6" w:space="0"/>
              <w:bottom w:val="nil"/>
            </w:tcBorders>
            <w:vAlign w:val="top"/>
          </w:tcPr>
          <w:p w14:paraId="1DB1023D">
            <w:pPr>
              <w:rPr>
                <w:rFonts w:ascii="Arial"/>
                <w:sz w:val="21"/>
              </w:rPr>
            </w:pPr>
          </w:p>
        </w:tc>
        <w:tc>
          <w:tcPr>
            <w:tcW w:w="113" w:type="dxa"/>
            <w:vMerge w:val="continue"/>
            <w:tcBorders>
              <w:top w:val="nil"/>
              <w:bottom w:val="nil"/>
            </w:tcBorders>
            <w:vAlign w:val="top"/>
          </w:tcPr>
          <w:p w14:paraId="18AE5D41">
            <w:pPr>
              <w:rPr>
                <w:rFonts w:ascii="Arial"/>
                <w:sz w:val="21"/>
              </w:rPr>
            </w:pPr>
          </w:p>
        </w:tc>
        <w:tc>
          <w:tcPr>
            <w:tcW w:w="757" w:type="dxa"/>
            <w:vMerge w:val="continue"/>
            <w:tcBorders>
              <w:top w:val="nil"/>
              <w:bottom w:val="nil"/>
            </w:tcBorders>
            <w:vAlign w:val="top"/>
          </w:tcPr>
          <w:p w14:paraId="4F502ACD">
            <w:pPr>
              <w:rPr>
                <w:rFonts w:ascii="Arial"/>
                <w:sz w:val="21"/>
              </w:rPr>
            </w:pPr>
          </w:p>
        </w:tc>
        <w:tc>
          <w:tcPr>
            <w:tcW w:w="757" w:type="dxa"/>
            <w:vMerge w:val="restart"/>
            <w:tcBorders>
              <w:bottom w:val="nil"/>
            </w:tcBorders>
            <w:vAlign w:val="top"/>
          </w:tcPr>
          <w:p w14:paraId="42CF0501">
            <w:pPr>
              <w:pStyle w:val="6"/>
              <w:spacing w:before="150" w:line="230" w:lineRule="auto"/>
              <w:ind w:left="286" w:right="111" w:hanging="177"/>
              <w:rPr>
                <w:sz w:val="18"/>
                <w:szCs w:val="18"/>
              </w:rPr>
            </w:pPr>
            <w:r>
              <w:rPr>
                <w:spacing w:val="-4"/>
                <w:sz w:val="18"/>
                <w:szCs w:val="18"/>
              </w:rPr>
              <w:t>组件名</w:t>
            </w:r>
            <w:r>
              <w:rPr>
                <w:spacing w:val="1"/>
                <w:sz w:val="18"/>
                <w:szCs w:val="18"/>
              </w:rPr>
              <w:t xml:space="preserve"> </w:t>
            </w:r>
            <w:r>
              <w:rPr>
                <w:sz w:val="18"/>
                <w:szCs w:val="18"/>
              </w:rPr>
              <w:t>称</w:t>
            </w:r>
          </w:p>
        </w:tc>
        <w:tc>
          <w:tcPr>
            <w:tcW w:w="768" w:type="dxa"/>
            <w:vMerge w:val="restart"/>
            <w:tcBorders>
              <w:bottom w:val="nil"/>
            </w:tcBorders>
            <w:vAlign w:val="top"/>
          </w:tcPr>
          <w:p w14:paraId="022B8700">
            <w:pPr>
              <w:pStyle w:val="6"/>
              <w:spacing w:before="151" w:line="225" w:lineRule="auto"/>
              <w:ind w:left="143" w:right="116" w:hanging="28"/>
              <w:rPr>
                <w:rFonts w:ascii="Times New Roman" w:hAnsi="Times New Roman" w:eastAsia="Times New Roman" w:cs="Times New Roman"/>
                <w:sz w:val="18"/>
                <w:szCs w:val="18"/>
              </w:rPr>
            </w:pPr>
            <w:r>
              <w:rPr>
                <w:spacing w:val="-4"/>
                <w:sz w:val="18"/>
                <w:szCs w:val="18"/>
              </w:rPr>
              <w:t>组件功</w:t>
            </w:r>
            <w:r>
              <w:rPr>
                <w:spacing w:val="1"/>
                <w:sz w:val="18"/>
                <w:szCs w:val="18"/>
              </w:rPr>
              <w:t xml:space="preserve"> </w:t>
            </w:r>
            <w:r>
              <w:rPr>
                <w:spacing w:val="-4"/>
                <w:sz w:val="18"/>
                <w:szCs w:val="18"/>
              </w:rPr>
              <w:t>率</w:t>
            </w:r>
            <w:r>
              <w:rPr>
                <w:spacing w:val="-45"/>
                <w:sz w:val="18"/>
                <w:szCs w:val="18"/>
              </w:rPr>
              <w:t xml:space="preserve"> </w:t>
            </w:r>
            <w:r>
              <w:rPr>
                <w:rFonts w:ascii="Times New Roman" w:hAnsi="Times New Roman" w:eastAsia="Times New Roman" w:cs="Times New Roman"/>
                <w:spacing w:val="-4"/>
                <w:sz w:val="18"/>
                <w:szCs w:val="18"/>
              </w:rPr>
              <w:t>Wp</w:t>
            </w:r>
          </w:p>
        </w:tc>
        <w:tc>
          <w:tcPr>
            <w:tcW w:w="756" w:type="dxa"/>
            <w:vMerge w:val="restart"/>
            <w:tcBorders>
              <w:bottom w:val="nil"/>
            </w:tcBorders>
            <w:vAlign w:val="top"/>
          </w:tcPr>
          <w:p w14:paraId="57501E20">
            <w:pPr>
              <w:pStyle w:val="6"/>
              <w:spacing w:before="268" w:line="219" w:lineRule="auto"/>
              <w:ind w:left="198"/>
              <w:rPr>
                <w:sz w:val="18"/>
                <w:szCs w:val="18"/>
              </w:rPr>
            </w:pPr>
            <w:r>
              <w:rPr>
                <w:spacing w:val="-5"/>
                <w:sz w:val="18"/>
                <w:szCs w:val="18"/>
              </w:rPr>
              <w:t>数量</w:t>
            </w:r>
          </w:p>
        </w:tc>
        <w:tc>
          <w:tcPr>
            <w:tcW w:w="798" w:type="dxa"/>
            <w:vMerge w:val="restart"/>
            <w:tcBorders>
              <w:bottom w:val="nil"/>
            </w:tcBorders>
            <w:vAlign w:val="top"/>
          </w:tcPr>
          <w:p w14:paraId="0DDA2CE0">
            <w:pPr>
              <w:pStyle w:val="6"/>
              <w:spacing w:before="179" w:line="220" w:lineRule="auto"/>
              <w:ind w:left="325" w:right="180" w:hanging="149"/>
              <w:rPr>
                <w:sz w:val="18"/>
                <w:szCs w:val="18"/>
              </w:rPr>
            </w:pPr>
            <w:r>
              <w:rPr>
                <w:rFonts w:ascii="Times New Roman" w:hAnsi="Times New Roman" w:eastAsia="Times New Roman" w:cs="Times New Roman"/>
                <w:spacing w:val="-1"/>
                <w:sz w:val="18"/>
                <w:szCs w:val="18"/>
              </w:rPr>
              <w:t>KWp/</w:t>
            </w:r>
            <w:r>
              <w:rPr>
                <w:rFonts w:ascii="Times New Roman" w:hAnsi="Times New Roman" w:eastAsia="Times New Roman" w:cs="Times New Roman"/>
                <w:sz w:val="18"/>
                <w:szCs w:val="18"/>
              </w:rPr>
              <w:t xml:space="preserve"> </w:t>
            </w:r>
            <w:r>
              <w:rPr>
                <w:sz w:val="18"/>
                <w:szCs w:val="18"/>
              </w:rPr>
              <w:t>串</w:t>
            </w:r>
          </w:p>
        </w:tc>
        <w:tc>
          <w:tcPr>
            <w:tcW w:w="757" w:type="dxa"/>
            <w:vMerge w:val="continue"/>
            <w:tcBorders>
              <w:top w:val="nil"/>
              <w:bottom w:val="nil"/>
            </w:tcBorders>
            <w:vAlign w:val="top"/>
          </w:tcPr>
          <w:p w14:paraId="7D21EDD2">
            <w:pPr>
              <w:rPr>
                <w:rFonts w:ascii="Arial"/>
                <w:sz w:val="21"/>
              </w:rPr>
            </w:pPr>
          </w:p>
        </w:tc>
        <w:tc>
          <w:tcPr>
            <w:tcW w:w="758" w:type="dxa"/>
            <w:vMerge w:val="restart"/>
            <w:tcBorders>
              <w:bottom w:val="nil"/>
            </w:tcBorders>
            <w:vAlign w:val="top"/>
          </w:tcPr>
          <w:p w14:paraId="0A9238C0">
            <w:pPr>
              <w:pStyle w:val="6"/>
              <w:spacing w:before="267" w:line="221" w:lineRule="auto"/>
              <w:ind w:left="207"/>
              <w:rPr>
                <w:sz w:val="18"/>
                <w:szCs w:val="18"/>
              </w:rPr>
            </w:pPr>
            <w:r>
              <w:rPr>
                <w:spacing w:val="-7"/>
                <w:sz w:val="18"/>
                <w:szCs w:val="18"/>
              </w:rPr>
              <w:t>型号</w:t>
            </w:r>
          </w:p>
        </w:tc>
        <w:tc>
          <w:tcPr>
            <w:tcW w:w="814" w:type="dxa"/>
            <w:vAlign w:val="top"/>
          </w:tcPr>
          <w:p w14:paraId="3A711844">
            <w:pPr>
              <w:pStyle w:val="6"/>
              <w:spacing w:before="30" w:line="221" w:lineRule="auto"/>
              <w:ind w:left="247" w:right="135" w:hanging="108"/>
              <w:rPr>
                <w:sz w:val="18"/>
                <w:szCs w:val="18"/>
              </w:rPr>
            </w:pPr>
            <w:r>
              <w:rPr>
                <w:spacing w:val="-3"/>
                <w:sz w:val="18"/>
                <w:szCs w:val="18"/>
              </w:rPr>
              <w:t>接入组</w:t>
            </w:r>
            <w:r>
              <w:rPr>
                <w:spacing w:val="1"/>
                <w:sz w:val="18"/>
                <w:szCs w:val="18"/>
              </w:rPr>
              <w:t xml:space="preserve"> </w:t>
            </w:r>
            <w:r>
              <w:rPr>
                <w:spacing w:val="-12"/>
                <w:sz w:val="18"/>
                <w:szCs w:val="18"/>
              </w:rPr>
              <w:t>串数</w:t>
            </w:r>
          </w:p>
        </w:tc>
        <w:tc>
          <w:tcPr>
            <w:tcW w:w="791" w:type="dxa"/>
            <w:vAlign w:val="top"/>
          </w:tcPr>
          <w:p w14:paraId="2D5F6554">
            <w:pPr>
              <w:pStyle w:val="6"/>
              <w:spacing w:before="30" w:line="221" w:lineRule="auto"/>
              <w:ind w:left="129" w:right="122"/>
              <w:rPr>
                <w:sz w:val="18"/>
                <w:szCs w:val="18"/>
              </w:rPr>
            </w:pPr>
            <w:r>
              <w:rPr>
                <w:spacing w:val="-3"/>
                <w:sz w:val="18"/>
                <w:szCs w:val="18"/>
              </w:rPr>
              <w:t>对应组</w:t>
            </w:r>
            <w:r>
              <w:rPr>
                <w:spacing w:val="1"/>
                <w:sz w:val="18"/>
                <w:szCs w:val="18"/>
              </w:rPr>
              <w:t xml:space="preserve"> </w:t>
            </w:r>
            <w:r>
              <w:rPr>
                <w:spacing w:val="-3"/>
                <w:sz w:val="18"/>
                <w:szCs w:val="18"/>
              </w:rPr>
              <w:t>件功率</w:t>
            </w:r>
          </w:p>
        </w:tc>
        <w:tc>
          <w:tcPr>
            <w:tcW w:w="756" w:type="dxa"/>
            <w:vMerge w:val="restart"/>
            <w:tcBorders>
              <w:bottom w:val="nil"/>
            </w:tcBorders>
            <w:vAlign w:val="top"/>
          </w:tcPr>
          <w:p w14:paraId="225680DD">
            <w:pPr>
              <w:pStyle w:val="6"/>
              <w:spacing w:before="150" w:line="229" w:lineRule="auto"/>
              <w:ind w:left="203" w:right="103" w:hanging="90"/>
              <w:rPr>
                <w:sz w:val="18"/>
                <w:szCs w:val="18"/>
              </w:rPr>
            </w:pPr>
            <w:r>
              <w:rPr>
                <w:spacing w:val="-3"/>
                <w:sz w:val="18"/>
                <w:szCs w:val="18"/>
              </w:rPr>
              <w:t>逆变器</w:t>
            </w:r>
            <w:r>
              <w:rPr>
                <w:spacing w:val="1"/>
                <w:sz w:val="18"/>
                <w:szCs w:val="18"/>
              </w:rPr>
              <w:t xml:space="preserve"> </w:t>
            </w:r>
            <w:r>
              <w:rPr>
                <w:spacing w:val="-5"/>
                <w:sz w:val="18"/>
                <w:szCs w:val="18"/>
              </w:rPr>
              <w:t>数量</w:t>
            </w:r>
          </w:p>
        </w:tc>
        <w:tc>
          <w:tcPr>
            <w:tcW w:w="875" w:type="dxa"/>
            <w:vMerge w:val="restart"/>
            <w:tcBorders>
              <w:bottom w:val="nil"/>
            </w:tcBorders>
            <w:vAlign w:val="top"/>
          </w:tcPr>
          <w:p w14:paraId="3A4D407A">
            <w:pPr>
              <w:pStyle w:val="6"/>
              <w:spacing w:before="34" w:line="229" w:lineRule="auto"/>
              <w:ind w:left="124" w:right="119" w:firstLine="52"/>
              <w:jc w:val="both"/>
              <w:rPr>
                <w:sz w:val="18"/>
                <w:szCs w:val="18"/>
              </w:rPr>
            </w:pPr>
            <w:r>
              <w:rPr>
                <w:spacing w:val="-4"/>
                <w:sz w:val="18"/>
                <w:szCs w:val="18"/>
              </w:rPr>
              <w:t>组件安</w:t>
            </w:r>
            <w:r>
              <w:rPr>
                <w:spacing w:val="1"/>
                <w:sz w:val="18"/>
                <w:szCs w:val="18"/>
              </w:rPr>
              <w:t xml:space="preserve"> </w:t>
            </w:r>
            <w:r>
              <w:rPr>
                <w:spacing w:val="14"/>
                <w:sz w:val="18"/>
                <w:szCs w:val="18"/>
              </w:rPr>
              <w:t>装容量</w:t>
            </w:r>
            <w:r>
              <w:rPr>
                <w:sz w:val="18"/>
                <w:szCs w:val="18"/>
              </w:rPr>
              <w:t xml:space="preserve"> </w:t>
            </w:r>
            <w:r>
              <w:rPr>
                <w:spacing w:val="-9"/>
                <w:sz w:val="18"/>
                <w:szCs w:val="18"/>
              </w:rPr>
              <w:t>（</w:t>
            </w:r>
            <w:r>
              <w:rPr>
                <w:rFonts w:ascii="Times New Roman" w:hAnsi="Times New Roman" w:eastAsia="Times New Roman" w:cs="Times New Roman"/>
                <w:spacing w:val="-9"/>
                <w:sz w:val="18"/>
                <w:szCs w:val="18"/>
              </w:rPr>
              <w:t>KW</w:t>
            </w:r>
            <w:r>
              <w:rPr>
                <w:spacing w:val="-9"/>
                <w:sz w:val="18"/>
                <w:szCs w:val="18"/>
              </w:rPr>
              <w:t>）</w:t>
            </w:r>
          </w:p>
        </w:tc>
        <w:tc>
          <w:tcPr>
            <w:tcW w:w="965" w:type="dxa"/>
            <w:vMerge w:val="restart"/>
            <w:tcBorders>
              <w:bottom w:val="nil"/>
            </w:tcBorders>
            <w:vAlign w:val="top"/>
          </w:tcPr>
          <w:p w14:paraId="1AD42F70">
            <w:pPr>
              <w:pStyle w:val="6"/>
              <w:spacing w:before="33" w:line="219" w:lineRule="auto"/>
              <w:ind w:left="142"/>
              <w:rPr>
                <w:sz w:val="18"/>
                <w:szCs w:val="18"/>
              </w:rPr>
            </w:pPr>
            <w:r>
              <w:rPr>
                <w:spacing w:val="-5"/>
                <w:sz w:val="18"/>
                <w:szCs w:val="18"/>
              </w:rPr>
              <w:t>阵列单元</w:t>
            </w:r>
          </w:p>
          <w:p w14:paraId="6CF748DE">
            <w:pPr>
              <w:pStyle w:val="6"/>
              <w:spacing w:before="18" w:line="220" w:lineRule="auto"/>
              <w:ind w:left="314"/>
              <w:rPr>
                <w:sz w:val="18"/>
                <w:szCs w:val="18"/>
              </w:rPr>
            </w:pPr>
            <w:r>
              <w:rPr>
                <w:spacing w:val="-5"/>
                <w:sz w:val="18"/>
                <w:szCs w:val="18"/>
              </w:rPr>
              <w:t>容量</w:t>
            </w:r>
          </w:p>
          <w:p w14:paraId="61D7E708">
            <w:pPr>
              <w:pStyle w:val="6"/>
              <w:spacing w:before="18" w:line="211" w:lineRule="auto"/>
              <w:ind w:left="125"/>
              <w:rPr>
                <w:sz w:val="18"/>
                <w:szCs w:val="18"/>
              </w:rPr>
            </w:pPr>
            <w:r>
              <w:rPr>
                <w:spacing w:val="-4"/>
                <w:sz w:val="18"/>
                <w:szCs w:val="18"/>
              </w:rPr>
              <w:t>（</w:t>
            </w:r>
            <w:r>
              <w:rPr>
                <w:rFonts w:ascii="Times New Roman" w:hAnsi="Times New Roman" w:eastAsia="Times New Roman" w:cs="Times New Roman"/>
                <w:spacing w:val="-4"/>
                <w:sz w:val="18"/>
                <w:szCs w:val="18"/>
              </w:rPr>
              <w:t>KWp</w:t>
            </w:r>
            <w:r>
              <w:rPr>
                <w:spacing w:val="-4"/>
                <w:sz w:val="18"/>
                <w:szCs w:val="18"/>
              </w:rPr>
              <w:t>）</w:t>
            </w:r>
          </w:p>
        </w:tc>
        <w:tc>
          <w:tcPr>
            <w:tcW w:w="754" w:type="dxa"/>
            <w:vMerge w:val="continue"/>
            <w:tcBorders>
              <w:top w:val="nil"/>
              <w:bottom w:val="nil"/>
            </w:tcBorders>
            <w:vAlign w:val="top"/>
          </w:tcPr>
          <w:p w14:paraId="55B52FBB">
            <w:pPr>
              <w:rPr>
                <w:rFonts w:ascii="Arial"/>
                <w:sz w:val="21"/>
              </w:rPr>
            </w:pPr>
          </w:p>
        </w:tc>
        <w:tc>
          <w:tcPr>
            <w:tcW w:w="974" w:type="dxa"/>
            <w:vMerge w:val="continue"/>
            <w:tcBorders>
              <w:top w:val="nil"/>
              <w:bottom w:val="nil"/>
            </w:tcBorders>
            <w:vAlign w:val="top"/>
          </w:tcPr>
          <w:p w14:paraId="16193349">
            <w:pPr>
              <w:rPr>
                <w:rFonts w:ascii="Arial"/>
                <w:sz w:val="21"/>
              </w:rPr>
            </w:pPr>
          </w:p>
        </w:tc>
        <w:tc>
          <w:tcPr>
            <w:tcW w:w="966" w:type="dxa"/>
            <w:vMerge w:val="continue"/>
            <w:tcBorders>
              <w:top w:val="nil"/>
              <w:bottom w:val="nil"/>
            </w:tcBorders>
            <w:vAlign w:val="top"/>
          </w:tcPr>
          <w:p w14:paraId="2E69F102">
            <w:pPr>
              <w:rPr>
                <w:rFonts w:ascii="Arial"/>
                <w:sz w:val="21"/>
              </w:rPr>
            </w:pPr>
          </w:p>
        </w:tc>
        <w:tc>
          <w:tcPr>
            <w:tcW w:w="1089" w:type="dxa"/>
            <w:vMerge w:val="continue"/>
            <w:tcBorders>
              <w:top w:val="nil"/>
              <w:bottom w:val="nil"/>
              <w:right w:val="single" w:color="000000" w:sz="6" w:space="0"/>
            </w:tcBorders>
            <w:vAlign w:val="top"/>
          </w:tcPr>
          <w:p w14:paraId="1B2FD61D">
            <w:pPr>
              <w:rPr>
                <w:rFonts w:ascii="Arial"/>
                <w:sz w:val="21"/>
              </w:rPr>
            </w:pPr>
          </w:p>
        </w:tc>
      </w:tr>
      <w:tr w14:paraId="324C1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540" w:type="dxa"/>
            <w:vMerge w:val="continue"/>
            <w:tcBorders>
              <w:top w:val="nil"/>
              <w:left w:val="single" w:color="000000" w:sz="6" w:space="0"/>
              <w:bottom w:val="nil"/>
            </w:tcBorders>
            <w:vAlign w:val="top"/>
          </w:tcPr>
          <w:p w14:paraId="4DF875FD">
            <w:pPr>
              <w:rPr>
                <w:rFonts w:ascii="Arial"/>
                <w:sz w:val="21"/>
              </w:rPr>
            </w:pPr>
          </w:p>
        </w:tc>
        <w:tc>
          <w:tcPr>
            <w:tcW w:w="113" w:type="dxa"/>
            <w:vMerge w:val="continue"/>
            <w:tcBorders>
              <w:top w:val="nil"/>
              <w:bottom w:val="nil"/>
            </w:tcBorders>
            <w:vAlign w:val="top"/>
          </w:tcPr>
          <w:p w14:paraId="0DFF6F2C">
            <w:pPr>
              <w:rPr>
                <w:rFonts w:ascii="Arial"/>
                <w:sz w:val="21"/>
              </w:rPr>
            </w:pPr>
          </w:p>
        </w:tc>
        <w:tc>
          <w:tcPr>
            <w:tcW w:w="757" w:type="dxa"/>
            <w:vMerge w:val="continue"/>
            <w:tcBorders>
              <w:top w:val="nil"/>
            </w:tcBorders>
            <w:vAlign w:val="top"/>
          </w:tcPr>
          <w:p w14:paraId="17ABF6EB">
            <w:pPr>
              <w:rPr>
                <w:rFonts w:ascii="Arial"/>
                <w:sz w:val="21"/>
              </w:rPr>
            </w:pPr>
          </w:p>
        </w:tc>
        <w:tc>
          <w:tcPr>
            <w:tcW w:w="757" w:type="dxa"/>
            <w:vMerge w:val="continue"/>
            <w:tcBorders>
              <w:top w:val="nil"/>
            </w:tcBorders>
            <w:vAlign w:val="top"/>
          </w:tcPr>
          <w:p w14:paraId="729F754F">
            <w:pPr>
              <w:rPr>
                <w:rFonts w:ascii="Arial"/>
                <w:sz w:val="21"/>
              </w:rPr>
            </w:pPr>
          </w:p>
        </w:tc>
        <w:tc>
          <w:tcPr>
            <w:tcW w:w="768" w:type="dxa"/>
            <w:vMerge w:val="continue"/>
            <w:tcBorders>
              <w:top w:val="nil"/>
            </w:tcBorders>
            <w:vAlign w:val="top"/>
          </w:tcPr>
          <w:p w14:paraId="3B872CE4">
            <w:pPr>
              <w:rPr>
                <w:rFonts w:ascii="Arial"/>
                <w:sz w:val="21"/>
              </w:rPr>
            </w:pPr>
          </w:p>
        </w:tc>
        <w:tc>
          <w:tcPr>
            <w:tcW w:w="756" w:type="dxa"/>
            <w:vMerge w:val="continue"/>
            <w:tcBorders>
              <w:top w:val="nil"/>
            </w:tcBorders>
            <w:vAlign w:val="top"/>
          </w:tcPr>
          <w:p w14:paraId="5B77BCBD">
            <w:pPr>
              <w:rPr>
                <w:rFonts w:ascii="Arial"/>
                <w:sz w:val="21"/>
              </w:rPr>
            </w:pPr>
          </w:p>
        </w:tc>
        <w:tc>
          <w:tcPr>
            <w:tcW w:w="798" w:type="dxa"/>
            <w:vMerge w:val="continue"/>
            <w:tcBorders>
              <w:top w:val="nil"/>
            </w:tcBorders>
            <w:vAlign w:val="top"/>
          </w:tcPr>
          <w:p w14:paraId="3FEB3686">
            <w:pPr>
              <w:rPr>
                <w:rFonts w:ascii="Arial"/>
                <w:sz w:val="21"/>
              </w:rPr>
            </w:pPr>
          </w:p>
        </w:tc>
        <w:tc>
          <w:tcPr>
            <w:tcW w:w="757" w:type="dxa"/>
            <w:vMerge w:val="continue"/>
            <w:tcBorders>
              <w:top w:val="nil"/>
            </w:tcBorders>
            <w:vAlign w:val="top"/>
          </w:tcPr>
          <w:p w14:paraId="6288566B">
            <w:pPr>
              <w:rPr>
                <w:rFonts w:ascii="Arial"/>
                <w:sz w:val="21"/>
              </w:rPr>
            </w:pPr>
          </w:p>
        </w:tc>
        <w:tc>
          <w:tcPr>
            <w:tcW w:w="758" w:type="dxa"/>
            <w:vMerge w:val="continue"/>
            <w:tcBorders>
              <w:top w:val="nil"/>
            </w:tcBorders>
            <w:vAlign w:val="top"/>
          </w:tcPr>
          <w:p w14:paraId="20E3E280">
            <w:pPr>
              <w:rPr>
                <w:rFonts w:ascii="Arial"/>
                <w:sz w:val="21"/>
              </w:rPr>
            </w:pPr>
          </w:p>
        </w:tc>
        <w:tc>
          <w:tcPr>
            <w:tcW w:w="814" w:type="dxa"/>
            <w:vAlign w:val="top"/>
          </w:tcPr>
          <w:p w14:paraId="0C5FE0DD">
            <w:pPr>
              <w:pStyle w:val="6"/>
              <w:spacing w:before="29" w:line="204" w:lineRule="auto"/>
              <w:ind w:left="150"/>
              <w:rPr>
                <w:sz w:val="18"/>
                <w:szCs w:val="18"/>
              </w:rPr>
            </w:pPr>
            <w:r>
              <w:rPr>
                <w:spacing w:val="-6"/>
                <w:sz w:val="18"/>
                <w:szCs w:val="18"/>
              </w:rPr>
              <w:t>（并）</w:t>
            </w:r>
          </w:p>
        </w:tc>
        <w:tc>
          <w:tcPr>
            <w:tcW w:w="791" w:type="dxa"/>
            <w:vAlign w:val="top"/>
          </w:tcPr>
          <w:p w14:paraId="205F6B28">
            <w:pPr>
              <w:spacing w:before="63" w:line="185" w:lineRule="auto"/>
              <w:ind w:left="20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KWp</w:t>
            </w:r>
          </w:p>
        </w:tc>
        <w:tc>
          <w:tcPr>
            <w:tcW w:w="756" w:type="dxa"/>
            <w:vMerge w:val="continue"/>
            <w:tcBorders>
              <w:top w:val="nil"/>
            </w:tcBorders>
            <w:vAlign w:val="top"/>
          </w:tcPr>
          <w:p w14:paraId="1BC07B4D">
            <w:pPr>
              <w:rPr>
                <w:rFonts w:ascii="Arial"/>
                <w:sz w:val="21"/>
              </w:rPr>
            </w:pPr>
          </w:p>
        </w:tc>
        <w:tc>
          <w:tcPr>
            <w:tcW w:w="875" w:type="dxa"/>
            <w:vMerge w:val="continue"/>
            <w:tcBorders>
              <w:top w:val="nil"/>
            </w:tcBorders>
            <w:vAlign w:val="top"/>
          </w:tcPr>
          <w:p w14:paraId="6F3EDDEF">
            <w:pPr>
              <w:rPr>
                <w:rFonts w:ascii="Arial"/>
                <w:sz w:val="21"/>
              </w:rPr>
            </w:pPr>
          </w:p>
        </w:tc>
        <w:tc>
          <w:tcPr>
            <w:tcW w:w="965" w:type="dxa"/>
            <w:vMerge w:val="continue"/>
            <w:tcBorders>
              <w:top w:val="nil"/>
            </w:tcBorders>
            <w:vAlign w:val="top"/>
          </w:tcPr>
          <w:p w14:paraId="535ABEB6">
            <w:pPr>
              <w:rPr>
                <w:rFonts w:ascii="Arial"/>
                <w:sz w:val="21"/>
              </w:rPr>
            </w:pPr>
          </w:p>
        </w:tc>
        <w:tc>
          <w:tcPr>
            <w:tcW w:w="754" w:type="dxa"/>
            <w:vMerge w:val="continue"/>
            <w:tcBorders>
              <w:top w:val="nil"/>
            </w:tcBorders>
            <w:vAlign w:val="top"/>
          </w:tcPr>
          <w:p w14:paraId="609A267F">
            <w:pPr>
              <w:rPr>
                <w:rFonts w:ascii="Arial"/>
                <w:sz w:val="21"/>
              </w:rPr>
            </w:pPr>
          </w:p>
        </w:tc>
        <w:tc>
          <w:tcPr>
            <w:tcW w:w="974" w:type="dxa"/>
            <w:vMerge w:val="continue"/>
            <w:tcBorders>
              <w:top w:val="nil"/>
            </w:tcBorders>
            <w:vAlign w:val="top"/>
          </w:tcPr>
          <w:p w14:paraId="70FC267C">
            <w:pPr>
              <w:rPr>
                <w:rFonts w:ascii="Arial"/>
                <w:sz w:val="21"/>
              </w:rPr>
            </w:pPr>
          </w:p>
        </w:tc>
        <w:tc>
          <w:tcPr>
            <w:tcW w:w="966" w:type="dxa"/>
            <w:vMerge w:val="continue"/>
            <w:tcBorders>
              <w:top w:val="nil"/>
            </w:tcBorders>
            <w:vAlign w:val="top"/>
          </w:tcPr>
          <w:p w14:paraId="5F97803B">
            <w:pPr>
              <w:rPr>
                <w:rFonts w:ascii="Arial"/>
                <w:sz w:val="21"/>
              </w:rPr>
            </w:pPr>
          </w:p>
        </w:tc>
        <w:tc>
          <w:tcPr>
            <w:tcW w:w="1089" w:type="dxa"/>
            <w:vMerge w:val="continue"/>
            <w:tcBorders>
              <w:top w:val="nil"/>
              <w:right w:val="single" w:color="000000" w:sz="6" w:space="0"/>
            </w:tcBorders>
            <w:vAlign w:val="top"/>
          </w:tcPr>
          <w:p w14:paraId="0A4E7ECA">
            <w:pPr>
              <w:rPr>
                <w:rFonts w:ascii="Arial"/>
                <w:sz w:val="21"/>
              </w:rPr>
            </w:pPr>
          </w:p>
        </w:tc>
      </w:tr>
      <w:tr w14:paraId="59706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540" w:type="dxa"/>
            <w:vMerge w:val="continue"/>
            <w:tcBorders>
              <w:top w:val="nil"/>
              <w:left w:val="single" w:color="000000" w:sz="6" w:space="0"/>
              <w:bottom w:val="nil"/>
            </w:tcBorders>
            <w:vAlign w:val="top"/>
          </w:tcPr>
          <w:p w14:paraId="5FC630EB">
            <w:pPr>
              <w:rPr>
                <w:rFonts w:ascii="Arial"/>
                <w:sz w:val="21"/>
              </w:rPr>
            </w:pPr>
          </w:p>
        </w:tc>
        <w:tc>
          <w:tcPr>
            <w:tcW w:w="113" w:type="dxa"/>
            <w:vMerge w:val="continue"/>
            <w:tcBorders>
              <w:top w:val="nil"/>
              <w:bottom w:val="nil"/>
            </w:tcBorders>
            <w:vAlign w:val="top"/>
          </w:tcPr>
          <w:p w14:paraId="5CF9C531">
            <w:pPr>
              <w:rPr>
                <w:rFonts w:ascii="Arial"/>
                <w:sz w:val="21"/>
              </w:rPr>
            </w:pPr>
          </w:p>
        </w:tc>
        <w:tc>
          <w:tcPr>
            <w:tcW w:w="757" w:type="dxa"/>
            <w:vMerge w:val="restart"/>
            <w:tcBorders>
              <w:bottom w:val="nil"/>
            </w:tcBorders>
            <w:vAlign w:val="top"/>
          </w:tcPr>
          <w:p w14:paraId="0D2DA43B">
            <w:pPr>
              <w:spacing w:line="409" w:lineRule="auto"/>
              <w:rPr>
                <w:rFonts w:ascii="Arial"/>
                <w:sz w:val="21"/>
              </w:rPr>
            </w:pPr>
          </w:p>
          <w:p w14:paraId="552ED4F5">
            <w:pPr>
              <w:pStyle w:val="6"/>
              <w:spacing w:before="59" w:line="220" w:lineRule="auto"/>
              <w:ind w:left="127"/>
              <w:rPr>
                <w:rFonts w:ascii="Times New Roman" w:hAnsi="Times New Roman" w:eastAsia="Times New Roman" w:cs="Times New Roman"/>
                <w:sz w:val="18"/>
                <w:szCs w:val="18"/>
              </w:rPr>
            </w:pPr>
            <w:r>
              <w:rPr>
                <w:spacing w:val="-3"/>
                <w:sz w:val="18"/>
                <w:szCs w:val="18"/>
              </w:rPr>
              <w:t>地块</w:t>
            </w:r>
            <w:r>
              <w:rPr>
                <w:spacing w:val="-23"/>
                <w:sz w:val="18"/>
                <w:szCs w:val="18"/>
              </w:rPr>
              <w:t xml:space="preserve"> </w:t>
            </w:r>
            <w:r>
              <w:rPr>
                <w:rFonts w:ascii="Times New Roman" w:hAnsi="Times New Roman" w:eastAsia="Times New Roman" w:cs="Times New Roman"/>
                <w:spacing w:val="-3"/>
                <w:sz w:val="18"/>
                <w:szCs w:val="18"/>
              </w:rPr>
              <w:t>1</w:t>
            </w:r>
          </w:p>
        </w:tc>
        <w:tc>
          <w:tcPr>
            <w:tcW w:w="757" w:type="dxa"/>
            <w:vMerge w:val="restart"/>
            <w:tcBorders>
              <w:bottom w:val="nil"/>
            </w:tcBorders>
            <w:vAlign w:val="top"/>
          </w:tcPr>
          <w:p w14:paraId="7FEB7A5E">
            <w:pPr>
              <w:pStyle w:val="6"/>
              <w:spacing w:before="31" w:line="220" w:lineRule="auto"/>
              <w:ind w:left="100"/>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p>
          <w:p w14:paraId="6D4868BD">
            <w:pPr>
              <w:pStyle w:val="6"/>
              <w:spacing w:before="18" w:line="221" w:lineRule="auto"/>
              <w:ind w:left="122"/>
              <w:rPr>
                <w:sz w:val="18"/>
                <w:szCs w:val="18"/>
              </w:rPr>
            </w:pPr>
            <w:r>
              <w:rPr>
                <w:spacing w:val="-8"/>
                <w:sz w:val="18"/>
                <w:szCs w:val="18"/>
              </w:rPr>
              <w:t>晶双面</w:t>
            </w:r>
          </w:p>
          <w:p w14:paraId="72B96FE1">
            <w:pPr>
              <w:pStyle w:val="6"/>
              <w:spacing w:before="17" w:line="220" w:lineRule="auto"/>
              <w:ind w:left="198"/>
              <w:rPr>
                <w:sz w:val="18"/>
                <w:szCs w:val="18"/>
              </w:rPr>
            </w:pPr>
            <w:r>
              <w:rPr>
                <w:spacing w:val="-4"/>
                <w:sz w:val="18"/>
                <w:szCs w:val="18"/>
              </w:rPr>
              <w:t>双玻</w:t>
            </w:r>
          </w:p>
          <w:p w14:paraId="58E76B49">
            <w:pPr>
              <w:spacing w:before="31" w:line="192"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p>
          <w:p w14:paraId="5BC9878D">
            <w:pPr>
              <w:spacing w:before="42" w:line="180" w:lineRule="auto"/>
              <w:ind w:left="277"/>
              <w:rPr>
                <w:rFonts w:ascii="Times New Roman" w:hAnsi="Times New Roman" w:eastAsia="Times New Roman" w:cs="Times New Roman"/>
                <w:sz w:val="18"/>
                <w:szCs w:val="18"/>
              </w:rPr>
            </w:pPr>
            <w:r>
              <w:rPr>
                <w:rFonts w:ascii="Times New Roman" w:hAnsi="Times New Roman" w:eastAsia="Times New Roman" w:cs="Times New Roman"/>
                <w:sz w:val="18"/>
                <w:szCs w:val="18"/>
              </w:rPr>
              <w:t>V)</w:t>
            </w:r>
          </w:p>
        </w:tc>
        <w:tc>
          <w:tcPr>
            <w:tcW w:w="768" w:type="dxa"/>
            <w:vMerge w:val="restart"/>
            <w:tcBorders>
              <w:bottom w:val="nil"/>
            </w:tcBorders>
            <w:vAlign w:val="top"/>
          </w:tcPr>
          <w:p w14:paraId="0329CFA5">
            <w:pPr>
              <w:spacing w:line="444" w:lineRule="auto"/>
              <w:rPr>
                <w:rFonts w:ascii="Arial"/>
                <w:sz w:val="21"/>
              </w:rPr>
            </w:pPr>
          </w:p>
          <w:p w14:paraId="5632B16F">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02EE82E5">
            <w:pPr>
              <w:spacing w:line="445" w:lineRule="auto"/>
              <w:rPr>
                <w:rFonts w:ascii="Arial"/>
                <w:sz w:val="21"/>
              </w:rPr>
            </w:pPr>
          </w:p>
          <w:p w14:paraId="26B06113">
            <w:pPr>
              <w:spacing w:before="51"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46A10911">
            <w:pPr>
              <w:spacing w:line="444" w:lineRule="auto"/>
              <w:rPr>
                <w:rFonts w:ascii="Arial"/>
                <w:sz w:val="21"/>
              </w:rPr>
            </w:pPr>
          </w:p>
          <w:p w14:paraId="777E2706">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4554881E">
            <w:pPr>
              <w:pStyle w:val="6"/>
              <w:spacing w:before="249" w:line="229" w:lineRule="auto"/>
              <w:ind w:left="294" w:right="106" w:hanging="167"/>
              <w:rPr>
                <w:sz w:val="18"/>
                <w:szCs w:val="18"/>
              </w:rPr>
            </w:pPr>
            <w:r>
              <w:rPr>
                <w:spacing w:val="-8"/>
                <w:sz w:val="18"/>
                <w:szCs w:val="18"/>
              </w:rPr>
              <w:t>固定倾</w:t>
            </w:r>
            <w:r>
              <w:rPr>
                <w:sz w:val="18"/>
                <w:szCs w:val="18"/>
              </w:rPr>
              <w:t xml:space="preserve"> 角</w:t>
            </w:r>
          </w:p>
          <w:p w14:paraId="1E8A09B2">
            <w:pPr>
              <w:spacing w:before="38"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5F621BA4">
            <w:pPr>
              <w:pStyle w:val="6"/>
              <w:spacing w:before="250" w:line="231"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7968A73E">
            <w:pPr>
              <w:spacing w:before="48" w:line="17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75185E4F">
            <w:pPr>
              <w:spacing w:before="48" w:line="17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5DDE4067">
            <w:pPr>
              <w:spacing w:before="48" w:line="178" w:lineRule="auto"/>
              <w:ind w:left="340"/>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875" w:type="dxa"/>
            <w:vAlign w:val="top"/>
          </w:tcPr>
          <w:p w14:paraId="097F3983">
            <w:pPr>
              <w:spacing w:before="48" w:line="178"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3265.92</w:t>
            </w:r>
          </w:p>
        </w:tc>
        <w:tc>
          <w:tcPr>
            <w:tcW w:w="965" w:type="dxa"/>
            <w:vMerge w:val="restart"/>
            <w:tcBorders>
              <w:bottom w:val="nil"/>
            </w:tcBorders>
            <w:vAlign w:val="top"/>
          </w:tcPr>
          <w:p w14:paraId="60F664BB">
            <w:pPr>
              <w:spacing w:before="156"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3961.44</w:t>
            </w:r>
          </w:p>
        </w:tc>
        <w:tc>
          <w:tcPr>
            <w:tcW w:w="754" w:type="dxa"/>
            <w:vMerge w:val="restart"/>
            <w:tcBorders>
              <w:bottom w:val="nil"/>
            </w:tcBorders>
            <w:vAlign w:val="top"/>
          </w:tcPr>
          <w:p w14:paraId="2976ACB9">
            <w:pPr>
              <w:spacing w:before="156"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restart"/>
            <w:tcBorders>
              <w:bottom w:val="nil"/>
            </w:tcBorders>
            <w:vAlign w:val="top"/>
          </w:tcPr>
          <w:p w14:paraId="45C9E2C2">
            <w:pPr>
              <w:spacing w:before="156" w:line="188" w:lineRule="auto"/>
              <w:ind w:left="2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3961.44</w:t>
            </w:r>
          </w:p>
        </w:tc>
        <w:tc>
          <w:tcPr>
            <w:tcW w:w="966" w:type="dxa"/>
            <w:vMerge w:val="restart"/>
            <w:tcBorders>
              <w:bottom w:val="nil"/>
            </w:tcBorders>
            <w:vAlign w:val="top"/>
          </w:tcPr>
          <w:p w14:paraId="01FCDBC0">
            <w:pPr>
              <w:spacing w:before="156" w:line="188"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3300.00</w:t>
            </w:r>
          </w:p>
        </w:tc>
        <w:tc>
          <w:tcPr>
            <w:tcW w:w="1089" w:type="dxa"/>
            <w:vMerge w:val="restart"/>
            <w:tcBorders>
              <w:bottom w:val="nil"/>
              <w:right w:val="single" w:color="000000" w:sz="6" w:space="0"/>
            </w:tcBorders>
            <w:vAlign w:val="top"/>
          </w:tcPr>
          <w:p w14:paraId="573DB0FD">
            <w:pPr>
              <w:spacing w:before="156" w:line="188" w:lineRule="auto"/>
              <w:ind w:left="3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3300</w:t>
            </w:r>
          </w:p>
        </w:tc>
      </w:tr>
      <w:tr w14:paraId="43600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 w:hRule="atLeast"/>
        </w:trPr>
        <w:tc>
          <w:tcPr>
            <w:tcW w:w="540" w:type="dxa"/>
            <w:vMerge w:val="continue"/>
            <w:tcBorders>
              <w:top w:val="nil"/>
              <w:left w:val="single" w:color="000000" w:sz="6" w:space="0"/>
              <w:bottom w:val="nil"/>
            </w:tcBorders>
            <w:vAlign w:val="top"/>
          </w:tcPr>
          <w:p w14:paraId="7C8CD5F1">
            <w:pPr>
              <w:rPr>
                <w:rFonts w:ascii="Arial"/>
                <w:sz w:val="21"/>
              </w:rPr>
            </w:pPr>
          </w:p>
        </w:tc>
        <w:tc>
          <w:tcPr>
            <w:tcW w:w="113" w:type="dxa"/>
            <w:vMerge w:val="continue"/>
            <w:tcBorders>
              <w:top w:val="nil"/>
              <w:bottom w:val="nil"/>
            </w:tcBorders>
            <w:vAlign w:val="top"/>
          </w:tcPr>
          <w:p w14:paraId="5C5AA27D">
            <w:pPr>
              <w:rPr>
                <w:rFonts w:ascii="Arial"/>
                <w:sz w:val="21"/>
              </w:rPr>
            </w:pPr>
          </w:p>
        </w:tc>
        <w:tc>
          <w:tcPr>
            <w:tcW w:w="757" w:type="dxa"/>
            <w:vMerge w:val="continue"/>
            <w:tcBorders>
              <w:top w:val="nil"/>
              <w:bottom w:val="nil"/>
            </w:tcBorders>
            <w:vAlign w:val="top"/>
          </w:tcPr>
          <w:p w14:paraId="4719202C">
            <w:pPr>
              <w:rPr>
                <w:rFonts w:ascii="Arial"/>
                <w:sz w:val="21"/>
              </w:rPr>
            </w:pPr>
          </w:p>
        </w:tc>
        <w:tc>
          <w:tcPr>
            <w:tcW w:w="757" w:type="dxa"/>
            <w:vMerge w:val="continue"/>
            <w:tcBorders>
              <w:top w:val="nil"/>
              <w:bottom w:val="nil"/>
            </w:tcBorders>
            <w:vAlign w:val="top"/>
          </w:tcPr>
          <w:p w14:paraId="560A348A">
            <w:pPr>
              <w:rPr>
                <w:rFonts w:ascii="Arial"/>
                <w:sz w:val="21"/>
              </w:rPr>
            </w:pPr>
          </w:p>
        </w:tc>
        <w:tc>
          <w:tcPr>
            <w:tcW w:w="768" w:type="dxa"/>
            <w:vMerge w:val="continue"/>
            <w:tcBorders>
              <w:top w:val="nil"/>
              <w:bottom w:val="nil"/>
            </w:tcBorders>
            <w:vAlign w:val="top"/>
          </w:tcPr>
          <w:p w14:paraId="7B757DA2">
            <w:pPr>
              <w:rPr>
                <w:rFonts w:ascii="Arial"/>
                <w:sz w:val="21"/>
              </w:rPr>
            </w:pPr>
          </w:p>
        </w:tc>
        <w:tc>
          <w:tcPr>
            <w:tcW w:w="756" w:type="dxa"/>
            <w:vMerge w:val="continue"/>
            <w:tcBorders>
              <w:top w:val="nil"/>
              <w:bottom w:val="nil"/>
            </w:tcBorders>
            <w:vAlign w:val="top"/>
          </w:tcPr>
          <w:p w14:paraId="49B9C58E">
            <w:pPr>
              <w:rPr>
                <w:rFonts w:ascii="Arial"/>
                <w:sz w:val="21"/>
              </w:rPr>
            </w:pPr>
          </w:p>
        </w:tc>
        <w:tc>
          <w:tcPr>
            <w:tcW w:w="798" w:type="dxa"/>
            <w:vMerge w:val="continue"/>
            <w:tcBorders>
              <w:top w:val="nil"/>
              <w:bottom w:val="nil"/>
            </w:tcBorders>
            <w:vAlign w:val="top"/>
          </w:tcPr>
          <w:p w14:paraId="1ECE8ED8">
            <w:pPr>
              <w:rPr>
                <w:rFonts w:ascii="Arial"/>
                <w:sz w:val="21"/>
              </w:rPr>
            </w:pPr>
          </w:p>
        </w:tc>
        <w:tc>
          <w:tcPr>
            <w:tcW w:w="757" w:type="dxa"/>
            <w:vMerge w:val="continue"/>
            <w:tcBorders>
              <w:top w:val="nil"/>
              <w:bottom w:val="nil"/>
            </w:tcBorders>
            <w:vAlign w:val="top"/>
          </w:tcPr>
          <w:p w14:paraId="68F3FB42">
            <w:pPr>
              <w:rPr>
                <w:rFonts w:ascii="Arial"/>
                <w:sz w:val="21"/>
              </w:rPr>
            </w:pPr>
          </w:p>
        </w:tc>
        <w:tc>
          <w:tcPr>
            <w:tcW w:w="758" w:type="dxa"/>
            <w:vMerge w:val="continue"/>
            <w:tcBorders>
              <w:top w:val="nil"/>
              <w:bottom w:val="nil"/>
            </w:tcBorders>
            <w:vAlign w:val="top"/>
          </w:tcPr>
          <w:p w14:paraId="3B2B731D">
            <w:pPr>
              <w:rPr>
                <w:rFonts w:ascii="Arial"/>
                <w:sz w:val="21"/>
              </w:rPr>
            </w:pPr>
          </w:p>
        </w:tc>
        <w:tc>
          <w:tcPr>
            <w:tcW w:w="814" w:type="dxa"/>
            <w:vAlign w:val="top"/>
          </w:tcPr>
          <w:p w14:paraId="5D156EA6">
            <w:pPr>
              <w:spacing w:before="47" w:line="17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tc>
        <w:tc>
          <w:tcPr>
            <w:tcW w:w="791" w:type="dxa"/>
            <w:vAlign w:val="top"/>
          </w:tcPr>
          <w:p w14:paraId="52F465DF">
            <w:pPr>
              <w:spacing w:before="47" w:line="17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347.76</w:t>
            </w:r>
          </w:p>
        </w:tc>
        <w:tc>
          <w:tcPr>
            <w:tcW w:w="756" w:type="dxa"/>
            <w:vAlign w:val="top"/>
          </w:tcPr>
          <w:p w14:paraId="44A87FC2">
            <w:pPr>
              <w:spacing w:before="47" w:line="178" w:lineRule="auto"/>
              <w:ind w:left="33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75" w:type="dxa"/>
            <w:vAlign w:val="top"/>
          </w:tcPr>
          <w:p w14:paraId="658A85F9">
            <w:pPr>
              <w:spacing w:before="47" w:line="17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695.52</w:t>
            </w:r>
          </w:p>
        </w:tc>
        <w:tc>
          <w:tcPr>
            <w:tcW w:w="965" w:type="dxa"/>
            <w:vMerge w:val="continue"/>
            <w:tcBorders>
              <w:top w:val="nil"/>
            </w:tcBorders>
            <w:vAlign w:val="top"/>
          </w:tcPr>
          <w:p w14:paraId="6C5EEE0C">
            <w:pPr>
              <w:rPr>
                <w:rFonts w:ascii="Arial"/>
                <w:sz w:val="21"/>
              </w:rPr>
            </w:pPr>
          </w:p>
        </w:tc>
        <w:tc>
          <w:tcPr>
            <w:tcW w:w="754" w:type="dxa"/>
            <w:vMerge w:val="continue"/>
            <w:tcBorders>
              <w:top w:val="nil"/>
            </w:tcBorders>
            <w:vAlign w:val="top"/>
          </w:tcPr>
          <w:p w14:paraId="5FC2B13C">
            <w:pPr>
              <w:rPr>
                <w:rFonts w:ascii="Arial"/>
                <w:sz w:val="21"/>
              </w:rPr>
            </w:pPr>
          </w:p>
        </w:tc>
        <w:tc>
          <w:tcPr>
            <w:tcW w:w="974" w:type="dxa"/>
            <w:vMerge w:val="continue"/>
            <w:tcBorders>
              <w:top w:val="nil"/>
            </w:tcBorders>
            <w:vAlign w:val="top"/>
          </w:tcPr>
          <w:p w14:paraId="437F26F1">
            <w:pPr>
              <w:rPr>
                <w:rFonts w:ascii="Arial"/>
                <w:sz w:val="21"/>
              </w:rPr>
            </w:pPr>
          </w:p>
        </w:tc>
        <w:tc>
          <w:tcPr>
            <w:tcW w:w="966" w:type="dxa"/>
            <w:vMerge w:val="continue"/>
            <w:tcBorders>
              <w:top w:val="nil"/>
            </w:tcBorders>
            <w:vAlign w:val="top"/>
          </w:tcPr>
          <w:p w14:paraId="23F70FEC">
            <w:pPr>
              <w:rPr>
                <w:rFonts w:ascii="Arial"/>
                <w:sz w:val="21"/>
              </w:rPr>
            </w:pPr>
          </w:p>
        </w:tc>
        <w:tc>
          <w:tcPr>
            <w:tcW w:w="1089" w:type="dxa"/>
            <w:vMerge w:val="continue"/>
            <w:tcBorders>
              <w:top w:val="nil"/>
              <w:right w:val="single" w:color="000000" w:sz="6" w:space="0"/>
            </w:tcBorders>
            <w:vAlign w:val="top"/>
          </w:tcPr>
          <w:p w14:paraId="6D103174">
            <w:pPr>
              <w:rPr>
                <w:rFonts w:ascii="Arial"/>
                <w:sz w:val="21"/>
              </w:rPr>
            </w:pPr>
          </w:p>
        </w:tc>
      </w:tr>
      <w:tr w14:paraId="630A6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540" w:type="dxa"/>
            <w:vMerge w:val="continue"/>
            <w:tcBorders>
              <w:top w:val="nil"/>
              <w:left w:val="single" w:color="000000" w:sz="6" w:space="0"/>
              <w:bottom w:val="nil"/>
            </w:tcBorders>
            <w:vAlign w:val="top"/>
          </w:tcPr>
          <w:p w14:paraId="66926CC3">
            <w:pPr>
              <w:rPr>
                <w:rFonts w:ascii="Arial"/>
                <w:sz w:val="21"/>
              </w:rPr>
            </w:pPr>
          </w:p>
        </w:tc>
        <w:tc>
          <w:tcPr>
            <w:tcW w:w="113" w:type="dxa"/>
            <w:vMerge w:val="continue"/>
            <w:tcBorders>
              <w:top w:val="nil"/>
              <w:bottom w:val="nil"/>
            </w:tcBorders>
            <w:vAlign w:val="top"/>
          </w:tcPr>
          <w:p w14:paraId="6369F579">
            <w:pPr>
              <w:rPr>
                <w:rFonts w:ascii="Arial"/>
                <w:sz w:val="21"/>
              </w:rPr>
            </w:pPr>
          </w:p>
        </w:tc>
        <w:tc>
          <w:tcPr>
            <w:tcW w:w="757" w:type="dxa"/>
            <w:vMerge w:val="continue"/>
            <w:tcBorders>
              <w:top w:val="nil"/>
            </w:tcBorders>
            <w:vAlign w:val="top"/>
          </w:tcPr>
          <w:p w14:paraId="6CD380C7">
            <w:pPr>
              <w:rPr>
                <w:rFonts w:ascii="Arial"/>
                <w:sz w:val="21"/>
              </w:rPr>
            </w:pPr>
          </w:p>
        </w:tc>
        <w:tc>
          <w:tcPr>
            <w:tcW w:w="757" w:type="dxa"/>
            <w:vMerge w:val="continue"/>
            <w:tcBorders>
              <w:top w:val="nil"/>
            </w:tcBorders>
            <w:vAlign w:val="top"/>
          </w:tcPr>
          <w:p w14:paraId="0970ADE2">
            <w:pPr>
              <w:rPr>
                <w:rFonts w:ascii="Arial"/>
                <w:sz w:val="21"/>
              </w:rPr>
            </w:pPr>
          </w:p>
        </w:tc>
        <w:tc>
          <w:tcPr>
            <w:tcW w:w="768" w:type="dxa"/>
            <w:vMerge w:val="continue"/>
            <w:tcBorders>
              <w:top w:val="nil"/>
            </w:tcBorders>
            <w:vAlign w:val="top"/>
          </w:tcPr>
          <w:p w14:paraId="39EDE5DB">
            <w:pPr>
              <w:rPr>
                <w:rFonts w:ascii="Arial"/>
                <w:sz w:val="21"/>
              </w:rPr>
            </w:pPr>
          </w:p>
        </w:tc>
        <w:tc>
          <w:tcPr>
            <w:tcW w:w="756" w:type="dxa"/>
            <w:vMerge w:val="continue"/>
            <w:tcBorders>
              <w:top w:val="nil"/>
            </w:tcBorders>
            <w:vAlign w:val="top"/>
          </w:tcPr>
          <w:p w14:paraId="11B54162">
            <w:pPr>
              <w:rPr>
                <w:rFonts w:ascii="Arial"/>
                <w:sz w:val="21"/>
              </w:rPr>
            </w:pPr>
          </w:p>
        </w:tc>
        <w:tc>
          <w:tcPr>
            <w:tcW w:w="798" w:type="dxa"/>
            <w:vMerge w:val="continue"/>
            <w:tcBorders>
              <w:top w:val="nil"/>
            </w:tcBorders>
            <w:vAlign w:val="top"/>
          </w:tcPr>
          <w:p w14:paraId="78A2AE07">
            <w:pPr>
              <w:rPr>
                <w:rFonts w:ascii="Arial"/>
                <w:sz w:val="21"/>
              </w:rPr>
            </w:pPr>
          </w:p>
        </w:tc>
        <w:tc>
          <w:tcPr>
            <w:tcW w:w="757" w:type="dxa"/>
            <w:vMerge w:val="continue"/>
            <w:tcBorders>
              <w:top w:val="nil"/>
            </w:tcBorders>
            <w:vAlign w:val="top"/>
          </w:tcPr>
          <w:p w14:paraId="2DEBB811">
            <w:pPr>
              <w:rPr>
                <w:rFonts w:ascii="Arial"/>
                <w:sz w:val="21"/>
              </w:rPr>
            </w:pPr>
          </w:p>
        </w:tc>
        <w:tc>
          <w:tcPr>
            <w:tcW w:w="758" w:type="dxa"/>
            <w:vMerge w:val="continue"/>
            <w:tcBorders>
              <w:top w:val="nil"/>
            </w:tcBorders>
            <w:vAlign w:val="top"/>
          </w:tcPr>
          <w:p w14:paraId="5FCACDDB">
            <w:pPr>
              <w:rPr>
                <w:rFonts w:ascii="Arial"/>
                <w:sz w:val="21"/>
              </w:rPr>
            </w:pPr>
          </w:p>
        </w:tc>
        <w:tc>
          <w:tcPr>
            <w:tcW w:w="814" w:type="dxa"/>
            <w:vAlign w:val="top"/>
          </w:tcPr>
          <w:p w14:paraId="195F40BD">
            <w:pPr>
              <w:spacing w:before="284"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04733C54">
            <w:pPr>
              <w:spacing w:before="284"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2E79ECEC">
            <w:pPr>
              <w:spacing w:before="284" w:line="188" w:lineRule="auto"/>
              <w:ind w:left="344"/>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875" w:type="dxa"/>
            <w:vAlign w:val="top"/>
          </w:tcPr>
          <w:p w14:paraId="648E3A73">
            <w:pPr>
              <w:spacing w:before="284"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2903.04</w:t>
            </w:r>
          </w:p>
        </w:tc>
        <w:tc>
          <w:tcPr>
            <w:tcW w:w="965" w:type="dxa"/>
            <w:vAlign w:val="top"/>
          </w:tcPr>
          <w:p w14:paraId="60D849C2">
            <w:pPr>
              <w:spacing w:before="284"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2903.04</w:t>
            </w:r>
          </w:p>
        </w:tc>
        <w:tc>
          <w:tcPr>
            <w:tcW w:w="754" w:type="dxa"/>
            <w:vAlign w:val="top"/>
          </w:tcPr>
          <w:p w14:paraId="0659A0BC">
            <w:pPr>
              <w:spacing w:before="284"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Align w:val="top"/>
          </w:tcPr>
          <w:p w14:paraId="2C25D774">
            <w:pPr>
              <w:spacing w:line="334" w:lineRule="auto"/>
              <w:rPr>
                <w:rFonts w:ascii="Arial"/>
                <w:sz w:val="21"/>
              </w:rPr>
            </w:pPr>
          </w:p>
          <w:p w14:paraId="3A6666DE">
            <w:pPr>
              <w:spacing w:before="52"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2903.04</w:t>
            </w:r>
          </w:p>
        </w:tc>
        <w:tc>
          <w:tcPr>
            <w:tcW w:w="966" w:type="dxa"/>
            <w:vAlign w:val="top"/>
          </w:tcPr>
          <w:p w14:paraId="08E12FDD">
            <w:pPr>
              <w:spacing w:line="334" w:lineRule="auto"/>
              <w:rPr>
                <w:rFonts w:ascii="Arial"/>
                <w:sz w:val="21"/>
              </w:rPr>
            </w:pPr>
          </w:p>
          <w:p w14:paraId="0EBF863F">
            <w:pPr>
              <w:spacing w:before="52"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2400.00</w:t>
            </w:r>
          </w:p>
        </w:tc>
        <w:tc>
          <w:tcPr>
            <w:tcW w:w="1089" w:type="dxa"/>
            <w:tcBorders>
              <w:right w:val="single" w:color="000000" w:sz="6" w:space="0"/>
            </w:tcBorders>
            <w:vAlign w:val="top"/>
          </w:tcPr>
          <w:p w14:paraId="70AC7C4A">
            <w:pPr>
              <w:spacing w:before="284" w:line="188"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r>
      <w:tr w14:paraId="19714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540" w:type="dxa"/>
            <w:vMerge w:val="continue"/>
            <w:tcBorders>
              <w:top w:val="nil"/>
              <w:left w:val="single" w:color="000000" w:sz="6" w:space="0"/>
              <w:bottom w:val="nil"/>
            </w:tcBorders>
            <w:vAlign w:val="top"/>
          </w:tcPr>
          <w:p w14:paraId="0BA6D366">
            <w:pPr>
              <w:rPr>
                <w:rFonts w:ascii="Arial"/>
                <w:sz w:val="21"/>
              </w:rPr>
            </w:pPr>
          </w:p>
        </w:tc>
        <w:tc>
          <w:tcPr>
            <w:tcW w:w="113" w:type="dxa"/>
            <w:vMerge w:val="continue"/>
            <w:tcBorders>
              <w:top w:val="nil"/>
              <w:bottom w:val="nil"/>
            </w:tcBorders>
            <w:vAlign w:val="top"/>
          </w:tcPr>
          <w:p w14:paraId="10AE9CB3">
            <w:pPr>
              <w:rPr>
                <w:rFonts w:ascii="Arial"/>
                <w:sz w:val="21"/>
              </w:rPr>
            </w:pPr>
          </w:p>
        </w:tc>
        <w:tc>
          <w:tcPr>
            <w:tcW w:w="757" w:type="dxa"/>
            <w:vMerge w:val="restart"/>
            <w:tcBorders>
              <w:bottom w:val="nil"/>
            </w:tcBorders>
            <w:vAlign w:val="top"/>
          </w:tcPr>
          <w:p w14:paraId="00C30787">
            <w:pPr>
              <w:spacing w:line="308" w:lineRule="auto"/>
              <w:rPr>
                <w:rFonts w:ascii="Arial"/>
                <w:sz w:val="21"/>
              </w:rPr>
            </w:pPr>
          </w:p>
          <w:p w14:paraId="19F7E72F">
            <w:pPr>
              <w:pStyle w:val="6"/>
              <w:spacing w:before="59" w:line="231" w:lineRule="auto"/>
              <w:ind w:left="328" w:right="202" w:hanging="131"/>
              <w:rPr>
                <w:rFonts w:ascii="Times New Roman" w:hAnsi="Times New Roman" w:eastAsia="Times New Roman" w:cs="Times New Roman"/>
                <w:sz w:val="18"/>
                <w:szCs w:val="18"/>
              </w:rPr>
            </w:pPr>
            <w:r>
              <w:rPr>
                <w:spacing w:val="-4"/>
                <w:sz w:val="18"/>
                <w:szCs w:val="18"/>
              </w:rPr>
              <w:t>地块</w:t>
            </w:r>
            <w:r>
              <w:rPr>
                <w:sz w:val="18"/>
                <w:szCs w:val="18"/>
              </w:rPr>
              <w:t xml:space="preserve"> </w:t>
            </w:r>
            <w:r>
              <w:rPr>
                <w:rFonts w:ascii="Times New Roman" w:hAnsi="Times New Roman" w:eastAsia="Times New Roman" w:cs="Times New Roman"/>
                <w:sz w:val="18"/>
                <w:szCs w:val="18"/>
              </w:rPr>
              <w:t>2</w:t>
            </w:r>
          </w:p>
        </w:tc>
        <w:tc>
          <w:tcPr>
            <w:tcW w:w="757" w:type="dxa"/>
            <w:vMerge w:val="restart"/>
            <w:tcBorders>
              <w:bottom w:val="nil"/>
            </w:tcBorders>
            <w:vAlign w:val="top"/>
          </w:tcPr>
          <w:p w14:paraId="15840B6C">
            <w:pPr>
              <w:pStyle w:val="6"/>
              <w:spacing w:before="32" w:line="220" w:lineRule="auto"/>
              <w:ind w:left="100"/>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p>
          <w:p w14:paraId="06BBFA4E">
            <w:pPr>
              <w:pStyle w:val="6"/>
              <w:spacing w:before="18" w:line="221" w:lineRule="auto"/>
              <w:ind w:left="122"/>
              <w:rPr>
                <w:sz w:val="18"/>
                <w:szCs w:val="18"/>
              </w:rPr>
            </w:pPr>
            <w:r>
              <w:rPr>
                <w:spacing w:val="-8"/>
                <w:sz w:val="18"/>
                <w:szCs w:val="18"/>
              </w:rPr>
              <w:t>晶双面</w:t>
            </w:r>
          </w:p>
          <w:p w14:paraId="7D145B5C">
            <w:pPr>
              <w:pStyle w:val="6"/>
              <w:spacing w:before="17" w:line="220" w:lineRule="auto"/>
              <w:ind w:left="198"/>
              <w:rPr>
                <w:sz w:val="18"/>
                <w:szCs w:val="18"/>
              </w:rPr>
            </w:pPr>
            <w:r>
              <w:rPr>
                <w:spacing w:val="-4"/>
                <w:sz w:val="18"/>
                <w:szCs w:val="18"/>
              </w:rPr>
              <w:t>双玻</w:t>
            </w:r>
          </w:p>
          <w:p w14:paraId="1B5E18A0">
            <w:pPr>
              <w:spacing w:before="34" w:line="192"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p>
          <w:p w14:paraId="370202FD">
            <w:pPr>
              <w:spacing w:before="41" w:line="178" w:lineRule="auto"/>
              <w:ind w:left="277"/>
              <w:rPr>
                <w:rFonts w:ascii="Times New Roman" w:hAnsi="Times New Roman" w:eastAsia="Times New Roman" w:cs="Times New Roman"/>
                <w:sz w:val="18"/>
                <w:szCs w:val="18"/>
              </w:rPr>
            </w:pPr>
            <w:r>
              <w:rPr>
                <w:rFonts w:ascii="Times New Roman" w:hAnsi="Times New Roman" w:eastAsia="Times New Roman" w:cs="Times New Roman"/>
                <w:sz w:val="18"/>
                <w:szCs w:val="18"/>
              </w:rPr>
              <w:t>V)</w:t>
            </w:r>
          </w:p>
        </w:tc>
        <w:tc>
          <w:tcPr>
            <w:tcW w:w="768" w:type="dxa"/>
            <w:vMerge w:val="restart"/>
            <w:tcBorders>
              <w:bottom w:val="nil"/>
            </w:tcBorders>
            <w:vAlign w:val="top"/>
          </w:tcPr>
          <w:p w14:paraId="7073B2B0">
            <w:pPr>
              <w:spacing w:line="448" w:lineRule="auto"/>
              <w:rPr>
                <w:rFonts w:ascii="Arial"/>
                <w:sz w:val="21"/>
              </w:rPr>
            </w:pPr>
          </w:p>
          <w:p w14:paraId="731AE55C">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33A6B4C6">
            <w:pPr>
              <w:spacing w:line="448" w:lineRule="auto"/>
              <w:rPr>
                <w:rFonts w:ascii="Arial"/>
                <w:sz w:val="21"/>
              </w:rPr>
            </w:pPr>
          </w:p>
          <w:p w14:paraId="54AC6E65">
            <w:pPr>
              <w:spacing w:before="5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0E0E556B">
            <w:pPr>
              <w:spacing w:line="448" w:lineRule="auto"/>
              <w:rPr>
                <w:rFonts w:ascii="Arial"/>
                <w:sz w:val="21"/>
              </w:rPr>
            </w:pPr>
          </w:p>
          <w:p w14:paraId="29C4C884">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531DE022">
            <w:pPr>
              <w:pStyle w:val="6"/>
              <w:spacing w:before="252" w:line="229" w:lineRule="auto"/>
              <w:ind w:left="294" w:right="106" w:hanging="167"/>
              <w:rPr>
                <w:sz w:val="18"/>
                <w:szCs w:val="18"/>
              </w:rPr>
            </w:pPr>
            <w:r>
              <w:rPr>
                <w:spacing w:val="-8"/>
                <w:sz w:val="18"/>
                <w:szCs w:val="18"/>
              </w:rPr>
              <w:t>固定倾</w:t>
            </w:r>
            <w:r>
              <w:rPr>
                <w:sz w:val="18"/>
                <w:szCs w:val="18"/>
              </w:rPr>
              <w:t xml:space="preserve"> 角</w:t>
            </w:r>
          </w:p>
          <w:p w14:paraId="401D9818">
            <w:pPr>
              <w:spacing w:before="36"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3FB73489">
            <w:pPr>
              <w:pStyle w:val="6"/>
              <w:spacing w:before="253" w:line="230"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742D09B2">
            <w:pPr>
              <w:spacing w:before="49" w:line="177"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23238517">
            <w:pPr>
              <w:spacing w:before="49" w:line="177"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61B7D45B">
            <w:pPr>
              <w:spacing w:before="49" w:line="177"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tc>
        <w:tc>
          <w:tcPr>
            <w:tcW w:w="875" w:type="dxa"/>
            <w:vAlign w:val="top"/>
          </w:tcPr>
          <w:p w14:paraId="42FF7DC6">
            <w:pPr>
              <w:spacing w:before="49" w:line="177"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3991.68</w:t>
            </w:r>
          </w:p>
        </w:tc>
        <w:tc>
          <w:tcPr>
            <w:tcW w:w="965" w:type="dxa"/>
            <w:vAlign w:val="top"/>
          </w:tcPr>
          <w:p w14:paraId="3D4B7A38">
            <w:pPr>
              <w:spacing w:before="49" w:line="177"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3991.68</w:t>
            </w:r>
          </w:p>
        </w:tc>
        <w:tc>
          <w:tcPr>
            <w:tcW w:w="754" w:type="dxa"/>
            <w:vAlign w:val="top"/>
          </w:tcPr>
          <w:p w14:paraId="31002E07">
            <w:pPr>
              <w:spacing w:before="49" w:line="177" w:lineRule="auto"/>
              <w:ind w:left="33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74" w:type="dxa"/>
            <w:vMerge w:val="restart"/>
            <w:tcBorders>
              <w:bottom w:val="nil"/>
            </w:tcBorders>
            <w:vAlign w:val="top"/>
          </w:tcPr>
          <w:p w14:paraId="5416E729">
            <w:pPr>
              <w:spacing w:line="448" w:lineRule="auto"/>
              <w:rPr>
                <w:rFonts w:ascii="Arial"/>
                <w:sz w:val="21"/>
              </w:rPr>
            </w:pPr>
          </w:p>
          <w:p w14:paraId="7E056678">
            <w:pPr>
              <w:spacing w:before="52" w:line="188"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11082.96</w:t>
            </w:r>
          </w:p>
        </w:tc>
        <w:tc>
          <w:tcPr>
            <w:tcW w:w="966" w:type="dxa"/>
            <w:vAlign w:val="top"/>
          </w:tcPr>
          <w:p w14:paraId="5F987660">
            <w:pPr>
              <w:spacing w:before="49" w:line="177"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3300.00</w:t>
            </w:r>
          </w:p>
        </w:tc>
        <w:tc>
          <w:tcPr>
            <w:tcW w:w="1089" w:type="dxa"/>
            <w:vMerge w:val="restart"/>
            <w:tcBorders>
              <w:bottom w:val="nil"/>
              <w:right w:val="single" w:color="000000" w:sz="6" w:space="0"/>
            </w:tcBorders>
            <w:vAlign w:val="top"/>
          </w:tcPr>
          <w:p w14:paraId="056D1A6D">
            <w:pPr>
              <w:spacing w:line="448" w:lineRule="auto"/>
              <w:rPr>
                <w:rFonts w:ascii="Arial"/>
                <w:sz w:val="21"/>
              </w:rPr>
            </w:pPr>
          </w:p>
          <w:p w14:paraId="73291D34">
            <w:pPr>
              <w:spacing w:before="52" w:line="188" w:lineRule="auto"/>
              <w:ind w:left="3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9300</w:t>
            </w:r>
          </w:p>
        </w:tc>
      </w:tr>
      <w:tr w14:paraId="2AFC7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 w:hRule="atLeast"/>
        </w:trPr>
        <w:tc>
          <w:tcPr>
            <w:tcW w:w="540" w:type="dxa"/>
            <w:vMerge w:val="continue"/>
            <w:tcBorders>
              <w:top w:val="nil"/>
              <w:left w:val="single" w:color="000000" w:sz="6" w:space="0"/>
              <w:bottom w:val="nil"/>
            </w:tcBorders>
            <w:vAlign w:val="top"/>
          </w:tcPr>
          <w:p w14:paraId="73C24892">
            <w:pPr>
              <w:rPr>
                <w:rFonts w:ascii="Arial"/>
                <w:sz w:val="21"/>
              </w:rPr>
            </w:pPr>
          </w:p>
        </w:tc>
        <w:tc>
          <w:tcPr>
            <w:tcW w:w="113" w:type="dxa"/>
            <w:vMerge w:val="continue"/>
            <w:tcBorders>
              <w:top w:val="nil"/>
              <w:bottom w:val="nil"/>
            </w:tcBorders>
            <w:vAlign w:val="top"/>
          </w:tcPr>
          <w:p w14:paraId="75DC115C">
            <w:pPr>
              <w:rPr>
                <w:rFonts w:ascii="Arial"/>
                <w:sz w:val="21"/>
              </w:rPr>
            </w:pPr>
          </w:p>
        </w:tc>
        <w:tc>
          <w:tcPr>
            <w:tcW w:w="757" w:type="dxa"/>
            <w:vMerge w:val="continue"/>
            <w:tcBorders>
              <w:top w:val="nil"/>
              <w:bottom w:val="nil"/>
            </w:tcBorders>
            <w:vAlign w:val="top"/>
          </w:tcPr>
          <w:p w14:paraId="43282152">
            <w:pPr>
              <w:rPr>
                <w:rFonts w:ascii="Arial"/>
                <w:sz w:val="21"/>
              </w:rPr>
            </w:pPr>
          </w:p>
        </w:tc>
        <w:tc>
          <w:tcPr>
            <w:tcW w:w="757" w:type="dxa"/>
            <w:vMerge w:val="continue"/>
            <w:tcBorders>
              <w:top w:val="nil"/>
              <w:bottom w:val="nil"/>
            </w:tcBorders>
            <w:vAlign w:val="top"/>
          </w:tcPr>
          <w:p w14:paraId="54911135">
            <w:pPr>
              <w:rPr>
                <w:rFonts w:ascii="Arial"/>
                <w:sz w:val="21"/>
              </w:rPr>
            </w:pPr>
          </w:p>
        </w:tc>
        <w:tc>
          <w:tcPr>
            <w:tcW w:w="768" w:type="dxa"/>
            <w:vMerge w:val="continue"/>
            <w:tcBorders>
              <w:top w:val="nil"/>
              <w:bottom w:val="nil"/>
            </w:tcBorders>
            <w:vAlign w:val="top"/>
          </w:tcPr>
          <w:p w14:paraId="03377294">
            <w:pPr>
              <w:rPr>
                <w:rFonts w:ascii="Arial"/>
                <w:sz w:val="21"/>
              </w:rPr>
            </w:pPr>
          </w:p>
        </w:tc>
        <w:tc>
          <w:tcPr>
            <w:tcW w:w="756" w:type="dxa"/>
            <w:vMerge w:val="continue"/>
            <w:tcBorders>
              <w:top w:val="nil"/>
              <w:bottom w:val="nil"/>
            </w:tcBorders>
            <w:vAlign w:val="top"/>
          </w:tcPr>
          <w:p w14:paraId="13E2E409">
            <w:pPr>
              <w:rPr>
                <w:rFonts w:ascii="Arial"/>
                <w:sz w:val="21"/>
              </w:rPr>
            </w:pPr>
          </w:p>
        </w:tc>
        <w:tc>
          <w:tcPr>
            <w:tcW w:w="798" w:type="dxa"/>
            <w:vMerge w:val="continue"/>
            <w:tcBorders>
              <w:top w:val="nil"/>
              <w:bottom w:val="nil"/>
            </w:tcBorders>
            <w:vAlign w:val="top"/>
          </w:tcPr>
          <w:p w14:paraId="2605A60F">
            <w:pPr>
              <w:rPr>
                <w:rFonts w:ascii="Arial"/>
                <w:sz w:val="21"/>
              </w:rPr>
            </w:pPr>
          </w:p>
        </w:tc>
        <w:tc>
          <w:tcPr>
            <w:tcW w:w="757" w:type="dxa"/>
            <w:vMerge w:val="continue"/>
            <w:tcBorders>
              <w:top w:val="nil"/>
              <w:bottom w:val="nil"/>
            </w:tcBorders>
            <w:vAlign w:val="top"/>
          </w:tcPr>
          <w:p w14:paraId="3B841EB5">
            <w:pPr>
              <w:rPr>
                <w:rFonts w:ascii="Arial"/>
                <w:sz w:val="21"/>
              </w:rPr>
            </w:pPr>
          </w:p>
        </w:tc>
        <w:tc>
          <w:tcPr>
            <w:tcW w:w="758" w:type="dxa"/>
            <w:vMerge w:val="continue"/>
            <w:tcBorders>
              <w:top w:val="nil"/>
              <w:bottom w:val="nil"/>
            </w:tcBorders>
            <w:vAlign w:val="top"/>
          </w:tcPr>
          <w:p w14:paraId="71BF2B15">
            <w:pPr>
              <w:rPr>
                <w:rFonts w:ascii="Arial"/>
                <w:sz w:val="21"/>
              </w:rPr>
            </w:pPr>
          </w:p>
        </w:tc>
        <w:tc>
          <w:tcPr>
            <w:tcW w:w="814" w:type="dxa"/>
            <w:vAlign w:val="top"/>
          </w:tcPr>
          <w:p w14:paraId="3DD42E98">
            <w:pPr>
              <w:spacing w:before="48" w:line="177"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tc>
        <w:tc>
          <w:tcPr>
            <w:tcW w:w="791" w:type="dxa"/>
            <w:vAlign w:val="top"/>
          </w:tcPr>
          <w:p w14:paraId="23056881">
            <w:pPr>
              <w:spacing w:before="48" w:line="177"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347.76</w:t>
            </w:r>
          </w:p>
        </w:tc>
        <w:tc>
          <w:tcPr>
            <w:tcW w:w="756" w:type="dxa"/>
            <w:vAlign w:val="top"/>
          </w:tcPr>
          <w:p w14:paraId="23A92684">
            <w:pPr>
              <w:spacing w:before="50" w:line="174" w:lineRule="auto"/>
              <w:ind w:left="339"/>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875" w:type="dxa"/>
            <w:vAlign w:val="top"/>
          </w:tcPr>
          <w:p w14:paraId="34F2E842">
            <w:pPr>
              <w:spacing w:before="48" w:line="177"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2434.32</w:t>
            </w:r>
          </w:p>
        </w:tc>
        <w:tc>
          <w:tcPr>
            <w:tcW w:w="965" w:type="dxa"/>
            <w:vMerge w:val="restart"/>
            <w:tcBorders>
              <w:bottom w:val="nil"/>
            </w:tcBorders>
            <w:vAlign w:val="top"/>
          </w:tcPr>
          <w:p w14:paraId="40937CB3">
            <w:pPr>
              <w:spacing w:line="340" w:lineRule="auto"/>
              <w:rPr>
                <w:rFonts w:ascii="Arial"/>
                <w:sz w:val="21"/>
              </w:rPr>
            </w:pPr>
          </w:p>
          <w:p w14:paraId="4AA63865">
            <w:pPr>
              <w:spacing w:before="51"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3099.60</w:t>
            </w:r>
          </w:p>
        </w:tc>
        <w:tc>
          <w:tcPr>
            <w:tcW w:w="754" w:type="dxa"/>
            <w:vMerge w:val="restart"/>
            <w:tcBorders>
              <w:bottom w:val="nil"/>
            </w:tcBorders>
            <w:vAlign w:val="top"/>
          </w:tcPr>
          <w:p w14:paraId="17B1C6A9">
            <w:pPr>
              <w:spacing w:line="340" w:lineRule="auto"/>
              <w:rPr>
                <w:rFonts w:ascii="Arial"/>
                <w:sz w:val="21"/>
              </w:rPr>
            </w:pPr>
          </w:p>
          <w:p w14:paraId="047482B9">
            <w:pPr>
              <w:spacing w:before="52"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continue"/>
            <w:tcBorders>
              <w:top w:val="nil"/>
              <w:bottom w:val="nil"/>
            </w:tcBorders>
            <w:vAlign w:val="top"/>
          </w:tcPr>
          <w:p w14:paraId="74250525">
            <w:pPr>
              <w:rPr>
                <w:rFonts w:ascii="Arial"/>
                <w:sz w:val="21"/>
              </w:rPr>
            </w:pPr>
          </w:p>
        </w:tc>
        <w:tc>
          <w:tcPr>
            <w:tcW w:w="966" w:type="dxa"/>
            <w:vMerge w:val="restart"/>
            <w:tcBorders>
              <w:bottom w:val="nil"/>
            </w:tcBorders>
            <w:vAlign w:val="top"/>
          </w:tcPr>
          <w:p w14:paraId="7E55350D">
            <w:pPr>
              <w:spacing w:line="340" w:lineRule="auto"/>
              <w:rPr>
                <w:rFonts w:ascii="Arial"/>
                <w:sz w:val="21"/>
              </w:rPr>
            </w:pPr>
          </w:p>
          <w:p w14:paraId="4C7CCE8E">
            <w:pPr>
              <w:spacing w:before="51"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2700.00</w:t>
            </w:r>
          </w:p>
        </w:tc>
        <w:tc>
          <w:tcPr>
            <w:tcW w:w="1089" w:type="dxa"/>
            <w:vMerge w:val="continue"/>
            <w:tcBorders>
              <w:top w:val="nil"/>
              <w:bottom w:val="nil"/>
              <w:right w:val="single" w:color="000000" w:sz="6" w:space="0"/>
            </w:tcBorders>
            <w:vAlign w:val="top"/>
          </w:tcPr>
          <w:p w14:paraId="34B461BE">
            <w:pPr>
              <w:rPr>
                <w:rFonts w:ascii="Arial"/>
                <w:sz w:val="21"/>
              </w:rPr>
            </w:pPr>
          </w:p>
        </w:tc>
      </w:tr>
      <w:tr w14:paraId="55586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540" w:type="dxa"/>
            <w:vMerge w:val="continue"/>
            <w:tcBorders>
              <w:top w:val="nil"/>
              <w:left w:val="single" w:color="000000" w:sz="6" w:space="0"/>
              <w:bottom w:val="nil"/>
            </w:tcBorders>
            <w:vAlign w:val="top"/>
          </w:tcPr>
          <w:p w14:paraId="753770B2">
            <w:pPr>
              <w:rPr>
                <w:rFonts w:ascii="Arial"/>
                <w:sz w:val="21"/>
              </w:rPr>
            </w:pPr>
          </w:p>
        </w:tc>
        <w:tc>
          <w:tcPr>
            <w:tcW w:w="113" w:type="dxa"/>
            <w:vMerge w:val="continue"/>
            <w:tcBorders>
              <w:top w:val="nil"/>
              <w:bottom w:val="nil"/>
            </w:tcBorders>
            <w:vAlign w:val="top"/>
          </w:tcPr>
          <w:p w14:paraId="035C6CC4">
            <w:pPr>
              <w:rPr>
                <w:rFonts w:ascii="Arial"/>
                <w:sz w:val="21"/>
              </w:rPr>
            </w:pPr>
          </w:p>
        </w:tc>
        <w:tc>
          <w:tcPr>
            <w:tcW w:w="757" w:type="dxa"/>
            <w:vMerge w:val="continue"/>
            <w:tcBorders>
              <w:top w:val="nil"/>
            </w:tcBorders>
            <w:vAlign w:val="top"/>
          </w:tcPr>
          <w:p w14:paraId="663D30CA">
            <w:pPr>
              <w:rPr>
                <w:rFonts w:ascii="Arial"/>
                <w:sz w:val="21"/>
              </w:rPr>
            </w:pPr>
          </w:p>
        </w:tc>
        <w:tc>
          <w:tcPr>
            <w:tcW w:w="757" w:type="dxa"/>
            <w:vMerge w:val="continue"/>
            <w:tcBorders>
              <w:top w:val="nil"/>
            </w:tcBorders>
            <w:vAlign w:val="top"/>
          </w:tcPr>
          <w:p w14:paraId="33BFD04C">
            <w:pPr>
              <w:rPr>
                <w:rFonts w:ascii="Arial"/>
                <w:sz w:val="21"/>
              </w:rPr>
            </w:pPr>
          </w:p>
        </w:tc>
        <w:tc>
          <w:tcPr>
            <w:tcW w:w="768" w:type="dxa"/>
            <w:vMerge w:val="continue"/>
            <w:tcBorders>
              <w:top w:val="nil"/>
            </w:tcBorders>
            <w:vAlign w:val="top"/>
          </w:tcPr>
          <w:p w14:paraId="05DFFECB">
            <w:pPr>
              <w:rPr>
                <w:rFonts w:ascii="Arial"/>
                <w:sz w:val="21"/>
              </w:rPr>
            </w:pPr>
          </w:p>
        </w:tc>
        <w:tc>
          <w:tcPr>
            <w:tcW w:w="756" w:type="dxa"/>
            <w:vMerge w:val="continue"/>
            <w:tcBorders>
              <w:top w:val="nil"/>
            </w:tcBorders>
            <w:vAlign w:val="top"/>
          </w:tcPr>
          <w:p w14:paraId="0514592C">
            <w:pPr>
              <w:rPr>
                <w:rFonts w:ascii="Arial"/>
                <w:sz w:val="21"/>
              </w:rPr>
            </w:pPr>
          </w:p>
        </w:tc>
        <w:tc>
          <w:tcPr>
            <w:tcW w:w="798" w:type="dxa"/>
            <w:vMerge w:val="continue"/>
            <w:tcBorders>
              <w:top w:val="nil"/>
            </w:tcBorders>
            <w:vAlign w:val="top"/>
          </w:tcPr>
          <w:p w14:paraId="6EA429AE">
            <w:pPr>
              <w:rPr>
                <w:rFonts w:ascii="Arial"/>
                <w:sz w:val="21"/>
              </w:rPr>
            </w:pPr>
          </w:p>
        </w:tc>
        <w:tc>
          <w:tcPr>
            <w:tcW w:w="757" w:type="dxa"/>
            <w:vMerge w:val="continue"/>
            <w:tcBorders>
              <w:top w:val="nil"/>
            </w:tcBorders>
            <w:vAlign w:val="top"/>
          </w:tcPr>
          <w:p w14:paraId="00B75944">
            <w:pPr>
              <w:rPr>
                <w:rFonts w:ascii="Arial"/>
                <w:sz w:val="21"/>
              </w:rPr>
            </w:pPr>
          </w:p>
        </w:tc>
        <w:tc>
          <w:tcPr>
            <w:tcW w:w="758" w:type="dxa"/>
            <w:vMerge w:val="continue"/>
            <w:tcBorders>
              <w:top w:val="nil"/>
            </w:tcBorders>
            <w:vAlign w:val="top"/>
          </w:tcPr>
          <w:p w14:paraId="2A6B0C4C">
            <w:pPr>
              <w:rPr>
                <w:rFonts w:ascii="Arial"/>
                <w:sz w:val="21"/>
              </w:rPr>
            </w:pPr>
          </w:p>
        </w:tc>
        <w:tc>
          <w:tcPr>
            <w:tcW w:w="814" w:type="dxa"/>
            <w:vAlign w:val="top"/>
          </w:tcPr>
          <w:p w14:paraId="5207D415">
            <w:pPr>
              <w:spacing w:before="286"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tc>
        <w:tc>
          <w:tcPr>
            <w:tcW w:w="791" w:type="dxa"/>
            <w:vAlign w:val="top"/>
          </w:tcPr>
          <w:p w14:paraId="718C9E65">
            <w:pPr>
              <w:spacing w:before="286"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332.64</w:t>
            </w:r>
          </w:p>
        </w:tc>
        <w:tc>
          <w:tcPr>
            <w:tcW w:w="756" w:type="dxa"/>
            <w:vAlign w:val="top"/>
          </w:tcPr>
          <w:p w14:paraId="69FB27A2">
            <w:pPr>
              <w:spacing w:before="286" w:line="188" w:lineRule="auto"/>
              <w:ind w:left="33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75" w:type="dxa"/>
            <w:vAlign w:val="top"/>
          </w:tcPr>
          <w:p w14:paraId="184D82B8">
            <w:pPr>
              <w:spacing w:before="286"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665.28</w:t>
            </w:r>
          </w:p>
        </w:tc>
        <w:tc>
          <w:tcPr>
            <w:tcW w:w="965" w:type="dxa"/>
            <w:vMerge w:val="continue"/>
            <w:tcBorders>
              <w:top w:val="nil"/>
            </w:tcBorders>
            <w:vAlign w:val="top"/>
          </w:tcPr>
          <w:p w14:paraId="2ACAC82E">
            <w:pPr>
              <w:rPr>
                <w:rFonts w:ascii="Arial"/>
                <w:sz w:val="21"/>
              </w:rPr>
            </w:pPr>
          </w:p>
        </w:tc>
        <w:tc>
          <w:tcPr>
            <w:tcW w:w="754" w:type="dxa"/>
            <w:vMerge w:val="continue"/>
            <w:tcBorders>
              <w:top w:val="nil"/>
            </w:tcBorders>
            <w:vAlign w:val="top"/>
          </w:tcPr>
          <w:p w14:paraId="23DBF49F">
            <w:pPr>
              <w:rPr>
                <w:rFonts w:ascii="Arial"/>
                <w:sz w:val="21"/>
              </w:rPr>
            </w:pPr>
          </w:p>
        </w:tc>
        <w:tc>
          <w:tcPr>
            <w:tcW w:w="974" w:type="dxa"/>
            <w:vMerge w:val="continue"/>
            <w:tcBorders>
              <w:top w:val="nil"/>
            </w:tcBorders>
            <w:vAlign w:val="top"/>
          </w:tcPr>
          <w:p w14:paraId="75162310">
            <w:pPr>
              <w:rPr>
                <w:rFonts w:ascii="Arial"/>
                <w:sz w:val="21"/>
              </w:rPr>
            </w:pPr>
          </w:p>
        </w:tc>
        <w:tc>
          <w:tcPr>
            <w:tcW w:w="966" w:type="dxa"/>
            <w:vMerge w:val="continue"/>
            <w:tcBorders>
              <w:top w:val="nil"/>
            </w:tcBorders>
            <w:vAlign w:val="top"/>
          </w:tcPr>
          <w:p w14:paraId="39D03D45">
            <w:pPr>
              <w:rPr>
                <w:rFonts w:ascii="Arial"/>
                <w:sz w:val="21"/>
              </w:rPr>
            </w:pPr>
          </w:p>
        </w:tc>
        <w:tc>
          <w:tcPr>
            <w:tcW w:w="1089" w:type="dxa"/>
            <w:vMerge w:val="continue"/>
            <w:tcBorders>
              <w:top w:val="nil"/>
              <w:right w:val="single" w:color="000000" w:sz="6" w:space="0"/>
            </w:tcBorders>
            <w:vAlign w:val="top"/>
          </w:tcPr>
          <w:p w14:paraId="743CCF20">
            <w:pPr>
              <w:rPr>
                <w:rFonts w:ascii="Arial"/>
                <w:sz w:val="21"/>
              </w:rPr>
            </w:pPr>
          </w:p>
        </w:tc>
      </w:tr>
      <w:tr w14:paraId="183A5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540" w:type="dxa"/>
            <w:vMerge w:val="continue"/>
            <w:tcBorders>
              <w:top w:val="nil"/>
              <w:left w:val="single" w:color="000000" w:sz="6" w:space="0"/>
              <w:bottom w:val="nil"/>
            </w:tcBorders>
            <w:vAlign w:val="top"/>
          </w:tcPr>
          <w:p w14:paraId="53C9D035">
            <w:pPr>
              <w:rPr>
                <w:rFonts w:ascii="Arial"/>
                <w:sz w:val="21"/>
              </w:rPr>
            </w:pPr>
          </w:p>
        </w:tc>
        <w:tc>
          <w:tcPr>
            <w:tcW w:w="113" w:type="dxa"/>
            <w:vMerge w:val="continue"/>
            <w:tcBorders>
              <w:top w:val="nil"/>
              <w:bottom w:val="nil"/>
            </w:tcBorders>
            <w:vAlign w:val="top"/>
          </w:tcPr>
          <w:p w14:paraId="2EA58A44">
            <w:pPr>
              <w:rPr>
                <w:rFonts w:ascii="Arial"/>
                <w:sz w:val="21"/>
              </w:rPr>
            </w:pPr>
          </w:p>
        </w:tc>
        <w:tc>
          <w:tcPr>
            <w:tcW w:w="757" w:type="dxa"/>
            <w:vMerge w:val="restart"/>
            <w:tcBorders>
              <w:bottom w:val="nil"/>
            </w:tcBorders>
            <w:vAlign w:val="top"/>
          </w:tcPr>
          <w:p w14:paraId="05C172F4">
            <w:pPr>
              <w:spacing w:line="312" w:lineRule="auto"/>
              <w:rPr>
                <w:rFonts w:ascii="Arial"/>
                <w:sz w:val="21"/>
              </w:rPr>
            </w:pPr>
          </w:p>
          <w:p w14:paraId="30B94889">
            <w:pPr>
              <w:pStyle w:val="6"/>
              <w:spacing w:before="58" w:line="231" w:lineRule="auto"/>
              <w:ind w:left="331" w:right="202" w:hanging="134"/>
              <w:rPr>
                <w:rFonts w:ascii="Times New Roman" w:hAnsi="Times New Roman" w:eastAsia="Times New Roman" w:cs="Times New Roman"/>
                <w:sz w:val="18"/>
                <w:szCs w:val="18"/>
              </w:rPr>
            </w:pPr>
            <w:r>
              <w:rPr>
                <w:spacing w:val="-4"/>
                <w:sz w:val="18"/>
                <w:szCs w:val="18"/>
              </w:rPr>
              <w:t>地块</w:t>
            </w:r>
            <w:r>
              <w:rPr>
                <w:sz w:val="18"/>
                <w:szCs w:val="18"/>
              </w:rPr>
              <w:t xml:space="preserve"> </w:t>
            </w:r>
            <w:r>
              <w:rPr>
                <w:rFonts w:ascii="Times New Roman" w:hAnsi="Times New Roman" w:eastAsia="Times New Roman" w:cs="Times New Roman"/>
                <w:sz w:val="18"/>
                <w:szCs w:val="18"/>
              </w:rPr>
              <w:t>3</w:t>
            </w:r>
          </w:p>
        </w:tc>
        <w:tc>
          <w:tcPr>
            <w:tcW w:w="757" w:type="dxa"/>
            <w:vMerge w:val="restart"/>
            <w:tcBorders>
              <w:bottom w:val="nil"/>
            </w:tcBorders>
            <w:vAlign w:val="top"/>
          </w:tcPr>
          <w:p w14:paraId="23DCCD2F">
            <w:pPr>
              <w:pStyle w:val="6"/>
              <w:spacing w:before="36" w:line="220" w:lineRule="auto"/>
              <w:ind w:left="100"/>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p>
          <w:p w14:paraId="5395C3BA">
            <w:pPr>
              <w:pStyle w:val="6"/>
              <w:spacing w:before="18" w:line="221" w:lineRule="auto"/>
              <w:ind w:left="122"/>
              <w:rPr>
                <w:sz w:val="18"/>
                <w:szCs w:val="18"/>
              </w:rPr>
            </w:pPr>
            <w:r>
              <w:rPr>
                <w:spacing w:val="-8"/>
                <w:sz w:val="18"/>
                <w:szCs w:val="18"/>
              </w:rPr>
              <w:t>晶双面</w:t>
            </w:r>
          </w:p>
          <w:p w14:paraId="21830086">
            <w:pPr>
              <w:pStyle w:val="6"/>
              <w:spacing w:before="17" w:line="220" w:lineRule="auto"/>
              <w:ind w:left="198"/>
              <w:rPr>
                <w:sz w:val="18"/>
                <w:szCs w:val="18"/>
              </w:rPr>
            </w:pPr>
            <w:r>
              <w:rPr>
                <w:spacing w:val="-4"/>
                <w:sz w:val="18"/>
                <w:szCs w:val="18"/>
              </w:rPr>
              <w:t>双玻</w:t>
            </w:r>
          </w:p>
          <w:p w14:paraId="77637234">
            <w:pPr>
              <w:spacing w:before="31" w:line="192"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p>
          <w:p w14:paraId="7DA2FDEE">
            <w:pPr>
              <w:spacing w:before="43" w:line="176" w:lineRule="auto"/>
              <w:ind w:left="277"/>
              <w:rPr>
                <w:rFonts w:ascii="Times New Roman" w:hAnsi="Times New Roman" w:eastAsia="Times New Roman" w:cs="Times New Roman"/>
                <w:sz w:val="18"/>
                <w:szCs w:val="18"/>
              </w:rPr>
            </w:pPr>
            <w:r>
              <w:rPr>
                <w:rFonts w:ascii="Times New Roman" w:hAnsi="Times New Roman" w:eastAsia="Times New Roman" w:cs="Times New Roman"/>
                <w:sz w:val="18"/>
                <w:szCs w:val="18"/>
              </w:rPr>
              <w:t>V)</w:t>
            </w:r>
          </w:p>
        </w:tc>
        <w:tc>
          <w:tcPr>
            <w:tcW w:w="768" w:type="dxa"/>
            <w:vMerge w:val="restart"/>
            <w:tcBorders>
              <w:bottom w:val="nil"/>
            </w:tcBorders>
            <w:vAlign w:val="top"/>
          </w:tcPr>
          <w:p w14:paraId="176C4291">
            <w:pPr>
              <w:spacing w:line="452" w:lineRule="auto"/>
              <w:rPr>
                <w:rFonts w:ascii="Arial"/>
                <w:sz w:val="21"/>
              </w:rPr>
            </w:pPr>
          </w:p>
          <w:p w14:paraId="7EE246C3">
            <w:pPr>
              <w:spacing w:before="51"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644B5D53">
            <w:pPr>
              <w:spacing w:line="452" w:lineRule="auto"/>
              <w:rPr>
                <w:rFonts w:ascii="Arial"/>
                <w:sz w:val="21"/>
              </w:rPr>
            </w:pPr>
          </w:p>
          <w:p w14:paraId="7135A943">
            <w:pPr>
              <w:spacing w:before="5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209FFF90">
            <w:pPr>
              <w:spacing w:line="452" w:lineRule="auto"/>
              <w:rPr>
                <w:rFonts w:ascii="Arial"/>
                <w:sz w:val="21"/>
              </w:rPr>
            </w:pPr>
          </w:p>
          <w:p w14:paraId="219773D7">
            <w:pPr>
              <w:spacing w:before="51"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35E85FA0">
            <w:pPr>
              <w:pStyle w:val="6"/>
              <w:spacing w:before="253" w:line="229" w:lineRule="auto"/>
              <w:ind w:left="294" w:right="106" w:hanging="167"/>
              <w:rPr>
                <w:sz w:val="18"/>
                <w:szCs w:val="18"/>
              </w:rPr>
            </w:pPr>
            <w:r>
              <w:rPr>
                <w:spacing w:val="-8"/>
                <w:sz w:val="18"/>
                <w:szCs w:val="18"/>
              </w:rPr>
              <w:t>固定倾</w:t>
            </w:r>
            <w:r>
              <w:rPr>
                <w:sz w:val="18"/>
                <w:szCs w:val="18"/>
              </w:rPr>
              <w:t xml:space="preserve"> 角</w:t>
            </w:r>
          </w:p>
          <w:p w14:paraId="3F91F85F">
            <w:pPr>
              <w:spacing w:before="38"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304C9540">
            <w:pPr>
              <w:pStyle w:val="6"/>
              <w:spacing w:before="255" w:line="231"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720B2F59">
            <w:pPr>
              <w:spacing w:before="52" w:line="173"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554F9DB1">
            <w:pPr>
              <w:spacing w:before="52" w:line="173"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418EC07F">
            <w:pPr>
              <w:spacing w:before="52" w:line="173" w:lineRule="auto"/>
              <w:ind w:left="340"/>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875" w:type="dxa"/>
            <w:vAlign w:val="top"/>
          </w:tcPr>
          <w:p w14:paraId="6128B3FD">
            <w:pPr>
              <w:spacing w:before="52" w:line="173"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2177.28</w:t>
            </w:r>
          </w:p>
        </w:tc>
        <w:tc>
          <w:tcPr>
            <w:tcW w:w="965" w:type="dxa"/>
            <w:vAlign w:val="top"/>
          </w:tcPr>
          <w:p w14:paraId="44DE815D">
            <w:pPr>
              <w:spacing w:before="52" w:line="173"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2177.28</w:t>
            </w:r>
          </w:p>
        </w:tc>
        <w:tc>
          <w:tcPr>
            <w:tcW w:w="754" w:type="dxa"/>
            <w:vAlign w:val="top"/>
          </w:tcPr>
          <w:p w14:paraId="4C2D5798">
            <w:pPr>
              <w:spacing w:before="52" w:line="173"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restart"/>
            <w:tcBorders>
              <w:bottom w:val="nil"/>
            </w:tcBorders>
            <w:vAlign w:val="top"/>
          </w:tcPr>
          <w:p w14:paraId="5EBC84E1">
            <w:pPr>
              <w:spacing w:line="452" w:lineRule="auto"/>
              <w:rPr>
                <w:rFonts w:ascii="Arial"/>
                <w:sz w:val="21"/>
              </w:rPr>
            </w:pPr>
          </w:p>
          <w:p w14:paraId="4229DECA">
            <w:pPr>
              <w:spacing w:before="51" w:line="188" w:lineRule="auto"/>
              <w:ind w:left="2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3281.04</w:t>
            </w:r>
          </w:p>
        </w:tc>
        <w:tc>
          <w:tcPr>
            <w:tcW w:w="966" w:type="dxa"/>
            <w:vAlign w:val="top"/>
          </w:tcPr>
          <w:p w14:paraId="0ADF7CBE">
            <w:pPr>
              <w:spacing w:before="52" w:line="173" w:lineRule="auto"/>
              <w:ind w:left="21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1800.00</w:t>
            </w:r>
          </w:p>
        </w:tc>
        <w:tc>
          <w:tcPr>
            <w:tcW w:w="1089" w:type="dxa"/>
            <w:vMerge w:val="restart"/>
            <w:tcBorders>
              <w:bottom w:val="nil"/>
              <w:right w:val="single" w:color="000000" w:sz="6" w:space="0"/>
            </w:tcBorders>
            <w:vAlign w:val="top"/>
          </w:tcPr>
          <w:p w14:paraId="1A9DF1DB">
            <w:pPr>
              <w:spacing w:line="452" w:lineRule="auto"/>
              <w:rPr>
                <w:rFonts w:ascii="Arial"/>
                <w:sz w:val="21"/>
              </w:rPr>
            </w:pPr>
          </w:p>
          <w:p w14:paraId="207776A0">
            <w:pPr>
              <w:spacing w:before="51" w:line="188"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2700</w:t>
            </w:r>
          </w:p>
        </w:tc>
      </w:tr>
      <w:tr w14:paraId="00B2C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540" w:type="dxa"/>
            <w:vMerge w:val="continue"/>
            <w:tcBorders>
              <w:top w:val="nil"/>
              <w:left w:val="single" w:color="000000" w:sz="6" w:space="0"/>
              <w:bottom w:val="nil"/>
            </w:tcBorders>
            <w:vAlign w:val="top"/>
          </w:tcPr>
          <w:p w14:paraId="60A143AA">
            <w:pPr>
              <w:rPr>
                <w:rFonts w:ascii="Arial"/>
                <w:sz w:val="21"/>
              </w:rPr>
            </w:pPr>
          </w:p>
        </w:tc>
        <w:tc>
          <w:tcPr>
            <w:tcW w:w="113" w:type="dxa"/>
            <w:vMerge w:val="continue"/>
            <w:tcBorders>
              <w:top w:val="nil"/>
              <w:bottom w:val="nil"/>
            </w:tcBorders>
            <w:vAlign w:val="top"/>
          </w:tcPr>
          <w:p w14:paraId="01D5B6E1">
            <w:pPr>
              <w:rPr>
                <w:rFonts w:ascii="Arial"/>
                <w:sz w:val="21"/>
              </w:rPr>
            </w:pPr>
          </w:p>
        </w:tc>
        <w:tc>
          <w:tcPr>
            <w:tcW w:w="757" w:type="dxa"/>
            <w:vMerge w:val="continue"/>
            <w:tcBorders>
              <w:top w:val="nil"/>
              <w:bottom w:val="nil"/>
            </w:tcBorders>
            <w:vAlign w:val="top"/>
          </w:tcPr>
          <w:p w14:paraId="271A3B6D">
            <w:pPr>
              <w:rPr>
                <w:rFonts w:ascii="Arial"/>
                <w:sz w:val="21"/>
              </w:rPr>
            </w:pPr>
          </w:p>
        </w:tc>
        <w:tc>
          <w:tcPr>
            <w:tcW w:w="757" w:type="dxa"/>
            <w:vMerge w:val="continue"/>
            <w:tcBorders>
              <w:top w:val="nil"/>
              <w:bottom w:val="nil"/>
            </w:tcBorders>
            <w:vAlign w:val="top"/>
          </w:tcPr>
          <w:p w14:paraId="413F068B">
            <w:pPr>
              <w:rPr>
                <w:rFonts w:ascii="Arial"/>
                <w:sz w:val="21"/>
              </w:rPr>
            </w:pPr>
          </w:p>
        </w:tc>
        <w:tc>
          <w:tcPr>
            <w:tcW w:w="768" w:type="dxa"/>
            <w:vMerge w:val="continue"/>
            <w:tcBorders>
              <w:top w:val="nil"/>
              <w:bottom w:val="nil"/>
            </w:tcBorders>
            <w:vAlign w:val="top"/>
          </w:tcPr>
          <w:p w14:paraId="18BEEACE">
            <w:pPr>
              <w:rPr>
                <w:rFonts w:ascii="Arial"/>
                <w:sz w:val="21"/>
              </w:rPr>
            </w:pPr>
          </w:p>
        </w:tc>
        <w:tc>
          <w:tcPr>
            <w:tcW w:w="756" w:type="dxa"/>
            <w:vMerge w:val="continue"/>
            <w:tcBorders>
              <w:top w:val="nil"/>
              <w:bottom w:val="nil"/>
            </w:tcBorders>
            <w:vAlign w:val="top"/>
          </w:tcPr>
          <w:p w14:paraId="060C4B75">
            <w:pPr>
              <w:rPr>
                <w:rFonts w:ascii="Arial"/>
                <w:sz w:val="21"/>
              </w:rPr>
            </w:pPr>
          </w:p>
        </w:tc>
        <w:tc>
          <w:tcPr>
            <w:tcW w:w="798" w:type="dxa"/>
            <w:vMerge w:val="continue"/>
            <w:tcBorders>
              <w:top w:val="nil"/>
              <w:bottom w:val="nil"/>
            </w:tcBorders>
            <w:vAlign w:val="top"/>
          </w:tcPr>
          <w:p w14:paraId="737E0E36">
            <w:pPr>
              <w:rPr>
                <w:rFonts w:ascii="Arial"/>
                <w:sz w:val="21"/>
              </w:rPr>
            </w:pPr>
          </w:p>
        </w:tc>
        <w:tc>
          <w:tcPr>
            <w:tcW w:w="757" w:type="dxa"/>
            <w:vMerge w:val="continue"/>
            <w:tcBorders>
              <w:top w:val="nil"/>
              <w:bottom w:val="nil"/>
            </w:tcBorders>
            <w:vAlign w:val="top"/>
          </w:tcPr>
          <w:p w14:paraId="0ECC7F27">
            <w:pPr>
              <w:rPr>
                <w:rFonts w:ascii="Arial"/>
                <w:sz w:val="21"/>
              </w:rPr>
            </w:pPr>
          </w:p>
        </w:tc>
        <w:tc>
          <w:tcPr>
            <w:tcW w:w="758" w:type="dxa"/>
            <w:vMerge w:val="continue"/>
            <w:tcBorders>
              <w:top w:val="nil"/>
              <w:bottom w:val="nil"/>
            </w:tcBorders>
            <w:vAlign w:val="top"/>
          </w:tcPr>
          <w:p w14:paraId="40F5AEB2">
            <w:pPr>
              <w:rPr>
                <w:rFonts w:ascii="Arial"/>
                <w:sz w:val="21"/>
              </w:rPr>
            </w:pPr>
          </w:p>
        </w:tc>
        <w:tc>
          <w:tcPr>
            <w:tcW w:w="814" w:type="dxa"/>
            <w:vAlign w:val="top"/>
          </w:tcPr>
          <w:p w14:paraId="1B21F8FD">
            <w:pPr>
              <w:spacing w:before="51" w:line="174"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791" w:type="dxa"/>
            <w:vAlign w:val="top"/>
          </w:tcPr>
          <w:p w14:paraId="26E29C18">
            <w:pPr>
              <w:spacing w:before="51" w:line="174"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378</w:t>
            </w:r>
          </w:p>
        </w:tc>
        <w:tc>
          <w:tcPr>
            <w:tcW w:w="756" w:type="dxa"/>
            <w:vAlign w:val="top"/>
          </w:tcPr>
          <w:p w14:paraId="6269F7C9">
            <w:pPr>
              <w:spacing w:before="51" w:line="174"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75" w:type="dxa"/>
            <w:vAlign w:val="top"/>
          </w:tcPr>
          <w:p w14:paraId="7817A1EC">
            <w:pPr>
              <w:spacing w:before="51" w:line="174"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378.00</w:t>
            </w:r>
          </w:p>
        </w:tc>
        <w:tc>
          <w:tcPr>
            <w:tcW w:w="965" w:type="dxa"/>
            <w:vMerge w:val="restart"/>
            <w:tcBorders>
              <w:bottom w:val="nil"/>
            </w:tcBorders>
            <w:vAlign w:val="top"/>
          </w:tcPr>
          <w:p w14:paraId="4F65EF60">
            <w:pPr>
              <w:spacing w:line="343" w:lineRule="auto"/>
              <w:rPr>
                <w:rFonts w:ascii="Arial"/>
                <w:sz w:val="21"/>
              </w:rPr>
            </w:pPr>
          </w:p>
          <w:p w14:paraId="1639C946">
            <w:pPr>
              <w:spacing w:before="52"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1103.76</w:t>
            </w:r>
          </w:p>
        </w:tc>
        <w:tc>
          <w:tcPr>
            <w:tcW w:w="754" w:type="dxa"/>
            <w:vMerge w:val="restart"/>
            <w:tcBorders>
              <w:bottom w:val="nil"/>
            </w:tcBorders>
            <w:vAlign w:val="top"/>
          </w:tcPr>
          <w:p w14:paraId="2A83C0EB">
            <w:pPr>
              <w:spacing w:line="343" w:lineRule="auto"/>
              <w:rPr>
                <w:rFonts w:ascii="Arial"/>
                <w:sz w:val="21"/>
              </w:rPr>
            </w:pPr>
          </w:p>
          <w:p w14:paraId="77C052EC">
            <w:pPr>
              <w:spacing w:before="52"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continue"/>
            <w:tcBorders>
              <w:top w:val="nil"/>
              <w:bottom w:val="nil"/>
            </w:tcBorders>
            <w:vAlign w:val="top"/>
          </w:tcPr>
          <w:p w14:paraId="7B04A4E2">
            <w:pPr>
              <w:rPr>
                <w:rFonts w:ascii="Arial"/>
                <w:sz w:val="21"/>
              </w:rPr>
            </w:pPr>
          </w:p>
        </w:tc>
        <w:tc>
          <w:tcPr>
            <w:tcW w:w="966" w:type="dxa"/>
            <w:vMerge w:val="restart"/>
            <w:tcBorders>
              <w:bottom w:val="nil"/>
            </w:tcBorders>
            <w:vAlign w:val="top"/>
          </w:tcPr>
          <w:p w14:paraId="32AF76EA">
            <w:pPr>
              <w:spacing w:line="343" w:lineRule="auto"/>
              <w:rPr>
                <w:rFonts w:ascii="Arial"/>
                <w:sz w:val="21"/>
              </w:rPr>
            </w:pPr>
          </w:p>
          <w:p w14:paraId="30C34F0D">
            <w:pPr>
              <w:spacing w:before="52" w:line="188"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900.00</w:t>
            </w:r>
          </w:p>
        </w:tc>
        <w:tc>
          <w:tcPr>
            <w:tcW w:w="1089" w:type="dxa"/>
            <w:vMerge w:val="continue"/>
            <w:tcBorders>
              <w:top w:val="nil"/>
              <w:bottom w:val="nil"/>
              <w:right w:val="single" w:color="000000" w:sz="6" w:space="0"/>
            </w:tcBorders>
            <w:vAlign w:val="top"/>
          </w:tcPr>
          <w:p w14:paraId="16A821B2">
            <w:pPr>
              <w:rPr>
                <w:rFonts w:ascii="Arial"/>
                <w:sz w:val="21"/>
              </w:rPr>
            </w:pPr>
          </w:p>
        </w:tc>
      </w:tr>
      <w:tr w14:paraId="262CD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540" w:type="dxa"/>
            <w:vMerge w:val="continue"/>
            <w:tcBorders>
              <w:top w:val="nil"/>
              <w:left w:val="single" w:color="000000" w:sz="6" w:space="0"/>
              <w:bottom w:val="nil"/>
            </w:tcBorders>
            <w:vAlign w:val="top"/>
          </w:tcPr>
          <w:p w14:paraId="79AF0665">
            <w:pPr>
              <w:rPr>
                <w:rFonts w:ascii="Arial"/>
                <w:sz w:val="21"/>
              </w:rPr>
            </w:pPr>
          </w:p>
        </w:tc>
        <w:tc>
          <w:tcPr>
            <w:tcW w:w="113" w:type="dxa"/>
            <w:vMerge w:val="continue"/>
            <w:tcBorders>
              <w:top w:val="nil"/>
              <w:bottom w:val="nil"/>
            </w:tcBorders>
            <w:vAlign w:val="top"/>
          </w:tcPr>
          <w:p w14:paraId="661ED5B3">
            <w:pPr>
              <w:rPr>
                <w:rFonts w:ascii="Arial"/>
                <w:sz w:val="21"/>
              </w:rPr>
            </w:pPr>
          </w:p>
        </w:tc>
        <w:tc>
          <w:tcPr>
            <w:tcW w:w="757" w:type="dxa"/>
            <w:vMerge w:val="continue"/>
            <w:tcBorders>
              <w:top w:val="nil"/>
            </w:tcBorders>
            <w:vAlign w:val="top"/>
          </w:tcPr>
          <w:p w14:paraId="6A3EA7C0">
            <w:pPr>
              <w:rPr>
                <w:rFonts w:ascii="Arial"/>
                <w:sz w:val="21"/>
              </w:rPr>
            </w:pPr>
          </w:p>
        </w:tc>
        <w:tc>
          <w:tcPr>
            <w:tcW w:w="757" w:type="dxa"/>
            <w:vMerge w:val="continue"/>
            <w:tcBorders>
              <w:top w:val="nil"/>
            </w:tcBorders>
            <w:vAlign w:val="top"/>
          </w:tcPr>
          <w:p w14:paraId="514C1D33">
            <w:pPr>
              <w:rPr>
                <w:rFonts w:ascii="Arial"/>
                <w:sz w:val="21"/>
              </w:rPr>
            </w:pPr>
          </w:p>
        </w:tc>
        <w:tc>
          <w:tcPr>
            <w:tcW w:w="768" w:type="dxa"/>
            <w:vMerge w:val="continue"/>
            <w:tcBorders>
              <w:top w:val="nil"/>
            </w:tcBorders>
            <w:vAlign w:val="top"/>
          </w:tcPr>
          <w:p w14:paraId="63D868C4">
            <w:pPr>
              <w:rPr>
                <w:rFonts w:ascii="Arial"/>
                <w:sz w:val="21"/>
              </w:rPr>
            </w:pPr>
          </w:p>
        </w:tc>
        <w:tc>
          <w:tcPr>
            <w:tcW w:w="756" w:type="dxa"/>
            <w:vMerge w:val="continue"/>
            <w:tcBorders>
              <w:top w:val="nil"/>
            </w:tcBorders>
            <w:vAlign w:val="top"/>
          </w:tcPr>
          <w:p w14:paraId="694DF626">
            <w:pPr>
              <w:rPr>
                <w:rFonts w:ascii="Arial"/>
                <w:sz w:val="21"/>
              </w:rPr>
            </w:pPr>
          </w:p>
        </w:tc>
        <w:tc>
          <w:tcPr>
            <w:tcW w:w="798" w:type="dxa"/>
            <w:vMerge w:val="continue"/>
            <w:tcBorders>
              <w:top w:val="nil"/>
            </w:tcBorders>
            <w:vAlign w:val="top"/>
          </w:tcPr>
          <w:p w14:paraId="06ECB12D">
            <w:pPr>
              <w:rPr>
                <w:rFonts w:ascii="Arial"/>
                <w:sz w:val="21"/>
              </w:rPr>
            </w:pPr>
          </w:p>
        </w:tc>
        <w:tc>
          <w:tcPr>
            <w:tcW w:w="757" w:type="dxa"/>
            <w:vMerge w:val="continue"/>
            <w:tcBorders>
              <w:top w:val="nil"/>
            </w:tcBorders>
            <w:vAlign w:val="top"/>
          </w:tcPr>
          <w:p w14:paraId="6872A7FA">
            <w:pPr>
              <w:rPr>
                <w:rFonts w:ascii="Arial"/>
                <w:sz w:val="21"/>
              </w:rPr>
            </w:pPr>
          </w:p>
        </w:tc>
        <w:tc>
          <w:tcPr>
            <w:tcW w:w="758" w:type="dxa"/>
            <w:vMerge w:val="continue"/>
            <w:tcBorders>
              <w:top w:val="nil"/>
            </w:tcBorders>
            <w:vAlign w:val="top"/>
          </w:tcPr>
          <w:p w14:paraId="2798188D">
            <w:pPr>
              <w:rPr>
                <w:rFonts w:ascii="Arial"/>
                <w:sz w:val="21"/>
              </w:rPr>
            </w:pPr>
          </w:p>
        </w:tc>
        <w:tc>
          <w:tcPr>
            <w:tcW w:w="814" w:type="dxa"/>
            <w:vAlign w:val="top"/>
          </w:tcPr>
          <w:p w14:paraId="21F152FC">
            <w:pPr>
              <w:spacing w:before="288"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30F427CB">
            <w:pPr>
              <w:spacing w:before="288"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24031CBA">
            <w:pPr>
              <w:spacing w:before="288" w:line="188" w:lineRule="auto"/>
              <w:ind w:left="33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75" w:type="dxa"/>
            <w:vAlign w:val="top"/>
          </w:tcPr>
          <w:p w14:paraId="5B382BBE">
            <w:pPr>
              <w:spacing w:before="288"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725.76</w:t>
            </w:r>
          </w:p>
        </w:tc>
        <w:tc>
          <w:tcPr>
            <w:tcW w:w="965" w:type="dxa"/>
            <w:vMerge w:val="continue"/>
            <w:tcBorders>
              <w:top w:val="nil"/>
            </w:tcBorders>
            <w:vAlign w:val="top"/>
          </w:tcPr>
          <w:p w14:paraId="08840368">
            <w:pPr>
              <w:rPr>
                <w:rFonts w:ascii="Arial"/>
                <w:sz w:val="21"/>
              </w:rPr>
            </w:pPr>
          </w:p>
        </w:tc>
        <w:tc>
          <w:tcPr>
            <w:tcW w:w="754" w:type="dxa"/>
            <w:vMerge w:val="continue"/>
            <w:tcBorders>
              <w:top w:val="nil"/>
            </w:tcBorders>
            <w:vAlign w:val="top"/>
          </w:tcPr>
          <w:p w14:paraId="25B14B5E">
            <w:pPr>
              <w:rPr>
                <w:rFonts w:ascii="Arial"/>
                <w:sz w:val="21"/>
              </w:rPr>
            </w:pPr>
          </w:p>
        </w:tc>
        <w:tc>
          <w:tcPr>
            <w:tcW w:w="974" w:type="dxa"/>
            <w:vMerge w:val="continue"/>
            <w:tcBorders>
              <w:top w:val="nil"/>
            </w:tcBorders>
            <w:vAlign w:val="top"/>
          </w:tcPr>
          <w:p w14:paraId="13304C00">
            <w:pPr>
              <w:rPr>
                <w:rFonts w:ascii="Arial"/>
                <w:sz w:val="21"/>
              </w:rPr>
            </w:pPr>
          </w:p>
        </w:tc>
        <w:tc>
          <w:tcPr>
            <w:tcW w:w="966" w:type="dxa"/>
            <w:vMerge w:val="continue"/>
            <w:tcBorders>
              <w:top w:val="nil"/>
            </w:tcBorders>
            <w:vAlign w:val="top"/>
          </w:tcPr>
          <w:p w14:paraId="64B7F97C">
            <w:pPr>
              <w:rPr>
                <w:rFonts w:ascii="Arial"/>
                <w:sz w:val="21"/>
              </w:rPr>
            </w:pPr>
          </w:p>
        </w:tc>
        <w:tc>
          <w:tcPr>
            <w:tcW w:w="1089" w:type="dxa"/>
            <w:vMerge w:val="continue"/>
            <w:tcBorders>
              <w:top w:val="nil"/>
              <w:right w:val="single" w:color="000000" w:sz="6" w:space="0"/>
            </w:tcBorders>
            <w:vAlign w:val="top"/>
          </w:tcPr>
          <w:p w14:paraId="3272C716">
            <w:pPr>
              <w:rPr>
                <w:rFonts w:ascii="Arial"/>
                <w:sz w:val="21"/>
              </w:rPr>
            </w:pPr>
          </w:p>
        </w:tc>
      </w:tr>
      <w:tr w14:paraId="2622F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540" w:type="dxa"/>
            <w:vMerge w:val="continue"/>
            <w:tcBorders>
              <w:top w:val="nil"/>
              <w:left w:val="single" w:color="000000" w:sz="6" w:space="0"/>
              <w:bottom w:val="nil"/>
            </w:tcBorders>
            <w:vAlign w:val="top"/>
          </w:tcPr>
          <w:p w14:paraId="5927C2BD">
            <w:pPr>
              <w:rPr>
                <w:rFonts w:ascii="Arial"/>
                <w:sz w:val="21"/>
              </w:rPr>
            </w:pPr>
          </w:p>
        </w:tc>
        <w:tc>
          <w:tcPr>
            <w:tcW w:w="113" w:type="dxa"/>
            <w:vMerge w:val="continue"/>
            <w:tcBorders>
              <w:top w:val="nil"/>
              <w:bottom w:val="nil"/>
            </w:tcBorders>
            <w:vAlign w:val="top"/>
          </w:tcPr>
          <w:p w14:paraId="604832A7">
            <w:pPr>
              <w:rPr>
                <w:rFonts w:ascii="Arial"/>
                <w:sz w:val="21"/>
              </w:rPr>
            </w:pPr>
          </w:p>
        </w:tc>
        <w:tc>
          <w:tcPr>
            <w:tcW w:w="757" w:type="dxa"/>
            <w:vMerge w:val="restart"/>
            <w:tcBorders>
              <w:bottom w:val="nil"/>
            </w:tcBorders>
            <w:vAlign w:val="top"/>
          </w:tcPr>
          <w:p w14:paraId="44C5DEE6">
            <w:pPr>
              <w:spacing w:line="412" w:lineRule="auto"/>
              <w:rPr>
                <w:rFonts w:ascii="Arial"/>
                <w:sz w:val="21"/>
              </w:rPr>
            </w:pPr>
          </w:p>
          <w:p w14:paraId="5E82E50F">
            <w:pPr>
              <w:pStyle w:val="6"/>
              <w:spacing w:before="59" w:line="234" w:lineRule="auto"/>
              <w:ind w:left="327" w:right="202" w:hanging="130"/>
              <w:rPr>
                <w:rFonts w:ascii="Times New Roman" w:hAnsi="Times New Roman" w:eastAsia="Times New Roman" w:cs="Times New Roman"/>
                <w:sz w:val="18"/>
                <w:szCs w:val="18"/>
              </w:rPr>
            </w:pPr>
            <w:r>
              <w:rPr>
                <w:spacing w:val="-4"/>
                <w:sz w:val="18"/>
                <w:szCs w:val="18"/>
              </w:rPr>
              <w:t>地块</w:t>
            </w:r>
            <w:r>
              <w:rPr>
                <w:sz w:val="18"/>
                <w:szCs w:val="18"/>
              </w:rPr>
              <w:t xml:space="preserve"> </w:t>
            </w:r>
            <w:r>
              <w:rPr>
                <w:rFonts w:ascii="Times New Roman" w:hAnsi="Times New Roman" w:eastAsia="Times New Roman" w:cs="Times New Roman"/>
                <w:sz w:val="18"/>
                <w:szCs w:val="18"/>
              </w:rPr>
              <w:t>4</w:t>
            </w:r>
          </w:p>
        </w:tc>
        <w:tc>
          <w:tcPr>
            <w:tcW w:w="757" w:type="dxa"/>
            <w:vMerge w:val="restart"/>
            <w:tcBorders>
              <w:bottom w:val="nil"/>
            </w:tcBorders>
            <w:vAlign w:val="top"/>
          </w:tcPr>
          <w:p w14:paraId="3B77DF7A">
            <w:pPr>
              <w:pStyle w:val="6"/>
              <w:spacing w:before="34" w:line="233" w:lineRule="auto"/>
              <w:ind w:left="107" w:right="111" w:hanging="9"/>
              <w:jc w:val="both"/>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r>
              <w:rPr>
                <w:sz w:val="18"/>
                <w:szCs w:val="18"/>
              </w:rPr>
              <w:t xml:space="preserve"> </w:t>
            </w:r>
            <w:r>
              <w:rPr>
                <w:spacing w:val="-3"/>
                <w:sz w:val="18"/>
                <w:szCs w:val="18"/>
              </w:rPr>
              <w:t>晶双面</w:t>
            </w:r>
            <w:r>
              <w:rPr>
                <w:sz w:val="18"/>
                <w:szCs w:val="18"/>
              </w:rPr>
              <w:t xml:space="preserve"> </w:t>
            </w:r>
            <w:r>
              <w:rPr>
                <w:spacing w:val="-4"/>
                <w:sz w:val="18"/>
                <w:szCs w:val="18"/>
              </w:rPr>
              <w:t>双玻</w:t>
            </w:r>
          </w:p>
          <w:p w14:paraId="6B1E91FF">
            <w:pPr>
              <w:spacing w:before="239" w:line="208" w:lineRule="auto"/>
              <w:ind w:left="281" w:right="230" w:hanging="1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1"/>
                <w:sz w:val="18"/>
                <w:szCs w:val="18"/>
              </w:rPr>
              <w:t>V)</w:t>
            </w:r>
          </w:p>
        </w:tc>
        <w:tc>
          <w:tcPr>
            <w:tcW w:w="768" w:type="dxa"/>
            <w:vMerge w:val="restart"/>
            <w:tcBorders>
              <w:bottom w:val="nil"/>
            </w:tcBorders>
            <w:vAlign w:val="top"/>
          </w:tcPr>
          <w:p w14:paraId="224868EF">
            <w:pPr>
              <w:spacing w:line="276" w:lineRule="auto"/>
              <w:rPr>
                <w:rFonts w:ascii="Arial"/>
                <w:sz w:val="21"/>
              </w:rPr>
            </w:pPr>
          </w:p>
          <w:p w14:paraId="1F3DE55B">
            <w:pPr>
              <w:spacing w:line="277" w:lineRule="auto"/>
              <w:rPr>
                <w:rFonts w:ascii="Arial"/>
                <w:sz w:val="21"/>
              </w:rPr>
            </w:pPr>
          </w:p>
          <w:p w14:paraId="7E91F5C5">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2D77CF40">
            <w:pPr>
              <w:spacing w:line="277" w:lineRule="auto"/>
              <w:rPr>
                <w:rFonts w:ascii="Arial"/>
                <w:sz w:val="21"/>
              </w:rPr>
            </w:pPr>
          </w:p>
          <w:p w14:paraId="4E0089AC">
            <w:pPr>
              <w:spacing w:line="277" w:lineRule="auto"/>
              <w:rPr>
                <w:rFonts w:ascii="Arial"/>
                <w:sz w:val="21"/>
              </w:rPr>
            </w:pPr>
          </w:p>
          <w:p w14:paraId="17BFC9E1">
            <w:pPr>
              <w:spacing w:before="51"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5734EDC8">
            <w:pPr>
              <w:spacing w:line="276" w:lineRule="auto"/>
              <w:rPr>
                <w:rFonts w:ascii="Arial"/>
                <w:sz w:val="21"/>
              </w:rPr>
            </w:pPr>
          </w:p>
          <w:p w14:paraId="7217782B">
            <w:pPr>
              <w:spacing w:line="277" w:lineRule="auto"/>
              <w:rPr>
                <w:rFonts w:ascii="Arial"/>
                <w:sz w:val="21"/>
              </w:rPr>
            </w:pPr>
          </w:p>
          <w:p w14:paraId="1E325FE4">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24719B53">
            <w:pPr>
              <w:spacing w:line="298" w:lineRule="auto"/>
              <w:rPr>
                <w:rFonts w:ascii="Arial"/>
                <w:sz w:val="21"/>
              </w:rPr>
            </w:pPr>
          </w:p>
          <w:p w14:paraId="04908A7B">
            <w:pPr>
              <w:pStyle w:val="6"/>
              <w:spacing w:before="58" w:line="229" w:lineRule="auto"/>
              <w:ind w:left="294" w:right="106" w:hanging="167"/>
              <w:rPr>
                <w:sz w:val="18"/>
                <w:szCs w:val="18"/>
              </w:rPr>
            </w:pPr>
            <w:r>
              <w:rPr>
                <w:spacing w:val="-8"/>
                <w:sz w:val="18"/>
                <w:szCs w:val="18"/>
              </w:rPr>
              <w:t>固定倾</w:t>
            </w:r>
            <w:r>
              <w:rPr>
                <w:sz w:val="18"/>
                <w:szCs w:val="18"/>
              </w:rPr>
              <w:t xml:space="preserve"> 角</w:t>
            </w:r>
          </w:p>
          <w:p w14:paraId="1DB619F2">
            <w:pPr>
              <w:spacing w:before="36"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56553F93">
            <w:pPr>
              <w:spacing w:line="299" w:lineRule="auto"/>
              <w:rPr>
                <w:rFonts w:ascii="Arial"/>
                <w:sz w:val="21"/>
              </w:rPr>
            </w:pPr>
          </w:p>
          <w:p w14:paraId="350E537B">
            <w:pPr>
              <w:pStyle w:val="6"/>
              <w:spacing w:before="59" w:line="230"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522736F9">
            <w:pPr>
              <w:spacing w:before="51" w:line="174"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0F5E381C">
            <w:pPr>
              <w:spacing w:before="51" w:line="174"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1FEF2779">
            <w:pPr>
              <w:spacing w:before="51" w:line="174" w:lineRule="auto"/>
              <w:ind w:left="34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875" w:type="dxa"/>
            <w:vAlign w:val="top"/>
          </w:tcPr>
          <w:p w14:paraId="3B656905">
            <w:pPr>
              <w:spacing w:before="51" w:line="174"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1088.64</w:t>
            </w:r>
          </w:p>
        </w:tc>
        <w:tc>
          <w:tcPr>
            <w:tcW w:w="965" w:type="dxa"/>
            <w:vMerge w:val="restart"/>
            <w:tcBorders>
              <w:bottom w:val="nil"/>
            </w:tcBorders>
            <w:vAlign w:val="top"/>
          </w:tcPr>
          <w:p w14:paraId="5E69AF1D">
            <w:pPr>
              <w:spacing w:line="276" w:lineRule="auto"/>
              <w:rPr>
                <w:rFonts w:ascii="Arial"/>
                <w:sz w:val="21"/>
              </w:rPr>
            </w:pPr>
          </w:p>
          <w:p w14:paraId="63EC3042">
            <w:pPr>
              <w:spacing w:line="277" w:lineRule="auto"/>
              <w:rPr>
                <w:rFonts w:ascii="Arial"/>
                <w:sz w:val="21"/>
              </w:rPr>
            </w:pPr>
          </w:p>
          <w:p w14:paraId="2802E5FB">
            <w:pPr>
              <w:spacing w:before="52" w:line="188"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2600.64</w:t>
            </w:r>
          </w:p>
        </w:tc>
        <w:tc>
          <w:tcPr>
            <w:tcW w:w="754" w:type="dxa"/>
            <w:vMerge w:val="restart"/>
            <w:tcBorders>
              <w:bottom w:val="nil"/>
            </w:tcBorders>
            <w:vAlign w:val="top"/>
          </w:tcPr>
          <w:p w14:paraId="37D506AF">
            <w:pPr>
              <w:spacing w:line="277" w:lineRule="auto"/>
              <w:rPr>
                <w:rFonts w:ascii="Arial"/>
                <w:sz w:val="21"/>
              </w:rPr>
            </w:pPr>
          </w:p>
          <w:p w14:paraId="739AD6E0">
            <w:pPr>
              <w:spacing w:line="277" w:lineRule="auto"/>
              <w:rPr>
                <w:rFonts w:ascii="Arial"/>
                <w:sz w:val="21"/>
              </w:rPr>
            </w:pPr>
          </w:p>
          <w:p w14:paraId="487A68D3">
            <w:pPr>
              <w:spacing w:before="51"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restart"/>
            <w:tcBorders>
              <w:bottom w:val="nil"/>
            </w:tcBorders>
            <w:vAlign w:val="top"/>
          </w:tcPr>
          <w:p w14:paraId="68E772B0">
            <w:pPr>
              <w:spacing w:line="276" w:lineRule="auto"/>
              <w:rPr>
                <w:rFonts w:ascii="Arial"/>
                <w:sz w:val="21"/>
              </w:rPr>
            </w:pPr>
          </w:p>
          <w:p w14:paraId="747FB495">
            <w:pPr>
              <w:spacing w:line="277" w:lineRule="auto"/>
              <w:rPr>
                <w:rFonts w:ascii="Arial"/>
                <w:sz w:val="21"/>
              </w:rPr>
            </w:pPr>
          </w:p>
          <w:p w14:paraId="0BE26549">
            <w:pPr>
              <w:spacing w:before="52"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2600.64</w:t>
            </w:r>
          </w:p>
        </w:tc>
        <w:tc>
          <w:tcPr>
            <w:tcW w:w="966" w:type="dxa"/>
            <w:vMerge w:val="restart"/>
            <w:tcBorders>
              <w:bottom w:val="nil"/>
            </w:tcBorders>
            <w:vAlign w:val="top"/>
          </w:tcPr>
          <w:p w14:paraId="7F280041">
            <w:pPr>
              <w:spacing w:line="276" w:lineRule="auto"/>
              <w:rPr>
                <w:rFonts w:ascii="Arial"/>
                <w:sz w:val="21"/>
              </w:rPr>
            </w:pPr>
          </w:p>
          <w:p w14:paraId="40AAF16C">
            <w:pPr>
              <w:spacing w:line="277" w:lineRule="auto"/>
              <w:rPr>
                <w:rFonts w:ascii="Arial"/>
                <w:sz w:val="21"/>
              </w:rPr>
            </w:pPr>
          </w:p>
          <w:p w14:paraId="5BC301DB">
            <w:pPr>
              <w:spacing w:before="52"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2100.00</w:t>
            </w:r>
          </w:p>
        </w:tc>
        <w:tc>
          <w:tcPr>
            <w:tcW w:w="1089" w:type="dxa"/>
            <w:vMerge w:val="restart"/>
            <w:tcBorders>
              <w:bottom w:val="nil"/>
              <w:right w:val="single" w:color="000000" w:sz="6" w:space="0"/>
            </w:tcBorders>
            <w:vAlign w:val="top"/>
          </w:tcPr>
          <w:p w14:paraId="119BE9D3">
            <w:pPr>
              <w:spacing w:line="276" w:lineRule="auto"/>
              <w:rPr>
                <w:rFonts w:ascii="Arial"/>
                <w:sz w:val="21"/>
              </w:rPr>
            </w:pPr>
          </w:p>
          <w:p w14:paraId="187525BF">
            <w:pPr>
              <w:spacing w:line="277" w:lineRule="auto"/>
              <w:rPr>
                <w:rFonts w:ascii="Arial"/>
                <w:sz w:val="21"/>
              </w:rPr>
            </w:pPr>
          </w:p>
          <w:p w14:paraId="677B1B49">
            <w:pPr>
              <w:spacing w:before="52" w:line="188"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2100</w:t>
            </w:r>
          </w:p>
        </w:tc>
      </w:tr>
      <w:tr w14:paraId="18E26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540" w:type="dxa"/>
            <w:vMerge w:val="continue"/>
            <w:tcBorders>
              <w:top w:val="nil"/>
              <w:left w:val="single" w:color="000000" w:sz="6" w:space="0"/>
              <w:bottom w:val="nil"/>
            </w:tcBorders>
            <w:vAlign w:val="top"/>
          </w:tcPr>
          <w:p w14:paraId="444FBE55">
            <w:pPr>
              <w:rPr>
                <w:rFonts w:ascii="Arial"/>
                <w:sz w:val="21"/>
              </w:rPr>
            </w:pPr>
          </w:p>
        </w:tc>
        <w:tc>
          <w:tcPr>
            <w:tcW w:w="113" w:type="dxa"/>
            <w:vMerge w:val="continue"/>
            <w:tcBorders>
              <w:top w:val="nil"/>
              <w:bottom w:val="nil"/>
            </w:tcBorders>
            <w:vAlign w:val="top"/>
          </w:tcPr>
          <w:p w14:paraId="2DD7E943">
            <w:pPr>
              <w:rPr>
                <w:rFonts w:ascii="Arial"/>
                <w:sz w:val="21"/>
              </w:rPr>
            </w:pPr>
          </w:p>
        </w:tc>
        <w:tc>
          <w:tcPr>
            <w:tcW w:w="757" w:type="dxa"/>
            <w:vMerge w:val="continue"/>
            <w:tcBorders>
              <w:top w:val="nil"/>
            </w:tcBorders>
            <w:vAlign w:val="top"/>
          </w:tcPr>
          <w:p w14:paraId="32A53218">
            <w:pPr>
              <w:rPr>
                <w:rFonts w:ascii="Arial"/>
                <w:sz w:val="21"/>
              </w:rPr>
            </w:pPr>
          </w:p>
        </w:tc>
        <w:tc>
          <w:tcPr>
            <w:tcW w:w="757" w:type="dxa"/>
            <w:vMerge w:val="continue"/>
            <w:tcBorders>
              <w:top w:val="nil"/>
            </w:tcBorders>
            <w:vAlign w:val="top"/>
          </w:tcPr>
          <w:p w14:paraId="7E8924C7">
            <w:pPr>
              <w:rPr>
                <w:rFonts w:ascii="Arial"/>
                <w:sz w:val="21"/>
              </w:rPr>
            </w:pPr>
          </w:p>
        </w:tc>
        <w:tc>
          <w:tcPr>
            <w:tcW w:w="768" w:type="dxa"/>
            <w:vMerge w:val="continue"/>
            <w:tcBorders>
              <w:top w:val="nil"/>
            </w:tcBorders>
            <w:vAlign w:val="top"/>
          </w:tcPr>
          <w:p w14:paraId="250439A0">
            <w:pPr>
              <w:rPr>
                <w:rFonts w:ascii="Arial"/>
                <w:sz w:val="21"/>
              </w:rPr>
            </w:pPr>
          </w:p>
        </w:tc>
        <w:tc>
          <w:tcPr>
            <w:tcW w:w="756" w:type="dxa"/>
            <w:vMerge w:val="continue"/>
            <w:tcBorders>
              <w:top w:val="nil"/>
            </w:tcBorders>
            <w:vAlign w:val="top"/>
          </w:tcPr>
          <w:p w14:paraId="29234ABE">
            <w:pPr>
              <w:rPr>
                <w:rFonts w:ascii="Arial"/>
                <w:sz w:val="21"/>
              </w:rPr>
            </w:pPr>
          </w:p>
        </w:tc>
        <w:tc>
          <w:tcPr>
            <w:tcW w:w="798" w:type="dxa"/>
            <w:vMerge w:val="continue"/>
            <w:tcBorders>
              <w:top w:val="nil"/>
            </w:tcBorders>
            <w:vAlign w:val="top"/>
          </w:tcPr>
          <w:p w14:paraId="4B695428">
            <w:pPr>
              <w:rPr>
                <w:rFonts w:ascii="Arial"/>
                <w:sz w:val="21"/>
              </w:rPr>
            </w:pPr>
          </w:p>
        </w:tc>
        <w:tc>
          <w:tcPr>
            <w:tcW w:w="757" w:type="dxa"/>
            <w:vMerge w:val="continue"/>
            <w:tcBorders>
              <w:top w:val="nil"/>
            </w:tcBorders>
            <w:vAlign w:val="top"/>
          </w:tcPr>
          <w:p w14:paraId="75B5D58B">
            <w:pPr>
              <w:rPr>
                <w:rFonts w:ascii="Arial"/>
                <w:sz w:val="21"/>
              </w:rPr>
            </w:pPr>
          </w:p>
        </w:tc>
        <w:tc>
          <w:tcPr>
            <w:tcW w:w="758" w:type="dxa"/>
            <w:vMerge w:val="continue"/>
            <w:tcBorders>
              <w:top w:val="nil"/>
            </w:tcBorders>
            <w:vAlign w:val="top"/>
          </w:tcPr>
          <w:p w14:paraId="177D7039">
            <w:pPr>
              <w:rPr>
                <w:rFonts w:ascii="Arial"/>
                <w:sz w:val="21"/>
              </w:rPr>
            </w:pPr>
          </w:p>
        </w:tc>
        <w:tc>
          <w:tcPr>
            <w:tcW w:w="814" w:type="dxa"/>
            <w:vAlign w:val="top"/>
          </w:tcPr>
          <w:p w14:paraId="42A1A2A8">
            <w:pPr>
              <w:spacing w:line="445" w:lineRule="auto"/>
              <w:rPr>
                <w:rFonts w:ascii="Arial"/>
                <w:sz w:val="21"/>
              </w:rPr>
            </w:pPr>
          </w:p>
          <w:p w14:paraId="5C3D6F14">
            <w:pPr>
              <w:spacing w:before="52"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791" w:type="dxa"/>
            <w:vAlign w:val="top"/>
          </w:tcPr>
          <w:p w14:paraId="7B9DCDB1">
            <w:pPr>
              <w:spacing w:line="445" w:lineRule="auto"/>
              <w:rPr>
                <w:rFonts w:ascii="Arial"/>
                <w:sz w:val="21"/>
              </w:rPr>
            </w:pPr>
          </w:p>
          <w:p w14:paraId="0B679927">
            <w:pPr>
              <w:spacing w:before="52" w:line="18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378</w:t>
            </w:r>
          </w:p>
        </w:tc>
        <w:tc>
          <w:tcPr>
            <w:tcW w:w="756" w:type="dxa"/>
            <w:vAlign w:val="top"/>
          </w:tcPr>
          <w:p w14:paraId="5770DE33">
            <w:pPr>
              <w:spacing w:line="445" w:lineRule="auto"/>
              <w:rPr>
                <w:rFonts w:ascii="Arial"/>
                <w:sz w:val="21"/>
              </w:rPr>
            </w:pPr>
          </w:p>
          <w:p w14:paraId="30EC3A5F">
            <w:pPr>
              <w:spacing w:before="52" w:line="188" w:lineRule="auto"/>
              <w:ind w:left="33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875" w:type="dxa"/>
            <w:vAlign w:val="top"/>
          </w:tcPr>
          <w:p w14:paraId="4DC11A78">
            <w:pPr>
              <w:spacing w:line="445" w:lineRule="auto"/>
              <w:rPr>
                <w:rFonts w:ascii="Arial"/>
                <w:sz w:val="21"/>
              </w:rPr>
            </w:pPr>
          </w:p>
          <w:p w14:paraId="058444C5">
            <w:pPr>
              <w:spacing w:before="52"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1512.00</w:t>
            </w:r>
          </w:p>
        </w:tc>
        <w:tc>
          <w:tcPr>
            <w:tcW w:w="965" w:type="dxa"/>
            <w:vMerge w:val="continue"/>
            <w:tcBorders>
              <w:top w:val="nil"/>
            </w:tcBorders>
            <w:vAlign w:val="top"/>
          </w:tcPr>
          <w:p w14:paraId="449CD086">
            <w:pPr>
              <w:rPr>
                <w:rFonts w:ascii="Arial"/>
                <w:sz w:val="21"/>
              </w:rPr>
            </w:pPr>
          </w:p>
        </w:tc>
        <w:tc>
          <w:tcPr>
            <w:tcW w:w="754" w:type="dxa"/>
            <w:vMerge w:val="continue"/>
            <w:tcBorders>
              <w:top w:val="nil"/>
            </w:tcBorders>
            <w:vAlign w:val="top"/>
          </w:tcPr>
          <w:p w14:paraId="2D48B9CC">
            <w:pPr>
              <w:rPr>
                <w:rFonts w:ascii="Arial"/>
                <w:sz w:val="21"/>
              </w:rPr>
            </w:pPr>
          </w:p>
        </w:tc>
        <w:tc>
          <w:tcPr>
            <w:tcW w:w="974" w:type="dxa"/>
            <w:vMerge w:val="continue"/>
            <w:tcBorders>
              <w:top w:val="nil"/>
            </w:tcBorders>
            <w:vAlign w:val="top"/>
          </w:tcPr>
          <w:p w14:paraId="60E04072">
            <w:pPr>
              <w:rPr>
                <w:rFonts w:ascii="Arial"/>
                <w:sz w:val="21"/>
              </w:rPr>
            </w:pPr>
          </w:p>
        </w:tc>
        <w:tc>
          <w:tcPr>
            <w:tcW w:w="966" w:type="dxa"/>
            <w:vMerge w:val="continue"/>
            <w:tcBorders>
              <w:top w:val="nil"/>
            </w:tcBorders>
            <w:vAlign w:val="top"/>
          </w:tcPr>
          <w:p w14:paraId="3D57AA63">
            <w:pPr>
              <w:rPr>
                <w:rFonts w:ascii="Arial"/>
                <w:sz w:val="21"/>
              </w:rPr>
            </w:pPr>
          </w:p>
        </w:tc>
        <w:tc>
          <w:tcPr>
            <w:tcW w:w="1089" w:type="dxa"/>
            <w:vMerge w:val="continue"/>
            <w:tcBorders>
              <w:top w:val="nil"/>
              <w:right w:val="single" w:color="000000" w:sz="6" w:space="0"/>
            </w:tcBorders>
            <w:vAlign w:val="top"/>
          </w:tcPr>
          <w:p w14:paraId="1B9DD968">
            <w:pPr>
              <w:rPr>
                <w:rFonts w:ascii="Arial"/>
                <w:sz w:val="21"/>
              </w:rPr>
            </w:pPr>
          </w:p>
        </w:tc>
      </w:tr>
      <w:tr w14:paraId="2A9B9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540" w:type="dxa"/>
            <w:vMerge w:val="continue"/>
            <w:tcBorders>
              <w:top w:val="nil"/>
              <w:left w:val="single" w:color="000000" w:sz="6" w:space="0"/>
              <w:bottom w:val="nil"/>
            </w:tcBorders>
            <w:vAlign w:val="top"/>
          </w:tcPr>
          <w:p w14:paraId="6D3F5123">
            <w:pPr>
              <w:rPr>
                <w:rFonts w:ascii="Arial"/>
                <w:sz w:val="21"/>
              </w:rPr>
            </w:pPr>
          </w:p>
        </w:tc>
        <w:tc>
          <w:tcPr>
            <w:tcW w:w="113" w:type="dxa"/>
            <w:vMerge w:val="continue"/>
            <w:tcBorders>
              <w:top w:val="nil"/>
              <w:bottom w:val="nil"/>
            </w:tcBorders>
            <w:vAlign w:val="top"/>
          </w:tcPr>
          <w:p w14:paraId="64D5F642">
            <w:pPr>
              <w:rPr>
                <w:rFonts w:ascii="Arial"/>
                <w:sz w:val="21"/>
              </w:rPr>
            </w:pPr>
          </w:p>
        </w:tc>
        <w:tc>
          <w:tcPr>
            <w:tcW w:w="757" w:type="dxa"/>
            <w:vMerge w:val="restart"/>
            <w:tcBorders>
              <w:bottom w:val="nil"/>
            </w:tcBorders>
            <w:vAlign w:val="top"/>
          </w:tcPr>
          <w:p w14:paraId="5AC89443">
            <w:pPr>
              <w:pStyle w:val="6"/>
              <w:spacing w:before="112" w:line="220" w:lineRule="auto"/>
              <w:ind w:left="197"/>
              <w:rPr>
                <w:sz w:val="18"/>
                <w:szCs w:val="18"/>
              </w:rPr>
            </w:pPr>
            <w:r>
              <w:rPr>
                <w:spacing w:val="-4"/>
                <w:sz w:val="18"/>
                <w:szCs w:val="18"/>
              </w:rPr>
              <w:t>地块</w:t>
            </w:r>
          </w:p>
          <w:p w14:paraId="2CD61CD1">
            <w:pPr>
              <w:pStyle w:val="6"/>
              <w:spacing w:before="17" w:line="229" w:lineRule="auto"/>
              <w:ind w:left="191"/>
              <w:rPr>
                <w:sz w:val="18"/>
                <w:szCs w:val="18"/>
              </w:rPr>
            </w:pPr>
            <w:r>
              <w:rPr>
                <w:rFonts w:ascii="Times New Roman" w:hAnsi="Times New Roman" w:eastAsia="Times New Roman" w:cs="Times New Roman"/>
                <w:spacing w:val="-3"/>
                <w:sz w:val="18"/>
                <w:szCs w:val="18"/>
              </w:rPr>
              <w:t>5+</w:t>
            </w:r>
            <w:r>
              <w:rPr>
                <w:spacing w:val="-3"/>
                <w:sz w:val="18"/>
                <w:szCs w:val="18"/>
              </w:rPr>
              <w:t>地</w:t>
            </w:r>
          </w:p>
          <w:p w14:paraId="13300843">
            <w:pPr>
              <w:pStyle w:val="6"/>
              <w:spacing w:before="9" w:line="220" w:lineRule="auto"/>
              <w:ind w:left="218"/>
              <w:rPr>
                <w:rFonts w:ascii="Times New Roman" w:hAnsi="Times New Roman" w:eastAsia="Times New Roman" w:cs="Times New Roman"/>
                <w:sz w:val="18"/>
                <w:szCs w:val="18"/>
              </w:rPr>
            </w:pPr>
            <w:r>
              <w:rPr>
                <w:spacing w:val="-4"/>
                <w:sz w:val="18"/>
                <w:szCs w:val="18"/>
              </w:rPr>
              <w:t>块</w:t>
            </w:r>
            <w:r>
              <w:rPr>
                <w:spacing w:val="-34"/>
                <w:sz w:val="18"/>
                <w:szCs w:val="18"/>
              </w:rPr>
              <w:t xml:space="preserve"> </w:t>
            </w:r>
            <w:r>
              <w:rPr>
                <w:rFonts w:ascii="Times New Roman" w:hAnsi="Times New Roman" w:eastAsia="Times New Roman" w:cs="Times New Roman"/>
                <w:spacing w:val="-4"/>
                <w:sz w:val="18"/>
                <w:szCs w:val="18"/>
              </w:rPr>
              <w:t>8</w:t>
            </w:r>
          </w:p>
          <w:p w14:paraId="46E98196">
            <w:pPr>
              <w:pStyle w:val="6"/>
              <w:spacing w:before="21" w:line="219" w:lineRule="auto"/>
              <w:ind w:left="199"/>
              <w:rPr>
                <w:sz w:val="18"/>
                <w:szCs w:val="18"/>
              </w:rPr>
            </w:pPr>
            <w:r>
              <w:rPr>
                <w:spacing w:val="-5"/>
                <w:sz w:val="18"/>
                <w:szCs w:val="18"/>
              </w:rPr>
              <w:t>一部</w:t>
            </w:r>
          </w:p>
          <w:p w14:paraId="10D50BC9">
            <w:pPr>
              <w:pStyle w:val="6"/>
              <w:spacing w:before="19" w:line="220" w:lineRule="auto"/>
              <w:ind w:left="287"/>
              <w:rPr>
                <w:sz w:val="18"/>
                <w:szCs w:val="18"/>
              </w:rPr>
            </w:pPr>
            <w:r>
              <w:rPr>
                <w:sz w:val="18"/>
                <w:szCs w:val="18"/>
              </w:rPr>
              <w:t>分</w:t>
            </w:r>
          </w:p>
        </w:tc>
        <w:tc>
          <w:tcPr>
            <w:tcW w:w="757" w:type="dxa"/>
            <w:vMerge w:val="restart"/>
            <w:tcBorders>
              <w:bottom w:val="nil"/>
            </w:tcBorders>
            <w:vAlign w:val="top"/>
          </w:tcPr>
          <w:p w14:paraId="4AF38743">
            <w:pPr>
              <w:pStyle w:val="6"/>
              <w:spacing w:before="37" w:line="233" w:lineRule="auto"/>
              <w:ind w:left="107" w:right="111" w:hanging="9"/>
              <w:jc w:val="both"/>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r>
              <w:rPr>
                <w:sz w:val="18"/>
                <w:szCs w:val="18"/>
              </w:rPr>
              <w:t xml:space="preserve"> </w:t>
            </w:r>
            <w:r>
              <w:rPr>
                <w:spacing w:val="-3"/>
                <w:sz w:val="18"/>
                <w:szCs w:val="18"/>
              </w:rPr>
              <w:t>晶双面</w:t>
            </w:r>
            <w:r>
              <w:rPr>
                <w:sz w:val="18"/>
                <w:szCs w:val="18"/>
              </w:rPr>
              <w:t xml:space="preserve"> </w:t>
            </w:r>
            <w:r>
              <w:rPr>
                <w:spacing w:val="-4"/>
                <w:sz w:val="18"/>
                <w:szCs w:val="18"/>
              </w:rPr>
              <w:t>双玻</w:t>
            </w:r>
          </w:p>
          <w:p w14:paraId="4A7D3B46">
            <w:pPr>
              <w:spacing w:before="240" w:line="205" w:lineRule="auto"/>
              <w:ind w:left="281" w:right="230" w:hanging="1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1"/>
                <w:sz w:val="18"/>
                <w:szCs w:val="18"/>
              </w:rPr>
              <w:t>V)</w:t>
            </w:r>
          </w:p>
        </w:tc>
        <w:tc>
          <w:tcPr>
            <w:tcW w:w="768" w:type="dxa"/>
            <w:vMerge w:val="restart"/>
            <w:tcBorders>
              <w:bottom w:val="nil"/>
            </w:tcBorders>
            <w:vAlign w:val="top"/>
          </w:tcPr>
          <w:p w14:paraId="7BBB39C7">
            <w:pPr>
              <w:spacing w:line="278" w:lineRule="auto"/>
              <w:rPr>
                <w:rFonts w:ascii="Arial"/>
                <w:sz w:val="21"/>
              </w:rPr>
            </w:pPr>
          </w:p>
          <w:p w14:paraId="65286E0C">
            <w:pPr>
              <w:spacing w:line="278" w:lineRule="auto"/>
              <w:rPr>
                <w:rFonts w:ascii="Arial"/>
                <w:sz w:val="21"/>
              </w:rPr>
            </w:pPr>
          </w:p>
          <w:p w14:paraId="2396BFA2">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5CA2AF5A">
            <w:pPr>
              <w:spacing w:line="278" w:lineRule="auto"/>
              <w:rPr>
                <w:rFonts w:ascii="Arial"/>
                <w:sz w:val="21"/>
              </w:rPr>
            </w:pPr>
          </w:p>
          <w:p w14:paraId="71F9454B">
            <w:pPr>
              <w:spacing w:line="279" w:lineRule="auto"/>
              <w:rPr>
                <w:rFonts w:ascii="Arial"/>
                <w:sz w:val="21"/>
              </w:rPr>
            </w:pPr>
          </w:p>
          <w:p w14:paraId="4B99C4EC">
            <w:pPr>
              <w:spacing w:before="51"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6ADB6CDA">
            <w:pPr>
              <w:spacing w:line="278" w:lineRule="auto"/>
              <w:rPr>
                <w:rFonts w:ascii="Arial"/>
                <w:sz w:val="21"/>
              </w:rPr>
            </w:pPr>
          </w:p>
          <w:p w14:paraId="749C8ACC">
            <w:pPr>
              <w:spacing w:line="278" w:lineRule="auto"/>
              <w:rPr>
                <w:rFonts w:ascii="Arial"/>
                <w:sz w:val="21"/>
              </w:rPr>
            </w:pPr>
          </w:p>
          <w:p w14:paraId="0D3D3DD0">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49E469D7">
            <w:pPr>
              <w:spacing w:line="299" w:lineRule="auto"/>
              <w:rPr>
                <w:rFonts w:ascii="Arial"/>
                <w:sz w:val="21"/>
              </w:rPr>
            </w:pPr>
          </w:p>
          <w:p w14:paraId="6EDF1A6D">
            <w:pPr>
              <w:pStyle w:val="6"/>
              <w:spacing w:before="58" w:line="229" w:lineRule="auto"/>
              <w:ind w:left="294" w:right="106" w:hanging="167"/>
              <w:rPr>
                <w:sz w:val="18"/>
                <w:szCs w:val="18"/>
              </w:rPr>
            </w:pPr>
            <w:r>
              <w:rPr>
                <w:spacing w:val="-8"/>
                <w:sz w:val="18"/>
                <w:szCs w:val="18"/>
              </w:rPr>
              <w:t>固定倾</w:t>
            </w:r>
            <w:r>
              <w:rPr>
                <w:sz w:val="18"/>
                <w:szCs w:val="18"/>
              </w:rPr>
              <w:t xml:space="preserve"> 角</w:t>
            </w:r>
          </w:p>
          <w:p w14:paraId="58442432">
            <w:pPr>
              <w:spacing w:before="36"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6D8217EA">
            <w:pPr>
              <w:spacing w:line="300" w:lineRule="auto"/>
              <w:rPr>
                <w:rFonts w:ascii="Arial"/>
                <w:sz w:val="21"/>
              </w:rPr>
            </w:pPr>
          </w:p>
          <w:p w14:paraId="120C8616">
            <w:pPr>
              <w:pStyle w:val="6"/>
              <w:spacing w:before="58" w:line="230"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1A3C410F">
            <w:pPr>
              <w:spacing w:before="158"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791" w:type="dxa"/>
            <w:vAlign w:val="top"/>
          </w:tcPr>
          <w:p w14:paraId="608EDDFD">
            <w:pPr>
              <w:spacing w:before="158" w:line="18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378</w:t>
            </w:r>
          </w:p>
        </w:tc>
        <w:tc>
          <w:tcPr>
            <w:tcW w:w="756" w:type="dxa"/>
            <w:vAlign w:val="top"/>
          </w:tcPr>
          <w:p w14:paraId="73EAB5CD">
            <w:pPr>
              <w:spacing w:before="158" w:line="188" w:lineRule="auto"/>
              <w:ind w:left="340"/>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875" w:type="dxa"/>
            <w:vAlign w:val="top"/>
          </w:tcPr>
          <w:p w14:paraId="6192C382">
            <w:pPr>
              <w:spacing w:before="158"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2268.00</w:t>
            </w:r>
          </w:p>
        </w:tc>
        <w:tc>
          <w:tcPr>
            <w:tcW w:w="965" w:type="dxa"/>
            <w:vAlign w:val="top"/>
          </w:tcPr>
          <w:p w14:paraId="4F1CB197">
            <w:pPr>
              <w:spacing w:before="261" w:line="170"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2268.00</w:t>
            </w:r>
          </w:p>
        </w:tc>
        <w:tc>
          <w:tcPr>
            <w:tcW w:w="754" w:type="dxa"/>
            <w:vAlign w:val="top"/>
          </w:tcPr>
          <w:p w14:paraId="01DB3797">
            <w:pPr>
              <w:spacing w:before="158"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restart"/>
            <w:tcBorders>
              <w:bottom w:val="nil"/>
            </w:tcBorders>
            <w:vAlign w:val="top"/>
          </w:tcPr>
          <w:p w14:paraId="05084FBD">
            <w:pPr>
              <w:spacing w:line="278" w:lineRule="auto"/>
              <w:rPr>
                <w:rFonts w:ascii="Arial"/>
                <w:sz w:val="21"/>
              </w:rPr>
            </w:pPr>
          </w:p>
          <w:p w14:paraId="4539D041">
            <w:pPr>
              <w:spacing w:line="278" w:lineRule="auto"/>
              <w:rPr>
                <w:rFonts w:ascii="Arial"/>
                <w:sz w:val="21"/>
              </w:rPr>
            </w:pPr>
          </w:p>
          <w:p w14:paraId="2AA358EC">
            <w:pPr>
              <w:spacing w:before="52" w:line="188" w:lineRule="auto"/>
              <w:ind w:left="2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3175.20</w:t>
            </w:r>
          </w:p>
        </w:tc>
        <w:tc>
          <w:tcPr>
            <w:tcW w:w="966" w:type="dxa"/>
            <w:vAlign w:val="top"/>
          </w:tcPr>
          <w:p w14:paraId="4199694F">
            <w:pPr>
              <w:spacing w:before="158" w:line="188" w:lineRule="auto"/>
              <w:ind w:left="21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1800.00</w:t>
            </w:r>
          </w:p>
        </w:tc>
        <w:tc>
          <w:tcPr>
            <w:tcW w:w="1089" w:type="dxa"/>
            <w:vMerge w:val="restart"/>
            <w:tcBorders>
              <w:bottom w:val="nil"/>
              <w:right w:val="single" w:color="000000" w:sz="6" w:space="0"/>
            </w:tcBorders>
            <w:vAlign w:val="top"/>
          </w:tcPr>
          <w:p w14:paraId="3967223E">
            <w:pPr>
              <w:spacing w:line="278" w:lineRule="auto"/>
              <w:rPr>
                <w:rFonts w:ascii="Arial"/>
                <w:sz w:val="21"/>
              </w:rPr>
            </w:pPr>
          </w:p>
          <w:p w14:paraId="5B6FAC94">
            <w:pPr>
              <w:spacing w:line="278" w:lineRule="auto"/>
              <w:rPr>
                <w:rFonts w:ascii="Arial"/>
                <w:sz w:val="21"/>
              </w:rPr>
            </w:pPr>
          </w:p>
          <w:p w14:paraId="65DD3AA5">
            <w:pPr>
              <w:spacing w:before="52" w:line="188"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2700</w:t>
            </w:r>
          </w:p>
        </w:tc>
      </w:tr>
      <w:tr w14:paraId="4D740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540" w:type="dxa"/>
            <w:vMerge w:val="continue"/>
            <w:tcBorders>
              <w:top w:val="nil"/>
              <w:left w:val="single" w:color="000000" w:sz="6" w:space="0"/>
              <w:bottom w:val="nil"/>
            </w:tcBorders>
            <w:vAlign w:val="top"/>
          </w:tcPr>
          <w:p w14:paraId="5AFE6F57">
            <w:pPr>
              <w:rPr>
                <w:rFonts w:ascii="Arial"/>
                <w:sz w:val="21"/>
              </w:rPr>
            </w:pPr>
          </w:p>
        </w:tc>
        <w:tc>
          <w:tcPr>
            <w:tcW w:w="113" w:type="dxa"/>
            <w:vMerge w:val="continue"/>
            <w:tcBorders>
              <w:top w:val="nil"/>
              <w:bottom w:val="nil"/>
            </w:tcBorders>
            <w:vAlign w:val="top"/>
          </w:tcPr>
          <w:p w14:paraId="60AF3CFE">
            <w:pPr>
              <w:rPr>
                <w:rFonts w:ascii="Arial"/>
                <w:sz w:val="21"/>
              </w:rPr>
            </w:pPr>
          </w:p>
        </w:tc>
        <w:tc>
          <w:tcPr>
            <w:tcW w:w="757" w:type="dxa"/>
            <w:vMerge w:val="continue"/>
            <w:tcBorders>
              <w:top w:val="nil"/>
            </w:tcBorders>
            <w:vAlign w:val="top"/>
          </w:tcPr>
          <w:p w14:paraId="774F0136">
            <w:pPr>
              <w:rPr>
                <w:rFonts w:ascii="Arial"/>
                <w:sz w:val="21"/>
              </w:rPr>
            </w:pPr>
          </w:p>
        </w:tc>
        <w:tc>
          <w:tcPr>
            <w:tcW w:w="757" w:type="dxa"/>
            <w:vMerge w:val="continue"/>
            <w:tcBorders>
              <w:top w:val="nil"/>
            </w:tcBorders>
            <w:vAlign w:val="top"/>
          </w:tcPr>
          <w:p w14:paraId="47D5597B">
            <w:pPr>
              <w:rPr>
                <w:rFonts w:ascii="Arial"/>
                <w:sz w:val="21"/>
              </w:rPr>
            </w:pPr>
          </w:p>
        </w:tc>
        <w:tc>
          <w:tcPr>
            <w:tcW w:w="768" w:type="dxa"/>
            <w:vMerge w:val="continue"/>
            <w:tcBorders>
              <w:top w:val="nil"/>
            </w:tcBorders>
            <w:vAlign w:val="top"/>
          </w:tcPr>
          <w:p w14:paraId="3A247BB5">
            <w:pPr>
              <w:rPr>
                <w:rFonts w:ascii="Arial"/>
                <w:sz w:val="21"/>
              </w:rPr>
            </w:pPr>
          </w:p>
        </w:tc>
        <w:tc>
          <w:tcPr>
            <w:tcW w:w="756" w:type="dxa"/>
            <w:vMerge w:val="continue"/>
            <w:tcBorders>
              <w:top w:val="nil"/>
            </w:tcBorders>
            <w:vAlign w:val="top"/>
          </w:tcPr>
          <w:p w14:paraId="0DCFCC6B">
            <w:pPr>
              <w:rPr>
                <w:rFonts w:ascii="Arial"/>
                <w:sz w:val="21"/>
              </w:rPr>
            </w:pPr>
          </w:p>
        </w:tc>
        <w:tc>
          <w:tcPr>
            <w:tcW w:w="798" w:type="dxa"/>
            <w:vMerge w:val="continue"/>
            <w:tcBorders>
              <w:top w:val="nil"/>
            </w:tcBorders>
            <w:vAlign w:val="top"/>
          </w:tcPr>
          <w:p w14:paraId="728D42CF">
            <w:pPr>
              <w:rPr>
                <w:rFonts w:ascii="Arial"/>
                <w:sz w:val="21"/>
              </w:rPr>
            </w:pPr>
          </w:p>
        </w:tc>
        <w:tc>
          <w:tcPr>
            <w:tcW w:w="757" w:type="dxa"/>
            <w:vMerge w:val="continue"/>
            <w:tcBorders>
              <w:top w:val="nil"/>
            </w:tcBorders>
            <w:vAlign w:val="top"/>
          </w:tcPr>
          <w:p w14:paraId="5B5941BB">
            <w:pPr>
              <w:rPr>
                <w:rFonts w:ascii="Arial"/>
                <w:sz w:val="21"/>
              </w:rPr>
            </w:pPr>
          </w:p>
        </w:tc>
        <w:tc>
          <w:tcPr>
            <w:tcW w:w="758" w:type="dxa"/>
            <w:vMerge w:val="continue"/>
            <w:tcBorders>
              <w:top w:val="nil"/>
            </w:tcBorders>
            <w:vAlign w:val="top"/>
          </w:tcPr>
          <w:p w14:paraId="4A3D8F4C">
            <w:pPr>
              <w:rPr>
                <w:rFonts w:ascii="Arial"/>
                <w:sz w:val="21"/>
              </w:rPr>
            </w:pPr>
          </w:p>
        </w:tc>
        <w:tc>
          <w:tcPr>
            <w:tcW w:w="814" w:type="dxa"/>
            <w:vAlign w:val="top"/>
          </w:tcPr>
          <w:p w14:paraId="2F135787">
            <w:pPr>
              <w:spacing w:line="346" w:lineRule="auto"/>
              <w:rPr>
                <w:rFonts w:ascii="Arial"/>
                <w:sz w:val="21"/>
              </w:rPr>
            </w:pPr>
          </w:p>
          <w:p w14:paraId="17F86317">
            <w:pPr>
              <w:spacing w:before="52"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791" w:type="dxa"/>
            <w:vAlign w:val="top"/>
          </w:tcPr>
          <w:p w14:paraId="5DC4BED8">
            <w:pPr>
              <w:spacing w:line="346" w:lineRule="auto"/>
              <w:rPr>
                <w:rFonts w:ascii="Arial"/>
                <w:sz w:val="21"/>
              </w:rPr>
            </w:pPr>
          </w:p>
          <w:p w14:paraId="410CC23B">
            <w:pPr>
              <w:spacing w:before="52" w:line="188" w:lineRule="auto"/>
              <w:ind w:left="1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302.4</w:t>
            </w:r>
          </w:p>
        </w:tc>
        <w:tc>
          <w:tcPr>
            <w:tcW w:w="756" w:type="dxa"/>
            <w:vAlign w:val="top"/>
          </w:tcPr>
          <w:p w14:paraId="136A713A">
            <w:pPr>
              <w:spacing w:line="346" w:lineRule="auto"/>
              <w:rPr>
                <w:rFonts w:ascii="Arial"/>
                <w:sz w:val="21"/>
              </w:rPr>
            </w:pPr>
          </w:p>
          <w:p w14:paraId="29674B5D">
            <w:pPr>
              <w:spacing w:before="52" w:line="188" w:lineRule="auto"/>
              <w:ind w:left="34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875" w:type="dxa"/>
            <w:vAlign w:val="top"/>
          </w:tcPr>
          <w:p w14:paraId="7AAF2FB8">
            <w:pPr>
              <w:spacing w:line="346" w:lineRule="auto"/>
              <w:rPr>
                <w:rFonts w:ascii="Arial"/>
                <w:sz w:val="21"/>
              </w:rPr>
            </w:pPr>
          </w:p>
          <w:p w14:paraId="173771A6">
            <w:pPr>
              <w:spacing w:before="52"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907.20</w:t>
            </w:r>
          </w:p>
        </w:tc>
        <w:tc>
          <w:tcPr>
            <w:tcW w:w="965" w:type="dxa"/>
            <w:vAlign w:val="top"/>
          </w:tcPr>
          <w:p w14:paraId="245AF06D">
            <w:pPr>
              <w:spacing w:line="346" w:lineRule="auto"/>
              <w:rPr>
                <w:rFonts w:ascii="Arial"/>
                <w:sz w:val="21"/>
              </w:rPr>
            </w:pPr>
          </w:p>
          <w:p w14:paraId="251C8E14">
            <w:pPr>
              <w:spacing w:before="52" w:line="188"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907.20</w:t>
            </w:r>
          </w:p>
        </w:tc>
        <w:tc>
          <w:tcPr>
            <w:tcW w:w="754" w:type="dxa"/>
            <w:vAlign w:val="top"/>
          </w:tcPr>
          <w:p w14:paraId="015C2F95">
            <w:pPr>
              <w:spacing w:line="346" w:lineRule="auto"/>
              <w:rPr>
                <w:rFonts w:ascii="Arial"/>
                <w:sz w:val="21"/>
              </w:rPr>
            </w:pPr>
          </w:p>
          <w:p w14:paraId="34413321">
            <w:pPr>
              <w:spacing w:before="52"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continue"/>
            <w:tcBorders>
              <w:top w:val="nil"/>
            </w:tcBorders>
            <w:vAlign w:val="top"/>
          </w:tcPr>
          <w:p w14:paraId="291CAA87">
            <w:pPr>
              <w:rPr>
                <w:rFonts w:ascii="Arial"/>
                <w:sz w:val="21"/>
              </w:rPr>
            </w:pPr>
          </w:p>
        </w:tc>
        <w:tc>
          <w:tcPr>
            <w:tcW w:w="966" w:type="dxa"/>
            <w:vAlign w:val="top"/>
          </w:tcPr>
          <w:p w14:paraId="36B8835E">
            <w:pPr>
              <w:spacing w:line="346" w:lineRule="auto"/>
              <w:rPr>
                <w:rFonts w:ascii="Arial"/>
                <w:sz w:val="21"/>
              </w:rPr>
            </w:pPr>
          </w:p>
          <w:p w14:paraId="291E6151">
            <w:pPr>
              <w:spacing w:before="52" w:line="188"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900.00</w:t>
            </w:r>
          </w:p>
        </w:tc>
        <w:tc>
          <w:tcPr>
            <w:tcW w:w="1089" w:type="dxa"/>
            <w:vMerge w:val="continue"/>
            <w:tcBorders>
              <w:top w:val="nil"/>
              <w:right w:val="single" w:color="000000" w:sz="6" w:space="0"/>
            </w:tcBorders>
            <w:vAlign w:val="top"/>
          </w:tcPr>
          <w:p w14:paraId="53786B3D">
            <w:pPr>
              <w:rPr>
                <w:rFonts w:ascii="Arial"/>
                <w:sz w:val="21"/>
              </w:rPr>
            </w:pPr>
          </w:p>
        </w:tc>
      </w:tr>
      <w:tr w14:paraId="4A1B7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540" w:type="dxa"/>
            <w:vMerge w:val="continue"/>
            <w:tcBorders>
              <w:top w:val="nil"/>
              <w:left w:val="single" w:color="000000" w:sz="6" w:space="0"/>
              <w:bottom w:val="nil"/>
            </w:tcBorders>
            <w:vAlign w:val="top"/>
          </w:tcPr>
          <w:p w14:paraId="0C950752">
            <w:pPr>
              <w:rPr>
                <w:rFonts w:ascii="Arial"/>
                <w:sz w:val="21"/>
              </w:rPr>
            </w:pPr>
          </w:p>
        </w:tc>
        <w:tc>
          <w:tcPr>
            <w:tcW w:w="113" w:type="dxa"/>
            <w:vMerge w:val="continue"/>
            <w:tcBorders>
              <w:top w:val="nil"/>
              <w:bottom w:val="nil"/>
            </w:tcBorders>
            <w:vAlign w:val="top"/>
          </w:tcPr>
          <w:p w14:paraId="49FCEB1B">
            <w:pPr>
              <w:rPr>
                <w:rFonts w:ascii="Arial"/>
                <w:sz w:val="21"/>
              </w:rPr>
            </w:pPr>
          </w:p>
        </w:tc>
        <w:tc>
          <w:tcPr>
            <w:tcW w:w="757" w:type="dxa"/>
            <w:vMerge w:val="restart"/>
            <w:tcBorders>
              <w:bottom w:val="nil"/>
            </w:tcBorders>
            <w:vAlign w:val="top"/>
          </w:tcPr>
          <w:p w14:paraId="3E460D53">
            <w:pPr>
              <w:spacing w:line="318" w:lineRule="auto"/>
              <w:rPr>
                <w:rFonts w:ascii="Arial"/>
                <w:sz w:val="21"/>
              </w:rPr>
            </w:pPr>
          </w:p>
          <w:p w14:paraId="1E83176A">
            <w:pPr>
              <w:pStyle w:val="6"/>
              <w:spacing w:before="58" w:line="231" w:lineRule="auto"/>
              <w:ind w:left="332" w:right="202" w:hanging="135"/>
              <w:rPr>
                <w:rFonts w:ascii="Times New Roman" w:hAnsi="Times New Roman" w:eastAsia="Times New Roman" w:cs="Times New Roman"/>
                <w:sz w:val="18"/>
                <w:szCs w:val="18"/>
              </w:rPr>
            </w:pPr>
            <w:r>
              <w:rPr>
                <w:spacing w:val="-4"/>
                <w:sz w:val="18"/>
                <w:szCs w:val="18"/>
              </w:rPr>
              <w:t>地块</w:t>
            </w:r>
            <w:r>
              <w:rPr>
                <w:sz w:val="18"/>
                <w:szCs w:val="18"/>
              </w:rPr>
              <w:t xml:space="preserve"> </w:t>
            </w:r>
            <w:r>
              <w:rPr>
                <w:rFonts w:ascii="Times New Roman" w:hAnsi="Times New Roman" w:eastAsia="Times New Roman" w:cs="Times New Roman"/>
                <w:sz w:val="18"/>
                <w:szCs w:val="18"/>
              </w:rPr>
              <w:t>6</w:t>
            </w:r>
          </w:p>
        </w:tc>
        <w:tc>
          <w:tcPr>
            <w:tcW w:w="757" w:type="dxa"/>
            <w:vMerge w:val="restart"/>
            <w:tcBorders>
              <w:bottom w:val="nil"/>
            </w:tcBorders>
            <w:vAlign w:val="top"/>
          </w:tcPr>
          <w:p w14:paraId="052D382E">
            <w:pPr>
              <w:pStyle w:val="6"/>
              <w:spacing w:before="41" w:line="233" w:lineRule="auto"/>
              <w:ind w:left="107" w:right="111" w:hanging="9"/>
              <w:jc w:val="both"/>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r>
              <w:rPr>
                <w:sz w:val="18"/>
                <w:szCs w:val="18"/>
              </w:rPr>
              <w:t xml:space="preserve"> </w:t>
            </w:r>
            <w:r>
              <w:rPr>
                <w:spacing w:val="-3"/>
                <w:sz w:val="18"/>
                <w:szCs w:val="18"/>
              </w:rPr>
              <w:t>晶双面</w:t>
            </w:r>
            <w:r>
              <w:rPr>
                <w:sz w:val="18"/>
                <w:szCs w:val="18"/>
              </w:rPr>
              <w:t xml:space="preserve"> </w:t>
            </w:r>
            <w:r>
              <w:rPr>
                <w:spacing w:val="-4"/>
                <w:sz w:val="18"/>
                <w:szCs w:val="18"/>
              </w:rPr>
              <w:t>双玻</w:t>
            </w:r>
          </w:p>
          <w:p w14:paraId="67E4FAD2">
            <w:pPr>
              <w:spacing w:before="240" w:line="192" w:lineRule="auto"/>
              <w:ind w:left="107"/>
              <w:rPr>
                <w:rFonts w:ascii="Times New Roman" w:hAnsi="Times New Roman" w:eastAsia="Times New Roman" w:cs="Times New Roman"/>
                <w:sz w:val="18"/>
                <w:szCs w:val="18"/>
              </w:rPr>
            </w:pPr>
            <w:r>
              <w:pict>
                <v:shape id="_x0000_s1067" o:spid="_x0000_s1067" style="position:absolute;left:0pt;margin-left:-38.55pt;margin-top:20.15pt;height:0.5pt;width:661.85pt;z-index:251703296;mso-width-relative:page;mso-height-relative:page;" filled="f" stroked="t" coordsize="13236,10" path="m0,4l13236,4e">
                  <v:fill on="f" focussize="0,0"/>
                  <v:stroke weight="0.48pt" color="#000000" miterlimit="2" joinstyle="bevel"/>
                  <v:imagedata o:title=""/>
                  <o:lock v:ext="edit"/>
                </v:shape>
              </w:pict>
            </w:r>
            <w:r>
              <w:rPr>
                <w:rFonts w:ascii="Times New Roman" w:hAnsi="Times New Roman" w:eastAsia="Times New Roman" w:cs="Times New Roman"/>
                <w:spacing w:val="-2"/>
                <w:sz w:val="18"/>
                <w:szCs w:val="18"/>
              </w:rPr>
              <w:t>(1500</w:t>
            </w:r>
          </w:p>
        </w:tc>
        <w:tc>
          <w:tcPr>
            <w:tcW w:w="768" w:type="dxa"/>
            <w:vMerge w:val="restart"/>
            <w:tcBorders>
              <w:bottom w:val="nil"/>
            </w:tcBorders>
            <w:vAlign w:val="top"/>
          </w:tcPr>
          <w:p w14:paraId="45BB835F">
            <w:pPr>
              <w:spacing w:line="455" w:lineRule="auto"/>
              <w:rPr>
                <w:rFonts w:ascii="Arial"/>
                <w:sz w:val="21"/>
              </w:rPr>
            </w:pPr>
          </w:p>
          <w:p w14:paraId="087A2DCE">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565028CA">
            <w:pPr>
              <w:spacing w:line="456" w:lineRule="auto"/>
              <w:rPr>
                <w:rFonts w:ascii="Arial"/>
                <w:sz w:val="21"/>
              </w:rPr>
            </w:pPr>
          </w:p>
          <w:p w14:paraId="632CEFFA">
            <w:pPr>
              <w:spacing w:before="51"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2E34E551">
            <w:pPr>
              <w:spacing w:line="455" w:lineRule="auto"/>
              <w:rPr>
                <w:rFonts w:ascii="Arial"/>
                <w:sz w:val="21"/>
              </w:rPr>
            </w:pPr>
          </w:p>
          <w:p w14:paraId="09273B98">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4E2BB296">
            <w:pPr>
              <w:pStyle w:val="6"/>
              <w:spacing w:before="260" w:line="229" w:lineRule="auto"/>
              <w:ind w:left="294" w:right="106" w:hanging="167"/>
              <w:rPr>
                <w:sz w:val="18"/>
                <w:szCs w:val="18"/>
              </w:rPr>
            </w:pPr>
            <w:r>
              <w:rPr>
                <w:spacing w:val="-8"/>
                <w:sz w:val="18"/>
                <w:szCs w:val="18"/>
              </w:rPr>
              <w:t>固定倾</w:t>
            </w:r>
            <w:r>
              <w:rPr>
                <w:sz w:val="18"/>
                <w:szCs w:val="18"/>
              </w:rPr>
              <w:t xml:space="preserve"> 角</w:t>
            </w:r>
          </w:p>
          <w:p w14:paraId="0C1EB6BD">
            <w:pPr>
              <w:spacing w:before="38"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18A8D1CB">
            <w:pPr>
              <w:pStyle w:val="6"/>
              <w:spacing w:before="261" w:line="231"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0F2E17F8">
            <w:pPr>
              <w:spacing w:before="58" w:line="166"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791" w:type="dxa"/>
            <w:vAlign w:val="top"/>
          </w:tcPr>
          <w:p w14:paraId="7AFBC6B5">
            <w:pPr>
              <w:spacing w:before="58" w:line="166"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378</w:t>
            </w:r>
          </w:p>
        </w:tc>
        <w:tc>
          <w:tcPr>
            <w:tcW w:w="756" w:type="dxa"/>
            <w:vAlign w:val="top"/>
          </w:tcPr>
          <w:p w14:paraId="76154E1E">
            <w:pPr>
              <w:spacing w:before="58" w:line="166" w:lineRule="auto"/>
              <w:ind w:left="33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875" w:type="dxa"/>
            <w:vAlign w:val="top"/>
          </w:tcPr>
          <w:p w14:paraId="14B1B4F8">
            <w:pPr>
              <w:spacing w:before="58" w:line="166"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1512.00</w:t>
            </w:r>
          </w:p>
        </w:tc>
        <w:tc>
          <w:tcPr>
            <w:tcW w:w="965" w:type="dxa"/>
            <w:vMerge w:val="restart"/>
            <w:tcBorders>
              <w:bottom w:val="nil"/>
            </w:tcBorders>
            <w:vAlign w:val="top"/>
          </w:tcPr>
          <w:p w14:paraId="6124F25C">
            <w:pPr>
              <w:spacing w:line="455" w:lineRule="auto"/>
              <w:rPr>
                <w:rFonts w:ascii="Arial"/>
                <w:sz w:val="21"/>
              </w:rPr>
            </w:pPr>
          </w:p>
          <w:p w14:paraId="080657A8">
            <w:pPr>
              <w:spacing w:before="52"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2963.52</w:t>
            </w:r>
          </w:p>
        </w:tc>
        <w:tc>
          <w:tcPr>
            <w:tcW w:w="754" w:type="dxa"/>
            <w:vMerge w:val="restart"/>
            <w:tcBorders>
              <w:bottom w:val="nil"/>
            </w:tcBorders>
            <w:vAlign w:val="top"/>
          </w:tcPr>
          <w:p w14:paraId="7BAA35A0">
            <w:pPr>
              <w:spacing w:line="456" w:lineRule="auto"/>
              <w:rPr>
                <w:rFonts w:ascii="Arial"/>
                <w:sz w:val="21"/>
              </w:rPr>
            </w:pPr>
          </w:p>
          <w:p w14:paraId="4CE0568E">
            <w:pPr>
              <w:spacing w:before="51"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restart"/>
            <w:tcBorders>
              <w:bottom w:val="nil"/>
            </w:tcBorders>
            <w:vAlign w:val="top"/>
          </w:tcPr>
          <w:p w14:paraId="02615D6E">
            <w:pPr>
              <w:spacing w:line="455" w:lineRule="auto"/>
              <w:rPr>
                <w:rFonts w:ascii="Arial"/>
                <w:sz w:val="21"/>
              </w:rPr>
            </w:pPr>
          </w:p>
          <w:p w14:paraId="528B9064">
            <w:pPr>
              <w:spacing w:before="52"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2963.52</w:t>
            </w:r>
          </w:p>
        </w:tc>
        <w:tc>
          <w:tcPr>
            <w:tcW w:w="966" w:type="dxa"/>
            <w:vMerge w:val="restart"/>
            <w:tcBorders>
              <w:bottom w:val="nil"/>
            </w:tcBorders>
            <w:vAlign w:val="top"/>
          </w:tcPr>
          <w:p w14:paraId="6E06391A">
            <w:pPr>
              <w:spacing w:line="455" w:lineRule="auto"/>
              <w:rPr>
                <w:rFonts w:ascii="Arial"/>
                <w:sz w:val="21"/>
              </w:rPr>
            </w:pPr>
          </w:p>
          <w:p w14:paraId="3701CA46">
            <w:pPr>
              <w:spacing w:before="52"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2400.00</w:t>
            </w:r>
          </w:p>
        </w:tc>
        <w:tc>
          <w:tcPr>
            <w:tcW w:w="1089" w:type="dxa"/>
            <w:vMerge w:val="restart"/>
            <w:tcBorders>
              <w:bottom w:val="nil"/>
              <w:right w:val="single" w:color="000000" w:sz="6" w:space="0"/>
            </w:tcBorders>
            <w:vAlign w:val="top"/>
          </w:tcPr>
          <w:p w14:paraId="244C5138">
            <w:pPr>
              <w:spacing w:line="455" w:lineRule="auto"/>
              <w:rPr>
                <w:rFonts w:ascii="Arial"/>
                <w:sz w:val="21"/>
              </w:rPr>
            </w:pPr>
          </w:p>
          <w:p w14:paraId="22E26EE7">
            <w:pPr>
              <w:spacing w:before="52" w:line="188"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w:t>
            </w:r>
          </w:p>
        </w:tc>
      </w:tr>
      <w:tr w14:paraId="47F29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540" w:type="dxa"/>
            <w:vMerge w:val="continue"/>
            <w:tcBorders>
              <w:top w:val="nil"/>
              <w:left w:val="single" w:color="000000" w:sz="6" w:space="0"/>
              <w:bottom w:val="single" w:color="000000" w:sz="6" w:space="0"/>
            </w:tcBorders>
            <w:vAlign w:val="top"/>
          </w:tcPr>
          <w:p w14:paraId="615B812E">
            <w:pPr>
              <w:rPr>
                <w:rFonts w:ascii="Arial"/>
                <w:sz w:val="21"/>
              </w:rPr>
            </w:pPr>
          </w:p>
        </w:tc>
        <w:tc>
          <w:tcPr>
            <w:tcW w:w="113" w:type="dxa"/>
            <w:vMerge w:val="continue"/>
            <w:tcBorders>
              <w:top w:val="nil"/>
              <w:bottom w:val="single" w:color="000000" w:sz="6" w:space="0"/>
            </w:tcBorders>
            <w:vAlign w:val="top"/>
          </w:tcPr>
          <w:p w14:paraId="5217E3B7">
            <w:pPr>
              <w:rPr>
                <w:rFonts w:ascii="Arial"/>
                <w:sz w:val="21"/>
              </w:rPr>
            </w:pPr>
          </w:p>
        </w:tc>
        <w:tc>
          <w:tcPr>
            <w:tcW w:w="757" w:type="dxa"/>
            <w:vMerge w:val="continue"/>
            <w:tcBorders>
              <w:top w:val="nil"/>
              <w:bottom w:val="single" w:color="000000" w:sz="6" w:space="0"/>
            </w:tcBorders>
            <w:vAlign w:val="top"/>
          </w:tcPr>
          <w:p w14:paraId="2152522D">
            <w:pPr>
              <w:rPr>
                <w:rFonts w:ascii="Arial"/>
                <w:sz w:val="21"/>
              </w:rPr>
            </w:pPr>
          </w:p>
        </w:tc>
        <w:tc>
          <w:tcPr>
            <w:tcW w:w="757" w:type="dxa"/>
            <w:vMerge w:val="continue"/>
            <w:tcBorders>
              <w:top w:val="nil"/>
              <w:bottom w:val="single" w:color="000000" w:sz="6" w:space="0"/>
            </w:tcBorders>
            <w:vAlign w:val="top"/>
          </w:tcPr>
          <w:p w14:paraId="67024681">
            <w:pPr>
              <w:rPr>
                <w:rFonts w:ascii="Arial"/>
                <w:sz w:val="21"/>
              </w:rPr>
            </w:pPr>
          </w:p>
        </w:tc>
        <w:tc>
          <w:tcPr>
            <w:tcW w:w="768" w:type="dxa"/>
            <w:vMerge w:val="continue"/>
            <w:tcBorders>
              <w:top w:val="nil"/>
              <w:bottom w:val="single" w:color="000000" w:sz="6" w:space="0"/>
            </w:tcBorders>
            <w:vAlign w:val="top"/>
          </w:tcPr>
          <w:p w14:paraId="215C6ED8">
            <w:pPr>
              <w:rPr>
                <w:rFonts w:ascii="Arial"/>
                <w:sz w:val="21"/>
              </w:rPr>
            </w:pPr>
          </w:p>
        </w:tc>
        <w:tc>
          <w:tcPr>
            <w:tcW w:w="756" w:type="dxa"/>
            <w:vMerge w:val="continue"/>
            <w:tcBorders>
              <w:top w:val="nil"/>
              <w:bottom w:val="single" w:color="000000" w:sz="6" w:space="0"/>
            </w:tcBorders>
            <w:vAlign w:val="top"/>
          </w:tcPr>
          <w:p w14:paraId="7FD2E50C">
            <w:pPr>
              <w:rPr>
                <w:rFonts w:ascii="Arial"/>
                <w:sz w:val="21"/>
              </w:rPr>
            </w:pPr>
          </w:p>
        </w:tc>
        <w:tc>
          <w:tcPr>
            <w:tcW w:w="798" w:type="dxa"/>
            <w:vMerge w:val="continue"/>
            <w:tcBorders>
              <w:top w:val="nil"/>
              <w:bottom w:val="single" w:color="000000" w:sz="6" w:space="0"/>
            </w:tcBorders>
            <w:vAlign w:val="top"/>
          </w:tcPr>
          <w:p w14:paraId="64BA42B8">
            <w:pPr>
              <w:rPr>
                <w:rFonts w:ascii="Arial"/>
                <w:sz w:val="21"/>
              </w:rPr>
            </w:pPr>
          </w:p>
        </w:tc>
        <w:tc>
          <w:tcPr>
            <w:tcW w:w="757" w:type="dxa"/>
            <w:vMerge w:val="continue"/>
            <w:tcBorders>
              <w:top w:val="nil"/>
              <w:bottom w:val="single" w:color="000000" w:sz="6" w:space="0"/>
            </w:tcBorders>
            <w:vAlign w:val="top"/>
          </w:tcPr>
          <w:p w14:paraId="7A82BC11">
            <w:pPr>
              <w:rPr>
                <w:rFonts w:ascii="Arial"/>
                <w:sz w:val="21"/>
              </w:rPr>
            </w:pPr>
          </w:p>
        </w:tc>
        <w:tc>
          <w:tcPr>
            <w:tcW w:w="758" w:type="dxa"/>
            <w:vMerge w:val="continue"/>
            <w:tcBorders>
              <w:top w:val="nil"/>
              <w:bottom w:val="single" w:color="000000" w:sz="6" w:space="0"/>
            </w:tcBorders>
            <w:vAlign w:val="top"/>
          </w:tcPr>
          <w:p w14:paraId="3A16369D">
            <w:pPr>
              <w:rPr>
                <w:rFonts w:ascii="Arial"/>
                <w:sz w:val="21"/>
              </w:rPr>
            </w:pPr>
          </w:p>
        </w:tc>
        <w:tc>
          <w:tcPr>
            <w:tcW w:w="814" w:type="dxa"/>
            <w:tcBorders>
              <w:bottom w:val="single" w:color="000000" w:sz="6" w:space="0"/>
            </w:tcBorders>
            <w:vAlign w:val="top"/>
          </w:tcPr>
          <w:p w14:paraId="6FD7A4D0">
            <w:pPr>
              <w:spacing w:line="350" w:lineRule="auto"/>
              <w:rPr>
                <w:rFonts w:ascii="Arial"/>
                <w:sz w:val="21"/>
              </w:rPr>
            </w:pPr>
          </w:p>
          <w:p w14:paraId="49F91B3B">
            <w:pPr>
              <w:spacing w:before="51"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tcBorders>
              <w:bottom w:val="single" w:color="000000" w:sz="6" w:space="0"/>
            </w:tcBorders>
            <w:vAlign w:val="top"/>
          </w:tcPr>
          <w:p w14:paraId="7802C9F6">
            <w:pPr>
              <w:spacing w:line="349" w:lineRule="auto"/>
              <w:rPr>
                <w:rFonts w:ascii="Arial"/>
                <w:sz w:val="21"/>
              </w:rPr>
            </w:pPr>
          </w:p>
          <w:p w14:paraId="1A58D2BB">
            <w:pPr>
              <w:spacing w:before="52"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tcBorders>
              <w:bottom w:val="single" w:color="000000" w:sz="6" w:space="0"/>
            </w:tcBorders>
            <w:vAlign w:val="top"/>
          </w:tcPr>
          <w:p w14:paraId="762A551D">
            <w:pPr>
              <w:spacing w:line="350" w:lineRule="auto"/>
              <w:rPr>
                <w:rFonts w:ascii="Arial"/>
                <w:sz w:val="21"/>
              </w:rPr>
            </w:pPr>
          </w:p>
          <w:p w14:paraId="316CC165">
            <w:pPr>
              <w:spacing w:before="51" w:line="188" w:lineRule="auto"/>
              <w:ind w:left="33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875" w:type="dxa"/>
            <w:tcBorders>
              <w:bottom w:val="single" w:color="000000" w:sz="6" w:space="0"/>
            </w:tcBorders>
            <w:vAlign w:val="top"/>
          </w:tcPr>
          <w:p w14:paraId="4CF06BF4">
            <w:pPr>
              <w:spacing w:line="349" w:lineRule="auto"/>
              <w:rPr>
                <w:rFonts w:ascii="Arial"/>
                <w:sz w:val="21"/>
              </w:rPr>
            </w:pPr>
          </w:p>
          <w:p w14:paraId="2365EEC9">
            <w:pPr>
              <w:spacing w:before="52"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1451.52</w:t>
            </w:r>
          </w:p>
        </w:tc>
        <w:tc>
          <w:tcPr>
            <w:tcW w:w="965" w:type="dxa"/>
            <w:vMerge w:val="continue"/>
            <w:tcBorders>
              <w:top w:val="nil"/>
              <w:bottom w:val="single" w:color="000000" w:sz="6" w:space="0"/>
            </w:tcBorders>
            <w:vAlign w:val="top"/>
          </w:tcPr>
          <w:p w14:paraId="4402E9D5">
            <w:pPr>
              <w:rPr>
                <w:rFonts w:ascii="Arial"/>
                <w:sz w:val="21"/>
              </w:rPr>
            </w:pPr>
          </w:p>
        </w:tc>
        <w:tc>
          <w:tcPr>
            <w:tcW w:w="754" w:type="dxa"/>
            <w:vMerge w:val="continue"/>
            <w:tcBorders>
              <w:top w:val="nil"/>
              <w:bottom w:val="single" w:color="000000" w:sz="6" w:space="0"/>
            </w:tcBorders>
            <w:vAlign w:val="top"/>
          </w:tcPr>
          <w:p w14:paraId="7693944D">
            <w:pPr>
              <w:rPr>
                <w:rFonts w:ascii="Arial"/>
                <w:sz w:val="21"/>
              </w:rPr>
            </w:pPr>
          </w:p>
        </w:tc>
        <w:tc>
          <w:tcPr>
            <w:tcW w:w="974" w:type="dxa"/>
            <w:vMerge w:val="continue"/>
            <w:tcBorders>
              <w:top w:val="nil"/>
              <w:bottom w:val="single" w:color="000000" w:sz="6" w:space="0"/>
            </w:tcBorders>
            <w:vAlign w:val="top"/>
          </w:tcPr>
          <w:p w14:paraId="35EEE4E9">
            <w:pPr>
              <w:rPr>
                <w:rFonts w:ascii="Arial"/>
                <w:sz w:val="21"/>
              </w:rPr>
            </w:pPr>
          </w:p>
        </w:tc>
        <w:tc>
          <w:tcPr>
            <w:tcW w:w="966" w:type="dxa"/>
            <w:vMerge w:val="continue"/>
            <w:tcBorders>
              <w:top w:val="nil"/>
              <w:bottom w:val="single" w:color="000000" w:sz="6" w:space="0"/>
            </w:tcBorders>
            <w:vAlign w:val="top"/>
          </w:tcPr>
          <w:p w14:paraId="1A865723">
            <w:pPr>
              <w:rPr>
                <w:rFonts w:ascii="Arial"/>
                <w:sz w:val="21"/>
              </w:rPr>
            </w:pPr>
          </w:p>
        </w:tc>
        <w:tc>
          <w:tcPr>
            <w:tcW w:w="1089" w:type="dxa"/>
            <w:vMerge w:val="continue"/>
            <w:tcBorders>
              <w:top w:val="nil"/>
              <w:bottom w:val="single" w:color="000000" w:sz="6" w:space="0"/>
              <w:right w:val="single" w:color="000000" w:sz="6" w:space="0"/>
            </w:tcBorders>
            <w:vAlign w:val="top"/>
          </w:tcPr>
          <w:p w14:paraId="52E6B7F3">
            <w:pPr>
              <w:rPr>
                <w:rFonts w:ascii="Arial"/>
                <w:sz w:val="21"/>
              </w:rPr>
            </w:pPr>
          </w:p>
        </w:tc>
      </w:tr>
    </w:tbl>
    <w:p w14:paraId="278C3510">
      <w:pPr>
        <w:rPr>
          <w:rFonts w:ascii="Arial"/>
          <w:sz w:val="21"/>
        </w:rPr>
      </w:pPr>
    </w:p>
    <w:p w14:paraId="3D0BAAD6">
      <w:pPr>
        <w:rPr>
          <w:rFonts w:ascii="Arial" w:hAnsi="Arial" w:eastAsia="Arial" w:cs="Arial"/>
          <w:sz w:val="21"/>
          <w:szCs w:val="21"/>
        </w:rPr>
        <w:sectPr>
          <w:footerReference r:id="rId59" w:type="default"/>
          <w:pgSz w:w="16839" w:h="11906"/>
          <w:pgMar w:top="1012" w:right="1417" w:bottom="1278" w:left="1417" w:header="0" w:footer="1116" w:gutter="0"/>
          <w:cols w:space="720" w:num="1"/>
        </w:sectPr>
      </w:pPr>
    </w:p>
    <w:p w14:paraId="281A0E47">
      <w:pPr>
        <w:spacing w:before="18"/>
      </w:pPr>
      <w:r>
        <w:pict>
          <v:shape id="_x0000_s1068" o:spid="_x0000_s1068" style="position:absolute;left:0pt;margin-left:764.65pt;margin-top:78pt;height:435.35pt;width:0.5pt;mso-position-horizontal-relative:page;mso-position-vertical-relative:page;z-index:251705344;mso-width-relative:page;mso-height-relative:page;" filled="f" stroked="t" coordsize="10,8707" o:allowincell="f" path="m4,0l4,8706e">
            <v:fill on="f" focussize="0,0"/>
            <v:stroke weight="0.48pt" color="#000000" miterlimit="2" joinstyle="bevel"/>
            <v:imagedata o:title=""/>
            <o:lock v:ext="edit"/>
          </v:shape>
        </w:pict>
      </w:r>
      <w:r>
        <w:pict>
          <v:shape id="_x0000_s1069" o:spid="_x0000_s1069" style="position:absolute;left:0pt;margin-left:103.3pt;margin-top:512.85pt;height:0.5pt;width:661.85pt;mso-position-horizontal-relative:page;mso-position-vertical-relative:page;z-index:-251612160;mso-width-relative:page;mso-height-relative:page;" filled="f" stroked="t" coordsize="13236,10" o:allowincell="f" path="m0,4l13236,4e">
            <v:fill on="f" focussize="0,0"/>
            <v:stroke weight="0.48pt" color="#000000" miterlimit="2" joinstyle="bevel"/>
            <v:imagedata o:title=""/>
            <o:lock v:ext="edit"/>
          </v:shape>
        </w:pict>
      </w:r>
    </w:p>
    <w:p w14:paraId="47B04F2C">
      <w:pPr>
        <w:spacing w:before="18"/>
      </w:pPr>
    </w:p>
    <w:tbl>
      <w:tblPr>
        <w:tblStyle w:val="5"/>
        <w:tblW w:w="13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113"/>
        <w:gridCol w:w="757"/>
        <w:gridCol w:w="757"/>
        <w:gridCol w:w="768"/>
        <w:gridCol w:w="756"/>
        <w:gridCol w:w="798"/>
        <w:gridCol w:w="757"/>
        <w:gridCol w:w="758"/>
        <w:gridCol w:w="814"/>
        <w:gridCol w:w="791"/>
        <w:gridCol w:w="756"/>
        <w:gridCol w:w="875"/>
        <w:gridCol w:w="965"/>
        <w:gridCol w:w="754"/>
        <w:gridCol w:w="974"/>
        <w:gridCol w:w="966"/>
        <w:gridCol w:w="1089"/>
      </w:tblGrid>
      <w:tr w14:paraId="26AA9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 w:hRule="atLeast"/>
        </w:trPr>
        <w:tc>
          <w:tcPr>
            <w:tcW w:w="540" w:type="dxa"/>
            <w:vMerge w:val="restart"/>
            <w:tcBorders>
              <w:top w:val="single" w:color="000000" w:sz="6" w:space="0"/>
              <w:left w:val="single" w:color="000000" w:sz="6" w:space="0"/>
              <w:bottom w:val="nil"/>
            </w:tcBorders>
            <w:vAlign w:val="top"/>
          </w:tcPr>
          <w:p w14:paraId="45F2C0CD">
            <w:pPr>
              <w:rPr>
                <w:rFonts w:ascii="Arial"/>
                <w:sz w:val="21"/>
              </w:rPr>
            </w:pPr>
          </w:p>
        </w:tc>
        <w:tc>
          <w:tcPr>
            <w:tcW w:w="113" w:type="dxa"/>
            <w:vMerge w:val="restart"/>
            <w:tcBorders>
              <w:top w:val="single" w:color="000000" w:sz="6" w:space="0"/>
              <w:bottom w:val="nil"/>
            </w:tcBorders>
            <w:vAlign w:val="top"/>
          </w:tcPr>
          <w:p w14:paraId="008E5877">
            <w:pPr>
              <w:rPr>
                <w:rFonts w:ascii="Arial"/>
                <w:sz w:val="21"/>
              </w:rPr>
            </w:pPr>
          </w:p>
        </w:tc>
        <w:tc>
          <w:tcPr>
            <w:tcW w:w="757" w:type="dxa"/>
            <w:tcBorders>
              <w:top w:val="single" w:color="000000" w:sz="6" w:space="0"/>
            </w:tcBorders>
            <w:vAlign w:val="top"/>
          </w:tcPr>
          <w:p w14:paraId="03711209">
            <w:pPr>
              <w:spacing w:line="215" w:lineRule="exact"/>
              <w:rPr>
                <w:rFonts w:ascii="Arial"/>
                <w:sz w:val="18"/>
              </w:rPr>
            </w:pPr>
          </w:p>
        </w:tc>
        <w:tc>
          <w:tcPr>
            <w:tcW w:w="757" w:type="dxa"/>
            <w:tcBorders>
              <w:top w:val="single" w:color="000000" w:sz="6" w:space="0"/>
            </w:tcBorders>
            <w:vAlign w:val="top"/>
          </w:tcPr>
          <w:p w14:paraId="08765833">
            <w:pPr>
              <w:spacing w:before="56" w:line="185"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V)</w:t>
            </w:r>
          </w:p>
        </w:tc>
        <w:tc>
          <w:tcPr>
            <w:tcW w:w="768" w:type="dxa"/>
            <w:tcBorders>
              <w:top w:val="single" w:color="000000" w:sz="6" w:space="0"/>
            </w:tcBorders>
            <w:vAlign w:val="top"/>
          </w:tcPr>
          <w:p w14:paraId="0BAA5CF3">
            <w:pPr>
              <w:spacing w:line="215" w:lineRule="exact"/>
              <w:rPr>
                <w:rFonts w:ascii="Arial"/>
                <w:sz w:val="18"/>
              </w:rPr>
            </w:pPr>
          </w:p>
        </w:tc>
        <w:tc>
          <w:tcPr>
            <w:tcW w:w="756" w:type="dxa"/>
            <w:tcBorders>
              <w:top w:val="single" w:color="000000" w:sz="6" w:space="0"/>
            </w:tcBorders>
            <w:vAlign w:val="top"/>
          </w:tcPr>
          <w:p w14:paraId="678FDE84">
            <w:pPr>
              <w:spacing w:line="215" w:lineRule="exact"/>
              <w:rPr>
                <w:rFonts w:ascii="Arial"/>
                <w:sz w:val="18"/>
              </w:rPr>
            </w:pPr>
          </w:p>
        </w:tc>
        <w:tc>
          <w:tcPr>
            <w:tcW w:w="798" w:type="dxa"/>
            <w:tcBorders>
              <w:top w:val="single" w:color="000000" w:sz="6" w:space="0"/>
            </w:tcBorders>
            <w:vAlign w:val="top"/>
          </w:tcPr>
          <w:p w14:paraId="5A194B53">
            <w:pPr>
              <w:spacing w:line="215" w:lineRule="exact"/>
              <w:rPr>
                <w:rFonts w:ascii="Arial"/>
                <w:sz w:val="18"/>
              </w:rPr>
            </w:pPr>
          </w:p>
        </w:tc>
        <w:tc>
          <w:tcPr>
            <w:tcW w:w="757" w:type="dxa"/>
            <w:tcBorders>
              <w:top w:val="single" w:color="000000" w:sz="6" w:space="0"/>
            </w:tcBorders>
            <w:vAlign w:val="top"/>
          </w:tcPr>
          <w:p w14:paraId="3D8F3D25">
            <w:pPr>
              <w:spacing w:line="215" w:lineRule="exact"/>
              <w:rPr>
                <w:rFonts w:ascii="Arial"/>
                <w:sz w:val="18"/>
              </w:rPr>
            </w:pPr>
          </w:p>
        </w:tc>
        <w:tc>
          <w:tcPr>
            <w:tcW w:w="758" w:type="dxa"/>
            <w:tcBorders>
              <w:top w:val="single" w:color="000000" w:sz="6" w:space="0"/>
            </w:tcBorders>
            <w:vAlign w:val="top"/>
          </w:tcPr>
          <w:p w14:paraId="68316D94">
            <w:pPr>
              <w:spacing w:line="215" w:lineRule="exact"/>
              <w:rPr>
                <w:rFonts w:ascii="Arial"/>
                <w:sz w:val="18"/>
              </w:rPr>
            </w:pPr>
          </w:p>
        </w:tc>
        <w:tc>
          <w:tcPr>
            <w:tcW w:w="814" w:type="dxa"/>
            <w:tcBorders>
              <w:top w:val="single" w:color="000000" w:sz="6" w:space="0"/>
            </w:tcBorders>
            <w:vAlign w:val="top"/>
          </w:tcPr>
          <w:p w14:paraId="3D4B2F71">
            <w:pPr>
              <w:spacing w:line="215" w:lineRule="exact"/>
              <w:rPr>
                <w:rFonts w:ascii="Arial"/>
                <w:sz w:val="18"/>
              </w:rPr>
            </w:pPr>
          </w:p>
        </w:tc>
        <w:tc>
          <w:tcPr>
            <w:tcW w:w="791" w:type="dxa"/>
            <w:tcBorders>
              <w:top w:val="single" w:color="000000" w:sz="6" w:space="0"/>
            </w:tcBorders>
            <w:vAlign w:val="top"/>
          </w:tcPr>
          <w:p w14:paraId="731CB184">
            <w:pPr>
              <w:spacing w:line="215" w:lineRule="exact"/>
              <w:rPr>
                <w:rFonts w:ascii="Arial"/>
                <w:sz w:val="18"/>
              </w:rPr>
            </w:pPr>
          </w:p>
        </w:tc>
        <w:tc>
          <w:tcPr>
            <w:tcW w:w="756" w:type="dxa"/>
            <w:tcBorders>
              <w:top w:val="single" w:color="000000" w:sz="6" w:space="0"/>
            </w:tcBorders>
            <w:vAlign w:val="top"/>
          </w:tcPr>
          <w:p w14:paraId="7D1F95C6">
            <w:pPr>
              <w:spacing w:line="215" w:lineRule="exact"/>
              <w:rPr>
                <w:rFonts w:ascii="Arial"/>
                <w:sz w:val="18"/>
              </w:rPr>
            </w:pPr>
          </w:p>
        </w:tc>
        <w:tc>
          <w:tcPr>
            <w:tcW w:w="875" w:type="dxa"/>
            <w:tcBorders>
              <w:top w:val="single" w:color="000000" w:sz="6" w:space="0"/>
            </w:tcBorders>
            <w:vAlign w:val="top"/>
          </w:tcPr>
          <w:p w14:paraId="201E9096">
            <w:pPr>
              <w:spacing w:line="215" w:lineRule="exact"/>
              <w:rPr>
                <w:rFonts w:ascii="Arial"/>
                <w:sz w:val="18"/>
              </w:rPr>
            </w:pPr>
          </w:p>
        </w:tc>
        <w:tc>
          <w:tcPr>
            <w:tcW w:w="965" w:type="dxa"/>
            <w:tcBorders>
              <w:top w:val="single" w:color="000000" w:sz="6" w:space="0"/>
            </w:tcBorders>
            <w:vAlign w:val="top"/>
          </w:tcPr>
          <w:p w14:paraId="285EECD2">
            <w:pPr>
              <w:spacing w:line="215" w:lineRule="exact"/>
              <w:rPr>
                <w:rFonts w:ascii="Arial"/>
                <w:sz w:val="18"/>
              </w:rPr>
            </w:pPr>
          </w:p>
        </w:tc>
        <w:tc>
          <w:tcPr>
            <w:tcW w:w="754" w:type="dxa"/>
            <w:tcBorders>
              <w:top w:val="single" w:color="000000" w:sz="6" w:space="0"/>
            </w:tcBorders>
            <w:vAlign w:val="top"/>
          </w:tcPr>
          <w:p w14:paraId="7928B5C3">
            <w:pPr>
              <w:spacing w:line="215" w:lineRule="exact"/>
              <w:rPr>
                <w:rFonts w:ascii="Arial"/>
                <w:sz w:val="18"/>
              </w:rPr>
            </w:pPr>
          </w:p>
        </w:tc>
        <w:tc>
          <w:tcPr>
            <w:tcW w:w="974" w:type="dxa"/>
            <w:tcBorders>
              <w:top w:val="single" w:color="000000" w:sz="6" w:space="0"/>
            </w:tcBorders>
            <w:vAlign w:val="top"/>
          </w:tcPr>
          <w:p w14:paraId="3D3CD441">
            <w:pPr>
              <w:spacing w:line="215" w:lineRule="exact"/>
              <w:rPr>
                <w:rFonts w:ascii="Arial"/>
                <w:sz w:val="18"/>
              </w:rPr>
            </w:pPr>
          </w:p>
        </w:tc>
        <w:tc>
          <w:tcPr>
            <w:tcW w:w="966" w:type="dxa"/>
            <w:tcBorders>
              <w:top w:val="single" w:color="000000" w:sz="6" w:space="0"/>
            </w:tcBorders>
            <w:vAlign w:val="top"/>
          </w:tcPr>
          <w:p w14:paraId="366992B2">
            <w:pPr>
              <w:spacing w:line="215" w:lineRule="exact"/>
              <w:rPr>
                <w:rFonts w:ascii="Arial"/>
                <w:sz w:val="18"/>
              </w:rPr>
            </w:pPr>
          </w:p>
        </w:tc>
        <w:tc>
          <w:tcPr>
            <w:tcW w:w="1089" w:type="dxa"/>
            <w:tcBorders>
              <w:top w:val="single" w:color="000000" w:sz="6" w:space="0"/>
              <w:right w:val="single" w:color="000000" w:sz="6" w:space="0"/>
            </w:tcBorders>
            <w:vAlign w:val="top"/>
          </w:tcPr>
          <w:p w14:paraId="5D6F5082">
            <w:pPr>
              <w:spacing w:line="215" w:lineRule="exact"/>
              <w:rPr>
                <w:rFonts w:ascii="Arial"/>
                <w:sz w:val="18"/>
              </w:rPr>
            </w:pPr>
          </w:p>
        </w:tc>
      </w:tr>
      <w:tr w14:paraId="167A0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540" w:type="dxa"/>
            <w:vMerge w:val="continue"/>
            <w:tcBorders>
              <w:top w:val="nil"/>
              <w:left w:val="single" w:color="000000" w:sz="6" w:space="0"/>
              <w:bottom w:val="nil"/>
            </w:tcBorders>
            <w:vAlign w:val="top"/>
          </w:tcPr>
          <w:p w14:paraId="2C1BF3A2">
            <w:pPr>
              <w:rPr>
                <w:rFonts w:ascii="Arial"/>
                <w:sz w:val="21"/>
              </w:rPr>
            </w:pPr>
          </w:p>
        </w:tc>
        <w:tc>
          <w:tcPr>
            <w:tcW w:w="113" w:type="dxa"/>
            <w:vMerge w:val="continue"/>
            <w:tcBorders>
              <w:top w:val="nil"/>
              <w:bottom w:val="nil"/>
            </w:tcBorders>
            <w:vAlign w:val="top"/>
          </w:tcPr>
          <w:p w14:paraId="351334E8">
            <w:pPr>
              <w:rPr>
                <w:rFonts w:ascii="Arial"/>
                <w:sz w:val="21"/>
              </w:rPr>
            </w:pPr>
          </w:p>
        </w:tc>
        <w:tc>
          <w:tcPr>
            <w:tcW w:w="757" w:type="dxa"/>
            <w:vMerge w:val="restart"/>
            <w:tcBorders>
              <w:bottom w:val="nil"/>
            </w:tcBorders>
            <w:vAlign w:val="top"/>
          </w:tcPr>
          <w:p w14:paraId="32EC7E60">
            <w:pPr>
              <w:spacing w:line="406" w:lineRule="auto"/>
              <w:rPr>
                <w:rFonts w:ascii="Arial"/>
                <w:sz w:val="21"/>
              </w:rPr>
            </w:pPr>
          </w:p>
          <w:p w14:paraId="775691A3">
            <w:pPr>
              <w:pStyle w:val="6"/>
              <w:spacing w:before="58" w:line="232" w:lineRule="auto"/>
              <w:ind w:left="331" w:right="202" w:hanging="134"/>
              <w:rPr>
                <w:rFonts w:ascii="Times New Roman" w:hAnsi="Times New Roman" w:eastAsia="Times New Roman" w:cs="Times New Roman"/>
                <w:sz w:val="18"/>
                <w:szCs w:val="18"/>
              </w:rPr>
            </w:pPr>
            <w:r>
              <w:rPr>
                <w:spacing w:val="-4"/>
                <w:sz w:val="18"/>
                <w:szCs w:val="18"/>
              </w:rPr>
              <w:t>地块</w:t>
            </w:r>
            <w:r>
              <w:rPr>
                <w:sz w:val="18"/>
                <w:szCs w:val="18"/>
              </w:rPr>
              <w:t xml:space="preserve"> </w:t>
            </w:r>
            <w:r>
              <w:rPr>
                <w:rFonts w:ascii="Times New Roman" w:hAnsi="Times New Roman" w:eastAsia="Times New Roman" w:cs="Times New Roman"/>
                <w:sz w:val="18"/>
                <w:szCs w:val="18"/>
              </w:rPr>
              <w:t>7</w:t>
            </w:r>
          </w:p>
        </w:tc>
        <w:tc>
          <w:tcPr>
            <w:tcW w:w="757" w:type="dxa"/>
            <w:vMerge w:val="restart"/>
            <w:tcBorders>
              <w:bottom w:val="nil"/>
            </w:tcBorders>
            <w:vAlign w:val="top"/>
          </w:tcPr>
          <w:p w14:paraId="764438D2">
            <w:pPr>
              <w:pStyle w:val="6"/>
              <w:spacing w:before="26" w:line="233" w:lineRule="auto"/>
              <w:ind w:left="107" w:right="111" w:hanging="9"/>
              <w:jc w:val="both"/>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r>
              <w:rPr>
                <w:sz w:val="18"/>
                <w:szCs w:val="18"/>
              </w:rPr>
              <w:t xml:space="preserve"> </w:t>
            </w:r>
            <w:r>
              <w:rPr>
                <w:spacing w:val="-3"/>
                <w:sz w:val="18"/>
                <w:szCs w:val="18"/>
              </w:rPr>
              <w:t>晶双面</w:t>
            </w:r>
            <w:r>
              <w:rPr>
                <w:sz w:val="18"/>
                <w:szCs w:val="18"/>
              </w:rPr>
              <w:t xml:space="preserve"> </w:t>
            </w:r>
            <w:r>
              <w:rPr>
                <w:spacing w:val="-4"/>
                <w:sz w:val="18"/>
                <w:szCs w:val="18"/>
              </w:rPr>
              <w:t>双玻</w:t>
            </w:r>
          </w:p>
          <w:p w14:paraId="3755E934">
            <w:pPr>
              <w:spacing w:before="240" w:line="212" w:lineRule="auto"/>
              <w:ind w:left="281" w:right="230" w:hanging="1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1"/>
                <w:sz w:val="18"/>
                <w:szCs w:val="18"/>
              </w:rPr>
              <w:t>V)</w:t>
            </w:r>
          </w:p>
        </w:tc>
        <w:tc>
          <w:tcPr>
            <w:tcW w:w="768" w:type="dxa"/>
            <w:vMerge w:val="restart"/>
            <w:tcBorders>
              <w:bottom w:val="nil"/>
            </w:tcBorders>
            <w:vAlign w:val="top"/>
          </w:tcPr>
          <w:p w14:paraId="65BAF12A">
            <w:pPr>
              <w:spacing w:line="273" w:lineRule="auto"/>
              <w:rPr>
                <w:rFonts w:ascii="Arial"/>
                <w:sz w:val="21"/>
              </w:rPr>
            </w:pPr>
          </w:p>
          <w:p w14:paraId="4D322106">
            <w:pPr>
              <w:spacing w:line="273" w:lineRule="auto"/>
              <w:rPr>
                <w:rFonts w:ascii="Arial"/>
                <w:sz w:val="21"/>
              </w:rPr>
            </w:pPr>
          </w:p>
          <w:p w14:paraId="7BA31498">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7E3121CF">
            <w:pPr>
              <w:spacing w:line="273" w:lineRule="auto"/>
              <w:rPr>
                <w:rFonts w:ascii="Arial"/>
                <w:sz w:val="21"/>
              </w:rPr>
            </w:pPr>
          </w:p>
          <w:p w14:paraId="58795645">
            <w:pPr>
              <w:spacing w:line="273" w:lineRule="auto"/>
              <w:rPr>
                <w:rFonts w:ascii="Arial"/>
                <w:sz w:val="21"/>
              </w:rPr>
            </w:pPr>
          </w:p>
          <w:p w14:paraId="0CB3B963">
            <w:pPr>
              <w:spacing w:before="5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569789BA">
            <w:pPr>
              <w:spacing w:line="273" w:lineRule="auto"/>
              <w:rPr>
                <w:rFonts w:ascii="Arial"/>
                <w:sz w:val="21"/>
              </w:rPr>
            </w:pPr>
          </w:p>
          <w:p w14:paraId="3DF336DB">
            <w:pPr>
              <w:spacing w:line="273" w:lineRule="auto"/>
              <w:rPr>
                <w:rFonts w:ascii="Arial"/>
                <w:sz w:val="21"/>
              </w:rPr>
            </w:pPr>
          </w:p>
          <w:p w14:paraId="3B0C001B">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0FFFFF6E">
            <w:pPr>
              <w:spacing w:line="288" w:lineRule="auto"/>
              <w:rPr>
                <w:rFonts w:ascii="Arial"/>
                <w:sz w:val="21"/>
              </w:rPr>
            </w:pPr>
          </w:p>
          <w:p w14:paraId="03041DBD">
            <w:pPr>
              <w:pStyle w:val="6"/>
              <w:spacing w:before="59" w:line="229" w:lineRule="auto"/>
              <w:ind w:left="294" w:right="106" w:hanging="167"/>
              <w:rPr>
                <w:sz w:val="18"/>
                <w:szCs w:val="18"/>
              </w:rPr>
            </w:pPr>
            <w:r>
              <w:rPr>
                <w:spacing w:val="-8"/>
                <w:sz w:val="18"/>
                <w:szCs w:val="18"/>
              </w:rPr>
              <w:t>固定倾</w:t>
            </w:r>
            <w:r>
              <w:rPr>
                <w:sz w:val="18"/>
                <w:szCs w:val="18"/>
              </w:rPr>
              <w:t xml:space="preserve"> 角</w:t>
            </w:r>
          </w:p>
          <w:p w14:paraId="789B6E3A">
            <w:pPr>
              <w:spacing w:before="38"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249441E5">
            <w:pPr>
              <w:spacing w:line="290" w:lineRule="auto"/>
              <w:rPr>
                <w:rFonts w:ascii="Arial"/>
                <w:sz w:val="21"/>
              </w:rPr>
            </w:pPr>
          </w:p>
          <w:p w14:paraId="0B65F518">
            <w:pPr>
              <w:pStyle w:val="6"/>
              <w:spacing w:before="58" w:line="231"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707EF3C0">
            <w:pPr>
              <w:spacing w:before="46" w:line="187"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tc>
        <w:tc>
          <w:tcPr>
            <w:tcW w:w="791" w:type="dxa"/>
            <w:vAlign w:val="top"/>
          </w:tcPr>
          <w:p w14:paraId="563E2713">
            <w:pPr>
              <w:spacing w:before="46" w:line="187"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347.76</w:t>
            </w:r>
          </w:p>
        </w:tc>
        <w:tc>
          <w:tcPr>
            <w:tcW w:w="756" w:type="dxa"/>
            <w:vAlign w:val="top"/>
          </w:tcPr>
          <w:p w14:paraId="05F5CA89">
            <w:pPr>
              <w:spacing w:before="46" w:line="187" w:lineRule="auto"/>
              <w:ind w:left="33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75" w:type="dxa"/>
            <w:vAlign w:val="top"/>
          </w:tcPr>
          <w:p w14:paraId="636C670A">
            <w:pPr>
              <w:spacing w:before="46" w:line="187"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695.52</w:t>
            </w:r>
          </w:p>
        </w:tc>
        <w:tc>
          <w:tcPr>
            <w:tcW w:w="965" w:type="dxa"/>
            <w:vMerge w:val="restart"/>
            <w:tcBorders>
              <w:bottom w:val="nil"/>
            </w:tcBorders>
            <w:vAlign w:val="top"/>
          </w:tcPr>
          <w:p w14:paraId="7B18C76C">
            <w:pPr>
              <w:spacing w:line="273" w:lineRule="auto"/>
              <w:rPr>
                <w:rFonts w:ascii="Arial"/>
                <w:sz w:val="21"/>
              </w:rPr>
            </w:pPr>
          </w:p>
          <w:p w14:paraId="649DB4F0">
            <w:pPr>
              <w:spacing w:line="273" w:lineRule="auto"/>
              <w:rPr>
                <w:rFonts w:ascii="Arial"/>
                <w:sz w:val="21"/>
              </w:rPr>
            </w:pPr>
          </w:p>
          <w:p w14:paraId="6605C775">
            <w:pPr>
              <w:spacing w:before="52"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1421.28</w:t>
            </w:r>
          </w:p>
        </w:tc>
        <w:tc>
          <w:tcPr>
            <w:tcW w:w="754" w:type="dxa"/>
            <w:vMerge w:val="restart"/>
            <w:tcBorders>
              <w:bottom w:val="nil"/>
            </w:tcBorders>
            <w:vAlign w:val="top"/>
          </w:tcPr>
          <w:p w14:paraId="703B0227">
            <w:pPr>
              <w:spacing w:line="273" w:lineRule="auto"/>
              <w:rPr>
                <w:rFonts w:ascii="Arial"/>
                <w:sz w:val="21"/>
              </w:rPr>
            </w:pPr>
          </w:p>
          <w:p w14:paraId="19B86D84">
            <w:pPr>
              <w:spacing w:line="273" w:lineRule="auto"/>
              <w:rPr>
                <w:rFonts w:ascii="Arial"/>
                <w:sz w:val="21"/>
              </w:rPr>
            </w:pPr>
          </w:p>
          <w:p w14:paraId="0CE8A6A8">
            <w:pPr>
              <w:spacing w:before="52"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restart"/>
            <w:tcBorders>
              <w:bottom w:val="nil"/>
            </w:tcBorders>
            <w:vAlign w:val="top"/>
          </w:tcPr>
          <w:p w14:paraId="1AD6FED8">
            <w:pPr>
              <w:spacing w:line="273" w:lineRule="auto"/>
              <w:rPr>
                <w:rFonts w:ascii="Arial"/>
                <w:sz w:val="21"/>
              </w:rPr>
            </w:pPr>
          </w:p>
          <w:p w14:paraId="413F1E5B">
            <w:pPr>
              <w:spacing w:line="273" w:lineRule="auto"/>
              <w:rPr>
                <w:rFonts w:ascii="Arial"/>
                <w:sz w:val="21"/>
              </w:rPr>
            </w:pPr>
          </w:p>
          <w:p w14:paraId="34FD4A07">
            <w:pPr>
              <w:spacing w:before="52" w:line="18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1421.28</w:t>
            </w:r>
          </w:p>
        </w:tc>
        <w:tc>
          <w:tcPr>
            <w:tcW w:w="966" w:type="dxa"/>
            <w:vMerge w:val="restart"/>
            <w:tcBorders>
              <w:bottom w:val="nil"/>
            </w:tcBorders>
            <w:vAlign w:val="top"/>
          </w:tcPr>
          <w:p w14:paraId="4ED118FD">
            <w:pPr>
              <w:spacing w:line="273" w:lineRule="auto"/>
              <w:rPr>
                <w:rFonts w:ascii="Arial"/>
                <w:sz w:val="21"/>
              </w:rPr>
            </w:pPr>
          </w:p>
          <w:p w14:paraId="64318F3C">
            <w:pPr>
              <w:spacing w:line="273" w:lineRule="auto"/>
              <w:rPr>
                <w:rFonts w:ascii="Arial"/>
                <w:sz w:val="21"/>
              </w:rPr>
            </w:pPr>
          </w:p>
          <w:p w14:paraId="7138A53C">
            <w:pPr>
              <w:spacing w:before="52" w:line="188" w:lineRule="auto"/>
              <w:ind w:left="21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1200.00</w:t>
            </w:r>
          </w:p>
        </w:tc>
        <w:tc>
          <w:tcPr>
            <w:tcW w:w="1089" w:type="dxa"/>
            <w:vMerge w:val="restart"/>
            <w:tcBorders>
              <w:bottom w:val="nil"/>
              <w:right w:val="single" w:color="000000" w:sz="6" w:space="0"/>
            </w:tcBorders>
            <w:vAlign w:val="top"/>
          </w:tcPr>
          <w:p w14:paraId="592AE718">
            <w:pPr>
              <w:spacing w:line="273" w:lineRule="auto"/>
              <w:rPr>
                <w:rFonts w:ascii="Arial"/>
                <w:sz w:val="21"/>
              </w:rPr>
            </w:pPr>
          </w:p>
          <w:p w14:paraId="1A173F5D">
            <w:pPr>
              <w:spacing w:line="273" w:lineRule="auto"/>
              <w:rPr>
                <w:rFonts w:ascii="Arial"/>
                <w:sz w:val="21"/>
              </w:rPr>
            </w:pPr>
          </w:p>
          <w:p w14:paraId="4BB6F5C7">
            <w:pPr>
              <w:spacing w:before="52" w:line="188" w:lineRule="auto"/>
              <w:ind w:left="3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1200</w:t>
            </w:r>
          </w:p>
        </w:tc>
      </w:tr>
      <w:tr w14:paraId="6956E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540" w:type="dxa"/>
            <w:vMerge w:val="continue"/>
            <w:tcBorders>
              <w:top w:val="nil"/>
              <w:left w:val="single" w:color="000000" w:sz="6" w:space="0"/>
              <w:bottom w:val="nil"/>
            </w:tcBorders>
            <w:vAlign w:val="top"/>
          </w:tcPr>
          <w:p w14:paraId="768F40A9">
            <w:pPr>
              <w:rPr>
                <w:rFonts w:ascii="Arial"/>
                <w:sz w:val="21"/>
              </w:rPr>
            </w:pPr>
          </w:p>
        </w:tc>
        <w:tc>
          <w:tcPr>
            <w:tcW w:w="113" w:type="dxa"/>
            <w:vMerge w:val="continue"/>
            <w:tcBorders>
              <w:top w:val="nil"/>
              <w:bottom w:val="nil"/>
            </w:tcBorders>
            <w:vAlign w:val="top"/>
          </w:tcPr>
          <w:p w14:paraId="4D0D162B">
            <w:pPr>
              <w:rPr>
                <w:rFonts w:ascii="Arial"/>
                <w:sz w:val="21"/>
              </w:rPr>
            </w:pPr>
          </w:p>
        </w:tc>
        <w:tc>
          <w:tcPr>
            <w:tcW w:w="757" w:type="dxa"/>
            <w:vMerge w:val="continue"/>
            <w:tcBorders>
              <w:top w:val="nil"/>
            </w:tcBorders>
            <w:vAlign w:val="top"/>
          </w:tcPr>
          <w:p w14:paraId="44FE93A3">
            <w:pPr>
              <w:rPr>
                <w:rFonts w:ascii="Arial"/>
                <w:sz w:val="21"/>
              </w:rPr>
            </w:pPr>
          </w:p>
        </w:tc>
        <w:tc>
          <w:tcPr>
            <w:tcW w:w="757" w:type="dxa"/>
            <w:vMerge w:val="continue"/>
            <w:tcBorders>
              <w:top w:val="nil"/>
            </w:tcBorders>
            <w:vAlign w:val="top"/>
          </w:tcPr>
          <w:p w14:paraId="3D6D868A">
            <w:pPr>
              <w:rPr>
                <w:rFonts w:ascii="Arial"/>
                <w:sz w:val="21"/>
              </w:rPr>
            </w:pPr>
          </w:p>
        </w:tc>
        <w:tc>
          <w:tcPr>
            <w:tcW w:w="768" w:type="dxa"/>
            <w:vMerge w:val="continue"/>
            <w:tcBorders>
              <w:top w:val="nil"/>
            </w:tcBorders>
            <w:vAlign w:val="top"/>
          </w:tcPr>
          <w:p w14:paraId="621169B3">
            <w:pPr>
              <w:rPr>
                <w:rFonts w:ascii="Arial"/>
                <w:sz w:val="21"/>
              </w:rPr>
            </w:pPr>
          </w:p>
        </w:tc>
        <w:tc>
          <w:tcPr>
            <w:tcW w:w="756" w:type="dxa"/>
            <w:vMerge w:val="continue"/>
            <w:tcBorders>
              <w:top w:val="nil"/>
            </w:tcBorders>
            <w:vAlign w:val="top"/>
          </w:tcPr>
          <w:p w14:paraId="7F6DBC5F">
            <w:pPr>
              <w:rPr>
                <w:rFonts w:ascii="Arial"/>
                <w:sz w:val="21"/>
              </w:rPr>
            </w:pPr>
          </w:p>
        </w:tc>
        <w:tc>
          <w:tcPr>
            <w:tcW w:w="798" w:type="dxa"/>
            <w:vMerge w:val="continue"/>
            <w:tcBorders>
              <w:top w:val="nil"/>
            </w:tcBorders>
            <w:vAlign w:val="top"/>
          </w:tcPr>
          <w:p w14:paraId="16ECABD2">
            <w:pPr>
              <w:rPr>
                <w:rFonts w:ascii="Arial"/>
                <w:sz w:val="21"/>
              </w:rPr>
            </w:pPr>
          </w:p>
        </w:tc>
        <w:tc>
          <w:tcPr>
            <w:tcW w:w="757" w:type="dxa"/>
            <w:vMerge w:val="continue"/>
            <w:tcBorders>
              <w:top w:val="nil"/>
            </w:tcBorders>
            <w:vAlign w:val="top"/>
          </w:tcPr>
          <w:p w14:paraId="4A4BCDD0">
            <w:pPr>
              <w:rPr>
                <w:rFonts w:ascii="Arial"/>
                <w:sz w:val="21"/>
              </w:rPr>
            </w:pPr>
          </w:p>
        </w:tc>
        <w:tc>
          <w:tcPr>
            <w:tcW w:w="758" w:type="dxa"/>
            <w:vMerge w:val="continue"/>
            <w:tcBorders>
              <w:top w:val="nil"/>
            </w:tcBorders>
            <w:vAlign w:val="top"/>
          </w:tcPr>
          <w:p w14:paraId="4CE32E7A">
            <w:pPr>
              <w:rPr>
                <w:rFonts w:ascii="Arial"/>
                <w:sz w:val="21"/>
              </w:rPr>
            </w:pPr>
          </w:p>
        </w:tc>
        <w:tc>
          <w:tcPr>
            <w:tcW w:w="814" w:type="dxa"/>
            <w:vAlign w:val="top"/>
          </w:tcPr>
          <w:p w14:paraId="37F72EBD">
            <w:pPr>
              <w:spacing w:line="434" w:lineRule="auto"/>
              <w:rPr>
                <w:rFonts w:ascii="Arial"/>
                <w:sz w:val="21"/>
              </w:rPr>
            </w:pPr>
          </w:p>
          <w:p w14:paraId="3C41AD96">
            <w:pPr>
              <w:spacing w:before="52"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15746873">
            <w:pPr>
              <w:spacing w:line="434" w:lineRule="auto"/>
              <w:rPr>
                <w:rFonts w:ascii="Arial"/>
                <w:sz w:val="21"/>
              </w:rPr>
            </w:pPr>
          </w:p>
          <w:p w14:paraId="75249BF7">
            <w:pPr>
              <w:spacing w:before="52"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4A202051">
            <w:pPr>
              <w:spacing w:line="434" w:lineRule="auto"/>
              <w:rPr>
                <w:rFonts w:ascii="Arial"/>
                <w:sz w:val="21"/>
              </w:rPr>
            </w:pPr>
          </w:p>
          <w:p w14:paraId="44CEF47A">
            <w:pPr>
              <w:spacing w:before="52" w:line="188" w:lineRule="auto"/>
              <w:ind w:left="33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75" w:type="dxa"/>
            <w:vAlign w:val="top"/>
          </w:tcPr>
          <w:p w14:paraId="2DE94C9A">
            <w:pPr>
              <w:spacing w:line="434" w:lineRule="auto"/>
              <w:rPr>
                <w:rFonts w:ascii="Arial"/>
                <w:sz w:val="21"/>
              </w:rPr>
            </w:pPr>
          </w:p>
          <w:p w14:paraId="2C93878D">
            <w:pPr>
              <w:spacing w:before="52"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725.76</w:t>
            </w:r>
          </w:p>
        </w:tc>
        <w:tc>
          <w:tcPr>
            <w:tcW w:w="965" w:type="dxa"/>
            <w:vMerge w:val="continue"/>
            <w:tcBorders>
              <w:top w:val="nil"/>
            </w:tcBorders>
            <w:vAlign w:val="top"/>
          </w:tcPr>
          <w:p w14:paraId="119415AF">
            <w:pPr>
              <w:rPr>
                <w:rFonts w:ascii="Arial"/>
                <w:sz w:val="21"/>
              </w:rPr>
            </w:pPr>
          </w:p>
        </w:tc>
        <w:tc>
          <w:tcPr>
            <w:tcW w:w="754" w:type="dxa"/>
            <w:vMerge w:val="continue"/>
            <w:tcBorders>
              <w:top w:val="nil"/>
            </w:tcBorders>
            <w:vAlign w:val="top"/>
          </w:tcPr>
          <w:p w14:paraId="4F8DAC23">
            <w:pPr>
              <w:rPr>
                <w:rFonts w:ascii="Arial"/>
                <w:sz w:val="21"/>
              </w:rPr>
            </w:pPr>
          </w:p>
        </w:tc>
        <w:tc>
          <w:tcPr>
            <w:tcW w:w="974" w:type="dxa"/>
            <w:vMerge w:val="continue"/>
            <w:tcBorders>
              <w:top w:val="nil"/>
            </w:tcBorders>
            <w:vAlign w:val="top"/>
          </w:tcPr>
          <w:p w14:paraId="4C354F6B">
            <w:pPr>
              <w:rPr>
                <w:rFonts w:ascii="Arial"/>
                <w:sz w:val="21"/>
              </w:rPr>
            </w:pPr>
          </w:p>
        </w:tc>
        <w:tc>
          <w:tcPr>
            <w:tcW w:w="966" w:type="dxa"/>
            <w:vMerge w:val="continue"/>
            <w:tcBorders>
              <w:top w:val="nil"/>
            </w:tcBorders>
            <w:vAlign w:val="top"/>
          </w:tcPr>
          <w:p w14:paraId="373D74F0">
            <w:pPr>
              <w:rPr>
                <w:rFonts w:ascii="Arial"/>
                <w:sz w:val="21"/>
              </w:rPr>
            </w:pPr>
          </w:p>
        </w:tc>
        <w:tc>
          <w:tcPr>
            <w:tcW w:w="1089" w:type="dxa"/>
            <w:vMerge w:val="continue"/>
            <w:tcBorders>
              <w:top w:val="nil"/>
              <w:right w:val="single" w:color="000000" w:sz="6" w:space="0"/>
            </w:tcBorders>
            <w:vAlign w:val="top"/>
          </w:tcPr>
          <w:p w14:paraId="2AF92235">
            <w:pPr>
              <w:rPr>
                <w:rFonts w:ascii="Arial"/>
                <w:sz w:val="21"/>
              </w:rPr>
            </w:pPr>
          </w:p>
        </w:tc>
      </w:tr>
      <w:tr w14:paraId="11151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540" w:type="dxa"/>
            <w:vMerge w:val="continue"/>
            <w:tcBorders>
              <w:top w:val="nil"/>
              <w:left w:val="single" w:color="000000" w:sz="6" w:space="0"/>
              <w:bottom w:val="nil"/>
            </w:tcBorders>
            <w:vAlign w:val="top"/>
          </w:tcPr>
          <w:p w14:paraId="68C679CC">
            <w:pPr>
              <w:rPr>
                <w:rFonts w:ascii="Arial"/>
                <w:sz w:val="21"/>
              </w:rPr>
            </w:pPr>
          </w:p>
        </w:tc>
        <w:tc>
          <w:tcPr>
            <w:tcW w:w="113" w:type="dxa"/>
            <w:vMerge w:val="continue"/>
            <w:tcBorders>
              <w:top w:val="nil"/>
              <w:bottom w:val="nil"/>
            </w:tcBorders>
            <w:vAlign w:val="top"/>
          </w:tcPr>
          <w:p w14:paraId="707A0733">
            <w:pPr>
              <w:rPr>
                <w:rFonts w:ascii="Arial"/>
                <w:sz w:val="21"/>
              </w:rPr>
            </w:pPr>
          </w:p>
        </w:tc>
        <w:tc>
          <w:tcPr>
            <w:tcW w:w="757" w:type="dxa"/>
            <w:vMerge w:val="restart"/>
            <w:tcBorders>
              <w:bottom w:val="nil"/>
            </w:tcBorders>
            <w:vAlign w:val="top"/>
          </w:tcPr>
          <w:p w14:paraId="206C3271">
            <w:pPr>
              <w:spacing w:line="409" w:lineRule="auto"/>
              <w:rPr>
                <w:rFonts w:ascii="Arial"/>
                <w:sz w:val="21"/>
              </w:rPr>
            </w:pPr>
          </w:p>
          <w:p w14:paraId="437AB253">
            <w:pPr>
              <w:pStyle w:val="6"/>
              <w:spacing w:before="58" w:line="231" w:lineRule="auto"/>
              <w:ind w:left="335" w:right="202" w:hanging="138"/>
              <w:rPr>
                <w:rFonts w:ascii="Times New Roman" w:hAnsi="Times New Roman" w:eastAsia="Times New Roman" w:cs="Times New Roman"/>
                <w:sz w:val="18"/>
                <w:szCs w:val="18"/>
              </w:rPr>
            </w:pPr>
            <w:r>
              <w:rPr>
                <w:spacing w:val="-4"/>
                <w:sz w:val="18"/>
                <w:szCs w:val="18"/>
              </w:rPr>
              <w:t>地块</w:t>
            </w:r>
            <w:r>
              <w:rPr>
                <w:sz w:val="18"/>
                <w:szCs w:val="18"/>
              </w:rPr>
              <w:t xml:space="preserve"> </w:t>
            </w:r>
            <w:r>
              <w:rPr>
                <w:rFonts w:ascii="Times New Roman" w:hAnsi="Times New Roman" w:eastAsia="Times New Roman" w:cs="Times New Roman"/>
                <w:sz w:val="18"/>
                <w:szCs w:val="18"/>
              </w:rPr>
              <w:t>8</w:t>
            </w:r>
          </w:p>
        </w:tc>
        <w:tc>
          <w:tcPr>
            <w:tcW w:w="757" w:type="dxa"/>
            <w:vMerge w:val="restart"/>
            <w:tcBorders>
              <w:bottom w:val="nil"/>
            </w:tcBorders>
            <w:vAlign w:val="top"/>
          </w:tcPr>
          <w:p w14:paraId="5F9D27F5">
            <w:pPr>
              <w:pStyle w:val="6"/>
              <w:spacing w:before="29" w:line="233" w:lineRule="auto"/>
              <w:ind w:left="107" w:right="111" w:hanging="9"/>
              <w:jc w:val="both"/>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r>
              <w:rPr>
                <w:sz w:val="18"/>
                <w:szCs w:val="18"/>
              </w:rPr>
              <w:t xml:space="preserve"> </w:t>
            </w:r>
            <w:r>
              <w:rPr>
                <w:spacing w:val="-3"/>
                <w:sz w:val="18"/>
                <w:szCs w:val="18"/>
              </w:rPr>
              <w:t>晶双面</w:t>
            </w:r>
            <w:r>
              <w:rPr>
                <w:sz w:val="18"/>
                <w:szCs w:val="18"/>
              </w:rPr>
              <w:t xml:space="preserve"> </w:t>
            </w:r>
            <w:r>
              <w:rPr>
                <w:spacing w:val="-4"/>
                <w:sz w:val="18"/>
                <w:szCs w:val="18"/>
              </w:rPr>
              <w:t>双玻</w:t>
            </w:r>
          </w:p>
          <w:p w14:paraId="5984CDBE">
            <w:pPr>
              <w:spacing w:before="240" w:line="210" w:lineRule="auto"/>
              <w:ind w:left="281" w:right="230" w:hanging="1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1"/>
                <w:sz w:val="18"/>
                <w:szCs w:val="18"/>
              </w:rPr>
              <w:t>V)</w:t>
            </w:r>
          </w:p>
        </w:tc>
        <w:tc>
          <w:tcPr>
            <w:tcW w:w="768" w:type="dxa"/>
            <w:vMerge w:val="restart"/>
            <w:tcBorders>
              <w:bottom w:val="nil"/>
            </w:tcBorders>
            <w:vAlign w:val="top"/>
          </w:tcPr>
          <w:p w14:paraId="40CD93BA">
            <w:pPr>
              <w:spacing w:line="274" w:lineRule="auto"/>
              <w:rPr>
                <w:rFonts w:ascii="Arial"/>
                <w:sz w:val="21"/>
              </w:rPr>
            </w:pPr>
          </w:p>
          <w:p w14:paraId="75709D97">
            <w:pPr>
              <w:spacing w:line="275" w:lineRule="auto"/>
              <w:rPr>
                <w:rFonts w:ascii="Arial"/>
                <w:sz w:val="21"/>
              </w:rPr>
            </w:pPr>
          </w:p>
          <w:p w14:paraId="39ACC278">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1E208801">
            <w:pPr>
              <w:spacing w:line="274" w:lineRule="auto"/>
              <w:rPr>
                <w:rFonts w:ascii="Arial"/>
                <w:sz w:val="21"/>
              </w:rPr>
            </w:pPr>
          </w:p>
          <w:p w14:paraId="1BC6FC70">
            <w:pPr>
              <w:spacing w:line="275" w:lineRule="auto"/>
              <w:rPr>
                <w:rFonts w:ascii="Arial"/>
                <w:sz w:val="21"/>
              </w:rPr>
            </w:pPr>
          </w:p>
          <w:p w14:paraId="65F34409">
            <w:pPr>
              <w:spacing w:before="5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5EEED8FE">
            <w:pPr>
              <w:spacing w:line="274" w:lineRule="auto"/>
              <w:rPr>
                <w:rFonts w:ascii="Arial"/>
                <w:sz w:val="21"/>
              </w:rPr>
            </w:pPr>
          </w:p>
          <w:p w14:paraId="7847876F">
            <w:pPr>
              <w:spacing w:line="275" w:lineRule="auto"/>
              <w:rPr>
                <w:rFonts w:ascii="Arial"/>
                <w:sz w:val="21"/>
              </w:rPr>
            </w:pPr>
          </w:p>
          <w:p w14:paraId="64A08DC0">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78C58F7E">
            <w:pPr>
              <w:spacing w:line="291" w:lineRule="auto"/>
              <w:rPr>
                <w:rFonts w:ascii="Arial"/>
                <w:sz w:val="21"/>
              </w:rPr>
            </w:pPr>
          </w:p>
          <w:p w14:paraId="35C1C9B4">
            <w:pPr>
              <w:pStyle w:val="6"/>
              <w:spacing w:before="58" w:line="229" w:lineRule="auto"/>
              <w:ind w:left="294" w:right="106" w:hanging="167"/>
              <w:rPr>
                <w:sz w:val="18"/>
                <w:szCs w:val="18"/>
              </w:rPr>
            </w:pPr>
            <w:r>
              <w:rPr>
                <w:spacing w:val="-8"/>
                <w:sz w:val="18"/>
                <w:szCs w:val="18"/>
              </w:rPr>
              <w:t>固定倾</w:t>
            </w:r>
            <w:r>
              <w:rPr>
                <w:sz w:val="18"/>
                <w:szCs w:val="18"/>
              </w:rPr>
              <w:t xml:space="preserve"> 角</w:t>
            </w:r>
          </w:p>
          <w:p w14:paraId="3B29DC94">
            <w:pPr>
              <w:spacing w:before="38"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1B3E946F">
            <w:pPr>
              <w:spacing w:line="293" w:lineRule="auto"/>
              <w:rPr>
                <w:rFonts w:ascii="Arial"/>
                <w:sz w:val="21"/>
              </w:rPr>
            </w:pPr>
          </w:p>
          <w:p w14:paraId="7C8FE4E5">
            <w:pPr>
              <w:pStyle w:val="6"/>
              <w:spacing w:before="58" w:line="231"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0A74F431">
            <w:pPr>
              <w:spacing w:before="59"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31AEB437">
            <w:pPr>
              <w:spacing w:before="59"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483D5DBE">
            <w:pPr>
              <w:spacing w:before="59" w:line="188"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tc>
        <w:tc>
          <w:tcPr>
            <w:tcW w:w="875" w:type="dxa"/>
            <w:vAlign w:val="top"/>
          </w:tcPr>
          <w:p w14:paraId="6D112876">
            <w:pPr>
              <w:spacing w:before="59" w:line="188"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3991.68</w:t>
            </w:r>
          </w:p>
        </w:tc>
        <w:tc>
          <w:tcPr>
            <w:tcW w:w="965" w:type="dxa"/>
            <w:vAlign w:val="top"/>
          </w:tcPr>
          <w:p w14:paraId="4EF12697">
            <w:pPr>
              <w:spacing w:before="59"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3991.68</w:t>
            </w:r>
          </w:p>
        </w:tc>
        <w:tc>
          <w:tcPr>
            <w:tcW w:w="754" w:type="dxa"/>
            <w:vAlign w:val="top"/>
          </w:tcPr>
          <w:p w14:paraId="40957ABD">
            <w:pPr>
              <w:spacing w:before="59" w:line="188" w:lineRule="auto"/>
              <w:ind w:left="30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tc>
        <w:tc>
          <w:tcPr>
            <w:tcW w:w="974" w:type="dxa"/>
            <w:vMerge w:val="restart"/>
            <w:tcBorders>
              <w:bottom w:val="nil"/>
            </w:tcBorders>
            <w:vAlign w:val="top"/>
          </w:tcPr>
          <w:p w14:paraId="087F9FA7">
            <w:pPr>
              <w:spacing w:line="274" w:lineRule="auto"/>
              <w:rPr>
                <w:rFonts w:ascii="Arial"/>
                <w:sz w:val="21"/>
              </w:rPr>
            </w:pPr>
          </w:p>
          <w:p w14:paraId="0FC50793">
            <w:pPr>
              <w:spacing w:line="275" w:lineRule="auto"/>
              <w:rPr>
                <w:rFonts w:ascii="Arial"/>
                <w:sz w:val="21"/>
              </w:rPr>
            </w:pPr>
          </w:p>
          <w:p w14:paraId="2A6A7231">
            <w:pPr>
              <w:spacing w:before="52"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66558.24</w:t>
            </w:r>
          </w:p>
        </w:tc>
        <w:tc>
          <w:tcPr>
            <w:tcW w:w="966" w:type="dxa"/>
            <w:vAlign w:val="top"/>
          </w:tcPr>
          <w:p w14:paraId="7BAFE99C">
            <w:pPr>
              <w:spacing w:before="59" w:line="188"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3300.00</w:t>
            </w:r>
          </w:p>
        </w:tc>
        <w:tc>
          <w:tcPr>
            <w:tcW w:w="1089" w:type="dxa"/>
            <w:vMerge w:val="restart"/>
            <w:tcBorders>
              <w:bottom w:val="nil"/>
              <w:right w:val="single" w:color="000000" w:sz="6" w:space="0"/>
            </w:tcBorders>
            <w:vAlign w:val="top"/>
          </w:tcPr>
          <w:p w14:paraId="66C7FFC7">
            <w:pPr>
              <w:spacing w:line="274" w:lineRule="auto"/>
              <w:rPr>
                <w:rFonts w:ascii="Arial"/>
                <w:sz w:val="21"/>
              </w:rPr>
            </w:pPr>
          </w:p>
          <w:p w14:paraId="0026F922">
            <w:pPr>
              <w:spacing w:line="275" w:lineRule="auto"/>
              <w:rPr>
                <w:rFonts w:ascii="Arial"/>
                <w:sz w:val="21"/>
              </w:rPr>
            </w:pPr>
          </w:p>
          <w:p w14:paraId="1BB3397C">
            <w:pPr>
              <w:spacing w:before="52" w:line="188" w:lineRule="auto"/>
              <w:ind w:left="27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55200</w:t>
            </w:r>
          </w:p>
        </w:tc>
      </w:tr>
      <w:tr w14:paraId="7C4DD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540" w:type="dxa"/>
            <w:vMerge w:val="continue"/>
            <w:tcBorders>
              <w:top w:val="nil"/>
              <w:left w:val="single" w:color="000000" w:sz="6" w:space="0"/>
              <w:bottom w:val="nil"/>
            </w:tcBorders>
            <w:vAlign w:val="top"/>
          </w:tcPr>
          <w:p w14:paraId="0C80DA94">
            <w:pPr>
              <w:rPr>
                <w:rFonts w:ascii="Arial"/>
                <w:sz w:val="21"/>
              </w:rPr>
            </w:pPr>
          </w:p>
        </w:tc>
        <w:tc>
          <w:tcPr>
            <w:tcW w:w="113" w:type="dxa"/>
            <w:vMerge w:val="continue"/>
            <w:tcBorders>
              <w:top w:val="nil"/>
              <w:bottom w:val="nil"/>
            </w:tcBorders>
            <w:vAlign w:val="top"/>
          </w:tcPr>
          <w:p w14:paraId="77625344">
            <w:pPr>
              <w:rPr>
                <w:rFonts w:ascii="Arial"/>
                <w:sz w:val="21"/>
              </w:rPr>
            </w:pPr>
          </w:p>
        </w:tc>
        <w:tc>
          <w:tcPr>
            <w:tcW w:w="757" w:type="dxa"/>
            <w:vMerge w:val="continue"/>
            <w:tcBorders>
              <w:top w:val="nil"/>
              <w:bottom w:val="nil"/>
            </w:tcBorders>
            <w:vAlign w:val="top"/>
          </w:tcPr>
          <w:p w14:paraId="704DCA4B">
            <w:pPr>
              <w:rPr>
                <w:rFonts w:ascii="Arial"/>
                <w:sz w:val="21"/>
              </w:rPr>
            </w:pPr>
          </w:p>
        </w:tc>
        <w:tc>
          <w:tcPr>
            <w:tcW w:w="757" w:type="dxa"/>
            <w:vMerge w:val="continue"/>
            <w:tcBorders>
              <w:top w:val="nil"/>
              <w:bottom w:val="nil"/>
            </w:tcBorders>
            <w:vAlign w:val="top"/>
          </w:tcPr>
          <w:p w14:paraId="0626A92C">
            <w:pPr>
              <w:rPr>
                <w:rFonts w:ascii="Arial"/>
                <w:sz w:val="21"/>
              </w:rPr>
            </w:pPr>
          </w:p>
        </w:tc>
        <w:tc>
          <w:tcPr>
            <w:tcW w:w="768" w:type="dxa"/>
            <w:vMerge w:val="continue"/>
            <w:tcBorders>
              <w:top w:val="nil"/>
              <w:bottom w:val="nil"/>
            </w:tcBorders>
            <w:vAlign w:val="top"/>
          </w:tcPr>
          <w:p w14:paraId="589DAE24">
            <w:pPr>
              <w:rPr>
                <w:rFonts w:ascii="Arial"/>
                <w:sz w:val="21"/>
              </w:rPr>
            </w:pPr>
          </w:p>
        </w:tc>
        <w:tc>
          <w:tcPr>
            <w:tcW w:w="756" w:type="dxa"/>
            <w:vMerge w:val="continue"/>
            <w:tcBorders>
              <w:top w:val="nil"/>
              <w:bottom w:val="nil"/>
            </w:tcBorders>
            <w:vAlign w:val="top"/>
          </w:tcPr>
          <w:p w14:paraId="3BBD0592">
            <w:pPr>
              <w:rPr>
                <w:rFonts w:ascii="Arial"/>
                <w:sz w:val="21"/>
              </w:rPr>
            </w:pPr>
          </w:p>
        </w:tc>
        <w:tc>
          <w:tcPr>
            <w:tcW w:w="798" w:type="dxa"/>
            <w:vMerge w:val="continue"/>
            <w:tcBorders>
              <w:top w:val="nil"/>
              <w:bottom w:val="nil"/>
            </w:tcBorders>
            <w:vAlign w:val="top"/>
          </w:tcPr>
          <w:p w14:paraId="75C4A628">
            <w:pPr>
              <w:rPr>
                <w:rFonts w:ascii="Arial"/>
                <w:sz w:val="21"/>
              </w:rPr>
            </w:pPr>
          </w:p>
        </w:tc>
        <w:tc>
          <w:tcPr>
            <w:tcW w:w="757" w:type="dxa"/>
            <w:vMerge w:val="continue"/>
            <w:tcBorders>
              <w:top w:val="nil"/>
              <w:bottom w:val="nil"/>
            </w:tcBorders>
            <w:vAlign w:val="top"/>
          </w:tcPr>
          <w:p w14:paraId="22E1C376">
            <w:pPr>
              <w:rPr>
                <w:rFonts w:ascii="Arial"/>
                <w:sz w:val="21"/>
              </w:rPr>
            </w:pPr>
          </w:p>
        </w:tc>
        <w:tc>
          <w:tcPr>
            <w:tcW w:w="758" w:type="dxa"/>
            <w:vMerge w:val="continue"/>
            <w:tcBorders>
              <w:top w:val="nil"/>
              <w:bottom w:val="nil"/>
            </w:tcBorders>
            <w:vAlign w:val="top"/>
          </w:tcPr>
          <w:p w14:paraId="3834EFA8">
            <w:pPr>
              <w:rPr>
                <w:rFonts w:ascii="Arial"/>
                <w:sz w:val="21"/>
              </w:rPr>
            </w:pPr>
          </w:p>
        </w:tc>
        <w:tc>
          <w:tcPr>
            <w:tcW w:w="814" w:type="dxa"/>
            <w:vAlign w:val="top"/>
          </w:tcPr>
          <w:p w14:paraId="6E9BBC3B">
            <w:pPr>
              <w:spacing w:before="48" w:line="17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tc>
        <w:tc>
          <w:tcPr>
            <w:tcW w:w="791" w:type="dxa"/>
            <w:vAlign w:val="top"/>
          </w:tcPr>
          <w:p w14:paraId="46F7FACD">
            <w:pPr>
              <w:spacing w:before="48" w:line="17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332.64</w:t>
            </w:r>
          </w:p>
        </w:tc>
        <w:tc>
          <w:tcPr>
            <w:tcW w:w="756" w:type="dxa"/>
            <w:vAlign w:val="top"/>
          </w:tcPr>
          <w:p w14:paraId="70293E1E">
            <w:pPr>
              <w:spacing w:before="51" w:line="175" w:lineRule="auto"/>
              <w:ind w:left="339"/>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875" w:type="dxa"/>
            <w:vAlign w:val="top"/>
          </w:tcPr>
          <w:p w14:paraId="3267B689">
            <w:pPr>
              <w:spacing w:before="48" w:line="17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2328.48</w:t>
            </w:r>
          </w:p>
        </w:tc>
        <w:tc>
          <w:tcPr>
            <w:tcW w:w="965" w:type="dxa"/>
            <w:vMerge w:val="restart"/>
            <w:tcBorders>
              <w:bottom w:val="nil"/>
            </w:tcBorders>
            <w:vAlign w:val="top"/>
          </w:tcPr>
          <w:p w14:paraId="499F6503">
            <w:pPr>
              <w:spacing w:line="431" w:lineRule="auto"/>
              <w:rPr>
                <w:rFonts w:ascii="Arial"/>
                <w:sz w:val="21"/>
              </w:rPr>
            </w:pPr>
          </w:p>
          <w:p w14:paraId="45C61FD1">
            <w:pPr>
              <w:spacing w:before="51"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2691.36</w:t>
            </w:r>
          </w:p>
        </w:tc>
        <w:tc>
          <w:tcPr>
            <w:tcW w:w="754" w:type="dxa"/>
            <w:vMerge w:val="restart"/>
            <w:tcBorders>
              <w:bottom w:val="nil"/>
            </w:tcBorders>
            <w:vAlign w:val="top"/>
          </w:tcPr>
          <w:p w14:paraId="13149398">
            <w:pPr>
              <w:spacing w:line="431" w:lineRule="auto"/>
              <w:rPr>
                <w:rFonts w:ascii="Arial"/>
                <w:sz w:val="21"/>
              </w:rPr>
            </w:pPr>
          </w:p>
          <w:p w14:paraId="47829370">
            <w:pPr>
              <w:spacing w:before="51"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continue"/>
            <w:tcBorders>
              <w:top w:val="nil"/>
              <w:bottom w:val="nil"/>
            </w:tcBorders>
            <w:vAlign w:val="top"/>
          </w:tcPr>
          <w:p w14:paraId="75C360A2">
            <w:pPr>
              <w:rPr>
                <w:rFonts w:ascii="Arial"/>
                <w:sz w:val="21"/>
              </w:rPr>
            </w:pPr>
          </w:p>
        </w:tc>
        <w:tc>
          <w:tcPr>
            <w:tcW w:w="966" w:type="dxa"/>
            <w:vMerge w:val="restart"/>
            <w:tcBorders>
              <w:bottom w:val="nil"/>
            </w:tcBorders>
            <w:vAlign w:val="top"/>
          </w:tcPr>
          <w:p w14:paraId="73F3D7F5">
            <w:pPr>
              <w:spacing w:line="431" w:lineRule="auto"/>
              <w:rPr>
                <w:rFonts w:ascii="Arial"/>
                <w:sz w:val="21"/>
              </w:rPr>
            </w:pPr>
          </w:p>
          <w:p w14:paraId="0ED7B545">
            <w:pPr>
              <w:spacing w:before="51"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2400.00</w:t>
            </w:r>
          </w:p>
        </w:tc>
        <w:tc>
          <w:tcPr>
            <w:tcW w:w="1089" w:type="dxa"/>
            <w:vMerge w:val="continue"/>
            <w:tcBorders>
              <w:top w:val="nil"/>
              <w:bottom w:val="nil"/>
              <w:right w:val="single" w:color="000000" w:sz="6" w:space="0"/>
            </w:tcBorders>
            <w:vAlign w:val="top"/>
          </w:tcPr>
          <w:p w14:paraId="1C93AA45">
            <w:pPr>
              <w:rPr>
                <w:rFonts w:ascii="Arial"/>
                <w:sz w:val="21"/>
              </w:rPr>
            </w:pPr>
          </w:p>
        </w:tc>
      </w:tr>
      <w:tr w14:paraId="014E0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540" w:type="dxa"/>
            <w:vMerge w:val="continue"/>
            <w:tcBorders>
              <w:top w:val="nil"/>
              <w:left w:val="single" w:color="000000" w:sz="6" w:space="0"/>
              <w:bottom w:val="nil"/>
            </w:tcBorders>
            <w:vAlign w:val="top"/>
          </w:tcPr>
          <w:p w14:paraId="6CD918C6">
            <w:pPr>
              <w:rPr>
                <w:rFonts w:ascii="Arial"/>
                <w:sz w:val="21"/>
              </w:rPr>
            </w:pPr>
          </w:p>
        </w:tc>
        <w:tc>
          <w:tcPr>
            <w:tcW w:w="113" w:type="dxa"/>
            <w:vMerge w:val="continue"/>
            <w:tcBorders>
              <w:top w:val="nil"/>
              <w:bottom w:val="nil"/>
            </w:tcBorders>
            <w:vAlign w:val="top"/>
          </w:tcPr>
          <w:p w14:paraId="49FFC24F">
            <w:pPr>
              <w:rPr>
                <w:rFonts w:ascii="Arial"/>
                <w:sz w:val="21"/>
              </w:rPr>
            </w:pPr>
          </w:p>
        </w:tc>
        <w:tc>
          <w:tcPr>
            <w:tcW w:w="757" w:type="dxa"/>
            <w:vMerge w:val="continue"/>
            <w:tcBorders>
              <w:top w:val="nil"/>
            </w:tcBorders>
            <w:vAlign w:val="top"/>
          </w:tcPr>
          <w:p w14:paraId="56C39425">
            <w:pPr>
              <w:rPr>
                <w:rFonts w:ascii="Arial"/>
                <w:sz w:val="21"/>
              </w:rPr>
            </w:pPr>
          </w:p>
        </w:tc>
        <w:tc>
          <w:tcPr>
            <w:tcW w:w="757" w:type="dxa"/>
            <w:vMerge w:val="continue"/>
            <w:tcBorders>
              <w:top w:val="nil"/>
            </w:tcBorders>
            <w:vAlign w:val="top"/>
          </w:tcPr>
          <w:p w14:paraId="55564674">
            <w:pPr>
              <w:rPr>
                <w:rFonts w:ascii="Arial"/>
                <w:sz w:val="21"/>
              </w:rPr>
            </w:pPr>
          </w:p>
        </w:tc>
        <w:tc>
          <w:tcPr>
            <w:tcW w:w="768" w:type="dxa"/>
            <w:vMerge w:val="continue"/>
            <w:tcBorders>
              <w:top w:val="nil"/>
            </w:tcBorders>
            <w:vAlign w:val="top"/>
          </w:tcPr>
          <w:p w14:paraId="2F2FEDE3">
            <w:pPr>
              <w:rPr>
                <w:rFonts w:ascii="Arial"/>
                <w:sz w:val="21"/>
              </w:rPr>
            </w:pPr>
          </w:p>
        </w:tc>
        <w:tc>
          <w:tcPr>
            <w:tcW w:w="756" w:type="dxa"/>
            <w:vMerge w:val="continue"/>
            <w:tcBorders>
              <w:top w:val="nil"/>
            </w:tcBorders>
            <w:vAlign w:val="top"/>
          </w:tcPr>
          <w:p w14:paraId="32296DB1">
            <w:pPr>
              <w:rPr>
                <w:rFonts w:ascii="Arial"/>
                <w:sz w:val="21"/>
              </w:rPr>
            </w:pPr>
          </w:p>
        </w:tc>
        <w:tc>
          <w:tcPr>
            <w:tcW w:w="798" w:type="dxa"/>
            <w:vMerge w:val="continue"/>
            <w:tcBorders>
              <w:top w:val="nil"/>
            </w:tcBorders>
            <w:vAlign w:val="top"/>
          </w:tcPr>
          <w:p w14:paraId="45829B25">
            <w:pPr>
              <w:rPr>
                <w:rFonts w:ascii="Arial"/>
                <w:sz w:val="21"/>
              </w:rPr>
            </w:pPr>
          </w:p>
        </w:tc>
        <w:tc>
          <w:tcPr>
            <w:tcW w:w="757" w:type="dxa"/>
            <w:vMerge w:val="continue"/>
            <w:tcBorders>
              <w:top w:val="nil"/>
            </w:tcBorders>
            <w:vAlign w:val="top"/>
          </w:tcPr>
          <w:p w14:paraId="3F2CAC76">
            <w:pPr>
              <w:rPr>
                <w:rFonts w:ascii="Arial"/>
                <w:sz w:val="21"/>
              </w:rPr>
            </w:pPr>
          </w:p>
        </w:tc>
        <w:tc>
          <w:tcPr>
            <w:tcW w:w="758" w:type="dxa"/>
            <w:vMerge w:val="continue"/>
            <w:tcBorders>
              <w:top w:val="nil"/>
            </w:tcBorders>
            <w:vAlign w:val="top"/>
          </w:tcPr>
          <w:p w14:paraId="76723329">
            <w:pPr>
              <w:rPr>
                <w:rFonts w:ascii="Arial"/>
                <w:sz w:val="21"/>
              </w:rPr>
            </w:pPr>
          </w:p>
        </w:tc>
        <w:tc>
          <w:tcPr>
            <w:tcW w:w="814" w:type="dxa"/>
            <w:vAlign w:val="top"/>
          </w:tcPr>
          <w:p w14:paraId="5CE1D6B2">
            <w:pPr>
              <w:spacing w:line="322" w:lineRule="auto"/>
              <w:rPr>
                <w:rFonts w:ascii="Arial"/>
                <w:sz w:val="21"/>
              </w:rPr>
            </w:pPr>
          </w:p>
          <w:p w14:paraId="30DB5332">
            <w:pPr>
              <w:spacing w:before="52"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7B8FD3AC">
            <w:pPr>
              <w:spacing w:line="322" w:lineRule="auto"/>
              <w:rPr>
                <w:rFonts w:ascii="Arial"/>
                <w:sz w:val="21"/>
              </w:rPr>
            </w:pPr>
          </w:p>
          <w:p w14:paraId="00129A20">
            <w:pPr>
              <w:spacing w:before="52"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5C2B0C25">
            <w:pPr>
              <w:spacing w:line="322" w:lineRule="auto"/>
              <w:rPr>
                <w:rFonts w:ascii="Arial"/>
                <w:sz w:val="21"/>
              </w:rPr>
            </w:pPr>
          </w:p>
          <w:p w14:paraId="67730734">
            <w:pPr>
              <w:spacing w:before="52" w:line="188"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75" w:type="dxa"/>
            <w:vAlign w:val="top"/>
          </w:tcPr>
          <w:p w14:paraId="5395CC9F">
            <w:pPr>
              <w:spacing w:line="322" w:lineRule="auto"/>
              <w:rPr>
                <w:rFonts w:ascii="Arial"/>
                <w:sz w:val="21"/>
              </w:rPr>
            </w:pPr>
          </w:p>
          <w:p w14:paraId="79928643">
            <w:pPr>
              <w:spacing w:before="52"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965" w:type="dxa"/>
            <w:vMerge w:val="continue"/>
            <w:tcBorders>
              <w:top w:val="nil"/>
            </w:tcBorders>
            <w:vAlign w:val="top"/>
          </w:tcPr>
          <w:p w14:paraId="3411E2F8">
            <w:pPr>
              <w:rPr>
                <w:rFonts w:ascii="Arial"/>
                <w:sz w:val="21"/>
              </w:rPr>
            </w:pPr>
          </w:p>
        </w:tc>
        <w:tc>
          <w:tcPr>
            <w:tcW w:w="754" w:type="dxa"/>
            <w:vMerge w:val="continue"/>
            <w:tcBorders>
              <w:top w:val="nil"/>
            </w:tcBorders>
            <w:vAlign w:val="top"/>
          </w:tcPr>
          <w:p w14:paraId="7AF5A8D8">
            <w:pPr>
              <w:rPr>
                <w:rFonts w:ascii="Arial"/>
                <w:sz w:val="21"/>
              </w:rPr>
            </w:pPr>
          </w:p>
        </w:tc>
        <w:tc>
          <w:tcPr>
            <w:tcW w:w="974" w:type="dxa"/>
            <w:vMerge w:val="continue"/>
            <w:tcBorders>
              <w:top w:val="nil"/>
            </w:tcBorders>
            <w:vAlign w:val="top"/>
          </w:tcPr>
          <w:p w14:paraId="4B3938D1">
            <w:pPr>
              <w:rPr>
                <w:rFonts w:ascii="Arial"/>
                <w:sz w:val="21"/>
              </w:rPr>
            </w:pPr>
          </w:p>
        </w:tc>
        <w:tc>
          <w:tcPr>
            <w:tcW w:w="966" w:type="dxa"/>
            <w:vMerge w:val="continue"/>
            <w:tcBorders>
              <w:top w:val="nil"/>
            </w:tcBorders>
            <w:vAlign w:val="top"/>
          </w:tcPr>
          <w:p w14:paraId="338D1277">
            <w:pPr>
              <w:rPr>
                <w:rFonts w:ascii="Arial"/>
                <w:sz w:val="21"/>
              </w:rPr>
            </w:pPr>
          </w:p>
        </w:tc>
        <w:tc>
          <w:tcPr>
            <w:tcW w:w="1089" w:type="dxa"/>
            <w:vMerge w:val="continue"/>
            <w:tcBorders>
              <w:top w:val="nil"/>
              <w:right w:val="single" w:color="000000" w:sz="6" w:space="0"/>
            </w:tcBorders>
            <w:vAlign w:val="top"/>
          </w:tcPr>
          <w:p w14:paraId="415F79F8">
            <w:pPr>
              <w:rPr>
                <w:rFonts w:ascii="Arial"/>
                <w:sz w:val="21"/>
              </w:rPr>
            </w:pPr>
          </w:p>
        </w:tc>
      </w:tr>
      <w:tr w14:paraId="444E2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540" w:type="dxa"/>
            <w:vMerge w:val="continue"/>
            <w:tcBorders>
              <w:top w:val="nil"/>
              <w:left w:val="single" w:color="000000" w:sz="6" w:space="0"/>
              <w:bottom w:val="nil"/>
            </w:tcBorders>
            <w:vAlign w:val="top"/>
          </w:tcPr>
          <w:p w14:paraId="12FC1973">
            <w:pPr>
              <w:rPr>
                <w:rFonts w:ascii="Arial"/>
                <w:sz w:val="21"/>
              </w:rPr>
            </w:pPr>
          </w:p>
        </w:tc>
        <w:tc>
          <w:tcPr>
            <w:tcW w:w="113" w:type="dxa"/>
            <w:vMerge w:val="continue"/>
            <w:tcBorders>
              <w:top w:val="nil"/>
              <w:bottom w:val="nil"/>
            </w:tcBorders>
            <w:vAlign w:val="top"/>
          </w:tcPr>
          <w:p w14:paraId="316014E1">
            <w:pPr>
              <w:rPr>
                <w:rFonts w:ascii="Arial"/>
                <w:sz w:val="21"/>
              </w:rPr>
            </w:pPr>
          </w:p>
        </w:tc>
        <w:tc>
          <w:tcPr>
            <w:tcW w:w="757" w:type="dxa"/>
            <w:vAlign w:val="top"/>
          </w:tcPr>
          <w:p w14:paraId="4BD7B0DD">
            <w:pPr>
              <w:spacing w:line="306" w:lineRule="auto"/>
              <w:rPr>
                <w:rFonts w:ascii="Arial"/>
                <w:sz w:val="21"/>
              </w:rPr>
            </w:pPr>
          </w:p>
          <w:p w14:paraId="4DA529FA">
            <w:pPr>
              <w:pStyle w:val="6"/>
              <w:spacing w:before="58" w:line="234" w:lineRule="auto"/>
              <w:ind w:left="331" w:right="202" w:hanging="134"/>
              <w:rPr>
                <w:rFonts w:ascii="Times New Roman" w:hAnsi="Times New Roman" w:eastAsia="Times New Roman" w:cs="Times New Roman"/>
                <w:sz w:val="18"/>
                <w:szCs w:val="18"/>
              </w:rPr>
            </w:pPr>
            <w:r>
              <w:rPr>
                <w:spacing w:val="-4"/>
                <w:sz w:val="18"/>
                <w:szCs w:val="18"/>
              </w:rPr>
              <w:t>地块</w:t>
            </w:r>
            <w:r>
              <w:rPr>
                <w:sz w:val="18"/>
                <w:szCs w:val="18"/>
              </w:rPr>
              <w:t xml:space="preserve"> </w:t>
            </w:r>
            <w:r>
              <w:rPr>
                <w:rFonts w:ascii="Times New Roman" w:hAnsi="Times New Roman" w:eastAsia="Times New Roman" w:cs="Times New Roman"/>
                <w:sz w:val="18"/>
                <w:szCs w:val="18"/>
              </w:rPr>
              <w:t>9</w:t>
            </w:r>
          </w:p>
        </w:tc>
        <w:tc>
          <w:tcPr>
            <w:tcW w:w="757" w:type="dxa"/>
            <w:vAlign w:val="top"/>
          </w:tcPr>
          <w:p w14:paraId="314CD139">
            <w:pPr>
              <w:pStyle w:val="6"/>
              <w:spacing w:before="30" w:line="230" w:lineRule="auto"/>
              <w:ind w:left="122" w:right="111" w:hanging="24"/>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r>
              <w:rPr>
                <w:sz w:val="18"/>
                <w:szCs w:val="18"/>
              </w:rPr>
              <w:t xml:space="preserve"> </w:t>
            </w:r>
            <w:r>
              <w:rPr>
                <w:spacing w:val="-8"/>
                <w:sz w:val="18"/>
                <w:szCs w:val="18"/>
              </w:rPr>
              <w:t>晶双面</w:t>
            </w:r>
          </w:p>
          <w:p w14:paraId="12CF9A14">
            <w:pPr>
              <w:pStyle w:val="6"/>
              <w:spacing w:before="20" w:line="225" w:lineRule="auto"/>
              <w:ind w:left="107" w:right="230"/>
              <w:jc w:val="right"/>
              <w:rPr>
                <w:rFonts w:ascii="Times New Roman" w:hAnsi="Times New Roman" w:eastAsia="Times New Roman" w:cs="Times New Roman"/>
                <w:sz w:val="18"/>
                <w:szCs w:val="18"/>
              </w:rPr>
            </w:pPr>
            <w:r>
              <w:rPr>
                <w:spacing w:val="-4"/>
                <w:sz w:val="18"/>
                <w:szCs w:val="18"/>
              </w:rPr>
              <w:t>双玻</w:t>
            </w:r>
            <w:r>
              <w:rPr>
                <w:sz w:val="18"/>
                <w:szCs w:val="18"/>
              </w:rPr>
              <w:t xml:space="preserve"> </w:t>
            </w:r>
            <w:r>
              <w:rPr>
                <w:rFonts w:ascii="Times New Roman" w:hAnsi="Times New Roman" w:eastAsia="Times New Roman" w:cs="Times New Roman"/>
                <w:spacing w:val="-2"/>
                <w:sz w:val="18"/>
                <w:szCs w:val="18"/>
              </w:rPr>
              <w:t>(1500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1"/>
                <w:sz w:val="18"/>
                <w:szCs w:val="18"/>
              </w:rPr>
              <w:t>V)</w:t>
            </w:r>
          </w:p>
        </w:tc>
        <w:tc>
          <w:tcPr>
            <w:tcW w:w="768" w:type="dxa"/>
            <w:vAlign w:val="top"/>
          </w:tcPr>
          <w:p w14:paraId="3D9A3379">
            <w:pPr>
              <w:spacing w:line="447" w:lineRule="auto"/>
              <w:rPr>
                <w:rFonts w:ascii="Arial"/>
                <w:sz w:val="21"/>
              </w:rPr>
            </w:pPr>
          </w:p>
          <w:p w14:paraId="34C2F270">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Align w:val="top"/>
          </w:tcPr>
          <w:p w14:paraId="4EB33A95">
            <w:pPr>
              <w:spacing w:line="447" w:lineRule="auto"/>
              <w:rPr>
                <w:rFonts w:ascii="Arial"/>
                <w:sz w:val="21"/>
              </w:rPr>
            </w:pPr>
          </w:p>
          <w:p w14:paraId="5E52BDBE">
            <w:pPr>
              <w:spacing w:before="5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Align w:val="top"/>
          </w:tcPr>
          <w:p w14:paraId="0D3BF8D9">
            <w:pPr>
              <w:spacing w:line="447" w:lineRule="auto"/>
              <w:rPr>
                <w:rFonts w:ascii="Arial"/>
                <w:sz w:val="21"/>
              </w:rPr>
            </w:pPr>
          </w:p>
          <w:p w14:paraId="193E5C4E">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Align w:val="top"/>
          </w:tcPr>
          <w:p w14:paraId="1D80C54C">
            <w:pPr>
              <w:pStyle w:val="6"/>
              <w:spacing w:before="251" w:line="229" w:lineRule="auto"/>
              <w:ind w:left="294" w:right="106" w:hanging="167"/>
              <w:rPr>
                <w:sz w:val="18"/>
                <w:szCs w:val="18"/>
              </w:rPr>
            </w:pPr>
            <w:r>
              <w:rPr>
                <w:spacing w:val="-8"/>
                <w:sz w:val="18"/>
                <w:szCs w:val="18"/>
              </w:rPr>
              <w:t>固定倾</w:t>
            </w:r>
            <w:r>
              <w:rPr>
                <w:sz w:val="18"/>
                <w:szCs w:val="18"/>
              </w:rPr>
              <w:t xml:space="preserve"> 角</w:t>
            </w:r>
          </w:p>
          <w:p w14:paraId="17C12397">
            <w:pPr>
              <w:spacing w:before="36"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Align w:val="top"/>
          </w:tcPr>
          <w:p w14:paraId="36E4DB08">
            <w:pPr>
              <w:pStyle w:val="6"/>
              <w:spacing w:before="252" w:line="230"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0F2DE4A0">
            <w:pPr>
              <w:spacing w:line="447" w:lineRule="auto"/>
              <w:rPr>
                <w:rFonts w:ascii="Arial"/>
                <w:sz w:val="21"/>
              </w:rPr>
            </w:pPr>
          </w:p>
          <w:p w14:paraId="318099F3">
            <w:pPr>
              <w:spacing w:before="52"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4A8E325A">
            <w:pPr>
              <w:spacing w:line="447" w:lineRule="auto"/>
              <w:rPr>
                <w:rFonts w:ascii="Arial"/>
                <w:sz w:val="21"/>
              </w:rPr>
            </w:pPr>
          </w:p>
          <w:p w14:paraId="4E5D508C">
            <w:pPr>
              <w:spacing w:before="52"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4B69EEB3">
            <w:pPr>
              <w:spacing w:line="449" w:lineRule="auto"/>
              <w:rPr>
                <w:rFonts w:ascii="Arial"/>
                <w:sz w:val="21"/>
              </w:rPr>
            </w:pPr>
          </w:p>
          <w:p w14:paraId="10153C07">
            <w:pPr>
              <w:spacing w:before="52" w:line="185" w:lineRule="auto"/>
              <w:ind w:left="339"/>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875" w:type="dxa"/>
            <w:vAlign w:val="top"/>
          </w:tcPr>
          <w:p w14:paraId="73B42FB7">
            <w:pPr>
              <w:spacing w:line="447" w:lineRule="auto"/>
              <w:rPr>
                <w:rFonts w:ascii="Arial"/>
                <w:sz w:val="21"/>
              </w:rPr>
            </w:pPr>
          </w:p>
          <w:p w14:paraId="0CB3451C">
            <w:pPr>
              <w:spacing w:before="5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2540.16</w:t>
            </w:r>
          </w:p>
        </w:tc>
        <w:tc>
          <w:tcPr>
            <w:tcW w:w="965" w:type="dxa"/>
            <w:vAlign w:val="top"/>
          </w:tcPr>
          <w:p w14:paraId="58818940">
            <w:pPr>
              <w:spacing w:line="447" w:lineRule="auto"/>
              <w:rPr>
                <w:rFonts w:ascii="Arial"/>
                <w:sz w:val="21"/>
              </w:rPr>
            </w:pPr>
          </w:p>
          <w:p w14:paraId="5FD3A56E">
            <w:pPr>
              <w:spacing w:before="52" w:line="188"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2540.16</w:t>
            </w:r>
          </w:p>
        </w:tc>
        <w:tc>
          <w:tcPr>
            <w:tcW w:w="754" w:type="dxa"/>
            <w:vAlign w:val="top"/>
          </w:tcPr>
          <w:p w14:paraId="0DF287C5">
            <w:pPr>
              <w:spacing w:line="447" w:lineRule="auto"/>
              <w:rPr>
                <w:rFonts w:ascii="Arial"/>
                <w:sz w:val="21"/>
              </w:rPr>
            </w:pPr>
          </w:p>
          <w:p w14:paraId="154CAF05">
            <w:pPr>
              <w:spacing w:before="52"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Align w:val="top"/>
          </w:tcPr>
          <w:p w14:paraId="7EF702A7">
            <w:pPr>
              <w:spacing w:line="447" w:lineRule="auto"/>
              <w:rPr>
                <w:rFonts w:ascii="Arial"/>
                <w:sz w:val="21"/>
              </w:rPr>
            </w:pPr>
          </w:p>
          <w:p w14:paraId="563D5916">
            <w:pPr>
              <w:spacing w:before="52"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2540.16</w:t>
            </w:r>
          </w:p>
        </w:tc>
        <w:tc>
          <w:tcPr>
            <w:tcW w:w="966" w:type="dxa"/>
            <w:vAlign w:val="top"/>
          </w:tcPr>
          <w:p w14:paraId="6BB31BBA">
            <w:pPr>
              <w:spacing w:line="447" w:lineRule="auto"/>
              <w:rPr>
                <w:rFonts w:ascii="Arial"/>
                <w:sz w:val="21"/>
              </w:rPr>
            </w:pPr>
          </w:p>
          <w:p w14:paraId="0041F13B">
            <w:pPr>
              <w:spacing w:before="52"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2100.00</w:t>
            </w:r>
          </w:p>
        </w:tc>
        <w:tc>
          <w:tcPr>
            <w:tcW w:w="1089" w:type="dxa"/>
            <w:tcBorders>
              <w:right w:val="single" w:color="000000" w:sz="6" w:space="0"/>
            </w:tcBorders>
            <w:vAlign w:val="top"/>
          </w:tcPr>
          <w:p w14:paraId="4D54549B">
            <w:pPr>
              <w:spacing w:line="447" w:lineRule="auto"/>
              <w:rPr>
                <w:rFonts w:ascii="Arial"/>
                <w:sz w:val="21"/>
              </w:rPr>
            </w:pPr>
          </w:p>
          <w:p w14:paraId="22DBDCBF">
            <w:pPr>
              <w:spacing w:before="52" w:line="188"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2100</w:t>
            </w:r>
          </w:p>
        </w:tc>
      </w:tr>
      <w:tr w14:paraId="38B71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540" w:type="dxa"/>
            <w:vMerge w:val="continue"/>
            <w:tcBorders>
              <w:top w:val="nil"/>
              <w:left w:val="single" w:color="000000" w:sz="6" w:space="0"/>
              <w:bottom w:val="nil"/>
            </w:tcBorders>
            <w:vAlign w:val="top"/>
          </w:tcPr>
          <w:p w14:paraId="0974A930">
            <w:pPr>
              <w:rPr>
                <w:rFonts w:ascii="Arial"/>
                <w:sz w:val="21"/>
              </w:rPr>
            </w:pPr>
          </w:p>
        </w:tc>
        <w:tc>
          <w:tcPr>
            <w:tcW w:w="113" w:type="dxa"/>
            <w:vMerge w:val="continue"/>
            <w:tcBorders>
              <w:top w:val="nil"/>
              <w:bottom w:val="nil"/>
            </w:tcBorders>
            <w:vAlign w:val="top"/>
          </w:tcPr>
          <w:p w14:paraId="6C9B7E43">
            <w:pPr>
              <w:rPr>
                <w:rFonts w:ascii="Arial"/>
                <w:sz w:val="21"/>
              </w:rPr>
            </w:pPr>
          </w:p>
        </w:tc>
        <w:tc>
          <w:tcPr>
            <w:tcW w:w="757" w:type="dxa"/>
            <w:vMerge w:val="restart"/>
            <w:tcBorders>
              <w:bottom w:val="nil"/>
            </w:tcBorders>
            <w:vAlign w:val="top"/>
          </w:tcPr>
          <w:p w14:paraId="76D6EA4C">
            <w:pPr>
              <w:spacing w:line="413" w:lineRule="auto"/>
              <w:rPr>
                <w:rFonts w:ascii="Arial"/>
                <w:sz w:val="21"/>
              </w:rPr>
            </w:pPr>
          </w:p>
          <w:p w14:paraId="6B805E48">
            <w:pPr>
              <w:pStyle w:val="6"/>
              <w:spacing w:before="59" w:line="231" w:lineRule="auto"/>
              <w:ind w:left="299" w:right="202" w:hanging="102"/>
              <w:rPr>
                <w:rFonts w:ascii="Times New Roman" w:hAnsi="Times New Roman" w:eastAsia="Times New Roman" w:cs="Times New Roman"/>
                <w:sz w:val="18"/>
                <w:szCs w:val="18"/>
              </w:rPr>
            </w:pPr>
            <w:r>
              <w:rPr>
                <w:spacing w:val="-4"/>
                <w:sz w:val="18"/>
                <w:szCs w:val="18"/>
              </w:rPr>
              <w:t>地块</w:t>
            </w:r>
            <w:r>
              <w:rPr>
                <w:sz w:val="18"/>
                <w:szCs w:val="18"/>
              </w:rPr>
              <w:t xml:space="preserve"> </w:t>
            </w:r>
            <w:r>
              <w:rPr>
                <w:rFonts w:ascii="Times New Roman" w:hAnsi="Times New Roman" w:eastAsia="Times New Roman" w:cs="Times New Roman"/>
                <w:spacing w:val="-10"/>
                <w:sz w:val="18"/>
                <w:szCs w:val="18"/>
              </w:rPr>
              <w:t>10</w:t>
            </w:r>
          </w:p>
        </w:tc>
        <w:tc>
          <w:tcPr>
            <w:tcW w:w="757" w:type="dxa"/>
            <w:vMerge w:val="restart"/>
            <w:tcBorders>
              <w:bottom w:val="nil"/>
            </w:tcBorders>
            <w:vAlign w:val="top"/>
          </w:tcPr>
          <w:p w14:paraId="682AB4E3">
            <w:pPr>
              <w:pStyle w:val="6"/>
              <w:spacing w:before="33" w:line="233" w:lineRule="auto"/>
              <w:ind w:left="107" w:right="111" w:hanging="9"/>
              <w:jc w:val="both"/>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r>
              <w:rPr>
                <w:sz w:val="18"/>
                <w:szCs w:val="18"/>
              </w:rPr>
              <w:t xml:space="preserve"> </w:t>
            </w:r>
            <w:r>
              <w:rPr>
                <w:spacing w:val="-3"/>
                <w:sz w:val="18"/>
                <w:szCs w:val="18"/>
              </w:rPr>
              <w:t>晶双面</w:t>
            </w:r>
            <w:r>
              <w:rPr>
                <w:sz w:val="18"/>
                <w:szCs w:val="18"/>
              </w:rPr>
              <w:t xml:space="preserve"> </w:t>
            </w:r>
            <w:r>
              <w:rPr>
                <w:spacing w:val="-4"/>
                <w:sz w:val="18"/>
                <w:szCs w:val="18"/>
              </w:rPr>
              <w:t>双玻</w:t>
            </w:r>
          </w:p>
          <w:p w14:paraId="2AC96440">
            <w:pPr>
              <w:spacing w:before="240" w:line="208" w:lineRule="auto"/>
              <w:ind w:left="281" w:right="230" w:hanging="1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1"/>
                <w:sz w:val="18"/>
                <w:szCs w:val="18"/>
              </w:rPr>
              <w:t>V)</w:t>
            </w:r>
          </w:p>
        </w:tc>
        <w:tc>
          <w:tcPr>
            <w:tcW w:w="768" w:type="dxa"/>
            <w:vMerge w:val="restart"/>
            <w:tcBorders>
              <w:bottom w:val="nil"/>
            </w:tcBorders>
            <w:vAlign w:val="top"/>
          </w:tcPr>
          <w:p w14:paraId="0E88D9E2">
            <w:pPr>
              <w:spacing w:line="276" w:lineRule="auto"/>
              <w:rPr>
                <w:rFonts w:ascii="Arial"/>
                <w:sz w:val="21"/>
              </w:rPr>
            </w:pPr>
          </w:p>
          <w:p w14:paraId="1C591431">
            <w:pPr>
              <w:spacing w:line="277" w:lineRule="auto"/>
              <w:rPr>
                <w:rFonts w:ascii="Arial"/>
                <w:sz w:val="21"/>
              </w:rPr>
            </w:pPr>
          </w:p>
          <w:p w14:paraId="253E35DF">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2F5EE7C6">
            <w:pPr>
              <w:spacing w:line="276" w:lineRule="auto"/>
              <w:rPr>
                <w:rFonts w:ascii="Arial"/>
                <w:sz w:val="21"/>
              </w:rPr>
            </w:pPr>
          </w:p>
          <w:p w14:paraId="64D4AC89">
            <w:pPr>
              <w:spacing w:line="277" w:lineRule="auto"/>
              <w:rPr>
                <w:rFonts w:ascii="Arial"/>
                <w:sz w:val="21"/>
              </w:rPr>
            </w:pPr>
          </w:p>
          <w:p w14:paraId="3A602C42">
            <w:pPr>
              <w:spacing w:before="5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2CF9D825">
            <w:pPr>
              <w:spacing w:line="276" w:lineRule="auto"/>
              <w:rPr>
                <w:rFonts w:ascii="Arial"/>
                <w:sz w:val="21"/>
              </w:rPr>
            </w:pPr>
          </w:p>
          <w:p w14:paraId="643A7028">
            <w:pPr>
              <w:spacing w:line="277" w:lineRule="auto"/>
              <w:rPr>
                <w:rFonts w:ascii="Arial"/>
                <w:sz w:val="21"/>
              </w:rPr>
            </w:pPr>
          </w:p>
          <w:p w14:paraId="6B32A92E">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526BF16E">
            <w:pPr>
              <w:spacing w:line="295" w:lineRule="auto"/>
              <w:rPr>
                <w:rFonts w:ascii="Arial"/>
                <w:sz w:val="21"/>
              </w:rPr>
            </w:pPr>
          </w:p>
          <w:p w14:paraId="72CF1B08">
            <w:pPr>
              <w:pStyle w:val="6"/>
              <w:spacing w:before="59" w:line="229" w:lineRule="auto"/>
              <w:ind w:left="294" w:right="106" w:hanging="167"/>
              <w:rPr>
                <w:sz w:val="18"/>
                <w:szCs w:val="18"/>
              </w:rPr>
            </w:pPr>
            <w:r>
              <w:rPr>
                <w:spacing w:val="-8"/>
                <w:sz w:val="18"/>
                <w:szCs w:val="18"/>
              </w:rPr>
              <w:t>固定倾</w:t>
            </w:r>
            <w:r>
              <w:rPr>
                <w:sz w:val="18"/>
                <w:szCs w:val="18"/>
              </w:rPr>
              <w:t xml:space="preserve"> 角</w:t>
            </w:r>
          </w:p>
          <w:p w14:paraId="3726E557">
            <w:pPr>
              <w:spacing w:before="38"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1CBA925E">
            <w:pPr>
              <w:spacing w:line="297" w:lineRule="auto"/>
              <w:rPr>
                <w:rFonts w:ascii="Arial"/>
                <w:sz w:val="21"/>
              </w:rPr>
            </w:pPr>
          </w:p>
          <w:p w14:paraId="58023114">
            <w:pPr>
              <w:pStyle w:val="6"/>
              <w:spacing w:before="58" w:line="231"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0A814E4F">
            <w:pPr>
              <w:spacing w:before="51" w:line="174"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0D9E6610">
            <w:pPr>
              <w:spacing w:before="51" w:line="174"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04FE99F8">
            <w:pPr>
              <w:spacing w:before="54" w:line="171" w:lineRule="auto"/>
              <w:ind w:left="341"/>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875" w:type="dxa"/>
            <w:vAlign w:val="top"/>
          </w:tcPr>
          <w:p w14:paraId="159D8E89">
            <w:pPr>
              <w:spacing w:before="51" w:line="174"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1814.40</w:t>
            </w:r>
          </w:p>
        </w:tc>
        <w:tc>
          <w:tcPr>
            <w:tcW w:w="965" w:type="dxa"/>
            <w:vMerge w:val="restart"/>
            <w:tcBorders>
              <w:bottom w:val="nil"/>
            </w:tcBorders>
            <w:vAlign w:val="top"/>
          </w:tcPr>
          <w:p w14:paraId="5619901C">
            <w:pPr>
              <w:spacing w:line="276" w:lineRule="auto"/>
              <w:rPr>
                <w:rFonts w:ascii="Arial"/>
                <w:sz w:val="21"/>
              </w:rPr>
            </w:pPr>
          </w:p>
          <w:p w14:paraId="041C0F8E">
            <w:pPr>
              <w:spacing w:line="277" w:lineRule="auto"/>
              <w:rPr>
                <w:rFonts w:ascii="Arial"/>
                <w:sz w:val="21"/>
              </w:rPr>
            </w:pPr>
          </w:p>
          <w:p w14:paraId="74A23251">
            <w:pPr>
              <w:spacing w:before="52"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2162.16</w:t>
            </w:r>
          </w:p>
        </w:tc>
        <w:tc>
          <w:tcPr>
            <w:tcW w:w="754" w:type="dxa"/>
            <w:vMerge w:val="restart"/>
            <w:tcBorders>
              <w:bottom w:val="nil"/>
            </w:tcBorders>
            <w:vAlign w:val="top"/>
          </w:tcPr>
          <w:p w14:paraId="502BF16D">
            <w:pPr>
              <w:spacing w:line="276" w:lineRule="auto"/>
              <w:rPr>
                <w:rFonts w:ascii="Arial"/>
                <w:sz w:val="21"/>
              </w:rPr>
            </w:pPr>
          </w:p>
          <w:p w14:paraId="74822EBC">
            <w:pPr>
              <w:spacing w:line="277" w:lineRule="auto"/>
              <w:rPr>
                <w:rFonts w:ascii="Arial"/>
                <w:sz w:val="21"/>
              </w:rPr>
            </w:pPr>
          </w:p>
          <w:p w14:paraId="001D0D53">
            <w:pPr>
              <w:spacing w:before="52"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restart"/>
            <w:tcBorders>
              <w:bottom w:val="nil"/>
            </w:tcBorders>
            <w:vAlign w:val="top"/>
          </w:tcPr>
          <w:p w14:paraId="11EC596D">
            <w:pPr>
              <w:spacing w:line="276" w:lineRule="auto"/>
              <w:rPr>
                <w:rFonts w:ascii="Arial"/>
                <w:sz w:val="21"/>
              </w:rPr>
            </w:pPr>
          </w:p>
          <w:p w14:paraId="16B3A6BF">
            <w:pPr>
              <w:spacing w:line="277" w:lineRule="auto"/>
              <w:rPr>
                <w:rFonts w:ascii="Arial"/>
                <w:sz w:val="21"/>
              </w:rPr>
            </w:pPr>
          </w:p>
          <w:p w14:paraId="61A01E6B">
            <w:pPr>
              <w:spacing w:before="52"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2162.16</w:t>
            </w:r>
          </w:p>
        </w:tc>
        <w:tc>
          <w:tcPr>
            <w:tcW w:w="966" w:type="dxa"/>
            <w:vMerge w:val="restart"/>
            <w:tcBorders>
              <w:bottom w:val="nil"/>
            </w:tcBorders>
            <w:vAlign w:val="top"/>
          </w:tcPr>
          <w:p w14:paraId="489198E1">
            <w:pPr>
              <w:spacing w:line="276" w:lineRule="auto"/>
              <w:rPr>
                <w:rFonts w:ascii="Arial"/>
                <w:sz w:val="21"/>
              </w:rPr>
            </w:pPr>
          </w:p>
          <w:p w14:paraId="45D538ED">
            <w:pPr>
              <w:spacing w:line="277" w:lineRule="auto"/>
              <w:rPr>
                <w:rFonts w:ascii="Arial"/>
                <w:sz w:val="21"/>
              </w:rPr>
            </w:pPr>
          </w:p>
          <w:p w14:paraId="6537B855">
            <w:pPr>
              <w:spacing w:before="52" w:line="188" w:lineRule="auto"/>
              <w:ind w:left="21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1800.00</w:t>
            </w:r>
          </w:p>
        </w:tc>
        <w:tc>
          <w:tcPr>
            <w:tcW w:w="1089" w:type="dxa"/>
            <w:vMerge w:val="restart"/>
            <w:tcBorders>
              <w:bottom w:val="nil"/>
              <w:right w:val="single" w:color="000000" w:sz="6" w:space="0"/>
            </w:tcBorders>
            <w:vAlign w:val="top"/>
          </w:tcPr>
          <w:p w14:paraId="25EA9EAA">
            <w:pPr>
              <w:spacing w:line="450" w:lineRule="auto"/>
              <w:rPr>
                <w:rFonts w:ascii="Arial"/>
                <w:sz w:val="21"/>
              </w:rPr>
            </w:pPr>
          </w:p>
          <w:p w14:paraId="1F95F658">
            <w:pPr>
              <w:spacing w:before="52" w:line="188" w:lineRule="auto"/>
              <w:ind w:left="41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p w14:paraId="13D83E77">
            <w:pPr>
              <w:spacing w:before="41" w:line="188" w:lineRule="auto"/>
              <w:ind w:left="40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00</w:t>
            </w:r>
          </w:p>
        </w:tc>
      </w:tr>
      <w:tr w14:paraId="2FC81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540" w:type="dxa"/>
            <w:vMerge w:val="continue"/>
            <w:tcBorders>
              <w:top w:val="nil"/>
              <w:left w:val="single" w:color="000000" w:sz="6" w:space="0"/>
              <w:bottom w:val="nil"/>
            </w:tcBorders>
            <w:vAlign w:val="top"/>
          </w:tcPr>
          <w:p w14:paraId="4A006349">
            <w:pPr>
              <w:rPr>
                <w:rFonts w:ascii="Arial"/>
                <w:sz w:val="21"/>
              </w:rPr>
            </w:pPr>
          </w:p>
        </w:tc>
        <w:tc>
          <w:tcPr>
            <w:tcW w:w="113" w:type="dxa"/>
            <w:vMerge w:val="continue"/>
            <w:tcBorders>
              <w:top w:val="nil"/>
              <w:bottom w:val="nil"/>
            </w:tcBorders>
            <w:vAlign w:val="top"/>
          </w:tcPr>
          <w:p w14:paraId="14EB02AD">
            <w:pPr>
              <w:rPr>
                <w:rFonts w:ascii="Arial"/>
                <w:sz w:val="21"/>
              </w:rPr>
            </w:pPr>
          </w:p>
        </w:tc>
        <w:tc>
          <w:tcPr>
            <w:tcW w:w="757" w:type="dxa"/>
            <w:vMerge w:val="continue"/>
            <w:tcBorders>
              <w:top w:val="nil"/>
            </w:tcBorders>
            <w:vAlign w:val="top"/>
          </w:tcPr>
          <w:p w14:paraId="06230FAA">
            <w:pPr>
              <w:rPr>
                <w:rFonts w:ascii="Arial"/>
                <w:sz w:val="21"/>
              </w:rPr>
            </w:pPr>
          </w:p>
        </w:tc>
        <w:tc>
          <w:tcPr>
            <w:tcW w:w="757" w:type="dxa"/>
            <w:vMerge w:val="continue"/>
            <w:tcBorders>
              <w:top w:val="nil"/>
            </w:tcBorders>
            <w:vAlign w:val="top"/>
          </w:tcPr>
          <w:p w14:paraId="06C0092A">
            <w:pPr>
              <w:rPr>
                <w:rFonts w:ascii="Arial"/>
                <w:sz w:val="21"/>
              </w:rPr>
            </w:pPr>
          </w:p>
        </w:tc>
        <w:tc>
          <w:tcPr>
            <w:tcW w:w="768" w:type="dxa"/>
            <w:vMerge w:val="continue"/>
            <w:tcBorders>
              <w:top w:val="nil"/>
            </w:tcBorders>
            <w:vAlign w:val="top"/>
          </w:tcPr>
          <w:p w14:paraId="22F75645">
            <w:pPr>
              <w:rPr>
                <w:rFonts w:ascii="Arial"/>
                <w:sz w:val="21"/>
              </w:rPr>
            </w:pPr>
          </w:p>
        </w:tc>
        <w:tc>
          <w:tcPr>
            <w:tcW w:w="756" w:type="dxa"/>
            <w:vMerge w:val="continue"/>
            <w:tcBorders>
              <w:top w:val="nil"/>
            </w:tcBorders>
            <w:vAlign w:val="top"/>
          </w:tcPr>
          <w:p w14:paraId="04BDC021">
            <w:pPr>
              <w:rPr>
                <w:rFonts w:ascii="Arial"/>
                <w:sz w:val="21"/>
              </w:rPr>
            </w:pPr>
          </w:p>
        </w:tc>
        <w:tc>
          <w:tcPr>
            <w:tcW w:w="798" w:type="dxa"/>
            <w:vMerge w:val="continue"/>
            <w:tcBorders>
              <w:top w:val="nil"/>
            </w:tcBorders>
            <w:vAlign w:val="top"/>
          </w:tcPr>
          <w:p w14:paraId="15D761F2">
            <w:pPr>
              <w:rPr>
                <w:rFonts w:ascii="Arial"/>
                <w:sz w:val="21"/>
              </w:rPr>
            </w:pPr>
          </w:p>
        </w:tc>
        <w:tc>
          <w:tcPr>
            <w:tcW w:w="757" w:type="dxa"/>
            <w:vMerge w:val="continue"/>
            <w:tcBorders>
              <w:top w:val="nil"/>
            </w:tcBorders>
            <w:vAlign w:val="top"/>
          </w:tcPr>
          <w:p w14:paraId="3C3ADF4B">
            <w:pPr>
              <w:rPr>
                <w:rFonts w:ascii="Arial"/>
                <w:sz w:val="21"/>
              </w:rPr>
            </w:pPr>
          </w:p>
        </w:tc>
        <w:tc>
          <w:tcPr>
            <w:tcW w:w="758" w:type="dxa"/>
            <w:vMerge w:val="continue"/>
            <w:tcBorders>
              <w:top w:val="nil"/>
            </w:tcBorders>
            <w:vAlign w:val="top"/>
          </w:tcPr>
          <w:p w14:paraId="1F04DCCF">
            <w:pPr>
              <w:rPr>
                <w:rFonts w:ascii="Arial"/>
                <w:sz w:val="21"/>
              </w:rPr>
            </w:pPr>
          </w:p>
        </w:tc>
        <w:tc>
          <w:tcPr>
            <w:tcW w:w="814" w:type="dxa"/>
            <w:vAlign w:val="top"/>
          </w:tcPr>
          <w:p w14:paraId="136D8C34">
            <w:pPr>
              <w:spacing w:line="445" w:lineRule="auto"/>
              <w:rPr>
                <w:rFonts w:ascii="Arial"/>
                <w:sz w:val="21"/>
              </w:rPr>
            </w:pPr>
          </w:p>
          <w:p w14:paraId="61360195">
            <w:pPr>
              <w:spacing w:before="51"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tc>
        <w:tc>
          <w:tcPr>
            <w:tcW w:w="791" w:type="dxa"/>
            <w:vAlign w:val="top"/>
          </w:tcPr>
          <w:p w14:paraId="57891606">
            <w:pPr>
              <w:spacing w:line="445" w:lineRule="auto"/>
              <w:rPr>
                <w:rFonts w:ascii="Arial"/>
                <w:sz w:val="21"/>
              </w:rPr>
            </w:pPr>
          </w:p>
          <w:p w14:paraId="1BCE5611">
            <w:pPr>
              <w:spacing w:before="51"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347.76</w:t>
            </w:r>
          </w:p>
        </w:tc>
        <w:tc>
          <w:tcPr>
            <w:tcW w:w="756" w:type="dxa"/>
            <w:vAlign w:val="top"/>
          </w:tcPr>
          <w:p w14:paraId="18C698A0">
            <w:pPr>
              <w:spacing w:line="445" w:lineRule="auto"/>
              <w:rPr>
                <w:rFonts w:ascii="Arial"/>
                <w:sz w:val="21"/>
              </w:rPr>
            </w:pPr>
          </w:p>
          <w:p w14:paraId="4ED218F0">
            <w:pPr>
              <w:spacing w:before="52" w:line="188"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75" w:type="dxa"/>
            <w:vAlign w:val="top"/>
          </w:tcPr>
          <w:p w14:paraId="6E8113E7">
            <w:pPr>
              <w:spacing w:line="445" w:lineRule="auto"/>
              <w:rPr>
                <w:rFonts w:ascii="Arial"/>
                <w:sz w:val="21"/>
              </w:rPr>
            </w:pPr>
          </w:p>
          <w:p w14:paraId="5BA2C803">
            <w:pPr>
              <w:spacing w:before="51"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347.76</w:t>
            </w:r>
          </w:p>
        </w:tc>
        <w:tc>
          <w:tcPr>
            <w:tcW w:w="965" w:type="dxa"/>
            <w:vMerge w:val="continue"/>
            <w:tcBorders>
              <w:top w:val="nil"/>
            </w:tcBorders>
            <w:vAlign w:val="top"/>
          </w:tcPr>
          <w:p w14:paraId="2E771336">
            <w:pPr>
              <w:rPr>
                <w:rFonts w:ascii="Arial"/>
                <w:sz w:val="21"/>
              </w:rPr>
            </w:pPr>
          </w:p>
        </w:tc>
        <w:tc>
          <w:tcPr>
            <w:tcW w:w="754" w:type="dxa"/>
            <w:vMerge w:val="continue"/>
            <w:tcBorders>
              <w:top w:val="nil"/>
            </w:tcBorders>
            <w:vAlign w:val="top"/>
          </w:tcPr>
          <w:p w14:paraId="0C5667C2">
            <w:pPr>
              <w:rPr>
                <w:rFonts w:ascii="Arial"/>
                <w:sz w:val="21"/>
              </w:rPr>
            </w:pPr>
          </w:p>
        </w:tc>
        <w:tc>
          <w:tcPr>
            <w:tcW w:w="974" w:type="dxa"/>
            <w:vMerge w:val="continue"/>
            <w:tcBorders>
              <w:top w:val="nil"/>
            </w:tcBorders>
            <w:vAlign w:val="top"/>
          </w:tcPr>
          <w:p w14:paraId="546A6325">
            <w:pPr>
              <w:rPr>
                <w:rFonts w:ascii="Arial"/>
                <w:sz w:val="21"/>
              </w:rPr>
            </w:pPr>
          </w:p>
        </w:tc>
        <w:tc>
          <w:tcPr>
            <w:tcW w:w="966" w:type="dxa"/>
            <w:vMerge w:val="continue"/>
            <w:tcBorders>
              <w:top w:val="nil"/>
            </w:tcBorders>
            <w:vAlign w:val="top"/>
          </w:tcPr>
          <w:p w14:paraId="2004B479">
            <w:pPr>
              <w:rPr>
                <w:rFonts w:ascii="Arial"/>
                <w:sz w:val="21"/>
              </w:rPr>
            </w:pPr>
          </w:p>
        </w:tc>
        <w:tc>
          <w:tcPr>
            <w:tcW w:w="1089" w:type="dxa"/>
            <w:vMerge w:val="continue"/>
            <w:tcBorders>
              <w:top w:val="nil"/>
              <w:right w:val="single" w:color="000000" w:sz="6" w:space="0"/>
            </w:tcBorders>
            <w:vAlign w:val="top"/>
          </w:tcPr>
          <w:p w14:paraId="6D5D2E42">
            <w:pPr>
              <w:rPr>
                <w:rFonts w:ascii="Arial"/>
                <w:sz w:val="21"/>
              </w:rPr>
            </w:pPr>
          </w:p>
        </w:tc>
      </w:tr>
      <w:tr w14:paraId="22037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540" w:type="dxa"/>
            <w:vMerge w:val="continue"/>
            <w:tcBorders>
              <w:top w:val="nil"/>
              <w:left w:val="single" w:color="000000" w:sz="6" w:space="0"/>
              <w:bottom w:val="nil"/>
            </w:tcBorders>
            <w:vAlign w:val="top"/>
          </w:tcPr>
          <w:p w14:paraId="54E8BF05">
            <w:pPr>
              <w:rPr>
                <w:rFonts w:ascii="Arial"/>
                <w:sz w:val="21"/>
              </w:rPr>
            </w:pPr>
          </w:p>
        </w:tc>
        <w:tc>
          <w:tcPr>
            <w:tcW w:w="113" w:type="dxa"/>
            <w:vMerge w:val="continue"/>
            <w:tcBorders>
              <w:top w:val="nil"/>
              <w:bottom w:val="nil"/>
            </w:tcBorders>
            <w:vAlign w:val="top"/>
          </w:tcPr>
          <w:p w14:paraId="02DEE454">
            <w:pPr>
              <w:rPr>
                <w:rFonts w:ascii="Arial"/>
                <w:sz w:val="21"/>
              </w:rPr>
            </w:pPr>
          </w:p>
        </w:tc>
        <w:tc>
          <w:tcPr>
            <w:tcW w:w="757" w:type="dxa"/>
            <w:vAlign w:val="top"/>
          </w:tcPr>
          <w:p w14:paraId="11ED4123">
            <w:pPr>
              <w:spacing w:line="416" w:lineRule="auto"/>
              <w:rPr>
                <w:rFonts w:ascii="Arial"/>
                <w:sz w:val="21"/>
              </w:rPr>
            </w:pPr>
          </w:p>
          <w:p w14:paraId="555F1283">
            <w:pPr>
              <w:pStyle w:val="6"/>
              <w:spacing w:before="59" w:line="231" w:lineRule="auto"/>
              <w:ind w:left="299" w:right="202" w:hanging="102"/>
              <w:rPr>
                <w:rFonts w:ascii="Times New Roman" w:hAnsi="Times New Roman" w:eastAsia="Times New Roman" w:cs="Times New Roman"/>
                <w:sz w:val="18"/>
                <w:szCs w:val="18"/>
              </w:rPr>
            </w:pPr>
            <w:r>
              <w:rPr>
                <w:spacing w:val="-4"/>
                <w:sz w:val="18"/>
                <w:szCs w:val="18"/>
              </w:rPr>
              <w:t>地块</w:t>
            </w:r>
            <w:r>
              <w:rPr>
                <w:sz w:val="18"/>
                <w:szCs w:val="18"/>
              </w:rPr>
              <w:t xml:space="preserve"> </w:t>
            </w:r>
            <w:r>
              <w:rPr>
                <w:rFonts w:ascii="Times New Roman" w:hAnsi="Times New Roman" w:eastAsia="Times New Roman" w:cs="Times New Roman"/>
                <w:spacing w:val="-10"/>
                <w:sz w:val="18"/>
                <w:szCs w:val="18"/>
              </w:rPr>
              <w:t>12</w:t>
            </w:r>
          </w:p>
        </w:tc>
        <w:tc>
          <w:tcPr>
            <w:tcW w:w="757" w:type="dxa"/>
            <w:vAlign w:val="top"/>
          </w:tcPr>
          <w:p w14:paraId="104781C3">
            <w:pPr>
              <w:pStyle w:val="6"/>
              <w:spacing w:before="36" w:line="233" w:lineRule="auto"/>
              <w:ind w:left="107" w:right="111" w:hanging="9"/>
              <w:jc w:val="both"/>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r>
              <w:rPr>
                <w:sz w:val="18"/>
                <w:szCs w:val="18"/>
              </w:rPr>
              <w:t xml:space="preserve"> </w:t>
            </w:r>
            <w:r>
              <w:rPr>
                <w:spacing w:val="-3"/>
                <w:sz w:val="18"/>
                <w:szCs w:val="18"/>
              </w:rPr>
              <w:t>晶双面</w:t>
            </w:r>
            <w:r>
              <w:rPr>
                <w:sz w:val="18"/>
                <w:szCs w:val="18"/>
              </w:rPr>
              <w:t xml:space="preserve"> </w:t>
            </w:r>
            <w:r>
              <w:rPr>
                <w:spacing w:val="-4"/>
                <w:sz w:val="18"/>
                <w:szCs w:val="18"/>
              </w:rPr>
              <w:t>双玻</w:t>
            </w:r>
          </w:p>
          <w:p w14:paraId="741FF717">
            <w:pPr>
              <w:spacing w:before="240" w:line="206" w:lineRule="auto"/>
              <w:ind w:left="281" w:right="230" w:hanging="1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1"/>
                <w:sz w:val="18"/>
                <w:szCs w:val="18"/>
              </w:rPr>
              <w:t>V)</w:t>
            </w:r>
          </w:p>
        </w:tc>
        <w:tc>
          <w:tcPr>
            <w:tcW w:w="768" w:type="dxa"/>
            <w:vAlign w:val="top"/>
          </w:tcPr>
          <w:p w14:paraId="587F521F">
            <w:pPr>
              <w:spacing w:line="278" w:lineRule="auto"/>
              <w:rPr>
                <w:rFonts w:ascii="Arial"/>
                <w:sz w:val="21"/>
              </w:rPr>
            </w:pPr>
          </w:p>
          <w:p w14:paraId="3DE715ED">
            <w:pPr>
              <w:spacing w:line="278" w:lineRule="auto"/>
              <w:rPr>
                <w:rFonts w:ascii="Arial"/>
                <w:sz w:val="21"/>
              </w:rPr>
            </w:pPr>
          </w:p>
          <w:p w14:paraId="348D83FB">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Align w:val="top"/>
          </w:tcPr>
          <w:p w14:paraId="1E7FB1F0">
            <w:pPr>
              <w:spacing w:line="278" w:lineRule="auto"/>
              <w:rPr>
                <w:rFonts w:ascii="Arial"/>
                <w:sz w:val="21"/>
              </w:rPr>
            </w:pPr>
          </w:p>
          <w:p w14:paraId="52C47322">
            <w:pPr>
              <w:spacing w:line="278" w:lineRule="auto"/>
              <w:rPr>
                <w:rFonts w:ascii="Arial"/>
                <w:sz w:val="21"/>
              </w:rPr>
            </w:pPr>
          </w:p>
          <w:p w14:paraId="30D731F4">
            <w:pPr>
              <w:spacing w:before="5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Align w:val="top"/>
          </w:tcPr>
          <w:p w14:paraId="2E0482C9">
            <w:pPr>
              <w:spacing w:line="278" w:lineRule="auto"/>
              <w:rPr>
                <w:rFonts w:ascii="Arial"/>
                <w:sz w:val="21"/>
              </w:rPr>
            </w:pPr>
          </w:p>
          <w:p w14:paraId="6DB7A5DE">
            <w:pPr>
              <w:spacing w:line="278" w:lineRule="auto"/>
              <w:rPr>
                <w:rFonts w:ascii="Arial"/>
                <w:sz w:val="21"/>
              </w:rPr>
            </w:pPr>
          </w:p>
          <w:p w14:paraId="4D661B4D">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Align w:val="top"/>
          </w:tcPr>
          <w:p w14:paraId="64E9E3D8">
            <w:pPr>
              <w:spacing w:line="298" w:lineRule="auto"/>
              <w:rPr>
                <w:rFonts w:ascii="Arial"/>
                <w:sz w:val="21"/>
              </w:rPr>
            </w:pPr>
          </w:p>
          <w:p w14:paraId="6501E86E">
            <w:pPr>
              <w:pStyle w:val="6"/>
              <w:spacing w:before="59" w:line="229" w:lineRule="auto"/>
              <w:ind w:left="294" w:right="106" w:hanging="167"/>
              <w:rPr>
                <w:sz w:val="18"/>
                <w:szCs w:val="18"/>
              </w:rPr>
            </w:pPr>
            <w:r>
              <w:rPr>
                <w:spacing w:val="-8"/>
                <w:sz w:val="18"/>
                <w:szCs w:val="18"/>
              </w:rPr>
              <w:t>固定倾</w:t>
            </w:r>
            <w:r>
              <w:rPr>
                <w:sz w:val="18"/>
                <w:szCs w:val="18"/>
              </w:rPr>
              <w:t xml:space="preserve"> 角</w:t>
            </w:r>
          </w:p>
          <w:p w14:paraId="0E154C32">
            <w:pPr>
              <w:spacing w:before="38"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Align w:val="top"/>
          </w:tcPr>
          <w:p w14:paraId="2452F6D7">
            <w:pPr>
              <w:spacing w:line="300" w:lineRule="auto"/>
              <w:rPr>
                <w:rFonts w:ascii="Arial"/>
                <w:sz w:val="21"/>
              </w:rPr>
            </w:pPr>
          </w:p>
          <w:p w14:paraId="0FAD005F">
            <w:pPr>
              <w:pStyle w:val="6"/>
              <w:spacing w:before="58" w:line="231"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6A686B3B">
            <w:pPr>
              <w:spacing w:line="278" w:lineRule="auto"/>
              <w:rPr>
                <w:rFonts w:ascii="Arial"/>
                <w:sz w:val="21"/>
              </w:rPr>
            </w:pPr>
          </w:p>
          <w:p w14:paraId="1BCCDC6C">
            <w:pPr>
              <w:spacing w:line="278" w:lineRule="auto"/>
              <w:rPr>
                <w:rFonts w:ascii="Arial"/>
                <w:sz w:val="21"/>
              </w:rPr>
            </w:pPr>
          </w:p>
          <w:p w14:paraId="3624D753">
            <w:pPr>
              <w:spacing w:before="52"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791" w:type="dxa"/>
            <w:vAlign w:val="top"/>
          </w:tcPr>
          <w:p w14:paraId="424155F9">
            <w:pPr>
              <w:spacing w:line="278" w:lineRule="auto"/>
              <w:rPr>
                <w:rFonts w:ascii="Arial"/>
                <w:sz w:val="21"/>
              </w:rPr>
            </w:pPr>
          </w:p>
          <w:p w14:paraId="45830229">
            <w:pPr>
              <w:spacing w:line="278" w:lineRule="auto"/>
              <w:rPr>
                <w:rFonts w:ascii="Arial"/>
                <w:sz w:val="21"/>
              </w:rPr>
            </w:pPr>
          </w:p>
          <w:p w14:paraId="52DF268A">
            <w:pPr>
              <w:spacing w:before="52" w:line="18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378</w:t>
            </w:r>
          </w:p>
        </w:tc>
        <w:tc>
          <w:tcPr>
            <w:tcW w:w="756" w:type="dxa"/>
            <w:vAlign w:val="top"/>
          </w:tcPr>
          <w:p w14:paraId="71D7032F">
            <w:pPr>
              <w:spacing w:line="278" w:lineRule="auto"/>
              <w:rPr>
                <w:rFonts w:ascii="Arial"/>
                <w:sz w:val="21"/>
              </w:rPr>
            </w:pPr>
          </w:p>
          <w:p w14:paraId="27D15CFF">
            <w:pPr>
              <w:spacing w:line="278" w:lineRule="auto"/>
              <w:rPr>
                <w:rFonts w:ascii="Arial"/>
                <w:sz w:val="21"/>
              </w:rPr>
            </w:pPr>
          </w:p>
          <w:p w14:paraId="0B67089D">
            <w:pPr>
              <w:spacing w:before="52" w:line="188" w:lineRule="auto"/>
              <w:ind w:left="340"/>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875" w:type="dxa"/>
            <w:vAlign w:val="top"/>
          </w:tcPr>
          <w:p w14:paraId="705C33E2">
            <w:pPr>
              <w:spacing w:line="278" w:lineRule="auto"/>
              <w:rPr>
                <w:rFonts w:ascii="Arial"/>
                <w:sz w:val="21"/>
              </w:rPr>
            </w:pPr>
          </w:p>
          <w:p w14:paraId="4B234BAF">
            <w:pPr>
              <w:spacing w:line="278" w:lineRule="auto"/>
              <w:rPr>
                <w:rFonts w:ascii="Arial"/>
                <w:sz w:val="21"/>
              </w:rPr>
            </w:pPr>
          </w:p>
          <w:p w14:paraId="04F8BC57">
            <w:pPr>
              <w:spacing w:before="5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2268.00</w:t>
            </w:r>
          </w:p>
        </w:tc>
        <w:tc>
          <w:tcPr>
            <w:tcW w:w="965" w:type="dxa"/>
            <w:vAlign w:val="top"/>
          </w:tcPr>
          <w:p w14:paraId="05FAA921">
            <w:pPr>
              <w:spacing w:line="278" w:lineRule="auto"/>
              <w:rPr>
                <w:rFonts w:ascii="Arial"/>
                <w:sz w:val="21"/>
              </w:rPr>
            </w:pPr>
          </w:p>
          <w:p w14:paraId="2439D3B8">
            <w:pPr>
              <w:spacing w:line="278" w:lineRule="auto"/>
              <w:rPr>
                <w:rFonts w:ascii="Arial"/>
                <w:sz w:val="21"/>
              </w:rPr>
            </w:pPr>
          </w:p>
          <w:p w14:paraId="03863EED">
            <w:pPr>
              <w:spacing w:before="52"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2268.00</w:t>
            </w:r>
          </w:p>
        </w:tc>
        <w:tc>
          <w:tcPr>
            <w:tcW w:w="754" w:type="dxa"/>
            <w:vAlign w:val="top"/>
          </w:tcPr>
          <w:p w14:paraId="4AC12A9C">
            <w:pPr>
              <w:spacing w:line="278" w:lineRule="auto"/>
              <w:rPr>
                <w:rFonts w:ascii="Arial"/>
                <w:sz w:val="21"/>
              </w:rPr>
            </w:pPr>
          </w:p>
          <w:p w14:paraId="2893C668">
            <w:pPr>
              <w:spacing w:line="278" w:lineRule="auto"/>
              <w:rPr>
                <w:rFonts w:ascii="Arial"/>
                <w:sz w:val="21"/>
              </w:rPr>
            </w:pPr>
          </w:p>
          <w:p w14:paraId="59A5E2C4">
            <w:pPr>
              <w:spacing w:before="52"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Align w:val="top"/>
          </w:tcPr>
          <w:p w14:paraId="3BFCDD37">
            <w:pPr>
              <w:spacing w:line="278" w:lineRule="auto"/>
              <w:rPr>
                <w:rFonts w:ascii="Arial"/>
                <w:sz w:val="21"/>
              </w:rPr>
            </w:pPr>
          </w:p>
          <w:p w14:paraId="105EA8A7">
            <w:pPr>
              <w:spacing w:line="278" w:lineRule="auto"/>
              <w:rPr>
                <w:rFonts w:ascii="Arial"/>
                <w:sz w:val="21"/>
              </w:rPr>
            </w:pPr>
          </w:p>
          <w:p w14:paraId="0B82E2A9">
            <w:pPr>
              <w:spacing w:before="52"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2268.00</w:t>
            </w:r>
          </w:p>
        </w:tc>
        <w:tc>
          <w:tcPr>
            <w:tcW w:w="966" w:type="dxa"/>
            <w:vAlign w:val="top"/>
          </w:tcPr>
          <w:p w14:paraId="611C8D75">
            <w:pPr>
              <w:spacing w:line="278" w:lineRule="auto"/>
              <w:rPr>
                <w:rFonts w:ascii="Arial"/>
                <w:sz w:val="21"/>
              </w:rPr>
            </w:pPr>
          </w:p>
          <w:p w14:paraId="6EFFB52F">
            <w:pPr>
              <w:spacing w:line="278" w:lineRule="auto"/>
              <w:rPr>
                <w:rFonts w:ascii="Arial"/>
                <w:sz w:val="21"/>
              </w:rPr>
            </w:pPr>
          </w:p>
          <w:p w14:paraId="4ACBC971">
            <w:pPr>
              <w:spacing w:before="52" w:line="188" w:lineRule="auto"/>
              <w:ind w:left="21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1800.00</w:t>
            </w:r>
          </w:p>
        </w:tc>
        <w:tc>
          <w:tcPr>
            <w:tcW w:w="1089" w:type="dxa"/>
            <w:tcBorders>
              <w:right w:val="single" w:color="000000" w:sz="6" w:space="0"/>
            </w:tcBorders>
            <w:vAlign w:val="top"/>
          </w:tcPr>
          <w:p w14:paraId="6A583782">
            <w:pPr>
              <w:spacing w:line="453" w:lineRule="auto"/>
              <w:rPr>
                <w:rFonts w:ascii="Arial"/>
                <w:sz w:val="21"/>
              </w:rPr>
            </w:pPr>
          </w:p>
          <w:p w14:paraId="7911338F">
            <w:pPr>
              <w:spacing w:before="52" w:line="188" w:lineRule="auto"/>
              <w:ind w:left="41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p w14:paraId="5DE16F03">
            <w:pPr>
              <w:spacing w:before="41" w:line="188" w:lineRule="auto"/>
              <w:ind w:left="40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00</w:t>
            </w:r>
          </w:p>
        </w:tc>
      </w:tr>
      <w:tr w14:paraId="51720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540" w:type="dxa"/>
            <w:vMerge w:val="continue"/>
            <w:tcBorders>
              <w:top w:val="nil"/>
              <w:left w:val="single" w:color="000000" w:sz="6" w:space="0"/>
              <w:bottom w:val="nil"/>
            </w:tcBorders>
            <w:vAlign w:val="top"/>
          </w:tcPr>
          <w:p w14:paraId="380E6139">
            <w:pPr>
              <w:rPr>
                <w:rFonts w:ascii="Arial"/>
                <w:sz w:val="21"/>
              </w:rPr>
            </w:pPr>
          </w:p>
        </w:tc>
        <w:tc>
          <w:tcPr>
            <w:tcW w:w="113" w:type="dxa"/>
            <w:vMerge w:val="continue"/>
            <w:tcBorders>
              <w:top w:val="nil"/>
              <w:bottom w:val="nil"/>
            </w:tcBorders>
            <w:vAlign w:val="top"/>
          </w:tcPr>
          <w:p w14:paraId="49791A68">
            <w:pPr>
              <w:rPr>
                <w:rFonts w:ascii="Arial"/>
                <w:sz w:val="21"/>
              </w:rPr>
            </w:pPr>
          </w:p>
        </w:tc>
        <w:tc>
          <w:tcPr>
            <w:tcW w:w="757" w:type="dxa"/>
            <w:vMerge w:val="restart"/>
            <w:tcBorders>
              <w:bottom w:val="nil"/>
            </w:tcBorders>
            <w:vAlign w:val="top"/>
          </w:tcPr>
          <w:p w14:paraId="0C71C980">
            <w:pPr>
              <w:spacing w:line="419" w:lineRule="auto"/>
              <w:rPr>
                <w:rFonts w:ascii="Arial"/>
                <w:sz w:val="21"/>
              </w:rPr>
            </w:pPr>
          </w:p>
          <w:p w14:paraId="03F91579">
            <w:pPr>
              <w:pStyle w:val="6"/>
              <w:spacing w:before="59" w:line="231" w:lineRule="auto"/>
              <w:ind w:left="299" w:right="202" w:hanging="102"/>
              <w:rPr>
                <w:rFonts w:ascii="Times New Roman" w:hAnsi="Times New Roman" w:eastAsia="Times New Roman" w:cs="Times New Roman"/>
                <w:sz w:val="18"/>
                <w:szCs w:val="18"/>
              </w:rPr>
            </w:pPr>
            <w:r>
              <w:rPr>
                <w:spacing w:val="-4"/>
                <w:sz w:val="18"/>
                <w:szCs w:val="18"/>
              </w:rPr>
              <w:t>地块</w:t>
            </w:r>
            <w:r>
              <w:rPr>
                <w:sz w:val="18"/>
                <w:szCs w:val="18"/>
              </w:rPr>
              <w:t xml:space="preserve"> </w:t>
            </w:r>
            <w:r>
              <w:rPr>
                <w:rFonts w:ascii="Times New Roman" w:hAnsi="Times New Roman" w:eastAsia="Times New Roman" w:cs="Times New Roman"/>
                <w:spacing w:val="-10"/>
                <w:sz w:val="18"/>
                <w:szCs w:val="18"/>
              </w:rPr>
              <w:t>13</w:t>
            </w:r>
          </w:p>
        </w:tc>
        <w:tc>
          <w:tcPr>
            <w:tcW w:w="757" w:type="dxa"/>
            <w:vMerge w:val="restart"/>
            <w:tcBorders>
              <w:bottom w:val="nil"/>
            </w:tcBorders>
            <w:vAlign w:val="top"/>
          </w:tcPr>
          <w:p w14:paraId="270B8033">
            <w:pPr>
              <w:pStyle w:val="6"/>
              <w:spacing w:before="37" w:line="233" w:lineRule="auto"/>
              <w:ind w:left="107" w:right="111" w:hanging="9"/>
              <w:jc w:val="both"/>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r>
              <w:rPr>
                <w:sz w:val="18"/>
                <w:szCs w:val="18"/>
              </w:rPr>
              <w:t xml:space="preserve"> </w:t>
            </w:r>
            <w:r>
              <w:rPr>
                <w:spacing w:val="-3"/>
                <w:sz w:val="18"/>
                <w:szCs w:val="18"/>
              </w:rPr>
              <w:t>晶双面</w:t>
            </w:r>
            <w:r>
              <w:rPr>
                <w:sz w:val="18"/>
                <w:szCs w:val="18"/>
              </w:rPr>
              <w:t xml:space="preserve"> </w:t>
            </w:r>
            <w:r>
              <w:rPr>
                <w:spacing w:val="-4"/>
                <w:sz w:val="18"/>
                <w:szCs w:val="18"/>
              </w:rPr>
              <w:t>双玻</w:t>
            </w:r>
          </w:p>
          <w:p w14:paraId="7E8952C5">
            <w:pPr>
              <w:spacing w:before="240" w:line="206" w:lineRule="auto"/>
              <w:ind w:left="281" w:right="230" w:hanging="1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1"/>
                <w:sz w:val="18"/>
                <w:szCs w:val="18"/>
              </w:rPr>
              <w:t>V)</w:t>
            </w:r>
          </w:p>
        </w:tc>
        <w:tc>
          <w:tcPr>
            <w:tcW w:w="768" w:type="dxa"/>
            <w:vMerge w:val="restart"/>
            <w:tcBorders>
              <w:bottom w:val="nil"/>
            </w:tcBorders>
            <w:vAlign w:val="top"/>
          </w:tcPr>
          <w:p w14:paraId="12FBC353">
            <w:pPr>
              <w:spacing w:line="279" w:lineRule="auto"/>
              <w:rPr>
                <w:rFonts w:ascii="Arial"/>
                <w:sz w:val="21"/>
              </w:rPr>
            </w:pPr>
          </w:p>
          <w:p w14:paraId="55330EB8">
            <w:pPr>
              <w:spacing w:line="280" w:lineRule="auto"/>
              <w:rPr>
                <w:rFonts w:ascii="Arial"/>
                <w:sz w:val="21"/>
              </w:rPr>
            </w:pPr>
          </w:p>
          <w:p w14:paraId="5034A1A9">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09CA165F">
            <w:pPr>
              <w:spacing w:line="279" w:lineRule="auto"/>
              <w:rPr>
                <w:rFonts w:ascii="Arial"/>
                <w:sz w:val="21"/>
              </w:rPr>
            </w:pPr>
          </w:p>
          <w:p w14:paraId="52C0BDC5">
            <w:pPr>
              <w:spacing w:line="280" w:lineRule="auto"/>
              <w:rPr>
                <w:rFonts w:ascii="Arial"/>
                <w:sz w:val="21"/>
              </w:rPr>
            </w:pPr>
          </w:p>
          <w:p w14:paraId="7BACB708">
            <w:pPr>
              <w:spacing w:before="5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69095760">
            <w:pPr>
              <w:spacing w:line="279" w:lineRule="auto"/>
              <w:rPr>
                <w:rFonts w:ascii="Arial"/>
                <w:sz w:val="21"/>
              </w:rPr>
            </w:pPr>
          </w:p>
          <w:p w14:paraId="73D03D95">
            <w:pPr>
              <w:spacing w:line="280" w:lineRule="auto"/>
              <w:rPr>
                <w:rFonts w:ascii="Arial"/>
                <w:sz w:val="21"/>
              </w:rPr>
            </w:pPr>
          </w:p>
          <w:p w14:paraId="32136FE0">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33F8D91C">
            <w:pPr>
              <w:spacing w:line="301" w:lineRule="auto"/>
              <w:rPr>
                <w:rFonts w:ascii="Arial"/>
                <w:sz w:val="21"/>
              </w:rPr>
            </w:pPr>
          </w:p>
          <w:p w14:paraId="3FE28636">
            <w:pPr>
              <w:pStyle w:val="6"/>
              <w:spacing w:before="59" w:line="229" w:lineRule="auto"/>
              <w:ind w:left="294" w:right="106" w:hanging="167"/>
              <w:rPr>
                <w:sz w:val="18"/>
                <w:szCs w:val="18"/>
              </w:rPr>
            </w:pPr>
            <w:r>
              <w:rPr>
                <w:spacing w:val="-8"/>
                <w:sz w:val="18"/>
                <w:szCs w:val="18"/>
              </w:rPr>
              <w:t>固定倾</w:t>
            </w:r>
            <w:r>
              <w:rPr>
                <w:sz w:val="18"/>
                <w:szCs w:val="18"/>
              </w:rPr>
              <w:t xml:space="preserve"> 角</w:t>
            </w:r>
          </w:p>
          <w:p w14:paraId="00FCDFAE">
            <w:pPr>
              <w:spacing w:before="36"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20A6BA7D">
            <w:pPr>
              <w:spacing w:line="302" w:lineRule="auto"/>
              <w:rPr>
                <w:rFonts w:ascii="Arial"/>
                <w:sz w:val="21"/>
              </w:rPr>
            </w:pPr>
          </w:p>
          <w:p w14:paraId="3E371575">
            <w:pPr>
              <w:pStyle w:val="6"/>
              <w:spacing w:before="59" w:line="230"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6700DC2E">
            <w:pPr>
              <w:spacing w:before="55" w:line="170"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tc>
        <w:tc>
          <w:tcPr>
            <w:tcW w:w="791" w:type="dxa"/>
            <w:vAlign w:val="top"/>
          </w:tcPr>
          <w:p w14:paraId="0026BA7A">
            <w:pPr>
              <w:spacing w:before="55" w:line="170"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332.64</w:t>
            </w:r>
          </w:p>
        </w:tc>
        <w:tc>
          <w:tcPr>
            <w:tcW w:w="756" w:type="dxa"/>
            <w:vAlign w:val="top"/>
          </w:tcPr>
          <w:p w14:paraId="5D559652">
            <w:pPr>
              <w:spacing w:before="57" w:line="167" w:lineRule="auto"/>
              <w:ind w:left="339"/>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875" w:type="dxa"/>
            <w:vAlign w:val="top"/>
          </w:tcPr>
          <w:p w14:paraId="07E06193">
            <w:pPr>
              <w:spacing w:before="55" w:line="170"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2328.48</w:t>
            </w:r>
          </w:p>
        </w:tc>
        <w:tc>
          <w:tcPr>
            <w:tcW w:w="965" w:type="dxa"/>
            <w:vAlign w:val="top"/>
          </w:tcPr>
          <w:p w14:paraId="14B4AA4C">
            <w:pPr>
              <w:spacing w:before="55" w:line="170"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2328.48</w:t>
            </w:r>
          </w:p>
        </w:tc>
        <w:tc>
          <w:tcPr>
            <w:tcW w:w="754" w:type="dxa"/>
            <w:vAlign w:val="top"/>
          </w:tcPr>
          <w:p w14:paraId="7F59265D">
            <w:pPr>
              <w:spacing w:before="55" w:line="170"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restart"/>
            <w:tcBorders>
              <w:bottom w:val="nil"/>
            </w:tcBorders>
            <w:vAlign w:val="top"/>
          </w:tcPr>
          <w:p w14:paraId="5BA9C6C4">
            <w:pPr>
              <w:spacing w:before="55" w:line="188" w:lineRule="auto"/>
              <w:ind w:left="2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3371.76</w:t>
            </w:r>
          </w:p>
        </w:tc>
        <w:tc>
          <w:tcPr>
            <w:tcW w:w="966" w:type="dxa"/>
            <w:vAlign w:val="top"/>
          </w:tcPr>
          <w:p w14:paraId="1C893D98">
            <w:pPr>
              <w:spacing w:before="55" w:line="170"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2100.00</w:t>
            </w:r>
          </w:p>
        </w:tc>
        <w:tc>
          <w:tcPr>
            <w:tcW w:w="1089" w:type="dxa"/>
            <w:vMerge w:val="restart"/>
            <w:tcBorders>
              <w:bottom w:val="nil"/>
              <w:right w:val="single" w:color="000000" w:sz="6" w:space="0"/>
            </w:tcBorders>
            <w:vAlign w:val="top"/>
          </w:tcPr>
          <w:p w14:paraId="518F695E">
            <w:pPr>
              <w:spacing w:before="55" w:line="188" w:lineRule="auto"/>
              <w:ind w:left="3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3000</w:t>
            </w:r>
          </w:p>
        </w:tc>
      </w:tr>
      <w:tr w14:paraId="7572F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540" w:type="dxa"/>
            <w:vMerge w:val="continue"/>
            <w:tcBorders>
              <w:top w:val="nil"/>
              <w:left w:val="single" w:color="000000" w:sz="6" w:space="0"/>
              <w:bottom w:val="nil"/>
            </w:tcBorders>
            <w:vAlign w:val="top"/>
          </w:tcPr>
          <w:p w14:paraId="6557A51D">
            <w:pPr>
              <w:rPr>
                <w:rFonts w:ascii="Arial"/>
                <w:sz w:val="21"/>
              </w:rPr>
            </w:pPr>
          </w:p>
        </w:tc>
        <w:tc>
          <w:tcPr>
            <w:tcW w:w="113" w:type="dxa"/>
            <w:vMerge w:val="continue"/>
            <w:tcBorders>
              <w:top w:val="nil"/>
              <w:bottom w:val="nil"/>
            </w:tcBorders>
            <w:vAlign w:val="top"/>
          </w:tcPr>
          <w:p w14:paraId="65F548E6">
            <w:pPr>
              <w:rPr>
                <w:rFonts w:ascii="Arial"/>
                <w:sz w:val="21"/>
              </w:rPr>
            </w:pPr>
          </w:p>
        </w:tc>
        <w:tc>
          <w:tcPr>
            <w:tcW w:w="757" w:type="dxa"/>
            <w:vMerge w:val="continue"/>
            <w:tcBorders>
              <w:top w:val="nil"/>
            </w:tcBorders>
            <w:vAlign w:val="top"/>
          </w:tcPr>
          <w:p w14:paraId="59B95230">
            <w:pPr>
              <w:rPr>
                <w:rFonts w:ascii="Arial"/>
                <w:sz w:val="21"/>
              </w:rPr>
            </w:pPr>
          </w:p>
        </w:tc>
        <w:tc>
          <w:tcPr>
            <w:tcW w:w="757" w:type="dxa"/>
            <w:vMerge w:val="continue"/>
            <w:tcBorders>
              <w:top w:val="nil"/>
            </w:tcBorders>
            <w:vAlign w:val="top"/>
          </w:tcPr>
          <w:p w14:paraId="26792928">
            <w:pPr>
              <w:rPr>
                <w:rFonts w:ascii="Arial"/>
                <w:sz w:val="21"/>
              </w:rPr>
            </w:pPr>
          </w:p>
        </w:tc>
        <w:tc>
          <w:tcPr>
            <w:tcW w:w="768" w:type="dxa"/>
            <w:vMerge w:val="continue"/>
            <w:tcBorders>
              <w:top w:val="nil"/>
            </w:tcBorders>
            <w:vAlign w:val="top"/>
          </w:tcPr>
          <w:p w14:paraId="4E9D2A0F">
            <w:pPr>
              <w:rPr>
                <w:rFonts w:ascii="Arial"/>
                <w:sz w:val="21"/>
              </w:rPr>
            </w:pPr>
          </w:p>
        </w:tc>
        <w:tc>
          <w:tcPr>
            <w:tcW w:w="756" w:type="dxa"/>
            <w:vMerge w:val="continue"/>
            <w:tcBorders>
              <w:top w:val="nil"/>
            </w:tcBorders>
            <w:vAlign w:val="top"/>
          </w:tcPr>
          <w:p w14:paraId="2099431E">
            <w:pPr>
              <w:rPr>
                <w:rFonts w:ascii="Arial"/>
                <w:sz w:val="21"/>
              </w:rPr>
            </w:pPr>
          </w:p>
        </w:tc>
        <w:tc>
          <w:tcPr>
            <w:tcW w:w="798" w:type="dxa"/>
            <w:vMerge w:val="continue"/>
            <w:tcBorders>
              <w:top w:val="nil"/>
            </w:tcBorders>
            <w:vAlign w:val="top"/>
          </w:tcPr>
          <w:p w14:paraId="3C584571">
            <w:pPr>
              <w:rPr>
                <w:rFonts w:ascii="Arial"/>
                <w:sz w:val="21"/>
              </w:rPr>
            </w:pPr>
          </w:p>
        </w:tc>
        <w:tc>
          <w:tcPr>
            <w:tcW w:w="757" w:type="dxa"/>
            <w:vMerge w:val="continue"/>
            <w:tcBorders>
              <w:top w:val="nil"/>
            </w:tcBorders>
            <w:vAlign w:val="top"/>
          </w:tcPr>
          <w:p w14:paraId="7235107C">
            <w:pPr>
              <w:rPr>
                <w:rFonts w:ascii="Arial"/>
                <w:sz w:val="21"/>
              </w:rPr>
            </w:pPr>
          </w:p>
        </w:tc>
        <w:tc>
          <w:tcPr>
            <w:tcW w:w="758" w:type="dxa"/>
            <w:vMerge w:val="continue"/>
            <w:tcBorders>
              <w:top w:val="nil"/>
            </w:tcBorders>
            <w:vAlign w:val="top"/>
          </w:tcPr>
          <w:p w14:paraId="5A98D53D">
            <w:pPr>
              <w:rPr>
                <w:rFonts w:ascii="Arial"/>
                <w:sz w:val="21"/>
              </w:rPr>
            </w:pPr>
          </w:p>
        </w:tc>
        <w:tc>
          <w:tcPr>
            <w:tcW w:w="814" w:type="dxa"/>
            <w:vAlign w:val="top"/>
          </w:tcPr>
          <w:p w14:paraId="6456F417">
            <w:pPr>
              <w:spacing w:line="451" w:lineRule="auto"/>
              <w:rPr>
                <w:rFonts w:ascii="Arial"/>
                <w:sz w:val="21"/>
              </w:rPr>
            </w:pPr>
          </w:p>
          <w:p w14:paraId="3398BD17">
            <w:pPr>
              <w:spacing w:before="51"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tc>
        <w:tc>
          <w:tcPr>
            <w:tcW w:w="791" w:type="dxa"/>
            <w:vAlign w:val="top"/>
          </w:tcPr>
          <w:p w14:paraId="039D8CF9">
            <w:pPr>
              <w:spacing w:line="451" w:lineRule="auto"/>
              <w:rPr>
                <w:rFonts w:ascii="Arial"/>
                <w:sz w:val="21"/>
              </w:rPr>
            </w:pPr>
          </w:p>
          <w:p w14:paraId="37909053">
            <w:pPr>
              <w:spacing w:before="51"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347.76</w:t>
            </w:r>
          </w:p>
        </w:tc>
        <w:tc>
          <w:tcPr>
            <w:tcW w:w="756" w:type="dxa"/>
            <w:vAlign w:val="top"/>
          </w:tcPr>
          <w:p w14:paraId="100A0C95">
            <w:pPr>
              <w:spacing w:line="451" w:lineRule="auto"/>
              <w:rPr>
                <w:rFonts w:ascii="Arial"/>
                <w:sz w:val="21"/>
              </w:rPr>
            </w:pPr>
          </w:p>
          <w:p w14:paraId="32FA6B7A">
            <w:pPr>
              <w:spacing w:before="51" w:line="188" w:lineRule="auto"/>
              <w:ind w:left="34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875" w:type="dxa"/>
            <w:vAlign w:val="top"/>
          </w:tcPr>
          <w:p w14:paraId="0BC533A9">
            <w:pPr>
              <w:spacing w:line="451" w:lineRule="auto"/>
              <w:rPr>
                <w:rFonts w:ascii="Arial"/>
                <w:sz w:val="21"/>
              </w:rPr>
            </w:pPr>
          </w:p>
          <w:p w14:paraId="4C308AB9">
            <w:pPr>
              <w:spacing w:before="51"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1043.28</w:t>
            </w:r>
          </w:p>
        </w:tc>
        <w:tc>
          <w:tcPr>
            <w:tcW w:w="965" w:type="dxa"/>
            <w:vAlign w:val="top"/>
          </w:tcPr>
          <w:p w14:paraId="56D75FA0">
            <w:pPr>
              <w:spacing w:before="56"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1043.28</w:t>
            </w:r>
          </w:p>
        </w:tc>
        <w:tc>
          <w:tcPr>
            <w:tcW w:w="754" w:type="dxa"/>
            <w:vAlign w:val="top"/>
          </w:tcPr>
          <w:p w14:paraId="07B808D9">
            <w:pPr>
              <w:spacing w:before="56"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continue"/>
            <w:tcBorders>
              <w:top w:val="nil"/>
            </w:tcBorders>
            <w:vAlign w:val="top"/>
          </w:tcPr>
          <w:p w14:paraId="19115883">
            <w:pPr>
              <w:rPr>
                <w:rFonts w:ascii="Arial"/>
                <w:sz w:val="21"/>
              </w:rPr>
            </w:pPr>
          </w:p>
        </w:tc>
        <w:tc>
          <w:tcPr>
            <w:tcW w:w="966" w:type="dxa"/>
            <w:vAlign w:val="top"/>
          </w:tcPr>
          <w:p w14:paraId="219FF739">
            <w:pPr>
              <w:spacing w:before="56" w:line="188"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900.00</w:t>
            </w:r>
          </w:p>
        </w:tc>
        <w:tc>
          <w:tcPr>
            <w:tcW w:w="1089" w:type="dxa"/>
            <w:vMerge w:val="continue"/>
            <w:tcBorders>
              <w:top w:val="nil"/>
              <w:right w:val="single" w:color="000000" w:sz="6" w:space="0"/>
            </w:tcBorders>
            <w:vAlign w:val="top"/>
          </w:tcPr>
          <w:p w14:paraId="640B25FF">
            <w:pPr>
              <w:rPr>
                <w:rFonts w:ascii="Arial"/>
                <w:sz w:val="21"/>
              </w:rPr>
            </w:pPr>
          </w:p>
        </w:tc>
      </w:tr>
      <w:tr w14:paraId="2E06C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540" w:type="dxa"/>
            <w:vMerge w:val="continue"/>
            <w:tcBorders>
              <w:top w:val="nil"/>
              <w:left w:val="single" w:color="000000" w:sz="6" w:space="0"/>
              <w:bottom w:val="nil"/>
            </w:tcBorders>
            <w:vAlign w:val="top"/>
          </w:tcPr>
          <w:p w14:paraId="4BAEA944">
            <w:pPr>
              <w:rPr>
                <w:rFonts w:ascii="Arial"/>
                <w:sz w:val="21"/>
              </w:rPr>
            </w:pPr>
          </w:p>
        </w:tc>
        <w:tc>
          <w:tcPr>
            <w:tcW w:w="113" w:type="dxa"/>
            <w:vMerge w:val="continue"/>
            <w:tcBorders>
              <w:top w:val="nil"/>
              <w:bottom w:val="nil"/>
            </w:tcBorders>
            <w:vAlign w:val="top"/>
          </w:tcPr>
          <w:p w14:paraId="56F3E96F">
            <w:pPr>
              <w:rPr>
                <w:rFonts w:ascii="Arial"/>
                <w:sz w:val="21"/>
              </w:rPr>
            </w:pPr>
          </w:p>
        </w:tc>
        <w:tc>
          <w:tcPr>
            <w:tcW w:w="757" w:type="dxa"/>
            <w:vMerge w:val="restart"/>
            <w:tcBorders>
              <w:bottom w:val="nil"/>
            </w:tcBorders>
            <w:vAlign w:val="top"/>
          </w:tcPr>
          <w:p w14:paraId="255EEFE2">
            <w:pPr>
              <w:pStyle w:val="6"/>
              <w:spacing w:before="170" w:line="231" w:lineRule="auto"/>
              <w:ind w:left="299" w:right="202" w:hanging="102"/>
              <w:rPr>
                <w:rFonts w:ascii="Times New Roman" w:hAnsi="Times New Roman" w:eastAsia="Times New Roman" w:cs="Times New Roman"/>
                <w:sz w:val="18"/>
                <w:szCs w:val="18"/>
              </w:rPr>
            </w:pPr>
            <w:r>
              <w:rPr>
                <w:spacing w:val="-4"/>
                <w:sz w:val="18"/>
                <w:szCs w:val="18"/>
              </w:rPr>
              <w:t>地块</w:t>
            </w:r>
            <w:r>
              <w:rPr>
                <w:sz w:val="18"/>
                <w:szCs w:val="18"/>
              </w:rPr>
              <w:t xml:space="preserve"> </w:t>
            </w:r>
            <w:r>
              <w:rPr>
                <w:rFonts w:ascii="Times New Roman" w:hAnsi="Times New Roman" w:eastAsia="Times New Roman" w:cs="Times New Roman"/>
                <w:spacing w:val="-10"/>
                <w:sz w:val="18"/>
                <w:szCs w:val="18"/>
              </w:rPr>
              <w:t>14</w:t>
            </w:r>
          </w:p>
        </w:tc>
        <w:tc>
          <w:tcPr>
            <w:tcW w:w="757" w:type="dxa"/>
            <w:vMerge w:val="restart"/>
            <w:tcBorders>
              <w:bottom w:val="nil"/>
            </w:tcBorders>
            <w:vAlign w:val="top"/>
          </w:tcPr>
          <w:p w14:paraId="3F004DA5">
            <w:pPr>
              <w:pStyle w:val="6"/>
              <w:spacing w:before="39" w:line="233" w:lineRule="auto"/>
              <w:ind w:left="107" w:right="111" w:hanging="9"/>
              <w:jc w:val="both"/>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r>
              <w:rPr>
                <w:sz w:val="18"/>
                <w:szCs w:val="18"/>
              </w:rPr>
              <w:t xml:space="preserve"> </w:t>
            </w:r>
            <w:r>
              <w:rPr>
                <w:spacing w:val="-3"/>
                <w:sz w:val="18"/>
                <w:szCs w:val="18"/>
              </w:rPr>
              <w:t>晶双面</w:t>
            </w:r>
            <w:r>
              <w:rPr>
                <w:sz w:val="18"/>
                <w:szCs w:val="18"/>
              </w:rPr>
              <w:t xml:space="preserve"> </w:t>
            </w:r>
            <w:r>
              <w:rPr>
                <w:spacing w:val="-4"/>
                <w:sz w:val="18"/>
                <w:szCs w:val="18"/>
              </w:rPr>
              <w:t>双玻</w:t>
            </w:r>
          </w:p>
        </w:tc>
        <w:tc>
          <w:tcPr>
            <w:tcW w:w="768" w:type="dxa"/>
            <w:vMerge w:val="restart"/>
            <w:tcBorders>
              <w:bottom w:val="nil"/>
            </w:tcBorders>
            <w:vAlign w:val="top"/>
          </w:tcPr>
          <w:p w14:paraId="4FA13257">
            <w:pPr>
              <w:spacing w:line="251" w:lineRule="auto"/>
              <w:rPr>
                <w:rFonts w:ascii="Arial"/>
                <w:sz w:val="21"/>
              </w:rPr>
            </w:pPr>
          </w:p>
          <w:p w14:paraId="7326A888">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5FE1EF9A">
            <w:pPr>
              <w:spacing w:line="251" w:lineRule="auto"/>
              <w:rPr>
                <w:rFonts w:ascii="Arial"/>
                <w:sz w:val="21"/>
              </w:rPr>
            </w:pPr>
          </w:p>
          <w:p w14:paraId="03015746">
            <w:pPr>
              <w:spacing w:before="5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63612B98">
            <w:pPr>
              <w:spacing w:line="251" w:lineRule="auto"/>
              <w:rPr>
                <w:rFonts w:ascii="Arial"/>
                <w:sz w:val="21"/>
              </w:rPr>
            </w:pPr>
          </w:p>
          <w:p w14:paraId="59EC3AA3">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0DDD7906">
            <w:pPr>
              <w:pStyle w:val="6"/>
              <w:spacing w:before="51" w:line="229" w:lineRule="auto"/>
              <w:ind w:left="294" w:right="106" w:hanging="167"/>
              <w:rPr>
                <w:sz w:val="18"/>
                <w:szCs w:val="18"/>
              </w:rPr>
            </w:pPr>
            <w:r>
              <w:rPr>
                <w:spacing w:val="-8"/>
                <w:sz w:val="18"/>
                <w:szCs w:val="18"/>
              </w:rPr>
              <w:t>固定倾</w:t>
            </w:r>
            <w:r>
              <w:rPr>
                <w:sz w:val="18"/>
                <w:szCs w:val="18"/>
              </w:rPr>
              <w:t xml:space="preserve"> 角</w:t>
            </w:r>
          </w:p>
          <w:p w14:paraId="00D05E48">
            <w:pPr>
              <w:spacing w:before="38"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4EB032C0">
            <w:pPr>
              <w:pStyle w:val="6"/>
              <w:spacing w:before="53" w:line="231"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53C53DB2">
            <w:pPr>
              <w:spacing w:before="57" w:line="16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c>
        <w:tc>
          <w:tcPr>
            <w:tcW w:w="791" w:type="dxa"/>
            <w:vAlign w:val="top"/>
          </w:tcPr>
          <w:p w14:paraId="711E4403">
            <w:pPr>
              <w:spacing w:before="57" w:line="168" w:lineRule="auto"/>
              <w:ind w:left="2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378</w:t>
            </w:r>
          </w:p>
        </w:tc>
        <w:tc>
          <w:tcPr>
            <w:tcW w:w="756" w:type="dxa"/>
            <w:vAlign w:val="top"/>
          </w:tcPr>
          <w:p w14:paraId="1E4803ED">
            <w:pPr>
              <w:spacing w:before="59" w:line="165" w:lineRule="auto"/>
              <w:ind w:left="341"/>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875" w:type="dxa"/>
            <w:vAlign w:val="top"/>
          </w:tcPr>
          <w:p w14:paraId="52E1EB61">
            <w:pPr>
              <w:spacing w:before="57" w:line="16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1890.00</w:t>
            </w:r>
          </w:p>
        </w:tc>
        <w:tc>
          <w:tcPr>
            <w:tcW w:w="965" w:type="dxa"/>
            <w:vMerge w:val="restart"/>
            <w:tcBorders>
              <w:bottom w:val="nil"/>
            </w:tcBorders>
            <w:vAlign w:val="top"/>
          </w:tcPr>
          <w:p w14:paraId="6FFFA1EB">
            <w:pPr>
              <w:spacing w:line="251" w:lineRule="auto"/>
              <w:rPr>
                <w:rFonts w:ascii="Arial"/>
                <w:sz w:val="21"/>
              </w:rPr>
            </w:pPr>
          </w:p>
          <w:p w14:paraId="4C0F3F09">
            <w:pPr>
              <w:spacing w:before="52"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2283.</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sz w:val="18"/>
                <w:szCs w:val="18"/>
              </w:rPr>
              <w:t>12</w:t>
            </w:r>
          </w:p>
        </w:tc>
        <w:tc>
          <w:tcPr>
            <w:tcW w:w="754" w:type="dxa"/>
            <w:vMerge w:val="restart"/>
            <w:tcBorders>
              <w:bottom w:val="nil"/>
            </w:tcBorders>
            <w:vAlign w:val="top"/>
          </w:tcPr>
          <w:p w14:paraId="4CBED3CF">
            <w:pPr>
              <w:spacing w:line="251" w:lineRule="auto"/>
              <w:rPr>
                <w:rFonts w:ascii="Arial"/>
                <w:sz w:val="21"/>
              </w:rPr>
            </w:pPr>
          </w:p>
          <w:p w14:paraId="2FE2BFF0">
            <w:pPr>
              <w:spacing w:before="52"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Merge w:val="restart"/>
            <w:tcBorders>
              <w:bottom w:val="nil"/>
            </w:tcBorders>
            <w:vAlign w:val="top"/>
          </w:tcPr>
          <w:p w14:paraId="55E12088">
            <w:pPr>
              <w:spacing w:line="251" w:lineRule="auto"/>
              <w:rPr>
                <w:rFonts w:ascii="Arial"/>
                <w:sz w:val="21"/>
              </w:rPr>
            </w:pPr>
          </w:p>
          <w:p w14:paraId="412C7496">
            <w:pPr>
              <w:spacing w:before="52"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2283.</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4"/>
                <w:sz w:val="18"/>
                <w:szCs w:val="18"/>
              </w:rPr>
              <w:t>12</w:t>
            </w:r>
          </w:p>
        </w:tc>
        <w:tc>
          <w:tcPr>
            <w:tcW w:w="966" w:type="dxa"/>
            <w:vMerge w:val="restart"/>
            <w:tcBorders>
              <w:bottom w:val="nil"/>
            </w:tcBorders>
            <w:vAlign w:val="top"/>
          </w:tcPr>
          <w:p w14:paraId="2BEDA915">
            <w:pPr>
              <w:spacing w:line="251" w:lineRule="auto"/>
              <w:rPr>
                <w:rFonts w:ascii="Arial"/>
                <w:sz w:val="21"/>
              </w:rPr>
            </w:pPr>
          </w:p>
          <w:p w14:paraId="397265F4">
            <w:pPr>
              <w:spacing w:before="52" w:line="188" w:lineRule="auto"/>
              <w:ind w:left="21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1800.00</w:t>
            </w:r>
          </w:p>
        </w:tc>
        <w:tc>
          <w:tcPr>
            <w:tcW w:w="1089" w:type="dxa"/>
            <w:vMerge w:val="restart"/>
            <w:tcBorders>
              <w:bottom w:val="nil"/>
              <w:right w:val="single" w:color="000000" w:sz="6" w:space="0"/>
            </w:tcBorders>
            <w:vAlign w:val="top"/>
          </w:tcPr>
          <w:p w14:paraId="0DE2FABB">
            <w:pPr>
              <w:spacing w:line="251" w:lineRule="auto"/>
              <w:rPr>
                <w:rFonts w:ascii="Arial"/>
                <w:sz w:val="21"/>
              </w:rPr>
            </w:pPr>
          </w:p>
          <w:p w14:paraId="198E9A6F">
            <w:pPr>
              <w:spacing w:before="52" w:line="188" w:lineRule="auto"/>
              <w:ind w:left="32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1800</w:t>
            </w:r>
          </w:p>
        </w:tc>
      </w:tr>
      <w:tr w14:paraId="035D3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40" w:type="dxa"/>
            <w:vMerge w:val="continue"/>
            <w:tcBorders>
              <w:top w:val="nil"/>
              <w:left w:val="single" w:color="000000" w:sz="6" w:space="0"/>
              <w:bottom w:val="single" w:color="000000" w:sz="6" w:space="0"/>
            </w:tcBorders>
            <w:vAlign w:val="top"/>
          </w:tcPr>
          <w:p w14:paraId="530BC5DD">
            <w:pPr>
              <w:rPr>
                <w:rFonts w:ascii="Arial"/>
                <w:sz w:val="21"/>
              </w:rPr>
            </w:pPr>
          </w:p>
        </w:tc>
        <w:tc>
          <w:tcPr>
            <w:tcW w:w="113" w:type="dxa"/>
            <w:vMerge w:val="continue"/>
            <w:tcBorders>
              <w:top w:val="nil"/>
              <w:bottom w:val="single" w:color="000000" w:sz="6" w:space="0"/>
            </w:tcBorders>
            <w:vAlign w:val="top"/>
          </w:tcPr>
          <w:p w14:paraId="4A802289">
            <w:pPr>
              <w:rPr>
                <w:rFonts w:ascii="Arial"/>
                <w:sz w:val="21"/>
              </w:rPr>
            </w:pPr>
          </w:p>
        </w:tc>
        <w:tc>
          <w:tcPr>
            <w:tcW w:w="757" w:type="dxa"/>
            <w:vMerge w:val="continue"/>
            <w:tcBorders>
              <w:top w:val="nil"/>
              <w:bottom w:val="single" w:color="000000" w:sz="6" w:space="0"/>
            </w:tcBorders>
            <w:vAlign w:val="top"/>
          </w:tcPr>
          <w:p w14:paraId="10135818">
            <w:pPr>
              <w:rPr>
                <w:rFonts w:ascii="Arial"/>
                <w:sz w:val="21"/>
              </w:rPr>
            </w:pPr>
          </w:p>
        </w:tc>
        <w:tc>
          <w:tcPr>
            <w:tcW w:w="757" w:type="dxa"/>
            <w:vMerge w:val="continue"/>
            <w:tcBorders>
              <w:top w:val="nil"/>
              <w:bottom w:val="single" w:color="000000" w:sz="6" w:space="0"/>
            </w:tcBorders>
            <w:vAlign w:val="top"/>
          </w:tcPr>
          <w:p w14:paraId="1D2E7B3D">
            <w:pPr>
              <w:rPr>
                <w:rFonts w:ascii="Arial"/>
                <w:sz w:val="21"/>
              </w:rPr>
            </w:pPr>
          </w:p>
        </w:tc>
        <w:tc>
          <w:tcPr>
            <w:tcW w:w="768" w:type="dxa"/>
            <w:vMerge w:val="continue"/>
            <w:tcBorders>
              <w:top w:val="nil"/>
              <w:bottom w:val="single" w:color="000000" w:sz="6" w:space="0"/>
            </w:tcBorders>
            <w:vAlign w:val="top"/>
          </w:tcPr>
          <w:p w14:paraId="06AA47D2">
            <w:pPr>
              <w:rPr>
                <w:rFonts w:ascii="Arial"/>
                <w:sz w:val="21"/>
              </w:rPr>
            </w:pPr>
          </w:p>
        </w:tc>
        <w:tc>
          <w:tcPr>
            <w:tcW w:w="756" w:type="dxa"/>
            <w:vMerge w:val="continue"/>
            <w:tcBorders>
              <w:top w:val="nil"/>
              <w:bottom w:val="single" w:color="000000" w:sz="6" w:space="0"/>
            </w:tcBorders>
            <w:vAlign w:val="top"/>
          </w:tcPr>
          <w:p w14:paraId="0AB79C6F">
            <w:pPr>
              <w:rPr>
                <w:rFonts w:ascii="Arial"/>
                <w:sz w:val="21"/>
              </w:rPr>
            </w:pPr>
          </w:p>
        </w:tc>
        <w:tc>
          <w:tcPr>
            <w:tcW w:w="798" w:type="dxa"/>
            <w:vMerge w:val="continue"/>
            <w:tcBorders>
              <w:top w:val="nil"/>
              <w:bottom w:val="single" w:color="000000" w:sz="6" w:space="0"/>
            </w:tcBorders>
            <w:vAlign w:val="top"/>
          </w:tcPr>
          <w:p w14:paraId="2FC527BA">
            <w:pPr>
              <w:rPr>
                <w:rFonts w:ascii="Arial"/>
                <w:sz w:val="21"/>
              </w:rPr>
            </w:pPr>
          </w:p>
        </w:tc>
        <w:tc>
          <w:tcPr>
            <w:tcW w:w="757" w:type="dxa"/>
            <w:vMerge w:val="continue"/>
            <w:tcBorders>
              <w:top w:val="nil"/>
              <w:bottom w:val="single" w:color="000000" w:sz="6" w:space="0"/>
            </w:tcBorders>
            <w:vAlign w:val="top"/>
          </w:tcPr>
          <w:p w14:paraId="688D6752">
            <w:pPr>
              <w:rPr>
                <w:rFonts w:ascii="Arial"/>
                <w:sz w:val="21"/>
              </w:rPr>
            </w:pPr>
          </w:p>
        </w:tc>
        <w:tc>
          <w:tcPr>
            <w:tcW w:w="758" w:type="dxa"/>
            <w:vMerge w:val="continue"/>
            <w:tcBorders>
              <w:top w:val="nil"/>
              <w:bottom w:val="single" w:color="000000" w:sz="6" w:space="0"/>
            </w:tcBorders>
            <w:vAlign w:val="top"/>
          </w:tcPr>
          <w:p w14:paraId="67BAB6A0">
            <w:pPr>
              <w:rPr>
                <w:rFonts w:ascii="Arial"/>
                <w:sz w:val="21"/>
              </w:rPr>
            </w:pPr>
          </w:p>
        </w:tc>
        <w:tc>
          <w:tcPr>
            <w:tcW w:w="814" w:type="dxa"/>
            <w:tcBorders>
              <w:bottom w:val="single" w:color="000000" w:sz="6" w:space="0"/>
            </w:tcBorders>
            <w:vAlign w:val="top"/>
          </w:tcPr>
          <w:p w14:paraId="2B45B96E">
            <w:pPr>
              <w:spacing w:before="195"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tc>
        <w:tc>
          <w:tcPr>
            <w:tcW w:w="791" w:type="dxa"/>
            <w:tcBorders>
              <w:bottom w:val="single" w:color="000000" w:sz="6" w:space="0"/>
            </w:tcBorders>
            <w:vAlign w:val="top"/>
          </w:tcPr>
          <w:p w14:paraId="68C3DBA3">
            <w:pPr>
              <w:spacing w:before="195"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393.12</w:t>
            </w:r>
          </w:p>
        </w:tc>
        <w:tc>
          <w:tcPr>
            <w:tcW w:w="756" w:type="dxa"/>
            <w:tcBorders>
              <w:bottom w:val="single" w:color="000000" w:sz="6" w:space="0"/>
            </w:tcBorders>
            <w:vAlign w:val="top"/>
          </w:tcPr>
          <w:p w14:paraId="05A5ABEB">
            <w:pPr>
              <w:spacing w:before="195" w:line="188" w:lineRule="auto"/>
              <w:ind w:left="35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75" w:type="dxa"/>
            <w:tcBorders>
              <w:bottom w:val="single" w:color="000000" w:sz="6" w:space="0"/>
            </w:tcBorders>
            <w:vAlign w:val="top"/>
          </w:tcPr>
          <w:p w14:paraId="483F7864">
            <w:pPr>
              <w:spacing w:before="195" w:line="188"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393.12</w:t>
            </w:r>
          </w:p>
        </w:tc>
        <w:tc>
          <w:tcPr>
            <w:tcW w:w="965" w:type="dxa"/>
            <w:vMerge w:val="continue"/>
            <w:tcBorders>
              <w:top w:val="nil"/>
              <w:bottom w:val="single" w:color="000000" w:sz="6" w:space="0"/>
            </w:tcBorders>
            <w:vAlign w:val="top"/>
          </w:tcPr>
          <w:p w14:paraId="67759EC2">
            <w:pPr>
              <w:rPr>
                <w:rFonts w:ascii="Arial"/>
                <w:sz w:val="21"/>
              </w:rPr>
            </w:pPr>
          </w:p>
        </w:tc>
        <w:tc>
          <w:tcPr>
            <w:tcW w:w="754" w:type="dxa"/>
            <w:vMerge w:val="continue"/>
            <w:tcBorders>
              <w:top w:val="nil"/>
              <w:bottom w:val="single" w:color="000000" w:sz="6" w:space="0"/>
            </w:tcBorders>
            <w:vAlign w:val="top"/>
          </w:tcPr>
          <w:p w14:paraId="0D02C46B">
            <w:pPr>
              <w:rPr>
                <w:rFonts w:ascii="Arial"/>
                <w:sz w:val="21"/>
              </w:rPr>
            </w:pPr>
          </w:p>
        </w:tc>
        <w:tc>
          <w:tcPr>
            <w:tcW w:w="974" w:type="dxa"/>
            <w:vMerge w:val="continue"/>
            <w:tcBorders>
              <w:top w:val="nil"/>
              <w:bottom w:val="single" w:color="000000" w:sz="6" w:space="0"/>
            </w:tcBorders>
            <w:vAlign w:val="top"/>
          </w:tcPr>
          <w:p w14:paraId="3F115538">
            <w:pPr>
              <w:rPr>
                <w:rFonts w:ascii="Arial"/>
                <w:sz w:val="21"/>
              </w:rPr>
            </w:pPr>
          </w:p>
        </w:tc>
        <w:tc>
          <w:tcPr>
            <w:tcW w:w="966" w:type="dxa"/>
            <w:vMerge w:val="continue"/>
            <w:tcBorders>
              <w:top w:val="nil"/>
              <w:bottom w:val="single" w:color="000000" w:sz="6" w:space="0"/>
            </w:tcBorders>
            <w:vAlign w:val="top"/>
          </w:tcPr>
          <w:p w14:paraId="06D4B846">
            <w:pPr>
              <w:rPr>
                <w:rFonts w:ascii="Arial"/>
                <w:sz w:val="21"/>
              </w:rPr>
            </w:pPr>
          </w:p>
        </w:tc>
        <w:tc>
          <w:tcPr>
            <w:tcW w:w="1089" w:type="dxa"/>
            <w:vMerge w:val="continue"/>
            <w:tcBorders>
              <w:top w:val="nil"/>
              <w:bottom w:val="single" w:color="000000" w:sz="6" w:space="0"/>
              <w:right w:val="single" w:color="000000" w:sz="6" w:space="0"/>
            </w:tcBorders>
            <w:vAlign w:val="top"/>
          </w:tcPr>
          <w:p w14:paraId="00378D20">
            <w:pPr>
              <w:rPr>
                <w:rFonts w:ascii="Arial"/>
                <w:sz w:val="21"/>
              </w:rPr>
            </w:pPr>
          </w:p>
        </w:tc>
      </w:tr>
    </w:tbl>
    <w:p w14:paraId="2698C87D">
      <w:pPr>
        <w:rPr>
          <w:rFonts w:ascii="Arial"/>
          <w:sz w:val="21"/>
        </w:rPr>
      </w:pPr>
    </w:p>
    <w:p w14:paraId="5D1D674F">
      <w:pPr>
        <w:rPr>
          <w:rFonts w:ascii="Arial" w:hAnsi="Arial" w:eastAsia="Arial" w:cs="Arial"/>
          <w:sz w:val="21"/>
          <w:szCs w:val="21"/>
        </w:rPr>
        <w:sectPr>
          <w:footerReference r:id="rId60" w:type="default"/>
          <w:pgSz w:w="16839" w:h="11906"/>
          <w:pgMar w:top="1012" w:right="1417" w:bottom="1278" w:left="1417" w:header="0" w:footer="1116" w:gutter="0"/>
          <w:cols w:space="720" w:num="1"/>
        </w:sectPr>
      </w:pPr>
    </w:p>
    <w:p w14:paraId="1F916897">
      <w:pPr>
        <w:spacing w:before="18"/>
      </w:pPr>
      <w:r>
        <w:pict>
          <v:shape id="_x0000_s1070" o:spid="_x0000_s1070" style="position:absolute;left:0pt;margin-left:764.65pt;margin-top:78pt;height:110.35pt;width:0.5pt;mso-position-horizontal-relative:page;mso-position-vertical-relative:page;z-index:251706368;mso-width-relative:page;mso-height-relative:page;" filled="f" stroked="t" coordsize="10,2206" o:allowincell="f" path="m4,0l4,2206e">
            <v:fill on="f" focussize="0,0"/>
            <v:stroke weight="0.48pt" color="#000000" miterlimit="2" joinstyle="bevel"/>
            <v:imagedata o:title=""/>
            <o:lock v:ext="edit"/>
          </v:shape>
        </w:pict>
      </w:r>
    </w:p>
    <w:p w14:paraId="63C229F7">
      <w:pPr>
        <w:spacing w:before="18"/>
      </w:pPr>
    </w:p>
    <w:tbl>
      <w:tblPr>
        <w:tblStyle w:val="5"/>
        <w:tblW w:w="13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113"/>
        <w:gridCol w:w="757"/>
        <w:gridCol w:w="757"/>
        <w:gridCol w:w="768"/>
        <w:gridCol w:w="756"/>
        <w:gridCol w:w="798"/>
        <w:gridCol w:w="757"/>
        <w:gridCol w:w="758"/>
        <w:gridCol w:w="814"/>
        <w:gridCol w:w="791"/>
        <w:gridCol w:w="756"/>
        <w:gridCol w:w="875"/>
        <w:gridCol w:w="965"/>
        <w:gridCol w:w="754"/>
        <w:gridCol w:w="974"/>
        <w:gridCol w:w="966"/>
        <w:gridCol w:w="1089"/>
      </w:tblGrid>
      <w:tr w14:paraId="372B9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540" w:type="dxa"/>
            <w:vMerge w:val="restart"/>
            <w:tcBorders>
              <w:top w:val="single" w:color="000000" w:sz="6" w:space="0"/>
              <w:left w:val="single" w:color="000000" w:sz="6" w:space="0"/>
              <w:bottom w:val="nil"/>
            </w:tcBorders>
            <w:vAlign w:val="top"/>
          </w:tcPr>
          <w:p w14:paraId="1778674B">
            <w:pPr>
              <w:rPr>
                <w:rFonts w:ascii="Arial"/>
                <w:sz w:val="21"/>
              </w:rPr>
            </w:pPr>
          </w:p>
        </w:tc>
        <w:tc>
          <w:tcPr>
            <w:tcW w:w="113" w:type="dxa"/>
            <w:vMerge w:val="restart"/>
            <w:tcBorders>
              <w:top w:val="single" w:color="000000" w:sz="6" w:space="0"/>
              <w:bottom w:val="nil"/>
            </w:tcBorders>
            <w:vAlign w:val="top"/>
          </w:tcPr>
          <w:p w14:paraId="7F8C9ED8">
            <w:pPr>
              <w:rPr>
                <w:rFonts w:ascii="Arial"/>
                <w:sz w:val="21"/>
              </w:rPr>
            </w:pPr>
          </w:p>
        </w:tc>
        <w:tc>
          <w:tcPr>
            <w:tcW w:w="757" w:type="dxa"/>
            <w:tcBorders>
              <w:top w:val="single" w:color="000000" w:sz="6" w:space="0"/>
            </w:tcBorders>
            <w:vAlign w:val="top"/>
          </w:tcPr>
          <w:p w14:paraId="4DF08D35">
            <w:pPr>
              <w:rPr>
                <w:rFonts w:ascii="Arial"/>
                <w:sz w:val="21"/>
              </w:rPr>
            </w:pPr>
          </w:p>
        </w:tc>
        <w:tc>
          <w:tcPr>
            <w:tcW w:w="757" w:type="dxa"/>
            <w:tcBorders>
              <w:top w:val="single" w:color="000000" w:sz="6" w:space="0"/>
            </w:tcBorders>
            <w:vAlign w:val="top"/>
          </w:tcPr>
          <w:p w14:paraId="15938067">
            <w:pPr>
              <w:spacing w:before="262" w:line="212" w:lineRule="auto"/>
              <w:ind w:left="281" w:right="230" w:hanging="1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1"/>
                <w:sz w:val="18"/>
                <w:szCs w:val="18"/>
              </w:rPr>
              <w:t>V)</w:t>
            </w:r>
          </w:p>
        </w:tc>
        <w:tc>
          <w:tcPr>
            <w:tcW w:w="768" w:type="dxa"/>
            <w:tcBorders>
              <w:top w:val="single" w:color="000000" w:sz="6" w:space="0"/>
            </w:tcBorders>
            <w:vAlign w:val="top"/>
          </w:tcPr>
          <w:p w14:paraId="4F38EEDB">
            <w:pPr>
              <w:rPr>
                <w:rFonts w:ascii="Arial"/>
                <w:sz w:val="21"/>
              </w:rPr>
            </w:pPr>
          </w:p>
        </w:tc>
        <w:tc>
          <w:tcPr>
            <w:tcW w:w="756" w:type="dxa"/>
            <w:tcBorders>
              <w:top w:val="single" w:color="000000" w:sz="6" w:space="0"/>
            </w:tcBorders>
            <w:vAlign w:val="top"/>
          </w:tcPr>
          <w:p w14:paraId="20006CDF">
            <w:pPr>
              <w:rPr>
                <w:rFonts w:ascii="Arial"/>
                <w:sz w:val="21"/>
              </w:rPr>
            </w:pPr>
          </w:p>
        </w:tc>
        <w:tc>
          <w:tcPr>
            <w:tcW w:w="798" w:type="dxa"/>
            <w:tcBorders>
              <w:top w:val="single" w:color="000000" w:sz="6" w:space="0"/>
            </w:tcBorders>
            <w:vAlign w:val="top"/>
          </w:tcPr>
          <w:p w14:paraId="356D749B">
            <w:pPr>
              <w:rPr>
                <w:rFonts w:ascii="Arial"/>
                <w:sz w:val="21"/>
              </w:rPr>
            </w:pPr>
          </w:p>
        </w:tc>
        <w:tc>
          <w:tcPr>
            <w:tcW w:w="757" w:type="dxa"/>
            <w:tcBorders>
              <w:top w:val="single" w:color="000000" w:sz="6" w:space="0"/>
            </w:tcBorders>
            <w:vAlign w:val="top"/>
          </w:tcPr>
          <w:p w14:paraId="499A2D3C">
            <w:pPr>
              <w:rPr>
                <w:rFonts w:ascii="Arial"/>
                <w:sz w:val="21"/>
              </w:rPr>
            </w:pPr>
          </w:p>
        </w:tc>
        <w:tc>
          <w:tcPr>
            <w:tcW w:w="758" w:type="dxa"/>
            <w:tcBorders>
              <w:top w:val="single" w:color="000000" w:sz="6" w:space="0"/>
            </w:tcBorders>
            <w:vAlign w:val="top"/>
          </w:tcPr>
          <w:p w14:paraId="79EE1D76">
            <w:pPr>
              <w:rPr>
                <w:rFonts w:ascii="Arial"/>
                <w:sz w:val="21"/>
              </w:rPr>
            </w:pPr>
          </w:p>
        </w:tc>
        <w:tc>
          <w:tcPr>
            <w:tcW w:w="814" w:type="dxa"/>
            <w:tcBorders>
              <w:top w:val="single" w:color="000000" w:sz="6" w:space="0"/>
            </w:tcBorders>
            <w:vAlign w:val="top"/>
          </w:tcPr>
          <w:p w14:paraId="5CDD19C7">
            <w:pPr>
              <w:rPr>
                <w:rFonts w:ascii="Arial"/>
                <w:sz w:val="21"/>
              </w:rPr>
            </w:pPr>
          </w:p>
        </w:tc>
        <w:tc>
          <w:tcPr>
            <w:tcW w:w="791" w:type="dxa"/>
            <w:tcBorders>
              <w:top w:val="single" w:color="000000" w:sz="6" w:space="0"/>
            </w:tcBorders>
            <w:vAlign w:val="top"/>
          </w:tcPr>
          <w:p w14:paraId="292B65DD">
            <w:pPr>
              <w:rPr>
                <w:rFonts w:ascii="Arial"/>
                <w:sz w:val="21"/>
              </w:rPr>
            </w:pPr>
          </w:p>
        </w:tc>
        <w:tc>
          <w:tcPr>
            <w:tcW w:w="756" w:type="dxa"/>
            <w:tcBorders>
              <w:top w:val="single" w:color="000000" w:sz="6" w:space="0"/>
            </w:tcBorders>
            <w:vAlign w:val="top"/>
          </w:tcPr>
          <w:p w14:paraId="22703713">
            <w:pPr>
              <w:rPr>
                <w:rFonts w:ascii="Arial"/>
                <w:sz w:val="21"/>
              </w:rPr>
            </w:pPr>
          </w:p>
        </w:tc>
        <w:tc>
          <w:tcPr>
            <w:tcW w:w="875" w:type="dxa"/>
            <w:tcBorders>
              <w:top w:val="single" w:color="000000" w:sz="6" w:space="0"/>
            </w:tcBorders>
            <w:vAlign w:val="top"/>
          </w:tcPr>
          <w:p w14:paraId="1419BD28">
            <w:pPr>
              <w:rPr>
                <w:rFonts w:ascii="Arial"/>
                <w:sz w:val="21"/>
              </w:rPr>
            </w:pPr>
          </w:p>
        </w:tc>
        <w:tc>
          <w:tcPr>
            <w:tcW w:w="965" w:type="dxa"/>
            <w:tcBorders>
              <w:top w:val="single" w:color="000000" w:sz="6" w:space="0"/>
            </w:tcBorders>
            <w:vAlign w:val="top"/>
          </w:tcPr>
          <w:p w14:paraId="4A36B2BE">
            <w:pPr>
              <w:rPr>
                <w:rFonts w:ascii="Arial"/>
                <w:sz w:val="21"/>
              </w:rPr>
            </w:pPr>
          </w:p>
        </w:tc>
        <w:tc>
          <w:tcPr>
            <w:tcW w:w="754" w:type="dxa"/>
            <w:tcBorders>
              <w:top w:val="single" w:color="000000" w:sz="6" w:space="0"/>
            </w:tcBorders>
            <w:vAlign w:val="top"/>
          </w:tcPr>
          <w:p w14:paraId="7C33A599">
            <w:pPr>
              <w:rPr>
                <w:rFonts w:ascii="Arial"/>
                <w:sz w:val="21"/>
              </w:rPr>
            </w:pPr>
          </w:p>
        </w:tc>
        <w:tc>
          <w:tcPr>
            <w:tcW w:w="974" w:type="dxa"/>
            <w:tcBorders>
              <w:top w:val="single" w:color="000000" w:sz="6" w:space="0"/>
            </w:tcBorders>
            <w:vAlign w:val="top"/>
          </w:tcPr>
          <w:p w14:paraId="04A6413F">
            <w:pPr>
              <w:rPr>
                <w:rFonts w:ascii="Arial"/>
                <w:sz w:val="21"/>
              </w:rPr>
            </w:pPr>
          </w:p>
        </w:tc>
        <w:tc>
          <w:tcPr>
            <w:tcW w:w="966" w:type="dxa"/>
            <w:tcBorders>
              <w:top w:val="single" w:color="000000" w:sz="6" w:space="0"/>
            </w:tcBorders>
            <w:vAlign w:val="top"/>
          </w:tcPr>
          <w:p w14:paraId="19D80965">
            <w:pPr>
              <w:rPr>
                <w:rFonts w:ascii="Arial"/>
                <w:sz w:val="21"/>
              </w:rPr>
            </w:pPr>
          </w:p>
        </w:tc>
        <w:tc>
          <w:tcPr>
            <w:tcW w:w="1089" w:type="dxa"/>
            <w:tcBorders>
              <w:top w:val="single" w:color="000000" w:sz="6" w:space="0"/>
              <w:right w:val="single" w:color="000000" w:sz="6" w:space="0"/>
            </w:tcBorders>
            <w:vAlign w:val="top"/>
          </w:tcPr>
          <w:p w14:paraId="61483112">
            <w:pPr>
              <w:rPr>
                <w:rFonts w:ascii="Arial"/>
                <w:sz w:val="21"/>
              </w:rPr>
            </w:pPr>
          </w:p>
        </w:tc>
      </w:tr>
      <w:tr w14:paraId="6EB8D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540" w:type="dxa"/>
            <w:vMerge w:val="continue"/>
            <w:tcBorders>
              <w:top w:val="nil"/>
              <w:left w:val="single" w:color="000000" w:sz="6" w:space="0"/>
              <w:bottom w:val="nil"/>
            </w:tcBorders>
            <w:vAlign w:val="top"/>
          </w:tcPr>
          <w:p w14:paraId="4007FBC2">
            <w:pPr>
              <w:rPr>
                <w:rFonts w:ascii="Arial"/>
                <w:sz w:val="21"/>
              </w:rPr>
            </w:pPr>
          </w:p>
        </w:tc>
        <w:tc>
          <w:tcPr>
            <w:tcW w:w="113" w:type="dxa"/>
            <w:vMerge w:val="continue"/>
            <w:tcBorders>
              <w:top w:val="nil"/>
              <w:bottom w:val="nil"/>
            </w:tcBorders>
            <w:vAlign w:val="top"/>
          </w:tcPr>
          <w:p w14:paraId="717FA388">
            <w:pPr>
              <w:rPr>
                <w:rFonts w:ascii="Arial"/>
                <w:sz w:val="21"/>
              </w:rPr>
            </w:pPr>
          </w:p>
        </w:tc>
        <w:tc>
          <w:tcPr>
            <w:tcW w:w="757" w:type="dxa"/>
            <w:vMerge w:val="restart"/>
            <w:tcBorders>
              <w:bottom w:val="nil"/>
            </w:tcBorders>
            <w:vAlign w:val="top"/>
          </w:tcPr>
          <w:p w14:paraId="4A90D09B">
            <w:pPr>
              <w:spacing w:line="292" w:lineRule="auto"/>
              <w:rPr>
                <w:rFonts w:ascii="Arial"/>
                <w:sz w:val="21"/>
              </w:rPr>
            </w:pPr>
          </w:p>
          <w:p w14:paraId="5C095FE0">
            <w:pPr>
              <w:pStyle w:val="6"/>
              <w:spacing w:before="58" w:line="220" w:lineRule="auto"/>
              <w:ind w:left="197"/>
              <w:rPr>
                <w:sz w:val="18"/>
                <w:szCs w:val="18"/>
              </w:rPr>
            </w:pPr>
            <w:r>
              <w:rPr>
                <w:spacing w:val="-4"/>
                <w:sz w:val="18"/>
                <w:szCs w:val="18"/>
              </w:rPr>
              <w:t>新增</w:t>
            </w:r>
          </w:p>
          <w:p w14:paraId="7DD0778E">
            <w:pPr>
              <w:pStyle w:val="6"/>
              <w:spacing w:before="18" w:line="220" w:lineRule="auto"/>
              <w:ind w:left="197"/>
              <w:rPr>
                <w:sz w:val="18"/>
                <w:szCs w:val="18"/>
              </w:rPr>
            </w:pPr>
            <w:r>
              <w:rPr>
                <w:spacing w:val="-4"/>
                <w:sz w:val="18"/>
                <w:szCs w:val="18"/>
              </w:rPr>
              <w:t>地块</w:t>
            </w:r>
          </w:p>
          <w:p w14:paraId="097B944A">
            <w:pPr>
              <w:spacing w:before="35" w:line="188" w:lineRule="auto"/>
              <w:ind w:left="29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c>
        <w:tc>
          <w:tcPr>
            <w:tcW w:w="757" w:type="dxa"/>
            <w:vMerge w:val="restart"/>
            <w:tcBorders>
              <w:bottom w:val="nil"/>
            </w:tcBorders>
            <w:vAlign w:val="top"/>
          </w:tcPr>
          <w:p w14:paraId="3BED4035">
            <w:pPr>
              <w:pStyle w:val="6"/>
              <w:spacing w:before="27" w:line="233" w:lineRule="auto"/>
              <w:ind w:left="107" w:right="111" w:hanging="9"/>
              <w:jc w:val="both"/>
              <w:rPr>
                <w:sz w:val="18"/>
                <w:szCs w:val="18"/>
              </w:rPr>
            </w:pPr>
            <w:r>
              <w:rPr>
                <w:rFonts w:ascii="Times New Roman" w:hAnsi="Times New Roman" w:eastAsia="Times New Roman" w:cs="Times New Roman"/>
                <w:spacing w:val="-4"/>
                <w:sz w:val="18"/>
                <w:szCs w:val="18"/>
              </w:rPr>
              <w:t>N</w:t>
            </w:r>
            <w:r>
              <w:rPr>
                <w:rFonts w:ascii="Times New Roman" w:hAnsi="Times New Roman" w:eastAsia="Times New Roman" w:cs="Times New Roman"/>
                <w:spacing w:val="10"/>
                <w:sz w:val="18"/>
                <w:szCs w:val="18"/>
              </w:rPr>
              <w:t xml:space="preserve"> </w:t>
            </w:r>
            <w:r>
              <w:rPr>
                <w:spacing w:val="-4"/>
                <w:sz w:val="18"/>
                <w:szCs w:val="18"/>
              </w:rPr>
              <w:t>型单</w:t>
            </w:r>
            <w:r>
              <w:rPr>
                <w:sz w:val="18"/>
                <w:szCs w:val="18"/>
              </w:rPr>
              <w:t xml:space="preserve"> </w:t>
            </w:r>
            <w:r>
              <w:rPr>
                <w:spacing w:val="-3"/>
                <w:sz w:val="18"/>
                <w:szCs w:val="18"/>
              </w:rPr>
              <w:t>晶双面</w:t>
            </w:r>
            <w:r>
              <w:rPr>
                <w:sz w:val="18"/>
                <w:szCs w:val="18"/>
              </w:rPr>
              <w:t xml:space="preserve"> </w:t>
            </w:r>
            <w:r>
              <w:rPr>
                <w:spacing w:val="-4"/>
                <w:sz w:val="18"/>
                <w:szCs w:val="18"/>
              </w:rPr>
              <w:t>双玻</w:t>
            </w:r>
          </w:p>
          <w:p w14:paraId="656BF4BC">
            <w:pPr>
              <w:spacing w:before="240" w:line="209" w:lineRule="auto"/>
              <w:ind w:left="281" w:right="230" w:hanging="1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(1500</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1"/>
                <w:sz w:val="18"/>
                <w:szCs w:val="18"/>
              </w:rPr>
              <w:t>V)</w:t>
            </w:r>
          </w:p>
        </w:tc>
        <w:tc>
          <w:tcPr>
            <w:tcW w:w="768" w:type="dxa"/>
            <w:vMerge w:val="restart"/>
            <w:tcBorders>
              <w:bottom w:val="nil"/>
            </w:tcBorders>
            <w:vAlign w:val="top"/>
          </w:tcPr>
          <w:p w14:paraId="482BBF46">
            <w:pPr>
              <w:spacing w:line="274" w:lineRule="auto"/>
              <w:rPr>
                <w:rFonts w:ascii="Arial"/>
                <w:sz w:val="21"/>
              </w:rPr>
            </w:pPr>
          </w:p>
          <w:p w14:paraId="1AADA7C4">
            <w:pPr>
              <w:spacing w:line="275" w:lineRule="auto"/>
              <w:rPr>
                <w:rFonts w:ascii="Arial"/>
                <w:sz w:val="21"/>
              </w:rPr>
            </w:pPr>
          </w:p>
          <w:p w14:paraId="24C51082">
            <w:pPr>
              <w:spacing w:before="52" w:line="188" w:lineRule="auto"/>
              <w:ind w:left="24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630</w:t>
            </w:r>
          </w:p>
        </w:tc>
        <w:tc>
          <w:tcPr>
            <w:tcW w:w="756" w:type="dxa"/>
            <w:vMerge w:val="restart"/>
            <w:tcBorders>
              <w:bottom w:val="nil"/>
            </w:tcBorders>
            <w:vAlign w:val="top"/>
          </w:tcPr>
          <w:p w14:paraId="190823B6">
            <w:pPr>
              <w:spacing w:line="274" w:lineRule="auto"/>
              <w:rPr>
                <w:rFonts w:ascii="Arial"/>
                <w:sz w:val="21"/>
              </w:rPr>
            </w:pPr>
          </w:p>
          <w:p w14:paraId="3CC59209">
            <w:pPr>
              <w:spacing w:line="275" w:lineRule="auto"/>
              <w:rPr>
                <w:rFonts w:ascii="Arial"/>
                <w:sz w:val="21"/>
              </w:rPr>
            </w:pPr>
          </w:p>
          <w:p w14:paraId="6621DCE6">
            <w:pPr>
              <w:spacing w:before="5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8" w:type="dxa"/>
            <w:vMerge w:val="restart"/>
            <w:tcBorders>
              <w:bottom w:val="nil"/>
            </w:tcBorders>
            <w:vAlign w:val="top"/>
          </w:tcPr>
          <w:p w14:paraId="1930532F">
            <w:pPr>
              <w:spacing w:line="274" w:lineRule="auto"/>
              <w:rPr>
                <w:rFonts w:ascii="Arial"/>
                <w:sz w:val="21"/>
              </w:rPr>
            </w:pPr>
          </w:p>
          <w:p w14:paraId="1D8088A1">
            <w:pPr>
              <w:spacing w:line="275" w:lineRule="auto"/>
              <w:rPr>
                <w:rFonts w:ascii="Arial"/>
                <w:sz w:val="21"/>
              </w:rPr>
            </w:pPr>
          </w:p>
          <w:p w14:paraId="2C237865">
            <w:pPr>
              <w:spacing w:before="52"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15.</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9"/>
                <w:sz w:val="18"/>
                <w:szCs w:val="18"/>
              </w:rPr>
              <w:t>12</w:t>
            </w:r>
          </w:p>
        </w:tc>
        <w:tc>
          <w:tcPr>
            <w:tcW w:w="757" w:type="dxa"/>
            <w:vMerge w:val="restart"/>
            <w:tcBorders>
              <w:bottom w:val="nil"/>
            </w:tcBorders>
            <w:vAlign w:val="top"/>
          </w:tcPr>
          <w:p w14:paraId="44BF6E31">
            <w:pPr>
              <w:spacing w:line="291" w:lineRule="auto"/>
              <w:rPr>
                <w:rFonts w:ascii="Arial"/>
                <w:sz w:val="21"/>
              </w:rPr>
            </w:pPr>
          </w:p>
          <w:p w14:paraId="0874CE92">
            <w:pPr>
              <w:pStyle w:val="6"/>
              <w:spacing w:before="59" w:line="229" w:lineRule="auto"/>
              <w:ind w:left="294" w:right="106" w:hanging="167"/>
              <w:rPr>
                <w:sz w:val="18"/>
                <w:szCs w:val="18"/>
              </w:rPr>
            </w:pPr>
            <w:r>
              <w:rPr>
                <w:spacing w:val="-8"/>
                <w:sz w:val="18"/>
                <w:szCs w:val="18"/>
              </w:rPr>
              <w:t>固定倾</w:t>
            </w:r>
            <w:r>
              <w:rPr>
                <w:sz w:val="18"/>
                <w:szCs w:val="18"/>
              </w:rPr>
              <w:t xml:space="preserve"> 角</w:t>
            </w:r>
          </w:p>
          <w:p w14:paraId="14DD575E">
            <w:pPr>
              <w:spacing w:before="36" w:line="188" w:lineRule="auto"/>
              <w:ind w:left="2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c>
          <w:tcPr>
            <w:tcW w:w="758" w:type="dxa"/>
            <w:vMerge w:val="restart"/>
            <w:tcBorders>
              <w:bottom w:val="nil"/>
            </w:tcBorders>
            <w:vAlign w:val="top"/>
          </w:tcPr>
          <w:p w14:paraId="5E489E31">
            <w:pPr>
              <w:spacing w:line="292" w:lineRule="auto"/>
              <w:rPr>
                <w:rFonts w:ascii="Arial"/>
                <w:sz w:val="21"/>
              </w:rPr>
            </w:pPr>
          </w:p>
          <w:p w14:paraId="25BB8A6B">
            <w:pPr>
              <w:pStyle w:val="6"/>
              <w:spacing w:before="59" w:line="230" w:lineRule="auto"/>
              <w:ind w:left="112" w:right="106" w:firstLine="2"/>
              <w:jc w:val="both"/>
              <w:rPr>
                <w:rFonts w:ascii="Times New Roman" w:hAnsi="Times New Roman" w:eastAsia="Times New Roman" w:cs="Times New Roman"/>
                <w:sz w:val="18"/>
                <w:szCs w:val="18"/>
              </w:rPr>
            </w:pPr>
            <w:r>
              <w:rPr>
                <w:spacing w:val="-4"/>
                <w:sz w:val="18"/>
                <w:szCs w:val="18"/>
              </w:rPr>
              <w:t>组串式</w:t>
            </w:r>
            <w:r>
              <w:rPr>
                <w:spacing w:val="1"/>
                <w:sz w:val="18"/>
                <w:szCs w:val="18"/>
              </w:rPr>
              <w:t xml:space="preserve"> </w:t>
            </w:r>
            <w:r>
              <w:rPr>
                <w:spacing w:val="-3"/>
                <w:sz w:val="18"/>
                <w:szCs w:val="18"/>
              </w:rPr>
              <w:t>逆变器</w:t>
            </w:r>
            <w:r>
              <w:rPr>
                <w:spacing w:val="1"/>
                <w:sz w:val="18"/>
                <w:szCs w:val="18"/>
              </w:rPr>
              <w:t xml:space="preserve"> </w:t>
            </w:r>
            <w:r>
              <w:rPr>
                <w:rFonts w:ascii="Times New Roman" w:hAnsi="Times New Roman" w:eastAsia="Times New Roman" w:cs="Times New Roman"/>
                <w:sz w:val="18"/>
                <w:szCs w:val="18"/>
              </w:rPr>
              <w:t>300kW</w:t>
            </w:r>
          </w:p>
        </w:tc>
        <w:tc>
          <w:tcPr>
            <w:tcW w:w="814" w:type="dxa"/>
            <w:vAlign w:val="top"/>
          </w:tcPr>
          <w:p w14:paraId="1F9DA961">
            <w:pPr>
              <w:spacing w:before="148"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0125EE1A">
            <w:pPr>
              <w:spacing w:before="148"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6A5A9827">
            <w:pPr>
              <w:spacing w:before="148" w:line="188" w:lineRule="auto"/>
              <w:ind w:left="340"/>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875" w:type="dxa"/>
            <w:vAlign w:val="top"/>
          </w:tcPr>
          <w:p w14:paraId="4AC88F20">
            <w:pPr>
              <w:spacing w:before="148" w:line="188"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3265.92</w:t>
            </w:r>
          </w:p>
        </w:tc>
        <w:tc>
          <w:tcPr>
            <w:tcW w:w="965" w:type="dxa"/>
            <w:vAlign w:val="top"/>
          </w:tcPr>
          <w:p w14:paraId="6C8EE1EC">
            <w:pPr>
              <w:spacing w:before="148"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3265.92</w:t>
            </w:r>
          </w:p>
        </w:tc>
        <w:tc>
          <w:tcPr>
            <w:tcW w:w="754" w:type="dxa"/>
            <w:vAlign w:val="top"/>
          </w:tcPr>
          <w:p w14:paraId="08B6B19D">
            <w:pPr>
              <w:spacing w:before="148"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Align w:val="top"/>
          </w:tcPr>
          <w:p w14:paraId="0D078A55">
            <w:pPr>
              <w:spacing w:before="148" w:line="188" w:lineRule="auto"/>
              <w:ind w:left="2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3265.92</w:t>
            </w:r>
          </w:p>
        </w:tc>
        <w:tc>
          <w:tcPr>
            <w:tcW w:w="966" w:type="dxa"/>
            <w:vAlign w:val="top"/>
          </w:tcPr>
          <w:p w14:paraId="47D06BB6">
            <w:pPr>
              <w:spacing w:before="251" w:line="180" w:lineRule="auto"/>
              <w:ind w:left="1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2700.00</w:t>
            </w:r>
          </w:p>
        </w:tc>
        <w:tc>
          <w:tcPr>
            <w:tcW w:w="1089" w:type="dxa"/>
            <w:vMerge w:val="restart"/>
            <w:tcBorders>
              <w:bottom w:val="nil"/>
              <w:right w:val="single" w:color="000000" w:sz="6" w:space="0"/>
            </w:tcBorders>
            <w:vAlign w:val="top"/>
          </w:tcPr>
          <w:p w14:paraId="55967BAD">
            <w:pPr>
              <w:spacing w:before="45" w:line="188" w:lineRule="auto"/>
              <w:ind w:left="3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3900</w:t>
            </w:r>
          </w:p>
        </w:tc>
      </w:tr>
      <w:tr w14:paraId="691AD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540" w:type="dxa"/>
            <w:vMerge w:val="continue"/>
            <w:tcBorders>
              <w:top w:val="nil"/>
              <w:left w:val="single" w:color="000000" w:sz="6" w:space="0"/>
              <w:bottom w:val="nil"/>
            </w:tcBorders>
            <w:vAlign w:val="top"/>
          </w:tcPr>
          <w:p w14:paraId="2C18C600">
            <w:pPr>
              <w:rPr>
                <w:rFonts w:ascii="Arial"/>
                <w:sz w:val="21"/>
              </w:rPr>
            </w:pPr>
          </w:p>
        </w:tc>
        <w:tc>
          <w:tcPr>
            <w:tcW w:w="113" w:type="dxa"/>
            <w:vMerge w:val="continue"/>
            <w:tcBorders>
              <w:top w:val="nil"/>
              <w:bottom w:val="nil"/>
            </w:tcBorders>
            <w:vAlign w:val="top"/>
          </w:tcPr>
          <w:p w14:paraId="376DA74B">
            <w:pPr>
              <w:rPr>
                <w:rFonts w:ascii="Arial"/>
                <w:sz w:val="21"/>
              </w:rPr>
            </w:pPr>
          </w:p>
        </w:tc>
        <w:tc>
          <w:tcPr>
            <w:tcW w:w="757" w:type="dxa"/>
            <w:vMerge w:val="continue"/>
            <w:tcBorders>
              <w:top w:val="nil"/>
            </w:tcBorders>
            <w:vAlign w:val="top"/>
          </w:tcPr>
          <w:p w14:paraId="58AE229C">
            <w:pPr>
              <w:rPr>
                <w:rFonts w:ascii="Arial"/>
                <w:sz w:val="21"/>
              </w:rPr>
            </w:pPr>
          </w:p>
        </w:tc>
        <w:tc>
          <w:tcPr>
            <w:tcW w:w="757" w:type="dxa"/>
            <w:vMerge w:val="continue"/>
            <w:tcBorders>
              <w:top w:val="nil"/>
            </w:tcBorders>
            <w:vAlign w:val="top"/>
          </w:tcPr>
          <w:p w14:paraId="5F8BFB33">
            <w:pPr>
              <w:rPr>
                <w:rFonts w:ascii="Arial"/>
                <w:sz w:val="21"/>
              </w:rPr>
            </w:pPr>
          </w:p>
        </w:tc>
        <w:tc>
          <w:tcPr>
            <w:tcW w:w="768" w:type="dxa"/>
            <w:vMerge w:val="continue"/>
            <w:tcBorders>
              <w:top w:val="nil"/>
            </w:tcBorders>
            <w:vAlign w:val="top"/>
          </w:tcPr>
          <w:p w14:paraId="70BB73A7">
            <w:pPr>
              <w:rPr>
                <w:rFonts w:ascii="Arial"/>
                <w:sz w:val="21"/>
              </w:rPr>
            </w:pPr>
          </w:p>
        </w:tc>
        <w:tc>
          <w:tcPr>
            <w:tcW w:w="756" w:type="dxa"/>
            <w:vMerge w:val="continue"/>
            <w:tcBorders>
              <w:top w:val="nil"/>
            </w:tcBorders>
            <w:vAlign w:val="top"/>
          </w:tcPr>
          <w:p w14:paraId="0C422A55">
            <w:pPr>
              <w:rPr>
                <w:rFonts w:ascii="Arial"/>
                <w:sz w:val="21"/>
              </w:rPr>
            </w:pPr>
          </w:p>
        </w:tc>
        <w:tc>
          <w:tcPr>
            <w:tcW w:w="798" w:type="dxa"/>
            <w:vMerge w:val="continue"/>
            <w:tcBorders>
              <w:top w:val="nil"/>
            </w:tcBorders>
            <w:vAlign w:val="top"/>
          </w:tcPr>
          <w:p w14:paraId="50A47B55">
            <w:pPr>
              <w:rPr>
                <w:rFonts w:ascii="Arial"/>
                <w:sz w:val="21"/>
              </w:rPr>
            </w:pPr>
          </w:p>
        </w:tc>
        <w:tc>
          <w:tcPr>
            <w:tcW w:w="757" w:type="dxa"/>
            <w:vMerge w:val="continue"/>
            <w:tcBorders>
              <w:top w:val="nil"/>
            </w:tcBorders>
            <w:vAlign w:val="top"/>
          </w:tcPr>
          <w:p w14:paraId="1EEAD372">
            <w:pPr>
              <w:rPr>
                <w:rFonts w:ascii="Arial"/>
                <w:sz w:val="21"/>
              </w:rPr>
            </w:pPr>
          </w:p>
        </w:tc>
        <w:tc>
          <w:tcPr>
            <w:tcW w:w="758" w:type="dxa"/>
            <w:vMerge w:val="continue"/>
            <w:tcBorders>
              <w:top w:val="nil"/>
            </w:tcBorders>
            <w:vAlign w:val="top"/>
          </w:tcPr>
          <w:p w14:paraId="64E8B8CF">
            <w:pPr>
              <w:rPr>
                <w:rFonts w:ascii="Arial"/>
                <w:sz w:val="21"/>
              </w:rPr>
            </w:pPr>
          </w:p>
        </w:tc>
        <w:tc>
          <w:tcPr>
            <w:tcW w:w="814" w:type="dxa"/>
            <w:vAlign w:val="top"/>
          </w:tcPr>
          <w:p w14:paraId="1C037499">
            <w:pPr>
              <w:spacing w:line="340" w:lineRule="auto"/>
              <w:rPr>
                <w:rFonts w:ascii="Arial"/>
                <w:sz w:val="21"/>
              </w:rPr>
            </w:pPr>
          </w:p>
          <w:p w14:paraId="631FA3F7">
            <w:pPr>
              <w:spacing w:before="51" w:line="188" w:lineRule="auto"/>
              <w:ind w:left="3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c>
        <w:tc>
          <w:tcPr>
            <w:tcW w:w="791" w:type="dxa"/>
            <w:vAlign w:val="top"/>
          </w:tcPr>
          <w:p w14:paraId="6017B252">
            <w:pPr>
              <w:spacing w:line="340" w:lineRule="auto"/>
              <w:rPr>
                <w:rFonts w:ascii="Arial"/>
                <w:sz w:val="21"/>
              </w:rPr>
            </w:pPr>
          </w:p>
          <w:p w14:paraId="7378BD5C">
            <w:pPr>
              <w:spacing w:before="51"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362.88</w:t>
            </w:r>
          </w:p>
        </w:tc>
        <w:tc>
          <w:tcPr>
            <w:tcW w:w="756" w:type="dxa"/>
            <w:vAlign w:val="top"/>
          </w:tcPr>
          <w:p w14:paraId="4F6275EC">
            <w:pPr>
              <w:spacing w:line="340" w:lineRule="auto"/>
              <w:rPr>
                <w:rFonts w:ascii="Arial"/>
                <w:sz w:val="21"/>
              </w:rPr>
            </w:pPr>
          </w:p>
          <w:p w14:paraId="1621D908">
            <w:pPr>
              <w:spacing w:before="51" w:line="188" w:lineRule="auto"/>
              <w:ind w:left="33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875" w:type="dxa"/>
            <w:vAlign w:val="top"/>
          </w:tcPr>
          <w:p w14:paraId="00AA74F6">
            <w:pPr>
              <w:spacing w:line="340" w:lineRule="auto"/>
              <w:rPr>
                <w:rFonts w:ascii="Arial"/>
                <w:sz w:val="21"/>
              </w:rPr>
            </w:pPr>
          </w:p>
          <w:p w14:paraId="2C32CB80">
            <w:pPr>
              <w:spacing w:before="51" w:line="188" w:lineRule="auto"/>
              <w:ind w:left="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1451.52</w:t>
            </w:r>
          </w:p>
        </w:tc>
        <w:tc>
          <w:tcPr>
            <w:tcW w:w="965" w:type="dxa"/>
            <w:vAlign w:val="top"/>
          </w:tcPr>
          <w:p w14:paraId="1214D474">
            <w:pPr>
              <w:spacing w:line="340" w:lineRule="auto"/>
              <w:rPr>
                <w:rFonts w:ascii="Arial"/>
                <w:sz w:val="21"/>
              </w:rPr>
            </w:pPr>
          </w:p>
          <w:p w14:paraId="420F9AC6">
            <w:pPr>
              <w:spacing w:before="51" w:line="188" w:lineRule="auto"/>
              <w:ind w:left="2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1451.52</w:t>
            </w:r>
          </w:p>
        </w:tc>
        <w:tc>
          <w:tcPr>
            <w:tcW w:w="754" w:type="dxa"/>
            <w:vAlign w:val="top"/>
          </w:tcPr>
          <w:p w14:paraId="06CC7C33">
            <w:pPr>
              <w:spacing w:line="340" w:lineRule="auto"/>
              <w:rPr>
                <w:rFonts w:ascii="Arial"/>
                <w:sz w:val="21"/>
              </w:rPr>
            </w:pPr>
          </w:p>
          <w:p w14:paraId="4B3856F4">
            <w:pPr>
              <w:spacing w:before="51"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974" w:type="dxa"/>
            <w:vAlign w:val="top"/>
          </w:tcPr>
          <w:p w14:paraId="5447C9D9">
            <w:pPr>
              <w:spacing w:line="340" w:lineRule="auto"/>
              <w:rPr>
                <w:rFonts w:ascii="Arial"/>
                <w:sz w:val="21"/>
              </w:rPr>
            </w:pPr>
          </w:p>
          <w:p w14:paraId="4CF7B02F">
            <w:pPr>
              <w:spacing w:before="51" w:line="188" w:lineRule="auto"/>
              <w:ind w:left="21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1451.52</w:t>
            </w:r>
          </w:p>
        </w:tc>
        <w:tc>
          <w:tcPr>
            <w:tcW w:w="966" w:type="dxa"/>
            <w:vAlign w:val="top"/>
          </w:tcPr>
          <w:p w14:paraId="13BEA384">
            <w:pPr>
              <w:spacing w:line="340" w:lineRule="auto"/>
              <w:rPr>
                <w:rFonts w:ascii="Arial"/>
                <w:sz w:val="21"/>
              </w:rPr>
            </w:pPr>
          </w:p>
          <w:p w14:paraId="5169EE1B">
            <w:pPr>
              <w:spacing w:before="51" w:line="188" w:lineRule="auto"/>
              <w:ind w:left="23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120000</w:t>
            </w:r>
          </w:p>
        </w:tc>
        <w:tc>
          <w:tcPr>
            <w:tcW w:w="1089" w:type="dxa"/>
            <w:vMerge w:val="continue"/>
            <w:tcBorders>
              <w:top w:val="nil"/>
              <w:right w:val="single" w:color="000000" w:sz="6" w:space="0"/>
            </w:tcBorders>
            <w:vAlign w:val="top"/>
          </w:tcPr>
          <w:p w14:paraId="4B65639C">
            <w:pPr>
              <w:rPr>
                <w:rFonts w:ascii="Arial"/>
                <w:sz w:val="21"/>
              </w:rPr>
            </w:pPr>
          </w:p>
        </w:tc>
      </w:tr>
      <w:tr w14:paraId="66D97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540" w:type="dxa"/>
            <w:vMerge w:val="continue"/>
            <w:tcBorders>
              <w:top w:val="nil"/>
              <w:left w:val="single" w:color="000000" w:sz="6" w:space="0"/>
              <w:bottom w:val="nil"/>
            </w:tcBorders>
            <w:vAlign w:val="top"/>
          </w:tcPr>
          <w:p w14:paraId="21497C16">
            <w:pPr>
              <w:rPr>
                <w:rFonts w:ascii="Arial"/>
                <w:sz w:val="21"/>
              </w:rPr>
            </w:pPr>
          </w:p>
        </w:tc>
        <w:tc>
          <w:tcPr>
            <w:tcW w:w="113" w:type="dxa"/>
            <w:vMerge w:val="continue"/>
            <w:tcBorders>
              <w:top w:val="nil"/>
              <w:bottom w:val="nil"/>
            </w:tcBorders>
            <w:vAlign w:val="top"/>
          </w:tcPr>
          <w:p w14:paraId="0B477F65">
            <w:pPr>
              <w:rPr>
                <w:rFonts w:ascii="Arial"/>
                <w:sz w:val="21"/>
              </w:rPr>
            </w:pPr>
          </w:p>
        </w:tc>
        <w:tc>
          <w:tcPr>
            <w:tcW w:w="9552" w:type="dxa"/>
            <w:gridSpan w:val="12"/>
            <w:vAlign w:val="top"/>
          </w:tcPr>
          <w:p w14:paraId="7D667E90">
            <w:pPr>
              <w:pStyle w:val="6"/>
              <w:spacing w:before="35" w:line="197" w:lineRule="auto"/>
              <w:ind w:left="4599"/>
              <w:rPr>
                <w:sz w:val="18"/>
                <w:szCs w:val="18"/>
              </w:rPr>
            </w:pPr>
            <w:r>
              <w:rPr>
                <w:spacing w:val="-4"/>
                <w:sz w:val="18"/>
                <w:szCs w:val="18"/>
              </w:rPr>
              <w:t>合计</w:t>
            </w:r>
          </w:p>
        </w:tc>
        <w:tc>
          <w:tcPr>
            <w:tcW w:w="754" w:type="dxa"/>
            <w:vAlign w:val="top"/>
          </w:tcPr>
          <w:p w14:paraId="37BBBFC7">
            <w:pPr>
              <w:spacing w:before="52" w:line="188" w:lineRule="auto"/>
              <w:ind w:left="29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tc>
        <w:tc>
          <w:tcPr>
            <w:tcW w:w="974" w:type="dxa"/>
            <w:vAlign w:val="top"/>
          </w:tcPr>
          <w:p w14:paraId="397DDEEA">
            <w:pPr>
              <w:spacing w:before="52" w:line="188" w:lineRule="auto"/>
              <w:ind w:left="1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115290.00</w:t>
            </w:r>
          </w:p>
        </w:tc>
        <w:tc>
          <w:tcPr>
            <w:tcW w:w="966" w:type="dxa"/>
            <w:vAlign w:val="top"/>
          </w:tcPr>
          <w:p w14:paraId="4F11B85C">
            <w:pPr>
              <w:spacing w:before="49" w:line="192" w:lineRule="auto"/>
              <w:ind w:left="461"/>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89" w:type="dxa"/>
            <w:tcBorders>
              <w:right w:val="single" w:color="000000" w:sz="6" w:space="0"/>
            </w:tcBorders>
            <w:vAlign w:val="top"/>
          </w:tcPr>
          <w:p w14:paraId="4B43CFD5">
            <w:pPr>
              <w:spacing w:before="52" w:line="188" w:lineRule="auto"/>
              <w:ind w:left="27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95700</w:t>
            </w:r>
          </w:p>
        </w:tc>
      </w:tr>
      <w:tr w14:paraId="7219D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540" w:type="dxa"/>
            <w:vMerge w:val="continue"/>
            <w:tcBorders>
              <w:top w:val="nil"/>
              <w:left w:val="single" w:color="000000" w:sz="6" w:space="0"/>
              <w:bottom w:val="single" w:color="000000" w:sz="6" w:space="0"/>
            </w:tcBorders>
            <w:vAlign w:val="top"/>
          </w:tcPr>
          <w:p w14:paraId="0C929F37">
            <w:pPr>
              <w:rPr>
                <w:rFonts w:ascii="Arial"/>
                <w:sz w:val="21"/>
              </w:rPr>
            </w:pPr>
          </w:p>
        </w:tc>
        <w:tc>
          <w:tcPr>
            <w:tcW w:w="13448" w:type="dxa"/>
            <w:gridSpan w:val="17"/>
            <w:tcBorders>
              <w:bottom w:val="single" w:color="000000" w:sz="6" w:space="0"/>
              <w:right w:val="single" w:color="000000" w:sz="6" w:space="0"/>
            </w:tcBorders>
            <w:vAlign w:val="top"/>
          </w:tcPr>
          <w:p w14:paraId="47D1D99A">
            <w:pPr>
              <w:rPr>
                <w:rFonts w:ascii="Arial"/>
                <w:sz w:val="21"/>
              </w:rPr>
            </w:pPr>
          </w:p>
        </w:tc>
      </w:tr>
    </w:tbl>
    <w:p w14:paraId="60C2D7F7">
      <w:pPr>
        <w:rPr>
          <w:rFonts w:ascii="Arial"/>
          <w:sz w:val="21"/>
        </w:rPr>
      </w:pPr>
    </w:p>
    <w:p w14:paraId="6A7AED91">
      <w:pPr>
        <w:rPr>
          <w:rFonts w:ascii="Arial" w:hAnsi="Arial" w:eastAsia="Arial" w:cs="Arial"/>
          <w:sz w:val="21"/>
          <w:szCs w:val="21"/>
        </w:rPr>
        <w:sectPr>
          <w:footerReference r:id="rId61" w:type="default"/>
          <w:pgSz w:w="16839" w:h="11906"/>
          <w:pgMar w:top="1012" w:right="1417" w:bottom="1276" w:left="1417" w:header="0" w:footer="1116" w:gutter="0"/>
          <w:cols w:space="720" w:num="1"/>
        </w:sectPr>
      </w:pPr>
    </w:p>
    <w:p w14:paraId="0D31162A">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68577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4" w:type="dxa"/>
            <w:tcBorders>
              <w:right w:val="single" w:color="000000" w:sz="2" w:space="0"/>
            </w:tcBorders>
            <w:vAlign w:val="top"/>
          </w:tcPr>
          <w:p w14:paraId="7386E497">
            <w:pPr>
              <w:rPr>
                <w:rFonts w:ascii="Arial"/>
                <w:sz w:val="21"/>
              </w:rPr>
            </w:pPr>
          </w:p>
        </w:tc>
        <w:tc>
          <w:tcPr>
            <w:tcW w:w="8600" w:type="dxa"/>
            <w:tcBorders>
              <w:left w:val="single" w:color="000000" w:sz="2" w:space="0"/>
            </w:tcBorders>
            <w:vAlign w:val="top"/>
          </w:tcPr>
          <w:p w14:paraId="64DC1E85">
            <w:pPr>
              <w:pStyle w:val="6"/>
              <w:spacing w:before="42" w:line="219" w:lineRule="auto"/>
              <w:ind w:left="598"/>
            </w:pPr>
            <w:r>
              <w:rPr>
                <w:b/>
                <w:bCs/>
                <w:spacing w:val="-4"/>
              </w:rPr>
              <w:t>（</w:t>
            </w:r>
            <w:r>
              <w:rPr>
                <w:rFonts w:ascii="Times New Roman" w:hAnsi="Times New Roman" w:eastAsia="Times New Roman" w:cs="Times New Roman"/>
                <w:b/>
                <w:bCs/>
                <w:spacing w:val="-4"/>
              </w:rPr>
              <w:t>6</w:t>
            </w:r>
            <w:r>
              <w:rPr>
                <w:b/>
                <w:bCs/>
                <w:spacing w:val="-4"/>
              </w:rPr>
              <w:t>）围栏与道路</w:t>
            </w:r>
          </w:p>
          <w:p w14:paraId="0AE128F2">
            <w:pPr>
              <w:pStyle w:val="6"/>
              <w:spacing w:before="180" w:line="345" w:lineRule="auto"/>
              <w:ind w:left="120" w:right="102" w:firstLine="467"/>
            </w:pPr>
            <w:r>
              <w:rPr>
                <w:spacing w:val="-3"/>
              </w:rPr>
              <w:t>光伏场区外缘设置不低于</w:t>
            </w:r>
            <w:r>
              <w:rPr>
                <w:spacing w:val="-30"/>
              </w:rPr>
              <w:t xml:space="preserve"> </w:t>
            </w:r>
            <w:r>
              <w:rPr>
                <w:rFonts w:ascii="Times New Roman" w:hAnsi="Times New Roman" w:eastAsia="Times New Roman" w:cs="Times New Roman"/>
                <w:spacing w:val="-3"/>
              </w:rPr>
              <w:t>1.8m</w:t>
            </w:r>
            <w:r>
              <w:rPr>
                <w:rFonts w:ascii="Times New Roman" w:hAnsi="Times New Roman" w:eastAsia="Times New Roman" w:cs="Times New Roman"/>
                <w:spacing w:val="16"/>
                <w:w w:val="101"/>
              </w:rPr>
              <w:t xml:space="preserve"> </w:t>
            </w:r>
            <w:r>
              <w:rPr>
                <w:spacing w:val="-3"/>
              </w:rPr>
              <w:t>高包塑铁丝围栏，围栏内设置</w:t>
            </w:r>
            <w:r>
              <w:rPr>
                <w:spacing w:val="-57"/>
              </w:rPr>
              <w:t xml:space="preserve"> </w:t>
            </w:r>
            <w:r>
              <w:rPr>
                <w:rFonts w:ascii="Times New Roman" w:hAnsi="Times New Roman" w:eastAsia="Times New Roman" w:cs="Times New Roman"/>
                <w:spacing w:val="-3"/>
              </w:rPr>
              <w:t>4.5m</w:t>
            </w:r>
            <w:r>
              <w:rPr>
                <w:rFonts w:ascii="Times New Roman" w:hAnsi="Times New Roman" w:eastAsia="Times New Roman" w:cs="Times New Roman"/>
                <w:spacing w:val="23"/>
              </w:rPr>
              <w:t xml:space="preserve"> </w:t>
            </w:r>
            <w:r>
              <w:rPr>
                <w:spacing w:val="-3"/>
              </w:rPr>
              <w:t>宽的防火</w:t>
            </w:r>
            <w:r>
              <w:t xml:space="preserve"> </w:t>
            </w:r>
            <w:r>
              <w:rPr>
                <w:spacing w:val="-3"/>
              </w:rPr>
              <w:t>隔离带，围栏总长度</w:t>
            </w:r>
            <w:r>
              <w:rPr>
                <w:spacing w:val="-43"/>
              </w:rPr>
              <w:t xml:space="preserve"> </w:t>
            </w:r>
            <w:r>
              <w:rPr>
                <w:rFonts w:ascii="Times New Roman" w:hAnsi="Times New Roman" w:eastAsia="Times New Roman" w:cs="Times New Roman"/>
                <w:spacing w:val="-3"/>
              </w:rPr>
              <w:t>34km</w:t>
            </w:r>
            <w:r>
              <w:rPr>
                <w:spacing w:val="-3"/>
              </w:rPr>
              <w:t>。</w:t>
            </w:r>
          </w:p>
          <w:p w14:paraId="318D9AF0">
            <w:pPr>
              <w:pStyle w:val="6"/>
              <w:spacing w:before="37" w:line="350" w:lineRule="auto"/>
              <w:ind w:left="119" w:right="102" w:firstLine="469"/>
              <w:jc w:val="both"/>
            </w:pPr>
            <w:r>
              <w:rPr>
                <w:spacing w:val="-1"/>
              </w:rPr>
              <w:t>光伏场区内交通便道根据电气设备运输和检修需要设置，光伏场区场内道路</w:t>
            </w:r>
            <w:r>
              <w:rPr>
                <w:spacing w:val="11"/>
              </w:rPr>
              <w:t xml:space="preserve"> </w:t>
            </w:r>
            <w:r>
              <w:rPr>
                <w:spacing w:val="-2"/>
              </w:rPr>
              <w:t>宽度均不小于</w:t>
            </w:r>
            <w:r>
              <w:rPr>
                <w:spacing w:val="-37"/>
              </w:rPr>
              <w:t xml:space="preserve"> </w:t>
            </w:r>
            <w:r>
              <w:rPr>
                <w:rFonts w:ascii="Times New Roman" w:hAnsi="Times New Roman" w:eastAsia="Times New Roman" w:cs="Times New Roman"/>
                <w:spacing w:val="-2"/>
              </w:rPr>
              <w:t>4.0m</w:t>
            </w:r>
            <w:r>
              <w:rPr>
                <w:rFonts w:ascii="Times New Roman" w:hAnsi="Times New Roman" w:eastAsia="Times New Roman" w:cs="Times New Roman"/>
                <w:spacing w:val="-28"/>
              </w:rPr>
              <w:t xml:space="preserve"> </w:t>
            </w:r>
            <w:r>
              <w:rPr>
                <w:spacing w:val="-2"/>
              </w:rPr>
              <w:t>，两边路肩均为</w:t>
            </w:r>
            <w:r>
              <w:rPr>
                <w:spacing w:val="-49"/>
              </w:rPr>
              <w:t xml:space="preserve"> </w:t>
            </w:r>
            <w:r>
              <w:rPr>
                <w:rFonts w:ascii="Times New Roman" w:hAnsi="Times New Roman" w:eastAsia="Times New Roman" w:cs="Times New Roman"/>
                <w:spacing w:val="-2"/>
              </w:rPr>
              <w:t>0.25m</w:t>
            </w:r>
            <w:r>
              <w:rPr>
                <w:rFonts w:ascii="Times New Roman" w:hAnsi="Times New Roman" w:eastAsia="Times New Roman" w:cs="Times New Roman"/>
                <w:spacing w:val="-27"/>
              </w:rPr>
              <w:t xml:space="preserve"> </w:t>
            </w:r>
            <w:r>
              <w:rPr>
                <w:spacing w:val="-2"/>
              </w:rPr>
              <w:t>，转弯半径</w:t>
            </w:r>
            <w:r>
              <w:rPr>
                <w:spacing w:val="-48"/>
              </w:rPr>
              <w:t xml:space="preserve"> </w:t>
            </w:r>
            <w:r>
              <w:rPr>
                <w:rFonts w:ascii="Times New Roman" w:hAnsi="Times New Roman" w:eastAsia="Times New Roman" w:cs="Times New Roman"/>
                <w:spacing w:val="-2"/>
              </w:rPr>
              <w:t>9m</w:t>
            </w:r>
            <w:r>
              <w:rPr>
                <w:rFonts w:ascii="Times New Roman" w:hAnsi="Times New Roman" w:eastAsia="Times New Roman" w:cs="Times New Roman"/>
                <w:spacing w:val="-26"/>
              </w:rPr>
              <w:t xml:space="preserve"> </w:t>
            </w:r>
            <w:r>
              <w:rPr>
                <w:spacing w:val="-2"/>
              </w:rPr>
              <w:t>，采用碎石路面。本项</w:t>
            </w:r>
            <w:r>
              <w:t xml:space="preserve"> </w:t>
            </w:r>
            <w:r>
              <w:rPr>
                <w:spacing w:val="-3"/>
              </w:rPr>
              <w:t>目场内道路长</w:t>
            </w:r>
            <w:r>
              <w:rPr>
                <w:spacing w:val="-47"/>
              </w:rPr>
              <w:t xml:space="preserve"> </w:t>
            </w:r>
            <w:r>
              <w:rPr>
                <w:rFonts w:ascii="Times New Roman" w:hAnsi="Times New Roman" w:eastAsia="Times New Roman" w:cs="Times New Roman"/>
                <w:spacing w:val="-3"/>
              </w:rPr>
              <w:t>220km</w:t>
            </w:r>
            <w:r>
              <w:rPr>
                <w:spacing w:val="-3"/>
              </w:rPr>
              <w:t>。</w:t>
            </w:r>
          </w:p>
          <w:p w14:paraId="11900966">
            <w:pPr>
              <w:pStyle w:val="6"/>
              <w:spacing w:before="35" w:line="219" w:lineRule="auto"/>
              <w:ind w:left="584"/>
            </w:pPr>
            <w:r>
              <w:rPr>
                <w:spacing w:val="-1"/>
              </w:rPr>
              <w:t>进场道路依托周围现有道路及消防通道。</w:t>
            </w:r>
          </w:p>
          <w:p w14:paraId="141E47F7">
            <w:pPr>
              <w:pStyle w:val="6"/>
              <w:spacing w:before="180" w:line="219" w:lineRule="auto"/>
              <w:ind w:left="598"/>
            </w:pPr>
            <w:r>
              <w:rPr>
                <w:b/>
                <w:bCs/>
                <w:spacing w:val="-4"/>
              </w:rPr>
              <w:t>（</w:t>
            </w:r>
            <w:r>
              <w:rPr>
                <w:rFonts w:ascii="Times New Roman" w:hAnsi="Times New Roman" w:eastAsia="Times New Roman" w:cs="Times New Roman"/>
                <w:b/>
                <w:bCs/>
                <w:spacing w:val="-4"/>
              </w:rPr>
              <w:t>7</w:t>
            </w:r>
            <w:r>
              <w:rPr>
                <w:b/>
                <w:bCs/>
                <w:spacing w:val="-4"/>
              </w:rPr>
              <w:t>）光伏辅助技术方案</w:t>
            </w:r>
          </w:p>
          <w:p w14:paraId="667053FE">
            <w:pPr>
              <w:pStyle w:val="6"/>
              <w:spacing w:before="184" w:line="217" w:lineRule="auto"/>
              <w:ind w:left="585"/>
            </w:pPr>
            <w:r>
              <w:rPr>
                <w:spacing w:val="-2"/>
              </w:rPr>
              <w:t>①积雪处理</w:t>
            </w:r>
          </w:p>
          <w:p w14:paraId="5E88A753">
            <w:pPr>
              <w:pStyle w:val="6"/>
              <w:spacing w:before="181" w:line="355" w:lineRule="auto"/>
              <w:ind w:left="108" w:right="102" w:firstLine="481"/>
            </w:pPr>
            <w:r>
              <w:rPr>
                <w:spacing w:val="-1"/>
              </w:rPr>
              <w:t>项目位于寻甸县，冬季会有少量降雪，由于光伏组件表面为玻璃结构，且采</w:t>
            </w:r>
            <w:r>
              <w:rPr>
                <w:spacing w:val="9"/>
              </w:rPr>
              <w:t xml:space="preserve"> </w:t>
            </w:r>
            <w:r>
              <w:rPr>
                <w:spacing w:val="2"/>
              </w:rPr>
              <w:t>用自洁涂层，光滑度高，不易积雪；固定式组件朝向正南，且有</w:t>
            </w:r>
            <w:r>
              <w:rPr>
                <w:spacing w:val="-34"/>
              </w:rPr>
              <w:t xml:space="preserve"> </w:t>
            </w:r>
            <w:r>
              <w:rPr>
                <w:rFonts w:ascii="Times New Roman" w:hAnsi="Times New Roman" w:eastAsia="Times New Roman" w:cs="Times New Roman"/>
                <w:spacing w:val="2"/>
              </w:rPr>
              <w:t xml:space="preserve">23 </w:t>
            </w:r>
            <w:r>
              <w:rPr>
                <w:spacing w:val="2"/>
              </w:rPr>
              <w:t>度的安装倾</w:t>
            </w:r>
            <w:r>
              <w:t xml:space="preserve"> </w:t>
            </w:r>
            <w:r>
              <w:rPr>
                <w:spacing w:val="-1"/>
              </w:rPr>
              <w:t>角，冬季受太阳能辐射量较大，且电池片经表面植绒处理，反光率低，组件运行</w:t>
            </w:r>
            <w:r>
              <w:rPr>
                <w:spacing w:val="13"/>
              </w:rPr>
              <w:t xml:space="preserve"> </w:t>
            </w:r>
            <w:r>
              <w:rPr>
                <w:spacing w:val="-1"/>
              </w:rPr>
              <w:t>时表面温升明显，组件表面不易积雪。由于以上气候及光伏组件自身特点，项目</w:t>
            </w:r>
            <w:r>
              <w:rPr>
                <w:spacing w:val="10"/>
              </w:rPr>
              <w:t xml:space="preserve"> </w:t>
            </w:r>
            <w:r>
              <w:rPr>
                <w:spacing w:val="-1"/>
              </w:rPr>
              <w:t>光伏组件表面不会出现长时间积雪情况，少量积雪会在晴天迅速融化滑落，因此</w:t>
            </w:r>
            <w:r>
              <w:rPr>
                <w:spacing w:val="13"/>
              </w:rPr>
              <w:t xml:space="preserve"> </w:t>
            </w:r>
            <w:r>
              <w:rPr>
                <w:spacing w:val="-1"/>
              </w:rPr>
              <w:t>无需采用特殊的融雪措施。</w:t>
            </w:r>
          </w:p>
          <w:p w14:paraId="4514124A">
            <w:pPr>
              <w:pStyle w:val="6"/>
              <w:spacing w:before="36" w:line="217" w:lineRule="auto"/>
              <w:ind w:left="584"/>
            </w:pPr>
            <w:r>
              <w:rPr>
                <w:spacing w:val="-2"/>
              </w:rPr>
              <w:t>②组件表面清洁</w:t>
            </w:r>
          </w:p>
          <w:p w14:paraId="7EBD2535">
            <w:pPr>
              <w:pStyle w:val="6"/>
              <w:spacing w:before="184" w:line="352" w:lineRule="auto"/>
              <w:ind w:left="105" w:right="102" w:firstLine="484"/>
            </w:pPr>
            <w:r>
              <w:rPr>
                <w:spacing w:val="-1"/>
              </w:rPr>
              <w:t>项目原理城市及工业园区，位于较为偏远的山区，空气环境中主要污染物为</w:t>
            </w:r>
            <w:r>
              <w:rPr>
                <w:spacing w:val="9"/>
              </w:rPr>
              <w:t xml:space="preserve"> </w:t>
            </w:r>
            <w:r>
              <w:rPr>
                <w:spacing w:val="-1"/>
              </w:rPr>
              <w:t>颗粒物，组件表面会沉积少量浮尘。由于组件表面进行了自洁涂层处理，在雨水</w:t>
            </w:r>
            <w:r>
              <w:rPr>
                <w:spacing w:val="13"/>
              </w:rPr>
              <w:t xml:space="preserve"> </w:t>
            </w:r>
            <w:r>
              <w:rPr>
                <w:spacing w:val="-1"/>
              </w:rPr>
              <w:t>冲刷后，组件表面的清洁度有一定的保证。项目除依靠雨水冲刷外，设置了水车</w:t>
            </w:r>
            <w:r>
              <w:rPr>
                <w:spacing w:val="13"/>
              </w:rPr>
              <w:t xml:space="preserve"> </w:t>
            </w:r>
            <w:r>
              <w:t>定期清洗与气力吹吸相结合的方案进行组件</w:t>
            </w:r>
            <w:r>
              <w:rPr>
                <w:spacing w:val="-1"/>
              </w:rPr>
              <w:t>表面清洁。详情如下：</w:t>
            </w:r>
          </w:p>
          <w:p w14:paraId="18010997">
            <w:pPr>
              <w:pStyle w:val="6"/>
              <w:spacing w:before="37" w:line="346" w:lineRule="auto"/>
              <w:ind w:left="106" w:right="40" w:firstLine="480"/>
            </w:pPr>
            <w:r>
              <w:rPr>
                <w:spacing w:val="-6"/>
              </w:rPr>
              <w:t>清洗水车和维护人员配合，利用车载水箱、水泵及水管对组件表面进行清洗，</w:t>
            </w:r>
            <w:r>
              <w:rPr>
                <w:spacing w:val="5"/>
              </w:rPr>
              <w:t xml:space="preserve"> </w:t>
            </w:r>
            <w:r>
              <w:rPr>
                <w:spacing w:val="-1"/>
              </w:rPr>
              <w:t>清洗水车仅在光伏场区内道路上行驶，不进入光伏阵列区内部。</w:t>
            </w:r>
          </w:p>
          <w:p w14:paraId="7EC3902A">
            <w:pPr>
              <w:pStyle w:val="6"/>
              <w:spacing w:before="33" w:line="350" w:lineRule="auto"/>
              <w:ind w:left="107" w:right="102" w:firstLine="480"/>
            </w:pPr>
            <w:r>
              <w:rPr>
                <w:spacing w:val="-1"/>
              </w:rPr>
              <w:t>气力吹吸是由维护人员采用便携式吹风机，在冬季易冻结期对组件表面进行</w:t>
            </w:r>
            <w:r>
              <w:rPr>
                <w:spacing w:val="12"/>
              </w:rPr>
              <w:t xml:space="preserve"> </w:t>
            </w:r>
            <w:r>
              <w:rPr>
                <w:spacing w:val="-1"/>
              </w:rPr>
              <w:t>风力吹扫。便携式吹风机是由汽油发动机带动的离心式风机、悬臂式风管机便携</w:t>
            </w:r>
            <w:r>
              <w:rPr>
                <w:spacing w:val="14"/>
              </w:rPr>
              <w:t xml:space="preserve"> </w:t>
            </w:r>
            <w:r>
              <w:rPr>
                <w:spacing w:val="-2"/>
              </w:rPr>
              <w:t>式机架组成。</w:t>
            </w:r>
          </w:p>
          <w:p w14:paraId="2DA984FB">
            <w:pPr>
              <w:pStyle w:val="6"/>
              <w:spacing w:before="37" w:line="219" w:lineRule="auto"/>
              <w:ind w:left="583"/>
            </w:pPr>
            <w:r>
              <w:rPr>
                <w:rFonts w:ascii="Times New Roman" w:hAnsi="Times New Roman" w:eastAsia="Times New Roman" w:cs="Times New Roman"/>
                <w:b/>
                <w:bCs/>
                <w:spacing w:val="-4"/>
              </w:rPr>
              <w:t>2</w:t>
            </w:r>
            <w:r>
              <w:rPr>
                <w:rFonts w:ascii="Times New Roman" w:hAnsi="Times New Roman" w:eastAsia="Times New Roman" w:cs="Times New Roman"/>
                <w:b/>
                <w:bCs/>
                <w:spacing w:val="-33"/>
              </w:rPr>
              <w:t xml:space="preserve"> </w:t>
            </w:r>
            <w:r>
              <w:rPr>
                <w:b/>
                <w:bCs/>
                <w:spacing w:val="-4"/>
              </w:rPr>
              <w:t>、</w:t>
            </w:r>
            <w:r>
              <w:rPr>
                <w:rFonts w:ascii="Times New Roman" w:hAnsi="Times New Roman" w:eastAsia="Times New Roman" w:cs="Times New Roman"/>
                <w:b/>
                <w:bCs/>
                <w:spacing w:val="-4"/>
              </w:rPr>
              <w:t xml:space="preserve">35KV </w:t>
            </w:r>
            <w:r>
              <w:rPr>
                <w:b/>
                <w:bCs/>
                <w:spacing w:val="-4"/>
              </w:rPr>
              <w:t>集电线路</w:t>
            </w:r>
          </w:p>
          <w:p w14:paraId="7B488900">
            <w:pPr>
              <w:pStyle w:val="6"/>
              <w:spacing w:before="179" w:line="342" w:lineRule="auto"/>
              <w:ind w:left="107" w:right="104" w:firstLine="478"/>
              <w:jc w:val="both"/>
            </w:pPr>
            <w:r>
              <w:rPr>
                <w:spacing w:val="-1"/>
              </w:rPr>
              <w:t>共设置</w:t>
            </w:r>
            <w:r>
              <w:rPr>
                <w:spacing w:val="-54"/>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35"/>
                <w:w w:val="101"/>
              </w:rPr>
              <w:t xml:space="preserve"> </w:t>
            </w:r>
            <w:r>
              <w:rPr>
                <w:spacing w:val="-1"/>
              </w:rPr>
              <w:t>回</w:t>
            </w:r>
            <w:r>
              <w:rPr>
                <w:spacing w:val="-48"/>
              </w:rPr>
              <w:t xml:space="preserve"> </w:t>
            </w:r>
            <w:r>
              <w:rPr>
                <w:rFonts w:ascii="Times New Roman" w:hAnsi="Times New Roman" w:eastAsia="Times New Roman" w:cs="Times New Roman"/>
                <w:spacing w:val="-1"/>
              </w:rPr>
              <w:t xml:space="preserve">35KV </w:t>
            </w:r>
            <w:r>
              <w:rPr>
                <w:spacing w:val="-1"/>
              </w:rPr>
              <w:t>集电线路，单回架空线路，共约</w:t>
            </w:r>
            <w:r>
              <w:rPr>
                <w:spacing w:val="-53"/>
              </w:rPr>
              <w:t xml:space="preserve"> </w:t>
            </w:r>
            <w:r>
              <w:rPr>
                <w:rFonts w:ascii="Times New Roman" w:hAnsi="Times New Roman" w:eastAsia="Times New Roman" w:cs="Times New Roman"/>
                <w:spacing w:val="-1"/>
              </w:rPr>
              <w:t>23.96k</w:t>
            </w:r>
            <w:r>
              <w:rPr>
                <w:rFonts w:ascii="Times New Roman" w:hAnsi="Times New Roman" w:eastAsia="Times New Roman" w:cs="Times New Roman"/>
                <w:spacing w:val="-2"/>
              </w:rPr>
              <w:t>m</w:t>
            </w:r>
            <w:r>
              <w:rPr>
                <w:rFonts w:ascii="Times New Roman" w:hAnsi="Times New Roman" w:eastAsia="Times New Roman" w:cs="Times New Roman"/>
                <w:spacing w:val="-30"/>
              </w:rPr>
              <w:t xml:space="preserve"> </w:t>
            </w:r>
            <w:r>
              <w:rPr>
                <w:spacing w:val="-2"/>
              </w:rPr>
              <w:t>，其中单回路段</w:t>
            </w:r>
            <w:r>
              <w:t xml:space="preserve"> </w:t>
            </w:r>
            <w:r>
              <w:rPr>
                <w:spacing w:val="-3"/>
              </w:rPr>
              <w:t>（架设</w:t>
            </w:r>
            <w:r>
              <w:rPr>
                <w:spacing w:val="-19"/>
              </w:rPr>
              <w:t xml:space="preserve"> </w:t>
            </w:r>
            <w:r>
              <w:rPr>
                <w:rFonts w:ascii="Times New Roman" w:hAnsi="Times New Roman" w:eastAsia="Times New Roman" w:cs="Times New Roman"/>
                <w:spacing w:val="-3"/>
              </w:rPr>
              <w:t>120</w:t>
            </w:r>
            <w:r>
              <w:rPr>
                <w:rFonts w:ascii="Times New Roman" w:hAnsi="Times New Roman" w:eastAsia="Times New Roman" w:cs="Times New Roman"/>
                <w:spacing w:val="15"/>
                <w:w w:val="101"/>
              </w:rPr>
              <w:t xml:space="preserve"> </w:t>
            </w:r>
            <w:r>
              <w:rPr>
                <w:spacing w:val="-3"/>
              </w:rPr>
              <w:t>导线）路径长度约</w:t>
            </w:r>
            <w:r>
              <w:rPr>
                <w:spacing w:val="-55"/>
              </w:rPr>
              <w:t xml:space="preserve"> </w:t>
            </w:r>
            <w:r>
              <w:rPr>
                <w:rFonts w:ascii="Times New Roman" w:hAnsi="Times New Roman" w:eastAsia="Times New Roman" w:cs="Times New Roman"/>
                <w:spacing w:val="-3"/>
              </w:rPr>
              <w:t>20.28km</w:t>
            </w:r>
            <w:r>
              <w:rPr>
                <w:rFonts w:ascii="Times New Roman" w:hAnsi="Times New Roman" w:eastAsia="Times New Roman" w:cs="Times New Roman"/>
                <w:spacing w:val="-33"/>
              </w:rPr>
              <w:t xml:space="preserve"> </w:t>
            </w:r>
            <w:r>
              <w:rPr>
                <w:spacing w:val="-3"/>
              </w:rPr>
              <w:t>、单回路段（架设</w:t>
            </w:r>
            <w:r>
              <w:rPr>
                <w:spacing w:val="-55"/>
              </w:rPr>
              <w:t xml:space="preserve"> </w:t>
            </w:r>
            <w:r>
              <w:rPr>
                <w:rFonts w:ascii="Times New Roman" w:hAnsi="Times New Roman" w:eastAsia="Times New Roman" w:cs="Times New Roman"/>
                <w:spacing w:val="-3"/>
              </w:rPr>
              <w:t>240</w:t>
            </w:r>
            <w:r>
              <w:rPr>
                <w:rFonts w:ascii="Times New Roman" w:hAnsi="Times New Roman" w:eastAsia="Times New Roman" w:cs="Times New Roman"/>
                <w:spacing w:val="16"/>
              </w:rPr>
              <w:t xml:space="preserve"> </w:t>
            </w:r>
            <w:r>
              <w:rPr>
                <w:spacing w:val="-3"/>
              </w:rPr>
              <w:t>导线）路径长度约</w:t>
            </w:r>
            <w:r>
              <w:t xml:space="preserve"> </w:t>
            </w:r>
            <w:r>
              <w:rPr>
                <w:rFonts w:ascii="Times New Roman" w:hAnsi="Times New Roman" w:eastAsia="Times New Roman" w:cs="Times New Roman"/>
                <w:spacing w:val="-2"/>
              </w:rPr>
              <w:t>3.41km</w:t>
            </w:r>
            <w:r>
              <w:rPr>
                <w:spacing w:val="-2"/>
              </w:rPr>
              <w:t>。</w:t>
            </w:r>
          </w:p>
        </w:tc>
      </w:tr>
    </w:tbl>
    <w:p w14:paraId="4D27C353">
      <w:pPr>
        <w:rPr>
          <w:rFonts w:ascii="Arial"/>
          <w:sz w:val="21"/>
        </w:rPr>
      </w:pPr>
    </w:p>
    <w:p w14:paraId="26BF12A7">
      <w:pPr>
        <w:rPr>
          <w:rFonts w:ascii="Arial" w:hAnsi="Arial" w:eastAsia="Arial" w:cs="Arial"/>
          <w:sz w:val="21"/>
          <w:szCs w:val="21"/>
        </w:rPr>
        <w:sectPr>
          <w:footerReference r:id="rId62" w:type="default"/>
          <w:pgSz w:w="11906" w:h="16839"/>
          <w:pgMar w:top="1431" w:right="1413" w:bottom="1278" w:left="1413" w:header="0" w:footer="1116" w:gutter="0"/>
          <w:cols w:space="720" w:num="1"/>
        </w:sectPr>
      </w:pPr>
    </w:p>
    <w:p w14:paraId="5C923EA5">
      <w:pPr>
        <w:spacing w:line="99" w:lineRule="exact"/>
      </w:pPr>
    </w:p>
    <w:tbl>
      <w:tblPr>
        <w:tblStyle w:val="5"/>
        <w:tblW w:w="9064"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0A817894">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26" w:hRule="atLeast"/>
        </w:trPr>
        <w:tc>
          <w:tcPr>
            <w:tcW w:w="9064" w:type="dxa"/>
            <w:vAlign w:val="top"/>
          </w:tcPr>
          <w:p w14:paraId="42B7B5CB">
            <w:pPr>
              <w:spacing w:line="43" w:lineRule="auto"/>
              <w:rPr>
                <w:rFonts w:ascii="Arial"/>
                <w:sz w:val="2"/>
              </w:rPr>
            </w:pPr>
            <w:r>
              <w:drawing>
                <wp:anchor distT="0" distB="0" distL="0" distR="0" simplePos="0" relativeHeight="251707392" behindDoc="0" locked="0" layoutInCell="1" allowOverlap="1">
                  <wp:simplePos x="0" y="0"/>
                  <wp:positionH relativeFrom="rightMargin">
                    <wp:posOffset>-5391785</wp:posOffset>
                  </wp:positionH>
                  <wp:positionV relativeFrom="topMargin">
                    <wp:posOffset>2930525</wp:posOffset>
                  </wp:positionV>
                  <wp:extent cx="6350" cy="571627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00"/>
                          <a:stretch>
                            <a:fillRect/>
                          </a:stretch>
                        </pic:blipFill>
                        <pic:spPr>
                          <a:xfrm>
                            <a:off x="0" y="0"/>
                            <a:ext cx="6350" cy="5716269"/>
                          </a:xfrm>
                          <a:prstGeom prst="rect">
                            <a:avLst/>
                          </a:prstGeom>
                        </pic:spPr>
                      </pic:pic>
                    </a:graphicData>
                  </a:graphic>
                </wp:anchor>
              </w:drawing>
            </w:r>
          </w:p>
          <w:tbl>
            <w:tblPr>
              <w:tblStyle w:val="5"/>
              <w:tblW w:w="8496"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927"/>
              <w:gridCol w:w="2993"/>
              <w:gridCol w:w="523"/>
              <w:gridCol w:w="767"/>
              <w:gridCol w:w="2736"/>
            </w:tblGrid>
            <w:tr w14:paraId="18A79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4" w:hRule="atLeast"/>
              </w:trPr>
              <w:tc>
                <w:tcPr>
                  <w:tcW w:w="8496" w:type="dxa"/>
                  <w:gridSpan w:val="6"/>
                  <w:tcBorders>
                    <w:top w:val="nil"/>
                    <w:right w:val="nil"/>
                  </w:tcBorders>
                  <w:vAlign w:val="top"/>
                </w:tcPr>
                <w:p w14:paraId="4E2A495A">
                  <w:pPr>
                    <w:pStyle w:val="6"/>
                    <w:spacing w:before="38" w:line="349" w:lineRule="auto"/>
                    <w:ind w:left="115" w:firstLine="489"/>
                    <w:jc w:val="both"/>
                  </w:pPr>
                  <w:r>
                    <w:rPr>
                      <w:spacing w:val="-4"/>
                    </w:rPr>
                    <w:t>随单回</w:t>
                  </w:r>
                  <w:r>
                    <w:rPr>
                      <w:rFonts w:ascii="Times New Roman" w:hAnsi="Times New Roman" w:eastAsia="Times New Roman" w:cs="Times New Roman"/>
                      <w:spacing w:val="-4"/>
                    </w:rPr>
                    <w:t>35KV</w:t>
                  </w:r>
                  <w:r>
                    <w:rPr>
                      <w:rFonts w:ascii="Times New Roman" w:hAnsi="Times New Roman" w:eastAsia="Times New Roman" w:cs="Times New Roman"/>
                      <w:spacing w:val="-16"/>
                    </w:rPr>
                    <w:t xml:space="preserve"> </w:t>
                  </w:r>
                  <w:r>
                    <w:rPr>
                      <w:spacing w:val="-4"/>
                    </w:rPr>
                    <w:t>集电线路新建一根</w:t>
                  </w:r>
                  <w:r>
                    <w:rPr>
                      <w:rFonts w:ascii="Times New Roman" w:hAnsi="Times New Roman" w:eastAsia="Times New Roman" w:cs="Times New Roman"/>
                      <w:spacing w:val="-4"/>
                    </w:rPr>
                    <w:t xml:space="preserve">24 </w:t>
                  </w:r>
                  <w:r>
                    <w:rPr>
                      <w:spacing w:val="-4"/>
                    </w:rPr>
                    <w:t>芯</w:t>
                  </w:r>
                  <w:r>
                    <w:rPr>
                      <w:rFonts w:ascii="Times New Roman" w:hAnsi="Times New Roman" w:eastAsia="Times New Roman" w:cs="Times New Roman"/>
                      <w:spacing w:val="-4"/>
                    </w:rPr>
                    <w:t>OPGW</w:t>
                  </w:r>
                  <w:r>
                    <w:rPr>
                      <w:rFonts w:ascii="Times New Roman" w:hAnsi="Times New Roman" w:eastAsia="Times New Roman" w:cs="Times New Roman"/>
                      <w:spacing w:val="-13"/>
                    </w:rPr>
                    <w:t xml:space="preserve"> </w:t>
                  </w:r>
                  <w:r>
                    <w:rPr>
                      <w:spacing w:val="-4"/>
                    </w:rPr>
                    <w:t>光缆，其路径长度约为</w:t>
                  </w:r>
                  <w:r>
                    <w:rPr>
                      <w:rFonts w:ascii="Times New Roman" w:hAnsi="Times New Roman" w:eastAsia="Times New Roman" w:cs="Times New Roman"/>
                      <w:spacing w:val="-4"/>
                    </w:rPr>
                    <w:t>23.96km</w:t>
                  </w:r>
                  <w:r>
                    <w:rPr>
                      <w:spacing w:val="-4"/>
                    </w:rPr>
                    <w:t>，</w:t>
                  </w:r>
                  <w:r>
                    <w:t xml:space="preserve"> </w:t>
                  </w:r>
                  <w:r>
                    <w:rPr>
                      <w:spacing w:val="-4"/>
                    </w:rPr>
                    <w:t>作为通信通道兼作地线，并随上述架空线路同路径敷设</w:t>
                  </w:r>
                  <w:r>
                    <w:rPr>
                      <w:spacing w:val="-38"/>
                    </w:rPr>
                    <w:t xml:space="preserve"> </w:t>
                  </w:r>
                  <w:r>
                    <w:rPr>
                      <w:rFonts w:ascii="Times New Roman" w:hAnsi="Times New Roman" w:eastAsia="Times New Roman" w:cs="Times New Roman"/>
                      <w:spacing w:val="-4"/>
                    </w:rPr>
                    <w:t xml:space="preserve">JLB20A-50 </w:t>
                  </w:r>
                  <w:r>
                    <w:rPr>
                      <w:spacing w:val="-4"/>
                    </w:rPr>
                    <w:t>地线一根作为</w:t>
                  </w:r>
                  <w:r>
                    <w:t xml:space="preserve"> </w:t>
                  </w:r>
                  <w:r>
                    <w:rPr>
                      <w:spacing w:val="-3"/>
                    </w:rPr>
                    <w:t>地线使用，其路径总长度约为</w:t>
                  </w:r>
                  <w:r>
                    <w:rPr>
                      <w:spacing w:val="-39"/>
                    </w:rPr>
                    <w:t xml:space="preserve"> </w:t>
                  </w:r>
                  <w:r>
                    <w:rPr>
                      <w:rFonts w:ascii="Times New Roman" w:hAnsi="Times New Roman" w:eastAsia="Times New Roman" w:cs="Times New Roman"/>
                      <w:spacing w:val="-3"/>
                    </w:rPr>
                    <w:t>23.96km</w:t>
                  </w:r>
                  <w:r>
                    <w:rPr>
                      <w:spacing w:val="-3"/>
                    </w:rPr>
                    <w:t>。</w:t>
                  </w:r>
                </w:p>
                <w:p w14:paraId="4372FEC1">
                  <w:pPr>
                    <w:pStyle w:val="6"/>
                    <w:spacing w:before="35" w:line="353" w:lineRule="auto"/>
                    <w:ind w:left="109" w:firstLine="484"/>
                    <w:jc w:val="both"/>
                  </w:pPr>
                  <w:r>
                    <w:rPr>
                      <w:spacing w:val="-3"/>
                    </w:rPr>
                    <w:t>进</w:t>
                  </w:r>
                  <w:r>
                    <w:rPr>
                      <w:spacing w:val="40"/>
                    </w:rPr>
                    <w:t xml:space="preserve">  </w:t>
                  </w:r>
                  <w:r>
                    <w:rPr>
                      <w:spacing w:val="-3"/>
                    </w:rPr>
                    <w:t>升</w:t>
                  </w:r>
                  <w:r>
                    <w:rPr>
                      <w:spacing w:val="36"/>
                    </w:rPr>
                    <w:t xml:space="preserve">  </w:t>
                  </w:r>
                  <w:r>
                    <w:rPr>
                      <w:spacing w:val="-3"/>
                    </w:rPr>
                    <w:t>压</w:t>
                  </w:r>
                  <w:r>
                    <w:rPr>
                      <w:spacing w:val="35"/>
                    </w:rPr>
                    <w:t xml:space="preserve">  </w:t>
                  </w:r>
                  <w:r>
                    <w:rPr>
                      <w:spacing w:val="-3"/>
                    </w:rPr>
                    <w:t>站</w:t>
                  </w:r>
                  <w:r>
                    <w:rPr>
                      <w:spacing w:val="50"/>
                    </w:rPr>
                    <w:t xml:space="preserve">  </w:t>
                  </w:r>
                  <w:r>
                    <w:rPr>
                      <w:spacing w:val="-3"/>
                    </w:rPr>
                    <w:t>电</w:t>
                  </w:r>
                  <w:r>
                    <w:rPr>
                      <w:spacing w:val="37"/>
                    </w:rPr>
                    <w:t xml:space="preserve">  </w:t>
                  </w:r>
                  <w:r>
                    <w:rPr>
                      <w:spacing w:val="-3"/>
                    </w:rPr>
                    <w:t>缆</w:t>
                  </w:r>
                  <w:r>
                    <w:rPr>
                      <w:spacing w:val="34"/>
                    </w:rPr>
                    <w:t xml:space="preserve">  </w:t>
                  </w:r>
                  <w:r>
                    <w:rPr>
                      <w:spacing w:val="-3"/>
                    </w:rPr>
                    <w:t>选</w:t>
                  </w:r>
                  <w:r>
                    <w:rPr>
                      <w:spacing w:val="37"/>
                    </w:rPr>
                    <w:t xml:space="preserve">  </w:t>
                  </w:r>
                  <w:r>
                    <w:rPr>
                      <w:spacing w:val="-3"/>
                    </w:rPr>
                    <w:t xml:space="preserve">用   </w:t>
                  </w:r>
                  <w:r>
                    <w:rPr>
                      <w:rFonts w:ascii="Times New Roman" w:hAnsi="Times New Roman" w:eastAsia="Times New Roman" w:cs="Times New Roman"/>
                      <w:spacing w:val="-3"/>
                    </w:rPr>
                    <w:t>ZC-YJY23-26/35kV-3*240mm</w:t>
                  </w:r>
                  <w:r>
                    <w:rPr>
                      <w:rFonts w:ascii="Times New Roman" w:hAnsi="Times New Roman" w:eastAsia="Times New Roman" w:cs="Times New Roman"/>
                      <w:spacing w:val="-3"/>
                      <w:position w:val="8"/>
                      <w:sz w:val="15"/>
                      <w:szCs w:val="15"/>
                    </w:rPr>
                    <w:t xml:space="preserve">2        </w:t>
                  </w:r>
                  <w:r>
                    <w:rPr>
                      <w:spacing w:val="-3"/>
                      <w:position w:val="11"/>
                      <w:sz w:val="12"/>
                      <w:szCs w:val="12"/>
                    </w:rPr>
                    <w:t>、</w:t>
                  </w:r>
                  <w:r>
                    <w:rPr>
                      <w:position w:val="11"/>
                      <w:sz w:val="12"/>
                      <w:szCs w:val="12"/>
                    </w:rPr>
                    <w:t xml:space="preserve"> </w:t>
                  </w:r>
                  <w:r>
                    <w:rPr>
                      <w:rFonts w:ascii="Times New Roman" w:hAnsi="Times New Roman" w:eastAsia="Times New Roman" w:cs="Times New Roman"/>
                      <w:spacing w:val="-4"/>
                    </w:rPr>
                    <w:t>ZC-YJY23-26/35kV-3*400mm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9"/>
                      <w:w w:val="101"/>
                      <w:position w:val="7"/>
                      <w:sz w:val="15"/>
                      <w:szCs w:val="15"/>
                    </w:rPr>
                    <w:t xml:space="preserve"> </w:t>
                  </w:r>
                  <w:r>
                    <w:rPr>
                      <w:spacing w:val="-4"/>
                    </w:rPr>
                    <w:t>铜芯电缆，其路径长度分别为</w:t>
                  </w:r>
                  <w:r>
                    <w:rPr>
                      <w:spacing w:val="-32"/>
                    </w:rPr>
                    <w:t xml:space="preserve"> </w:t>
                  </w:r>
                  <w:r>
                    <w:rPr>
                      <w:rFonts w:ascii="Times New Roman" w:hAnsi="Times New Roman" w:eastAsia="Times New Roman" w:cs="Times New Roman"/>
                      <w:spacing w:val="-4"/>
                    </w:rPr>
                    <w:t>1000m</w:t>
                  </w:r>
                  <w:r>
                    <w:rPr>
                      <w:rFonts w:ascii="Times New Roman" w:hAnsi="Times New Roman" w:eastAsia="Times New Roman" w:cs="Times New Roman"/>
                      <w:spacing w:val="-36"/>
                    </w:rPr>
                    <w:t xml:space="preserve"> </w:t>
                  </w:r>
                  <w:r>
                    <w:rPr>
                      <w:spacing w:val="-4"/>
                    </w:rPr>
                    <w:t>、</w:t>
                  </w:r>
                  <w:r>
                    <w:rPr>
                      <w:rFonts w:ascii="Times New Roman" w:hAnsi="Times New Roman" w:eastAsia="Times New Roman" w:cs="Times New Roman"/>
                      <w:spacing w:val="-5"/>
                    </w:rPr>
                    <w:t>1000m</w:t>
                  </w:r>
                  <w:r>
                    <w:rPr>
                      <w:rFonts w:ascii="Times New Roman" w:hAnsi="Times New Roman" w:eastAsia="Times New Roman" w:cs="Times New Roman"/>
                      <w:spacing w:val="-29"/>
                    </w:rPr>
                    <w:t xml:space="preserve"> </w:t>
                  </w:r>
                  <w:r>
                    <w:rPr>
                      <w:spacing w:val="-5"/>
                    </w:rPr>
                    <w:t>。 随</w:t>
                  </w:r>
                  <w:r>
                    <w:t xml:space="preserve"> </w:t>
                  </w:r>
                  <w:r>
                    <w:rPr>
                      <w:spacing w:val="-3"/>
                    </w:rPr>
                    <w:t>上述电缆线路同路径敷设</w:t>
                  </w:r>
                  <w:r>
                    <w:rPr>
                      <w:spacing w:val="-49"/>
                    </w:rPr>
                    <w:t xml:space="preserve"> </w:t>
                  </w:r>
                  <w:r>
                    <w:rPr>
                      <w:rFonts w:ascii="Times New Roman" w:hAnsi="Times New Roman" w:eastAsia="Times New Roman" w:cs="Times New Roman"/>
                      <w:spacing w:val="-3"/>
                    </w:rPr>
                    <w:t>24</w:t>
                  </w:r>
                  <w:r>
                    <w:rPr>
                      <w:rFonts w:ascii="Times New Roman" w:hAnsi="Times New Roman" w:eastAsia="Times New Roman" w:cs="Times New Roman"/>
                      <w:spacing w:val="14"/>
                    </w:rPr>
                    <w:t xml:space="preserve"> </w:t>
                  </w:r>
                  <w:r>
                    <w:rPr>
                      <w:spacing w:val="-3"/>
                    </w:rPr>
                    <w:t>芯非金属光缆</w:t>
                  </w:r>
                  <w:r>
                    <w:rPr>
                      <w:spacing w:val="-32"/>
                    </w:rPr>
                    <w:t xml:space="preserve"> </w:t>
                  </w:r>
                  <w:r>
                    <w:rPr>
                      <w:rFonts w:ascii="Times New Roman" w:hAnsi="Times New Roman" w:eastAsia="Times New Roman" w:cs="Times New Roman"/>
                      <w:spacing w:val="-3"/>
                    </w:rPr>
                    <w:t xml:space="preserve">1 </w:t>
                  </w:r>
                  <w:r>
                    <w:rPr>
                      <w:spacing w:val="-3"/>
                    </w:rPr>
                    <w:t>根，型号为</w:t>
                  </w:r>
                  <w:r>
                    <w:rPr>
                      <w:spacing w:val="-51"/>
                    </w:rPr>
                    <w:t xml:space="preserve"> </w:t>
                  </w:r>
                  <w:r>
                    <w:rPr>
                      <w:rFonts w:ascii="Times New Roman" w:hAnsi="Times New Roman" w:eastAsia="Times New Roman" w:cs="Times New Roman"/>
                      <w:spacing w:val="-3"/>
                    </w:rPr>
                    <w:t>GYFTZY53-24B1</w:t>
                  </w:r>
                  <w:r>
                    <w:rPr>
                      <w:spacing w:val="-3"/>
                    </w:rPr>
                    <w:t>，其路</w:t>
                  </w:r>
                  <w:r>
                    <w:t xml:space="preserve"> </w:t>
                  </w:r>
                  <w:r>
                    <w:rPr>
                      <w:spacing w:val="-1"/>
                    </w:rPr>
                    <w:t>径总长度约为</w:t>
                  </w:r>
                  <w:r>
                    <w:rPr>
                      <w:spacing w:val="-54"/>
                    </w:rPr>
                    <w:t xml:space="preserve"> </w:t>
                  </w:r>
                  <w:r>
                    <w:rPr>
                      <w:rFonts w:ascii="Times New Roman" w:hAnsi="Times New Roman" w:eastAsia="Times New Roman" w:cs="Times New Roman"/>
                      <w:spacing w:val="-1"/>
                    </w:rPr>
                    <w:t>2500m</w:t>
                  </w:r>
                  <w:r>
                    <w:rPr>
                      <w:spacing w:val="-1"/>
                    </w:rPr>
                    <w:t>。</w:t>
                  </w:r>
                </w:p>
                <w:p w14:paraId="38398793">
                  <w:pPr>
                    <w:pStyle w:val="6"/>
                    <w:spacing w:before="33" w:line="346" w:lineRule="auto"/>
                    <w:ind w:left="121" w:firstLine="474"/>
                  </w:pPr>
                  <w:r>
                    <w:rPr>
                      <w:spacing w:val="-3"/>
                    </w:rPr>
                    <w:t>集电线路铁塔主要有直线塔、转角塔。</w:t>
                  </w:r>
                  <w:r>
                    <w:rPr>
                      <w:rFonts w:ascii="Times New Roman" w:hAnsi="Times New Roman" w:eastAsia="Times New Roman" w:cs="Times New Roman"/>
                      <w:spacing w:val="-3"/>
                    </w:rPr>
                    <w:t xml:space="preserve">35KV </w:t>
                  </w:r>
                  <w:r>
                    <w:rPr>
                      <w:spacing w:val="-3"/>
                    </w:rPr>
                    <w:t>集电线路材料表见表</w:t>
                  </w:r>
                  <w:r>
                    <w:rPr>
                      <w:spacing w:val="-39"/>
                    </w:rPr>
                    <w:t xml:space="preserve"> </w:t>
                  </w:r>
                  <w:r>
                    <w:rPr>
                      <w:rFonts w:ascii="Times New Roman" w:hAnsi="Times New Roman" w:eastAsia="Times New Roman" w:cs="Times New Roman"/>
                      <w:spacing w:val="-3"/>
                    </w:rPr>
                    <w:t>2-7</w:t>
                  </w:r>
                  <w:r>
                    <w:rPr>
                      <w:spacing w:val="-3"/>
                    </w:rPr>
                    <w:t>，塔基</w:t>
                  </w:r>
                  <w:r>
                    <w:t xml:space="preserve"> </w:t>
                  </w:r>
                  <w:r>
                    <w:rPr>
                      <w:spacing w:val="-2"/>
                    </w:rPr>
                    <w:t>结构材料表见表</w:t>
                  </w:r>
                  <w:r>
                    <w:rPr>
                      <w:spacing w:val="-50"/>
                    </w:rPr>
                    <w:t xml:space="preserve"> </w:t>
                  </w:r>
                  <w:r>
                    <w:rPr>
                      <w:rFonts w:ascii="Times New Roman" w:hAnsi="Times New Roman" w:eastAsia="Times New Roman" w:cs="Times New Roman"/>
                      <w:spacing w:val="-2"/>
                    </w:rPr>
                    <w:t xml:space="preserve">2-8 </w:t>
                  </w:r>
                  <w:r>
                    <w:rPr>
                      <w:spacing w:val="-2"/>
                    </w:rPr>
                    <w:t>所示：</w:t>
                  </w:r>
                </w:p>
                <w:p w14:paraId="311C4B0D">
                  <w:pPr>
                    <w:pStyle w:val="6"/>
                    <w:spacing w:before="28" w:line="227" w:lineRule="auto"/>
                    <w:ind w:left="2693"/>
                    <w:rPr>
                      <w:sz w:val="20"/>
                      <w:szCs w:val="20"/>
                    </w:rPr>
                  </w:pPr>
                  <w:r>
                    <w:rPr>
                      <w:b/>
                      <w:bCs/>
                      <w:spacing w:val="6"/>
                      <w:sz w:val="20"/>
                      <w:szCs w:val="20"/>
                    </w:rPr>
                    <w:t>表</w:t>
                  </w:r>
                  <w:r>
                    <w:rPr>
                      <w:spacing w:val="-38"/>
                      <w:sz w:val="20"/>
                      <w:szCs w:val="20"/>
                    </w:rPr>
                    <w:t xml:space="preserve"> </w:t>
                  </w:r>
                  <w:r>
                    <w:rPr>
                      <w:rFonts w:ascii="Times New Roman" w:hAnsi="Times New Roman" w:eastAsia="Times New Roman" w:cs="Times New Roman"/>
                      <w:b/>
                      <w:bCs/>
                      <w:spacing w:val="6"/>
                      <w:sz w:val="20"/>
                      <w:szCs w:val="20"/>
                    </w:rPr>
                    <w:t>2-7    35</w:t>
                  </w:r>
                  <w:r>
                    <w:rPr>
                      <w:rFonts w:ascii="Times New Roman" w:hAnsi="Times New Roman" w:eastAsia="Times New Roman" w:cs="Times New Roman"/>
                      <w:b/>
                      <w:bCs/>
                      <w:sz w:val="20"/>
                      <w:szCs w:val="20"/>
                    </w:rPr>
                    <w:t>KV</w:t>
                  </w:r>
                  <w:r>
                    <w:rPr>
                      <w:rFonts w:ascii="Times New Roman" w:hAnsi="Times New Roman" w:eastAsia="Times New Roman" w:cs="Times New Roman"/>
                      <w:b/>
                      <w:bCs/>
                      <w:spacing w:val="6"/>
                      <w:sz w:val="20"/>
                      <w:szCs w:val="20"/>
                    </w:rPr>
                    <w:t xml:space="preserve"> </w:t>
                  </w:r>
                  <w:r>
                    <w:rPr>
                      <w:b/>
                      <w:bCs/>
                      <w:spacing w:val="6"/>
                      <w:sz w:val="20"/>
                      <w:szCs w:val="20"/>
                    </w:rPr>
                    <w:t>集电线路材料一览表</w:t>
                  </w:r>
                </w:p>
              </w:tc>
            </w:tr>
            <w:tr w14:paraId="2405A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0" w:type="dxa"/>
                  <w:textDirection w:val="tbRlV"/>
                  <w:vAlign w:val="top"/>
                </w:tcPr>
                <w:p w14:paraId="234E1BE5">
                  <w:pPr>
                    <w:pStyle w:val="6"/>
                    <w:spacing w:before="111" w:line="218" w:lineRule="auto"/>
                    <w:ind w:left="33"/>
                    <w:rPr>
                      <w:sz w:val="20"/>
                      <w:szCs w:val="20"/>
                    </w:rPr>
                  </w:pPr>
                  <w:r>
                    <w:rPr>
                      <w:b/>
                      <w:bCs/>
                      <w:spacing w:val="6"/>
                      <w:sz w:val="20"/>
                      <w:szCs w:val="20"/>
                    </w:rPr>
                    <w:t>序</w:t>
                  </w:r>
                  <w:r>
                    <w:rPr>
                      <w:spacing w:val="-38"/>
                      <w:sz w:val="20"/>
                      <w:szCs w:val="20"/>
                    </w:rPr>
                    <w:t xml:space="preserve"> </w:t>
                  </w:r>
                  <w:r>
                    <w:rPr>
                      <w:b/>
                      <w:bCs/>
                      <w:spacing w:val="6"/>
                      <w:sz w:val="20"/>
                      <w:szCs w:val="20"/>
                    </w:rPr>
                    <w:t>号</w:t>
                  </w:r>
                </w:p>
              </w:tc>
              <w:tc>
                <w:tcPr>
                  <w:tcW w:w="927" w:type="dxa"/>
                  <w:vAlign w:val="top"/>
                </w:tcPr>
                <w:p w14:paraId="48AD9EDA">
                  <w:pPr>
                    <w:pStyle w:val="6"/>
                    <w:spacing w:before="32" w:line="234" w:lineRule="auto"/>
                    <w:ind w:left="152" w:right="146" w:firstLine="3"/>
                    <w:rPr>
                      <w:sz w:val="20"/>
                      <w:szCs w:val="20"/>
                    </w:rPr>
                  </w:pPr>
                  <w:r>
                    <w:rPr>
                      <w:b/>
                      <w:bCs/>
                      <w:spacing w:val="4"/>
                      <w:sz w:val="20"/>
                      <w:szCs w:val="20"/>
                    </w:rPr>
                    <w:t>设备材</w:t>
                  </w:r>
                  <w:r>
                    <w:rPr>
                      <w:sz w:val="20"/>
                      <w:szCs w:val="20"/>
                    </w:rPr>
                    <w:t xml:space="preserve"> </w:t>
                  </w:r>
                  <w:r>
                    <w:rPr>
                      <w:b/>
                      <w:bCs/>
                      <w:spacing w:val="5"/>
                      <w:sz w:val="20"/>
                      <w:szCs w:val="20"/>
                    </w:rPr>
                    <w:t>料名称</w:t>
                  </w:r>
                </w:p>
              </w:tc>
              <w:tc>
                <w:tcPr>
                  <w:tcW w:w="2993" w:type="dxa"/>
                  <w:vAlign w:val="top"/>
                </w:tcPr>
                <w:p w14:paraId="40091944">
                  <w:pPr>
                    <w:pStyle w:val="6"/>
                    <w:spacing w:before="166" w:line="228" w:lineRule="auto"/>
                    <w:ind w:left="981"/>
                    <w:rPr>
                      <w:sz w:val="20"/>
                      <w:szCs w:val="20"/>
                    </w:rPr>
                  </w:pPr>
                  <w:r>
                    <w:rPr>
                      <w:b/>
                      <w:bCs/>
                      <w:spacing w:val="5"/>
                      <w:sz w:val="20"/>
                      <w:szCs w:val="20"/>
                    </w:rPr>
                    <w:t>型号及规格</w:t>
                  </w:r>
                </w:p>
              </w:tc>
              <w:tc>
                <w:tcPr>
                  <w:tcW w:w="523" w:type="dxa"/>
                  <w:textDirection w:val="tbRlV"/>
                  <w:vAlign w:val="top"/>
                </w:tcPr>
                <w:p w14:paraId="7F287223">
                  <w:pPr>
                    <w:pStyle w:val="6"/>
                    <w:spacing w:before="153" w:line="216" w:lineRule="auto"/>
                    <w:ind w:left="33"/>
                    <w:rPr>
                      <w:sz w:val="20"/>
                      <w:szCs w:val="20"/>
                    </w:rPr>
                  </w:pPr>
                  <w:r>
                    <w:rPr>
                      <w:b/>
                      <w:bCs/>
                      <w:spacing w:val="6"/>
                      <w:sz w:val="20"/>
                      <w:szCs w:val="20"/>
                    </w:rPr>
                    <w:t>单</w:t>
                  </w:r>
                  <w:r>
                    <w:rPr>
                      <w:spacing w:val="-38"/>
                      <w:sz w:val="20"/>
                      <w:szCs w:val="20"/>
                    </w:rPr>
                    <w:t xml:space="preserve"> </w:t>
                  </w:r>
                  <w:r>
                    <w:rPr>
                      <w:b/>
                      <w:bCs/>
                      <w:spacing w:val="6"/>
                      <w:sz w:val="20"/>
                      <w:szCs w:val="20"/>
                    </w:rPr>
                    <w:t>位</w:t>
                  </w:r>
                </w:p>
              </w:tc>
              <w:tc>
                <w:tcPr>
                  <w:tcW w:w="767" w:type="dxa"/>
                  <w:vAlign w:val="top"/>
                </w:tcPr>
                <w:p w14:paraId="77E488A0">
                  <w:pPr>
                    <w:pStyle w:val="6"/>
                    <w:spacing w:before="166" w:line="228" w:lineRule="auto"/>
                    <w:ind w:left="182"/>
                    <w:rPr>
                      <w:sz w:val="20"/>
                      <w:szCs w:val="20"/>
                    </w:rPr>
                  </w:pPr>
                  <w:r>
                    <w:rPr>
                      <w:b/>
                      <w:bCs/>
                      <w:spacing w:val="3"/>
                      <w:sz w:val="20"/>
                      <w:szCs w:val="20"/>
                    </w:rPr>
                    <w:t>数量</w:t>
                  </w:r>
                </w:p>
              </w:tc>
              <w:tc>
                <w:tcPr>
                  <w:tcW w:w="2736" w:type="dxa"/>
                  <w:vAlign w:val="top"/>
                </w:tcPr>
                <w:p w14:paraId="008A7912">
                  <w:pPr>
                    <w:pStyle w:val="6"/>
                    <w:spacing w:before="167" w:line="229" w:lineRule="auto"/>
                    <w:ind w:left="1166"/>
                    <w:rPr>
                      <w:sz w:val="20"/>
                      <w:szCs w:val="20"/>
                    </w:rPr>
                  </w:pPr>
                  <w:r>
                    <w:rPr>
                      <w:b/>
                      <w:bCs/>
                      <w:spacing w:val="2"/>
                      <w:sz w:val="20"/>
                      <w:szCs w:val="20"/>
                    </w:rPr>
                    <w:t>备注</w:t>
                  </w:r>
                </w:p>
              </w:tc>
            </w:tr>
            <w:tr w14:paraId="4B1B3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550" w:type="dxa"/>
                  <w:vAlign w:val="top"/>
                </w:tcPr>
                <w:p w14:paraId="3B613E24">
                  <w:pPr>
                    <w:spacing w:line="265" w:lineRule="auto"/>
                    <w:rPr>
                      <w:rFonts w:ascii="Arial"/>
                      <w:sz w:val="21"/>
                    </w:rPr>
                  </w:pPr>
                </w:p>
                <w:p w14:paraId="7E7C5CD5">
                  <w:pPr>
                    <w:spacing w:before="58"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7" w:type="dxa"/>
                  <w:vAlign w:val="top"/>
                </w:tcPr>
                <w:p w14:paraId="4FEA9ECB">
                  <w:pPr>
                    <w:pStyle w:val="6"/>
                    <w:spacing w:before="289" w:line="228" w:lineRule="auto"/>
                    <w:ind w:left="263"/>
                    <w:rPr>
                      <w:sz w:val="20"/>
                      <w:szCs w:val="20"/>
                    </w:rPr>
                  </w:pPr>
                  <w:r>
                    <w:rPr>
                      <w:spacing w:val="2"/>
                      <w:sz w:val="20"/>
                      <w:szCs w:val="20"/>
                    </w:rPr>
                    <w:t>导线</w:t>
                  </w:r>
                </w:p>
              </w:tc>
              <w:tc>
                <w:tcPr>
                  <w:tcW w:w="2993" w:type="dxa"/>
                  <w:vAlign w:val="top"/>
                </w:tcPr>
                <w:p w14:paraId="395C10F4">
                  <w:pPr>
                    <w:spacing w:line="261" w:lineRule="auto"/>
                    <w:rPr>
                      <w:rFonts w:ascii="Arial"/>
                      <w:sz w:val="21"/>
                    </w:rPr>
                  </w:pPr>
                </w:p>
                <w:p w14:paraId="4023A92D">
                  <w:pPr>
                    <w:spacing w:before="58" w:line="199" w:lineRule="auto"/>
                    <w:ind w:left="832"/>
                    <w:rPr>
                      <w:rFonts w:ascii="Times New Roman" w:hAnsi="Times New Roman" w:eastAsia="Times New Roman" w:cs="Times New Roman"/>
                      <w:sz w:val="20"/>
                      <w:szCs w:val="20"/>
                    </w:rPr>
                  </w:pPr>
                  <w:r>
                    <w:rPr>
                      <w:rFonts w:ascii="Times New Roman" w:hAnsi="Times New Roman" w:eastAsia="Times New Roman" w:cs="Times New Roman"/>
                      <w:sz w:val="20"/>
                      <w:szCs w:val="20"/>
                    </w:rPr>
                    <w:t>JL</w:t>
                  </w:r>
                  <w:r>
                    <w:rPr>
                      <w:rFonts w:ascii="Times New Roman" w:hAnsi="Times New Roman" w:eastAsia="Times New Roman" w:cs="Times New Roman"/>
                      <w:spacing w:val="5"/>
                      <w:sz w:val="20"/>
                      <w:szCs w:val="20"/>
                    </w:rPr>
                    <w:t>/G1A-120/25</w:t>
                  </w:r>
                </w:p>
              </w:tc>
              <w:tc>
                <w:tcPr>
                  <w:tcW w:w="523" w:type="dxa"/>
                  <w:vAlign w:val="top"/>
                </w:tcPr>
                <w:p w14:paraId="1D0D8E84">
                  <w:pPr>
                    <w:spacing w:line="262" w:lineRule="auto"/>
                    <w:rPr>
                      <w:rFonts w:ascii="Arial"/>
                      <w:sz w:val="21"/>
                    </w:rPr>
                  </w:pPr>
                </w:p>
                <w:p w14:paraId="79FD71C7">
                  <w:pPr>
                    <w:spacing w:before="57" w:line="199"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767" w:type="dxa"/>
                  <w:vAlign w:val="top"/>
                </w:tcPr>
                <w:p w14:paraId="5A34914B">
                  <w:pPr>
                    <w:spacing w:line="265" w:lineRule="auto"/>
                    <w:rPr>
                      <w:rFonts w:ascii="Arial"/>
                      <w:sz w:val="21"/>
                    </w:rPr>
                  </w:pPr>
                </w:p>
                <w:p w14:paraId="36CC0F4B">
                  <w:pPr>
                    <w:spacing w:before="5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57.3</w:t>
                  </w:r>
                </w:p>
              </w:tc>
              <w:tc>
                <w:tcPr>
                  <w:tcW w:w="2736" w:type="dxa"/>
                  <w:vAlign w:val="top"/>
                </w:tcPr>
                <w:p w14:paraId="0D57DBDB">
                  <w:pPr>
                    <w:pStyle w:val="6"/>
                    <w:spacing w:before="31" w:line="228" w:lineRule="auto"/>
                    <w:ind w:right="14"/>
                    <w:jc w:val="right"/>
                    <w:rPr>
                      <w:sz w:val="20"/>
                      <w:szCs w:val="20"/>
                    </w:rPr>
                  </w:pPr>
                  <w:r>
                    <w:rPr>
                      <w:spacing w:val="1"/>
                      <w:sz w:val="20"/>
                      <w:szCs w:val="20"/>
                    </w:rPr>
                    <w:t>单回路</w:t>
                  </w:r>
                  <w:r>
                    <w:rPr>
                      <w:spacing w:val="-21"/>
                      <w:sz w:val="20"/>
                      <w:szCs w:val="20"/>
                    </w:rPr>
                    <w:t xml:space="preserve"> </w:t>
                  </w:r>
                  <w:r>
                    <w:rPr>
                      <w:rFonts w:ascii="Times New Roman" w:hAnsi="Times New Roman" w:eastAsia="Times New Roman" w:cs="Times New Roman"/>
                      <w:spacing w:val="1"/>
                      <w:sz w:val="20"/>
                      <w:szCs w:val="20"/>
                    </w:rPr>
                    <w:t>18.37</w:t>
                  </w:r>
                  <w:r>
                    <w:rPr>
                      <w:rFonts w:ascii="Times New Roman" w:hAnsi="Times New Roman" w:eastAsia="Times New Roman" w:cs="Times New Roman"/>
                      <w:sz w:val="20"/>
                      <w:szCs w:val="20"/>
                    </w:rPr>
                    <w:t>km</w:t>
                  </w:r>
                  <w:r>
                    <w:rPr>
                      <w:spacing w:val="1"/>
                      <w:sz w:val="20"/>
                      <w:szCs w:val="20"/>
                    </w:rPr>
                    <w:t>，导线长度：</w:t>
                  </w:r>
                </w:p>
                <w:p w14:paraId="6696C3FB">
                  <w:pPr>
                    <w:spacing w:before="42" w:line="197"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(18.37</w:t>
                  </w:r>
                  <w:r>
                    <w:rPr>
                      <w:rFonts w:ascii="Times New Roman" w:hAnsi="Times New Roman" w:eastAsia="Times New Roman" w:cs="Times New Roman"/>
                      <w:sz w:val="20"/>
                      <w:szCs w:val="20"/>
                    </w:rPr>
                    <w:t>km</w:t>
                  </w:r>
                  <w:r>
                    <w:rPr>
                      <w:rFonts w:ascii="Times New Roman" w:hAnsi="Times New Roman" w:eastAsia="Times New Roman" w:cs="Times New Roman"/>
                      <w:spacing w:val="4"/>
                      <w:sz w:val="20"/>
                      <w:szCs w:val="20"/>
                    </w:rPr>
                    <w:t>×1.03+36×0.005)×3</w:t>
                  </w:r>
                </w:p>
                <w:p w14:paraId="23DA56CB">
                  <w:pPr>
                    <w:pStyle w:val="6"/>
                    <w:spacing w:line="270" w:lineRule="exact"/>
                    <w:ind w:left="892"/>
                    <w:rPr>
                      <w:rFonts w:ascii="Times New Roman" w:hAnsi="Times New Roman" w:eastAsia="Times New Roman" w:cs="Times New Roman"/>
                      <w:sz w:val="20"/>
                      <w:szCs w:val="20"/>
                    </w:rPr>
                  </w:pPr>
                  <w:r>
                    <w:rPr>
                      <w:spacing w:val="5"/>
                      <w:position w:val="1"/>
                      <w:sz w:val="20"/>
                      <w:szCs w:val="20"/>
                    </w:rPr>
                    <w:t>相</w:t>
                  </w:r>
                  <w:r>
                    <w:rPr>
                      <w:rFonts w:ascii="Times New Roman" w:hAnsi="Times New Roman" w:eastAsia="Times New Roman" w:cs="Times New Roman"/>
                      <w:spacing w:val="5"/>
                      <w:position w:val="1"/>
                      <w:sz w:val="20"/>
                      <w:szCs w:val="20"/>
                    </w:rPr>
                    <w:t>=57.3</w:t>
                  </w:r>
                  <w:r>
                    <w:rPr>
                      <w:rFonts w:ascii="Times New Roman" w:hAnsi="Times New Roman" w:eastAsia="Times New Roman" w:cs="Times New Roman"/>
                      <w:position w:val="1"/>
                      <w:sz w:val="20"/>
                      <w:szCs w:val="20"/>
                    </w:rPr>
                    <w:t>km</w:t>
                  </w:r>
                </w:p>
              </w:tc>
            </w:tr>
            <w:tr w14:paraId="38885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550" w:type="dxa"/>
                  <w:vAlign w:val="top"/>
                </w:tcPr>
                <w:p w14:paraId="6C568C2A">
                  <w:pPr>
                    <w:spacing w:line="266" w:lineRule="auto"/>
                    <w:rPr>
                      <w:rFonts w:ascii="Arial"/>
                      <w:sz w:val="21"/>
                    </w:rPr>
                  </w:pPr>
                </w:p>
                <w:p w14:paraId="53BBC737">
                  <w:pPr>
                    <w:spacing w:before="5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7" w:type="dxa"/>
                  <w:vAlign w:val="top"/>
                </w:tcPr>
                <w:p w14:paraId="179437AC">
                  <w:pPr>
                    <w:pStyle w:val="6"/>
                    <w:spacing w:before="287" w:line="228" w:lineRule="auto"/>
                    <w:ind w:left="263"/>
                    <w:rPr>
                      <w:sz w:val="20"/>
                      <w:szCs w:val="20"/>
                    </w:rPr>
                  </w:pPr>
                  <w:r>
                    <w:rPr>
                      <w:spacing w:val="2"/>
                      <w:sz w:val="20"/>
                      <w:szCs w:val="20"/>
                    </w:rPr>
                    <w:t>导线</w:t>
                  </w:r>
                </w:p>
              </w:tc>
              <w:tc>
                <w:tcPr>
                  <w:tcW w:w="2993" w:type="dxa"/>
                  <w:vAlign w:val="top"/>
                </w:tcPr>
                <w:p w14:paraId="6E4A5D38">
                  <w:pPr>
                    <w:spacing w:line="262" w:lineRule="auto"/>
                    <w:rPr>
                      <w:rFonts w:ascii="Arial"/>
                      <w:sz w:val="21"/>
                    </w:rPr>
                  </w:pPr>
                </w:p>
                <w:p w14:paraId="0AB375FC">
                  <w:pPr>
                    <w:spacing w:before="58" w:line="199" w:lineRule="auto"/>
                    <w:ind w:left="832"/>
                    <w:rPr>
                      <w:rFonts w:ascii="Times New Roman" w:hAnsi="Times New Roman" w:eastAsia="Times New Roman" w:cs="Times New Roman"/>
                      <w:sz w:val="20"/>
                      <w:szCs w:val="20"/>
                    </w:rPr>
                  </w:pPr>
                  <w:r>
                    <w:rPr>
                      <w:rFonts w:ascii="Times New Roman" w:hAnsi="Times New Roman" w:eastAsia="Times New Roman" w:cs="Times New Roman"/>
                      <w:sz w:val="20"/>
                      <w:szCs w:val="20"/>
                    </w:rPr>
                    <w:t>JL</w:t>
                  </w:r>
                  <w:r>
                    <w:rPr>
                      <w:rFonts w:ascii="Times New Roman" w:hAnsi="Times New Roman" w:eastAsia="Times New Roman" w:cs="Times New Roman"/>
                      <w:spacing w:val="5"/>
                      <w:sz w:val="20"/>
                      <w:szCs w:val="20"/>
                    </w:rPr>
                    <w:t>/G1A-240/30</w:t>
                  </w:r>
                </w:p>
              </w:tc>
              <w:tc>
                <w:tcPr>
                  <w:tcW w:w="523" w:type="dxa"/>
                  <w:vAlign w:val="top"/>
                </w:tcPr>
                <w:p w14:paraId="128CA855">
                  <w:pPr>
                    <w:spacing w:line="262" w:lineRule="auto"/>
                    <w:rPr>
                      <w:rFonts w:ascii="Arial"/>
                      <w:sz w:val="21"/>
                    </w:rPr>
                  </w:pPr>
                </w:p>
                <w:p w14:paraId="451B0B67">
                  <w:pPr>
                    <w:spacing w:before="58" w:line="199"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767" w:type="dxa"/>
                  <w:vAlign w:val="top"/>
                </w:tcPr>
                <w:p w14:paraId="7AAFB44B">
                  <w:pPr>
                    <w:spacing w:line="266" w:lineRule="auto"/>
                    <w:rPr>
                      <w:rFonts w:ascii="Arial"/>
                      <w:sz w:val="21"/>
                    </w:rPr>
                  </w:pPr>
                </w:p>
                <w:p w14:paraId="43C6F4E5">
                  <w:pPr>
                    <w:spacing w:before="5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10.8</w:t>
                  </w:r>
                </w:p>
              </w:tc>
              <w:tc>
                <w:tcPr>
                  <w:tcW w:w="2736" w:type="dxa"/>
                  <w:vAlign w:val="top"/>
                </w:tcPr>
                <w:p w14:paraId="4234D6D9">
                  <w:pPr>
                    <w:pStyle w:val="6"/>
                    <w:spacing w:before="32" w:line="228" w:lineRule="auto"/>
                    <w:ind w:left="116"/>
                    <w:rPr>
                      <w:sz w:val="20"/>
                      <w:szCs w:val="20"/>
                    </w:rPr>
                  </w:pPr>
                  <w:r>
                    <w:rPr>
                      <w:spacing w:val="4"/>
                      <w:sz w:val="20"/>
                      <w:szCs w:val="20"/>
                    </w:rPr>
                    <w:t>单回路</w:t>
                  </w:r>
                  <w:r>
                    <w:rPr>
                      <w:spacing w:val="-31"/>
                      <w:sz w:val="20"/>
                      <w:szCs w:val="20"/>
                    </w:rPr>
                    <w:t xml:space="preserve"> </w:t>
                  </w:r>
                  <w:r>
                    <w:rPr>
                      <w:rFonts w:ascii="Times New Roman" w:hAnsi="Times New Roman" w:eastAsia="Times New Roman" w:cs="Times New Roman"/>
                      <w:spacing w:val="4"/>
                      <w:sz w:val="20"/>
                      <w:szCs w:val="20"/>
                    </w:rPr>
                    <w:t>3.41</w:t>
                  </w:r>
                  <w:r>
                    <w:rPr>
                      <w:rFonts w:ascii="Times New Roman" w:hAnsi="Times New Roman" w:eastAsia="Times New Roman" w:cs="Times New Roman"/>
                      <w:sz w:val="20"/>
                      <w:szCs w:val="20"/>
                    </w:rPr>
                    <w:t>km</w:t>
                  </w:r>
                  <w:r>
                    <w:rPr>
                      <w:rFonts w:ascii="Times New Roman" w:hAnsi="Times New Roman" w:eastAsia="Times New Roman" w:cs="Times New Roman"/>
                      <w:spacing w:val="-21"/>
                      <w:sz w:val="20"/>
                      <w:szCs w:val="20"/>
                    </w:rPr>
                    <w:t xml:space="preserve"> </w:t>
                  </w:r>
                  <w:r>
                    <w:rPr>
                      <w:spacing w:val="4"/>
                      <w:sz w:val="20"/>
                      <w:szCs w:val="20"/>
                    </w:rPr>
                    <w:t>，导线长度：</w:t>
                  </w:r>
                </w:p>
                <w:p w14:paraId="7D3A3E9F">
                  <w:pPr>
                    <w:spacing w:before="42" w:line="197"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(3.41</w:t>
                  </w:r>
                  <w:r>
                    <w:rPr>
                      <w:rFonts w:ascii="Times New Roman" w:hAnsi="Times New Roman" w:eastAsia="Times New Roman" w:cs="Times New Roman"/>
                      <w:sz w:val="20"/>
                      <w:szCs w:val="20"/>
                    </w:rPr>
                    <w:t>km</w:t>
                  </w:r>
                  <w:r>
                    <w:rPr>
                      <w:rFonts w:ascii="Times New Roman" w:hAnsi="Times New Roman" w:eastAsia="Times New Roman" w:cs="Times New Roman"/>
                      <w:spacing w:val="4"/>
                      <w:sz w:val="20"/>
                      <w:szCs w:val="20"/>
                    </w:rPr>
                    <w:t>×1.03+20×0.005)×3</w:t>
                  </w:r>
                </w:p>
                <w:p w14:paraId="2AE07764">
                  <w:pPr>
                    <w:pStyle w:val="6"/>
                    <w:spacing w:line="269" w:lineRule="exact"/>
                    <w:ind w:left="892"/>
                    <w:rPr>
                      <w:rFonts w:ascii="Times New Roman" w:hAnsi="Times New Roman" w:eastAsia="Times New Roman" w:cs="Times New Roman"/>
                      <w:sz w:val="20"/>
                      <w:szCs w:val="20"/>
                    </w:rPr>
                  </w:pPr>
                  <w:r>
                    <w:rPr>
                      <w:spacing w:val="5"/>
                      <w:position w:val="1"/>
                      <w:sz w:val="20"/>
                      <w:szCs w:val="20"/>
                    </w:rPr>
                    <w:t>相</w:t>
                  </w:r>
                  <w:r>
                    <w:rPr>
                      <w:rFonts w:ascii="Times New Roman" w:hAnsi="Times New Roman" w:eastAsia="Times New Roman" w:cs="Times New Roman"/>
                      <w:spacing w:val="5"/>
                      <w:position w:val="1"/>
                      <w:sz w:val="20"/>
                      <w:szCs w:val="20"/>
                    </w:rPr>
                    <w:t>=10.8</w:t>
                  </w:r>
                  <w:r>
                    <w:rPr>
                      <w:rFonts w:ascii="Times New Roman" w:hAnsi="Times New Roman" w:eastAsia="Times New Roman" w:cs="Times New Roman"/>
                      <w:position w:val="1"/>
                      <w:sz w:val="20"/>
                      <w:szCs w:val="20"/>
                    </w:rPr>
                    <w:t>km</w:t>
                  </w:r>
                </w:p>
              </w:tc>
            </w:tr>
            <w:tr w14:paraId="1C909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0" w:type="dxa"/>
                  <w:vAlign w:val="top"/>
                </w:tcPr>
                <w:p w14:paraId="6C38CC9F">
                  <w:pPr>
                    <w:spacing w:line="281" w:lineRule="auto"/>
                    <w:rPr>
                      <w:rFonts w:ascii="Arial"/>
                      <w:sz w:val="21"/>
                    </w:rPr>
                  </w:pPr>
                </w:p>
                <w:p w14:paraId="60FACDCA">
                  <w:pPr>
                    <w:spacing w:before="5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7" w:type="dxa"/>
                  <w:vAlign w:val="top"/>
                </w:tcPr>
                <w:p w14:paraId="1E7FB7EC">
                  <w:pPr>
                    <w:pStyle w:val="6"/>
                    <w:spacing w:before="31" w:line="228" w:lineRule="auto"/>
                    <w:ind w:left="154"/>
                    <w:rPr>
                      <w:sz w:val="20"/>
                      <w:szCs w:val="20"/>
                    </w:rPr>
                  </w:pPr>
                  <w:r>
                    <w:rPr>
                      <w:spacing w:val="6"/>
                      <w:sz w:val="20"/>
                      <w:szCs w:val="20"/>
                    </w:rPr>
                    <w:t>单联悬</w:t>
                  </w:r>
                </w:p>
                <w:p w14:paraId="3103AB47">
                  <w:pPr>
                    <w:pStyle w:val="6"/>
                    <w:spacing w:before="25" w:line="230" w:lineRule="auto"/>
                    <w:ind w:left="153"/>
                    <w:rPr>
                      <w:sz w:val="20"/>
                      <w:szCs w:val="20"/>
                    </w:rPr>
                  </w:pPr>
                  <w:r>
                    <w:rPr>
                      <w:spacing w:val="6"/>
                      <w:sz w:val="20"/>
                      <w:szCs w:val="20"/>
                    </w:rPr>
                    <w:t>垂绝缘</w:t>
                  </w:r>
                </w:p>
                <w:p w14:paraId="35559C51">
                  <w:pPr>
                    <w:pStyle w:val="6"/>
                    <w:spacing w:before="22" w:line="217" w:lineRule="auto"/>
                    <w:ind w:left="259"/>
                    <w:rPr>
                      <w:sz w:val="20"/>
                      <w:szCs w:val="20"/>
                    </w:rPr>
                  </w:pPr>
                  <w:r>
                    <w:rPr>
                      <w:spacing w:val="4"/>
                      <w:sz w:val="20"/>
                      <w:szCs w:val="20"/>
                    </w:rPr>
                    <w:t>子串</w:t>
                  </w:r>
                </w:p>
              </w:tc>
              <w:tc>
                <w:tcPr>
                  <w:tcW w:w="2993" w:type="dxa"/>
                  <w:vAlign w:val="top"/>
                </w:tcPr>
                <w:p w14:paraId="222A9727">
                  <w:pPr>
                    <w:pStyle w:val="6"/>
                    <w:spacing w:before="305" w:line="228" w:lineRule="auto"/>
                    <w:ind w:left="399"/>
                    <w:rPr>
                      <w:sz w:val="20"/>
                      <w:szCs w:val="20"/>
                    </w:rPr>
                  </w:pPr>
                  <w:r>
                    <w:rPr>
                      <w:spacing w:val="7"/>
                      <w:sz w:val="20"/>
                      <w:szCs w:val="20"/>
                    </w:rPr>
                    <w:t>配</w:t>
                  </w:r>
                  <w:r>
                    <w:rPr>
                      <w:spacing w:val="-40"/>
                      <w:sz w:val="20"/>
                      <w:szCs w:val="20"/>
                    </w:rPr>
                    <w:t xml:space="preserve"> </w:t>
                  </w:r>
                  <w:r>
                    <w:rPr>
                      <w:rFonts w:ascii="Times New Roman" w:hAnsi="Times New Roman" w:eastAsia="Times New Roman" w:cs="Times New Roman"/>
                      <w:sz w:val="20"/>
                      <w:szCs w:val="20"/>
                    </w:rPr>
                    <w:t>FXBW</w:t>
                  </w:r>
                  <w:r>
                    <w:rPr>
                      <w:rFonts w:ascii="Times New Roman" w:hAnsi="Times New Roman" w:eastAsia="Times New Roman" w:cs="Times New Roman"/>
                      <w:spacing w:val="7"/>
                      <w:sz w:val="20"/>
                      <w:szCs w:val="20"/>
                    </w:rPr>
                    <w:t xml:space="preserve">4-35/70 </w:t>
                  </w:r>
                  <w:r>
                    <w:rPr>
                      <w:spacing w:val="7"/>
                      <w:sz w:val="20"/>
                      <w:szCs w:val="20"/>
                    </w:rPr>
                    <w:t>绝缘子</w:t>
                  </w:r>
                </w:p>
              </w:tc>
              <w:tc>
                <w:tcPr>
                  <w:tcW w:w="523" w:type="dxa"/>
                  <w:vAlign w:val="top"/>
                </w:tcPr>
                <w:p w14:paraId="619FB75F">
                  <w:pPr>
                    <w:pStyle w:val="6"/>
                    <w:spacing w:before="305" w:line="228" w:lineRule="auto"/>
                    <w:ind w:left="182"/>
                    <w:rPr>
                      <w:sz w:val="20"/>
                      <w:szCs w:val="20"/>
                    </w:rPr>
                  </w:pPr>
                  <w:r>
                    <w:rPr>
                      <w:sz w:val="20"/>
                      <w:szCs w:val="20"/>
                    </w:rPr>
                    <w:t>串</w:t>
                  </w:r>
                </w:p>
              </w:tc>
              <w:tc>
                <w:tcPr>
                  <w:tcW w:w="767" w:type="dxa"/>
                  <w:vAlign w:val="top"/>
                </w:tcPr>
                <w:p w14:paraId="6E868BC8">
                  <w:pPr>
                    <w:spacing w:line="281" w:lineRule="auto"/>
                    <w:rPr>
                      <w:rFonts w:ascii="Arial"/>
                      <w:sz w:val="21"/>
                    </w:rPr>
                  </w:pPr>
                </w:p>
                <w:p w14:paraId="5F926517">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114</w:t>
                  </w:r>
                </w:p>
              </w:tc>
              <w:tc>
                <w:tcPr>
                  <w:tcW w:w="2736" w:type="dxa"/>
                  <w:vAlign w:val="top"/>
                </w:tcPr>
                <w:p w14:paraId="63E1D91B">
                  <w:pPr>
                    <w:pStyle w:val="6"/>
                    <w:spacing w:before="305" w:line="228" w:lineRule="auto"/>
                    <w:ind w:left="1165"/>
                    <w:rPr>
                      <w:sz w:val="20"/>
                      <w:szCs w:val="20"/>
                    </w:rPr>
                  </w:pPr>
                  <w:r>
                    <w:rPr>
                      <w:spacing w:val="3"/>
                      <w:sz w:val="20"/>
                      <w:szCs w:val="20"/>
                    </w:rPr>
                    <w:t>单联</w:t>
                  </w:r>
                </w:p>
              </w:tc>
            </w:tr>
            <w:tr w14:paraId="20C2B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50" w:type="dxa"/>
                  <w:vAlign w:val="top"/>
                </w:tcPr>
                <w:p w14:paraId="5559BFF9">
                  <w:pPr>
                    <w:spacing w:line="280" w:lineRule="auto"/>
                    <w:rPr>
                      <w:rFonts w:ascii="Arial"/>
                      <w:sz w:val="21"/>
                    </w:rPr>
                  </w:pPr>
                </w:p>
                <w:p w14:paraId="56D402E7">
                  <w:pPr>
                    <w:spacing w:before="5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27" w:type="dxa"/>
                  <w:vAlign w:val="top"/>
                </w:tcPr>
                <w:p w14:paraId="53431268">
                  <w:pPr>
                    <w:pStyle w:val="6"/>
                    <w:spacing w:before="33" w:line="229" w:lineRule="auto"/>
                    <w:ind w:left="152"/>
                    <w:rPr>
                      <w:sz w:val="20"/>
                      <w:szCs w:val="20"/>
                    </w:rPr>
                  </w:pPr>
                  <w:r>
                    <w:rPr>
                      <w:spacing w:val="6"/>
                      <w:sz w:val="20"/>
                      <w:szCs w:val="20"/>
                    </w:rPr>
                    <w:t>双联耐</w:t>
                  </w:r>
                </w:p>
                <w:p w14:paraId="5DA6230E">
                  <w:pPr>
                    <w:pStyle w:val="6"/>
                    <w:spacing w:before="22" w:line="230" w:lineRule="auto"/>
                    <w:ind w:left="157"/>
                    <w:rPr>
                      <w:sz w:val="20"/>
                      <w:szCs w:val="20"/>
                    </w:rPr>
                  </w:pPr>
                  <w:r>
                    <w:rPr>
                      <w:spacing w:val="5"/>
                      <w:sz w:val="20"/>
                      <w:szCs w:val="20"/>
                    </w:rPr>
                    <w:t>张绝缘</w:t>
                  </w:r>
                </w:p>
                <w:p w14:paraId="51AF81D1">
                  <w:pPr>
                    <w:pStyle w:val="6"/>
                    <w:spacing w:before="24" w:line="216" w:lineRule="auto"/>
                    <w:ind w:left="259"/>
                    <w:rPr>
                      <w:sz w:val="20"/>
                      <w:szCs w:val="20"/>
                    </w:rPr>
                  </w:pPr>
                  <w:r>
                    <w:rPr>
                      <w:spacing w:val="4"/>
                      <w:sz w:val="20"/>
                      <w:szCs w:val="20"/>
                    </w:rPr>
                    <w:t>子串</w:t>
                  </w:r>
                </w:p>
              </w:tc>
              <w:tc>
                <w:tcPr>
                  <w:tcW w:w="2993" w:type="dxa"/>
                  <w:vAlign w:val="top"/>
                </w:tcPr>
                <w:p w14:paraId="5E14C154">
                  <w:pPr>
                    <w:pStyle w:val="6"/>
                    <w:spacing w:before="304" w:line="228" w:lineRule="auto"/>
                    <w:ind w:left="399"/>
                    <w:rPr>
                      <w:sz w:val="20"/>
                      <w:szCs w:val="20"/>
                    </w:rPr>
                  </w:pPr>
                  <w:r>
                    <w:rPr>
                      <w:spacing w:val="7"/>
                      <w:sz w:val="20"/>
                      <w:szCs w:val="20"/>
                    </w:rPr>
                    <w:t>配</w:t>
                  </w:r>
                  <w:r>
                    <w:rPr>
                      <w:spacing w:val="-40"/>
                      <w:sz w:val="20"/>
                      <w:szCs w:val="20"/>
                    </w:rPr>
                    <w:t xml:space="preserve"> </w:t>
                  </w:r>
                  <w:r>
                    <w:rPr>
                      <w:rFonts w:ascii="Times New Roman" w:hAnsi="Times New Roman" w:eastAsia="Times New Roman" w:cs="Times New Roman"/>
                      <w:sz w:val="20"/>
                      <w:szCs w:val="20"/>
                    </w:rPr>
                    <w:t>FXBW</w:t>
                  </w:r>
                  <w:r>
                    <w:rPr>
                      <w:rFonts w:ascii="Times New Roman" w:hAnsi="Times New Roman" w:eastAsia="Times New Roman" w:cs="Times New Roman"/>
                      <w:spacing w:val="7"/>
                      <w:sz w:val="20"/>
                      <w:szCs w:val="20"/>
                    </w:rPr>
                    <w:t xml:space="preserve">4-35/70 </w:t>
                  </w:r>
                  <w:r>
                    <w:rPr>
                      <w:spacing w:val="7"/>
                      <w:sz w:val="20"/>
                      <w:szCs w:val="20"/>
                    </w:rPr>
                    <w:t>绝缘子</w:t>
                  </w:r>
                </w:p>
              </w:tc>
              <w:tc>
                <w:tcPr>
                  <w:tcW w:w="523" w:type="dxa"/>
                  <w:vAlign w:val="top"/>
                </w:tcPr>
                <w:p w14:paraId="2B90FCF0">
                  <w:pPr>
                    <w:pStyle w:val="6"/>
                    <w:spacing w:before="304" w:line="228" w:lineRule="auto"/>
                    <w:ind w:left="182"/>
                    <w:rPr>
                      <w:sz w:val="20"/>
                      <w:szCs w:val="20"/>
                    </w:rPr>
                  </w:pPr>
                  <w:r>
                    <w:rPr>
                      <w:sz w:val="20"/>
                      <w:szCs w:val="20"/>
                    </w:rPr>
                    <w:t>串</w:t>
                  </w:r>
                </w:p>
              </w:tc>
              <w:tc>
                <w:tcPr>
                  <w:tcW w:w="767" w:type="dxa"/>
                  <w:vAlign w:val="top"/>
                </w:tcPr>
                <w:p w14:paraId="134E264D">
                  <w:pPr>
                    <w:spacing w:line="280" w:lineRule="auto"/>
                    <w:rPr>
                      <w:rFonts w:ascii="Arial"/>
                      <w:sz w:val="21"/>
                    </w:rPr>
                  </w:pPr>
                </w:p>
                <w:p w14:paraId="1D6CF480">
                  <w:pPr>
                    <w:spacing w:before="5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336</w:t>
                  </w:r>
                </w:p>
              </w:tc>
              <w:tc>
                <w:tcPr>
                  <w:tcW w:w="2736" w:type="dxa"/>
                  <w:vAlign w:val="top"/>
                </w:tcPr>
                <w:p w14:paraId="285C9714">
                  <w:pPr>
                    <w:pStyle w:val="6"/>
                    <w:spacing w:before="304" w:line="230" w:lineRule="auto"/>
                    <w:ind w:left="1163"/>
                    <w:rPr>
                      <w:sz w:val="20"/>
                      <w:szCs w:val="20"/>
                    </w:rPr>
                  </w:pPr>
                  <w:r>
                    <w:rPr>
                      <w:spacing w:val="4"/>
                      <w:sz w:val="20"/>
                      <w:szCs w:val="20"/>
                    </w:rPr>
                    <w:t>双联</w:t>
                  </w:r>
                </w:p>
              </w:tc>
            </w:tr>
            <w:tr w14:paraId="58D68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50" w:type="dxa"/>
                  <w:vAlign w:val="top"/>
                </w:tcPr>
                <w:p w14:paraId="755ADB34">
                  <w:pPr>
                    <w:spacing w:line="281" w:lineRule="auto"/>
                    <w:rPr>
                      <w:rFonts w:ascii="Arial"/>
                      <w:sz w:val="21"/>
                    </w:rPr>
                  </w:pPr>
                </w:p>
                <w:p w14:paraId="040BE6E9">
                  <w:pPr>
                    <w:spacing w:before="5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27" w:type="dxa"/>
                  <w:vAlign w:val="top"/>
                </w:tcPr>
                <w:p w14:paraId="237A63CE">
                  <w:pPr>
                    <w:pStyle w:val="6"/>
                    <w:spacing w:before="32"/>
                    <w:ind w:left="153" w:right="148" w:firstLine="4"/>
                    <w:jc w:val="both"/>
                    <w:rPr>
                      <w:sz w:val="20"/>
                      <w:szCs w:val="20"/>
                    </w:rPr>
                  </w:pPr>
                  <w:r>
                    <w:rPr>
                      <w:spacing w:val="5"/>
                      <w:sz w:val="20"/>
                      <w:szCs w:val="20"/>
                    </w:rPr>
                    <w:t>带重锤</w:t>
                  </w:r>
                  <w:r>
                    <w:rPr>
                      <w:sz w:val="20"/>
                      <w:szCs w:val="20"/>
                    </w:rPr>
                    <w:t xml:space="preserve"> </w:t>
                  </w:r>
                  <w:r>
                    <w:rPr>
                      <w:spacing w:val="6"/>
                      <w:sz w:val="20"/>
                      <w:szCs w:val="20"/>
                    </w:rPr>
                    <w:t>跳线绝</w:t>
                  </w:r>
                  <w:r>
                    <w:rPr>
                      <w:sz w:val="20"/>
                      <w:szCs w:val="20"/>
                    </w:rPr>
                    <w:t xml:space="preserve"> </w:t>
                  </w:r>
                  <w:r>
                    <w:rPr>
                      <w:spacing w:val="6"/>
                      <w:sz w:val="20"/>
                      <w:szCs w:val="20"/>
                    </w:rPr>
                    <w:t>缘子串</w:t>
                  </w:r>
                </w:p>
              </w:tc>
              <w:tc>
                <w:tcPr>
                  <w:tcW w:w="2993" w:type="dxa"/>
                  <w:vAlign w:val="top"/>
                </w:tcPr>
                <w:p w14:paraId="7F9486E3">
                  <w:pPr>
                    <w:pStyle w:val="6"/>
                    <w:spacing w:before="305" w:line="228" w:lineRule="auto"/>
                    <w:ind w:left="399"/>
                    <w:rPr>
                      <w:sz w:val="20"/>
                      <w:szCs w:val="20"/>
                    </w:rPr>
                  </w:pPr>
                  <w:r>
                    <w:rPr>
                      <w:spacing w:val="7"/>
                      <w:sz w:val="20"/>
                      <w:szCs w:val="20"/>
                    </w:rPr>
                    <w:t>配</w:t>
                  </w:r>
                  <w:r>
                    <w:rPr>
                      <w:spacing w:val="-40"/>
                      <w:sz w:val="20"/>
                      <w:szCs w:val="20"/>
                    </w:rPr>
                    <w:t xml:space="preserve"> </w:t>
                  </w:r>
                  <w:r>
                    <w:rPr>
                      <w:rFonts w:ascii="Times New Roman" w:hAnsi="Times New Roman" w:eastAsia="Times New Roman" w:cs="Times New Roman"/>
                      <w:sz w:val="20"/>
                      <w:szCs w:val="20"/>
                    </w:rPr>
                    <w:t>FXBW</w:t>
                  </w:r>
                  <w:r>
                    <w:rPr>
                      <w:rFonts w:ascii="Times New Roman" w:hAnsi="Times New Roman" w:eastAsia="Times New Roman" w:cs="Times New Roman"/>
                      <w:spacing w:val="7"/>
                      <w:sz w:val="20"/>
                      <w:szCs w:val="20"/>
                    </w:rPr>
                    <w:t xml:space="preserve">4-35/70 </w:t>
                  </w:r>
                  <w:r>
                    <w:rPr>
                      <w:spacing w:val="7"/>
                      <w:sz w:val="20"/>
                      <w:szCs w:val="20"/>
                    </w:rPr>
                    <w:t>绝缘子</w:t>
                  </w:r>
                </w:p>
              </w:tc>
              <w:tc>
                <w:tcPr>
                  <w:tcW w:w="523" w:type="dxa"/>
                  <w:vAlign w:val="top"/>
                </w:tcPr>
                <w:p w14:paraId="5126F64C">
                  <w:pPr>
                    <w:pStyle w:val="6"/>
                    <w:spacing w:before="305" w:line="228" w:lineRule="auto"/>
                    <w:ind w:left="182"/>
                    <w:rPr>
                      <w:sz w:val="20"/>
                      <w:szCs w:val="20"/>
                    </w:rPr>
                  </w:pPr>
                  <w:r>
                    <w:rPr>
                      <w:sz w:val="20"/>
                      <w:szCs w:val="20"/>
                    </w:rPr>
                    <w:t>串</w:t>
                  </w:r>
                </w:p>
              </w:tc>
              <w:tc>
                <w:tcPr>
                  <w:tcW w:w="767" w:type="dxa"/>
                  <w:vAlign w:val="top"/>
                </w:tcPr>
                <w:p w14:paraId="06E093D9">
                  <w:pPr>
                    <w:spacing w:line="281" w:lineRule="auto"/>
                    <w:rPr>
                      <w:rFonts w:ascii="Arial"/>
                      <w:sz w:val="21"/>
                    </w:rPr>
                  </w:pPr>
                </w:p>
                <w:p w14:paraId="595F194E">
                  <w:pPr>
                    <w:spacing w:before="5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224</w:t>
                  </w:r>
                </w:p>
              </w:tc>
              <w:tc>
                <w:tcPr>
                  <w:tcW w:w="2736" w:type="dxa"/>
                  <w:vAlign w:val="top"/>
                </w:tcPr>
                <w:p w14:paraId="43865171">
                  <w:pPr>
                    <w:pStyle w:val="6"/>
                    <w:spacing w:before="305" w:line="228" w:lineRule="auto"/>
                    <w:ind w:left="1165"/>
                    <w:rPr>
                      <w:sz w:val="20"/>
                      <w:szCs w:val="20"/>
                    </w:rPr>
                  </w:pPr>
                  <w:r>
                    <w:rPr>
                      <w:spacing w:val="3"/>
                      <w:sz w:val="20"/>
                      <w:szCs w:val="20"/>
                    </w:rPr>
                    <w:t>单联</w:t>
                  </w:r>
                </w:p>
              </w:tc>
            </w:tr>
            <w:tr w14:paraId="4D864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50" w:type="dxa"/>
                  <w:vAlign w:val="top"/>
                </w:tcPr>
                <w:p w14:paraId="09F2D813">
                  <w:pPr>
                    <w:spacing w:before="206" w:line="192"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27" w:type="dxa"/>
                  <w:vAlign w:val="top"/>
                </w:tcPr>
                <w:p w14:paraId="39BB6336">
                  <w:pPr>
                    <w:pStyle w:val="6"/>
                    <w:spacing w:before="32" w:line="234" w:lineRule="auto"/>
                    <w:ind w:left="258" w:right="148" w:hanging="105"/>
                    <w:rPr>
                      <w:sz w:val="20"/>
                      <w:szCs w:val="20"/>
                    </w:rPr>
                  </w:pPr>
                  <w:r>
                    <w:rPr>
                      <w:spacing w:val="6"/>
                      <w:sz w:val="20"/>
                      <w:szCs w:val="20"/>
                    </w:rPr>
                    <w:t>合成绝</w:t>
                  </w:r>
                  <w:r>
                    <w:rPr>
                      <w:sz w:val="20"/>
                      <w:szCs w:val="20"/>
                    </w:rPr>
                    <w:t xml:space="preserve"> </w:t>
                  </w:r>
                  <w:r>
                    <w:rPr>
                      <w:spacing w:val="4"/>
                      <w:sz w:val="20"/>
                      <w:szCs w:val="20"/>
                    </w:rPr>
                    <w:t>缘子</w:t>
                  </w:r>
                </w:p>
              </w:tc>
              <w:tc>
                <w:tcPr>
                  <w:tcW w:w="2993" w:type="dxa"/>
                  <w:vAlign w:val="top"/>
                </w:tcPr>
                <w:p w14:paraId="55067F67">
                  <w:pPr>
                    <w:spacing w:before="200" w:line="199" w:lineRule="auto"/>
                    <w:ind w:left="867"/>
                    <w:rPr>
                      <w:rFonts w:ascii="Times New Roman" w:hAnsi="Times New Roman" w:eastAsia="Times New Roman" w:cs="Times New Roman"/>
                      <w:sz w:val="20"/>
                      <w:szCs w:val="20"/>
                    </w:rPr>
                  </w:pPr>
                  <w:r>
                    <w:rPr>
                      <w:rFonts w:ascii="Times New Roman" w:hAnsi="Times New Roman" w:eastAsia="Times New Roman" w:cs="Times New Roman"/>
                      <w:sz w:val="20"/>
                      <w:szCs w:val="20"/>
                    </w:rPr>
                    <w:t>FXBW</w:t>
                  </w:r>
                  <w:r>
                    <w:rPr>
                      <w:rFonts w:ascii="Times New Roman" w:hAnsi="Times New Roman" w:eastAsia="Times New Roman" w:cs="Times New Roman"/>
                      <w:spacing w:val="7"/>
                      <w:sz w:val="20"/>
                      <w:szCs w:val="20"/>
                    </w:rPr>
                    <w:t>4-35/70</w:t>
                  </w:r>
                </w:p>
              </w:tc>
              <w:tc>
                <w:tcPr>
                  <w:tcW w:w="523" w:type="dxa"/>
                  <w:vAlign w:val="top"/>
                </w:tcPr>
                <w:p w14:paraId="2320C3F7">
                  <w:pPr>
                    <w:pStyle w:val="6"/>
                    <w:spacing w:before="166" w:line="228" w:lineRule="auto"/>
                    <w:ind w:left="164"/>
                    <w:rPr>
                      <w:sz w:val="20"/>
                      <w:szCs w:val="20"/>
                    </w:rPr>
                  </w:pPr>
                  <w:r>
                    <w:rPr>
                      <w:sz w:val="20"/>
                      <w:szCs w:val="20"/>
                    </w:rPr>
                    <w:t>支</w:t>
                  </w:r>
                </w:p>
              </w:tc>
              <w:tc>
                <w:tcPr>
                  <w:tcW w:w="767" w:type="dxa"/>
                  <w:vAlign w:val="top"/>
                </w:tcPr>
                <w:p w14:paraId="02ABF2B9">
                  <w:pPr>
                    <w:spacing w:before="20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1010</w:t>
                  </w:r>
                </w:p>
              </w:tc>
              <w:tc>
                <w:tcPr>
                  <w:tcW w:w="2736" w:type="dxa"/>
                  <w:vAlign w:val="top"/>
                </w:tcPr>
                <w:p w14:paraId="5E3C6E06">
                  <w:pPr>
                    <w:rPr>
                      <w:rFonts w:ascii="Arial"/>
                      <w:sz w:val="21"/>
                    </w:rPr>
                  </w:pPr>
                </w:p>
              </w:tc>
            </w:tr>
            <w:tr w14:paraId="15B51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0" w:type="dxa"/>
                  <w:vAlign w:val="top"/>
                </w:tcPr>
                <w:p w14:paraId="1E61A8C3">
                  <w:pPr>
                    <w:spacing w:before="20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27" w:type="dxa"/>
                  <w:vAlign w:val="top"/>
                </w:tcPr>
                <w:p w14:paraId="5FD50EA4">
                  <w:pPr>
                    <w:pStyle w:val="6"/>
                    <w:spacing w:before="30" w:line="235" w:lineRule="auto"/>
                    <w:ind w:left="257" w:right="148" w:hanging="99"/>
                    <w:rPr>
                      <w:sz w:val="20"/>
                      <w:szCs w:val="20"/>
                    </w:rPr>
                  </w:pPr>
                  <w:r>
                    <w:rPr>
                      <w:spacing w:val="5"/>
                      <w:sz w:val="20"/>
                      <w:szCs w:val="20"/>
                    </w:rPr>
                    <w:t>导线防</w:t>
                  </w:r>
                  <w:r>
                    <w:rPr>
                      <w:sz w:val="20"/>
                      <w:szCs w:val="20"/>
                    </w:rPr>
                    <w:t xml:space="preserve"> </w:t>
                  </w:r>
                  <w:r>
                    <w:rPr>
                      <w:spacing w:val="5"/>
                      <w:sz w:val="20"/>
                      <w:szCs w:val="20"/>
                    </w:rPr>
                    <w:t>振锤</w:t>
                  </w:r>
                </w:p>
              </w:tc>
              <w:tc>
                <w:tcPr>
                  <w:tcW w:w="2993" w:type="dxa"/>
                  <w:vAlign w:val="top"/>
                </w:tcPr>
                <w:p w14:paraId="4CCDADC9">
                  <w:pPr>
                    <w:spacing w:before="200" w:line="199" w:lineRule="auto"/>
                    <w:ind w:left="1083"/>
                    <w:rPr>
                      <w:rFonts w:ascii="Times New Roman" w:hAnsi="Times New Roman" w:eastAsia="Times New Roman" w:cs="Times New Roman"/>
                      <w:sz w:val="20"/>
                      <w:szCs w:val="20"/>
                    </w:rPr>
                  </w:pPr>
                  <w:r>
                    <w:rPr>
                      <w:rFonts w:ascii="Times New Roman" w:hAnsi="Times New Roman" w:eastAsia="Times New Roman" w:cs="Times New Roman"/>
                      <w:sz w:val="20"/>
                      <w:szCs w:val="20"/>
                    </w:rPr>
                    <w:t>FRYJ</w:t>
                  </w:r>
                  <w:r>
                    <w:rPr>
                      <w:rFonts w:ascii="Times New Roman" w:hAnsi="Times New Roman" w:eastAsia="Times New Roman" w:cs="Times New Roman"/>
                      <w:spacing w:val="8"/>
                      <w:sz w:val="20"/>
                      <w:szCs w:val="20"/>
                    </w:rPr>
                    <w:t>-1/2</w:t>
                  </w:r>
                </w:p>
              </w:tc>
              <w:tc>
                <w:tcPr>
                  <w:tcW w:w="523" w:type="dxa"/>
                  <w:vAlign w:val="top"/>
                </w:tcPr>
                <w:p w14:paraId="67BF660F">
                  <w:pPr>
                    <w:pStyle w:val="6"/>
                    <w:spacing w:before="169" w:line="230" w:lineRule="auto"/>
                    <w:ind w:left="176"/>
                    <w:rPr>
                      <w:sz w:val="20"/>
                      <w:szCs w:val="20"/>
                    </w:rPr>
                  </w:pPr>
                  <w:r>
                    <w:rPr>
                      <w:sz w:val="20"/>
                      <w:szCs w:val="20"/>
                    </w:rPr>
                    <w:t>只</w:t>
                  </w:r>
                </w:p>
              </w:tc>
              <w:tc>
                <w:tcPr>
                  <w:tcW w:w="767" w:type="dxa"/>
                  <w:vAlign w:val="top"/>
                </w:tcPr>
                <w:p w14:paraId="39C38B5A">
                  <w:pPr>
                    <w:spacing w:before="204"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410</w:t>
                  </w:r>
                </w:p>
              </w:tc>
              <w:tc>
                <w:tcPr>
                  <w:tcW w:w="2736" w:type="dxa"/>
                  <w:vAlign w:val="top"/>
                </w:tcPr>
                <w:p w14:paraId="58C61ED3">
                  <w:pPr>
                    <w:rPr>
                      <w:rFonts w:ascii="Arial"/>
                      <w:sz w:val="21"/>
                    </w:rPr>
                  </w:pPr>
                </w:p>
              </w:tc>
            </w:tr>
            <w:tr w14:paraId="1FF1E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0" w:type="dxa"/>
                  <w:vAlign w:val="top"/>
                </w:tcPr>
                <w:p w14:paraId="32CA16FB">
                  <w:pPr>
                    <w:spacing w:before="206" w:line="192"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27" w:type="dxa"/>
                  <w:vAlign w:val="top"/>
                </w:tcPr>
                <w:p w14:paraId="65EBFB39">
                  <w:pPr>
                    <w:pStyle w:val="6"/>
                    <w:spacing w:before="30" w:line="235" w:lineRule="auto"/>
                    <w:ind w:left="257" w:right="148" w:hanging="99"/>
                    <w:rPr>
                      <w:sz w:val="20"/>
                      <w:szCs w:val="20"/>
                    </w:rPr>
                  </w:pPr>
                  <w:r>
                    <w:rPr>
                      <w:spacing w:val="5"/>
                      <w:sz w:val="20"/>
                      <w:szCs w:val="20"/>
                    </w:rPr>
                    <w:t>导线防</w:t>
                  </w:r>
                  <w:r>
                    <w:rPr>
                      <w:sz w:val="20"/>
                      <w:szCs w:val="20"/>
                    </w:rPr>
                    <w:t xml:space="preserve"> </w:t>
                  </w:r>
                  <w:r>
                    <w:rPr>
                      <w:spacing w:val="5"/>
                      <w:sz w:val="20"/>
                      <w:szCs w:val="20"/>
                    </w:rPr>
                    <w:t>振锤</w:t>
                  </w:r>
                </w:p>
              </w:tc>
              <w:tc>
                <w:tcPr>
                  <w:tcW w:w="2993" w:type="dxa"/>
                  <w:vAlign w:val="top"/>
                </w:tcPr>
                <w:p w14:paraId="1452A510">
                  <w:pPr>
                    <w:spacing w:before="199" w:line="199" w:lineRule="auto"/>
                    <w:ind w:left="1083"/>
                    <w:rPr>
                      <w:rFonts w:ascii="Times New Roman" w:hAnsi="Times New Roman" w:eastAsia="Times New Roman" w:cs="Times New Roman"/>
                      <w:sz w:val="20"/>
                      <w:szCs w:val="20"/>
                    </w:rPr>
                  </w:pPr>
                  <w:r>
                    <w:rPr>
                      <w:rFonts w:ascii="Times New Roman" w:hAnsi="Times New Roman" w:eastAsia="Times New Roman" w:cs="Times New Roman"/>
                      <w:sz w:val="20"/>
                      <w:szCs w:val="20"/>
                    </w:rPr>
                    <w:t>FRYJ</w:t>
                  </w:r>
                  <w:r>
                    <w:rPr>
                      <w:rFonts w:ascii="Times New Roman" w:hAnsi="Times New Roman" w:eastAsia="Times New Roman" w:cs="Times New Roman"/>
                      <w:spacing w:val="8"/>
                      <w:sz w:val="20"/>
                      <w:szCs w:val="20"/>
                    </w:rPr>
                    <w:t>-2/4</w:t>
                  </w:r>
                </w:p>
              </w:tc>
              <w:tc>
                <w:tcPr>
                  <w:tcW w:w="523" w:type="dxa"/>
                  <w:vAlign w:val="top"/>
                </w:tcPr>
                <w:p w14:paraId="4624BE1E">
                  <w:pPr>
                    <w:pStyle w:val="6"/>
                    <w:spacing w:before="165" w:line="230" w:lineRule="auto"/>
                    <w:ind w:left="176"/>
                    <w:rPr>
                      <w:sz w:val="20"/>
                      <w:szCs w:val="20"/>
                    </w:rPr>
                  </w:pPr>
                  <w:r>
                    <w:rPr>
                      <w:sz w:val="20"/>
                      <w:szCs w:val="20"/>
                    </w:rPr>
                    <w:t>只</w:t>
                  </w:r>
                </w:p>
              </w:tc>
              <w:tc>
                <w:tcPr>
                  <w:tcW w:w="767" w:type="dxa"/>
                  <w:vAlign w:val="top"/>
                </w:tcPr>
                <w:p w14:paraId="4FCF7264">
                  <w:pPr>
                    <w:spacing w:before="203"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804</w:t>
                  </w:r>
                </w:p>
              </w:tc>
              <w:tc>
                <w:tcPr>
                  <w:tcW w:w="2736" w:type="dxa"/>
                  <w:vAlign w:val="top"/>
                </w:tcPr>
                <w:p w14:paraId="45D97F60">
                  <w:pPr>
                    <w:rPr>
                      <w:rFonts w:ascii="Arial"/>
                      <w:sz w:val="21"/>
                    </w:rPr>
                  </w:pPr>
                </w:p>
              </w:tc>
            </w:tr>
            <w:tr w14:paraId="5A213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50" w:type="dxa"/>
                  <w:vAlign w:val="top"/>
                </w:tcPr>
                <w:p w14:paraId="752B7BEB">
                  <w:pPr>
                    <w:spacing w:before="186"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27" w:type="dxa"/>
                  <w:vAlign w:val="top"/>
                </w:tcPr>
                <w:p w14:paraId="340FCEDA">
                  <w:pPr>
                    <w:pStyle w:val="6"/>
                    <w:spacing w:before="149" w:line="228" w:lineRule="auto"/>
                    <w:ind w:left="260"/>
                    <w:rPr>
                      <w:sz w:val="20"/>
                      <w:szCs w:val="20"/>
                    </w:rPr>
                  </w:pPr>
                  <w:r>
                    <w:rPr>
                      <w:spacing w:val="3"/>
                      <w:sz w:val="20"/>
                      <w:szCs w:val="20"/>
                    </w:rPr>
                    <w:t>光缆</w:t>
                  </w:r>
                </w:p>
              </w:tc>
              <w:tc>
                <w:tcPr>
                  <w:tcW w:w="2993" w:type="dxa"/>
                  <w:vAlign w:val="top"/>
                </w:tcPr>
                <w:p w14:paraId="2AD1464C">
                  <w:pPr>
                    <w:spacing w:before="186" w:line="195" w:lineRule="auto"/>
                    <w:ind w:left="789"/>
                    <w:rPr>
                      <w:rFonts w:ascii="Times New Roman" w:hAnsi="Times New Roman" w:eastAsia="Times New Roman" w:cs="Times New Roman"/>
                      <w:sz w:val="20"/>
                      <w:szCs w:val="20"/>
                    </w:rPr>
                  </w:pPr>
                  <w:r>
                    <w:rPr>
                      <w:rFonts w:ascii="Times New Roman" w:hAnsi="Times New Roman" w:eastAsia="Times New Roman" w:cs="Times New Roman"/>
                      <w:sz w:val="20"/>
                      <w:szCs w:val="20"/>
                    </w:rPr>
                    <w:t>OPGW</w:t>
                  </w:r>
                  <w:r>
                    <w:rPr>
                      <w:rFonts w:ascii="Times New Roman" w:hAnsi="Times New Roman" w:eastAsia="Times New Roman" w:cs="Times New Roman"/>
                      <w:spacing w:val="7"/>
                      <w:sz w:val="20"/>
                      <w:szCs w:val="20"/>
                    </w:rPr>
                    <w:t>-24B1-50</w:t>
                  </w:r>
                </w:p>
              </w:tc>
              <w:tc>
                <w:tcPr>
                  <w:tcW w:w="523" w:type="dxa"/>
                  <w:vAlign w:val="top"/>
                </w:tcPr>
                <w:p w14:paraId="3CCF40A7">
                  <w:pPr>
                    <w:spacing w:before="182" w:line="199"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767" w:type="dxa"/>
                  <w:vAlign w:val="top"/>
                </w:tcPr>
                <w:p w14:paraId="59A5EF88">
                  <w:pPr>
                    <w:spacing w:before="186"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23.96</w:t>
                  </w:r>
                </w:p>
              </w:tc>
              <w:tc>
                <w:tcPr>
                  <w:tcW w:w="2736" w:type="dxa"/>
                  <w:vAlign w:val="top"/>
                </w:tcPr>
                <w:p w14:paraId="1ABDC7F5">
                  <w:pPr>
                    <w:pStyle w:val="6"/>
                    <w:spacing w:before="30" w:line="202" w:lineRule="auto"/>
                    <w:ind w:left="956"/>
                    <w:rPr>
                      <w:sz w:val="20"/>
                      <w:szCs w:val="20"/>
                    </w:rPr>
                  </w:pPr>
                  <w:r>
                    <w:rPr>
                      <w:spacing w:val="6"/>
                      <w:sz w:val="20"/>
                      <w:szCs w:val="20"/>
                    </w:rPr>
                    <w:t>路径长度</w:t>
                  </w:r>
                </w:p>
                <w:p w14:paraId="6DB79E9C">
                  <w:pPr>
                    <w:spacing w:line="258"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21.78×1.</w:t>
                  </w:r>
                  <w:r>
                    <w:rPr>
                      <w:rFonts w:ascii="Times New Roman" w:hAnsi="Times New Roman" w:eastAsia="Times New Roman" w:cs="Times New Roman"/>
                      <w:spacing w:val="-24"/>
                      <w:position w:val="1"/>
                      <w:sz w:val="20"/>
                      <w:szCs w:val="20"/>
                    </w:rPr>
                    <w:t xml:space="preserve"> </w:t>
                  </w:r>
                  <w:r>
                    <w:rPr>
                      <w:rFonts w:ascii="Times New Roman" w:hAnsi="Times New Roman" w:eastAsia="Times New Roman" w:cs="Times New Roman"/>
                      <w:spacing w:val="3"/>
                      <w:position w:val="1"/>
                      <w:sz w:val="20"/>
                      <w:szCs w:val="20"/>
                    </w:rPr>
                    <w:t>1=23.96</w:t>
                  </w:r>
                  <w:r>
                    <w:rPr>
                      <w:rFonts w:ascii="Times New Roman" w:hAnsi="Times New Roman" w:eastAsia="Times New Roman" w:cs="Times New Roman"/>
                      <w:position w:val="1"/>
                      <w:sz w:val="20"/>
                      <w:szCs w:val="20"/>
                    </w:rPr>
                    <w:t>km</w:t>
                  </w:r>
                </w:p>
              </w:tc>
            </w:tr>
            <w:tr w14:paraId="4F1E8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50" w:type="dxa"/>
                  <w:vAlign w:val="top"/>
                </w:tcPr>
                <w:p w14:paraId="31B615F3">
                  <w:pPr>
                    <w:spacing w:before="18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927" w:type="dxa"/>
                  <w:vAlign w:val="top"/>
                </w:tcPr>
                <w:p w14:paraId="310717E0">
                  <w:pPr>
                    <w:pStyle w:val="6"/>
                    <w:spacing w:before="153" w:line="228" w:lineRule="auto"/>
                    <w:ind w:left="258"/>
                    <w:rPr>
                      <w:sz w:val="20"/>
                      <w:szCs w:val="20"/>
                    </w:rPr>
                  </w:pPr>
                  <w:r>
                    <w:rPr>
                      <w:spacing w:val="4"/>
                      <w:sz w:val="20"/>
                      <w:szCs w:val="20"/>
                    </w:rPr>
                    <w:t>地线</w:t>
                  </w:r>
                </w:p>
              </w:tc>
              <w:tc>
                <w:tcPr>
                  <w:tcW w:w="2993" w:type="dxa"/>
                  <w:vAlign w:val="top"/>
                </w:tcPr>
                <w:p w14:paraId="5D1D32E0">
                  <w:pPr>
                    <w:spacing w:before="188" w:line="195" w:lineRule="auto"/>
                    <w:ind w:left="1002"/>
                    <w:rPr>
                      <w:rFonts w:ascii="Times New Roman" w:hAnsi="Times New Roman" w:eastAsia="Times New Roman" w:cs="Times New Roman"/>
                      <w:sz w:val="20"/>
                      <w:szCs w:val="20"/>
                    </w:rPr>
                  </w:pPr>
                  <w:r>
                    <w:rPr>
                      <w:rFonts w:ascii="Times New Roman" w:hAnsi="Times New Roman" w:eastAsia="Times New Roman" w:cs="Times New Roman"/>
                      <w:sz w:val="20"/>
                      <w:szCs w:val="20"/>
                    </w:rPr>
                    <w:t>JLB</w:t>
                  </w:r>
                  <w:r>
                    <w:rPr>
                      <w:rFonts w:ascii="Times New Roman" w:hAnsi="Times New Roman" w:eastAsia="Times New Roman" w:cs="Times New Roman"/>
                      <w:spacing w:val="6"/>
                      <w:sz w:val="20"/>
                      <w:szCs w:val="20"/>
                    </w:rPr>
                    <w:t>20A-50</w:t>
                  </w:r>
                </w:p>
              </w:tc>
              <w:tc>
                <w:tcPr>
                  <w:tcW w:w="523" w:type="dxa"/>
                  <w:vAlign w:val="top"/>
                </w:tcPr>
                <w:p w14:paraId="1FFEA04A">
                  <w:pPr>
                    <w:spacing w:before="184" w:line="199"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767" w:type="dxa"/>
                  <w:vAlign w:val="top"/>
                </w:tcPr>
                <w:p w14:paraId="629C8618">
                  <w:pPr>
                    <w:spacing w:before="188"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22.87</w:t>
                  </w:r>
                </w:p>
              </w:tc>
              <w:tc>
                <w:tcPr>
                  <w:tcW w:w="2736" w:type="dxa"/>
                  <w:vAlign w:val="top"/>
                </w:tcPr>
                <w:p w14:paraId="26CC17E5">
                  <w:pPr>
                    <w:pStyle w:val="6"/>
                    <w:spacing w:before="33" w:line="202" w:lineRule="auto"/>
                    <w:ind w:left="956"/>
                    <w:rPr>
                      <w:sz w:val="20"/>
                      <w:szCs w:val="20"/>
                    </w:rPr>
                  </w:pPr>
                  <w:r>
                    <w:rPr>
                      <w:spacing w:val="6"/>
                      <w:sz w:val="20"/>
                      <w:szCs w:val="20"/>
                    </w:rPr>
                    <w:t>路径长度</w:t>
                  </w:r>
                </w:p>
                <w:p w14:paraId="1E6EB0D3">
                  <w:pPr>
                    <w:spacing w:line="257"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21.78×1.05=22.87</w:t>
                  </w:r>
                  <w:r>
                    <w:rPr>
                      <w:rFonts w:ascii="Times New Roman" w:hAnsi="Times New Roman" w:eastAsia="Times New Roman" w:cs="Times New Roman"/>
                      <w:position w:val="1"/>
                      <w:sz w:val="20"/>
                      <w:szCs w:val="20"/>
                    </w:rPr>
                    <w:t>km</w:t>
                  </w:r>
                </w:p>
              </w:tc>
            </w:tr>
            <w:tr w14:paraId="548EC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0" w:type="dxa"/>
                  <w:vAlign w:val="top"/>
                </w:tcPr>
                <w:p w14:paraId="69F40295">
                  <w:pPr>
                    <w:spacing w:before="204"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27" w:type="dxa"/>
                  <w:vAlign w:val="top"/>
                </w:tcPr>
                <w:p w14:paraId="43DA9CE8">
                  <w:pPr>
                    <w:pStyle w:val="6"/>
                    <w:spacing w:before="32" w:line="234" w:lineRule="auto"/>
                    <w:ind w:left="258" w:right="148" w:hanging="106"/>
                    <w:rPr>
                      <w:sz w:val="20"/>
                      <w:szCs w:val="20"/>
                    </w:rPr>
                  </w:pPr>
                  <w:r>
                    <w:rPr>
                      <w:spacing w:val="6"/>
                      <w:sz w:val="20"/>
                      <w:szCs w:val="20"/>
                    </w:rPr>
                    <w:t>地线悬</w:t>
                  </w:r>
                  <w:r>
                    <w:rPr>
                      <w:spacing w:val="1"/>
                      <w:sz w:val="20"/>
                      <w:szCs w:val="20"/>
                    </w:rPr>
                    <w:t xml:space="preserve"> </w:t>
                  </w:r>
                  <w:r>
                    <w:rPr>
                      <w:spacing w:val="4"/>
                      <w:sz w:val="20"/>
                      <w:szCs w:val="20"/>
                    </w:rPr>
                    <w:t>垂串</w:t>
                  </w:r>
                </w:p>
              </w:tc>
              <w:tc>
                <w:tcPr>
                  <w:tcW w:w="2993" w:type="dxa"/>
                  <w:vAlign w:val="top"/>
                </w:tcPr>
                <w:p w14:paraId="0BB360A4">
                  <w:pPr>
                    <w:rPr>
                      <w:rFonts w:ascii="Arial"/>
                      <w:sz w:val="21"/>
                    </w:rPr>
                  </w:pPr>
                </w:p>
              </w:tc>
              <w:tc>
                <w:tcPr>
                  <w:tcW w:w="523" w:type="dxa"/>
                  <w:vAlign w:val="top"/>
                </w:tcPr>
                <w:p w14:paraId="13843EEE">
                  <w:pPr>
                    <w:pStyle w:val="6"/>
                    <w:spacing w:before="166" w:line="228" w:lineRule="auto"/>
                    <w:ind w:left="182"/>
                    <w:rPr>
                      <w:sz w:val="20"/>
                      <w:szCs w:val="20"/>
                    </w:rPr>
                  </w:pPr>
                  <w:r>
                    <w:rPr>
                      <w:sz w:val="20"/>
                      <w:szCs w:val="20"/>
                    </w:rPr>
                    <w:t>串</w:t>
                  </w:r>
                </w:p>
              </w:tc>
              <w:tc>
                <w:tcPr>
                  <w:tcW w:w="767" w:type="dxa"/>
                  <w:vAlign w:val="top"/>
                </w:tcPr>
                <w:p w14:paraId="663BC525">
                  <w:pPr>
                    <w:spacing w:before="20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2736" w:type="dxa"/>
                  <w:vAlign w:val="top"/>
                </w:tcPr>
                <w:p w14:paraId="01B4E6DB">
                  <w:pPr>
                    <w:rPr>
                      <w:rFonts w:ascii="Arial"/>
                      <w:sz w:val="21"/>
                    </w:rPr>
                  </w:pPr>
                </w:p>
              </w:tc>
            </w:tr>
            <w:tr w14:paraId="5ACE0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0" w:type="dxa"/>
                  <w:vAlign w:val="top"/>
                </w:tcPr>
                <w:p w14:paraId="1B16BD0E">
                  <w:pPr>
                    <w:spacing w:before="203"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927" w:type="dxa"/>
                  <w:vAlign w:val="top"/>
                </w:tcPr>
                <w:p w14:paraId="42E23BF1">
                  <w:pPr>
                    <w:pStyle w:val="6"/>
                    <w:spacing w:before="30" w:line="235" w:lineRule="auto"/>
                    <w:ind w:left="262" w:right="148" w:hanging="110"/>
                    <w:rPr>
                      <w:sz w:val="20"/>
                      <w:szCs w:val="20"/>
                    </w:rPr>
                  </w:pPr>
                  <w:r>
                    <w:rPr>
                      <w:spacing w:val="6"/>
                      <w:sz w:val="20"/>
                      <w:szCs w:val="20"/>
                    </w:rPr>
                    <w:t>地线耐</w:t>
                  </w:r>
                  <w:r>
                    <w:rPr>
                      <w:spacing w:val="1"/>
                      <w:sz w:val="20"/>
                      <w:szCs w:val="20"/>
                    </w:rPr>
                    <w:t xml:space="preserve"> </w:t>
                  </w:r>
                  <w:r>
                    <w:rPr>
                      <w:spacing w:val="2"/>
                      <w:sz w:val="20"/>
                      <w:szCs w:val="20"/>
                    </w:rPr>
                    <w:t>张串</w:t>
                  </w:r>
                </w:p>
              </w:tc>
              <w:tc>
                <w:tcPr>
                  <w:tcW w:w="2993" w:type="dxa"/>
                  <w:vAlign w:val="top"/>
                </w:tcPr>
                <w:p w14:paraId="43FD8329">
                  <w:pPr>
                    <w:rPr>
                      <w:rFonts w:ascii="Arial"/>
                      <w:sz w:val="21"/>
                    </w:rPr>
                  </w:pPr>
                </w:p>
              </w:tc>
              <w:tc>
                <w:tcPr>
                  <w:tcW w:w="523" w:type="dxa"/>
                  <w:vAlign w:val="top"/>
                </w:tcPr>
                <w:p w14:paraId="252D5CF3">
                  <w:pPr>
                    <w:pStyle w:val="6"/>
                    <w:spacing w:before="166" w:line="228" w:lineRule="auto"/>
                    <w:ind w:left="182"/>
                    <w:rPr>
                      <w:sz w:val="20"/>
                      <w:szCs w:val="20"/>
                    </w:rPr>
                  </w:pPr>
                  <w:r>
                    <w:rPr>
                      <w:sz w:val="20"/>
                      <w:szCs w:val="20"/>
                    </w:rPr>
                    <w:t>串</w:t>
                  </w:r>
                </w:p>
              </w:tc>
              <w:tc>
                <w:tcPr>
                  <w:tcW w:w="767" w:type="dxa"/>
                  <w:vAlign w:val="top"/>
                </w:tcPr>
                <w:p w14:paraId="067F0E6F">
                  <w:pPr>
                    <w:spacing w:before="203"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112</w:t>
                  </w:r>
                </w:p>
              </w:tc>
              <w:tc>
                <w:tcPr>
                  <w:tcW w:w="2736" w:type="dxa"/>
                  <w:vAlign w:val="top"/>
                </w:tcPr>
                <w:p w14:paraId="26C8FDA6">
                  <w:pPr>
                    <w:rPr>
                      <w:rFonts w:ascii="Arial"/>
                      <w:sz w:val="21"/>
                    </w:rPr>
                  </w:pPr>
                </w:p>
              </w:tc>
            </w:tr>
            <w:tr w14:paraId="6DDE3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550" w:type="dxa"/>
                  <w:tcBorders>
                    <w:bottom w:val="nil"/>
                  </w:tcBorders>
                  <w:vAlign w:val="top"/>
                </w:tcPr>
                <w:p w14:paraId="129E0DDE">
                  <w:pPr>
                    <w:spacing w:before="203"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927" w:type="dxa"/>
                  <w:tcBorders>
                    <w:bottom w:val="nil"/>
                  </w:tcBorders>
                  <w:vAlign w:val="top"/>
                </w:tcPr>
                <w:p w14:paraId="4BCEC683">
                  <w:pPr>
                    <w:pStyle w:val="6"/>
                    <w:spacing w:before="31" w:line="231" w:lineRule="auto"/>
                    <w:ind w:left="256" w:right="148" w:hanging="104"/>
                    <w:rPr>
                      <w:sz w:val="20"/>
                      <w:szCs w:val="20"/>
                    </w:rPr>
                  </w:pPr>
                  <w:r>
                    <w:rPr>
                      <w:spacing w:val="6"/>
                      <w:sz w:val="20"/>
                      <w:szCs w:val="20"/>
                    </w:rPr>
                    <w:t>地线防</w:t>
                  </w:r>
                  <w:r>
                    <w:rPr>
                      <w:spacing w:val="1"/>
                      <w:sz w:val="20"/>
                      <w:szCs w:val="20"/>
                    </w:rPr>
                    <w:t xml:space="preserve"> </w:t>
                  </w:r>
                  <w:r>
                    <w:rPr>
                      <w:spacing w:val="5"/>
                      <w:sz w:val="20"/>
                      <w:szCs w:val="20"/>
                    </w:rPr>
                    <w:t>振锤</w:t>
                  </w:r>
                </w:p>
              </w:tc>
              <w:tc>
                <w:tcPr>
                  <w:tcW w:w="2993" w:type="dxa"/>
                  <w:tcBorders>
                    <w:bottom w:val="nil"/>
                  </w:tcBorders>
                  <w:vAlign w:val="top"/>
                </w:tcPr>
                <w:p w14:paraId="5863C71C">
                  <w:pPr>
                    <w:rPr>
                      <w:rFonts w:ascii="Arial"/>
                      <w:sz w:val="21"/>
                    </w:rPr>
                  </w:pPr>
                </w:p>
              </w:tc>
              <w:tc>
                <w:tcPr>
                  <w:tcW w:w="523" w:type="dxa"/>
                  <w:tcBorders>
                    <w:bottom w:val="nil"/>
                  </w:tcBorders>
                  <w:vAlign w:val="top"/>
                </w:tcPr>
                <w:p w14:paraId="463008AF">
                  <w:pPr>
                    <w:pStyle w:val="6"/>
                    <w:spacing w:before="165" w:line="228" w:lineRule="auto"/>
                    <w:ind w:left="164"/>
                    <w:rPr>
                      <w:sz w:val="20"/>
                      <w:szCs w:val="20"/>
                    </w:rPr>
                  </w:pPr>
                  <w:r>
                    <w:rPr>
                      <w:sz w:val="20"/>
                      <w:szCs w:val="20"/>
                    </w:rPr>
                    <w:t>套</w:t>
                  </w:r>
                </w:p>
              </w:tc>
              <w:tc>
                <w:tcPr>
                  <w:tcW w:w="767" w:type="dxa"/>
                  <w:tcBorders>
                    <w:bottom w:val="nil"/>
                  </w:tcBorders>
                  <w:vAlign w:val="top"/>
                </w:tcPr>
                <w:p w14:paraId="3F44021E">
                  <w:pPr>
                    <w:spacing w:before="203"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405</w:t>
                  </w:r>
                </w:p>
              </w:tc>
              <w:tc>
                <w:tcPr>
                  <w:tcW w:w="2736" w:type="dxa"/>
                  <w:tcBorders>
                    <w:bottom w:val="nil"/>
                  </w:tcBorders>
                  <w:vAlign w:val="top"/>
                </w:tcPr>
                <w:p w14:paraId="39A38665">
                  <w:pPr>
                    <w:pStyle w:val="6"/>
                    <w:spacing w:before="165" w:line="228" w:lineRule="auto"/>
                    <w:ind w:left="1059"/>
                    <w:rPr>
                      <w:sz w:val="20"/>
                      <w:szCs w:val="20"/>
                    </w:rPr>
                  </w:pPr>
                  <w:r>
                    <w:rPr>
                      <w:spacing w:val="6"/>
                      <w:sz w:val="20"/>
                      <w:szCs w:val="20"/>
                    </w:rPr>
                    <w:t>预绞式</w:t>
                  </w:r>
                </w:p>
              </w:tc>
            </w:tr>
          </w:tbl>
          <w:p w14:paraId="67309A13">
            <w:pPr>
              <w:spacing w:line="14" w:lineRule="auto"/>
              <w:rPr>
                <w:rFonts w:ascii="Arial"/>
                <w:sz w:val="2"/>
              </w:rPr>
            </w:pPr>
          </w:p>
        </w:tc>
      </w:tr>
    </w:tbl>
    <w:p w14:paraId="5CA00CD5">
      <w:pPr>
        <w:rPr>
          <w:rFonts w:ascii="Arial"/>
          <w:sz w:val="21"/>
        </w:rPr>
      </w:pPr>
    </w:p>
    <w:p w14:paraId="09E29C97">
      <w:pPr>
        <w:rPr>
          <w:rFonts w:ascii="Arial" w:hAnsi="Arial" w:eastAsia="Arial" w:cs="Arial"/>
          <w:sz w:val="21"/>
          <w:szCs w:val="21"/>
        </w:rPr>
        <w:sectPr>
          <w:footerReference r:id="rId63" w:type="default"/>
          <w:pgSz w:w="11906" w:h="16839"/>
          <w:pgMar w:top="1431" w:right="1413" w:bottom="1276" w:left="1413" w:header="0" w:footer="1116" w:gutter="0"/>
          <w:cols w:space="720" w:num="1"/>
        </w:sectPr>
      </w:pPr>
    </w:p>
    <w:p w14:paraId="6F938352">
      <w:pPr>
        <w:spacing w:line="99" w:lineRule="exact"/>
      </w:pPr>
      <w:r>
        <w:drawing>
          <wp:anchor distT="0" distB="0" distL="0" distR="0" simplePos="0" relativeHeight="251709440" behindDoc="0" locked="0" layoutInCell="0" allowOverlap="1">
            <wp:simplePos x="0" y="0"/>
            <wp:positionH relativeFrom="page">
              <wp:posOffset>6581775</wp:posOffset>
            </wp:positionH>
            <wp:positionV relativeFrom="page">
              <wp:posOffset>984250</wp:posOffset>
            </wp:positionV>
            <wp:extent cx="6350" cy="865378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01"/>
                    <a:stretch>
                      <a:fillRect/>
                    </a:stretch>
                  </pic:blipFill>
                  <pic:spPr>
                    <a:xfrm>
                      <a:off x="0" y="0"/>
                      <a:ext cx="6350" cy="8653780"/>
                    </a:xfrm>
                    <a:prstGeom prst="rect">
                      <a:avLst/>
                    </a:prstGeom>
                  </pic:spPr>
                </pic:pic>
              </a:graphicData>
            </a:graphic>
          </wp:anchor>
        </w:drawing>
      </w: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7"/>
        <w:gridCol w:w="432"/>
        <w:gridCol w:w="926"/>
        <w:gridCol w:w="2990"/>
        <w:gridCol w:w="522"/>
        <w:gridCol w:w="767"/>
        <w:gridCol w:w="2850"/>
      </w:tblGrid>
      <w:tr w14:paraId="74A71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77" w:type="dxa"/>
            <w:vMerge w:val="restart"/>
            <w:tcBorders>
              <w:top w:val="single" w:color="000000" w:sz="6" w:space="0"/>
              <w:left w:val="single" w:color="000000" w:sz="6" w:space="0"/>
              <w:bottom w:val="nil"/>
            </w:tcBorders>
            <w:vAlign w:val="top"/>
          </w:tcPr>
          <w:p w14:paraId="628856CD">
            <w:pPr>
              <w:rPr>
                <w:rFonts w:ascii="Arial"/>
                <w:sz w:val="21"/>
              </w:rPr>
            </w:pPr>
            <w:r>
              <w:pict>
                <v:shape id="_x0000_s1071" o:spid="_x0000_s1071" style="position:absolute;left:0pt;margin-left:22.65pt;margin-top:0.95pt;height:681.45pt;width:0.5pt;mso-position-horizontal-relative:page;mso-position-vertical-relative:page;z-index:251708416;mso-width-relative:page;mso-height-relative:page;" filled="f" stroked="t" coordsize="10,13629" path="m4,0l4,13628e">
                  <v:fill on="f" focussize="0,0"/>
                  <v:stroke weight="0.48pt" color="#000000" miterlimit="2" joinstyle="bevel"/>
                  <v:imagedata o:title=""/>
                  <o:lock v:ext="edit"/>
                </v:shape>
              </w:pict>
            </w:r>
          </w:p>
        </w:tc>
        <w:tc>
          <w:tcPr>
            <w:tcW w:w="432" w:type="dxa"/>
            <w:tcBorders>
              <w:top w:val="single" w:color="000000" w:sz="6" w:space="0"/>
            </w:tcBorders>
            <w:vAlign w:val="top"/>
          </w:tcPr>
          <w:p w14:paraId="43DEDBD9">
            <w:pPr>
              <w:spacing w:before="219"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926" w:type="dxa"/>
            <w:tcBorders>
              <w:top w:val="single" w:color="000000" w:sz="6" w:space="0"/>
            </w:tcBorders>
            <w:vAlign w:val="top"/>
          </w:tcPr>
          <w:p w14:paraId="21693D30">
            <w:pPr>
              <w:pStyle w:val="6"/>
              <w:spacing w:before="47" w:line="234" w:lineRule="auto"/>
              <w:ind w:left="256" w:right="151" w:hanging="106"/>
              <w:rPr>
                <w:sz w:val="20"/>
                <w:szCs w:val="20"/>
              </w:rPr>
            </w:pPr>
            <w:r>
              <w:rPr>
                <w:spacing w:val="6"/>
                <w:sz w:val="20"/>
                <w:szCs w:val="20"/>
              </w:rPr>
              <w:t>光缆接</w:t>
            </w:r>
            <w:r>
              <w:rPr>
                <w:sz w:val="20"/>
                <w:szCs w:val="20"/>
              </w:rPr>
              <w:t xml:space="preserve"> </w:t>
            </w:r>
            <w:r>
              <w:rPr>
                <w:spacing w:val="3"/>
                <w:sz w:val="20"/>
                <w:szCs w:val="20"/>
              </w:rPr>
              <w:t>线盒</w:t>
            </w:r>
          </w:p>
        </w:tc>
        <w:tc>
          <w:tcPr>
            <w:tcW w:w="2990" w:type="dxa"/>
            <w:tcBorders>
              <w:top w:val="single" w:color="000000" w:sz="6" w:space="0"/>
            </w:tcBorders>
            <w:vAlign w:val="top"/>
          </w:tcPr>
          <w:p w14:paraId="7885CE94">
            <w:pPr>
              <w:rPr>
                <w:rFonts w:ascii="Arial"/>
                <w:sz w:val="21"/>
              </w:rPr>
            </w:pPr>
          </w:p>
        </w:tc>
        <w:tc>
          <w:tcPr>
            <w:tcW w:w="522" w:type="dxa"/>
            <w:tcBorders>
              <w:top w:val="single" w:color="000000" w:sz="6" w:space="0"/>
            </w:tcBorders>
            <w:vAlign w:val="top"/>
          </w:tcPr>
          <w:p w14:paraId="1FB92C62">
            <w:pPr>
              <w:pStyle w:val="6"/>
              <w:spacing w:before="180" w:line="228" w:lineRule="auto"/>
              <w:ind w:left="163"/>
              <w:rPr>
                <w:sz w:val="20"/>
                <w:szCs w:val="20"/>
              </w:rPr>
            </w:pPr>
            <w:r>
              <w:rPr>
                <w:sz w:val="20"/>
                <w:szCs w:val="20"/>
              </w:rPr>
              <w:t>个</w:t>
            </w:r>
          </w:p>
        </w:tc>
        <w:tc>
          <w:tcPr>
            <w:tcW w:w="767" w:type="dxa"/>
            <w:tcBorders>
              <w:top w:val="single" w:color="000000" w:sz="6" w:space="0"/>
            </w:tcBorders>
            <w:vAlign w:val="top"/>
          </w:tcPr>
          <w:p w14:paraId="59DE999F">
            <w:pPr>
              <w:spacing w:before="219"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850" w:type="dxa"/>
            <w:tcBorders>
              <w:top w:val="single" w:color="000000" w:sz="6" w:space="0"/>
              <w:right w:val="single" w:color="000000" w:sz="6" w:space="0"/>
            </w:tcBorders>
            <w:vAlign w:val="top"/>
          </w:tcPr>
          <w:p w14:paraId="643EDDBD">
            <w:pPr>
              <w:rPr>
                <w:rFonts w:ascii="Arial"/>
                <w:sz w:val="21"/>
              </w:rPr>
            </w:pPr>
          </w:p>
        </w:tc>
      </w:tr>
      <w:tr w14:paraId="5B6B1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77" w:type="dxa"/>
            <w:vMerge w:val="continue"/>
            <w:tcBorders>
              <w:top w:val="nil"/>
              <w:left w:val="single" w:color="000000" w:sz="6" w:space="0"/>
              <w:bottom w:val="nil"/>
            </w:tcBorders>
            <w:vAlign w:val="top"/>
          </w:tcPr>
          <w:p w14:paraId="55BE51F7">
            <w:pPr>
              <w:rPr>
                <w:rFonts w:ascii="Arial"/>
                <w:sz w:val="21"/>
              </w:rPr>
            </w:pPr>
          </w:p>
        </w:tc>
        <w:tc>
          <w:tcPr>
            <w:tcW w:w="432" w:type="dxa"/>
            <w:vAlign w:val="top"/>
          </w:tcPr>
          <w:p w14:paraId="75D725E6">
            <w:pPr>
              <w:spacing w:before="202"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926" w:type="dxa"/>
            <w:vAlign w:val="top"/>
          </w:tcPr>
          <w:p w14:paraId="3D36FE9F">
            <w:pPr>
              <w:pStyle w:val="6"/>
              <w:spacing w:before="31" w:line="234" w:lineRule="auto"/>
              <w:ind w:left="255" w:right="151" w:hanging="107"/>
              <w:rPr>
                <w:sz w:val="20"/>
                <w:szCs w:val="20"/>
              </w:rPr>
            </w:pPr>
            <w:r>
              <w:rPr>
                <w:spacing w:val="6"/>
                <w:sz w:val="20"/>
                <w:szCs w:val="20"/>
              </w:rPr>
              <w:t>塔用余</w:t>
            </w:r>
            <w:r>
              <w:rPr>
                <w:spacing w:val="1"/>
                <w:sz w:val="20"/>
                <w:szCs w:val="20"/>
              </w:rPr>
              <w:t xml:space="preserve"> </w:t>
            </w:r>
            <w:r>
              <w:rPr>
                <w:spacing w:val="3"/>
                <w:sz w:val="20"/>
                <w:szCs w:val="20"/>
              </w:rPr>
              <w:t>缆架</w:t>
            </w:r>
          </w:p>
        </w:tc>
        <w:tc>
          <w:tcPr>
            <w:tcW w:w="2990" w:type="dxa"/>
            <w:vAlign w:val="top"/>
          </w:tcPr>
          <w:p w14:paraId="0F424540">
            <w:pPr>
              <w:rPr>
                <w:rFonts w:ascii="Arial"/>
                <w:sz w:val="21"/>
              </w:rPr>
            </w:pPr>
          </w:p>
        </w:tc>
        <w:tc>
          <w:tcPr>
            <w:tcW w:w="522" w:type="dxa"/>
            <w:vAlign w:val="top"/>
          </w:tcPr>
          <w:p w14:paraId="20DFF036">
            <w:pPr>
              <w:pStyle w:val="6"/>
              <w:spacing w:before="166" w:line="228" w:lineRule="auto"/>
              <w:ind w:left="163"/>
              <w:rPr>
                <w:sz w:val="20"/>
                <w:szCs w:val="20"/>
              </w:rPr>
            </w:pPr>
            <w:r>
              <w:rPr>
                <w:sz w:val="20"/>
                <w:szCs w:val="20"/>
              </w:rPr>
              <w:t>个</w:t>
            </w:r>
          </w:p>
        </w:tc>
        <w:tc>
          <w:tcPr>
            <w:tcW w:w="767" w:type="dxa"/>
            <w:vAlign w:val="top"/>
          </w:tcPr>
          <w:p w14:paraId="1C469A80">
            <w:pPr>
              <w:spacing w:before="202"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850" w:type="dxa"/>
            <w:tcBorders>
              <w:right w:val="single" w:color="000000" w:sz="6" w:space="0"/>
            </w:tcBorders>
            <w:vAlign w:val="top"/>
          </w:tcPr>
          <w:p w14:paraId="06279730">
            <w:pPr>
              <w:rPr>
                <w:rFonts w:ascii="Arial"/>
                <w:sz w:val="21"/>
              </w:rPr>
            </w:pPr>
          </w:p>
        </w:tc>
      </w:tr>
      <w:tr w14:paraId="0F219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7" w:type="dxa"/>
            <w:vMerge w:val="continue"/>
            <w:tcBorders>
              <w:top w:val="nil"/>
              <w:left w:val="single" w:color="000000" w:sz="6" w:space="0"/>
              <w:bottom w:val="nil"/>
            </w:tcBorders>
            <w:vAlign w:val="top"/>
          </w:tcPr>
          <w:p w14:paraId="15590DD5">
            <w:pPr>
              <w:rPr>
                <w:rFonts w:ascii="Arial"/>
                <w:sz w:val="21"/>
              </w:rPr>
            </w:pPr>
          </w:p>
        </w:tc>
        <w:tc>
          <w:tcPr>
            <w:tcW w:w="432" w:type="dxa"/>
            <w:vAlign w:val="top"/>
          </w:tcPr>
          <w:p w14:paraId="10F1A237">
            <w:pPr>
              <w:spacing w:before="206"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26" w:type="dxa"/>
            <w:vAlign w:val="top"/>
          </w:tcPr>
          <w:p w14:paraId="4C84B165">
            <w:pPr>
              <w:pStyle w:val="6"/>
              <w:spacing w:before="34" w:line="233" w:lineRule="auto"/>
              <w:ind w:left="154" w:right="151" w:hanging="6"/>
              <w:rPr>
                <w:sz w:val="20"/>
                <w:szCs w:val="20"/>
              </w:rPr>
            </w:pPr>
            <w:r>
              <w:rPr>
                <w:spacing w:val="6"/>
                <w:sz w:val="20"/>
                <w:szCs w:val="20"/>
              </w:rPr>
              <w:t>塔用引</w:t>
            </w:r>
            <w:r>
              <w:rPr>
                <w:spacing w:val="1"/>
                <w:sz w:val="20"/>
                <w:szCs w:val="20"/>
              </w:rPr>
              <w:t xml:space="preserve"> </w:t>
            </w:r>
            <w:r>
              <w:rPr>
                <w:spacing w:val="4"/>
                <w:sz w:val="20"/>
                <w:szCs w:val="20"/>
              </w:rPr>
              <w:t>下线夹</w:t>
            </w:r>
          </w:p>
        </w:tc>
        <w:tc>
          <w:tcPr>
            <w:tcW w:w="2990" w:type="dxa"/>
            <w:vAlign w:val="top"/>
          </w:tcPr>
          <w:p w14:paraId="70A3D9D7">
            <w:pPr>
              <w:rPr>
                <w:rFonts w:ascii="Arial"/>
                <w:sz w:val="21"/>
              </w:rPr>
            </w:pPr>
          </w:p>
        </w:tc>
        <w:tc>
          <w:tcPr>
            <w:tcW w:w="522" w:type="dxa"/>
            <w:vAlign w:val="top"/>
          </w:tcPr>
          <w:p w14:paraId="4F6D71E1">
            <w:pPr>
              <w:pStyle w:val="6"/>
              <w:spacing w:before="167" w:line="228" w:lineRule="auto"/>
              <w:ind w:left="163"/>
              <w:rPr>
                <w:sz w:val="20"/>
                <w:szCs w:val="20"/>
              </w:rPr>
            </w:pPr>
            <w:r>
              <w:rPr>
                <w:sz w:val="20"/>
                <w:szCs w:val="20"/>
              </w:rPr>
              <w:t>个</w:t>
            </w:r>
          </w:p>
        </w:tc>
        <w:tc>
          <w:tcPr>
            <w:tcW w:w="767" w:type="dxa"/>
            <w:vAlign w:val="top"/>
          </w:tcPr>
          <w:p w14:paraId="76DD9CF7">
            <w:pPr>
              <w:spacing w:before="206"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850" w:type="dxa"/>
            <w:tcBorders>
              <w:right w:val="single" w:color="000000" w:sz="6" w:space="0"/>
            </w:tcBorders>
            <w:vAlign w:val="top"/>
          </w:tcPr>
          <w:p w14:paraId="7B9E771D">
            <w:pPr>
              <w:pStyle w:val="6"/>
              <w:spacing w:before="167" w:line="229" w:lineRule="auto"/>
              <w:ind w:left="827"/>
              <w:rPr>
                <w:sz w:val="20"/>
                <w:szCs w:val="20"/>
              </w:rPr>
            </w:pPr>
            <w:r>
              <w:rPr>
                <w:rFonts w:ascii="Times New Roman" w:hAnsi="Times New Roman" w:eastAsia="Times New Roman" w:cs="Times New Roman"/>
                <w:sz w:val="20"/>
                <w:szCs w:val="20"/>
              </w:rPr>
              <w:t>O</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z w:val="20"/>
                <w:szCs w:val="20"/>
              </w:rPr>
              <w:t>P</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z w:val="20"/>
                <w:szCs w:val="20"/>
              </w:rPr>
              <w:t>G</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W</w:t>
            </w:r>
            <w:r>
              <w:rPr>
                <w:rFonts w:ascii="Times New Roman" w:hAnsi="Times New Roman" w:eastAsia="Times New Roman" w:cs="Times New Roman"/>
                <w:spacing w:val="7"/>
                <w:sz w:val="20"/>
                <w:szCs w:val="20"/>
              </w:rPr>
              <w:t xml:space="preserve">  </w:t>
            </w:r>
            <w:r>
              <w:rPr>
                <w:spacing w:val="5"/>
                <w:sz w:val="20"/>
                <w:szCs w:val="20"/>
              </w:rPr>
              <w:t>用</w:t>
            </w:r>
          </w:p>
        </w:tc>
      </w:tr>
      <w:tr w14:paraId="3C5D0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77" w:type="dxa"/>
            <w:vMerge w:val="continue"/>
            <w:tcBorders>
              <w:top w:val="nil"/>
              <w:left w:val="single" w:color="000000" w:sz="6" w:space="0"/>
              <w:bottom w:val="nil"/>
            </w:tcBorders>
            <w:vAlign w:val="top"/>
          </w:tcPr>
          <w:p w14:paraId="0CAB8015">
            <w:pPr>
              <w:rPr>
                <w:rFonts w:ascii="Arial"/>
                <w:sz w:val="21"/>
              </w:rPr>
            </w:pPr>
          </w:p>
        </w:tc>
        <w:tc>
          <w:tcPr>
            <w:tcW w:w="432" w:type="dxa"/>
            <w:vAlign w:val="top"/>
          </w:tcPr>
          <w:p w14:paraId="3752F97A">
            <w:pPr>
              <w:spacing w:before="189"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926" w:type="dxa"/>
            <w:vAlign w:val="top"/>
          </w:tcPr>
          <w:p w14:paraId="700A53B2">
            <w:pPr>
              <w:pStyle w:val="6"/>
              <w:spacing w:before="55" w:line="222" w:lineRule="auto"/>
              <w:ind w:left="150" w:right="151" w:hanging="44"/>
              <w:rPr>
                <w:sz w:val="20"/>
                <w:szCs w:val="20"/>
              </w:rPr>
            </w:pPr>
            <w:r>
              <w:rPr>
                <w:rFonts w:ascii="Times New Roman" w:hAnsi="Times New Roman" w:eastAsia="Times New Roman" w:cs="Times New Roman"/>
                <w:spacing w:val="3"/>
                <w:sz w:val="20"/>
                <w:szCs w:val="20"/>
              </w:rPr>
              <w:t>OP</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3"/>
                <w:sz w:val="20"/>
                <w:szCs w:val="20"/>
              </w:rPr>
              <w:t>GW</w:t>
            </w:r>
            <w:r>
              <w:rPr>
                <w:rFonts w:ascii="Times New Roman" w:hAnsi="Times New Roman" w:eastAsia="Times New Roman" w:cs="Times New Roman"/>
                <w:sz w:val="20"/>
                <w:szCs w:val="20"/>
              </w:rPr>
              <w:t xml:space="preserve"> </w:t>
            </w:r>
            <w:r>
              <w:rPr>
                <w:spacing w:val="6"/>
                <w:sz w:val="20"/>
                <w:szCs w:val="20"/>
              </w:rPr>
              <w:t>悬垂串</w:t>
            </w:r>
          </w:p>
        </w:tc>
        <w:tc>
          <w:tcPr>
            <w:tcW w:w="2990" w:type="dxa"/>
            <w:vAlign w:val="top"/>
          </w:tcPr>
          <w:p w14:paraId="77C45EEA">
            <w:pPr>
              <w:rPr>
                <w:rFonts w:ascii="Arial"/>
                <w:sz w:val="21"/>
              </w:rPr>
            </w:pPr>
          </w:p>
        </w:tc>
        <w:tc>
          <w:tcPr>
            <w:tcW w:w="522" w:type="dxa"/>
            <w:vAlign w:val="top"/>
          </w:tcPr>
          <w:p w14:paraId="34FDB4CB">
            <w:pPr>
              <w:pStyle w:val="6"/>
              <w:spacing w:before="154" w:line="228" w:lineRule="auto"/>
              <w:ind w:left="182"/>
              <w:rPr>
                <w:sz w:val="20"/>
                <w:szCs w:val="20"/>
              </w:rPr>
            </w:pPr>
            <w:r>
              <w:rPr>
                <w:sz w:val="20"/>
                <w:szCs w:val="20"/>
              </w:rPr>
              <w:t>串</w:t>
            </w:r>
          </w:p>
        </w:tc>
        <w:tc>
          <w:tcPr>
            <w:tcW w:w="767" w:type="dxa"/>
            <w:vAlign w:val="top"/>
          </w:tcPr>
          <w:p w14:paraId="220F4833">
            <w:pPr>
              <w:spacing w:before="189"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2850" w:type="dxa"/>
            <w:tcBorders>
              <w:right w:val="single" w:color="000000" w:sz="6" w:space="0"/>
            </w:tcBorders>
            <w:vAlign w:val="top"/>
          </w:tcPr>
          <w:p w14:paraId="15EB40F9">
            <w:pPr>
              <w:rPr>
                <w:rFonts w:ascii="Arial"/>
                <w:sz w:val="21"/>
              </w:rPr>
            </w:pPr>
          </w:p>
        </w:tc>
      </w:tr>
      <w:tr w14:paraId="30557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77" w:type="dxa"/>
            <w:vMerge w:val="continue"/>
            <w:tcBorders>
              <w:top w:val="nil"/>
              <w:left w:val="single" w:color="000000" w:sz="6" w:space="0"/>
              <w:bottom w:val="nil"/>
            </w:tcBorders>
            <w:vAlign w:val="top"/>
          </w:tcPr>
          <w:p w14:paraId="29BB5F05">
            <w:pPr>
              <w:rPr>
                <w:rFonts w:ascii="Arial"/>
                <w:sz w:val="21"/>
              </w:rPr>
            </w:pPr>
          </w:p>
        </w:tc>
        <w:tc>
          <w:tcPr>
            <w:tcW w:w="432" w:type="dxa"/>
            <w:vAlign w:val="top"/>
          </w:tcPr>
          <w:p w14:paraId="5ED17942">
            <w:pPr>
              <w:spacing w:before="18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926" w:type="dxa"/>
            <w:vAlign w:val="top"/>
          </w:tcPr>
          <w:p w14:paraId="59F4FD41">
            <w:pPr>
              <w:pStyle w:val="6"/>
              <w:spacing w:before="53" w:line="223" w:lineRule="auto"/>
              <w:ind w:left="150" w:right="151" w:hanging="44"/>
              <w:rPr>
                <w:sz w:val="20"/>
                <w:szCs w:val="20"/>
              </w:rPr>
            </w:pPr>
            <w:r>
              <w:rPr>
                <w:rFonts w:ascii="Times New Roman" w:hAnsi="Times New Roman" w:eastAsia="Times New Roman" w:cs="Times New Roman"/>
                <w:spacing w:val="3"/>
                <w:sz w:val="20"/>
                <w:szCs w:val="20"/>
              </w:rPr>
              <w:t>OP</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3"/>
                <w:sz w:val="20"/>
                <w:szCs w:val="20"/>
              </w:rPr>
              <w:t>GW</w:t>
            </w:r>
            <w:r>
              <w:rPr>
                <w:rFonts w:ascii="Times New Roman" w:hAnsi="Times New Roman" w:eastAsia="Times New Roman" w:cs="Times New Roman"/>
                <w:sz w:val="20"/>
                <w:szCs w:val="20"/>
              </w:rPr>
              <w:t xml:space="preserve"> </w:t>
            </w:r>
            <w:r>
              <w:rPr>
                <w:spacing w:val="6"/>
                <w:sz w:val="20"/>
                <w:szCs w:val="20"/>
              </w:rPr>
              <w:t>耐张串</w:t>
            </w:r>
          </w:p>
        </w:tc>
        <w:tc>
          <w:tcPr>
            <w:tcW w:w="2990" w:type="dxa"/>
            <w:vAlign w:val="top"/>
          </w:tcPr>
          <w:p w14:paraId="0062A383">
            <w:pPr>
              <w:rPr>
                <w:rFonts w:ascii="Arial"/>
                <w:sz w:val="21"/>
              </w:rPr>
            </w:pPr>
          </w:p>
        </w:tc>
        <w:tc>
          <w:tcPr>
            <w:tcW w:w="522" w:type="dxa"/>
            <w:vAlign w:val="top"/>
          </w:tcPr>
          <w:p w14:paraId="24EB57B9">
            <w:pPr>
              <w:pStyle w:val="6"/>
              <w:spacing w:before="153" w:line="228" w:lineRule="auto"/>
              <w:ind w:left="182"/>
              <w:rPr>
                <w:sz w:val="20"/>
                <w:szCs w:val="20"/>
              </w:rPr>
            </w:pPr>
            <w:r>
              <w:rPr>
                <w:sz w:val="20"/>
                <w:szCs w:val="20"/>
              </w:rPr>
              <w:t>串</w:t>
            </w:r>
          </w:p>
        </w:tc>
        <w:tc>
          <w:tcPr>
            <w:tcW w:w="767" w:type="dxa"/>
            <w:vAlign w:val="top"/>
          </w:tcPr>
          <w:p w14:paraId="2B6E4AE2">
            <w:pPr>
              <w:spacing w:before="189"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112</w:t>
            </w:r>
          </w:p>
        </w:tc>
        <w:tc>
          <w:tcPr>
            <w:tcW w:w="2850" w:type="dxa"/>
            <w:tcBorders>
              <w:right w:val="single" w:color="000000" w:sz="6" w:space="0"/>
            </w:tcBorders>
            <w:vAlign w:val="top"/>
          </w:tcPr>
          <w:p w14:paraId="233002B5">
            <w:pPr>
              <w:rPr>
                <w:rFonts w:ascii="Arial"/>
                <w:sz w:val="21"/>
              </w:rPr>
            </w:pPr>
          </w:p>
        </w:tc>
      </w:tr>
      <w:tr w14:paraId="03BDE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77" w:type="dxa"/>
            <w:vMerge w:val="continue"/>
            <w:tcBorders>
              <w:top w:val="nil"/>
              <w:left w:val="single" w:color="000000" w:sz="6" w:space="0"/>
              <w:bottom w:val="nil"/>
            </w:tcBorders>
            <w:vAlign w:val="top"/>
          </w:tcPr>
          <w:p w14:paraId="364BEFA1">
            <w:pPr>
              <w:rPr>
                <w:rFonts w:ascii="Arial"/>
                <w:sz w:val="21"/>
              </w:rPr>
            </w:pPr>
          </w:p>
        </w:tc>
        <w:tc>
          <w:tcPr>
            <w:tcW w:w="432" w:type="dxa"/>
            <w:vAlign w:val="top"/>
          </w:tcPr>
          <w:p w14:paraId="1C4E1B59">
            <w:pPr>
              <w:spacing w:before="18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926" w:type="dxa"/>
            <w:vAlign w:val="top"/>
          </w:tcPr>
          <w:p w14:paraId="6922E6E8">
            <w:pPr>
              <w:pStyle w:val="6"/>
              <w:spacing w:before="53" w:line="223" w:lineRule="auto"/>
              <w:ind w:left="160" w:right="151" w:hanging="54"/>
              <w:rPr>
                <w:sz w:val="20"/>
                <w:szCs w:val="20"/>
              </w:rPr>
            </w:pPr>
            <w:r>
              <w:rPr>
                <w:rFonts w:ascii="Times New Roman" w:hAnsi="Times New Roman" w:eastAsia="Times New Roman" w:cs="Times New Roman"/>
                <w:spacing w:val="3"/>
                <w:sz w:val="20"/>
                <w:szCs w:val="20"/>
              </w:rPr>
              <w:t>OP</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3"/>
                <w:sz w:val="20"/>
                <w:szCs w:val="20"/>
              </w:rPr>
              <w:t>GW</w:t>
            </w:r>
            <w:r>
              <w:rPr>
                <w:rFonts w:ascii="Times New Roman" w:hAnsi="Times New Roman" w:eastAsia="Times New Roman" w:cs="Times New Roman"/>
                <w:sz w:val="20"/>
                <w:szCs w:val="20"/>
              </w:rPr>
              <w:t xml:space="preserve"> </w:t>
            </w:r>
            <w:r>
              <w:rPr>
                <w:spacing w:val="2"/>
                <w:sz w:val="20"/>
                <w:szCs w:val="20"/>
              </w:rPr>
              <w:t>防振锤</w:t>
            </w:r>
          </w:p>
        </w:tc>
        <w:tc>
          <w:tcPr>
            <w:tcW w:w="2990" w:type="dxa"/>
            <w:vAlign w:val="top"/>
          </w:tcPr>
          <w:p w14:paraId="76E592BE">
            <w:pPr>
              <w:rPr>
                <w:rFonts w:ascii="Arial"/>
                <w:sz w:val="21"/>
              </w:rPr>
            </w:pPr>
          </w:p>
        </w:tc>
        <w:tc>
          <w:tcPr>
            <w:tcW w:w="522" w:type="dxa"/>
            <w:vAlign w:val="top"/>
          </w:tcPr>
          <w:p w14:paraId="059BEC9A">
            <w:pPr>
              <w:pStyle w:val="6"/>
              <w:spacing w:before="152" w:line="228" w:lineRule="auto"/>
              <w:ind w:left="164"/>
              <w:rPr>
                <w:sz w:val="20"/>
                <w:szCs w:val="20"/>
              </w:rPr>
            </w:pPr>
            <w:r>
              <w:rPr>
                <w:sz w:val="20"/>
                <w:szCs w:val="20"/>
              </w:rPr>
              <w:t>套</w:t>
            </w:r>
          </w:p>
        </w:tc>
        <w:tc>
          <w:tcPr>
            <w:tcW w:w="767" w:type="dxa"/>
            <w:vAlign w:val="top"/>
          </w:tcPr>
          <w:p w14:paraId="39DF63F4">
            <w:pPr>
              <w:spacing w:before="18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405</w:t>
            </w:r>
          </w:p>
        </w:tc>
        <w:tc>
          <w:tcPr>
            <w:tcW w:w="2850" w:type="dxa"/>
            <w:tcBorders>
              <w:right w:val="single" w:color="000000" w:sz="6" w:space="0"/>
            </w:tcBorders>
            <w:vAlign w:val="top"/>
          </w:tcPr>
          <w:p w14:paraId="2E41BDC3">
            <w:pPr>
              <w:pStyle w:val="6"/>
              <w:spacing w:before="152" w:line="228" w:lineRule="auto"/>
              <w:ind w:left="1060"/>
              <w:rPr>
                <w:sz w:val="20"/>
                <w:szCs w:val="20"/>
              </w:rPr>
            </w:pPr>
            <w:r>
              <w:rPr>
                <w:spacing w:val="6"/>
                <w:sz w:val="20"/>
                <w:szCs w:val="20"/>
              </w:rPr>
              <w:t>预绞式</w:t>
            </w:r>
          </w:p>
        </w:tc>
      </w:tr>
      <w:tr w14:paraId="32B37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77" w:type="dxa"/>
            <w:vMerge w:val="continue"/>
            <w:tcBorders>
              <w:top w:val="nil"/>
              <w:left w:val="single" w:color="000000" w:sz="6" w:space="0"/>
              <w:bottom w:val="nil"/>
            </w:tcBorders>
            <w:vAlign w:val="top"/>
          </w:tcPr>
          <w:p w14:paraId="681E2470">
            <w:pPr>
              <w:rPr>
                <w:rFonts w:ascii="Arial"/>
                <w:sz w:val="21"/>
              </w:rPr>
            </w:pPr>
          </w:p>
        </w:tc>
        <w:tc>
          <w:tcPr>
            <w:tcW w:w="432" w:type="dxa"/>
            <w:vAlign w:val="top"/>
          </w:tcPr>
          <w:p w14:paraId="7FE3E2BA">
            <w:pPr>
              <w:spacing w:before="69"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926" w:type="dxa"/>
            <w:vAlign w:val="top"/>
          </w:tcPr>
          <w:p w14:paraId="3F1954E8">
            <w:pPr>
              <w:pStyle w:val="6"/>
              <w:spacing w:before="34" w:line="215" w:lineRule="auto"/>
              <w:ind w:left="161"/>
              <w:rPr>
                <w:sz w:val="20"/>
                <w:szCs w:val="20"/>
              </w:rPr>
            </w:pPr>
            <w:r>
              <w:rPr>
                <w:spacing w:val="2"/>
                <w:sz w:val="20"/>
                <w:szCs w:val="20"/>
              </w:rPr>
              <w:t>防鸟刺</w:t>
            </w:r>
          </w:p>
        </w:tc>
        <w:tc>
          <w:tcPr>
            <w:tcW w:w="2990" w:type="dxa"/>
            <w:vAlign w:val="top"/>
          </w:tcPr>
          <w:p w14:paraId="2C062956">
            <w:pPr>
              <w:rPr>
                <w:rFonts w:ascii="Arial"/>
                <w:sz w:val="21"/>
              </w:rPr>
            </w:pPr>
          </w:p>
        </w:tc>
        <w:tc>
          <w:tcPr>
            <w:tcW w:w="522" w:type="dxa"/>
            <w:vAlign w:val="top"/>
          </w:tcPr>
          <w:p w14:paraId="296EACF7">
            <w:pPr>
              <w:pStyle w:val="6"/>
              <w:spacing w:before="34" w:line="215" w:lineRule="auto"/>
              <w:ind w:left="164"/>
              <w:rPr>
                <w:sz w:val="20"/>
                <w:szCs w:val="20"/>
              </w:rPr>
            </w:pPr>
            <w:r>
              <w:rPr>
                <w:sz w:val="20"/>
                <w:szCs w:val="20"/>
              </w:rPr>
              <w:t>套</w:t>
            </w:r>
          </w:p>
        </w:tc>
        <w:tc>
          <w:tcPr>
            <w:tcW w:w="767" w:type="dxa"/>
            <w:vAlign w:val="top"/>
          </w:tcPr>
          <w:p w14:paraId="2A9D15F8">
            <w:pPr>
              <w:spacing w:before="69"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672</w:t>
            </w:r>
          </w:p>
        </w:tc>
        <w:tc>
          <w:tcPr>
            <w:tcW w:w="2850" w:type="dxa"/>
            <w:tcBorders>
              <w:right w:val="single" w:color="000000" w:sz="6" w:space="0"/>
            </w:tcBorders>
            <w:vAlign w:val="top"/>
          </w:tcPr>
          <w:p w14:paraId="13948CC8">
            <w:pPr>
              <w:rPr>
                <w:rFonts w:ascii="Arial"/>
                <w:sz w:val="21"/>
              </w:rPr>
            </w:pPr>
          </w:p>
        </w:tc>
      </w:tr>
      <w:tr w14:paraId="71941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77" w:type="dxa"/>
            <w:vMerge w:val="continue"/>
            <w:tcBorders>
              <w:top w:val="nil"/>
              <w:left w:val="single" w:color="000000" w:sz="6" w:space="0"/>
              <w:bottom w:val="nil"/>
            </w:tcBorders>
            <w:vAlign w:val="top"/>
          </w:tcPr>
          <w:p w14:paraId="59CE9DC7">
            <w:pPr>
              <w:rPr>
                <w:rFonts w:ascii="Arial"/>
                <w:sz w:val="21"/>
              </w:rPr>
            </w:pPr>
          </w:p>
        </w:tc>
        <w:tc>
          <w:tcPr>
            <w:tcW w:w="432" w:type="dxa"/>
            <w:vAlign w:val="top"/>
          </w:tcPr>
          <w:p w14:paraId="0BE112DA">
            <w:pPr>
              <w:spacing w:before="68"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26" w:type="dxa"/>
            <w:vAlign w:val="top"/>
          </w:tcPr>
          <w:p w14:paraId="7A5B87A6">
            <w:pPr>
              <w:pStyle w:val="6"/>
              <w:spacing w:before="32" w:line="216" w:lineRule="auto"/>
              <w:ind w:left="149"/>
              <w:rPr>
                <w:sz w:val="20"/>
                <w:szCs w:val="20"/>
              </w:rPr>
            </w:pPr>
            <w:r>
              <w:rPr>
                <w:spacing w:val="6"/>
                <w:sz w:val="20"/>
                <w:szCs w:val="20"/>
              </w:rPr>
              <w:t>标志牌</w:t>
            </w:r>
          </w:p>
        </w:tc>
        <w:tc>
          <w:tcPr>
            <w:tcW w:w="2990" w:type="dxa"/>
            <w:vAlign w:val="top"/>
          </w:tcPr>
          <w:p w14:paraId="1C8BE743">
            <w:pPr>
              <w:rPr>
                <w:rFonts w:ascii="Arial"/>
                <w:sz w:val="21"/>
              </w:rPr>
            </w:pPr>
          </w:p>
        </w:tc>
        <w:tc>
          <w:tcPr>
            <w:tcW w:w="522" w:type="dxa"/>
            <w:vAlign w:val="top"/>
          </w:tcPr>
          <w:p w14:paraId="0C4FEDD6">
            <w:pPr>
              <w:pStyle w:val="6"/>
              <w:spacing w:before="32" w:line="216" w:lineRule="auto"/>
              <w:ind w:left="164"/>
              <w:rPr>
                <w:sz w:val="20"/>
                <w:szCs w:val="20"/>
              </w:rPr>
            </w:pPr>
            <w:r>
              <w:rPr>
                <w:sz w:val="20"/>
                <w:szCs w:val="20"/>
              </w:rPr>
              <w:t>套</w:t>
            </w:r>
          </w:p>
        </w:tc>
        <w:tc>
          <w:tcPr>
            <w:tcW w:w="767" w:type="dxa"/>
            <w:vAlign w:val="top"/>
          </w:tcPr>
          <w:p w14:paraId="3B2CDD90">
            <w:pPr>
              <w:spacing w:before="68"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2850" w:type="dxa"/>
            <w:tcBorders>
              <w:right w:val="single" w:color="000000" w:sz="6" w:space="0"/>
            </w:tcBorders>
            <w:vAlign w:val="top"/>
          </w:tcPr>
          <w:p w14:paraId="5DC5A588">
            <w:pPr>
              <w:rPr>
                <w:rFonts w:ascii="Arial"/>
                <w:sz w:val="21"/>
              </w:rPr>
            </w:pPr>
          </w:p>
        </w:tc>
      </w:tr>
      <w:tr w14:paraId="396AB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77" w:type="dxa"/>
            <w:vMerge w:val="continue"/>
            <w:tcBorders>
              <w:top w:val="nil"/>
              <w:left w:val="single" w:color="000000" w:sz="6" w:space="0"/>
              <w:bottom w:val="nil"/>
            </w:tcBorders>
            <w:vAlign w:val="top"/>
          </w:tcPr>
          <w:p w14:paraId="0EED6835">
            <w:pPr>
              <w:rPr>
                <w:rFonts w:ascii="Arial"/>
                <w:sz w:val="21"/>
              </w:rPr>
            </w:pPr>
          </w:p>
        </w:tc>
        <w:tc>
          <w:tcPr>
            <w:tcW w:w="432" w:type="dxa"/>
            <w:vAlign w:val="top"/>
          </w:tcPr>
          <w:p w14:paraId="02F5005C">
            <w:pPr>
              <w:spacing w:before="69"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926" w:type="dxa"/>
            <w:vAlign w:val="top"/>
          </w:tcPr>
          <w:p w14:paraId="6E413C15">
            <w:pPr>
              <w:pStyle w:val="6"/>
              <w:spacing w:before="34" w:line="216" w:lineRule="auto"/>
              <w:ind w:left="148"/>
              <w:rPr>
                <w:sz w:val="20"/>
                <w:szCs w:val="20"/>
              </w:rPr>
            </w:pPr>
            <w:r>
              <w:rPr>
                <w:spacing w:val="6"/>
                <w:sz w:val="20"/>
                <w:szCs w:val="20"/>
              </w:rPr>
              <w:t>相序牌</w:t>
            </w:r>
          </w:p>
        </w:tc>
        <w:tc>
          <w:tcPr>
            <w:tcW w:w="2990" w:type="dxa"/>
            <w:vAlign w:val="top"/>
          </w:tcPr>
          <w:p w14:paraId="10EAEE33">
            <w:pPr>
              <w:rPr>
                <w:rFonts w:ascii="Arial"/>
                <w:sz w:val="21"/>
              </w:rPr>
            </w:pPr>
          </w:p>
        </w:tc>
        <w:tc>
          <w:tcPr>
            <w:tcW w:w="522" w:type="dxa"/>
            <w:vAlign w:val="top"/>
          </w:tcPr>
          <w:p w14:paraId="27526316">
            <w:pPr>
              <w:pStyle w:val="6"/>
              <w:spacing w:before="34" w:line="216" w:lineRule="auto"/>
              <w:ind w:left="164"/>
              <w:rPr>
                <w:sz w:val="20"/>
                <w:szCs w:val="20"/>
              </w:rPr>
            </w:pPr>
            <w:r>
              <w:rPr>
                <w:sz w:val="20"/>
                <w:szCs w:val="20"/>
              </w:rPr>
              <w:t>套</w:t>
            </w:r>
          </w:p>
        </w:tc>
        <w:tc>
          <w:tcPr>
            <w:tcW w:w="767" w:type="dxa"/>
            <w:vAlign w:val="top"/>
          </w:tcPr>
          <w:p w14:paraId="2F4A68CD">
            <w:pPr>
              <w:spacing w:before="69"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2850" w:type="dxa"/>
            <w:tcBorders>
              <w:right w:val="single" w:color="000000" w:sz="6" w:space="0"/>
            </w:tcBorders>
            <w:vAlign w:val="top"/>
          </w:tcPr>
          <w:p w14:paraId="3E27EDA8">
            <w:pPr>
              <w:pStyle w:val="6"/>
              <w:spacing w:before="34" w:line="216" w:lineRule="auto"/>
              <w:ind w:left="958"/>
              <w:rPr>
                <w:sz w:val="20"/>
                <w:szCs w:val="20"/>
              </w:rPr>
            </w:pPr>
            <w:r>
              <w:rPr>
                <w:spacing w:val="6"/>
                <w:sz w:val="20"/>
                <w:szCs w:val="20"/>
              </w:rPr>
              <w:t>一套三相</w:t>
            </w:r>
          </w:p>
        </w:tc>
      </w:tr>
      <w:tr w14:paraId="5BD1E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77" w:type="dxa"/>
            <w:vMerge w:val="continue"/>
            <w:tcBorders>
              <w:top w:val="nil"/>
              <w:left w:val="single" w:color="000000" w:sz="6" w:space="0"/>
              <w:bottom w:val="nil"/>
            </w:tcBorders>
            <w:vAlign w:val="top"/>
          </w:tcPr>
          <w:p w14:paraId="5CE96368">
            <w:pPr>
              <w:rPr>
                <w:rFonts w:ascii="Arial"/>
                <w:sz w:val="21"/>
              </w:rPr>
            </w:pPr>
          </w:p>
        </w:tc>
        <w:tc>
          <w:tcPr>
            <w:tcW w:w="432" w:type="dxa"/>
            <w:vAlign w:val="top"/>
          </w:tcPr>
          <w:p w14:paraId="17CCEF5A">
            <w:pPr>
              <w:spacing w:before="70"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926" w:type="dxa"/>
            <w:vAlign w:val="top"/>
          </w:tcPr>
          <w:p w14:paraId="6EA1C052">
            <w:pPr>
              <w:pStyle w:val="6"/>
              <w:spacing w:before="34" w:line="215" w:lineRule="auto"/>
              <w:ind w:left="151"/>
              <w:rPr>
                <w:sz w:val="20"/>
                <w:szCs w:val="20"/>
              </w:rPr>
            </w:pPr>
            <w:r>
              <w:rPr>
                <w:spacing w:val="5"/>
                <w:sz w:val="20"/>
                <w:szCs w:val="20"/>
              </w:rPr>
              <w:t>警示牌</w:t>
            </w:r>
          </w:p>
        </w:tc>
        <w:tc>
          <w:tcPr>
            <w:tcW w:w="2990" w:type="dxa"/>
            <w:vAlign w:val="top"/>
          </w:tcPr>
          <w:p w14:paraId="392CBB22">
            <w:pPr>
              <w:rPr>
                <w:rFonts w:ascii="Arial"/>
                <w:sz w:val="21"/>
              </w:rPr>
            </w:pPr>
          </w:p>
        </w:tc>
        <w:tc>
          <w:tcPr>
            <w:tcW w:w="522" w:type="dxa"/>
            <w:vAlign w:val="top"/>
          </w:tcPr>
          <w:p w14:paraId="35C0797F">
            <w:pPr>
              <w:pStyle w:val="6"/>
              <w:spacing w:before="34" w:line="215" w:lineRule="auto"/>
              <w:ind w:left="164"/>
              <w:rPr>
                <w:sz w:val="20"/>
                <w:szCs w:val="20"/>
              </w:rPr>
            </w:pPr>
            <w:r>
              <w:rPr>
                <w:sz w:val="20"/>
                <w:szCs w:val="20"/>
              </w:rPr>
              <w:t>套</w:t>
            </w:r>
          </w:p>
        </w:tc>
        <w:tc>
          <w:tcPr>
            <w:tcW w:w="767" w:type="dxa"/>
            <w:vAlign w:val="top"/>
          </w:tcPr>
          <w:p w14:paraId="19549404">
            <w:pPr>
              <w:spacing w:before="69"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2850" w:type="dxa"/>
            <w:tcBorders>
              <w:right w:val="single" w:color="000000" w:sz="6" w:space="0"/>
            </w:tcBorders>
            <w:vAlign w:val="top"/>
          </w:tcPr>
          <w:p w14:paraId="53C98E4C">
            <w:pPr>
              <w:rPr>
                <w:rFonts w:ascii="Arial"/>
                <w:sz w:val="21"/>
              </w:rPr>
            </w:pPr>
          </w:p>
        </w:tc>
      </w:tr>
      <w:tr w14:paraId="78F00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7" w:type="dxa"/>
            <w:vMerge w:val="continue"/>
            <w:tcBorders>
              <w:top w:val="nil"/>
              <w:left w:val="single" w:color="000000" w:sz="6" w:space="0"/>
              <w:bottom w:val="nil"/>
            </w:tcBorders>
            <w:vAlign w:val="top"/>
          </w:tcPr>
          <w:p w14:paraId="1EE98090">
            <w:pPr>
              <w:rPr>
                <w:rFonts w:ascii="Arial"/>
                <w:sz w:val="21"/>
              </w:rPr>
            </w:pPr>
          </w:p>
        </w:tc>
        <w:tc>
          <w:tcPr>
            <w:tcW w:w="432" w:type="dxa"/>
            <w:vAlign w:val="top"/>
          </w:tcPr>
          <w:p w14:paraId="12D590B7">
            <w:pPr>
              <w:spacing w:before="205"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926" w:type="dxa"/>
            <w:vAlign w:val="top"/>
          </w:tcPr>
          <w:p w14:paraId="0B9C759B">
            <w:pPr>
              <w:pStyle w:val="6"/>
              <w:spacing w:before="32" w:line="234" w:lineRule="auto"/>
              <w:ind w:left="147" w:right="151"/>
              <w:rPr>
                <w:sz w:val="20"/>
                <w:szCs w:val="20"/>
              </w:rPr>
            </w:pPr>
            <w:r>
              <w:rPr>
                <w:spacing w:val="7"/>
                <w:sz w:val="20"/>
                <w:szCs w:val="20"/>
              </w:rPr>
              <w:t>铁塔接</w:t>
            </w:r>
            <w:r>
              <w:rPr>
                <w:sz w:val="20"/>
                <w:szCs w:val="20"/>
              </w:rPr>
              <w:t xml:space="preserve"> </w:t>
            </w:r>
            <w:r>
              <w:rPr>
                <w:spacing w:val="6"/>
                <w:sz w:val="20"/>
                <w:szCs w:val="20"/>
              </w:rPr>
              <w:t>地装置</w:t>
            </w:r>
          </w:p>
        </w:tc>
        <w:tc>
          <w:tcPr>
            <w:tcW w:w="2990" w:type="dxa"/>
            <w:vAlign w:val="top"/>
          </w:tcPr>
          <w:p w14:paraId="7A9C92B2">
            <w:pPr>
              <w:rPr>
                <w:rFonts w:ascii="Arial"/>
                <w:sz w:val="21"/>
              </w:rPr>
            </w:pPr>
          </w:p>
        </w:tc>
        <w:tc>
          <w:tcPr>
            <w:tcW w:w="522" w:type="dxa"/>
            <w:vAlign w:val="top"/>
          </w:tcPr>
          <w:p w14:paraId="67D36F1E">
            <w:pPr>
              <w:pStyle w:val="6"/>
              <w:spacing w:before="167" w:line="228" w:lineRule="auto"/>
              <w:ind w:left="164"/>
              <w:rPr>
                <w:sz w:val="20"/>
                <w:szCs w:val="20"/>
              </w:rPr>
            </w:pPr>
            <w:r>
              <w:rPr>
                <w:sz w:val="20"/>
                <w:szCs w:val="20"/>
              </w:rPr>
              <w:t>套</w:t>
            </w:r>
          </w:p>
        </w:tc>
        <w:tc>
          <w:tcPr>
            <w:tcW w:w="767" w:type="dxa"/>
            <w:vAlign w:val="top"/>
          </w:tcPr>
          <w:p w14:paraId="411E67B9">
            <w:pPr>
              <w:spacing w:before="20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2850" w:type="dxa"/>
            <w:tcBorders>
              <w:right w:val="single" w:color="000000" w:sz="6" w:space="0"/>
            </w:tcBorders>
            <w:vAlign w:val="top"/>
          </w:tcPr>
          <w:p w14:paraId="2FDFFB4C">
            <w:pPr>
              <w:pStyle w:val="6"/>
              <w:spacing w:before="167" w:line="228" w:lineRule="auto"/>
              <w:ind w:left="743"/>
              <w:rPr>
                <w:sz w:val="20"/>
                <w:szCs w:val="20"/>
              </w:rPr>
            </w:pPr>
            <w:r>
              <w:rPr>
                <w:spacing w:val="8"/>
                <w:sz w:val="20"/>
                <w:szCs w:val="20"/>
              </w:rPr>
              <w:t>铁塔接地装置</w:t>
            </w:r>
          </w:p>
        </w:tc>
      </w:tr>
      <w:tr w14:paraId="50AFD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77" w:type="dxa"/>
            <w:vMerge w:val="continue"/>
            <w:tcBorders>
              <w:top w:val="nil"/>
              <w:left w:val="single" w:color="000000" w:sz="6" w:space="0"/>
              <w:bottom w:val="nil"/>
            </w:tcBorders>
            <w:vAlign w:val="top"/>
          </w:tcPr>
          <w:p w14:paraId="5D908E73">
            <w:pPr>
              <w:rPr>
                <w:rFonts w:ascii="Arial"/>
                <w:sz w:val="21"/>
              </w:rPr>
            </w:pPr>
          </w:p>
        </w:tc>
        <w:tc>
          <w:tcPr>
            <w:tcW w:w="432" w:type="dxa"/>
            <w:vAlign w:val="top"/>
          </w:tcPr>
          <w:p w14:paraId="75FE99EF">
            <w:pPr>
              <w:spacing w:before="206"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926" w:type="dxa"/>
            <w:vAlign w:val="top"/>
          </w:tcPr>
          <w:p w14:paraId="635016FA">
            <w:pPr>
              <w:pStyle w:val="6"/>
              <w:spacing w:before="33" w:line="233" w:lineRule="auto"/>
              <w:ind w:left="149" w:right="110" w:hanging="41"/>
              <w:rPr>
                <w:sz w:val="20"/>
                <w:szCs w:val="20"/>
              </w:rPr>
            </w:pPr>
            <w:r>
              <w:rPr>
                <w:rFonts w:ascii="Times New Roman" w:hAnsi="Times New Roman" w:eastAsia="Times New Roman" w:cs="Times New Roman"/>
                <w:spacing w:val="1"/>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
                <w:sz w:val="20"/>
                <w:szCs w:val="20"/>
              </w:rPr>
              <w:t xml:space="preserve"> </w:t>
            </w:r>
            <w:r>
              <w:rPr>
                <w:spacing w:val="1"/>
                <w:sz w:val="20"/>
                <w:szCs w:val="20"/>
              </w:rPr>
              <w:t>交</w:t>
            </w:r>
            <w:r>
              <w:rPr>
                <w:spacing w:val="2"/>
                <w:sz w:val="20"/>
                <w:szCs w:val="20"/>
              </w:rPr>
              <w:t xml:space="preserve"> </w:t>
            </w:r>
            <w:r>
              <w:rPr>
                <w:spacing w:val="6"/>
                <w:sz w:val="20"/>
                <w:szCs w:val="20"/>
              </w:rPr>
              <w:t>联电缆</w:t>
            </w:r>
          </w:p>
        </w:tc>
        <w:tc>
          <w:tcPr>
            <w:tcW w:w="2990" w:type="dxa"/>
            <w:vAlign w:val="top"/>
          </w:tcPr>
          <w:p w14:paraId="27D19C45">
            <w:pPr>
              <w:spacing w:before="202" w:line="199" w:lineRule="auto"/>
              <w:ind w:left="105"/>
              <w:rPr>
                <w:rFonts w:ascii="Times New Roman" w:hAnsi="Times New Roman" w:eastAsia="Times New Roman" w:cs="Times New Roman"/>
                <w:sz w:val="20"/>
                <w:szCs w:val="20"/>
              </w:rPr>
            </w:pPr>
            <w:r>
              <w:rPr>
                <w:rFonts w:ascii="Times New Roman" w:hAnsi="Times New Roman" w:eastAsia="Times New Roman" w:cs="Times New Roman"/>
                <w:sz w:val="20"/>
                <w:szCs w:val="20"/>
              </w:rPr>
              <w:t>ZC</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YJY</w:t>
            </w:r>
            <w:r>
              <w:rPr>
                <w:rFonts w:ascii="Times New Roman" w:hAnsi="Times New Roman" w:eastAsia="Times New Roman" w:cs="Times New Roman"/>
                <w:spacing w:val="7"/>
                <w:sz w:val="20"/>
                <w:szCs w:val="20"/>
              </w:rPr>
              <w:t>23-26/35</w:t>
            </w:r>
            <w:r>
              <w:rPr>
                <w:rFonts w:ascii="Times New Roman" w:hAnsi="Times New Roman" w:eastAsia="Times New Roman" w:cs="Times New Roman"/>
                <w:sz w:val="20"/>
                <w:szCs w:val="20"/>
              </w:rPr>
              <w:t>kV</w:t>
            </w:r>
            <w:r>
              <w:rPr>
                <w:rFonts w:ascii="Times New Roman" w:hAnsi="Times New Roman" w:eastAsia="Times New Roman" w:cs="Times New Roman"/>
                <w:spacing w:val="7"/>
                <w:sz w:val="20"/>
                <w:szCs w:val="20"/>
              </w:rPr>
              <w:t>-3×240</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2</w:t>
            </w:r>
          </w:p>
        </w:tc>
        <w:tc>
          <w:tcPr>
            <w:tcW w:w="522" w:type="dxa"/>
            <w:vAlign w:val="top"/>
          </w:tcPr>
          <w:p w14:paraId="37CB8E21">
            <w:pPr>
              <w:spacing w:before="202" w:line="199"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767" w:type="dxa"/>
            <w:vAlign w:val="top"/>
          </w:tcPr>
          <w:p w14:paraId="64B7C142">
            <w:pPr>
              <w:spacing w:before="206" w:line="195" w:lineRule="auto"/>
              <w:ind w:left="3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50" w:type="dxa"/>
            <w:tcBorders>
              <w:right w:val="single" w:color="000000" w:sz="6" w:space="0"/>
            </w:tcBorders>
            <w:vAlign w:val="top"/>
          </w:tcPr>
          <w:p w14:paraId="37F60028">
            <w:pPr>
              <w:pStyle w:val="6"/>
              <w:spacing w:before="170" w:line="229" w:lineRule="auto"/>
              <w:ind w:left="1057"/>
              <w:rPr>
                <w:sz w:val="20"/>
                <w:szCs w:val="20"/>
              </w:rPr>
            </w:pPr>
            <w:r>
              <w:rPr>
                <w:spacing w:val="7"/>
                <w:sz w:val="20"/>
                <w:szCs w:val="20"/>
              </w:rPr>
              <w:t>进站段</w:t>
            </w:r>
          </w:p>
        </w:tc>
      </w:tr>
      <w:tr w14:paraId="269C8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7" w:type="dxa"/>
            <w:vMerge w:val="continue"/>
            <w:tcBorders>
              <w:top w:val="nil"/>
              <w:left w:val="single" w:color="000000" w:sz="6" w:space="0"/>
              <w:bottom w:val="nil"/>
            </w:tcBorders>
            <w:vAlign w:val="top"/>
          </w:tcPr>
          <w:p w14:paraId="66EB2098">
            <w:pPr>
              <w:rPr>
                <w:rFonts w:ascii="Arial"/>
                <w:sz w:val="21"/>
              </w:rPr>
            </w:pPr>
          </w:p>
        </w:tc>
        <w:tc>
          <w:tcPr>
            <w:tcW w:w="432" w:type="dxa"/>
            <w:vAlign w:val="top"/>
          </w:tcPr>
          <w:p w14:paraId="1C7F59CC">
            <w:pPr>
              <w:spacing w:before="207"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26" w:type="dxa"/>
            <w:vAlign w:val="top"/>
          </w:tcPr>
          <w:p w14:paraId="05E723F1">
            <w:pPr>
              <w:pStyle w:val="6"/>
              <w:spacing w:before="36" w:line="232" w:lineRule="auto"/>
              <w:ind w:left="149" w:right="110" w:hanging="41"/>
              <w:rPr>
                <w:sz w:val="20"/>
                <w:szCs w:val="20"/>
              </w:rPr>
            </w:pPr>
            <w:r>
              <w:rPr>
                <w:rFonts w:ascii="Times New Roman" w:hAnsi="Times New Roman" w:eastAsia="Times New Roman" w:cs="Times New Roman"/>
                <w:spacing w:val="1"/>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
                <w:sz w:val="20"/>
                <w:szCs w:val="20"/>
              </w:rPr>
              <w:t xml:space="preserve"> </w:t>
            </w:r>
            <w:r>
              <w:rPr>
                <w:spacing w:val="1"/>
                <w:sz w:val="20"/>
                <w:szCs w:val="20"/>
              </w:rPr>
              <w:t>交</w:t>
            </w:r>
            <w:r>
              <w:rPr>
                <w:spacing w:val="2"/>
                <w:sz w:val="20"/>
                <w:szCs w:val="20"/>
              </w:rPr>
              <w:t xml:space="preserve"> </w:t>
            </w:r>
            <w:r>
              <w:rPr>
                <w:spacing w:val="6"/>
                <w:sz w:val="20"/>
                <w:szCs w:val="20"/>
              </w:rPr>
              <w:t>联电缆</w:t>
            </w:r>
          </w:p>
        </w:tc>
        <w:tc>
          <w:tcPr>
            <w:tcW w:w="2990" w:type="dxa"/>
            <w:vAlign w:val="top"/>
          </w:tcPr>
          <w:p w14:paraId="36CF2992">
            <w:pPr>
              <w:spacing w:before="203" w:line="199" w:lineRule="auto"/>
              <w:ind w:left="105"/>
              <w:rPr>
                <w:rFonts w:ascii="Times New Roman" w:hAnsi="Times New Roman" w:eastAsia="Times New Roman" w:cs="Times New Roman"/>
                <w:sz w:val="20"/>
                <w:szCs w:val="20"/>
              </w:rPr>
            </w:pPr>
            <w:r>
              <w:rPr>
                <w:rFonts w:ascii="Times New Roman" w:hAnsi="Times New Roman" w:eastAsia="Times New Roman" w:cs="Times New Roman"/>
                <w:sz w:val="20"/>
                <w:szCs w:val="20"/>
              </w:rPr>
              <w:t>ZC</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YJY</w:t>
            </w:r>
            <w:r>
              <w:rPr>
                <w:rFonts w:ascii="Times New Roman" w:hAnsi="Times New Roman" w:eastAsia="Times New Roman" w:cs="Times New Roman"/>
                <w:spacing w:val="7"/>
                <w:sz w:val="20"/>
                <w:szCs w:val="20"/>
              </w:rPr>
              <w:t>23-26/35</w:t>
            </w:r>
            <w:r>
              <w:rPr>
                <w:rFonts w:ascii="Times New Roman" w:hAnsi="Times New Roman" w:eastAsia="Times New Roman" w:cs="Times New Roman"/>
                <w:sz w:val="20"/>
                <w:szCs w:val="20"/>
              </w:rPr>
              <w:t>kV</w:t>
            </w:r>
            <w:r>
              <w:rPr>
                <w:rFonts w:ascii="Times New Roman" w:hAnsi="Times New Roman" w:eastAsia="Times New Roman" w:cs="Times New Roman"/>
                <w:spacing w:val="7"/>
                <w:sz w:val="20"/>
                <w:szCs w:val="20"/>
              </w:rPr>
              <w:t>-3×400</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2</w:t>
            </w:r>
          </w:p>
        </w:tc>
        <w:tc>
          <w:tcPr>
            <w:tcW w:w="522" w:type="dxa"/>
            <w:vAlign w:val="top"/>
          </w:tcPr>
          <w:p w14:paraId="4140D8F6">
            <w:pPr>
              <w:spacing w:before="203" w:line="199"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767" w:type="dxa"/>
            <w:vAlign w:val="top"/>
          </w:tcPr>
          <w:p w14:paraId="5AFF3757">
            <w:pPr>
              <w:spacing w:before="207" w:line="195" w:lineRule="auto"/>
              <w:ind w:left="3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50" w:type="dxa"/>
            <w:tcBorders>
              <w:right w:val="single" w:color="000000" w:sz="6" w:space="0"/>
            </w:tcBorders>
            <w:vAlign w:val="top"/>
          </w:tcPr>
          <w:p w14:paraId="53EE283E">
            <w:pPr>
              <w:pStyle w:val="6"/>
              <w:spacing w:before="171" w:line="229" w:lineRule="auto"/>
              <w:ind w:left="1057"/>
              <w:rPr>
                <w:sz w:val="20"/>
                <w:szCs w:val="20"/>
              </w:rPr>
            </w:pPr>
            <w:r>
              <w:rPr>
                <w:spacing w:val="7"/>
                <w:sz w:val="20"/>
                <w:szCs w:val="20"/>
              </w:rPr>
              <w:t>进站段</w:t>
            </w:r>
          </w:p>
        </w:tc>
      </w:tr>
      <w:tr w14:paraId="2A4A9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7" w:type="dxa"/>
            <w:vMerge w:val="continue"/>
            <w:tcBorders>
              <w:top w:val="nil"/>
              <w:left w:val="single" w:color="000000" w:sz="6" w:space="0"/>
              <w:bottom w:val="nil"/>
            </w:tcBorders>
            <w:vAlign w:val="top"/>
          </w:tcPr>
          <w:p w14:paraId="61BC015D">
            <w:pPr>
              <w:rPr>
                <w:rFonts w:ascii="Arial"/>
                <w:sz w:val="21"/>
              </w:rPr>
            </w:pPr>
          </w:p>
        </w:tc>
        <w:tc>
          <w:tcPr>
            <w:tcW w:w="432" w:type="dxa"/>
            <w:vAlign w:val="top"/>
          </w:tcPr>
          <w:p w14:paraId="72DB55EB">
            <w:pPr>
              <w:spacing w:before="207"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926" w:type="dxa"/>
            <w:vAlign w:val="top"/>
          </w:tcPr>
          <w:p w14:paraId="64B4485C">
            <w:pPr>
              <w:pStyle w:val="6"/>
              <w:spacing w:before="38" w:line="231" w:lineRule="auto"/>
              <w:ind w:left="254" w:right="151" w:hanging="81"/>
              <w:rPr>
                <w:sz w:val="20"/>
                <w:szCs w:val="20"/>
              </w:rPr>
            </w:pPr>
            <w:r>
              <w:rPr>
                <w:spacing w:val="-2"/>
                <w:sz w:val="20"/>
                <w:szCs w:val="20"/>
              </w:rPr>
              <w:t>电缆终</w:t>
            </w:r>
            <w:r>
              <w:rPr>
                <w:spacing w:val="1"/>
                <w:sz w:val="20"/>
                <w:szCs w:val="20"/>
              </w:rPr>
              <w:t xml:space="preserve"> </w:t>
            </w:r>
            <w:r>
              <w:rPr>
                <w:spacing w:val="4"/>
                <w:sz w:val="20"/>
                <w:szCs w:val="20"/>
              </w:rPr>
              <w:t>端头</w:t>
            </w:r>
          </w:p>
        </w:tc>
        <w:tc>
          <w:tcPr>
            <w:tcW w:w="2990" w:type="dxa"/>
            <w:vAlign w:val="top"/>
          </w:tcPr>
          <w:p w14:paraId="67ADA187">
            <w:pPr>
              <w:pStyle w:val="6"/>
              <w:spacing w:before="171" w:line="229" w:lineRule="auto"/>
              <w:ind w:left="698"/>
              <w:rPr>
                <w:rFonts w:ascii="Times New Roman" w:hAnsi="Times New Roman" w:eastAsia="Times New Roman" w:cs="Times New Roman"/>
                <w:sz w:val="20"/>
                <w:szCs w:val="20"/>
              </w:rPr>
            </w:pPr>
            <w:r>
              <w:rPr>
                <w:spacing w:val="7"/>
                <w:sz w:val="20"/>
                <w:szCs w:val="20"/>
              </w:rPr>
              <w:t>铜芯，</w:t>
            </w:r>
            <w:r>
              <w:rPr>
                <w:rFonts w:ascii="Times New Roman" w:hAnsi="Times New Roman" w:eastAsia="Times New Roman" w:cs="Times New Roman"/>
                <w:spacing w:val="7"/>
                <w:sz w:val="20"/>
                <w:szCs w:val="20"/>
              </w:rPr>
              <w:t>3×240</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2</w:t>
            </w:r>
          </w:p>
        </w:tc>
        <w:tc>
          <w:tcPr>
            <w:tcW w:w="522" w:type="dxa"/>
            <w:vAlign w:val="top"/>
          </w:tcPr>
          <w:p w14:paraId="362120EA">
            <w:pPr>
              <w:pStyle w:val="6"/>
              <w:spacing w:before="172" w:line="238" w:lineRule="auto"/>
              <w:ind w:left="166"/>
              <w:rPr>
                <w:sz w:val="20"/>
                <w:szCs w:val="20"/>
              </w:rPr>
            </w:pPr>
            <w:r>
              <w:rPr>
                <w:sz w:val="20"/>
                <w:szCs w:val="20"/>
              </w:rPr>
              <w:t>组</w:t>
            </w:r>
          </w:p>
        </w:tc>
        <w:tc>
          <w:tcPr>
            <w:tcW w:w="767" w:type="dxa"/>
            <w:vAlign w:val="top"/>
          </w:tcPr>
          <w:p w14:paraId="179D2AAE">
            <w:pPr>
              <w:spacing w:before="203" w:line="199"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1/1</w:t>
            </w:r>
          </w:p>
        </w:tc>
        <w:tc>
          <w:tcPr>
            <w:tcW w:w="2850" w:type="dxa"/>
            <w:tcBorders>
              <w:right w:val="single" w:color="000000" w:sz="6" w:space="0"/>
            </w:tcBorders>
            <w:vAlign w:val="top"/>
          </w:tcPr>
          <w:p w14:paraId="290CD54C">
            <w:pPr>
              <w:pStyle w:val="6"/>
              <w:spacing w:before="37" w:line="221" w:lineRule="auto"/>
              <w:ind w:left="157"/>
              <w:rPr>
                <w:sz w:val="20"/>
                <w:szCs w:val="20"/>
              </w:rPr>
            </w:pPr>
            <w:r>
              <w:rPr>
                <w:spacing w:val="8"/>
                <w:sz w:val="20"/>
                <w:szCs w:val="20"/>
              </w:rPr>
              <w:t>户内</w:t>
            </w:r>
            <w:r>
              <w:rPr>
                <w:rFonts w:ascii="Times New Roman" w:hAnsi="Times New Roman" w:eastAsia="Times New Roman" w:cs="Times New Roman"/>
                <w:spacing w:val="8"/>
                <w:sz w:val="20"/>
                <w:szCs w:val="20"/>
              </w:rPr>
              <w:t>/</w:t>
            </w:r>
            <w:r>
              <w:rPr>
                <w:spacing w:val="8"/>
                <w:sz w:val="20"/>
                <w:szCs w:val="20"/>
              </w:rPr>
              <w:t>户外</w:t>
            </w:r>
            <w:r>
              <w:rPr>
                <w:rFonts w:ascii="Times New Roman" w:hAnsi="Times New Roman" w:eastAsia="Times New Roman" w:cs="Times New Roman"/>
                <w:spacing w:val="8"/>
                <w:sz w:val="20"/>
                <w:szCs w:val="20"/>
              </w:rPr>
              <w:t>(</w:t>
            </w:r>
            <w:r>
              <w:rPr>
                <w:spacing w:val="8"/>
                <w:sz w:val="20"/>
                <w:szCs w:val="20"/>
              </w:rPr>
              <w:t>每组三相，含接</w:t>
            </w:r>
          </w:p>
          <w:p w14:paraId="025001FD">
            <w:pPr>
              <w:pStyle w:val="6"/>
              <w:spacing w:before="31" w:line="213" w:lineRule="auto"/>
              <w:ind w:left="1130"/>
              <w:rPr>
                <w:rFonts w:ascii="Times New Roman" w:hAnsi="Times New Roman" w:eastAsia="Times New Roman" w:cs="Times New Roman"/>
                <w:sz w:val="20"/>
                <w:szCs w:val="20"/>
              </w:rPr>
            </w:pPr>
            <w:r>
              <w:rPr>
                <w:spacing w:val="4"/>
                <w:sz w:val="20"/>
                <w:szCs w:val="20"/>
              </w:rPr>
              <w:t>地线</w:t>
            </w:r>
            <w:r>
              <w:rPr>
                <w:rFonts w:ascii="Times New Roman" w:hAnsi="Times New Roman" w:eastAsia="Times New Roman" w:cs="Times New Roman"/>
                <w:spacing w:val="4"/>
                <w:sz w:val="20"/>
                <w:szCs w:val="20"/>
              </w:rPr>
              <w:t>)</w:t>
            </w:r>
          </w:p>
        </w:tc>
      </w:tr>
      <w:tr w14:paraId="66A3C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77" w:type="dxa"/>
            <w:vMerge w:val="continue"/>
            <w:tcBorders>
              <w:top w:val="nil"/>
              <w:left w:val="single" w:color="000000" w:sz="6" w:space="0"/>
              <w:bottom w:val="nil"/>
            </w:tcBorders>
            <w:vAlign w:val="top"/>
          </w:tcPr>
          <w:p w14:paraId="653259D9">
            <w:pPr>
              <w:rPr>
                <w:rFonts w:ascii="Arial"/>
                <w:sz w:val="21"/>
              </w:rPr>
            </w:pPr>
          </w:p>
        </w:tc>
        <w:tc>
          <w:tcPr>
            <w:tcW w:w="432" w:type="dxa"/>
            <w:vAlign w:val="top"/>
          </w:tcPr>
          <w:p w14:paraId="66B7DF7B">
            <w:pPr>
              <w:spacing w:before="208"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926" w:type="dxa"/>
            <w:vAlign w:val="top"/>
          </w:tcPr>
          <w:p w14:paraId="3F33D2DD">
            <w:pPr>
              <w:pStyle w:val="6"/>
              <w:spacing w:before="37" w:line="231" w:lineRule="auto"/>
              <w:ind w:left="254" w:right="151" w:hanging="81"/>
              <w:rPr>
                <w:sz w:val="20"/>
                <w:szCs w:val="20"/>
              </w:rPr>
            </w:pPr>
            <w:r>
              <w:rPr>
                <w:spacing w:val="-2"/>
                <w:sz w:val="20"/>
                <w:szCs w:val="20"/>
              </w:rPr>
              <w:t>电缆终</w:t>
            </w:r>
            <w:r>
              <w:rPr>
                <w:spacing w:val="1"/>
                <w:sz w:val="20"/>
                <w:szCs w:val="20"/>
              </w:rPr>
              <w:t xml:space="preserve"> </w:t>
            </w:r>
            <w:r>
              <w:rPr>
                <w:spacing w:val="4"/>
                <w:sz w:val="20"/>
                <w:szCs w:val="20"/>
              </w:rPr>
              <w:t>端头</w:t>
            </w:r>
          </w:p>
        </w:tc>
        <w:tc>
          <w:tcPr>
            <w:tcW w:w="2990" w:type="dxa"/>
            <w:vAlign w:val="top"/>
          </w:tcPr>
          <w:p w14:paraId="4DF699A2">
            <w:pPr>
              <w:pStyle w:val="6"/>
              <w:spacing w:before="172" w:line="229" w:lineRule="auto"/>
              <w:ind w:left="698"/>
              <w:rPr>
                <w:rFonts w:ascii="Times New Roman" w:hAnsi="Times New Roman" w:eastAsia="Times New Roman" w:cs="Times New Roman"/>
                <w:sz w:val="20"/>
                <w:szCs w:val="20"/>
              </w:rPr>
            </w:pPr>
            <w:r>
              <w:rPr>
                <w:spacing w:val="7"/>
                <w:sz w:val="20"/>
                <w:szCs w:val="20"/>
              </w:rPr>
              <w:t>铜芯，</w:t>
            </w:r>
            <w:r>
              <w:rPr>
                <w:rFonts w:ascii="Times New Roman" w:hAnsi="Times New Roman" w:eastAsia="Times New Roman" w:cs="Times New Roman"/>
                <w:spacing w:val="7"/>
                <w:sz w:val="20"/>
                <w:szCs w:val="20"/>
              </w:rPr>
              <w:t>3×400</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2</w:t>
            </w:r>
          </w:p>
        </w:tc>
        <w:tc>
          <w:tcPr>
            <w:tcW w:w="522" w:type="dxa"/>
            <w:vAlign w:val="top"/>
          </w:tcPr>
          <w:p w14:paraId="611E33D0">
            <w:pPr>
              <w:pStyle w:val="6"/>
              <w:spacing w:before="172" w:line="238" w:lineRule="auto"/>
              <w:ind w:left="166"/>
              <w:rPr>
                <w:sz w:val="20"/>
                <w:szCs w:val="20"/>
              </w:rPr>
            </w:pPr>
            <w:r>
              <w:rPr>
                <w:sz w:val="20"/>
                <w:szCs w:val="20"/>
              </w:rPr>
              <w:t>组</w:t>
            </w:r>
          </w:p>
        </w:tc>
        <w:tc>
          <w:tcPr>
            <w:tcW w:w="767" w:type="dxa"/>
            <w:vAlign w:val="top"/>
          </w:tcPr>
          <w:p w14:paraId="151F7841">
            <w:pPr>
              <w:spacing w:before="204" w:line="199"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850" w:type="dxa"/>
            <w:tcBorders>
              <w:right w:val="single" w:color="000000" w:sz="6" w:space="0"/>
            </w:tcBorders>
            <w:vAlign w:val="top"/>
          </w:tcPr>
          <w:p w14:paraId="155337F6">
            <w:pPr>
              <w:pStyle w:val="6"/>
              <w:spacing w:before="37" w:line="221" w:lineRule="auto"/>
              <w:ind w:left="157"/>
              <w:rPr>
                <w:sz w:val="20"/>
                <w:szCs w:val="20"/>
              </w:rPr>
            </w:pPr>
            <w:r>
              <w:rPr>
                <w:spacing w:val="8"/>
                <w:sz w:val="20"/>
                <w:szCs w:val="20"/>
              </w:rPr>
              <w:t>户内</w:t>
            </w:r>
            <w:r>
              <w:rPr>
                <w:rFonts w:ascii="Times New Roman" w:hAnsi="Times New Roman" w:eastAsia="Times New Roman" w:cs="Times New Roman"/>
                <w:spacing w:val="8"/>
                <w:sz w:val="20"/>
                <w:szCs w:val="20"/>
              </w:rPr>
              <w:t>/</w:t>
            </w:r>
            <w:r>
              <w:rPr>
                <w:spacing w:val="8"/>
                <w:sz w:val="20"/>
                <w:szCs w:val="20"/>
              </w:rPr>
              <w:t>户外</w:t>
            </w:r>
            <w:r>
              <w:rPr>
                <w:rFonts w:ascii="Times New Roman" w:hAnsi="Times New Roman" w:eastAsia="Times New Roman" w:cs="Times New Roman"/>
                <w:spacing w:val="8"/>
                <w:sz w:val="20"/>
                <w:szCs w:val="20"/>
              </w:rPr>
              <w:t>(</w:t>
            </w:r>
            <w:r>
              <w:rPr>
                <w:spacing w:val="8"/>
                <w:sz w:val="20"/>
                <w:szCs w:val="20"/>
              </w:rPr>
              <w:t>每组三相，含接</w:t>
            </w:r>
          </w:p>
          <w:p w14:paraId="7177E51D">
            <w:pPr>
              <w:pStyle w:val="6"/>
              <w:spacing w:before="32" w:line="211" w:lineRule="auto"/>
              <w:ind w:left="1130"/>
              <w:rPr>
                <w:rFonts w:ascii="Times New Roman" w:hAnsi="Times New Roman" w:eastAsia="Times New Roman" w:cs="Times New Roman"/>
                <w:sz w:val="20"/>
                <w:szCs w:val="20"/>
              </w:rPr>
            </w:pPr>
            <w:r>
              <w:rPr>
                <w:spacing w:val="4"/>
                <w:sz w:val="20"/>
                <w:szCs w:val="20"/>
              </w:rPr>
              <w:t>地线</w:t>
            </w:r>
            <w:r>
              <w:rPr>
                <w:rFonts w:ascii="Times New Roman" w:hAnsi="Times New Roman" w:eastAsia="Times New Roman" w:cs="Times New Roman"/>
                <w:spacing w:val="4"/>
                <w:sz w:val="20"/>
                <w:szCs w:val="20"/>
              </w:rPr>
              <w:t>)</w:t>
            </w:r>
          </w:p>
        </w:tc>
      </w:tr>
      <w:tr w14:paraId="4BF1E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577" w:type="dxa"/>
            <w:vMerge w:val="continue"/>
            <w:tcBorders>
              <w:top w:val="nil"/>
              <w:left w:val="single" w:color="000000" w:sz="6" w:space="0"/>
              <w:bottom w:val="nil"/>
            </w:tcBorders>
            <w:vAlign w:val="top"/>
          </w:tcPr>
          <w:p w14:paraId="742EF35E">
            <w:pPr>
              <w:rPr>
                <w:rFonts w:ascii="Arial"/>
                <w:sz w:val="21"/>
              </w:rPr>
            </w:pPr>
          </w:p>
        </w:tc>
        <w:tc>
          <w:tcPr>
            <w:tcW w:w="432" w:type="dxa"/>
            <w:vAlign w:val="top"/>
          </w:tcPr>
          <w:p w14:paraId="2B8F0AD7">
            <w:pPr>
              <w:spacing w:line="392" w:lineRule="auto"/>
              <w:rPr>
                <w:rFonts w:ascii="Arial"/>
                <w:sz w:val="21"/>
              </w:rPr>
            </w:pPr>
          </w:p>
          <w:p w14:paraId="42A18A18">
            <w:pPr>
              <w:spacing w:before="57"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926" w:type="dxa"/>
            <w:vAlign w:val="top"/>
          </w:tcPr>
          <w:p w14:paraId="09DE356A">
            <w:pPr>
              <w:pStyle w:val="6"/>
              <w:spacing w:before="279"/>
              <w:ind w:left="149" w:right="151"/>
              <w:rPr>
                <w:sz w:val="20"/>
                <w:szCs w:val="20"/>
              </w:rPr>
            </w:pPr>
            <w:r>
              <w:rPr>
                <w:spacing w:val="6"/>
                <w:sz w:val="20"/>
                <w:szCs w:val="20"/>
              </w:rPr>
              <w:t>冷缩绝</w:t>
            </w:r>
            <w:r>
              <w:rPr>
                <w:sz w:val="20"/>
                <w:szCs w:val="20"/>
              </w:rPr>
              <w:t xml:space="preserve"> </w:t>
            </w:r>
            <w:r>
              <w:rPr>
                <w:spacing w:val="6"/>
                <w:sz w:val="20"/>
                <w:szCs w:val="20"/>
              </w:rPr>
              <w:t>缘套管</w:t>
            </w:r>
          </w:p>
        </w:tc>
        <w:tc>
          <w:tcPr>
            <w:tcW w:w="2990" w:type="dxa"/>
            <w:vAlign w:val="top"/>
          </w:tcPr>
          <w:p w14:paraId="4A73042B">
            <w:pPr>
              <w:pStyle w:val="6"/>
              <w:spacing w:before="56" w:line="238" w:lineRule="auto"/>
              <w:ind w:left="1313" w:right="106" w:hanging="1208"/>
              <w:rPr>
                <w:sz w:val="20"/>
                <w:szCs w:val="20"/>
              </w:rPr>
            </w:pPr>
            <w:r>
              <w:rPr>
                <w:rFonts w:ascii="Times New Roman" w:hAnsi="Times New Roman" w:eastAsia="Times New Roman" w:cs="Times New Roman"/>
                <w:sz w:val="20"/>
                <w:szCs w:val="20"/>
              </w:rPr>
              <w:t>ZC</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YJY</w:t>
            </w:r>
            <w:r>
              <w:rPr>
                <w:rFonts w:ascii="Times New Roman" w:hAnsi="Times New Roman" w:eastAsia="Times New Roman" w:cs="Times New Roman"/>
                <w:spacing w:val="7"/>
                <w:sz w:val="20"/>
                <w:szCs w:val="20"/>
              </w:rPr>
              <w:t>23-26/35</w:t>
            </w:r>
            <w:r>
              <w:rPr>
                <w:rFonts w:ascii="Times New Roman" w:hAnsi="Times New Roman" w:eastAsia="Times New Roman" w:cs="Times New Roman"/>
                <w:sz w:val="20"/>
                <w:szCs w:val="20"/>
              </w:rPr>
              <w:t>kV</w:t>
            </w:r>
            <w:r>
              <w:rPr>
                <w:rFonts w:ascii="Times New Roman" w:hAnsi="Times New Roman" w:eastAsia="Times New Roman" w:cs="Times New Roman"/>
                <w:spacing w:val="7"/>
                <w:sz w:val="20"/>
                <w:szCs w:val="20"/>
              </w:rPr>
              <w:t>-3×240</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3"/>
                <w:w w:val="101"/>
                <w:sz w:val="20"/>
                <w:szCs w:val="20"/>
              </w:rPr>
              <w:t xml:space="preserve"> </w:t>
            </w:r>
            <w:r>
              <w:rPr>
                <w:spacing w:val="-8"/>
                <w:sz w:val="20"/>
                <w:szCs w:val="20"/>
              </w:rPr>
              <w:t>电缆</w:t>
            </w:r>
          </w:p>
          <w:p w14:paraId="59968067">
            <w:pPr>
              <w:pStyle w:val="6"/>
              <w:spacing w:before="252" w:line="209" w:lineRule="auto"/>
              <w:ind w:left="1396"/>
              <w:rPr>
                <w:sz w:val="20"/>
                <w:szCs w:val="20"/>
              </w:rPr>
            </w:pPr>
            <w:r>
              <w:rPr>
                <w:sz w:val="20"/>
                <w:szCs w:val="20"/>
              </w:rPr>
              <w:t>用</w:t>
            </w:r>
          </w:p>
        </w:tc>
        <w:tc>
          <w:tcPr>
            <w:tcW w:w="522" w:type="dxa"/>
            <w:vAlign w:val="top"/>
          </w:tcPr>
          <w:p w14:paraId="043CD02E">
            <w:pPr>
              <w:spacing w:line="437" w:lineRule="auto"/>
              <w:rPr>
                <w:rFonts w:ascii="Arial"/>
                <w:sz w:val="21"/>
              </w:rPr>
            </w:pPr>
          </w:p>
          <w:p w14:paraId="1A86AD9E">
            <w:pPr>
              <w:spacing w:before="58" w:line="141"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767" w:type="dxa"/>
            <w:vAlign w:val="top"/>
          </w:tcPr>
          <w:p w14:paraId="2527F9E2">
            <w:pPr>
              <w:spacing w:line="392" w:lineRule="auto"/>
              <w:rPr>
                <w:rFonts w:ascii="Arial"/>
                <w:sz w:val="21"/>
              </w:rPr>
            </w:pPr>
          </w:p>
          <w:p w14:paraId="2AEAB491">
            <w:pPr>
              <w:spacing w:before="5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850" w:type="dxa"/>
            <w:tcBorders>
              <w:right w:val="single" w:color="000000" w:sz="6" w:space="0"/>
            </w:tcBorders>
            <w:vAlign w:val="top"/>
          </w:tcPr>
          <w:p w14:paraId="049311A1">
            <w:pPr>
              <w:rPr>
                <w:rFonts w:ascii="Arial"/>
                <w:sz w:val="21"/>
              </w:rPr>
            </w:pPr>
          </w:p>
        </w:tc>
      </w:tr>
      <w:tr w14:paraId="19C9D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577" w:type="dxa"/>
            <w:vMerge w:val="continue"/>
            <w:tcBorders>
              <w:top w:val="nil"/>
              <w:left w:val="single" w:color="000000" w:sz="6" w:space="0"/>
              <w:bottom w:val="nil"/>
            </w:tcBorders>
            <w:vAlign w:val="top"/>
          </w:tcPr>
          <w:p w14:paraId="2D30ABE1">
            <w:pPr>
              <w:rPr>
                <w:rFonts w:ascii="Arial"/>
                <w:sz w:val="21"/>
              </w:rPr>
            </w:pPr>
          </w:p>
        </w:tc>
        <w:tc>
          <w:tcPr>
            <w:tcW w:w="432" w:type="dxa"/>
            <w:vAlign w:val="top"/>
          </w:tcPr>
          <w:p w14:paraId="089E4E00">
            <w:pPr>
              <w:spacing w:line="391" w:lineRule="auto"/>
              <w:rPr>
                <w:rFonts w:ascii="Arial"/>
                <w:sz w:val="21"/>
              </w:rPr>
            </w:pPr>
          </w:p>
          <w:p w14:paraId="6188EF0B">
            <w:pPr>
              <w:spacing w:before="58"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926" w:type="dxa"/>
            <w:vAlign w:val="top"/>
          </w:tcPr>
          <w:p w14:paraId="7469EEB2">
            <w:pPr>
              <w:pStyle w:val="6"/>
              <w:spacing w:before="281" w:line="239" w:lineRule="auto"/>
              <w:ind w:left="149" w:right="151"/>
              <w:rPr>
                <w:sz w:val="20"/>
                <w:szCs w:val="20"/>
              </w:rPr>
            </w:pPr>
            <w:r>
              <w:rPr>
                <w:spacing w:val="6"/>
                <w:sz w:val="20"/>
                <w:szCs w:val="20"/>
              </w:rPr>
              <w:t>冷缩绝</w:t>
            </w:r>
            <w:r>
              <w:rPr>
                <w:sz w:val="20"/>
                <w:szCs w:val="20"/>
              </w:rPr>
              <w:t xml:space="preserve"> </w:t>
            </w:r>
            <w:r>
              <w:rPr>
                <w:spacing w:val="6"/>
                <w:sz w:val="20"/>
                <w:szCs w:val="20"/>
              </w:rPr>
              <w:t>缘套管</w:t>
            </w:r>
          </w:p>
        </w:tc>
        <w:tc>
          <w:tcPr>
            <w:tcW w:w="2990" w:type="dxa"/>
            <w:vAlign w:val="top"/>
          </w:tcPr>
          <w:p w14:paraId="57094EFF">
            <w:pPr>
              <w:pStyle w:val="6"/>
              <w:spacing w:before="56" w:line="241" w:lineRule="auto"/>
              <w:ind w:left="1313" w:right="106" w:hanging="1208"/>
              <w:rPr>
                <w:sz w:val="20"/>
                <w:szCs w:val="20"/>
              </w:rPr>
            </w:pPr>
            <w:r>
              <w:rPr>
                <w:rFonts w:ascii="Times New Roman" w:hAnsi="Times New Roman" w:eastAsia="Times New Roman" w:cs="Times New Roman"/>
                <w:sz w:val="20"/>
                <w:szCs w:val="20"/>
              </w:rPr>
              <w:t>ZC</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YJY</w:t>
            </w:r>
            <w:r>
              <w:rPr>
                <w:rFonts w:ascii="Times New Roman" w:hAnsi="Times New Roman" w:eastAsia="Times New Roman" w:cs="Times New Roman"/>
                <w:spacing w:val="7"/>
                <w:sz w:val="20"/>
                <w:szCs w:val="20"/>
              </w:rPr>
              <w:t>23-26/35</w:t>
            </w:r>
            <w:r>
              <w:rPr>
                <w:rFonts w:ascii="Times New Roman" w:hAnsi="Times New Roman" w:eastAsia="Times New Roman" w:cs="Times New Roman"/>
                <w:sz w:val="20"/>
                <w:szCs w:val="20"/>
              </w:rPr>
              <w:t>kV</w:t>
            </w:r>
            <w:r>
              <w:rPr>
                <w:rFonts w:ascii="Times New Roman" w:hAnsi="Times New Roman" w:eastAsia="Times New Roman" w:cs="Times New Roman"/>
                <w:spacing w:val="7"/>
                <w:sz w:val="20"/>
                <w:szCs w:val="20"/>
              </w:rPr>
              <w:t>-3×400</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3"/>
                <w:w w:val="101"/>
                <w:sz w:val="20"/>
                <w:szCs w:val="20"/>
              </w:rPr>
              <w:t xml:space="preserve"> </w:t>
            </w:r>
            <w:r>
              <w:rPr>
                <w:spacing w:val="-8"/>
                <w:sz w:val="20"/>
                <w:szCs w:val="20"/>
              </w:rPr>
              <w:t>电缆</w:t>
            </w:r>
          </w:p>
          <w:p w14:paraId="3E93C3F2">
            <w:pPr>
              <w:pStyle w:val="6"/>
              <w:spacing w:before="247" w:line="209" w:lineRule="auto"/>
              <w:ind w:left="1396"/>
              <w:rPr>
                <w:sz w:val="20"/>
                <w:szCs w:val="20"/>
              </w:rPr>
            </w:pPr>
            <w:r>
              <w:rPr>
                <w:sz w:val="20"/>
                <w:szCs w:val="20"/>
              </w:rPr>
              <w:t>用</w:t>
            </w:r>
          </w:p>
        </w:tc>
        <w:tc>
          <w:tcPr>
            <w:tcW w:w="522" w:type="dxa"/>
            <w:vAlign w:val="top"/>
          </w:tcPr>
          <w:p w14:paraId="0E00D1DD">
            <w:pPr>
              <w:spacing w:line="437" w:lineRule="auto"/>
              <w:rPr>
                <w:rFonts w:ascii="Arial"/>
                <w:sz w:val="21"/>
              </w:rPr>
            </w:pPr>
          </w:p>
          <w:p w14:paraId="77AA8FD3">
            <w:pPr>
              <w:spacing w:before="58" w:line="140"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767" w:type="dxa"/>
            <w:vAlign w:val="top"/>
          </w:tcPr>
          <w:p w14:paraId="532C2AEF">
            <w:pPr>
              <w:spacing w:line="391" w:lineRule="auto"/>
              <w:rPr>
                <w:rFonts w:ascii="Arial"/>
                <w:sz w:val="21"/>
              </w:rPr>
            </w:pPr>
          </w:p>
          <w:p w14:paraId="2585D690">
            <w:pPr>
              <w:spacing w:before="5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850" w:type="dxa"/>
            <w:tcBorders>
              <w:right w:val="single" w:color="000000" w:sz="6" w:space="0"/>
            </w:tcBorders>
            <w:vAlign w:val="top"/>
          </w:tcPr>
          <w:p w14:paraId="1E458F7E">
            <w:pPr>
              <w:rPr>
                <w:rFonts w:ascii="Arial"/>
                <w:sz w:val="21"/>
              </w:rPr>
            </w:pPr>
          </w:p>
        </w:tc>
      </w:tr>
      <w:tr w14:paraId="1E359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577" w:type="dxa"/>
            <w:vMerge w:val="continue"/>
            <w:tcBorders>
              <w:top w:val="nil"/>
              <w:left w:val="single" w:color="000000" w:sz="6" w:space="0"/>
              <w:bottom w:val="nil"/>
            </w:tcBorders>
            <w:vAlign w:val="top"/>
          </w:tcPr>
          <w:p w14:paraId="6E488113">
            <w:pPr>
              <w:rPr>
                <w:rFonts w:ascii="Arial"/>
                <w:sz w:val="21"/>
              </w:rPr>
            </w:pPr>
          </w:p>
        </w:tc>
        <w:tc>
          <w:tcPr>
            <w:tcW w:w="432" w:type="dxa"/>
            <w:vAlign w:val="top"/>
          </w:tcPr>
          <w:p w14:paraId="1317BEA7">
            <w:pPr>
              <w:spacing w:line="408" w:lineRule="auto"/>
              <w:rPr>
                <w:rFonts w:ascii="Arial"/>
                <w:sz w:val="21"/>
              </w:rPr>
            </w:pPr>
          </w:p>
          <w:p w14:paraId="3E990089">
            <w:pPr>
              <w:spacing w:before="57"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26" w:type="dxa"/>
            <w:vAlign w:val="top"/>
          </w:tcPr>
          <w:p w14:paraId="44ADC7D9">
            <w:pPr>
              <w:pStyle w:val="6"/>
              <w:spacing w:before="160" w:line="236" w:lineRule="auto"/>
              <w:ind w:left="108"/>
              <w:rPr>
                <w:sz w:val="20"/>
                <w:szCs w:val="20"/>
              </w:rPr>
            </w:pPr>
            <w:r>
              <w:rPr>
                <w:rFonts w:ascii="Times New Roman" w:hAnsi="Times New Roman" w:eastAsia="Times New Roman" w:cs="Times New Roman"/>
                <w:spacing w:val="2"/>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2"/>
                <w:sz w:val="20"/>
                <w:szCs w:val="20"/>
              </w:rPr>
              <w:t xml:space="preserve"> </w:t>
            </w:r>
            <w:r>
              <w:rPr>
                <w:spacing w:val="2"/>
                <w:sz w:val="20"/>
                <w:szCs w:val="20"/>
              </w:rPr>
              <w:t>悬</w:t>
            </w:r>
          </w:p>
          <w:p w14:paraId="51C9DF73">
            <w:pPr>
              <w:pStyle w:val="6"/>
              <w:spacing w:before="16" w:line="228" w:lineRule="auto"/>
              <w:ind w:left="152"/>
              <w:rPr>
                <w:sz w:val="20"/>
                <w:szCs w:val="20"/>
              </w:rPr>
            </w:pPr>
            <w:r>
              <w:rPr>
                <w:spacing w:val="5"/>
                <w:sz w:val="20"/>
                <w:szCs w:val="20"/>
              </w:rPr>
              <w:t>式避雷</w:t>
            </w:r>
          </w:p>
          <w:p w14:paraId="07B3BCCC">
            <w:pPr>
              <w:pStyle w:val="6"/>
              <w:spacing w:before="23" w:line="233" w:lineRule="auto"/>
              <w:ind w:left="359"/>
              <w:rPr>
                <w:sz w:val="20"/>
                <w:szCs w:val="20"/>
              </w:rPr>
            </w:pPr>
            <w:r>
              <w:rPr>
                <w:sz w:val="20"/>
                <w:szCs w:val="20"/>
              </w:rPr>
              <w:t>器</w:t>
            </w:r>
          </w:p>
        </w:tc>
        <w:tc>
          <w:tcPr>
            <w:tcW w:w="2990" w:type="dxa"/>
            <w:vAlign w:val="top"/>
          </w:tcPr>
          <w:p w14:paraId="4CF2A09D">
            <w:pPr>
              <w:spacing w:line="404" w:lineRule="auto"/>
              <w:rPr>
                <w:rFonts w:ascii="Arial"/>
                <w:sz w:val="21"/>
              </w:rPr>
            </w:pPr>
          </w:p>
          <w:p w14:paraId="6932937F">
            <w:pPr>
              <w:spacing w:before="57" w:line="199" w:lineRule="auto"/>
              <w:ind w:left="735"/>
              <w:rPr>
                <w:rFonts w:ascii="Times New Roman" w:hAnsi="Times New Roman" w:eastAsia="Times New Roman" w:cs="Times New Roman"/>
                <w:sz w:val="20"/>
                <w:szCs w:val="20"/>
              </w:rPr>
            </w:pPr>
            <w:r>
              <w:rPr>
                <w:rFonts w:ascii="Times New Roman" w:hAnsi="Times New Roman" w:eastAsia="Times New Roman" w:cs="Times New Roman"/>
                <w:sz w:val="20"/>
                <w:szCs w:val="20"/>
              </w:rPr>
              <w:t>YH</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WX</w:t>
            </w:r>
            <w:r>
              <w:rPr>
                <w:rFonts w:ascii="Times New Roman" w:hAnsi="Times New Roman" w:eastAsia="Times New Roman" w:cs="Times New Roman"/>
                <w:spacing w:val="7"/>
                <w:sz w:val="20"/>
                <w:szCs w:val="20"/>
              </w:rPr>
              <w:t>-54/134</w:t>
            </w:r>
          </w:p>
        </w:tc>
        <w:tc>
          <w:tcPr>
            <w:tcW w:w="522" w:type="dxa"/>
            <w:vAlign w:val="top"/>
          </w:tcPr>
          <w:p w14:paraId="2C8D7231">
            <w:pPr>
              <w:spacing w:line="365" w:lineRule="auto"/>
              <w:rPr>
                <w:rFonts w:ascii="Arial"/>
                <w:sz w:val="21"/>
              </w:rPr>
            </w:pPr>
          </w:p>
          <w:p w14:paraId="3C17199E">
            <w:pPr>
              <w:pStyle w:val="6"/>
              <w:spacing w:before="65" w:line="228" w:lineRule="auto"/>
              <w:ind w:left="164"/>
              <w:rPr>
                <w:sz w:val="20"/>
                <w:szCs w:val="20"/>
              </w:rPr>
            </w:pPr>
            <w:r>
              <w:rPr>
                <w:sz w:val="20"/>
                <w:szCs w:val="20"/>
              </w:rPr>
              <w:t>支</w:t>
            </w:r>
          </w:p>
        </w:tc>
        <w:tc>
          <w:tcPr>
            <w:tcW w:w="767" w:type="dxa"/>
            <w:vAlign w:val="top"/>
          </w:tcPr>
          <w:p w14:paraId="715F1962">
            <w:pPr>
              <w:spacing w:line="408" w:lineRule="auto"/>
              <w:rPr>
                <w:rFonts w:ascii="Arial"/>
                <w:sz w:val="21"/>
              </w:rPr>
            </w:pPr>
          </w:p>
          <w:p w14:paraId="59ABF2DE">
            <w:pPr>
              <w:spacing w:before="5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850" w:type="dxa"/>
            <w:tcBorders>
              <w:right w:val="single" w:color="000000" w:sz="6" w:space="0"/>
            </w:tcBorders>
            <w:vAlign w:val="top"/>
          </w:tcPr>
          <w:p w14:paraId="3CC472DD">
            <w:pPr>
              <w:pStyle w:val="6"/>
              <w:spacing w:before="42" w:line="235" w:lineRule="auto"/>
              <w:ind w:left="274" w:right="330" w:hanging="50"/>
              <w:rPr>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z w:val="20"/>
                <w:szCs w:val="20"/>
              </w:rPr>
              <w:t>ms</w:t>
            </w:r>
            <w:r>
              <w:rPr>
                <w:rFonts w:ascii="Times New Roman" w:hAnsi="Times New Roman" w:eastAsia="Times New Roman" w:cs="Times New Roman"/>
                <w:spacing w:val="9"/>
                <w:sz w:val="20"/>
                <w:szCs w:val="20"/>
              </w:rPr>
              <w:t xml:space="preserve"> </w:t>
            </w:r>
            <w:r>
              <w:rPr>
                <w:spacing w:val="9"/>
                <w:sz w:val="20"/>
                <w:szCs w:val="20"/>
              </w:rPr>
              <w:t>方波通流容量不低于</w:t>
            </w:r>
            <w:r>
              <w:rPr>
                <w:spacing w:val="1"/>
                <w:sz w:val="20"/>
                <w:szCs w:val="20"/>
              </w:rPr>
              <w:t xml:space="preserve"> </w:t>
            </w:r>
            <w:r>
              <w:rPr>
                <w:rFonts w:ascii="Times New Roman" w:hAnsi="Times New Roman" w:eastAsia="Times New Roman" w:cs="Times New Roman"/>
                <w:spacing w:val="7"/>
                <w:sz w:val="20"/>
                <w:szCs w:val="20"/>
              </w:rPr>
              <w:t>600A,</w:t>
            </w:r>
            <w:r>
              <w:rPr>
                <w:spacing w:val="7"/>
                <w:sz w:val="20"/>
                <w:szCs w:val="20"/>
              </w:rPr>
              <w:t>含接地线、计数器</w:t>
            </w:r>
          </w:p>
          <w:p w14:paraId="2FEA1BD7">
            <w:pPr>
              <w:pStyle w:val="6"/>
              <w:spacing w:before="274" w:line="209" w:lineRule="auto"/>
              <w:ind w:left="849"/>
              <w:rPr>
                <w:sz w:val="20"/>
                <w:szCs w:val="20"/>
              </w:rPr>
            </w:pPr>
            <w:r>
              <w:rPr>
                <w:spacing w:val="8"/>
                <w:sz w:val="20"/>
                <w:szCs w:val="20"/>
              </w:rPr>
              <w:t>及首联金具</w:t>
            </w:r>
          </w:p>
        </w:tc>
      </w:tr>
      <w:tr w14:paraId="1A036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7" w:type="dxa"/>
            <w:vMerge w:val="continue"/>
            <w:tcBorders>
              <w:top w:val="nil"/>
              <w:left w:val="single" w:color="000000" w:sz="6" w:space="0"/>
              <w:bottom w:val="nil"/>
            </w:tcBorders>
            <w:vAlign w:val="top"/>
          </w:tcPr>
          <w:p w14:paraId="6B84AEE1">
            <w:pPr>
              <w:rPr>
                <w:rFonts w:ascii="Arial"/>
                <w:sz w:val="21"/>
              </w:rPr>
            </w:pPr>
          </w:p>
        </w:tc>
        <w:tc>
          <w:tcPr>
            <w:tcW w:w="432" w:type="dxa"/>
            <w:vAlign w:val="top"/>
          </w:tcPr>
          <w:p w14:paraId="39D150F0">
            <w:pPr>
              <w:spacing w:before="214"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926" w:type="dxa"/>
            <w:vAlign w:val="top"/>
          </w:tcPr>
          <w:p w14:paraId="5AE2E832">
            <w:pPr>
              <w:pStyle w:val="6"/>
              <w:spacing w:before="42" w:line="229" w:lineRule="auto"/>
              <w:ind w:left="254" w:right="151" w:hanging="81"/>
              <w:rPr>
                <w:sz w:val="20"/>
                <w:szCs w:val="20"/>
              </w:rPr>
            </w:pPr>
            <w:r>
              <w:rPr>
                <w:spacing w:val="-2"/>
                <w:sz w:val="20"/>
                <w:szCs w:val="20"/>
              </w:rPr>
              <w:t>电缆保</w:t>
            </w:r>
            <w:r>
              <w:rPr>
                <w:spacing w:val="1"/>
                <w:sz w:val="20"/>
                <w:szCs w:val="20"/>
              </w:rPr>
              <w:t xml:space="preserve"> </w:t>
            </w:r>
            <w:r>
              <w:rPr>
                <w:spacing w:val="4"/>
                <w:sz w:val="20"/>
                <w:szCs w:val="20"/>
              </w:rPr>
              <w:t>护管</w:t>
            </w:r>
          </w:p>
        </w:tc>
        <w:tc>
          <w:tcPr>
            <w:tcW w:w="2990" w:type="dxa"/>
            <w:vAlign w:val="top"/>
          </w:tcPr>
          <w:p w14:paraId="5C51222D">
            <w:pPr>
              <w:pStyle w:val="6"/>
              <w:spacing w:before="176" w:line="227" w:lineRule="auto"/>
              <w:ind w:left="743"/>
              <w:rPr>
                <w:rFonts w:ascii="Times New Roman" w:hAnsi="Times New Roman" w:eastAsia="Times New Roman" w:cs="Times New Roman"/>
                <w:sz w:val="20"/>
                <w:szCs w:val="20"/>
              </w:rPr>
            </w:pPr>
            <w:r>
              <w:rPr>
                <w:spacing w:val="8"/>
                <w:sz w:val="20"/>
                <w:szCs w:val="20"/>
              </w:rPr>
              <w:t>镀锌钢管</w:t>
            </w:r>
            <w:r>
              <w:rPr>
                <w:spacing w:val="-44"/>
                <w:sz w:val="20"/>
                <w:szCs w:val="20"/>
              </w:rPr>
              <w:t xml:space="preserve"> </w:t>
            </w:r>
            <w:r>
              <w:rPr>
                <w:rFonts w:ascii="Times New Roman" w:hAnsi="Times New Roman" w:eastAsia="Times New Roman" w:cs="Times New Roman"/>
                <w:sz w:val="20"/>
                <w:szCs w:val="20"/>
              </w:rPr>
              <w:t>DN</w:t>
            </w:r>
            <w:r>
              <w:rPr>
                <w:rFonts w:ascii="Times New Roman" w:hAnsi="Times New Roman" w:eastAsia="Times New Roman" w:cs="Times New Roman"/>
                <w:spacing w:val="8"/>
                <w:sz w:val="20"/>
                <w:szCs w:val="20"/>
              </w:rPr>
              <w:t>200</w:t>
            </w:r>
          </w:p>
        </w:tc>
        <w:tc>
          <w:tcPr>
            <w:tcW w:w="522" w:type="dxa"/>
            <w:vAlign w:val="top"/>
          </w:tcPr>
          <w:p w14:paraId="26CC7C8D">
            <w:pPr>
              <w:spacing w:before="260" w:line="141"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767" w:type="dxa"/>
            <w:vAlign w:val="top"/>
          </w:tcPr>
          <w:p w14:paraId="2A0AAA77">
            <w:pPr>
              <w:spacing w:before="214"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850" w:type="dxa"/>
            <w:tcBorders>
              <w:right w:val="single" w:color="000000" w:sz="6" w:space="0"/>
            </w:tcBorders>
            <w:vAlign w:val="top"/>
          </w:tcPr>
          <w:p w14:paraId="735584A2">
            <w:pPr>
              <w:pStyle w:val="6"/>
              <w:spacing w:before="176" w:line="228" w:lineRule="auto"/>
              <w:ind w:left="539"/>
              <w:rPr>
                <w:sz w:val="20"/>
                <w:szCs w:val="20"/>
              </w:rPr>
            </w:pPr>
            <w:r>
              <w:rPr>
                <w:spacing w:val="8"/>
                <w:sz w:val="20"/>
                <w:szCs w:val="20"/>
              </w:rPr>
              <w:t>登塔侧电缆保护用</w:t>
            </w:r>
          </w:p>
        </w:tc>
      </w:tr>
      <w:tr w14:paraId="0115B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7" w:type="dxa"/>
            <w:vMerge w:val="continue"/>
            <w:tcBorders>
              <w:top w:val="nil"/>
              <w:left w:val="single" w:color="000000" w:sz="6" w:space="0"/>
              <w:bottom w:val="nil"/>
            </w:tcBorders>
            <w:vAlign w:val="top"/>
          </w:tcPr>
          <w:p w14:paraId="2CB4C16A">
            <w:pPr>
              <w:rPr>
                <w:rFonts w:ascii="Arial"/>
                <w:sz w:val="21"/>
              </w:rPr>
            </w:pPr>
          </w:p>
        </w:tc>
        <w:tc>
          <w:tcPr>
            <w:tcW w:w="432" w:type="dxa"/>
            <w:vAlign w:val="top"/>
          </w:tcPr>
          <w:p w14:paraId="49E7118D">
            <w:pPr>
              <w:spacing w:before="215"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926" w:type="dxa"/>
            <w:vAlign w:val="top"/>
          </w:tcPr>
          <w:p w14:paraId="2B58FA51">
            <w:pPr>
              <w:pStyle w:val="6"/>
              <w:spacing w:before="42" w:line="229" w:lineRule="auto"/>
              <w:ind w:left="254" w:right="151" w:hanging="104"/>
              <w:rPr>
                <w:sz w:val="20"/>
                <w:szCs w:val="20"/>
              </w:rPr>
            </w:pPr>
            <w:r>
              <w:rPr>
                <w:spacing w:val="6"/>
                <w:sz w:val="20"/>
                <w:szCs w:val="20"/>
              </w:rPr>
              <w:t>光缆保</w:t>
            </w:r>
            <w:r>
              <w:rPr>
                <w:sz w:val="20"/>
                <w:szCs w:val="20"/>
              </w:rPr>
              <w:t xml:space="preserve"> </w:t>
            </w:r>
            <w:r>
              <w:rPr>
                <w:spacing w:val="4"/>
                <w:sz w:val="20"/>
                <w:szCs w:val="20"/>
              </w:rPr>
              <w:t>护管</w:t>
            </w:r>
          </w:p>
        </w:tc>
        <w:tc>
          <w:tcPr>
            <w:tcW w:w="2990" w:type="dxa"/>
            <w:vAlign w:val="top"/>
          </w:tcPr>
          <w:p w14:paraId="10780030">
            <w:pPr>
              <w:pStyle w:val="6"/>
              <w:spacing w:before="176" w:line="227" w:lineRule="auto"/>
              <w:ind w:left="793"/>
              <w:rPr>
                <w:rFonts w:ascii="Times New Roman" w:hAnsi="Times New Roman" w:eastAsia="Times New Roman" w:cs="Times New Roman"/>
                <w:sz w:val="20"/>
                <w:szCs w:val="20"/>
              </w:rPr>
            </w:pPr>
            <w:r>
              <w:rPr>
                <w:spacing w:val="8"/>
                <w:sz w:val="20"/>
                <w:szCs w:val="20"/>
              </w:rPr>
              <w:t>镀锌钢管</w:t>
            </w:r>
            <w:r>
              <w:rPr>
                <w:spacing w:val="-40"/>
                <w:sz w:val="20"/>
                <w:szCs w:val="20"/>
              </w:rPr>
              <w:t xml:space="preserve"> </w:t>
            </w:r>
            <w:r>
              <w:rPr>
                <w:rFonts w:ascii="Times New Roman" w:hAnsi="Times New Roman" w:eastAsia="Times New Roman" w:cs="Times New Roman"/>
                <w:sz w:val="20"/>
                <w:szCs w:val="20"/>
              </w:rPr>
              <w:t>DN</w:t>
            </w:r>
            <w:r>
              <w:rPr>
                <w:rFonts w:ascii="Times New Roman" w:hAnsi="Times New Roman" w:eastAsia="Times New Roman" w:cs="Times New Roman"/>
                <w:spacing w:val="8"/>
                <w:sz w:val="20"/>
                <w:szCs w:val="20"/>
              </w:rPr>
              <w:t>50</w:t>
            </w:r>
          </w:p>
        </w:tc>
        <w:tc>
          <w:tcPr>
            <w:tcW w:w="522" w:type="dxa"/>
            <w:vAlign w:val="top"/>
          </w:tcPr>
          <w:p w14:paraId="70B430E0">
            <w:pPr>
              <w:spacing w:before="261" w:line="141"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767" w:type="dxa"/>
            <w:vAlign w:val="top"/>
          </w:tcPr>
          <w:p w14:paraId="38704DAF">
            <w:pPr>
              <w:spacing w:before="215"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850" w:type="dxa"/>
            <w:tcBorders>
              <w:right w:val="single" w:color="000000" w:sz="6" w:space="0"/>
            </w:tcBorders>
            <w:vAlign w:val="top"/>
          </w:tcPr>
          <w:p w14:paraId="1CD028B1">
            <w:pPr>
              <w:pStyle w:val="6"/>
              <w:spacing w:before="176" w:line="228" w:lineRule="auto"/>
              <w:ind w:left="539"/>
              <w:rPr>
                <w:sz w:val="20"/>
                <w:szCs w:val="20"/>
              </w:rPr>
            </w:pPr>
            <w:r>
              <w:rPr>
                <w:spacing w:val="8"/>
                <w:sz w:val="20"/>
                <w:szCs w:val="20"/>
              </w:rPr>
              <w:t>登塔侧光缆保护用</w:t>
            </w:r>
          </w:p>
        </w:tc>
      </w:tr>
      <w:tr w14:paraId="649C8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77" w:type="dxa"/>
            <w:vMerge w:val="continue"/>
            <w:tcBorders>
              <w:top w:val="nil"/>
              <w:left w:val="single" w:color="000000" w:sz="6" w:space="0"/>
              <w:bottom w:val="nil"/>
            </w:tcBorders>
            <w:vAlign w:val="top"/>
          </w:tcPr>
          <w:p w14:paraId="43C7793B">
            <w:pPr>
              <w:rPr>
                <w:rFonts w:ascii="Arial"/>
                <w:sz w:val="21"/>
              </w:rPr>
            </w:pPr>
          </w:p>
        </w:tc>
        <w:tc>
          <w:tcPr>
            <w:tcW w:w="432" w:type="dxa"/>
            <w:vAlign w:val="top"/>
          </w:tcPr>
          <w:p w14:paraId="4EBF9325">
            <w:pPr>
              <w:spacing w:before="215"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926" w:type="dxa"/>
            <w:vAlign w:val="top"/>
          </w:tcPr>
          <w:p w14:paraId="4C253C64">
            <w:pPr>
              <w:pStyle w:val="6"/>
              <w:spacing w:before="43" w:line="228" w:lineRule="auto"/>
              <w:ind w:left="253" w:right="151" w:hanging="105"/>
              <w:rPr>
                <w:sz w:val="20"/>
                <w:szCs w:val="20"/>
              </w:rPr>
            </w:pPr>
            <w:r>
              <w:rPr>
                <w:spacing w:val="6"/>
                <w:sz w:val="20"/>
                <w:szCs w:val="20"/>
              </w:rPr>
              <w:t>铜铝过</w:t>
            </w:r>
            <w:r>
              <w:rPr>
                <w:spacing w:val="1"/>
                <w:sz w:val="20"/>
                <w:szCs w:val="20"/>
              </w:rPr>
              <w:t xml:space="preserve"> </w:t>
            </w:r>
            <w:r>
              <w:rPr>
                <w:spacing w:val="4"/>
                <w:sz w:val="20"/>
                <w:szCs w:val="20"/>
              </w:rPr>
              <w:t>渡板</w:t>
            </w:r>
          </w:p>
        </w:tc>
        <w:tc>
          <w:tcPr>
            <w:tcW w:w="2990" w:type="dxa"/>
            <w:vAlign w:val="top"/>
          </w:tcPr>
          <w:p w14:paraId="376894FB">
            <w:pPr>
              <w:spacing w:before="215" w:line="195" w:lineRule="auto"/>
              <w:ind w:left="97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-100x10</w:t>
            </w:r>
          </w:p>
        </w:tc>
        <w:tc>
          <w:tcPr>
            <w:tcW w:w="522" w:type="dxa"/>
            <w:vAlign w:val="top"/>
          </w:tcPr>
          <w:p w14:paraId="7FC1D5D3">
            <w:pPr>
              <w:pStyle w:val="6"/>
              <w:spacing w:before="177" w:line="228" w:lineRule="auto"/>
              <w:ind w:left="163"/>
              <w:rPr>
                <w:sz w:val="20"/>
                <w:szCs w:val="20"/>
              </w:rPr>
            </w:pPr>
            <w:r>
              <w:rPr>
                <w:sz w:val="20"/>
                <w:szCs w:val="20"/>
              </w:rPr>
              <w:t>块</w:t>
            </w:r>
          </w:p>
        </w:tc>
        <w:tc>
          <w:tcPr>
            <w:tcW w:w="767" w:type="dxa"/>
            <w:vAlign w:val="top"/>
          </w:tcPr>
          <w:p w14:paraId="68634F82">
            <w:pPr>
              <w:spacing w:before="215" w:line="195" w:lineRule="auto"/>
              <w:ind w:left="33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850" w:type="dxa"/>
            <w:tcBorders>
              <w:right w:val="single" w:color="000000" w:sz="6" w:space="0"/>
            </w:tcBorders>
            <w:vAlign w:val="top"/>
          </w:tcPr>
          <w:p w14:paraId="7F93B5B9">
            <w:pPr>
              <w:pStyle w:val="6"/>
              <w:spacing w:before="177" w:line="228" w:lineRule="auto"/>
              <w:ind w:left="638"/>
              <w:rPr>
                <w:sz w:val="20"/>
                <w:szCs w:val="20"/>
              </w:rPr>
            </w:pPr>
            <w:r>
              <w:rPr>
                <w:spacing w:val="8"/>
                <w:sz w:val="20"/>
                <w:szCs w:val="20"/>
              </w:rPr>
              <w:t>钎焊式面贴面型</w:t>
            </w:r>
          </w:p>
        </w:tc>
      </w:tr>
      <w:tr w14:paraId="4E448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77" w:type="dxa"/>
            <w:vMerge w:val="continue"/>
            <w:tcBorders>
              <w:top w:val="nil"/>
              <w:left w:val="single" w:color="000000" w:sz="6" w:space="0"/>
              <w:bottom w:val="nil"/>
            </w:tcBorders>
            <w:vAlign w:val="top"/>
          </w:tcPr>
          <w:p w14:paraId="33DA0956">
            <w:pPr>
              <w:rPr>
                <w:rFonts w:ascii="Arial"/>
                <w:sz w:val="21"/>
              </w:rPr>
            </w:pPr>
          </w:p>
        </w:tc>
        <w:tc>
          <w:tcPr>
            <w:tcW w:w="432" w:type="dxa"/>
            <w:vAlign w:val="top"/>
          </w:tcPr>
          <w:p w14:paraId="6307A6FB">
            <w:pPr>
              <w:spacing w:before="80"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926" w:type="dxa"/>
            <w:vAlign w:val="top"/>
          </w:tcPr>
          <w:p w14:paraId="207090AC">
            <w:pPr>
              <w:pStyle w:val="6"/>
              <w:spacing w:before="44" w:line="206" w:lineRule="auto"/>
              <w:ind w:left="254"/>
              <w:rPr>
                <w:sz w:val="20"/>
                <w:szCs w:val="20"/>
              </w:rPr>
            </w:pPr>
            <w:r>
              <w:rPr>
                <w:spacing w:val="4"/>
                <w:sz w:val="20"/>
                <w:szCs w:val="20"/>
              </w:rPr>
              <w:t>铝板</w:t>
            </w:r>
          </w:p>
        </w:tc>
        <w:tc>
          <w:tcPr>
            <w:tcW w:w="2990" w:type="dxa"/>
            <w:vAlign w:val="top"/>
          </w:tcPr>
          <w:p w14:paraId="6598D52A">
            <w:pPr>
              <w:pStyle w:val="6"/>
              <w:spacing w:before="44" w:line="206"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245(</w:t>
            </w:r>
            <w:r>
              <w:rPr>
                <w:spacing w:val="4"/>
                <w:sz w:val="20"/>
                <w:szCs w:val="20"/>
              </w:rPr>
              <w:t>长</w:t>
            </w:r>
            <w:r>
              <w:rPr>
                <w:rFonts w:ascii="Times New Roman" w:hAnsi="Times New Roman" w:eastAsia="Times New Roman" w:cs="Times New Roman"/>
                <w:spacing w:val="4"/>
                <w:sz w:val="20"/>
                <w:szCs w:val="20"/>
              </w:rPr>
              <w:t>)x100(</w:t>
            </w:r>
            <w:r>
              <w:rPr>
                <w:spacing w:val="4"/>
                <w:sz w:val="20"/>
                <w:szCs w:val="20"/>
              </w:rPr>
              <w:t>宽</w:t>
            </w:r>
            <w:r>
              <w:rPr>
                <w:rFonts w:ascii="Times New Roman" w:hAnsi="Times New Roman" w:eastAsia="Times New Roman" w:cs="Times New Roman"/>
                <w:spacing w:val="4"/>
                <w:sz w:val="20"/>
                <w:szCs w:val="20"/>
              </w:rPr>
              <w:t>)x10(</w:t>
            </w:r>
            <w:r>
              <w:rPr>
                <w:spacing w:val="4"/>
                <w:sz w:val="20"/>
                <w:szCs w:val="20"/>
              </w:rPr>
              <w:t>厚</w:t>
            </w:r>
            <w:r>
              <w:rPr>
                <w:rFonts w:ascii="Times New Roman" w:hAnsi="Times New Roman" w:eastAsia="Times New Roman" w:cs="Times New Roman"/>
                <w:spacing w:val="4"/>
                <w:sz w:val="20"/>
                <w:szCs w:val="20"/>
              </w:rPr>
              <w:t>)</w:t>
            </w:r>
          </w:p>
        </w:tc>
        <w:tc>
          <w:tcPr>
            <w:tcW w:w="522" w:type="dxa"/>
            <w:vAlign w:val="top"/>
          </w:tcPr>
          <w:p w14:paraId="300FF3C3">
            <w:pPr>
              <w:pStyle w:val="6"/>
              <w:spacing w:before="44" w:line="206" w:lineRule="auto"/>
              <w:ind w:left="163"/>
              <w:rPr>
                <w:sz w:val="20"/>
                <w:szCs w:val="20"/>
              </w:rPr>
            </w:pPr>
            <w:r>
              <w:rPr>
                <w:sz w:val="20"/>
                <w:szCs w:val="20"/>
              </w:rPr>
              <w:t>块</w:t>
            </w:r>
          </w:p>
        </w:tc>
        <w:tc>
          <w:tcPr>
            <w:tcW w:w="767" w:type="dxa"/>
            <w:vAlign w:val="top"/>
          </w:tcPr>
          <w:p w14:paraId="243817E2">
            <w:pPr>
              <w:spacing w:before="8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2850" w:type="dxa"/>
            <w:tcBorders>
              <w:right w:val="single" w:color="000000" w:sz="6" w:space="0"/>
            </w:tcBorders>
            <w:vAlign w:val="top"/>
          </w:tcPr>
          <w:p w14:paraId="14397824">
            <w:pPr>
              <w:rPr>
                <w:rFonts w:ascii="Arial"/>
                <w:sz w:val="21"/>
              </w:rPr>
            </w:pPr>
          </w:p>
        </w:tc>
      </w:tr>
      <w:tr w14:paraId="51B4C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77" w:type="dxa"/>
            <w:vMerge w:val="continue"/>
            <w:tcBorders>
              <w:top w:val="nil"/>
              <w:left w:val="single" w:color="000000" w:sz="6" w:space="0"/>
              <w:bottom w:val="nil"/>
            </w:tcBorders>
            <w:vAlign w:val="top"/>
          </w:tcPr>
          <w:p w14:paraId="5513BA00">
            <w:pPr>
              <w:rPr>
                <w:rFonts w:ascii="Arial"/>
                <w:sz w:val="21"/>
              </w:rPr>
            </w:pPr>
          </w:p>
        </w:tc>
        <w:tc>
          <w:tcPr>
            <w:tcW w:w="432" w:type="dxa"/>
            <w:vAlign w:val="top"/>
          </w:tcPr>
          <w:p w14:paraId="06BC719C">
            <w:pPr>
              <w:spacing w:before="217"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926" w:type="dxa"/>
            <w:vAlign w:val="top"/>
          </w:tcPr>
          <w:p w14:paraId="04A14A54">
            <w:pPr>
              <w:pStyle w:val="6"/>
              <w:spacing w:before="44" w:line="228" w:lineRule="auto"/>
              <w:ind w:left="360" w:right="151" w:hanging="187"/>
              <w:rPr>
                <w:sz w:val="20"/>
                <w:szCs w:val="20"/>
              </w:rPr>
            </w:pPr>
            <w:r>
              <w:rPr>
                <w:spacing w:val="-2"/>
                <w:sz w:val="20"/>
                <w:szCs w:val="20"/>
              </w:rPr>
              <w:t>电缆铭</w:t>
            </w:r>
            <w:r>
              <w:rPr>
                <w:spacing w:val="1"/>
                <w:sz w:val="20"/>
                <w:szCs w:val="20"/>
              </w:rPr>
              <w:t xml:space="preserve"> </w:t>
            </w:r>
            <w:r>
              <w:rPr>
                <w:sz w:val="20"/>
                <w:szCs w:val="20"/>
              </w:rPr>
              <w:t>牌</w:t>
            </w:r>
          </w:p>
        </w:tc>
        <w:tc>
          <w:tcPr>
            <w:tcW w:w="2990" w:type="dxa"/>
            <w:vAlign w:val="top"/>
          </w:tcPr>
          <w:p w14:paraId="60FB92BC">
            <w:pPr>
              <w:rPr>
                <w:rFonts w:ascii="Arial"/>
                <w:sz w:val="21"/>
              </w:rPr>
            </w:pPr>
          </w:p>
        </w:tc>
        <w:tc>
          <w:tcPr>
            <w:tcW w:w="522" w:type="dxa"/>
            <w:vAlign w:val="top"/>
          </w:tcPr>
          <w:p w14:paraId="446A7487">
            <w:pPr>
              <w:pStyle w:val="6"/>
              <w:spacing w:before="179" w:line="228" w:lineRule="auto"/>
              <w:ind w:left="164"/>
              <w:rPr>
                <w:sz w:val="20"/>
                <w:szCs w:val="20"/>
              </w:rPr>
            </w:pPr>
            <w:r>
              <w:rPr>
                <w:sz w:val="20"/>
                <w:szCs w:val="20"/>
              </w:rPr>
              <w:t>套</w:t>
            </w:r>
          </w:p>
        </w:tc>
        <w:tc>
          <w:tcPr>
            <w:tcW w:w="767" w:type="dxa"/>
            <w:vAlign w:val="top"/>
          </w:tcPr>
          <w:p w14:paraId="09A98A20">
            <w:pPr>
              <w:spacing w:before="21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850" w:type="dxa"/>
            <w:tcBorders>
              <w:right w:val="single" w:color="000000" w:sz="6" w:space="0"/>
            </w:tcBorders>
            <w:vAlign w:val="top"/>
          </w:tcPr>
          <w:p w14:paraId="349B856E">
            <w:pPr>
              <w:pStyle w:val="6"/>
              <w:spacing w:before="178" w:line="228" w:lineRule="auto"/>
              <w:ind w:left="748"/>
              <w:rPr>
                <w:sz w:val="20"/>
                <w:szCs w:val="20"/>
              </w:rPr>
            </w:pPr>
            <w:r>
              <w:rPr>
                <w:spacing w:val="7"/>
                <w:sz w:val="20"/>
                <w:szCs w:val="20"/>
              </w:rPr>
              <w:t>登塔侧电缆用</w:t>
            </w:r>
          </w:p>
        </w:tc>
      </w:tr>
      <w:tr w14:paraId="4870D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77" w:type="dxa"/>
            <w:vMerge w:val="continue"/>
            <w:tcBorders>
              <w:top w:val="nil"/>
              <w:left w:val="single" w:color="000000" w:sz="6" w:space="0"/>
              <w:bottom w:val="nil"/>
            </w:tcBorders>
            <w:vAlign w:val="top"/>
          </w:tcPr>
          <w:p w14:paraId="24402973">
            <w:pPr>
              <w:rPr>
                <w:rFonts w:ascii="Arial"/>
                <w:sz w:val="21"/>
              </w:rPr>
            </w:pPr>
          </w:p>
        </w:tc>
        <w:tc>
          <w:tcPr>
            <w:tcW w:w="432" w:type="dxa"/>
            <w:vAlign w:val="top"/>
          </w:tcPr>
          <w:p w14:paraId="7F33BA80">
            <w:pPr>
              <w:spacing w:before="82" w:line="194"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926" w:type="dxa"/>
            <w:vAlign w:val="top"/>
          </w:tcPr>
          <w:p w14:paraId="4E136457">
            <w:pPr>
              <w:pStyle w:val="6"/>
              <w:spacing w:before="45" w:line="205" w:lineRule="auto"/>
              <w:ind w:left="164"/>
              <w:rPr>
                <w:sz w:val="20"/>
                <w:szCs w:val="20"/>
              </w:rPr>
            </w:pPr>
            <w:r>
              <w:rPr>
                <w:spacing w:val="1"/>
                <w:sz w:val="20"/>
                <w:szCs w:val="20"/>
              </w:rPr>
              <w:t>引上线</w:t>
            </w:r>
          </w:p>
        </w:tc>
        <w:tc>
          <w:tcPr>
            <w:tcW w:w="2990" w:type="dxa"/>
            <w:vAlign w:val="top"/>
          </w:tcPr>
          <w:p w14:paraId="74BB42BD">
            <w:pPr>
              <w:spacing w:before="78" w:line="198" w:lineRule="auto"/>
              <w:ind w:left="829"/>
              <w:rPr>
                <w:rFonts w:ascii="Times New Roman" w:hAnsi="Times New Roman" w:eastAsia="Times New Roman" w:cs="Times New Roman"/>
                <w:sz w:val="20"/>
                <w:szCs w:val="20"/>
              </w:rPr>
            </w:pPr>
            <w:r>
              <w:rPr>
                <w:rFonts w:ascii="Times New Roman" w:hAnsi="Times New Roman" w:eastAsia="Times New Roman" w:cs="Times New Roman"/>
                <w:sz w:val="20"/>
                <w:szCs w:val="20"/>
              </w:rPr>
              <w:t>JL</w:t>
            </w:r>
            <w:r>
              <w:rPr>
                <w:rFonts w:ascii="Times New Roman" w:hAnsi="Times New Roman" w:eastAsia="Times New Roman" w:cs="Times New Roman"/>
                <w:spacing w:val="5"/>
                <w:sz w:val="20"/>
                <w:szCs w:val="20"/>
              </w:rPr>
              <w:t>/G1A-120/25</w:t>
            </w:r>
          </w:p>
        </w:tc>
        <w:tc>
          <w:tcPr>
            <w:tcW w:w="522" w:type="dxa"/>
            <w:vAlign w:val="top"/>
          </w:tcPr>
          <w:p w14:paraId="675648CB">
            <w:pPr>
              <w:spacing w:before="127" w:line="141"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767" w:type="dxa"/>
            <w:vAlign w:val="top"/>
          </w:tcPr>
          <w:p w14:paraId="1528787C">
            <w:pPr>
              <w:spacing w:before="82" w:line="194"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2850" w:type="dxa"/>
            <w:tcBorders>
              <w:right w:val="single" w:color="000000" w:sz="6" w:space="0"/>
            </w:tcBorders>
            <w:vAlign w:val="top"/>
          </w:tcPr>
          <w:p w14:paraId="13527B20">
            <w:pPr>
              <w:rPr>
                <w:rFonts w:ascii="Arial"/>
                <w:sz w:val="21"/>
              </w:rPr>
            </w:pPr>
          </w:p>
        </w:tc>
      </w:tr>
      <w:tr w14:paraId="4AE54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77" w:type="dxa"/>
            <w:vMerge w:val="continue"/>
            <w:tcBorders>
              <w:top w:val="nil"/>
              <w:left w:val="single" w:color="000000" w:sz="6" w:space="0"/>
              <w:bottom w:val="nil"/>
            </w:tcBorders>
            <w:vAlign w:val="top"/>
          </w:tcPr>
          <w:p w14:paraId="5E2F08BF">
            <w:pPr>
              <w:rPr>
                <w:rFonts w:ascii="Arial"/>
                <w:sz w:val="21"/>
              </w:rPr>
            </w:pPr>
          </w:p>
        </w:tc>
        <w:tc>
          <w:tcPr>
            <w:tcW w:w="432" w:type="dxa"/>
            <w:vAlign w:val="top"/>
          </w:tcPr>
          <w:p w14:paraId="3ED0BF8C">
            <w:pPr>
              <w:spacing w:before="82" w:line="193"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926" w:type="dxa"/>
            <w:vAlign w:val="top"/>
          </w:tcPr>
          <w:p w14:paraId="3510A2EE">
            <w:pPr>
              <w:pStyle w:val="6"/>
              <w:spacing w:before="45" w:line="204" w:lineRule="auto"/>
              <w:ind w:left="164"/>
              <w:rPr>
                <w:sz w:val="20"/>
                <w:szCs w:val="20"/>
              </w:rPr>
            </w:pPr>
            <w:r>
              <w:rPr>
                <w:spacing w:val="1"/>
                <w:sz w:val="20"/>
                <w:szCs w:val="20"/>
              </w:rPr>
              <w:t>引上线</w:t>
            </w:r>
          </w:p>
        </w:tc>
        <w:tc>
          <w:tcPr>
            <w:tcW w:w="2990" w:type="dxa"/>
            <w:vAlign w:val="top"/>
          </w:tcPr>
          <w:p w14:paraId="5ABC55DC">
            <w:pPr>
              <w:spacing w:before="78" w:line="197" w:lineRule="auto"/>
              <w:ind w:left="829"/>
              <w:rPr>
                <w:rFonts w:ascii="Times New Roman" w:hAnsi="Times New Roman" w:eastAsia="Times New Roman" w:cs="Times New Roman"/>
                <w:sz w:val="20"/>
                <w:szCs w:val="20"/>
              </w:rPr>
            </w:pPr>
            <w:r>
              <w:rPr>
                <w:rFonts w:ascii="Times New Roman" w:hAnsi="Times New Roman" w:eastAsia="Times New Roman" w:cs="Times New Roman"/>
                <w:sz w:val="20"/>
                <w:szCs w:val="20"/>
              </w:rPr>
              <w:t>JL</w:t>
            </w:r>
            <w:r>
              <w:rPr>
                <w:rFonts w:ascii="Times New Roman" w:hAnsi="Times New Roman" w:eastAsia="Times New Roman" w:cs="Times New Roman"/>
                <w:spacing w:val="5"/>
                <w:sz w:val="20"/>
                <w:szCs w:val="20"/>
              </w:rPr>
              <w:t>/G1A-240/30</w:t>
            </w:r>
          </w:p>
        </w:tc>
        <w:tc>
          <w:tcPr>
            <w:tcW w:w="522" w:type="dxa"/>
            <w:vAlign w:val="top"/>
          </w:tcPr>
          <w:p w14:paraId="414924DA">
            <w:pPr>
              <w:spacing w:before="128" w:line="138"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767" w:type="dxa"/>
            <w:vAlign w:val="top"/>
          </w:tcPr>
          <w:p w14:paraId="24F2DAA4">
            <w:pPr>
              <w:spacing w:before="84" w:line="190"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850" w:type="dxa"/>
            <w:tcBorders>
              <w:right w:val="single" w:color="000000" w:sz="6" w:space="0"/>
            </w:tcBorders>
            <w:vAlign w:val="top"/>
          </w:tcPr>
          <w:p w14:paraId="74A16AAC">
            <w:pPr>
              <w:rPr>
                <w:rFonts w:ascii="Arial"/>
                <w:sz w:val="21"/>
              </w:rPr>
            </w:pPr>
          </w:p>
        </w:tc>
      </w:tr>
      <w:tr w14:paraId="5FC0F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77" w:type="dxa"/>
            <w:vMerge w:val="continue"/>
            <w:tcBorders>
              <w:top w:val="nil"/>
              <w:left w:val="single" w:color="000000" w:sz="6" w:space="0"/>
              <w:bottom w:val="single" w:color="000000" w:sz="6" w:space="0"/>
            </w:tcBorders>
            <w:vAlign w:val="top"/>
          </w:tcPr>
          <w:p w14:paraId="2FA80837">
            <w:pPr>
              <w:rPr>
                <w:rFonts w:ascii="Arial"/>
                <w:sz w:val="21"/>
              </w:rPr>
            </w:pPr>
          </w:p>
        </w:tc>
        <w:tc>
          <w:tcPr>
            <w:tcW w:w="432" w:type="dxa"/>
            <w:tcBorders>
              <w:bottom w:val="single" w:color="000000" w:sz="6" w:space="0"/>
            </w:tcBorders>
            <w:vAlign w:val="top"/>
          </w:tcPr>
          <w:p w14:paraId="2CE2C807">
            <w:pPr>
              <w:spacing w:before="80"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926" w:type="dxa"/>
            <w:tcBorders>
              <w:bottom w:val="single" w:color="000000" w:sz="6" w:space="0"/>
            </w:tcBorders>
            <w:vAlign w:val="top"/>
          </w:tcPr>
          <w:p w14:paraId="734B62D9">
            <w:pPr>
              <w:pStyle w:val="6"/>
              <w:spacing w:before="44" w:line="216" w:lineRule="auto"/>
              <w:ind w:left="173"/>
              <w:rPr>
                <w:sz w:val="20"/>
                <w:szCs w:val="20"/>
              </w:rPr>
            </w:pPr>
            <w:r>
              <w:rPr>
                <w:spacing w:val="-2"/>
                <w:sz w:val="20"/>
                <w:szCs w:val="20"/>
              </w:rPr>
              <w:t>电缆夹</w:t>
            </w:r>
          </w:p>
        </w:tc>
        <w:tc>
          <w:tcPr>
            <w:tcW w:w="2990" w:type="dxa"/>
            <w:tcBorders>
              <w:bottom w:val="single" w:color="000000" w:sz="6" w:space="0"/>
            </w:tcBorders>
            <w:vAlign w:val="top"/>
          </w:tcPr>
          <w:p w14:paraId="327DDFE8">
            <w:pPr>
              <w:pStyle w:val="6"/>
              <w:spacing w:before="44" w:line="216" w:lineRule="auto"/>
              <w:ind w:left="886"/>
              <w:rPr>
                <w:sz w:val="20"/>
                <w:szCs w:val="20"/>
              </w:rPr>
            </w:pPr>
            <w:r>
              <w:rPr>
                <w:spacing w:val="5"/>
                <w:sz w:val="20"/>
                <w:szCs w:val="20"/>
              </w:rPr>
              <w:t>固定三相电缆</w:t>
            </w:r>
          </w:p>
        </w:tc>
        <w:tc>
          <w:tcPr>
            <w:tcW w:w="522" w:type="dxa"/>
            <w:tcBorders>
              <w:bottom w:val="single" w:color="000000" w:sz="6" w:space="0"/>
            </w:tcBorders>
            <w:vAlign w:val="top"/>
          </w:tcPr>
          <w:p w14:paraId="033345D3">
            <w:pPr>
              <w:pStyle w:val="6"/>
              <w:spacing w:before="44" w:line="216" w:lineRule="auto"/>
              <w:ind w:left="164"/>
              <w:rPr>
                <w:sz w:val="20"/>
                <w:szCs w:val="20"/>
              </w:rPr>
            </w:pPr>
            <w:r>
              <w:rPr>
                <w:sz w:val="20"/>
                <w:szCs w:val="20"/>
              </w:rPr>
              <w:t>套</w:t>
            </w:r>
          </w:p>
        </w:tc>
        <w:tc>
          <w:tcPr>
            <w:tcW w:w="767" w:type="dxa"/>
            <w:tcBorders>
              <w:bottom w:val="single" w:color="000000" w:sz="6" w:space="0"/>
            </w:tcBorders>
            <w:vAlign w:val="top"/>
          </w:tcPr>
          <w:p w14:paraId="657F4612">
            <w:pPr>
              <w:spacing w:before="80"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850" w:type="dxa"/>
            <w:tcBorders>
              <w:bottom w:val="single" w:color="000000" w:sz="6" w:space="0"/>
              <w:right w:val="single" w:color="000000" w:sz="6" w:space="0"/>
            </w:tcBorders>
            <w:vAlign w:val="top"/>
          </w:tcPr>
          <w:p w14:paraId="72FA6506">
            <w:pPr>
              <w:rPr>
                <w:rFonts w:ascii="Arial"/>
                <w:sz w:val="21"/>
              </w:rPr>
            </w:pPr>
          </w:p>
        </w:tc>
      </w:tr>
    </w:tbl>
    <w:p w14:paraId="5F836C60">
      <w:pPr>
        <w:rPr>
          <w:rFonts w:ascii="Arial"/>
          <w:sz w:val="21"/>
        </w:rPr>
      </w:pPr>
    </w:p>
    <w:p w14:paraId="2A651244">
      <w:pPr>
        <w:rPr>
          <w:rFonts w:ascii="Arial" w:hAnsi="Arial" w:eastAsia="Arial" w:cs="Arial"/>
          <w:sz w:val="21"/>
          <w:szCs w:val="21"/>
        </w:rPr>
        <w:sectPr>
          <w:footerReference r:id="rId64" w:type="default"/>
          <w:pgSz w:w="11906" w:h="16839"/>
          <w:pgMar w:top="1431" w:right="1413" w:bottom="1278" w:left="1413" w:header="0" w:footer="1116" w:gutter="0"/>
          <w:cols w:space="720" w:num="1"/>
        </w:sectPr>
      </w:pPr>
    </w:p>
    <w:p w14:paraId="0D73D197">
      <w:pPr>
        <w:spacing w:line="99" w:lineRule="exact"/>
      </w:pPr>
    </w:p>
    <w:tbl>
      <w:tblPr>
        <w:tblStyle w:val="5"/>
        <w:tblW w:w="9064"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2CC8CE8E">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99" w:hRule="atLeast"/>
        </w:trPr>
        <w:tc>
          <w:tcPr>
            <w:tcW w:w="9064" w:type="dxa"/>
            <w:vAlign w:val="top"/>
          </w:tcPr>
          <w:p w14:paraId="544318B1">
            <w:pPr>
              <w:spacing w:line="96" w:lineRule="auto"/>
              <w:rPr>
                <w:rFonts w:ascii="Arial"/>
                <w:sz w:val="2"/>
              </w:rPr>
            </w:pPr>
            <w:r>
              <w:pict>
                <v:shape id="_x0000_s1072" o:spid="_x0000_s1072" style="position:absolute;left:0pt;margin-left:28.3pt;margin-top:1pt;height:191.05pt;width:0.5pt;mso-position-horizontal-relative:page;mso-position-vertical-relative:page;z-index:251710464;mso-width-relative:page;mso-height-relative:page;" filled="f" stroked="t" coordsize="10,3821" path="m4,0l4,3820e">
                  <v:fill on="f" focussize="0,0"/>
                  <v:stroke weight="0.48pt" color="#000000" miterlimit="2" joinstyle="bevel"/>
                  <v:imagedata o:title=""/>
                  <o:lock v:ext="edit"/>
                </v:shape>
              </w:pict>
            </w:r>
          </w:p>
          <w:tbl>
            <w:tblPr>
              <w:tblStyle w:val="5"/>
              <w:tblW w:w="8496"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927"/>
              <w:gridCol w:w="2993"/>
              <w:gridCol w:w="523"/>
              <w:gridCol w:w="768"/>
              <w:gridCol w:w="2735"/>
            </w:tblGrid>
            <w:tr w14:paraId="28485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550" w:type="dxa"/>
                  <w:tcBorders>
                    <w:top w:val="nil"/>
                  </w:tcBorders>
                  <w:vAlign w:val="top"/>
                </w:tcPr>
                <w:p w14:paraId="5695EF0D">
                  <w:pPr>
                    <w:rPr>
                      <w:rFonts w:ascii="Arial"/>
                      <w:sz w:val="21"/>
                    </w:rPr>
                  </w:pPr>
                </w:p>
              </w:tc>
              <w:tc>
                <w:tcPr>
                  <w:tcW w:w="927" w:type="dxa"/>
                  <w:tcBorders>
                    <w:top w:val="nil"/>
                  </w:tcBorders>
                  <w:vAlign w:val="top"/>
                </w:tcPr>
                <w:p w14:paraId="689C41D8">
                  <w:pPr>
                    <w:pStyle w:val="6"/>
                    <w:spacing w:before="41" w:line="217" w:lineRule="auto"/>
                    <w:ind w:left="192"/>
                    <w:rPr>
                      <w:rFonts w:ascii="Times New Roman" w:hAnsi="Times New Roman" w:eastAsia="Times New Roman" w:cs="Times New Roman"/>
                      <w:sz w:val="20"/>
                      <w:szCs w:val="20"/>
                    </w:rPr>
                  </w:pPr>
                  <w:r>
                    <w:rPr>
                      <w:spacing w:val="2"/>
                      <w:sz w:val="20"/>
                      <w:szCs w:val="20"/>
                    </w:rPr>
                    <w:t>具</w:t>
                  </w:r>
                  <w:r>
                    <w:rPr>
                      <w:rFonts w:ascii="Times New Roman" w:hAnsi="Times New Roman" w:eastAsia="Times New Roman" w:cs="Times New Roman"/>
                      <w:spacing w:val="2"/>
                      <w:sz w:val="20"/>
                      <w:szCs w:val="20"/>
                    </w:rPr>
                    <w:t>(</w:t>
                  </w:r>
                  <w:r>
                    <w:rPr>
                      <w:spacing w:val="2"/>
                      <w:sz w:val="20"/>
                      <w:szCs w:val="20"/>
                    </w:rPr>
                    <w:t>一</w:t>
                  </w:r>
                  <w:r>
                    <w:rPr>
                      <w:rFonts w:ascii="Times New Roman" w:hAnsi="Times New Roman" w:eastAsia="Times New Roman" w:cs="Times New Roman"/>
                      <w:spacing w:val="2"/>
                      <w:sz w:val="20"/>
                      <w:szCs w:val="20"/>
                    </w:rPr>
                    <w:t>)</w:t>
                  </w:r>
                </w:p>
              </w:tc>
              <w:tc>
                <w:tcPr>
                  <w:tcW w:w="2993" w:type="dxa"/>
                  <w:tcBorders>
                    <w:top w:val="nil"/>
                  </w:tcBorders>
                  <w:vAlign w:val="top"/>
                </w:tcPr>
                <w:p w14:paraId="725DEEB6">
                  <w:pPr>
                    <w:rPr>
                      <w:rFonts w:ascii="Arial"/>
                      <w:sz w:val="21"/>
                    </w:rPr>
                  </w:pPr>
                </w:p>
              </w:tc>
              <w:tc>
                <w:tcPr>
                  <w:tcW w:w="523" w:type="dxa"/>
                  <w:tcBorders>
                    <w:top w:val="nil"/>
                  </w:tcBorders>
                  <w:vAlign w:val="top"/>
                </w:tcPr>
                <w:p w14:paraId="7174D3D7">
                  <w:pPr>
                    <w:rPr>
                      <w:rFonts w:ascii="Arial"/>
                      <w:sz w:val="21"/>
                    </w:rPr>
                  </w:pPr>
                </w:p>
              </w:tc>
              <w:tc>
                <w:tcPr>
                  <w:tcW w:w="768" w:type="dxa"/>
                  <w:tcBorders>
                    <w:top w:val="nil"/>
                  </w:tcBorders>
                  <w:vAlign w:val="top"/>
                </w:tcPr>
                <w:p w14:paraId="774D5353">
                  <w:pPr>
                    <w:rPr>
                      <w:rFonts w:ascii="Arial"/>
                      <w:sz w:val="21"/>
                    </w:rPr>
                  </w:pPr>
                </w:p>
              </w:tc>
              <w:tc>
                <w:tcPr>
                  <w:tcW w:w="2735" w:type="dxa"/>
                  <w:tcBorders>
                    <w:top w:val="nil"/>
                  </w:tcBorders>
                  <w:vAlign w:val="top"/>
                </w:tcPr>
                <w:p w14:paraId="475A596F">
                  <w:pPr>
                    <w:rPr>
                      <w:rFonts w:ascii="Arial"/>
                      <w:sz w:val="21"/>
                    </w:rPr>
                  </w:pPr>
                </w:p>
              </w:tc>
            </w:tr>
            <w:tr w14:paraId="13BFC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50" w:type="dxa"/>
                  <w:vAlign w:val="top"/>
                </w:tcPr>
                <w:p w14:paraId="30FC18DA">
                  <w:pPr>
                    <w:spacing w:before="20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927" w:type="dxa"/>
                  <w:vAlign w:val="top"/>
                </w:tcPr>
                <w:p w14:paraId="06ACB914">
                  <w:pPr>
                    <w:pStyle w:val="6"/>
                    <w:spacing w:before="32" w:line="234" w:lineRule="auto"/>
                    <w:ind w:left="192" w:right="148" w:hanging="15"/>
                    <w:rPr>
                      <w:rFonts w:ascii="Times New Roman" w:hAnsi="Times New Roman" w:eastAsia="Times New Roman" w:cs="Times New Roman"/>
                      <w:sz w:val="20"/>
                      <w:szCs w:val="20"/>
                    </w:rPr>
                  </w:pPr>
                  <w:r>
                    <w:rPr>
                      <w:spacing w:val="-2"/>
                      <w:sz w:val="20"/>
                      <w:szCs w:val="20"/>
                    </w:rPr>
                    <w:t>电缆夹</w:t>
                  </w:r>
                  <w:r>
                    <w:rPr>
                      <w:spacing w:val="1"/>
                      <w:sz w:val="20"/>
                      <w:szCs w:val="20"/>
                    </w:rPr>
                    <w:t xml:space="preserve"> </w:t>
                  </w:r>
                  <w:r>
                    <w:rPr>
                      <w:spacing w:val="2"/>
                      <w:sz w:val="20"/>
                      <w:szCs w:val="20"/>
                    </w:rPr>
                    <w:t>具</w:t>
                  </w:r>
                  <w:r>
                    <w:rPr>
                      <w:rFonts w:ascii="Times New Roman" w:hAnsi="Times New Roman" w:eastAsia="Times New Roman" w:cs="Times New Roman"/>
                      <w:spacing w:val="2"/>
                      <w:sz w:val="20"/>
                      <w:szCs w:val="20"/>
                    </w:rPr>
                    <w:t>(</w:t>
                  </w:r>
                  <w:r>
                    <w:rPr>
                      <w:spacing w:val="2"/>
                      <w:sz w:val="20"/>
                      <w:szCs w:val="20"/>
                    </w:rPr>
                    <w:t>二</w:t>
                  </w:r>
                  <w:r>
                    <w:rPr>
                      <w:rFonts w:ascii="Times New Roman" w:hAnsi="Times New Roman" w:eastAsia="Times New Roman" w:cs="Times New Roman"/>
                      <w:spacing w:val="2"/>
                      <w:sz w:val="20"/>
                      <w:szCs w:val="20"/>
                    </w:rPr>
                    <w:t>)</w:t>
                  </w:r>
                </w:p>
              </w:tc>
              <w:tc>
                <w:tcPr>
                  <w:tcW w:w="2993" w:type="dxa"/>
                  <w:vAlign w:val="top"/>
                </w:tcPr>
                <w:p w14:paraId="7EADC12D">
                  <w:pPr>
                    <w:pStyle w:val="6"/>
                    <w:spacing w:before="167" w:line="228" w:lineRule="auto"/>
                    <w:ind w:left="890"/>
                    <w:rPr>
                      <w:sz w:val="20"/>
                      <w:szCs w:val="20"/>
                    </w:rPr>
                  </w:pPr>
                  <w:r>
                    <w:rPr>
                      <w:spacing w:val="5"/>
                      <w:sz w:val="20"/>
                      <w:szCs w:val="20"/>
                    </w:rPr>
                    <w:t>固定单相电缆</w:t>
                  </w:r>
                </w:p>
              </w:tc>
              <w:tc>
                <w:tcPr>
                  <w:tcW w:w="523" w:type="dxa"/>
                  <w:vAlign w:val="top"/>
                </w:tcPr>
                <w:p w14:paraId="33BDFE38">
                  <w:pPr>
                    <w:pStyle w:val="6"/>
                    <w:spacing w:before="168" w:line="228" w:lineRule="auto"/>
                    <w:ind w:left="164"/>
                    <w:rPr>
                      <w:sz w:val="20"/>
                      <w:szCs w:val="20"/>
                    </w:rPr>
                  </w:pPr>
                  <w:r>
                    <w:rPr>
                      <w:sz w:val="20"/>
                      <w:szCs w:val="20"/>
                    </w:rPr>
                    <w:t>套</w:t>
                  </w:r>
                </w:p>
              </w:tc>
              <w:tc>
                <w:tcPr>
                  <w:tcW w:w="768" w:type="dxa"/>
                  <w:vAlign w:val="top"/>
                </w:tcPr>
                <w:p w14:paraId="593972D7">
                  <w:pPr>
                    <w:spacing w:before="203"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2735" w:type="dxa"/>
                  <w:vAlign w:val="top"/>
                </w:tcPr>
                <w:p w14:paraId="4A2CF1A7">
                  <w:pPr>
                    <w:rPr>
                      <w:rFonts w:ascii="Arial"/>
                      <w:sz w:val="21"/>
                    </w:rPr>
                  </w:pPr>
                </w:p>
              </w:tc>
            </w:tr>
            <w:tr w14:paraId="60684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0" w:type="dxa"/>
                  <w:vAlign w:val="top"/>
                </w:tcPr>
                <w:p w14:paraId="4BBFC4A0">
                  <w:pPr>
                    <w:spacing w:before="203"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927" w:type="dxa"/>
                  <w:vAlign w:val="top"/>
                </w:tcPr>
                <w:p w14:paraId="0A5C8935">
                  <w:pPr>
                    <w:pStyle w:val="6"/>
                    <w:spacing w:before="32" w:line="234" w:lineRule="auto"/>
                    <w:ind w:left="153" w:right="148"/>
                    <w:rPr>
                      <w:sz w:val="20"/>
                      <w:szCs w:val="20"/>
                    </w:rPr>
                  </w:pPr>
                  <w:r>
                    <w:rPr>
                      <w:spacing w:val="6"/>
                      <w:sz w:val="20"/>
                      <w:szCs w:val="20"/>
                    </w:rPr>
                    <w:t>有机防</w:t>
                  </w:r>
                  <w:r>
                    <w:rPr>
                      <w:sz w:val="20"/>
                      <w:szCs w:val="20"/>
                    </w:rPr>
                    <w:t xml:space="preserve"> </w:t>
                  </w:r>
                  <w:r>
                    <w:rPr>
                      <w:spacing w:val="6"/>
                      <w:sz w:val="20"/>
                      <w:szCs w:val="20"/>
                    </w:rPr>
                    <w:t>火堵料</w:t>
                  </w:r>
                </w:p>
              </w:tc>
              <w:tc>
                <w:tcPr>
                  <w:tcW w:w="2993" w:type="dxa"/>
                  <w:vAlign w:val="top"/>
                </w:tcPr>
                <w:p w14:paraId="75C1DFEF">
                  <w:pPr>
                    <w:rPr>
                      <w:rFonts w:ascii="Arial"/>
                      <w:sz w:val="21"/>
                    </w:rPr>
                  </w:pPr>
                </w:p>
              </w:tc>
              <w:tc>
                <w:tcPr>
                  <w:tcW w:w="523" w:type="dxa"/>
                  <w:vAlign w:val="top"/>
                </w:tcPr>
                <w:p w14:paraId="05BB4189">
                  <w:pPr>
                    <w:spacing w:before="200" w:line="200"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kg</w:t>
                  </w:r>
                </w:p>
              </w:tc>
              <w:tc>
                <w:tcPr>
                  <w:tcW w:w="768" w:type="dxa"/>
                  <w:vAlign w:val="top"/>
                </w:tcPr>
                <w:p w14:paraId="41CB3390">
                  <w:pPr>
                    <w:spacing w:before="203"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2735" w:type="dxa"/>
                  <w:vAlign w:val="top"/>
                </w:tcPr>
                <w:p w14:paraId="25A6F6A3">
                  <w:pPr>
                    <w:pStyle w:val="6"/>
                    <w:spacing w:before="167" w:line="228" w:lineRule="auto"/>
                    <w:ind w:left="637"/>
                    <w:rPr>
                      <w:sz w:val="20"/>
                      <w:szCs w:val="20"/>
                    </w:rPr>
                  </w:pPr>
                  <w:r>
                    <w:rPr>
                      <w:spacing w:val="8"/>
                      <w:sz w:val="20"/>
                      <w:szCs w:val="20"/>
                    </w:rPr>
                    <w:t>保护管管口封堵</w:t>
                  </w:r>
                </w:p>
              </w:tc>
            </w:tr>
            <w:tr w14:paraId="7B9BF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50" w:type="dxa"/>
                  <w:vAlign w:val="top"/>
                </w:tcPr>
                <w:p w14:paraId="79610763">
                  <w:pPr>
                    <w:spacing w:before="20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927" w:type="dxa"/>
                  <w:vAlign w:val="top"/>
                </w:tcPr>
                <w:p w14:paraId="7FE22E7D">
                  <w:pPr>
                    <w:pStyle w:val="6"/>
                    <w:spacing w:before="29" w:line="235" w:lineRule="auto"/>
                    <w:ind w:left="259" w:right="148" w:hanging="103"/>
                    <w:rPr>
                      <w:sz w:val="20"/>
                      <w:szCs w:val="20"/>
                    </w:rPr>
                  </w:pPr>
                  <w:r>
                    <w:rPr>
                      <w:spacing w:val="5"/>
                      <w:sz w:val="20"/>
                      <w:szCs w:val="20"/>
                    </w:rPr>
                    <w:t>非金属</w:t>
                  </w:r>
                  <w:r>
                    <w:rPr>
                      <w:spacing w:val="1"/>
                      <w:sz w:val="20"/>
                      <w:szCs w:val="20"/>
                    </w:rPr>
                    <w:t xml:space="preserve"> </w:t>
                  </w:r>
                  <w:r>
                    <w:rPr>
                      <w:spacing w:val="3"/>
                      <w:sz w:val="20"/>
                      <w:szCs w:val="20"/>
                    </w:rPr>
                    <w:t>光缆</w:t>
                  </w:r>
                </w:p>
              </w:tc>
              <w:tc>
                <w:tcPr>
                  <w:tcW w:w="2993" w:type="dxa"/>
                  <w:vAlign w:val="top"/>
                </w:tcPr>
                <w:p w14:paraId="79F35BA6">
                  <w:pPr>
                    <w:spacing w:before="202"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GYFTZY</w:t>
                  </w:r>
                  <w:r>
                    <w:rPr>
                      <w:rFonts w:ascii="Times New Roman" w:hAnsi="Times New Roman" w:eastAsia="Times New Roman" w:cs="Times New Roman"/>
                      <w:spacing w:val="9"/>
                      <w:sz w:val="20"/>
                      <w:szCs w:val="20"/>
                    </w:rPr>
                    <w:t>53-24B1</w:t>
                  </w:r>
                </w:p>
              </w:tc>
              <w:tc>
                <w:tcPr>
                  <w:tcW w:w="523" w:type="dxa"/>
                  <w:vAlign w:val="top"/>
                </w:tcPr>
                <w:p w14:paraId="524D8E0F">
                  <w:pPr>
                    <w:spacing w:before="199" w:line="199"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768" w:type="dxa"/>
                  <w:vAlign w:val="top"/>
                </w:tcPr>
                <w:p w14:paraId="76C3ACFA">
                  <w:pPr>
                    <w:spacing w:before="20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735" w:type="dxa"/>
                  <w:vAlign w:val="top"/>
                </w:tcPr>
                <w:p w14:paraId="6D6821B5">
                  <w:pPr>
                    <w:pStyle w:val="6"/>
                    <w:spacing w:before="166" w:line="228" w:lineRule="auto"/>
                    <w:ind w:left="902"/>
                    <w:rPr>
                      <w:sz w:val="20"/>
                      <w:szCs w:val="20"/>
                    </w:rPr>
                  </w:pPr>
                  <w:r>
                    <w:rPr>
                      <w:spacing w:val="2"/>
                      <w:sz w:val="20"/>
                      <w:szCs w:val="20"/>
                    </w:rPr>
                    <w:t>单模</w:t>
                  </w:r>
                  <w:r>
                    <w:rPr>
                      <w:spacing w:val="-41"/>
                      <w:sz w:val="20"/>
                      <w:szCs w:val="20"/>
                    </w:rPr>
                    <w:t xml:space="preserve"> </w:t>
                  </w:r>
                  <w:r>
                    <w:rPr>
                      <w:rFonts w:ascii="Times New Roman" w:hAnsi="Times New Roman" w:eastAsia="Times New Roman" w:cs="Times New Roman"/>
                      <w:spacing w:val="2"/>
                      <w:sz w:val="20"/>
                      <w:szCs w:val="20"/>
                    </w:rPr>
                    <w:t>24</w:t>
                  </w:r>
                  <w:r>
                    <w:rPr>
                      <w:rFonts w:ascii="Times New Roman" w:hAnsi="Times New Roman" w:eastAsia="Times New Roman" w:cs="Times New Roman"/>
                      <w:spacing w:val="16"/>
                      <w:w w:val="101"/>
                      <w:sz w:val="20"/>
                      <w:szCs w:val="20"/>
                    </w:rPr>
                    <w:t xml:space="preserve"> </w:t>
                  </w:r>
                  <w:r>
                    <w:rPr>
                      <w:spacing w:val="2"/>
                      <w:sz w:val="20"/>
                      <w:szCs w:val="20"/>
                    </w:rPr>
                    <w:t>芯</w:t>
                  </w:r>
                </w:p>
              </w:tc>
            </w:tr>
            <w:tr w14:paraId="4A321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550" w:type="dxa"/>
                  <w:vAlign w:val="top"/>
                </w:tcPr>
                <w:p w14:paraId="46F2EB91">
                  <w:pPr>
                    <w:spacing w:line="249" w:lineRule="auto"/>
                    <w:rPr>
                      <w:rFonts w:ascii="Arial"/>
                      <w:sz w:val="21"/>
                    </w:rPr>
                  </w:pPr>
                </w:p>
                <w:p w14:paraId="35181271">
                  <w:pPr>
                    <w:spacing w:before="5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927" w:type="dxa"/>
                  <w:vAlign w:val="top"/>
                </w:tcPr>
                <w:p w14:paraId="769D8D2F">
                  <w:pPr>
                    <w:pStyle w:val="6"/>
                    <w:spacing w:before="135"/>
                    <w:ind w:left="258" w:right="148" w:hanging="81"/>
                    <w:rPr>
                      <w:sz w:val="20"/>
                      <w:szCs w:val="20"/>
                    </w:rPr>
                  </w:pPr>
                  <w:r>
                    <w:rPr>
                      <w:spacing w:val="-2"/>
                      <w:sz w:val="20"/>
                      <w:szCs w:val="20"/>
                    </w:rPr>
                    <w:t>电缆标</w:t>
                  </w:r>
                  <w:r>
                    <w:rPr>
                      <w:spacing w:val="1"/>
                      <w:sz w:val="20"/>
                      <w:szCs w:val="20"/>
                    </w:rPr>
                    <w:t xml:space="preserve"> </w:t>
                  </w:r>
                  <w:r>
                    <w:rPr>
                      <w:spacing w:val="4"/>
                      <w:sz w:val="20"/>
                      <w:szCs w:val="20"/>
                    </w:rPr>
                    <w:t>示桩</w:t>
                  </w:r>
                </w:p>
              </w:tc>
              <w:tc>
                <w:tcPr>
                  <w:tcW w:w="2993" w:type="dxa"/>
                  <w:vAlign w:val="top"/>
                </w:tcPr>
                <w:p w14:paraId="251EF579">
                  <w:pPr>
                    <w:pStyle w:val="6"/>
                    <w:spacing w:before="51" w:line="342" w:lineRule="auto"/>
                    <w:ind w:left="1242" w:right="204" w:hanging="608"/>
                    <w:rPr>
                      <w:sz w:val="20"/>
                      <w:szCs w:val="20"/>
                    </w:rPr>
                  </w:pPr>
                  <w:r>
                    <w:rPr>
                      <w:rFonts w:ascii="Times New Roman" w:hAnsi="Times New Roman" w:eastAsia="Times New Roman" w:cs="Times New Roman"/>
                      <w:spacing w:val="8"/>
                      <w:sz w:val="20"/>
                      <w:szCs w:val="20"/>
                    </w:rPr>
                    <w:t>800</w:t>
                  </w:r>
                  <w:r>
                    <w:rPr>
                      <w:rFonts w:ascii="Times New Roman" w:hAnsi="Times New Roman" w:eastAsia="Times New Roman" w:cs="Times New Roman"/>
                      <w:sz w:val="20"/>
                      <w:szCs w:val="20"/>
                    </w:rPr>
                    <w:t>mm</w:t>
                  </w:r>
                  <w:r>
                    <w:rPr>
                      <w:rFonts w:ascii="Times New Roman" w:hAnsi="Times New Roman" w:eastAsia="Times New Roman" w:cs="Times New Roman"/>
                      <w:spacing w:val="8"/>
                      <w:sz w:val="20"/>
                      <w:szCs w:val="20"/>
                    </w:rPr>
                    <w:t>×150</w:t>
                  </w:r>
                  <w:r>
                    <w:rPr>
                      <w:rFonts w:ascii="Times New Roman" w:hAnsi="Times New Roman" w:eastAsia="Times New Roman" w:cs="Times New Roman"/>
                      <w:sz w:val="20"/>
                      <w:szCs w:val="20"/>
                    </w:rPr>
                    <w:t>mm</w:t>
                  </w:r>
                  <w:r>
                    <w:rPr>
                      <w:rFonts w:ascii="Times New Roman" w:hAnsi="Times New Roman" w:eastAsia="Times New Roman" w:cs="Times New Roman"/>
                      <w:spacing w:val="8"/>
                      <w:sz w:val="20"/>
                      <w:szCs w:val="20"/>
                    </w:rPr>
                    <w:t>×150</w:t>
                  </w:r>
                  <w:r>
                    <w:rPr>
                      <w:rFonts w:ascii="Times New Roman" w:hAnsi="Times New Roman" w:eastAsia="Times New Roman" w:cs="Times New Roman"/>
                      <w:sz w:val="20"/>
                      <w:szCs w:val="20"/>
                    </w:rPr>
                    <w:t xml:space="preserve">mm </w:t>
                  </w:r>
                  <w:r>
                    <w:rPr>
                      <w:spacing w:val="7"/>
                      <w:sz w:val="20"/>
                      <w:szCs w:val="20"/>
                    </w:rPr>
                    <w:t>玻璃钢材质</w:t>
                  </w:r>
                </w:p>
              </w:tc>
              <w:tc>
                <w:tcPr>
                  <w:tcW w:w="523" w:type="dxa"/>
                  <w:vAlign w:val="top"/>
                </w:tcPr>
                <w:p w14:paraId="42A2189A">
                  <w:pPr>
                    <w:pStyle w:val="6"/>
                    <w:spacing w:before="272" w:line="228" w:lineRule="auto"/>
                    <w:ind w:left="163"/>
                    <w:rPr>
                      <w:sz w:val="20"/>
                      <w:szCs w:val="20"/>
                    </w:rPr>
                  </w:pPr>
                  <w:r>
                    <w:rPr>
                      <w:sz w:val="20"/>
                      <w:szCs w:val="20"/>
                    </w:rPr>
                    <w:t>块</w:t>
                  </w:r>
                </w:p>
              </w:tc>
              <w:tc>
                <w:tcPr>
                  <w:tcW w:w="768" w:type="dxa"/>
                  <w:vAlign w:val="top"/>
                </w:tcPr>
                <w:p w14:paraId="08D6DECB">
                  <w:pPr>
                    <w:spacing w:line="249" w:lineRule="auto"/>
                    <w:rPr>
                      <w:rFonts w:ascii="Arial"/>
                      <w:sz w:val="21"/>
                    </w:rPr>
                  </w:pPr>
                </w:p>
                <w:p w14:paraId="1EF74F0B">
                  <w:pPr>
                    <w:spacing w:before="57"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735" w:type="dxa"/>
                  <w:vAlign w:val="top"/>
                </w:tcPr>
                <w:p w14:paraId="56AE5FCE">
                  <w:pPr>
                    <w:rPr>
                      <w:rFonts w:ascii="Arial"/>
                      <w:sz w:val="21"/>
                    </w:rPr>
                  </w:pPr>
                </w:p>
              </w:tc>
            </w:tr>
            <w:tr w14:paraId="1EA50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50" w:type="dxa"/>
                  <w:vAlign w:val="top"/>
                </w:tcPr>
                <w:p w14:paraId="1569A356">
                  <w:pPr>
                    <w:spacing w:before="203"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927" w:type="dxa"/>
                  <w:vAlign w:val="top"/>
                </w:tcPr>
                <w:p w14:paraId="01560F8E">
                  <w:pPr>
                    <w:pStyle w:val="6"/>
                    <w:spacing w:before="29" w:line="235" w:lineRule="auto"/>
                    <w:ind w:left="258" w:right="148" w:hanging="81"/>
                    <w:rPr>
                      <w:sz w:val="20"/>
                      <w:szCs w:val="20"/>
                    </w:rPr>
                  </w:pPr>
                  <w:r>
                    <w:rPr>
                      <w:spacing w:val="-2"/>
                      <w:sz w:val="20"/>
                      <w:szCs w:val="20"/>
                    </w:rPr>
                    <w:t>电缆保</w:t>
                  </w:r>
                  <w:r>
                    <w:rPr>
                      <w:spacing w:val="1"/>
                      <w:sz w:val="20"/>
                      <w:szCs w:val="20"/>
                    </w:rPr>
                    <w:t xml:space="preserve"> </w:t>
                  </w:r>
                  <w:r>
                    <w:rPr>
                      <w:spacing w:val="4"/>
                      <w:sz w:val="20"/>
                      <w:szCs w:val="20"/>
                    </w:rPr>
                    <w:t>护板</w:t>
                  </w:r>
                </w:p>
              </w:tc>
              <w:tc>
                <w:tcPr>
                  <w:tcW w:w="2993" w:type="dxa"/>
                  <w:vAlign w:val="top"/>
                </w:tcPr>
                <w:p w14:paraId="71211115">
                  <w:pPr>
                    <w:spacing w:before="200" w:line="200"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400</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×200</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×35</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(C20)</w:t>
                  </w:r>
                </w:p>
              </w:tc>
              <w:tc>
                <w:tcPr>
                  <w:tcW w:w="523" w:type="dxa"/>
                  <w:vAlign w:val="top"/>
                </w:tcPr>
                <w:p w14:paraId="1D5E8C49">
                  <w:pPr>
                    <w:pStyle w:val="6"/>
                    <w:spacing w:before="167" w:line="228" w:lineRule="auto"/>
                    <w:ind w:left="163"/>
                    <w:rPr>
                      <w:sz w:val="20"/>
                      <w:szCs w:val="20"/>
                    </w:rPr>
                  </w:pPr>
                  <w:r>
                    <w:rPr>
                      <w:sz w:val="20"/>
                      <w:szCs w:val="20"/>
                    </w:rPr>
                    <w:t>块</w:t>
                  </w:r>
                </w:p>
              </w:tc>
              <w:tc>
                <w:tcPr>
                  <w:tcW w:w="768" w:type="dxa"/>
                  <w:vAlign w:val="top"/>
                </w:tcPr>
                <w:p w14:paraId="55EB8A08">
                  <w:pPr>
                    <w:spacing w:before="203"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2735" w:type="dxa"/>
                  <w:vAlign w:val="top"/>
                </w:tcPr>
                <w:p w14:paraId="5F3A3DAE">
                  <w:pPr>
                    <w:rPr>
                      <w:rFonts w:ascii="Arial"/>
                      <w:sz w:val="21"/>
                    </w:rPr>
                  </w:pPr>
                </w:p>
              </w:tc>
            </w:tr>
            <w:tr w14:paraId="683B3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0" w:type="dxa"/>
                  <w:vAlign w:val="top"/>
                </w:tcPr>
                <w:p w14:paraId="3483A299">
                  <w:pPr>
                    <w:spacing w:before="203"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927" w:type="dxa"/>
                  <w:vAlign w:val="top"/>
                </w:tcPr>
                <w:p w14:paraId="3322A529">
                  <w:pPr>
                    <w:pStyle w:val="6"/>
                    <w:spacing w:before="32" w:line="234" w:lineRule="auto"/>
                    <w:ind w:left="258" w:right="148" w:hanging="104"/>
                    <w:rPr>
                      <w:sz w:val="20"/>
                      <w:szCs w:val="20"/>
                    </w:rPr>
                  </w:pPr>
                  <w:r>
                    <w:rPr>
                      <w:spacing w:val="6"/>
                      <w:sz w:val="20"/>
                      <w:szCs w:val="20"/>
                    </w:rPr>
                    <w:t>光缆保</w:t>
                  </w:r>
                  <w:r>
                    <w:rPr>
                      <w:sz w:val="20"/>
                      <w:szCs w:val="20"/>
                    </w:rPr>
                    <w:t xml:space="preserve"> </w:t>
                  </w:r>
                  <w:r>
                    <w:rPr>
                      <w:spacing w:val="4"/>
                      <w:sz w:val="20"/>
                      <w:szCs w:val="20"/>
                    </w:rPr>
                    <w:t>护板</w:t>
                  </w:r>
                </w:p>
              </w:tc>
              <w:tc>
                <w:tcPr>
                  <w:tcW w:w="2993" w:type="dxa"/>
                  <w:vAlign w:val="top"/>
                </w:tcPr>
                <w:p w14:paraId="12DAAF4C">
                  <w:pPr>
                    <w:spacing w:before="200" w:line="200"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400</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×200</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×35</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(C20)</w:t>
                  </w:r>
                </w:p>
              </w:tc>
              <w:tc>
                <w:tcPr>
                  <w:tcW w:w="523" w:type="dxa"/>
                  <w:vAlign w:val="top"/>
                </w:tcPr>
                <w:p w14:paraId="5B6E14DF">
                  <w:pPr>
                    <w:pStyle w:val="6"/>
                    <w:spacing w:before="167" w:line="228" w:lineRule="auto"/>
                    <w:ind w:left="163"/>
                    <w:rPr>
                      <w:sz w:val="20"/>
                      <w:szCs w:val="20"/>
                    </w:rPr>
                  </w:pPr>
                  <w:r>
                    <w:rPr>
                      <w:sz w:val="20"/>
                      <w:szCs w:val="20"/>
                    </w:rPr>
                    <w:t>块</w:t>
                  </w:r>
                </w:p>
              </w:tc>
              <w:tc>
                <w:tcPr>
                  <w:tcW w:w="768" w:type="dxa"/>
                  <w:vAlign w:val="top"/>
                </w:tcPr>
                <w:p w14:paraId="5292BD4C">
                  <w:pPr>
                    <w:spacing w:before="203"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2735" w:type="dxa"/>
                  <w:vAlign w:val="top"/>
                </w:tcPr>
                <w:p w14:paraId="3618592B">
                  <w:pPr>
                    <w:rPr>
                      <w:rFonts w:ascii="Arial"/>
                      <w:sz w:val="21"/>
                    </w:rPr>
                  </w:pPr>
                </w:p>
              </w:tc>
            </w:tr>
            <w:tr w14:paraId="6E7EE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9" w:hRule="atLeast"/>
              </w:trPr>
              <w:tc>
                <w:tcPr>
                  <w:tcW w:w="8496" w:type="dxa"/>
                  <w:gridSpan w:val="6"/>
                  <w:tcBorders>
                    <w:bottom w:val="nil"/>
                  </w:tcBorders>
                  <w:vAlign w:val="top"/>
                </w:tcPr>
                <w:p w14:paraId="2459E974">
                  <w:pPr>
                    <w:spacing w:line="377" w:lineRule="auto"/>
                    <w:rPr>
                      <w:rFonts w:ascii="Arial"/>
                      <w:sz w:val="21"/>
                    </w:rPr>
                  </w:pPr>
                </w:p>
                <w:p w14:paraId="4ADAE327">
                  <w:pPr>
                    <w:pStyle w:val="6"/>
                    <w:spacing w:before="65" w:line="228" w:lineRule="auto"/>
                    <w:ind w:left="3457"/>
                    <w:rPr>
                      <w:sz w:val="20"/>
                      <w:szCs w:val="20"/>
                    </w:rPr>
                  </w:pPr>
                  <w:r>
                    <w:rPr>
                      <w:b/>
                      <w:bCs/>
                      <w:spacing w:val="4"/>
                      <w:sz w:val="20"/>
                      <w:szCs w:val="20"/>
                    </w:rPr>
                    <w:t>表</w:t>
                  </w:r>
                  <w:r>
                    <w:rPr>
                      <w:spacing w:val="-33"/>
                      <w:sz w:val="20"/>
                      <w:szCs w:val="20"/>
                    </w:rPr>
                    <w:t xml:space="preserve"> </w:t>
                  </w:r>
                  <w:r>
                    <w:rPr>
                      <w:rFonts w:ascii="Times New Roman" w:hAnsi="Times New Roman" w:eastAsia="Times New Roman" w:cs="Times New Roman"/>
                      <w:b/>
                      <w:bCs/>
                      <w:spacing w:val="4"/>
                      <w:sz w:val="20"/>
                      <w:szCs w:val="20"/>
                    </w:rPr>
                    <w:t xml:space="preserve">2-8  </w:t>
                  </w:r>
                  <w:r>
                    <w:rPr>
                      <w:b/>
                      <w:bCs/>
                      <w:spacing w:val="4"/>
                      <w:sz w:val="20"/>
                      <w:szCs w:val="20"/>
                    </w:rPr>
                    <w:t>铁塔结构表</w:t>
                  </w:r>
                </w:p>
                <w:p w14:paraId="0EEB4228">
                  <w:pPr>
                    <w:spacing w:line="131" w:lineRule="exact"/>
                  </w:pPr>
                </w:p>
                <w:tbl>
                  <w:tblPr>
                    <w:tblStyle w:val="5"/>
                    <w:tblW w:w="8167" w:type="dxa"/>
                    <w:tblInd w:w="2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738"/>
                    <w:gridCol w:w="1159"/>
                    <w:gridCol w:w="883"/>
                    <w:gridCol w:w="864"/>
                    <w:gridCol w:w="846"/>
                    <w:gridCol w:w="2096"/>
                  </w:tblGrid>
                  <w:tr w14:paraId="7326D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81" w:type="dxa"/>
                        <w:textDirection w:val="tbRlV"/>
                        <w:vAlign w:val="top"/>
                      </w:tcPr>
                      <w:p w14:paraId="0CD517BB">
                        <w:pPr>
                          <w:pStyle w:val="6"/>
                          <w:spacing w:before="184" w:line="218" w:lineRule="auto"/>
                          <w:ind w:left="36"/>
                          <w:rPr>
                            <w:sz w:val="20"/>
                            <w:szCs w:val="20"/>
                          </w:rPr>
                        </w:pPr>
                        <w:r>
                          <w:rPr>
                            <w:spacing w:val="8"/>
                            <w:sz w:val="20"/>
                            <w:szCs w:val="20"/>
                          </w:rPr>
                          <w:t>序</w:t>
                        </w:r>
                        <w:r>
                          <w:rPr>
                            <w:spacing w:val="-38"/>
                            <w:sz w:val="20"/>
                            <w:szCs w:val="20"/>
                          </w:rPr>
                          <w:t xml:space="preserve"> </w:t>
                        </w:r>
                        <w:r>
                          <w:rPr>
                            <w:spacing w:val="8"/>
                            <w:sz w:val="20"/>
                            <w:szCs w:val="20"/>
                          </w:rPr>
                          <w:t>号</w:t>
                        </w:r>
                      </w:p>
                    </w:tc>
                    <w:tc>
                      <w:tcPr>
                        <w:tcW w:w="1738" w:type="dxa"/>
                        <w:vAlign w:val="top"/>
                      </w:tcPr>
                      <w:p w14:paraId="47525F94">
                        <w:pPr>
                          <w:pStyle w:val="6"/>
                          <w:spacing w:before="170" w:line="228" w:lineRule="auto"/>
                          <w:ind w:left="450"/>
                          <w:rPr>
                            <w:sz w:val="20"/>
                            <w:szCs w:val="20"/>
                          </w:rPr>
                        </w:pPr>
                        <w:r>
                          <w:rPr>
                            <w:spacing w:val="7"/>
                            <w:sz w:val="20"/>
                            <w:szCs w:val="20"/>
                          </w:rPr>
                          <w:t>铁塔代号</w:t>
                        </w:r>
                      </w:p>
                    </w:tc>
                    <w:tc>
                      <w:tcPr>
                        <w:tcW w:w="1159" w:type="dxa"/>
                        <w:vAlign w:val="top"/>
                      </w:tcPr>
                      <w:p w14:paraId="1F8F079C">
                        <w:pPr>
                          <w:pStyle w:val="6"/>
                          <w:spacing w:before="170" w:line="229" w:lineRule="auto"/>
                          <w:ind w:left="162"/>
                          <w:rPr>
                            <w:sz w:val="20"/>
                            <w:szCs w:val="20"/>
                          </w:rPr>
                        </w:pPr>
                        <w:r>
                          <w:rPr>
                            <w:spacing w:val="7"/>
                            <w:sz w:val="20"/>
                            <w:szCs w:val="20"/>
                          </w:rPr>
                          <w:t>铁塔名称</w:t>
                        </w:r>
                      </w:p>
                    </w:tc>
                    <w:tc>
                      <w:tcPr>
                        <w:tcW w:w="883" w:type="dxa"/>
                        <w:vAlign w:val="top"/>
                      </w:tcPr>
                      <w:p w14:paraId="661D6E71">
                        <w:pPr>
                          <w:pStyle w:val="6"/>
                          <w:spacing w:before="35" w:line="234" w:lineRule="auto"/>
                          <w:ind w:left="163" w:right="127" w:hanging="33"/>
                          <w:rPr>
                            <w:sz w:val="20"/>
                            <w:szCs w:val="20"/>
                          </w:rPr>
                        </w:pPr>
                        <w:r>
                          <w:rPr>
                            <w:spacing w:val="6"/>
                            <w:sz w:val="20"/>
                            <w:szCs w:val="20"/>
                          </w:rPr>
                          <w:t>杆塔高</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spacing w:val="-1"/>
                            <w:sz w:val="20"/>
                            <w:szCs w:val="20"/>
                          </w:rPr>
                          <w:t>）</w:t>
                        </w:r>
                      </w:p>
                    </w:tc>
                    <w:tc>
                      <w:tcPr>
                        <w:tcW w:w="864" w:type="dxa"/>
                        <w:vAlign w:val="top"/>
                      </w:tcPr>
                      <w:p w14:paraId="23C63A59">
                        <w:pPr>
                          <w:pStyle w:val="6"/>
                          <w:spacing w:before="35" w:line="234" w:lineRule="auto"/>
                          <w:ind w:left="154" w:right="115" w:hanging="20"/>
                          <w:rPr>
                            <w:sz w:val="20"/>
                            <w:szCs w:val="20"/>
                          </w:rPr>
                        </w:pPr>
                        <w:r>
                          <w:rPr>
                            <w:spacing w:val="3"/>
                            <w:sz w:val="20"/>
                            <w:szCs w:val="20"/>
                          </w:rPr>
                          <w:t>呼称高</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spacing w:val="-1"/>
                            <w:sz w:val="20"/>
                            <w:szCs w:val="20"/>
                          </w:rPr>
                          <w:t>）</w:t>
                        </w:r>
                      </w:p>
                    </w:tc>
                    <w:tc>
                      <w:tcPr>
                        <w:tcW w:w="846" w:type="dxa"/>
                        <w:vAlign w:val="top"/>
                      </w:tcPr>
                      <w:p w14:paraId="5B55F234">
                        <w:pPr>
                          <w:pStyle w:val="6"/>
                          <w:spacing w:before="35" w:line="234" w:lineRule="auto"/>
                          <w:ind w:left="123" w:right="125" w:firstLine="97"/>
                          <w:rPr>
                            <w:sz w:val="20"/>
                            <w:szCs w:val="20"/>
                          </w:rPr>
                        </w:pPr>
                        <w:r>
                          <w:rPr>
                            <w:spacing w:val="3"/>
                            <w:sz w:val="20"/>
                            <w:szCs w:val="20"/>
                          </w:rPr>
                          <w:t>数量</w:t>
                        </w:r>
                        <w:r>
                          <w:rPr>
                            <w:sz w:val="20"/>
                            <w:szCs w:val="20"/>
                          </w:rPr>
                          <w:t xml:space="preserve">  </w:t>
                        </w:r>
                        <w:r>
                          <w:rPr>
                            <w:spacing w:val="-3"/>
                            <w:sz w:val="20"/>
                            <w:szCs w:val="20"/>
                          </w:rPr>
                          <w:t>（基）</w:t>
                        </w:r>
                      </w:p>
                    </w:tc>
                    <w:tc>
                      <w:tcPr>
                        <w:tcW w:w="2096" w:type="dxa"/>
                        <w:tcBorders>
                          <w:right w:val="nil"/>
                        </w:tcBorders>
                        <w:vAlign w:val="top"/>
                      </w:tcPr>
                      <w:p w14:paraId="19F4C172">
                        <w:pPr>
                          <w:pStyle w:val="6"/>
                          <w:spacing w:before="170" w:line="228" w:lineRule="auto"/>
                          <w:ind w:left="631"/>
                          <w:rPr>
                            <w:sz w:val="20"/>
                            <w:szCs w:val="20"/>
                          </w:rPr>
                        </w:pPr>
                        <w:r>
                          <w:rPr>
                            <w:spacing w:val="7"/>
                            <w:sz w:val="20"/>
                            <w:szCs w:val="20"/>
                          </w:rPr>
                          <w:t>其他参数</w:t>
                        </w:r>
                      </w:p>
                    </w:tc>
                  </w:tr>
                  <w:tr w14:paraId="67EC3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81" w:type="dxa"/>
                        <w:vAlign w:val="top"/>
                      </w:tcPr>
                      <w:p w14:paraId="14413274">
                        <w:pPr>
                          <w:spacing w:before="20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38" w:type="dxa"/>
                        <w:vAlign w:val="top"/>
                      </w:tcPr>
                      <w:p w14:paraId="2B9FE9B8">
                        <w:pPr>
                          <w:spacing w:before="204"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CG</w:t>
                        </w:r>
                        <w:r>
                          <w:rPr>
                            <w:rFonts w:ascii="Times New Roman" w:hAnsi="Times New Roman" w:eastAsia="Times New Roman" w:cs="Times New Roman"/>
                            <w:spacing w:val="5"/>
                            <w:sz w:val="20"/>
                            <w:szCs w:val="20"/>
                          </w:rPr>
                          <w:t>11D-Z2</w:t>
                        </w:r>
                      </w:p>
                    </w:tc>
                    <w:tc>
                      <w:tcPr>
                        <w:tcW w:w="1159" w:type="dxa"/>
                        <w:vAlign w:val="top"/>
                      </w:tcPr>
                      <w:p w14:paraId="1D49AD44">
                        <w:pPr>
                          <w:pStyle w:val="6"/>
                          <w:spacing w:before="32" w:line="234" w:lineRule="auto"/>
                          <w:ind w:left="164" w:right="110" w:hanging="49"/>
                          <w:rPr>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2"/>
                            <w:w w:val="101"/>
                            <w:sz w:val="20"/>
                            <w:szCs w:val="20"/>
                          </w:rPr>
                          <w:t xml:space="preserve"> </w:t>
                        </w:r>
                        <w:r>
                          <w:rPr>
                            <w:spacing w:val="5"/>
                            <w:sz w:val="20"/>
                            <w:szCs w:val="20"/>
                          </w:rPr>
                          <w:t>单回</w:t>
                        </w:r>
                        <w:r>
                          <w:rPr>
                            <w:sz w:val="20"/>
                            <w:szCs w:val="20"/>
                          </w:rPr>
                          <w:t xml:space="preserve"> </w:t>
                        </w:r>
                        <w:r>
                          <w:rPr>
                            <w:spacing w:val="6"/>
                            <w:sz w:val="20"/>
                            <w:szCs w:val="20"/>
                          </w:rPr>
                          <w:t>路直线塔</w:t>
                        </w:r>
                      </w:p>
                    </w:tc>
                    <w:tc>
                      <w:tcPr>
                        <w:tcW w:w="883" w:type="dxa"/>
                        <w:vAlign w:val="top"/>
                      </w:tcPr>
                      <w:p w14:paraId="38636849">
                        <w:pPr>
                          <w:spacing w:before="204"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35.4</w:t>
                        </w:r>
                      </w:p>
                    </w:tc>
                    <w:tc>
                      <w:tcPr>
                        <w:tcW w:w="864" w:type="dxa"/>
                        <w:vAlign w:val="top"/>
                      </w:tcPr>
                      <w:p w14:paraId="49FCEBDD">
                        <w:pPr>
                          <w:spacing w:before="204"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846" w:type="dxa"/>
                        <w:vAlign w:val="top"/>
                      </w:tcPr>
                      <w:p w14:paraId="268BF39C">
                        <w:pPr>
                          <w:spacing w:before="204"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096" w:type="dxa"/>
                        <w:tcBorders>
                          <w:right w:val="nil"/>
                        </w:tcBorders>
                        <w:vAlign w:val="top"/>
                      </w:tcPr>
                      <w:p w14:paraId="03E1B8D6">
                        <w:pPr>
                          <w:pStyle w:val="6"/>
                          <w:spacing w:before="32" w:line="234" w:lineRule="auto"/>
                          <w:ind w:left="149" w:right="154" w:firstLine="7"/>
                          <w:rPr>
                            <w:rFonts w:ascii="Times New Roman" w:hAnsi="Times New Roman" w:eastAsia="Times New Roman" w:cs="Times New Roman"/>
                            <w:sz w:val="20"/>
                            <w:szCs w:val="20"/>
                          </w:rPr>
                        </w:pPr>
                        <w:r>
                          <w:rPr>
                            <w:spacing w:val="2"/>
                            <w:sz w:val="20"/>
                            <w:szCs w:val="20"/>
                          </w:rPr>
                          <w:t>主柱宽</w:t>
                        </w:r>
                        <w:r>
                          <w:rPr>
                            <w:spacing w:val="-23"/>
                            <w:sz w:val="20"/>
                            <w:szCs w:val="20"/>
                          </w:rPr>
                          <w:t xml:space="preserve"> </w:t>
                        </w:r>
                        <w:r>
                          <w:rPr>
                            <w:rFonts w:ascii="Times New Roman" w:hAnsi="Times New Roman" w:eastAsia="Times New Roman" w:cs="Times New Roman"/>
                            <w:spacing w:val="2"/>
                            <w:sz w:val="20"/>
                            <w:szCs w:val="20"/>
                          </w:rPr>
                          <w:t>1m</w:t>
                        </w:r>
                        <w:r>
                          <w:rPr>
                            <w:rFonts w:ascii="Times New Roman" w:hAnsi="Times New Roman" w:eastAsia="Times New Roman" w:cs="Times New Roman"/>
                            <w:spacing w:val="-24"/>
                            <w:sz w:val="20"/>
                            <w:szCs w:val="20"/>
                          </w:rPr>
                          <w:t xml:space="preserve"> </w:t>
                        </w:r>
                        <w:r>
                          <w:rPr>
                            <w:spacing w:val="2"/>
                            <w:sz w:val="20"/>
                            <w:szCs w:val="20"/>
                          </w:rPr>
                          <w:t>，扩底宽</w:t>
                        </w:r>
                        <w:r>
                          <w:rPr>
                            <w:sz w:val="20"/>
                            <w:szCs w:val="20"/>
                          </w:rPr>
                          <w:t xml:space="preserve"> </w:t>
                        </w:r>
                        <w:r>
                          <w:rPr>
                            <w:rFonts w:ascii="Times New Roman" w:hAnsi="Times New Roman" w:eastAsia="Times New Roman" w:cs="Times New Roman"/>
                            <w:spacing w:val="3"/>
                            <w:sz w:val="20"/>
                            <w:szCs w:val="20"/>
                          </w:rPr>
                          <w:t>2m</w:t>
                        </w:r>
                        <w:r>
                          <w:rPr>
                            <w:rFonts w:ascii="Times New Roman" w:hAnsi="Times New Roman" w:eastAsia="Times New Roman" w:cs="Times New Roman"/>
                            <w:spacing w:val="-17"/>
                            <w:sz w:val="20"/>
                            <w:szCs w:val="20"/>
                          </w:rPr>
                          <w:t xml:space="preserve"> </w:t>
                        </w:r>
                        <w:r>
                          <w:rPr>
                            <w:spacing w:val="3"/>
                            <w:sz w:val="20"/>
                            <w:szCs w:val="20"/>
                          </w:rPr>
                          <w:t>，基础埋深</w:t>
                        </w:r>
                        <w:r>
                          <w:rPr>
                            <w:spacing w:val="-39"/>
                            <w:sz w:val="20"/>
                            <w:szCs w:val="20"/>
                          </w:rPr>
                          <w:t xml:space="preserve"> </w:t>
                        </w:r>
                        <w:r>
                          <w:rPr>
                            <w:rFonts w:ascii="Times New Roman" w:hAnsi="Times New Roman" w:eastAsia="Times New Roman" w:cs="Times New Roman"/>
                            <w:spacing w:val="3"/>
                            <w:sz w:val="20"/>
                            <w:szCs w:val="20"/>
                          </w:rPr>
                          <w:t>3.2m</w:t>
                        </w:r>
                      </w:p>
                    </w:tc>
                  </w:tr>
                  <w:tr w14:paraId="70FDB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81" w:type="dxa"/>
                        <w:vAlign w:val="top"/>
                      </w:tcPr>
                      <w:p w14:paraId="68FEF5FB">
                        <w:pPr>
                          <w:spacing w:before="202" w:line="195"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38" w:type="dxa"/>
                        <w:vAlign w:val="top"/>
                      </w:tcPr>
                      <w:p w14:paraId="1D041EC9">
                        <w:pPr>
                          <w:spacing w:before="202"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CG</w:t>
                        </w:r>
                        <w:r>
                          <w:rPr>
                            <w:rFonts w:ascii="Times New Roman" w:hAnsi="Times New Roman" w:eastAsia="Times New Roman" w:cs="Times New Roman"/>
                            <w:spacing w:val="5"/>
                            <w:sz w:val="20"/>
                            <w:szCs w:val="20"/>
                          </w:rPr>
                          <w:t>11D-Z2</w:t>
                        </w:r>
                      </w:p>
                    </w:tc>
                    <w:tc>
                      <w:tcPr>
                        <w:tcW w:w="1159" w:type="dxa"/>
                        <w:vAlign w:val="top"/>
                      </w:tcPr>
                      <w:p w14:paraId="4796CA9D">
                        <w:pPr>
                          <w:pStyle w:val="6"/>
                          <w:spacing w:before="32" w:line="234" w:lineRule="auto"/>
                          <w:ind w:left="164" w:right="110" w:hanging="49"/>
                          <w:rPr>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2"/>
                            <w:w w:val="101"/>
                            <w:sz w:val="20"/>
                            <w:szCs w:val="20"/>
                          </w:rPr>
                          <w:t xml:space="preserve"> </w:t>
                        </w:r>
                        <w:r>
                          <w:rPr>
                            <w:spacing w:val="5"/>
                            <w:sz w:val="20"/>
                            <w:szCs w:val="20"/>
                          </w:rPr>
                          <w:t>单回</w:t>
                        </w:r>
                        <w:r>
                          <w:rPr>
                            <w:sz w:val="20"/>
                            <w:szCs w:val="20"/>
                          </w:rPr>
                          <w:t xml:space="preserve"> </w:t>
                        </w:r>
                        <w:r>
                          <w:rPr>
                            <w:spacing w:val="6"/>
                            <w:sz w:val="20"/>
                            <w:szCs w:val="20"/>
                          </w:rPr>
                          <w:t>路直线塔</w:t>
                        </w:r>
                      </w:p>
                    </w:tc>
                    <w:tc>
                      <w:tcPr>
                        <w:tcW w:w="883" w:type="dxa"/>
                        <w:vAlign w:val="top"/>
                      </w:tcPr>
                      <w:p w14:paraId="393FEF8A">
                        <w:pPr>
                          <w:spacing w:before="202"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41.4</w:t>
                        </w:r>
                      </w:p>
                    </w:tc>
                    <w:tc>
                      <w:tcPr>
                        <w:tcW w:w="864" w:type="dxa"/>
                        <w:vAlign w:val="top"/>
                      </w:tcPr>
                      <w:p w14:paraId="3951A8E5">
                        <w:pPr>
                          <w:spacing w:before="202"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846" w:type="dxa"/>
                        <w:vAlign w:val="top"/>
                      </w:tcPr>
                      <w:p w14:paraId="0F651AE7">
                        <w:pPr>
                          <w:spacing w:before="20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096" w:type="dxa"/>
                        <w:tcBorders>
                          <w:right w:val="nil"/>
                        </w:tcBorders>
                        <w:vAlign w:val="top"/>
                      </w:tcPr>
                      <w:p w14:paraId="5A9CEBFF">
                        <w:pPr>
                          <w:pStyle w:val="6"/>
                          <w:spacing w:before="32" w:line="234" w:lineRule="auto"/>
                          <w:ind w:left="149" w:right="154" w:firstLine="7"/>
                          <w:rPr>
                            <w:rFonts w:ascii="Times New Roman" w:hAnsi="Times New Roman" w:eastAsia="Times New Roman" w:cs="Times New Roman"/>
                            <w:sz w:val="20"/>
                            <w:szCs w:val="20"/>
                          </w:rPr>
                        </w:pPr>
                        <w:r>
                          <w:rPr>
                            <w:spacing w:val="2"/>
                            <w:sz w:val="20"/>
                            <w:szCs w:val="20"/>
                          </w:rPr>
                          <w:t>主柱宽</w:t>
                        </w:r>
                        <w:r>
                          <w:rPr>
                            <w:spacing w:val="-23"/>
                            <w:sz w:val="20"/>
                            <w:szCs w:val="20"/>
                          </w:rPr>
                          <w:t xml:space="preserve"> </w:t>
                        </w:r>
                        <w:r>
                          <w:rPr>
                            <w:rFonts w:ascii="Times New Roman" w:hAnsi="Times New Roman" w:eastAsia="Times New Roman" w:cs="Times New Roman"/>
                            <w:spacing w:val="2"/>
                            <w:sz w:val="20"/>
                            <w:szCs w:val="20"/>
                          </w:rPr>
                          <w:t>1m</w:t>
                        </w:r>
                        <w:r>
                          <w:rPr>
                            <w:rFonts w:ascii="Times New Roman" w:hAnsi="Times New Roman" w:eastAsia="Times New Roman" w:cs="Times New Roman"/>
                            <w:spacing w:val="-24"/>
                            <w:sz w:val="20"/>
                            <w:szCs w:val="20"/>
                          </w:rPr>
                          <w:t xml:space="preserve"> </w:t>
                        </w:r>
                        <w:r>
                          <w:rPr>
                            <w:spacing w:val="2"/>
                            <w:sz w:val="20"/>
                            <w:szCs w:val="20"/>
                          </w:rPr>
                          <w:t>，扩底宽</w:t>
                        </w:r>
                        <w:r>
                          <w:rPr>
                            <w:sz w:val="20"/>
                            <w:szCs w:val="20"/>
                          </w:rPr>
                          <w:t xml:space="preserve"> </w:t>
                        </w:r>
                        <w:r>
                          <w:rPr>
                            <w:rFonts w:ascii="Times New Roman" w:hAnsi="Times New Roman" w:eastAsia="Times New Roman" w:cs="Times New Roman"/>
                            <w:spacing w:val="3"/>
                            <w:sz w:val="20"/>
                            <w:szCs w:val="20"/>
                          </w:rPr>
                          <w:t>2m</w:t>
                        </w:r>
                        <w:r>
                          <w:rPr>
                            <w:rFonts w:ascii="Times New Roman" w:hAnsi="Times New Roman" w:eastAsia="Times New Roman" w:cs="Times New Roman"/>
                            <w:spacing w:val="-17"/>
                            <w:sz w:val="20"/>
                            <w:szCs w:val="20"/>
                          </w:rPr>
                          <w:t xml:space="preserve"> </w:t>
                        </w:r>
                        <w:r>
                          <w:rPr>
                            <w:spacing w:val="3"/>
                            <w:sz w:val="20"/>
                            <w:szCs w:val="20"/>
                          </w:rPr>
                          <w:t>，基础埋深</w:t>
                        </w:r>
                        <w:r>
                          <w:rPr>
                            <w:spacing w:val="-39"/>
                            <w:sz w:val="20"/>
                            <w:szCs w:val="20"/>
                          </w:rPr>
                          <w:t xml:space="preserve"> </w:t>
                        </w:r>
                        <w:r>
                          <w:rPr>
                            <w:rFonts w:ascii="Times New Roman" w:hAnsi="Times New Roman" w:eastAsia="Times New Roman" w:cs="Times New Roman"/>
                            <w:spacing w:val="3"/>
                            <w:sz w:val="20"/>
                            <w:szCs w:val="20"/>
                          </w:rPr>
                          <w:t>3.2m</w:t>
                        </w:r>
                      </w:p>
                    </w:tc>
                  </w:tr>
                  <w:tr w14:paraId="75886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81" w:type="dxa"/>
                        <w:vAlign w:val="top"/>
                      </w:tcPr>
                      <w:p w14:paraId="3F6281AF">
                        <w:pPr>
                          <w:spacing w:before="205"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38" w:type="dxa"/>
                        <w:vAlign w:val="top"/>
                      </w:tcPr>
                      <w:p w14:paraId="641667E6">
                        <w:pPr>
                          <w:spacing w:before="204"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CG</w:t>
                        </w:r>
                        <w:r>
                          <w:rPr>
                            <w:rFonts w:ascii="Times New Roman" w:hAnsi="Times New Roman" w:eastAsia="Times New Roman" w:cs="Times New Roman"/>
                            <w:spacing w:val="5"/>
                            <w:sz w:val="20"/>
                            <w:szCs w:val="20"/>
                          </w:rPr>
                          <w:t>11D-Z2</w:t>
                        </w:r>
                      </w:p>
                    </w:tc>
                    <w:tc>
                      <w:tcPr>
                        <w:tcW w:w="1159" w:type="dxa"/>
                        <w:vAlign w:val="top"/>
                      </w:tcPr>
                      <w:p w14:paraId="22BF47AB">
                        <w:pPr>
                          <w:pStyle w:val="6"/>
                          <w:spacing w:before="33" w:line="233" w:lineRule="auto"/>
                          <w:ind w:left="164" w:right="110" w:hanging="49"/>
                          <w:rPr>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2"/>
                            <w:w w:val="101"/>
                            <w:sz w:val="20"/>
                            <w:szCs w:val="20"/>
                          </w:rPr>
                          <w:t xml:space="preserve"> </w:t>
                        </w:r>
                        <w:r>
                          <w:rPr>
                            <w:spacing w:val="5"/>
                            <w:sz w:val="20"/>
                            <w:szCs w:val="20"/>
                          </w:rPr>
                          <w:t>单回</w:t>
                        </w:r>
                        <w:r>
                          <w:rPr>
                            <w:sz w:val="20"/>
                            <w:szCs w:val="20"/>
                          </w:rPr>
                          <w:t xml:space="preserve"> </w:t>
                        </w:r>
                        <w:r>
                          <w:rPr>
                            <w:spacing w:val="6"/>
                            <w:sz w:val="20"/>
                            <w:szCs w:val="20"/>
                          </w:rPr>
                          <w:t>路直线塔</w:t>
                        </w:r>
                      </w:p>
                    </w:tc>
                    <w:tc>
                      <w:tcPr>
                        <w:tcW w:w="883" w:type="dxa"/>
                        <w:vAlign w:val="top"/>
                      </w:tcPr>
                      <w:p w14:paraId="49201C32">
                        <w:pPr>
                          <w:spacing w:before="205"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47.4</w:t>
                        </w:r>
                      </w:p>
                    </w:tc>
                    <w:tc>
                      <w:tcPr>
                        <w:tcW w:w="864" w:type="dxa"/>
                        <w:vAlign w:val="top"/>
                      </w:tcPr>
                      <w:p w14:paraId="04C14630">
                        <w:pPr>
                          <w:spacing w:before="205"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846" w:type="dxa"/>
                        <w:vAlign w:val="top"/>
                      </w:tcPr>
                      <w:p w14:paraId="63D1CB4C">
                        <w:pPr>
                          <w:spacing w:before="20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096" w:type="dxa"/>
                        <w:tcBorders>
                          <w:right w:val="nil"/>
                        </w:tcBorders>
                        <w:vAlign w:val="top"/>
                      </w:tcPr>
                      <w:p w14:paraId="7862A4BF">
                        <w:pPr>
                          <w:pStyle w:val="6"/>
                          <w:spacing w:before="33" w:line="233" w:lineRule="auto"/>
                          <w:ind w:left="149" w:right="154" w:firstLine="7"/>
                          <w:rPr>
                            <w:rFonts w:ascii="Times New Roman" w:hAnsi="Times New Roman" w:eastAsia="Times New Roman" w:cs="Times New Roman"/>
                            <w:sz w:val="20"/>
                            <w:szCs w:val="20"/>
                          </w:rPr>
                        </w:pPr>
                        <w:r>
                          <w:rPr>
                            <w:spacing w:val="2"/>
                            <w:sz w:val="20"/>
                            <w:szCs w:val="20"/>
                          </w:rPr>
                          <w:t>主柱宽</w:t>
                        </w:r>
                        <w:r>
                          <w:rPr>
                            <w:spacing w:val="-23"/>
                            <w:sz w:val="20"/>
                            <w:szCs w:val="20"/>
                          </w:rPr>
                          <w:t xml:space="preserve"> </w:t>
                        </w:r>
                        <w:r>
                          <w:rPr>
                            <w:rFonts w:ascii="Times New Roman" w:hAnsi="Times New Roman" w:eastAsia="Times New Roman" w:cs="Times New Roman"/>
                            <w:spacing w:val="2"/>
                            <w:sz w:val="20"/>
                            <w:szCs w:val="20"/>
                          </w:rPr>
                          <w:t>1m</w:t>
                        </w:r>
                        <w:r>
                          <w:rPr>
                            <w:rFonts w:ascii="Times New Roman" w:hAnsi="Times New Roman" w:eastAsia="Times New Roman" w:cs="Times New Roman"/>
                            <w:spacing w:val="-24"/>
                            <w:sz w:val="20"/>
                            <w:szCs w:val="20"/>
                          </w:rPr>
                          <w:t xml:space="preserve"> </w:t>
                        </w:r>
                        <w:r>
                          <w:rPr>
                            <w:spacing w:val="2"/>
                            <w:sz w:val="20"/>
                            <w:szCs w:val="20"/>
                          </w:rPr>
                          <w:t>，扩底宽</w:t>
                        </w:r>
                        <w:r>
                          <w:rPr>
                            <w:sz w:val="20"/>
                            <w:szCs w:val="20"/>
                          </w:rPr>
                          <w:t xml:space="preserve"> </w:t>
                        </w:r>
                        <w:r>
                          <w:rPr>
                            <w:rFonts w:ascii="Times New Roman" w:hAnsi="Times New Roman" w:eastAsia="Times New Roman" w:cs="Times New Roman"/>
                            <w:spacing w:val="3"/>
                            <w:sz w:val="20"/>
                            <w:szCs w:val="20"/>
                          </w:rPr>
                          <w:t>2m</w:t>
                        </w:r>
                        <w:r>
                          <w:rPr>
                            <w:rFonts w:ascii="Times New Roman" w:hAnsi="Times New Roman" w:eastAsia="Times New Roman" w:cs="Times New Roman"/>
                            <w:spacing w:val="-17"/>
                            <w:sz w:val="20"/>
                            <w:szCs w:val="20"/>
                          </w:rPr>
                          <w:t xml:space="preserve"> </w:t>
                        </w:r>
                        <w:r>
                          <w:rPr>
                            <w:spacing w:val="3"/>
                            <w:sz w:val="20"/>
                            <w:szCs w:val="20"/>
                          </w:rPr>
                          <w:t>，基础埋深</w:t>
                        </w:r>
                        <w:r>
                          <w:rPr>
                            <w:spacing w:val="-39"/>
                            <w:sz w:val="20"/>
                            <w:szCs w:val="20"/>
                          </w:rPr>
                          <w:t xml:space="preserve"> </w:t>
                        </w:r>
                        <w:r>
                          <w:rPr>
                            <w:rFonts w:ascii="Times New Roman" w:hAnsi="Times New Roman" w:eastAsia="Times New Roman" w:cs="Times New Roman"/>
                            <w:spacing w:val="3"/>
                            <w:sz w:val="20"/>
                            <w:szCs w:val="20"/>
                          </w:rPr>
                          <w:t>3.2m</w:t>
                        </w:r>
                      </w:p>
                    </w:tc>
                  </w:tr>
                  <w:tr w14:paraId="09535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81" w:type="dxa"/>
                        <w:vAlign w:val="top"/>
                      </w:tcPr>
                      <w:p w14:paraId="6113DB35">
                        <w:pPr>
                          <w:spacing w:line="283" w:lineRule="auto"/>
                          <w:rPr>
                            <w:rFonts w:ascii="Arial"/>
                            <w:sz w:val="21"/>
                          </w:rPr>
                        </w:pPr>
                      </w:p>
                      <w:p w14:paraId="5B0B85A5">
                        <w:pPr>
                          <w:spacing w:before="58"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38" w:type="dxa"/>
                        <w:vAlign w:val="top"/>
                      </w:tcPr>
                      <w:p w14:paraId="2E863C34">
                        <w:pPr>
                          <w:spacing w:line="283" w:lineRule="auto"/>
                          <w:rPr>
                            <w:rFonts w:ascii="Arial"/>
                            <w:sz w:val="21"/>
                          </w:rPr>
                        </w:pPr>
                      </w:p>
                      <w:p w14:paraId="39A21D59">
                        <w:pPr>
                          <w:spacing w:before="5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CG</w:t>
                        </w:r>
                        <w:r>
                          <w:rPr>
                            <w:rFonts w:ascii="Times New Roman" w:hAnsi="Times New Roman" w:eastAsia="Times New Roman" w:cs="Times New Roman"/>
                            <w:spacing w:val="4"/>
                            <w:sz w:val="20"/>
                            <w:szCs w:val="20"/>
                          </w:rPr>
                          <w:t>11D-J1</w:t>
                        </w:r>
                      </w:p>
                    </w:tc>
                    <w:tc>
                      <w:tcPr>
                        <w:tcW w:w="1159" w:type="dxa"/>
                        <w:vAlign w:val="top"/>
                      </w:tcPr>
                      <w:p w14:paraId="47A00F6B">
                        <w:pPr>
                          <w:pStyle w:val="6"/>
                          <w:spacing w:before="33" w:line="228" w:lineRule="auto"/>
                          <w:ind w:left="115"/>
                          <w:rPr>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2"/>
                            <w:w w:val="101"/>
                            <w:sz w:val="20"/>
                            <w:szCs w:val="20"/>
                          </w:rPr>
                          <w:t xml:space="preserve"> </w:t>
                        </w:r>
                        <w:r>
                          <w:rPr>
                            <w:spacing w:val="5"/>
                            <w:sz w:val="20"/>
                            <w:szCs w:val="20"/>
                          </w:rPr>
                          <w:t>单回</w:t>
                        </w:r>
                      </w:p>
                      <w:p w14:paraId="2947EBED">
                        <w:pPr>
                          <w:pStyle w:val="6"/>
                          <w:spacing w:before="25" w:line="228" w:lineRule="auto"/>
                          <w:ind w:left="155"/>
                          <w:rPr>
                            <w:rFonts w:ascii="Times New Roman" w:hAnsi="Times New Roman" w:eastAsia="Times New Roman" w:cs="Times New Roman"/>
                            <w:sz w:val="20"/>
                            <w:szCs w:val="20"/>
                          </w:rPr>
                        </w:pPr>
                        <w:r>
                          <w:rPr>
                            <w:spacing w:val="2"/>
                            <w:sz w:val="20"/>
                            <w:szCs w:val="20"/>
                          </w:rPr>
                          <w:t>路</w:t>
                        </w:r>
                        <w:r>
                          <w:rPr>
                            <w:spacing w:val="-35"/>
                            <w:sz w:val="20"/>
                            <w:szCs w:val="20"/>
                          </w:rPr>
                          <w:t xml:space="preserve"> </w:t>
                        </w:r>
                        <w:r>
                          <w:rPr>
                            <w:rFonts w:ascii="Times New Roman" w:hAnsi="Times New Roman" w:eastAsia="Times New Roman" w:cs="Times New Roman"/>
                            <w:spacing w:val="2"/>
                            <w:sz w:val="20"/>
                            <w:szCs w:val="20"/>
                          </w:rPr>
                          <w:t>0°~20°</w:t>
                        </w:r>
                      </w:p>
                      <w:p w14:paraId="48C86422">
                        <w:pPr>
                          <w:pStyle w:val="6"/>
                          <w:spacing w:before="24" w:line="215" w:lineRule="auto"/>
                          <w:ind w:left="269"/>
                          <w:rPr>
                            <w:sz w:val="20"/>
                            <w:szCs w:val="20"/>
                          </w:rPr>
                        </w:pPr>
                        <w:r>
                          <w:rPr>
                            <w:spacing w:val="6"/>
                            <w:sz w:val="20"/>
                            <w:szCs w:val="20"/>
                          </w:rPr>
                          <w:t>转角塔</w:t>
                        </w:r>
                      </w:p>
                    </w:tc>
                    <w:tc>
                      <w:tcPr>
                        <w:tcW w:w="883" w:type="dxa"/>
                        <w:vAlign w:val="top"/>
                      </w:tcPr>
                      <w:p w14:paraId="7DFBD1D5">
                        <w:pPr>
                          <w:spacing w:line="283" w:lineRule="auto"/>
                          <w:rPr>
                            <w:rFonts w:ascii="Arial"/>
                            <w:sz w:val="21"/>
                          </w:rPr>
                        </w:pPr>
                      </w:p>
                      <w:p w14:paraId="6A823930">
                        <w:pPr>
                          <w:spacing w:before="5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864" w:type="dxa"/>
                        <w:vAlign w:val="top"/>
                      </w:tcPr>
                      <w:p w14:paraId="112DDFDA">
                        <w:pPr>
                          <w:spacing w:line="283" w:lineRule="auto"/>
                          <w:rPr>
                            <w:rFonts w:ascii="Arial"/>
                            <w:sz w:val="21"/>
                          </w:rPr>
                        </w:pPr>
                      </w:p>
                      <w:p w14:paraId="5EEDA684">
                        <w:pPr>
                          <w:spacing w:before="58"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46" w:type="dxa"/>
                        <w:vAlign w:val="top"/>
                      </w:tcPr>
                      <w:p w14:paraId="59BA2CF1">
                        <w:pPr>
                          <w:spacing w:line="283" w:lineRule="auto"/>
                          <w:rPr>
                            <w:rFonts w:ascii="Arial"/>
                            <w:sz w:val="21"/>
                          </w:rPr>
                        </w:pPr>
                      </w:p>
                      <w:p w14:paraId="7B190AE0">
                        <w:pPr>
                          <w:spacing w:before="58"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096" w:type="dxa"/>
                        <w:tcBorders>
                          <w:right w:val="nil"/>
                        </w:tcBorders>
                        <w:vAlign w:val="top"/>
                      </w:tcPr>
                      <w:p w14:paraId="5A4C443E">
                        <w:pPr>
                          <w:pStyle w:val="6"/>
                          <w:spacing w:before="170"/>
                          <w:ind w:left="108" w:right="113" w:firstLine="48"/>
                          <w:rPr>
                            <w:rFonts w:ascii="Times New Roman" w:hAnsi="Times New Roman" w:eastAsia="Times New Roman" w:cs="Times New Roman"/>
                            <w:sz w:val="20"/>
                            <w:szCs w:val="20"/>
                          </w:rPr>
                        </w:pPr>
                        <w:r>
                          <w:rPr>
                            <w:spacing w:val="2"/>
                            <w:sz w:val="20"/>
                            <w:szCs w:val="20"/>
                          </w:rPr>
                          <w:t>主柱宽</w:t>
                        </w:r>
                        <w:r>
                          <w:rPr>
                            <w:spacing w:val="-23"/>
                            <w:sz w:val="20"/>
                            <w:szCs w:val="20"/>
                          </w:rPr>
                          <w:t xml:space="preserve"> </w:t>
                        </w:r>
                        <w:r>
                          <w:rPr>
                            <w:rFonts w:ascii="Times New Roman" w:hAnsi="Times New Roman" w:eastAsia="Times New Roman" w:cs="Times New Roman"/>
                            <w:spacing w:val="2"/>
                            <w:sz w:val="20"/>
                            <w:szCs w:val="20"/>
                          </w:rPr>
                          <w:t>1m</w:t>
                        </w:r>
                        <w:r>
                          <w:rPr>
                            <w:rFonts w:ascii="Times New Roman" w:hAnsi="Times New Roman" w:eastAsia="Times New Roman" w:cs="Times New Roman"/>
                            <w:spacing w:val="-24"/>
                            <w:sz w:val="20"/>
                            <w:szCs w:val="20"/>
                          </w:rPr>
                          <w:t xml:space="preserve"> </w:t>
                        </w:r>
                        <w:r>
                          <w:rPr>
                            <w:spacing w:val="2"/>
                            <w:sz w:val="20"/>
                            <w:szCs w:val="20"/>
                          </w:rPr>
                          <w:t>，扩底宽</w:t>
                        </w:r>
                        <w:r>
                          <w:rPr>
                            <w:sz w:val="20"/>
                            <w:szCs w:val="20"/>
                          </w:rPr>
                          <w:t xml:space="preserve"> </w:t>
                        </w:r>
                        <w:r>
                          <w:rPr>
                            <w:rFonts w:ascii="Times New Roman" w:hAnsi="Times New Roman" w:eastAsia="Times New Roman" w:cs="Times New Roman"/>
                            <w:spacing w:val="-1"/>
                            <w:sz w:val="20"/>
                            <w:szCs w:val="20"/>
                          </w:rPr>
                          <w:t>2.4m</w:t>
                        </w:r>
                        <w:r>
                          <w:rPr>
                            <w:spacing w:val="-1"/>
                            <w:sz w:val="20"/>
                            <w:szCs w:val="20"/>
                          </w:rPr>
                          <w:t>，基础埋深</w:t>
                        </w:r>
                        <w:r>
                          <w:rPr>
                            <w:spacing w:val="-28"/>
                            <w:sz w:val="20"/>
                            <w:szCs w:val="20"/>
                          </w:rPr>
                          <w:t xml:space="preserve"> </w:t>
                        </w:r>
                        <w:r>
                          <w:rPr>
                            <w:rFonts w:ascii="Times New Roman" w:hAnsi="Times New Roman" w:eastAsia="Times New Roman" w:cs="Times New Roman"/>
                            <w:spacing w:val="-1"/>
                            <w:sz w:val="20"/>
                            <w:szCs w:val="20"/>
                          </w:rPr>
                          <w:t>3.5m</w:t>
                        </w:r>
                      </w:p>
                    </w:tc>
                  </w:tr>
                  <w:tr w14:paraId="6EA15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81" w:type="dxa"/>
                        <w:vAlign w:val="top"/>
                      </w:tcPr>
                      <w:p w14:paraId="7B7D30F8">
                        <w:pPr>
                          <w:spacing w:line="285" w:lineRule="auto"/>
                          <w:rPr>
                            <w:rFonts w:ascii="Arial"/>
                            <w:sz w:val="21"/>
                          </w:rPr>
                        </w:pPr>
                      </w:p>
                      <w:p w14:paraId="15765ECA">
                        <w:pPr>
                          <w:spacing w:before="58" w:line="192"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38" w:type="dxa"/>
                        <w:vAlign w:val="top"/>
                      </w:tcPr>
                      <w:p w14:paraId="0234E4F8">
                        <w:pPr>
                          <w:spacing w:line="282" w:lineRule="auto"/>
                          <w:rPr>
                            <w:rFonts w:ascii="Arial"/>
                            <w:sz w:val="21"/>
                          </w:rPr>
                        </w:pPr>
                      </w:p>
                      <w:p w14:paraId="6300D056">
                        <w:pPr>
                          <w:spacing w:before="5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CG</w:t>
                        </w:r>
                        <w:r>
                          <w:rPr>
                            <w:rFonts w:ascii="Times New Roman" w:hAnsi="Times New Roman" w:eastAsia="Times New Roman" w:cs="Times New Roman"/>
                            <w:spacing w:val="4"/>
                            <w:sz w:val="20"/>
                            <w:szCs w:val="20"/>
                          </w:rPr>
                          <w:t>11D-J1</w:t>
                        </w:r>
                      </w:p>
                    </w:tc>
                    <w:tc>
                      <w:tcPr>
                        <w:tcW w:w="1159" w:type="dxa"/>
                        <w:vAlign w:val="top"/>
                      </w:tcPr>
                      <w:p w14:paraId="2C6356F4">
                        <w:pPr>
                          <w:pStyle w:val="6"/>
                          <w:spacing w:before="35" w:line="228" w:lineRule="auto"/>
                          <w:ind w:left="115"/>
                          <w:rPr>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2"/>
                            <w:w w:val="101"/>
                            <w:sz w:val="20"/>
                            <w:szCs w:val="20"/>
                          </w:rPr>
                          <w:t xml:space="preserve"> </w:t>
                        </w:r>
                        <w:r>
                          <w:rPr>
                            <w:spacing w:val="5"/>
                            <w:sz w:val="20"/>
                            <w:szCs w:val="20"/>
                          </w:rPr>
                          <w:t>单回</w:t>
                        </w:r>
                      </w:p>
                      <w:p w14:paraId="56B4F110">
                        <w:pPr>
                          <w:pStyle w:val="6"/>
                          <w:spacing w:before="23" w:line="228" w:lineRule="auto"/>
                          <w:ind w:left="155"/>
                          <w:rPr>
                            <w:rFonts w:ascii="Times New Roman" w:hAnsi="Times New Roman" w:eastAsia="Times New Roman" w:cs="Times New Roman"/>
                            <w:sz w:val="20"/>
                            <w:szCs w:val="20"/>
                          </w:rPr>
                        </w:pPr>
                        <w:r>
                          <w:rPr>
                            <w:spacing w:val="2"/>
                            <w:sz w:val="20"/>
                            <w:szCs w:val="20"/>
                          </w:rPr>
                          <w:t>路</w:t>
                        </w:r>
                        <w:r>
                          <w:rPr>
                            <w:spacing w:val="-35"/>
                            <w:sz w:val="20"/>
                            <w:szCs w:val="20"/>
                          </w:rPr>
                          <w:t xml:space="preserve"> </w:t>
                        </w:r>
                        <w:r>
                          <w:rPr>
                            <w:rFonts w:ascii="Times New Roman" w:hAnsi="Times New Roman" w:eastAsia="Times New Roman" w:cs="Times New Roman"/>
                            <w:spacing w:val="2"/>
                            <w:sz w:val="20"/>
                            <w:szCs w:val="20"/>
                          </w:rPr>
                          <w:t>0°~20°</w:t>
                        </w:r>
                      </w:p>
                      <w:p w14:paraId="5AB76C50">
                        <w:pPr>
                          <w:pStyle w:val="6"/>
                          <w:spacing w:before="24" w:line="216" w:lineRule="auto"/>
                          <w:ind w:left="269"/>
                          <w:rPr>
                            <w:sz w:val="20"/>
                            <w:szCs w:val="20"/>
                          </w:rPr>
                        </w:pPr>
                        <w:r>
                          <w:rPr>
                            <w:spacing w:val="6"/>
                            <w:sz w:val="20"/>
                            <w:szCs w:val="20"/>
                          </w:rPr>
                          <w:t>转角塔</w:t>
                        </w:r>
                      </w:p>
                    </w:tc>
                    <w:tc>
                      <w:tcPr>
                        <w:tcW w:w="883" w:type="dxa"/>
                        <w:vAlign w:val="top"/>
                      </w:tcPr>
                      <w:p w14:paraId="179D8887">
                        <w:pPr>
                          <w:spacing w:line="282" w:lineRule="auto"/>
                          <w:rPr>
                            <w:rFonts w:ascii="Arial"/>
                            <w:sz w:val="21"/>
                          </w:rPr>
                        </w:pPr>
                      </w:p>
                      <w:p w14:paraId="614E42DE">
                        <w:pPr>
                          <w:spacing w:before="5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864" w:type="dxa"/>
                        <w:vAlign w:val="top"/>
                      </w:tcPr>
                      <w:p w14:paraId="5C32F4D7">
                        <w:pPr>
                          <w:spacing w:line="282" w:lineRule="auto"/>
                          <w:rPr>
                            <w:rFonts w:ascii="Arial"/>
                            <w:sz w:val="21"/>
                          </w:rPr>
                        </w:pPr>
                      </w:p>
                      <w:p w14:paraId="14BCDEF5">
                        <w:pPr>
                          <w:spacing w:before="58"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846" w:type="dxa"/>
                        <w:vAlign w:val="top"/>
                      </w:tcPr>
                      <w:p w14:paraId="0D952CD2">
                        <w:pPr>
                          <w:spacing w:line="282" w:lineRule="auto"/>
                          <w:rPr>
                            <w:rFonts w:ascii="Arial"/>
                            <w:sz w:val="21"/>
                          </w:rPr>
                        </w:pPr>
                      </w:p>
                      <w:p w14:paraId="5B09768A">
                        <w:pPr>
                          <w:spacing w:before="58"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096" w:type="dxa"/>
                        <w:tcBorders>
                          <w:right w:val="nil"/>
                        </w:tcBorders>
                        <w:vAlign w:val="top"/>
                      </w:tcPr>
                      <w:p w14:paraId="105BF356">
                        <w:pPr>
                          <w:pStyle w:val="6"/>
                          <w:spacing w:before="170" w:line="241" w:lineRule="auto"/>
                          <w:ind w:left="108" w:right="113" w:firstLine="48"/>
                          <w:rPr>
                            <w:rFonts w:ascii="Times New Roman" w:hAnsi="Times New Roman" w:eastAsia="Times New Roman" w:cs="Times New Roman"/>
                            <w:sz w:val="20"/>
                            <w:szCs w:val="20"/>
                          </w:rPr>
                        </w:pPr>
                        <w:r>
                          <w:rPr>
                            <w:spacing w:val="2"/>
                            <w:sz w:val="20"/>
                            <w:szCs w:val="20"/>
                          </w:rPr>
                          <w:t>主柱宽</w:t>
                        </w:r>
                        <w:r>
                          <w:rPr>
                            <w:spacing w:val="-23"/>
                            <w:sz w:val="20"/>
                            <w:szCs w:val="20"/>
                          </w:rPr>
                          <w:t xml:space="preserve"> </w:t>
                        </w:r>
                        <w:r>
                          <w:rPr>
                            <w:rFonts w:ascii="Times New Roman" w:hAnsi="Times New Roman" w:eastAsia="Times New Roman" w:cs="Times New Roman"/>
                            <w:spacing w:val="2"/>
                            <w:sz w:val="20"/>
                            <w:szCs w:val="20"/>
                          </w:rPr>
                          <w:t>1m</w:t>
                        </w:r>
                        <w:r>
                          <w:rPr>
                            <w:rFonts w:ascii="Times New Roman" w:hAnsi="Times New Roman" w:eastAsia="Times New Roman" w:cs="Times New Roman"/>
                            <w:spacing w:val="-24"/>
                            <w:sz w:val="20"/>
                            <w:szCs w:val="20"/>
                          </w:rPr>
                          <w:t xml:space="preserve"> </w:t>
                        </w:r>
                        <w:r>
                          <w:rPr>
                            <w:spacing w:val="2"/>
                            <w:sz w:val="20"/>
                            <w:szCs w:val="20"/>
                          </w:rPr>
                          <w:t>，扩底宽</w:t>
                        </w:r>
                        <w:r>
                          <w:rPr>
                            <w:sz w:val="20"/>
                            <w:szCs w:val="20"/>
                          </w:rPr>
                          <w:t xml:space="preserve"> </w:t>
                        </w:r>
                        <w:r>
                          <w:rPr>
                            <w:rFonts w:ascii="Times New Roman" w:hAnsi="Times New Roman" w:eastAsia="Times New Roman" w:cs="Times New Roman"/>
                            <w:spacing w:val="-1"/>
                            <w:sz w:val="20"/>
                            <w:szCs w:val="20"/>
                          </w:rPr>
                          <w:t>2.4m</w:t>
                        </w:r>
                        <w:r>
                          <w:rPr>
                            <w:spacing w:val="-1"/>
                            <w:sz w:val="20"/>
                            <w:szCs w:val="20"/>
                          </w:rPr>
                          <w:t>，基础埋深</w:t>
                        </w:r>
                        <w:r>
                          <w:rPr>
                            <w:spacing w:val="-28"/>
                            <w:sz w:val="20"/>
                            <w:szCs w:val="20"/>
                          </w:rPr>
                          <w:t xml:space="preserve"> </w:t>
                        </w:r>
                        <w:r>
                          <w:rPr>
                            <w:rFonts w:ascii="Times New Roman" w:hAnsi="Times New Roman" w:eastAsia="Times New Roman" w:cs="Times New Roman"/>
                            <w:spacing w:val="-1"/>
                            <w:sz w:val="20"/>
                            <w:szCs w:val="20"/>
                          </w:rPr>
                          <w:t>3.5m</w:t>
                        </w:r>
                      </w:p>
                    </w:tc>
                  </w:tr>
                  <w:tr w14:paraId="25E5C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81" w:type="dxa"/>
                        <w:vAlign w:val="top"/>
                      </w:tcPr>
                      <w:p w14:paraId="1E53E4FB">
                        <w:pPr>
                          <w:spacing w:line="284" w:lineRule="auto"/>
                          <w:rPr>
                            <w:rFonts w:ascii="Arial"/>
                            <w:sz w:val="21"/>
                          </w:rPr>
                        </w:pPr>
                      </w:p>
                      <w:p w14:paraId="78C10A9C">
                        <w:pPr>
                          <w:spacing w:before="57"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38" w:type="dxa"/>
                        <w:vAlign w:val="top"/>
                      </w:tcPr>
                      <w:p w14:paraId="629BCE44">
                        <w:pPr>
                          <w:spacing w:line="284" w:lineRule="auto"/>
                          <w:rPr>
                            <w:rFonts w:ascii="Arial"/>
                            <w:sz w:val="21"/>
                          </w:rPr>
                        </w:pPr>
                      </w:p>
                      <w:p w14:paraId="45C78797">
                        <w:pPr>
                          <w:spacing w:before="5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CG</w:t>
                        </w:r>
                        <w:r>
                          <w:rPr>
                            <w:rFonts w:ascii="Times New Roman" w:hAnsi="Times New Roman" w:eastAsia="Times New Roman" w:cs="Times New Roman"/>
                            <w:spacing w:val="4"/>
                            <w:sz w:val="20"/>
                            <w:szCs w:val="20"/>
                          </w:rPr>
                          <w:t>11D-J2</w:t>
                        </w:r>
                      </w:p>
                    </w:tc>
                    <w:tc>
                      <w:tcPr>
                        <w:tcW w:w="1159" w:type="dxa"/>
                        <w:vAlign w:val="top"/>
                      </w:tcPr>
                      <w:p w14:paraId="43FDA0A4">
                        <w:pPr>
                          <w:pStyle w:val="6"/>
                          <w:spacing w:before="34" w:line="228" w:lineRule="auto"/>
                          <w:ind w:left="115"/>
                          <w:rPr>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2"/>
                            <w:w w:val="101"/>
                            <w:sz w:val="20"/>
                            <w:szCs w:val="20"/>
                          </w:rPr>
                          <w:t xml:space="preserve"> </w:t>
                        </w:r>
                        <w:r>
                          <w:rPr>
                            <w:spacing w:val="5"/>
                            <w:sz w:val="20"/>
                            <w:szCs w:val="20"/>
                          </w:rPr>
                          <w:t>单回</w:t>
                        </w:r>
                      </w:p>
                      <w:p w14:paraId="732A9485">
                        <w:pPr>
                          <w:pStyle w:val="6"/>
                          <w:spacing w:before="25" w:line="228" w:lineRule="auto"/>
                          <w:ind w:left="114"/>
                          <w:rPr>
                            <w:rFonts w:ascii="Times New Roman" w:hAnsi="Times New Roman" w:eastAsia="Times New Roman" w:cs="Times New Roman"/>
                            <w:sz w:val="20"/>
                            <w:szCs w:val="20"/>
                          </w:rPr>
                        </w:pPr>
                        <w:r>
                          <w:rPr>
                            <w:spacing w:val="8"/>
                            <w:sz w:val="20"/>
                            <w:szCs w:val="20"/>
                          </w:rPr>
                          <w:t>路</w:t>
                        </w:r>
                        <w:r>
                          <w:rPr>
                            <w:rFonts w:ascii="Times New Roman" w:hAnsi="Times New Roman" w:eastAsia="Times New Roman" w:cs="Times New Roman"/>
                            <w:spacing w:val="8"/>
                            <w:sz w:val="20"/>
                            <w:szCs w:val="20"/>
                          </w:rPr>
                          <w:t>20°~40°</w:t>
                        </w:r>
                      </w:p>
                      <w:p w14:paraId="6C97D171">
                        <w:pPr>
                          <w:pStyle w:val="6"/>
                          <w:spacing w:before="24" w:line="214" w:lineRule="auto"/>
                          <w:ind w:left="269"/>
                          <w:rPr>
                            <w:sz w:val="20"/>
                            <w:szCs w:val="20"/>
                          </w:rPr>
                        </w:pPr>
                        <w:r>
                          <w:rPr>
                            <w:spacing w:val="6"/>
                            <w:sz w:val="20"/>
                            <w:szCs w:val="20"/>
                          </w:rPr>
                          <w:t>转角塔</w:t>
                        </w:r>
                      </w:p>
                    </w:tc>
                    <w:tc>
                      <w:tcPr>
                        <w:tcW w:w="883" w:type="dxa"/>
                        <w:vAlign w:val="top"/>
                      </w:tcPr>
                      <w:p w14:paraId="6C2C8915">
                        <w:pPr>
                          <w:spacing w:line="284" w:lineRule="auto"/>
                          <w:rPr>
                            <w:rFonts w:ascii="Arial"/>
                            <w:sz w:val="21"/>
                          </w:rPr>
                        </w:pPr>
                      </w:p>
                      <w:p w14:paraId="44BB9FAA">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42.</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864" w:type="dxa"/>
                        <w:vAlign w:val="top"/>
                      </w:tcPr>
                      <w:p w14:paraId="408E72B4">
                        <w:pPr>
                          <w:spacing w:line="284" w:lineRule="auto"/>
                          <w:rPr>
                            <w:rFonts w:ascii="Arial"/>
                            <w:sz w:val="21"/>
                          </w:rPr>
                        </w:pPr>
                      </w:p>
                      <w:p w14:paraId="793A6E6D">
                        <w:pPr>
                          <w:spacing w:before="57"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846" w:type="dxa"/>
                        <w:vAlign w:val="top"/>
                      </w:tcPr>
                      <w:p w14:paraId="07E8065F">
                        <w:pPr>
                          <w:spacing w:line="284" w:lineRule="auto"/>
                          <w:rPr>
                            <w:rFonts w:ascii="Arial"/>
                            <w:sz w:val="21"/>
                          </w:rPr>
                        </w:pPr>
                      </w:p>
                      <w:p w14:paraId="2345EADF">
                        <w:pPr>
                          <w:spacing w:before="5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096" w:type="dxa"/>
                        <w:tcBorders>
                          <w:right w:val="nil"/>
                        </w:tcBorders>
                        <w:vAlign w:val="top"/>
                      </w:tcPr>
                      <w:p w14:paraId="4778B327">
                        <w:pPr>
                          <w:pStyle w:val="6"/>
                          <w:spacing w:before="171"/>
                          <w:ind w:left="108" w:right="113" w:firstLine="48"/>
                          <w:rPr>
                            <w:rFonts w:ascii="Times New Roman" w:hAnsi="Times New Roman" w:eastAsia="Times New Roman" w:cs="Times New Roman"/>
                            <w:sz w:val="20"/>
                            <w:szCs w:val="20"/>
                          </w:rPr>
                        </w:pPr>
                        <w:r>
                          <w:rPr>
                            <w:spacing w:val="2"/>
                            <w:sz w:val="20"/>
                            <w:szCs w:val="20"/>
                          </w:rPr>
                          <w:t>主柱宽</w:t>
                        </w:r>
                        <w:r>
                          <w:rPr>
                            <w:spacing w:val="-23"/>
                            <w:sz w:val="20"/>
                            <w:szCs w:val="20"/>
                          </w:rPr>
                          <w:t xml:space="preserve"> </w:t>
                        </w:r>
                        <w:r>
                          <w:rPr>
                            <w:rFonts w:ascii="Times New Roman" w:hAnsi="Times New Roman" w:eastAsia="Times New Roman" w:cs="Times New Roman"/>
                            <w:spacing w:val="2"/>
                            <w:sz w:val="20"/>
                            <w:szCs w:val="20"/>
                          </w:rPr>
                          <w:t>1m</w:t>
                        </w:r>
                        <w:r>
                          <w:rPr>
                            <w:rFonts w:ascii="Times New Roman" w:hAnsi="Times New Roman" w:eastAsia="Times New Roman" w:cs="Times New Roman"/>
                            <w:spacing w:val="-24"/>
                            <w:sz w:val="20"/>
                            <w:szCs w:val="20"/>
                          </w:rPr>
                          <w:t xml:space="preserve"> </w:t>
                        </w:r>
                        <w:r>
                          <w:rPr>
                            <w:spacing w:val="2"/>
                            <w:sz w:val="20"/>
                            <w:szCs w:val="20"/>
                          </w:rPr>
                          <w:t>，扩底宽</w:t>
                        </w:r>
                        <w:r>
                          <w:rPr>
                            <w:sz w:val="20"/>
                            <w:szCs w:val="20"/>
                          </w:rPr>
                          <w:t xml:space="preserve"> </w:t>
                        </w:r>
                        <w:r>
                          <w:rPr>
                            <w:rFonts w:ascii="Times New Roman" w:hAnsi="Times New Roman" w:eastAsia="Times New Roman" w:cs="Times New Roman"/>
                            <w:sz w:val="20"/>
                            <w:szCs w:val="20"/>
                          </w:rPr>
                          <w:t>2.6m</w:t>
                        </w:r>
                        <w:r>
                          <w:rPr>
                            <w:sz w:val="20"/>
                            <w:szCs w:val="20"/>
                          </w:rPr>
                          <w:t>，基础埋深</w:t>
                        </w:r>
                        <w:r>
                          <w:rPr>
                            <w:spacing w:val="-41"/>
                            <w:sz w:val="20"/>
                            <w:szCs w:val="20"/>
                          </w:rPr>
                          <w:t xml:space="preserve"> </w:t>
                        </w:r>
                        <w:r>
                          <w:rPr>
                            <w:rFonts w:ascii="Times New Roman" w:hAnsi="Times New Roman" w:eastAsia="Times New Roman" w:cs="Times New Roman"/>
                            <w:sz w:val="20"/>
                            <w:szCs w:val="20"/>
                          </w:rPr>
                          <w:t>4.0m</w:t>
                        </w:r>
                      </w:p>
                    </w:tc>
                  </w:tr>
                  <w:tr w14:paraId="22263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81" w:type="dxa"/>
                        <w:vAlign w:val="top"/>
                      </w:tcPr>
                      <w:p w14:paraId="4051E9E2">
                        <w:pPr>
                          <w:spacing w:line="286" w:lineRule="auto"/>
                          <w:rPr>
                            <w:rFonts w:ascii="Arial"/>
                            <w:sz w:val="21"/>
                          </w:rPr>
                        </w:pPr>
                      </w:p>
                      <w:p w14:paraId="72BF49B5">
                        <w:pPr>
                          <w:spacing w:before="57" w:line="192"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38" w:type="dxa"/>
                        <w:vAlign w:val="top"/>
                      </w:tcPr>
                      <w:p w14:paraId="584003D1">
                        <w:pPr>
                          <w:spacing w:line="283" w:lineRule="auto"/>
                          <w:rPr>
                            <w:rFonts w:ascii="Arial"/>
                            <w:sz w:val="21"/>
                          </w:rPr>
                        </w:pPr>
                      </w:p>
                      <w:p w14:paraId="7A3620E4">
                        <w:pPr>
                          <w:spacing w:before="5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CG</w:t>
                        </w:r>
                        <w:r>
                          <w:rPr>
                            <w:rFonts w:ascii="Times New Roman" w:hAnsi="Times New Roman" w:eastAsia="Times New Roman" w:cs="Times New Roman"/>
                            <w:spacing w:val="4"/>
                            <w:sz w:val="20"/>
                            <w:szCs w:val="20"/>
                          </w:rPr>
                          <w:t>11D-J4</w:t>
                        </w:r>
                      </w:p>
                    </w:tc>
                    <w:tc>
                      <w:tcPr>
                        <w:tcW w:w="1159" w:type="dxa"/>
                        <w:vAlign w:val="top"/>
                      </w:tcPr>
                      <w:p w14:paraId="580CA424">
                        <w:pPr>
                          <w:pStyle w:val="6"/>
                          <w:spacing w:before="36" w:line="228" w:lineRule="auto"/>
                          <w:ind w:left="115"/>
                          <w:rPr>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2"/>
                            <w:w w:val="101"/>
                            <w:sz w:val="20"/>
                            <w:szCs w:val="20"/>
                          </w:rPr>
                          <w:t xml:space="preserve"> </w:t>
                        </w:r>
                        <w:r>
                          <w:rPr>
                            <w:spacing w:val="5"/>
                            <w:sz w:val="20"/>
                            <w:szCs w:val="20"/>
                          </w:rPr>
                          <w:t>单回</w:t>
                        </w:r>
                      </w:p>
                      <w:p w14:paraId="63BDADDD">
                        <w:pPr>
                          <w:pStyle w:val="6"/>
                          <w:spacing w:before="23" w:line="228" w:lineRule="auto"/>
                          <w:ind w:left="131"/>
                          <w:rPr>
                            <w:sz w:val="20"/>
                            <w:szCs w:val="20"/>
                          </w:rPr>
                        </w:pPr>
                        <w:r>
                          <w:rPr>
                            <w:spacing w:val="1"/>
                            <w:sz w:val="20"/>
                            <w:szCs w:val="20"/>
                          </w:rPr>
                          <w:t>路</w:t>
                        </w:r>
                        <w:r>
                          <w:rPr>
                            <w:spacing w:val="-39"/>
                            <w:sz w:val="20"/>
                            <w:szCs w:val="20"/>
                          </w:rPr>
                          <w:t xml:space="preserve"> </w:t>
                        </w:r>
                        <w:r>
                          <w:rPr>
                            <w:rFonts w:ascii="Times New Roman" w:hAnsi="Times New Roman" w:eastAsia="Times New Roman" w:cs="Times New Roman"/>
                            <w:spacing w:val="1"/>
                            <w:sz w:val="20"/>
                            <w:szCs w:val="20"/>
                          </w:rPr>
                          <w:t>0-90</w:t>
                        </w:r>
                        <w:r>
                          <w:rPr>
                            <w:rFonts w:ascii="Times New Roman" w:hAnsi="Times New Roman" w:eastAsia="Times New Roman" w:cs="Times New Roman"/>
                            <w:spacing w:val="15"/>
                            <w:sz w:val="20"/>
                            <w:szCs w:val="20"/>
                          </w:rPr>
                          <w:t xml:space="preserve"> </w:t>
                        </w:r>
                        <w:r>
                          <w:rPr>
                            <w:spacing w:val="1"/>
                            <w:sz w:val="20"/>
                            <w:szCs w:val="20"/>
                          </w:rPr>
                          <w:t>终</w:t>
                        </w:r>
                      </w:p>
                      <w:p w14:paraId="4AD5466B">
                        <w:pPr>
                          <w:pStyle w:val="6"/>
                          <w:spacing w:before="26" w:line="213" w:lineRule="auto"/>
                          <w:ind w:left="375"/>
                          <w:rPr>
                            <w:sz w:val="20"/>
                            <w:szCs w:val="20"/>
                          </w:rPr>
                        </w:pPr>
                        <w:r>
                          <w:rPr>
                            <w:spacing w:val="4"/>
                            <w:sz w:val="20"/>
                            <w:szCs w:val="20"/>
                          </w:rPr>
                          <w:t>端塔</w:t>
                        </w:r>
                      </w:p>
                    </w:tc>
                    <w:tc>
                      <w:tcPr>
                        <w:tcW w:w="883" w:type="dxa"/>
                        <w:vAlign w:val="top"/>
                      </w:tcPr>
                      <w:p w14:paraId="30A126D2">
                        <w:pPr>
                          <w:spacing w:line="283" w:lineRule="auto"/>
                          <w:rPr>
                            <w:rFonts w:ascii="Arial"/>
                            <w:sz w:val="21"/>
                          </w:rPr>
                        </w:pPr>
                      </w:p>
                      <w:p w14:paraId="743D35E4">
                        <w:pPr>
                          <w:spacing w:before="57"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864" w:type="dxa"/>
                        <w:vAlign w:val="top"/>
                      </w:tcPr>
                      <w:p w14:paraId="714A324E">
                        <w:pPr>
                          <w:spacing w:line="283" w:lineRule="auto"/>
                          <w:rPr>
                            <w:rFonts w:ascii="Arial"/>
                            <w:sz w:val="21"/>
                          </w:rPr>
                        </w:pPr>
                      </w:p>
                      <w:p w14:paraId="3CD7C4D2">
                        <w:pPr>
                          <w:spacing w:before="5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46" w:type="dxa"/>
                        <w:vAlign w:val="top"/>
                      </w:tcPr>
                      <w:p w14:paraId="227FA60B">
                        <w:pPr>
                          <w:spacing w:line="283" w:lineRule="auto"/>
                          <w:rPr>
                            <w:rFonts w:ascii="Arial"/>
                            <w:sz w:val="21"/>
                          </w:rPr>
                        </w:pPr>
                      </w:p>
                      <w:p w14:paraId="09EEE30F">
                        <w:pPr>
                          <w:spacing w:before="57"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096" w:type="dxa"/>
                        <w:tcBorders>
                          <w:right w:val="nil"/>
                        </w:tcBorders>
                        <w:vAlign w:val="top"/>
                      </w:tcPr>
                      <w:p w14:paraId="3F9AF4FB">
                        <w:pPr>
                          <w:pStyle w:val="6"/>
                          <w:spacing w:before="173"/>
                          <w:ind w:left="108" w:right="113" w:firstLine="5"/>
                          <w:rPr>
                            <w:rFonts w:ascii="Times New Roman" w:hAnsi="Times New Roman" w:eastAsia="Times New Roman" w:cs="Times New Roman"/>
                            <w:sz w:val="20"/>
                            <w:szCs w:val="20"/>
                          </w:rPr>
                        </w:pPr>
                        <w:r>
                          <w:rPr>
                            <w:spacing w:val="-2"/>
                            <w:sz w:val="20"/>
                            <w:szCs w:val="20"/>
                          </w:rPr>
                          <w:t>主柱宽</w:t>
                        </w:r>
                        <w:r>
                          <w:rPr>
                            <w:spacing w:val="-20"/>
                            <w:sz w:val="20"/>
                            <w:szCs w:val="20"/>
                          </w:rPr>
                          <w:t xml:space="preserve"> </w:t>
                        </w:r>
                        <w:r>
                          <w:rPr>
                            <w:rFonts w:ascii="Times New Roman" w:hAnsi="Times New Roman" w:eastAsia="Times New Roman" w:cs="Times New Roman"/>
                            <w:spacing w:val="-2"/>
                            <w:sz w:val="20"/>
                            <w:szCs w:val="20"/>
                          </w:rPr>
                          <w:t>1.2m</w:t>
                        </w:r>
                        <w:r>
                          <w:rPr>
                            <w:spacing w:val="-2"/>
                            <w:sz w:val="20"/>
                            <w:szCs w:val="20"/>
                          </w:rPr>
                          <w:t>，扩底宽</w:t>
                        </w:r>
                        <w:r>
                          <w:rPr>
                            <w:sz w:val="20"/>
                            <w:szCs w:val="20"/>
                          </w:rPr>
                          <w:t xml:space="preserve"> </w:t>
                        </w:r>
                        <w:r>
                          <w:rPr>
                            <w:rFonts w:ascii="Times New Roman" w:hAnsi="Times New Roman" w:eastAsia="Times New Roman" w:cs="Times New Roman"/>
                            <w:sz w:val="20"/>
                            <w:szCs w:val="20"/>
                          </w:rPr>
                          <w:t>2.6m</w:t>
                        </w:r>
                        <w:r>
                          <w:rPr>
                            <w:sz w:val="20"/>
                            <w:szCs w:val="20"/>
                          </w:rPr>
                          <w:t>，基础埋深</w:t>
                        </w:r>
                        <w:r>
                          <w:rPr>
                            <w:spacing w:val="-41"/>
                            <w:sz w:val="20"/>
                            <w:szCs w:val="20"/>
                          </w:rPr>
                          <w:t xml:space="preserve"> </w:t>
                        </w:r>
                        <w:r>
                          <w:rPr>
                            <w:rFonts w:ascii="Times New Roman" w:hAnsi="Times New Roman" w:eastAsia="Times New Roman" w:cs="Times New Roman"/>
                            <w:sz w:val="20"/>
                            <w:szCs w:val="20"/>
                          </w:rPr>
                          <w:t>4.0m</w:t>
                        </w:r>
                      </w:p>
                    </w:tc>
                  </w:tr>
                  <w:tr w14:paraId="6728C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81" w:type="dxa"/>
                        <w:vAlign w:val="top"/>
                      </w:tcPr>
                      <w:p w14:paraId="2B4F6E12">
                        <w:pPr>
                          <w:spacing w:line="284" w:lineRule="auto"/>
                          <w:rPr>
                            <w:rFonts w:ascii="Arial"/>
                            <w:sz w:val="21"/>
                          </w:rPr>
                        </w:pPr>
                      </w:p>
                      <w:p w14:paraId="4D0CCA83">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38" w:type="dxa"/>
                        <w:vAlign w:val="top"/>
                      </w:tcPr>
                      <w:p w14:paraId="2B34B358">
                        <w:pPr>
                          <w:pStyle w:val="6"/>
                          <w:spacing w:before="37" w:line="227" w:lineRule="auto"/>
                          <w:ind w:left="141"/>
                          <w:rPr>
                            <w:sz w:val="20"/>
                            <w:szCs w:val="20"/>
                          </w:rPr>
                        </w:pPr>
                        <w:r>
                          <w:rPr>
                            <w:spacing w:val="8"/>
                            <w:sz w:val="20"/>
                            <w:szCs w:val="20"/>
                          </w:rPr>
                          <w:t>登塔附件及防盗</w:t>
                        </w:r>
                      </w:p>
                      <w:p w14:paraId="10BC35F2">
                        <w:pPr>
                          <w:pStyle w:val="6"/>
                          <w:spacing w:before="25" w:line="221" w:lineRule="auto"/>
                          <w:ind w:left="132"/>
                          <w:rPr>
                            <w:sz w:val="20"/>
                            <w:szCs w:val="20"/>
                          </w:rPr>
                        </w:pPr>
                        <w:r>
                          <w:rPr>
                            <w:spacing w:val="3"/>
                            <w:sz w:val="20"/>
                            <w:szCs w:val="20"/>
                          </w:rPr>
                          <w:t>螺栓增重</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31"/>
                            <w:sz w:val="20"/>
                            <w:szCs w:val="20"/>
                          </w:rPr>
                          <w:t xml:space="preserve"> </w:t>
                        </w:r>
                        <w:r>
                          <w:rPr>
                            <w:spacing w:val="3"/>
                            <w:sz w:val="20"/>
                            <w:szCs w:val="20"/>
                          </w:rPr>
                          <w:t>回登</w:t>
                        </w:r>
                      </w:p>
                      <w:p w14:paraId="0192BFC3">
                        <w:pPr>
                          <w:pStyle w:val="6"/>
                          <w:spacing w:before="31" w:line="214" w:lineRule="auto"/>
                          <w:ind w:left="732"/>
                          <w:rPr>
                            <w:rFonts w:ascii="Times New Roman" w:hAnsi="Times New Roman" w:eastAsia="Times New Roman" w:cs="Times New Roman"/>
                            <w:sz w:val="20"/>
                            <w:szCs w:val="20"/>
                          </w:rPr>
                        </w:pPr>
                        <w:r>
                          <w:rPr>
                            <w:spacing w:val="3"/>
                            <w:sz w:val="20"/>
                            <w:szCs w:val="20"/>
                          </w:rPr>
                          <w:t>塔</w:t>
                        </w:r>
                        <w:r>
                          <w:rPr>
                            <w:rFonts w:ascii="Times New Roman" w:hAnsi="Times New Roman" w:eastAsia="Times New Roman" w:cs="Times New Roman"/>
                            <w:spacing w:val="3"/>
                            <w:sz w:val="20"/>
                            <w:szCs w:val="20"/>
                          </w:rPr>
                          <w:t>)</w:t>
                        </w:r>
                      </w:p>
                    </w:tc>
                    <w:tc>
                      <w:tcPr>
                        <w:tcW w:w="1159" w:type="dxa"/>
                        <w:vAlign w:val="top"/>
                      </w:tcPr>
                      <w:p w14:paraId="031B6DB1">
                        <w:pPr>
                          <w:rPr>
                            <w:rFonts w:ascii="Arial"/>
                            <w:sz w:val="21"/>
                          </w:rPr>
                        </w:pPr>
                      </w:p>
                    </w:tc>
                    <w:tc>
                      <w:tcPr>
                        <w:tcW w:w="883" w:type="dxa"/>
                        <w:vAlign w:val="top"/>
                      </w:tcPr>
                      <w:p w14:paraId="1FC3EF60">
                        <w:pPr>
                          <w:rPr>
                            <w:rFonts w:ascii="Arial"/>
                            <w:sz w:val="21"/>
                          </w:rPr>
                        </w:pPr>
                      </w:p>
                    </w:tc>
                    <w:tc>
                      <w:tcPr>
                        <w:tcW w:w="864" w:type="dxa"/>
                        <w:vAlign w:val="top"/>
                      </w:tcPr>
                      <w:p w14:paraId="1B12BAC6">
                        <w:pPr>
                          <w:rPr>
                            <w:rFonts w:ascii="Arial"/>
                            <w:sz w:val="21"/>
                          </w:rPr>
                        </w:pPr>
                      </w:p>
                    </w:tc>
                    <w:tc>
                      <w:tcPr>
                        <w:tcW w:w="846" w:type="dxa"/>
                        <w:vAlign w:val="top"/>
                      </w:tcPr>
                      <w:p w14:paraId="43C90BE6">
                        <w:pPr>
                          <w:spacing w:line="242" w:lineRule="auto"/>
                          <w:rPr>
                            <w:rFonts w:ascii="Arial"/>
                            <w:sz w:val="21"/>
                          </w:rPr>
                        </w:pPr>
                      </w:p>
                      <w:p w14:paraId="5CF1381F">
                        <w:pPr>
                          <w:pStyle w:val="6"/>
                          <w:spacing w:before="65" w:line="228" w:lineRule="auto"/>
                          <w:ind w:left="206"/>
                          <w:rPr>
                            <w:sz w:val="20"/>
                            <w:szCs w:val="20"/>
                          </w:rPr>
                        </w:pPr>
                        <w:r>
                          <w:rPr>
                            <w:rFonts w:ascii="Times New Roman" w:hAnsi="Times New Roman" w:eastAsia="Times New Roman" w:cs="Times New Roman"/>
                            <w:spacing w:val="-5"/>
                            <w:sz w:val="20"/>
                            <w:szCs w:val="20"/>
                          </w:rPr>
                          <w:t>19</w:t>
                        </w:r>
                        <w:r>
                          <w:rPr>
                            <w:rFonts w:ascii="Times New Roman" w:hAnsi="Times New Roman" w:eastAsia="Times New Roman" w:cs="Times New Roman"/>
                            <w:spacing w:val="13"/>
                            <w:sz w:val="20"/>
                            <w:szCs w:val="20"/>
                          </w:rPr>
                          <w:t xml:space="preserve"> </w:t>
                        </w:r>
                        <w:r>
                          <w:rPr>
                            <w:spacing w:val="-5"/>
                            <w:sz w:val="20"/>
                            <w:szCs w:val="20"/>
                          </w:rPr>
                          <w:t>项</w:t>
                        </w:r>
                      </w:p>
                    </w:tc>
                    <w:tc>
                      <w:tcPr>
                        <w:tcW w:w="2096" w:type="dxa"/>
                        <w:tcBorders>
                          <w:right w:val="nil"/>
                        </w:tcBorders>
                        <w:vAlign w:val="top"/>
                      </w:tcPr>
                      <w:p w14:paraId="114FC58C">
                        <w:pPr>
                          <w:spacing w:line="281" w:lineRule="auto"/>
                          <w:rPr>
                            <w:rFonts w:ascii="Arial"/>
                            <w:sz w:val="21"/>
                          </w:rPr>
                        </w:pPr>
                      </w:p>
                      <w:p w14:paraId="51E4C2F7">
                        <w:pPr>
                          <w:spacing w:before="57" w:line="199" w:lineRule="auto"/>
                          <w:ind w:left="10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2136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81" w:type="dxa"/>
                        <w:textDirection w:val="tbRlV"/>
                        <w:vAlign w:val="top"/>
                      </w:tcPr>
                      <w:p w14:paraId="6776D956">
                        <w:pPr>
                          <w:pStyle w:val="6"/>
                          <w:spacing w:before="184" w:line="217" w:lineRule="auto"/>
                          <w:ind w:left="36"/>
                          <w:rPr>
                            <w:sz w:val="20"/>
                            <w:szCs w:val="20"/>
                          </w:rPr>
                        </w:pPr>
                        <w:r>
                          <w:rPr>
                            <w:spacing w:val="8"/>
                            <w:sz w:val="20"/>
                            <w:szCs w:val="20"/>
                          </w:rPr>
                          <w:t>合</w:t>
                        </w:r>
                        <w:r>
                          <w:rPr>
                            <w:spacing w:val="-38"/>
                            <w:sz w:val="20"/>
                            <w:szCs w:val="20"/>
                          </w:rPr>
                          <w:t xml:space="preserve"> </w:t>
                        </w:r>
                        <w:r>
                          <w:rPr>
                            <w:spacing w:val="8"/>
                            <w:sz w:val="20"/>
                            <w:szCs w:val="20"/>
                          </w:rPr>
                          <w:t>计</w:t>
                        </w:r>
                      </w:p>
                    </w:tc>
                    <w:tc>
                      <w:tcPr>
                        <w:tcW w:w="1738" w:type="dxa"/>
                        <w:vAlign w:val="top"/>
                      </w:tcPr>
                      <w:p w14:paraId="07CB44C9">
                        <w:pPr>
                          <w:spacing w:before="205" w:line="199" w:lineRule="auto"/>
                          <w:ind w:left="8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59" w:type="dxa"/>
                        <w:vAlign w:val="top"/>
                      </w:tcPr>
                      <w:p w14:paraId="59888BC1">
                        <w:pPr>
                          <w:spacing w:before="205" w:line="199"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83" w:type="dxa"/>
                        <w:vAlign w:val="top"/>
                      </w:tcPr>
                      <w:p w14:paraId="2C64A5FE">
                        <w:pPr>
                          <w:spacing w:before="205" w:line="199"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4" w:type="dxa"/>
                        <w:vAlign w:val="top"/>
                      </w:tcPr>
                      <w:p w14:paraId="7C7D3086">
                        <w:pPr>
                          <w:spacing w:before="205" w:line="199"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6" w:type="dxa"/>
                        <w:vAlign w:val="top"/>
                      </w:tcPr>
                      <w:p w14:paraId="7D477865">
                        <w:pPr>
                          <w:spacing w:before="209"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2096" w:type="dxa"/>
                        <w:tcBorders>
                          <w:right w:val="nil"/>
                        </w:tcBorders>
                        <w:vAlign w:val="top"/>
                      </w:tcPr>
                      <w:p w14:paraId="40A9F5F5">
                        <w:pPr>
                          <w:rPr>
                            <w:rFonts w:ascii="Arial"/>
                            <w:sz w:val="21"/>
                          </w:rPr>
                        </w:pPr>
                      </w:p>
                    </w:tc>
                  </w:tr>
                </w:tbl>
                <w:p w14:paraId="33400F1A">
                  <w:pPr>
                    <w:spacing w:line="369" w:lineRule="auto"/>
                    <w:rPr>
                      <w:rFonts w:ascii="Arial"/>
                      <w:sz w:val="21"/>
                    </w:rPr>
                  </w:pPr>
                </w:p>
                <w:p w14:paraId="0C5B946F">
                  <w:pPr>
                    <w:pStyle w:val="6"/>
                    <w:spacing w:before="78" w:line="221" w:lineRule="auto"/>
                    <w:ind w:left="592"/>
                  </w:pPr>
                  <w:r>
                    <w:rPr>
                      <w:rFonts w:ascii="Times New Roman" w:hAnsi="Times New Roman" w:eastAsia="Times New Roman" w:cs="Times New Roman"/>
                      <w:b/>
                      <w:bCs/>
                      <w:spacing w:val="-8"/>
                    </w:rPr>
                    <w:t>3</w:t>
                  </w:r>
                  <w:r>
                    <w:rPr>
                      <w:rFonts w:ascii="Times New Roman" w:hAnsi="Times New Roman" w:eastAsia="Times New Roman" w:cs="Times New Roman"/>
                      <w:b/>
                      <w:bCs/>
                      <w:spacing w:val="-33"/>
                    </w:rPr>
                    <w:t xml:space="preserve"> </w:t>
                  </w:r>
                  <w:r>
                    <w:rPr>
                      <w:b/>
                      <w:bCs/>
                      <w:spacing w:val="-8"/>
                    </w:rPr>
                    <w:t>、升压站</w:t>
                  </w:r>
                </w:p>
                <w:p w14:paraId="5668CC34">
                  <w:pPr>
                    <w:pStyle w:val="6"/>
                    <w:spacing w:before="178" w:line="341" w:lineRule="auto"/>
                    <w:ind w:left="116" w:right="23" w:firstLine="480"/>
                  </w:pPr>
                  <w:r>
                    <w:rPr>
                      <w:spacing w:val="-4"/>
                    </w:rPr>
                    <w:t>本项目新建一座</w:t>
                  </w:r>
                  <w:r>
                    <w:rPr>
                      <w:spacing w:val="-47"/>
                    </w:rPr>
                    <w:t xml:space="preserve"> </w:t>
                  </w:r>
                  <w:r>
                    <w:rPr>
                      <w:rFonts w:ascii="Times New Roman" w:hAnsi="Times New Roman" w:eastAsia="Times New Roman" w:cs="Times New Roman"/>
                      <w:spacing w:val="-4"/>
                    </w:rPr>
                    <w:t xml:space="preserve">220kV </w:t>
                  </w:r>
                  <w:r>
                    <w:rPr>
                      <w:spacing w:val="-4"/>
                    </w:rPr>
                    <w:t>升压站位于场址中部平缓坡地，</w:t>
                  </w:r>
                  <w:r>
                    <w:rPr>
                      <w:spacing w:val="-71"/>
                    </w:rPr>
                    <w:t xml:space="preserve"> </w:t>
                  </w:r>
                  <w:r>
                    <w:rPr>
                      <w:spacing w:val="-4"/>
                    </w:rPr>
                    <w:t>占地面积</w:t>
                  </w:r>
                  <w:r>
                    <w:rPr>
                      <w:spacing w:val="-32"/>
                    </w:rPr>
                    <w:t xml:space="preserve"> </w:t>
                  </w:r>
                  <w:r>
                    <w:rPr>
                      <w:rFonts w:ascii="Times New Roman" w:hAnsi="Times New Roman" w:eastAsia="Times New Roman" w:cs="Times New Roman"/>
                      <w:spacing w:val="-4"/>
                    </w:rPr>
                    <w:t>13888m</w:t>
                  </w:r>
                  <w:r>
                    <w:rPr>
                      <w:rFonts w:ascii="Times New Roman" w:hAnsi="Times New Roman" w:eastAsia="Times New Roman" w:cs="Times New Roman"/>
                      <w:spacing w:val="-4"/>
                      <w:position w:val="8"/>
                      <w:sz w:val="15"/>
                      <w:szCs w:val="15"/>
                    </w:rPr>
                    <w:t>2</w:t>
                  </w:r>
                  <w:r>
                    <w:rPr>
                      <w:spacing w:val="-4"/>
                    </w:rPr>
                    <w:t>，</w:t>
                  </w:r>
                  <w:r>
                    <w:t xml:space="preserve"> </w:t>
                  </w:r>
                  <w:r>
                    <w:rPr>
                      <w:spacing w:val="-8"/>
                    </w:rPr>
                    <w:t>站址中心：东经</w:t>
                  </w:r>
                  <w:r>
                    <w:rPr>
                      <w:spacing w:val="-15"/>
                    </w:rPr>
                    <w:t xml:space="preserve"> </w:t>
                  </w:r>
                  <w:r>
                    <w:rPr>
                      <w:rFonts w:ascii="Times New Roman" w:hAnsi="Times New Roman" w:eastAsia="Times New Roman" w:cs="Times New Roman"/>
                      <w:spacing w:val="-8"/>
                    </w:rPr>
                    <w:t>103</w:t>
                  </w:r>
                  <w:r>
                    <w:rPr>
                      <w:rFonts w:ascii="Times New Roman" w:hAnsi="Times New Roman" w:eastAsia="Times New Roman" w:cs="Times New Roman"/>
                      <w:spacing w:val="-29"/>
                    </w:rPr>
                    <w:t xml:space="preserve"> </w:t>
                  </w:r>
                  <w:r>
                    <w:rPr>
                      <w:spacing w:val="-8"/>
                    </w:rPr>
                    <w:t>°</w:t>
                  </w:r>
                  <w:r>
                    <w:rPr>
                      <w:rFonts w:ascii="Times New Roman" w:hAnsi="Times New Roman" w:eastAsia="Times New Roman" w:cs="Times New Roman"/>
                      <w:spacing w:val="-8"/>
                    </w:rPr>
                    <w:t>25</w:t>
                  </w:r>
                  <w:r>
                    <w:rPr>
                      <w:rFonts w:ascii="Times New Roman" w:hAnsi="Times New Roman" w:eastAsia="Times New Roman" w:cs="Times New Roman"/>
                      <w:spacing w:val="-17"/>
                    </w:rPr>
                    <w:t xml:space="preserve"> </w:t>
                  </w:r>
                  <w:r>
                    <w:rPr>
                      <w:spacing w:val="-8"/>
                    </w:rPr>
                    <w:t>′</w:t>
                  </w:r>
                  <w:r>
                    <w:rPr>
                      <w:rFonts w:ascii="Times New Roman" w:hAnsi="Times New Roman" w:eastAsia="Times New Roman" w:cs="Times New Roman"/>
                      <w:spacing w:val="-8"/>
                    </w:rPr>
                    <w:t>28.293</w:t>
                  </w:r>
                  <w:r>
                    <w:rPr>
                      <w:rFonts w:ascii="Times New Roman" w:hAnsi="Times New Roman" w:eastAsia="Times New Roman" w:cs="Times New Roman"/>
                      <w:spacing w:val="-16"/>
                    </w:rPr>
                    <w:t xml:space="preserve"> </w:t>
                  </w:r>
                  <w:r>
                    <w:rPr>
                      <w:spacing w:val="-8"/>
                    </w:rPr>
                    <w:t>″</w:t>
                  </w:r>
                  <w:r>
                    <w:rPr>
                      <w:spacing w:val="-91"/>
                    </w:rPr>
                    <w:t xml:space="preserve"> </w:t>
                  </w:r>
                  <w:r>
                    <w:rPr>
                      <w:spacing w:val="-8"/>
                    </w:rPr>
                    <w:t>，北纬</w:t>
                  </w:r>
                  <w:r>
                    <w:rPr>
                      <w:spacing w:val="-55"/>
                    </w:rPr>
                    <w:t xml:space="preserve"> </w:t>
                  </w:r>
                  <w:r>
                    <w:rPr>
                      <w:rFonts w:ascii="Times New Roman" w:hAnsi="Times New Roman" w:eastAsia="Times New Roman" w:cs="Times New Roman"/>
                      <w:spacing w:val="-8"/>
                    </w:rPr>
                    <w:t>25</w:t>
                  </w:r>
                  <w:r>
                    <w:rPr>
                      <w:rFonts w:ascii="Times New Roman" w:hAnsi="Times New Roman" w:eastAsia="Times New Roman" w:cs="Times New Roman"/>
                      <w:spacing w:val="-29"/>
                    </w:rPr>
                    <w:t xml:space="preserve"> </w:t>
                  </w:r>
                  <w:r>
                    <w:rPr>
                      <w:spacing w:val="-8"/>
                    </w:rPr>
                    <w:t>°</w:t>
                  </w:r>
                  <w:r>
                    <w:rPr>
                      <w:rFonts w:ascii="Times New Roman" w:hAnsi="Times New Roman" w:eastAsia="Times New Roman" w:cs="Times New Roman"/>
                      <w:spacing w:val="-8"/>
                    </w:rPr>
                    <w:t>41</w:t>
                  </w:r>
                  <w:r>
                    <w:rPr>
                      <w:rFonts w:ascii="Times New Roman" w:hAnsi="Times New Roman" w:eastAsia="Times New Roman" w:cs="Times New Roman"/>
                      <w:spacing w:val="-17"/>
                    </w:rPr>
                    <w:t xml:space="preserve"> </w:t>
                  </w:r>
                  <w:r>
                    <w:rPr>
                      <w:spacing w:val="-8"/>
                    </w:rPr>
                    <w:t>′</w:t>
                  </w:r>
                  <w:r>
                    <w:rPr>
                      <w:rFonts w:ascii="Times New Roman" w:hAnsi="Times New Roman" w:eastAsia="Times New Roman" w:cs="Times New Roman"/>
                      <w:spacing w:val="-8"/>
                    </w:rPr>
                    <w:t>32.340</w:t>
                  </w:r>
                  <w:r>
                    <w:rPr>
                      <w:rFonts w:ascii="Times New Roman" w:hAnsi="Times New Roman" w:eastAsia="Times New Roman" w:cs="Times New Roman"/>
                      <w:spacing w:val="-16"/>
                    </w:rPr>
                    <w:t xml:space="preserve"> </w:t>
                  </w:r>
                  <w:r>
                    <w:rPr>
                      <w:spacing w:val="-8"/>
                    </w:rPr>
                    <w:t>″</w:t>
                  </w:r>
                  <w:r>
                    <w:rPr>
                      <w:spacing w:val="-87"/>
                    </w:rPr>
                    <w:t xml:space="preserve"> </w:t>
                  </w:r>
                  <w:r>
                    <w:rPr>
                      <w:spacing w:val="-8"/>
                    </w:rPr>
                    <w:t>。升压站北侧布置</w:t>
                  </w:r>
                </w:p>
              </w:tc>
            </w:tr>
          </w:tbl>
          <w:p w14:paraId="1AAA1E37">
            <w:pPr>
              <w:spacing w:line="14" w:lineRule="auto"/>
              <w:rPr>
                <w:rFonts w:ascii="Arial"/>
                <w:sz w:val="2"/>
              </w:rPr>
            </w:pPr>
          </w:p>
        </w:tc>
      </w:tr>
    </w:tbl>
    <w:p w14:paraId="250E0D1B">
      <w:pPr>
        <w:rPr>
          <w:rFonts w:ascii="Arial"/>
          <w:sz w:val="21"/>
        </w:rPr>
      </w:pPr>
    </w:p>
    <w:p w14:paraId="56036AF8">
      <w:pPr>
        <w:rPr>
          <w:rFonts w:ascii="Arial" w:hAnsi="Arial" w:eastAsia="Arial" w:cs="Arial"/>
          <w:sz w:val="21"/>
          <w:szCs w:val="21"/>
        </w:rPr>
        <w:sectPr>
          <w:footerReference r:id="rId65" w:type="default"/>
          <w:pgSz w:w="11906" w:h="16839"/>
          <w:pgMar w:top="1431" w:right="1413" w:bottom="1278" w:left="1413" w:header="0" w:footer="1116" w:gutter="0"/>
          <w:cols w:space="720" w:num="1"/>
        </w:sectPr>
      </w:pPr>
    </w:p>
    <w:p w14:paraId="05119314">
      <w:pPr>
        <w:spacing w:line="99" w:lineRule="exact"/>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
        <w:gridCol w:w="222"/>
        <w:gridCol w:w="1096"/>
        <w:gridCol w:w="4243"/>
        <w:gridCol w:w="549"/>
        <w:gridCol w:w="629"/>
        <w:gridCol w:w="1629"/>
        <w:gridCol w:w="232"/>
      </w:tblGrid>
      <w:tr w14:paraId="6B83F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1" w:hRule="atLeast"/>
        </w:trPr>
        <w:tc>
          <w:tcPr>
            <w:tcW w:w="464" w:type="dxa"/>
            <w:vMerge w:val="restart"/>
            <w:tcBorders>
              <w:top w:val="single" w:color="000000" w:sz="6" w:space="0"/>
              <w:left w:val="single" w:color="000000" w:sz="6" w:space="0"/>
              <w:bottom w:val="nil"/>
            </w:tcBorders>
            <w:vAlign w:val="top"/>
          </w:tcPr>
          <w:p w14:paraId="41ECDB84">
            <w:pPr>
              <w:rPr>
                <w:rFonts w:ascii="Arial"/>
                <w:sz w:val="21"/>
              </w:rPr>
            </w:pPr>
          </w:p>
        </w:tc>
        <w:tc>
          <w:tcPr>
            <w:tcW w:w="8600" w:type="dxa"/>
            <w:gridSpan w:val="7"/>
            <w:tcBorders>
              <w:top w:val="single" w:color="000000" w:sz="6" w:space="0"/>
              <w:right w:val="single" w:color="000000" w:sz="6" w:space="0"/>
            </w:tcBorders>
            <w:vAlign w:val="top"/>
          </w:tcPr>
          <w:p w14:paraId="4F9397B4">
            <w:pPr>
              <w:pStyle w:val="6"/>
              <w:spacing w:before="41" w:line="345" w:lineRule="auto"/>
              <w:ind w:left="134" w:right="104" w:hanging="25"/>
            </w:pPr>
            <w:r>
              <w:rPr>
                <w:spacing w:val="1"/>
              </w:rPr>
              <w:t>综合楼、辅助用房及危废间，中部布置主变压器、事故油池、主控楼及</w:t>
            </w:r>
            <w:r>
              <w:rPr>
                <w:rFonts w:ascii="Times New Roman" w:hAnsi="Times New Roman" w:eastAsia="Times New Roman" w:cs="Times New Roman"/>
                <w:spacing w:val="1"/>
              </w:rPr>
              <w:t>35</w:t>
            </w:r>
            <w:r>
              <w:rPr>
                <w:rFonts w:ascii="Times New Roman" w:hAnsi="Times New Roman" w:eastAsia="Times New Roman" w:cs="Times New Roman"/>
              </w:rPr>
              <w:t>KV</w:t>
            </w:r>
            <w:r>
              <w:rPr>
                <w:rFonts w:ascii="Times New Roman" w:hAnsi="Times New Roman" w:eastAsia="Times New Roman" w:cs="Times New Roman"/>
                <w:spacing w:val="1"/>
              </w:rPr>
              <w:t xml:space="preserve"> </w:t>
            </w:r>
            <w:r>
              <w:rPr>
                <w:spacing w:val="1"/>
              </w:rPr>
              <w:t>配</w:t>
            </w:r>
            <w:r>
              <w:rPr>
                <w:spacing w:val="13"/>
              </w:rPr>
              <w:t xml:space="preserve"> </w:t>
            </w:r>
            <w:r>
              <w:rPr>
                <w:spacing w:val="-10"/>
              </w:rPr>
              <w:t>电室等。</w:t>
            </w:r>
          </w:p>
          <w:p w14:paraId="35B80AF5">
            <w:pPr>
              <w:pStyle w:val="6"/>
              <w:spacing w:before="32" w:line="354" w:lineRule="auto"/>
              <w:ind w:left="106" w:right="102" w:firstLine="481"/>
              <w:jc w:val="both"/>
            </w:pPr>
            <w:r>
              <w:rPr>
                <w:spacing w:val="1"/>
              </w:rPr>
              <w:t>主变压器选用</w:t>
            </w:r>
            <w:r>
              <w:rPr>
                <w:spacing w:val="36"/>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6"/>
              </w:rPr>
              <w:t xml:space="preserve">  </w:t>
            </w:r>
            <w:r>
              <w:rPr>
                <w:spacing w:val="1"/>
              </w:rPr>
              <w:t>台三相双绕组自然油循环自冷型油浸式有载调压电</w:t>
            </w:r>
            <w:r>
              <w:t xml:space="preserve">力变压 </w:t>
            </w:r>
            <w:r>
              <w:rPr>
                <w:spacing w:val="-5"/>
              </w:rPr>
              <w:t>器，容量为</w:t>
            </w:r>
            <w:r>
              <w:rPr>
                <w:spacing w:val="-16"/>
              </w:rPr>
              <w:t xml:space="preserve"> </w:t>
            </w:r>
            <w:r>
              <w:rPr>
                <w:rFonts w:ascii="Times New Roman" w:hAnsi="Times New Roman" w:eastAsia="Times New Roman" w:cs="Times New Roman"/>
                <w:spacing w:val="-5"/>
              </w:rPr>
              <w:t>180MVA</w:t>
            </w:r>
            <w:r>
              <w:rPr>
                <w:spacing w:val="-5"/>
              </w:rPr>
              <w:t>，接地方式主要是</w:t>
            </w:r>
            <w:r>
              <w:rPr>
                <w:spacing w:val="-55"/>
              </w:rPr>
              <w:t xml:space="preserve"> </w:t>
            </w:r>
            <w:r>
              <w:rPr>
                <w:rFonts w:ascii="Times New Roman" w:hAnsi="Times New Roman" w:eastAsia="Times New Roman" w:cs="Times New Roman"/>
                <w:spacing w:val="-5"/>
              </w:rPr>
              <w:t xml:space="preserve">220kV  </w:t>
            </w:r>
            <w:r>
              <w:rPr>
                <w:spacing w:val="-5"/>
              </w:rPr>
              <w:t>侧采用中性点成套装置，包括中性</w:t>
            </w:r>
            <w:r>
              <w:t xml:space="preserve"> 点隔离开关</w:t>
            </w:r>
            <w:r>
              <w:rPr>
                <w:spacing w:val="-47"/>
              </w:rPr>
              <w:t xml:space="preserve"> </w:t>
            </w:r>
            <w:r>
              <w:rPr>
                <w:rFonts w:ascii="Times New Roman" w:hAnsi="Times New Roman" w:eastAsia="Times New Roman" w:cs="Times New Roman"/>
              </w:rPr>
              <w:t>GW13-110W630A</w:t>
            </w:r>
            <w:r>
              <w:rPr>
                <w:rFonts w:ascii="Times New Roman" w:hAnsi="Times New Roman" w:eastAsia="Times New Roman" w:cs="Times New Roman"/>
                <w:spacing w:val="-30"/>
              </w:rPr>
              <w:t xml:space="preserve"> </w:t>
            </w:r>
            <w:r>
              <w:t>、中性点避雷器</w:t>
            </w:r>
            <w:r>
              <w:rPr>
                <w:spacing w:val="-50"/>
              </w:rPr>
              <w:t xml:space="preserve"> </w:t>
            </w:r>
            <w:r>
              <w:rPr>
                <w:rFonts w:ascii="Times New Roman" w:hAnsi="Times New Roman" w:eastAsia="Times New Roman" w:cs="Times New Roman"/>
              </w:rPr>
              <w:t>Y1.5W</w:t>
            </w:r>
            <w:r>
              <w:rPr>
                <w:rFonts w:ascii="Times New Roman" w:hAnsi="Times New Roman" w:eastAsia="Times New Roman" w:cs="Times New Roman"/>
                <w:spacing w:val="-1"/>
              </w:rPr>
              <w:t>-144/320W</w:t>
            </w:r>
            <w:r>
              <w:rPr>
                <w:rFonts w:ascii="Times New Roman" w:hAnsi="Times New Roman" w:eastAsia="Times New Roman" w:cs="Times New Roman"/>
                <w:spacing w:val="-32"/>
              </w:rPr>
              <w:t xml:space="preserve"> </w:t>
            </w:r>
            <w:r>
              <w:rPr>
                <w:spacing w:val="-1"/>
              </w:rPr>
              <w:t>、中性点套管电</w:t>
            </w:r>
            <w:r>
              <w:t xml:space="preserve"> </w:t>
            </w:r>
            <w:r>
              <w:rPr>
                <w:spacing w:val="-3"/>
              </w:rPr>
              <w:t>流互感器</w:t>
            </w:r>
            <w:r>
              <w:rPr>
                <w:spacing w:val="-38"/>
              </w:rPr>
              <w:t xml:space="preserve"> </w:t>
            </w:r>
            <w:r>
              <w:rPr>
                <w:rFonts w:ascii="Times New Roman" w:hAnsi="Times New Roman" w:eastAsia="Times New Roman" w:cs="Times New Roman"/>
                <w:spacing w:val="-3"/>
              </w:rPr>
              <w:t>LRB-110</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100-200/1A</w:t>
            </w:r>
            <w:r>
              <w:rPr>
                <w:spacing w:val="-3"/>
              </w:rPr>
              <w:t>。</w:t>
            </w:r>
          </w:p>
          <w:p w14:paraId="6CBA071B">
            <w:pPr>
              <w:pStyle w:val="6"/>
              <w:spacing w:before="32" w:line="350" w:lineRule="auto"/>
              <w:ind w:left="108" w:right="22" w:hanging="6"/>
              <w:jc w:val="both"/>
            </w:pPr>
            <w:r>
              <w:rPr>
                <w:rFonts w:ascii="Times New Roman" w:hAnsi="Times New Roman" w:eastAsia="Times New Roman" w:cs="Times New Roman"/>
                <w:spacing w:val="2"/>
              </w:rPr>
              <w:t>220</w:t>
            </w:r>
            <w:r>
              <w:rPr>
                <w:rFonts w:ascii="Times New Roman" w:hAnsi="Times New Roman" w:eastAsia="Times New Roman" w:cs="Times New Roman"/>
              </w:rPr>
              <w:t>kV</w:t>
            </w:r>
            <w:r>
              <w:rPr>
                <w:rFonts w:ascii="Times New Roman" w:hAnsi="Times New Roman" w:eastAsia="Times New Roman" w:cs="Times New Roman"/>
                <w:spacing w:val="2"/>
              </w:rPr>
              <w:t xml:space="preserve"> </w:t>
            </w:r>
            <w:r>
              <w:rPr>
                <w:spacing w:val="2"/>
              </w:rPr>
              <w:t>侧采用单母线接线方式，采用户外</w:t>
            </w:r>
            <w:r>
              <w:rPr>
                <w:spacing w:val="-40"/>
              </w:rPr>
              <w:t xml:space="preserve"> </w:t>
            </w:r>
            <w:r>
              <w:rPr>
                <w:rFonts w:ascii="Times New Roman" w:hAnsi="Times New Roman" w:eastAsia="Times New Roman" w:cs="Times New Roman"/>
              </w:rPr>
              <w:t>GIS</w:t>
            </w:r>
            <w:r>
              <w:rPr>
                <w:rFonts w:ascii="Times New Roman" w:hAnsi="Times New Roman" w:eastAsia="Times New Roman" w:cs="Times New Roman"/>
                <w:spacing w:val="2"/>
              </w:rPr>
              <w:t xml:space="preserve"> </w:t>
            </w:r>
            <w:r>
              <w:rPr>
                <w:spacing w:val="2"/>
              </w:rPr>
              <w:t>配电装置。</w:t>
            </w:r>
            <w:r>
              <w:rPr>
                <w:rFonts w:ascii="Times New Roman" w:hAnsi="Times New Roman" w:eastAsia="Times New Roman" w:cs="Times New Roman"/>
                <w:spacing w:val="2"/>
              </w:rPr>
              <w:t>35</w:t>
            </w:r>
            <w:r>
              <w:rPr>
                <w:rFonts w:ascii="Times New Roman" w:hAnsi="Times New Roman" w:eastAsia="Times New Roman" w:cs="Times New Roman"/>
              </w:rPr>
              <w:t>kV</w:t>
            </w:r>
            <w:r>
              <w:rPr>
                <w:rFonts w:ascii="Times New Roman" w:hAnsi="Times New Roman" w:eastAsia="Times New Roman" w:cs="Times New Roman"/>
                <w:spacing w:val="2"/>
              </w:rPr>
              <w:t xml:space="preserve"> </w:t>
            </w:r>
            <w:r>
              <w:rPr>
                <w:spacing w:val="2"/>
              </w:rPr>
              <w:t>户内配电装置选</w:t>
            </w:r>
            <w:r>
              <w:t xml:space="preserve"> </w:t>
            </w:r>
            <w:r>
              <w:rPr>
                <w:spacing w:val="-5"/>
              </w:rPr>
              <w:t>用金属铠装移开式开关柜，本期主变出线柜</w:t>
            </w:r>
            <w:r>
              <w:rPr>
                <w:spacing w:val="-55"/>
              </w:rPr>
              <w:t xml:space="preserve"> </w:t>
            </w:r>
            <w:r>
              <w:rPr>
                <w:rFonts w:ascii="Times New Roman" w:hAnsi="Times New Roman" w:eastAsia="Times New Roman" w:cs="Times New Roman"/>
                <w:spacing w:val="-5"/>
              </w:rPr>
              <w:t xml:space="preserve">2 </w:t>
            </w:r>
            <w:r>
              <w:rPr>
                <w:spacing w:val="-5"/>
              </w:rPr>
              <w:t>面、光伏进线柜</w:t>
            </w:r>
            <w:r>
              <w:rPr>
                <w:spacing w:val="-57"/>
              </w:rPr>
              <w:t xml:space="preserve"> </w:t>
            </w:r>
            <w:r>
              <w:rPr>
                <w:rFonts w:ascii="Times New Roman" w:hAnsi="Times New Roman" w:eastAsia="Times New Roman" w:cs="Times New Roman"/>
                <w:spacing w:val="-5"/>
              </w:rPr>
              <w:t xml:space="preserve">4 </w:t>
            </w:r>
            <w:r>
              <w:rPr>
                <w:spacing w:val="-5"/>
              </w:rPr>
              <w:t>面、母线柜</w:t>
            </w:r>
            <w:r>
              <w:rPr>
                <w:spacing w:val="-55"/>
              </w:rPr>
              <w:t xml:space="preserve"> </w:t>
            </w:r>
            <w:r>
              <w:rPr>
                <w:rFonts w:ascii="Times New Roman" w:hAnsi="Times New Roman" w:eastAsia="Times New Roman" w:cs="Times New Roman"/>
                <w:spacing w:val="-5"/>
              </w:rPr>
              <w:t xml:space="preserve">2 </w:t>
            </w:r>
            <w:r>
              <w:rPr>
                <w:spacing w:val="-5"/>
              </w:rPr>
              <w:t>面、</w:t>
            </w:r>
            <w:r>
              <w:t xml:space="preserve"> </w:t>
            </w:r>
            <w:r>
              <w:rPr>
                <w:spacing w:val="-3"/>
              </w:rPr>
              <w:t>无功补偿柜</w:t>
            </w:r>
            <w:r>
              <w:rPr>
                <w:spacing w:val="-50"/>
              </w:rPr>
              <w:t xml:space="preserve"> </w:t>
            </w:r>
            <w:r>
              <w:rPr>
                <w:rFonts w:ascii="Times New Roman" w:hAnsi="Times New Roman" w:eastAsia="Times New Roman" w:cs="Times New Roman"/>
                <w:spacing w:val="-3"/>
              </w:rPr>
              <w:t xml:space="preserve">2 </w:t>
            </w:r>
            <w:r>
              <w:rPr>
                <w:spacing w:val="-3"/>
              </w:rPr>
              <w:t>面、站用变柜</w:t>
            </w:r>
            <w:r>
              <w:rPr>
                <w:spacing w:val="-32"/>
              </w:rPr>
              <w:t xml:space="preserve"> </w:t>
            </w:r>
            <w:r>
              <w:rPr>
                <w:rFonts w:ascii="Times New Roman" w:hAnsi="Times New Roman" w:eastAsia="Times New Roman" w:cs="Times New Roman"/>
                <w:spacing w:val="-3"/>
              </w:rPr>
              <w:t xml:space="preserve">1 </w:t>
            </w:r>
            <w:r>
              <w:rPr>
                <w:spacing w:val="-3"/>
              </w:rPr>
              <w:t>面。</w:t>
            </w:r>
          </w:p>
          <w:p w14:paraId="45056AC1">
            <w:pPr>
              <w:pStyle w:val="6"/>
              <w:spacing w:before="34" w:line="351" w:lineRule="auto"/>
              <w:ind w:left="102" w:right="102" w:firstLine="605"/>
              <w:jc w:val="both"/>
            </w:pPr>
            <w:r>
              <w:rPr>
                <w:spacing w:val="6"/>
              </w:rPr>
              <w:t>本次工程</w:t>
            </w:r>
            <w:r>
              <w:rPr>
                <w:spacing w:val="-26"/>
              </w:rPr>
              <w:t xml:space="preserve"> </w:t>
            </w:r>
            <w:r>
              <w:rPr>
                <w:rFonts w:ascii="Times New Roman" w:hAnsi="Times New Roman" w:eastAsia="Times New Roman" w:cs="Times New Roman"/>
                <w:spacing w:val="6"/>
              </w:rPr>
              <w:t>35</w:t>
            </w:r>
            <w:r>
              <w:rPr>
                <w:rFonts w:ascii="Times New Roman" w:hAnsi="Times New Roman" w:eastAsia="Times New Roman" w:cs="Times New Roman"/>
              </w:rPr>
              <w:t>kV</w:t>
            </w:r>
            <w:r>
              <w:rPr>
                <w:rFonts w:ascii="Times New Roman" w:hAnsi="Times New Roman" w:eastAsia="Times New Roman" w:cs="Times New Roman"/>
                <w:spacing w:val="18"/>
                <w:w w:val="101"/>
              </w:rPr>
              <w:t xml:space="preserve"> </w:t>
            </w:r>
            <w:r>
              <w:rPr>
                <w:spacing w:val="6"/>
              </w:rPr>
              <w:t>母线上共设置</w:t>
            </w:r>
            <w:r>
              <w:rPr>
                <w:spacing w:val="-43"/>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17"/>
                <w:w w:val="101"/>
              </w:rPr>
              <w:t xml:space="preserve"> </w:t>
            </w:r>
            <w:r>
              <w:rPr>
                <w:spacing w:val="6"/>
              </w:rPr>
              <w:t>套快速无功补偿装置，单套补偿容量为</w:t>
            </w:r>
            <w:r>
              <w:rPr>
                <w:rFonts w:ascii="Times New Roman" w:hAnsi="Times New Roman" w:eastAsia="Times New Roman" w:cs="Times New Roman"/>
                <w:spacing w:val="6"/>
              </w:rPr>
              <w:t>±</w:t>
            </w:r>
            <w:r>
              <w:rPr>
                <w:rFonts w:ascii="Times New Roman" w:hAnsi="Times New Roman" w:eastAsia="Times New Roman" w:cs="Times New Roman"/>
              </w:rPr>
              <w:t xml:space="preserve"> </w:t>
            </w:r>
            <w:r>
              <w:rPr>
                <w:rFonts w:ascii="Times New Roman" w:hAnsi="Times New Roman" w:eastAsia="Times New Roman" w:cs="Times New Roman"/>
                <w:spacing w:val="1"/>
              </w:rPr>
              <w:t>27</w:t>
            </w:r>
            <w:r>
              <w:rPr>
                <w:rFonts w:ascii="Times New Roman" w:hAnsi="Times New Roman" w:eastAsia="Times New Roman" w:cs="Times New Roman"/>
              </w:rPr>
              <w:t>MVar</w:t>
            </w:r>
            <w:r>
              <w:rPr>
                <w:rFonts w:ascii="Times New Roman" w:hAnsi="Times New Roman" w:eastAsia="Times New Roman" w:cs="Times New Roman"/>
                <w:spacing w:val="1"/>
              </w:rPr>
              <w:t xml:space="preserve"> </w:t>
            </w:r>
            <w:r>
              <w:rPr>
                <w:spacing w:val="1"/>
              </w:rPr>
              <w:t>可自动调节的动态无功补偿装置（</w:t>
            </w:r>
            <w:r>
              <w:rPr>
                <w:rFonts w:ascii="Times New Roman" w:hAnsi="Times New Roman" w:eastAsia="Times New Roman" w:cs="Times New Roman"/>
              </w:rPr>
              <w:t>SVG</w:t>
            </w:r>
            <w:r>
              <w:rPr>
                <w:spacing w:val="19"/>
              </w:rPr>
              <w:t>），</w:t>
            </w:r>
            <w:r>
              <w:rPr>
                <w:spacing w:val="1"/>
              </w:rPr>
              <w:t>且动态调节的响应时间不大</w:t>
            </w:r>
            <w:r>
              <w:t xml:space="preserve"> </w:t>
            </w:r>
            <w:r>
              <w:rPr>
                <w:spacing w:val="-3"/>
              </w:rPr>
              <w:t>于</w:t>
            </w:r>
            <w:r>
              <w:rPr>
                <w:spacing w:val="12"/>
              </w:rPr>
              <w:t xml:space="preserve"> </w:t>
            </w:r>
            <w:r>
              <w:rPr>
                <w:rFonts w:ascii="Times New Roman" w:hAnsi="Times New Roman" w:eastAsia="Times New Roman" w:cs="Times New Roman"/>
                <w:spacing w:val="-3"/>
              </w:rPr>
              <w:t>30ms</w:t>
            </w:r>
            <w:r>
              <w:rPr>
                <w:spacing w:val="-3"/>
              </w:rPr>
              <w:t>。</w:t>
            </w:r>
          </w:p>
          <w:p w14:paraId="35B041ED">
            <w:pPr>
              <w:pStyle w:val="6"/>
              <w:spacing w:before="30" w:line="353" w:lineRule="auto"/>
              <w:ind w:left="106" w:right="102" w:firstLine="480"/>
            </w:pPr>
            <w:r>
              <w:rPr>
                <w:spacing w:val="-5"/>
              </w:rPr>
              <w:t>本期工程站用变由</w:t>
            </w:r>
            <w:r>
              <w:rPr>
                <w:rFonts w:ascii="Times New Roman" w:hAnsi="Times New Roman" w:eastAsia="Times New Roman" w:cs="Times New Roman"/>
                <w:spacing w:val="-5"/>
              </w:rPr>
              <w:t xml:space="preserve">35kV </w:t>
            </w:r>
            <w:r>
              <w:rPr>
                <w:spacing w:val="-5"/>
              </w:rPr>
              <w:t>母线供电，另从站外引</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33"/>
              </w:rPr>
              <w:t xml:space="preserve"> </w:t>
            </w:r>
            <w:r>
              <w:rPr>
                <w:spacing w:val="-5"/>
              </w:rPr>
              <w:t>回</w:t>
            </w:r>
            <w:r>
              <w:rPr>
                <w:spacing w:val="-32"/>
              </w:rPr>
              <w:t xml:space="preserve"> </w:t>
            </w:r>
            <w:r>
              <w:rPr>
                <w:rFonts w:ascii="Times New Roman" w:hAnsi="Times New Roman" w:eastAsia="Times New Roman" w:cs="Times New Roman"/>
                <w:spacing w:val="-5"/>
              </w:rPr>
              <w:t>10k</w:t>
            </w:r>
            <w:r>
              <w:rPr>
                <w:rFonts w:ascii="Times New Roman" w:hAnsi="Times New Roman" w:eastAsia="Times New Roman" w:cs="Times New Roman"/>
                <w:spacing w:val="-6"/>
              </w:rPr>
              <w:t>V</w:t>
            </w:r>
            <w:r>
              <w:rPr>
                <w:rFonts w:ascii="Times New Roman" w:hAnsi="Times New Roman" w:eastAsia="Times New Roman" w:cs="Times New Roman"/>
                <w:spacing w:val="37"/>
              </w:rPr>
              <w:t xml:space="preserve"> </w:t>
            </w:r>
            <w:r>
              <w:rPr>
                <w:spacing w:val="-6"/>
              </w:rPr>
              <w:t>电源。两回线路分</w:t>
            </w:r>
            <w:r>
              <w:t xml:space="preserve"> </w:t>
            </w:r>
            <w:r>
              <w:rPr>
                <w:spacing w:val="-1"/>
              </w:rPr>
              <w:t>列运行，互为热备用。两路电源降压为</w:t>
            </w:r>
            <w:r>
              <w:rPr>
                <w:spacing w:val="-36"/>
              </w:rPr>
              <w:t xml:space="preserve"> </w:t>
            </w:r>
            <w:r>
              <w:rPr>
                <w:rFonts w:ascii="Times New Roman" w:hAnsi="Times New Roman" w:eastAsia="Times New Roman" w:cs="Times New Roman"/>
                <w:spacing w:val="-1"/>
              </w:rPr>
              <w:t xml:space="preserve">0.4kV </w:t>
            </w:r>
            <w:r>
              <w:rPr>
                <w:spacing w:val="-1"/>
              </w:rPr>
              <w:t>后，经自动切换装置接至升压站站</w:t>
            </w:r>
            <w:r>
              <w:t xml:space="preserve"> </w:t>
            </w:r>
            <w:r>
              <w:rPr>
                <w:spacing w:val="2"/>
              </w:rPr>
              <w:t>用电系统</w:t>
            </w:r>
            <w:r>
              <w:rPr>
                <w:spacing w:val="-36"/>
              </w:rPr>
              <w:t xml:space="preserve"> </w:t>
            </w:r>
            <w:r>
              <w:rPr>
                <w:rFonts w:ascii="Times New Roman" w:hAnsi="Times New Roman" w:eastAsia="Times New Roman" w:cs="Times New Roman"/>
                <w:spacing w:val="2"/>
              </w:rPr>
              <w:t>0.4</w:t>
            </w:r>
            <w:r>
              <w:rPr>
                <w:rFonts w:ascii="Times New Roman" w:hAnsi="Times New Roman" w:eastAsia="Times New Roman" w:cs="Times New Roman"/>
              </w:rPr>
              <w:t>kV</w:t>
            </w:r>
            <w:r>
              <w:rPr>
                <w:rFonts w:ascii="Times New Roman" w:hAnsi="Times New Roman" w:eastAsia="Times New Roman" w:cs="Times New Roman"/>
                <w:spacing w:val="2"/>
              </w:rPr>
              <w:t xml:space="preserve"> </w:t>
            </w:r>
            <w:r>
              <w:rPr>
                <w:spacing w:val="2"/>
              </w:rPr>
              <w:t>母线。</w:t>
            </w:r>
            <w:r>
              <w:rPr>
                <w:rFonts w:ascii="Times New Roman" w:hAnsi="Times New Roman" w:eastAsia="Times New Roman" w:cs="Times New Roman"/>
                <w:spacing w:val="2"/>
              </w:rPr>
              <w:t>10</w:t>
            </w:r>
            <w:r>
              <w:rPr>
                <w:rFonts w:ascii="Times New Roman" w:hAnsi="Times New Roman" w:eastAsia="Times New Roman" w:cs="Times New Roman"/>
              </w:rPr>
              <w:t>kV</w:t>
            </w:r>
            <w:r>
              <w:rPr>
                <w:rFonts w:ascii="Times New Roman" w:hAnsi="Times New Roman" w:eastAsia="Times New Roman" w:cs="Times New Roman"/>
                <w:spacing w:val="19"/>
              </w:rPr>
              <w:t xml:space="preserve"> </w:t>
            </w:r>
            <w:r>
              <w:rPr>
                <w:spacing w:val="2"/>
              </w:rPr>
              <w:t>外引电源站用变压器选用户外干式无励磁调压变压</w:t>
            </w:r>
            <w:r>
              <w:t xml:space="preserve"> </w:t>
            </w:r>
            <w:r>
              <w:rPr>
                <w:spacing w:val="-4"/>
              </w:rPr>
              <w:t>器，容量</w:t>
            </w:r>
            <w:r>
              <w:rPr>
                <w:spacing w:val="-33"/>
              </w:rPr>
              <w:t xml:space="preserve"> </w:t>
            </w:r>
            <w:r>
              <w:rPr>
                <w:rFonts w:ascii="Times New Roman" w:hAnsi="Times New Roman" w:eastAsia="Times New Roman" w:cs="Times New Roman"/>
                <w:spacing w:val="-4"/>
              </w:rPr>
              <w:t>800kVA</w:t>
            </w:r>
            <w:r>
              <w:rPr>
                <w:rFonts w:ascii="Times New Roman" w:hAnsi="Times New Roman" w:eastAsia="Times New Roman" w:cs="Times New Roman"/>
                <w:spacing w:val="-34"/>
              </w:rPr>
              <w:t xml:space="preserve"> </w:t>
            </w:r>
            <w:r>
              <w:rPr>
                <w:spacing w:val="-4"/>
              </w:rPr>
              <w:t>，电压</w:t>
            </w:r>
            <w:r>
              <w:rPr>
                <w:spacing w:val="-32"/>
              </w:rPr>
              <w:t xml:space="preserve"> </w:t>
            </w:r>
            <w:r>
              <w:rPr>
                <w:rFonts w:ascii="Times New Roman" w:hAnsi="Times New Roman" w:eastAsia="Times New Roman" w:cs="Times New Roman"/>
                <w:spacing w:val="-4"/>
              </w:rPr>
              <w:t>10.5±2×2.5%/0.4kV</w:t>
            </w:r>
            <w:r>
              <w:rPr>
                <w:rFonts w:ascii="Times New Roman" w:hAnsi="Times New Roman" w:eastAsia="Times New Roman" w:cs="Times New Roman"/>
                <w:spacing w:val="-31"/>
              </w:rPr>
              <w:t xml:space="preserve"> </w:t>
            </w:r>
            <w:r>
              <w:rPr>
                <w:spacing w:val="-4"/>
              </w:rPr>
              <w:t>，户外箱式安装。</w:t>
            </w:r>
          </w:p>
          <w:p w14:paraId="089F05C8">
            <w:pPr>
              <w:pStyle w:val="6"/>
              <w:spacing w:before="31" w:line="353" w:lineRule="auto"/>
              <w:ind w:left="105" w:right="40" w:firstLine="482"/>
            </w:pPr>
            <w:r>
              <w:rPr>
                <w:spacing w:val="1"/>
              </w:rPr>
              <w:t>升压站设置</w:t>
            </w:r>
            <w:r>
              <w:rPr>
                <w:spacing w:val="-50"/>
              </w:rPr>
              <w:t xml:space="preserve"> </w:t>
            </w:r>
            <w:r>
              <w:rPr>
                <w:rFonts w:ascii="Times New Roman" w:hAnsi="Times New Roman" w:eastAsia="Times New Roman" w:cs="Times New Roman"/>
                <w:spacing w:val="1"/>
              </w:rPr>
              <w:t xml:space="preserve">3 </w:t>
            </w:r>
            <w:r>
              <w:rPr>
                <w:spacing w:val="1"/>
              </w:rPr>
              <w:t>支独立避雷针，</w:t>
            </w:r>
            <w:r>
              <w:rPr>
                <w:rFonts w:ascii="Times New Roman" w:hAnsi="Times New Roman" w:eastAsia="Times New Roman" w:cs="Times New Roman"/>
                <w:spacing w:val="1"/>
              </w:rPr>
              <w:t xml:space="preserve">2 </w:t>
            </w:r>
            <w:r>
              <w:rPr>
                <w:spacing w:val="1"/>
              </w:rPr>
              <w:t>支构架避雷针，并在</w:t>
            </w:r>
            <w:r>
              <w:t xml:space="preserve">综合楼及配电装置室等 </w:t>
            </w:r>
            <w:r>
              <w:rPr>
                <w:spacing w:val="-1"/>
              </w:rPr>
              <w:t>建筑物楼顶设置避雷带，构成全站防直击雷保护。本站升压站接地系统按复合接</w:t>
            </w:r>
            <w:r>
              <w:rPr>
                <w:spacing w:val="15"/>
              </w:rPr>
              <w:t xml:space="preserve"> </w:t>
            </w:r>
            <w:r>
              <w:t>地网设计。水平接地网为网格状，兼做升压站均压带，室外</w:t>
            </w:r>
            <w:r>
              <w:rPr>
                <w:spacing w:val="-1"/>
              </w:rPr>
              <w:t>主接地网采用</w:t>
            </w:r>
            <w:r>
              <w:rPr>
                <w:rFonts w:ascii="Times New Roman" w:hAnsi="Times New Roman" w:eastAsia="Times New Roman" w:cs="Times New Roman"/>
                <w:spacing w:val="-1"/>
              </w:rPr>
              <w:t>-60</w:t>
            </w:r>
            <w:r>
              <w:rPr>
                <w:spacing w:val="-1"/>
              </w:rPr>
              <w:t>×</w:t>
            </w:r>
            <w:r>
              <w:rPr>
                <w:rFonts w:ascii="Times New Roman" w:hAnsi="Times New Roman" w:eastAsia="Times New Roman" w:cs="Times New Roman"/>
                <w:spacing w:val="-1"/>
              </w:rPr>
              <w:t>8</w:t>
            </w:r>
            <w:r>
              <w:rPr>
                <w:rFonts w:ascii="Times New Roman" w:hAnsi="Times New Roman" w:eastAsia="Times New Roman" w:cs="Times New Roman"/>
              </w:rPr>
              <w:t xml:space="preserve">  </w:t>
            </w:r>
            <w:r>
              <w:rPr>
                <w:spacing w:val="-5"/>
              </w:rPr>
              <w:t>镀锌扁钢，垂直接地极采用Φ</w:t>
            </w:r>
            <w:r>
              <w:rPr>
                <w:rFonts w:ascii="Times New Roman" w:hAnsi="Times New Roman" w:eastAsia="Times New Roman" w:cs="Times New Roman"/>
                <w:spacing w:val="-5"/>
              </w:rPr>
              <w:t xml:space="preserve">50mm,L=2.5m </w:t>
            </w:r>
            <w:r>
              <w:rPr>
                <w:spacing w:val="-5"/>
              </w:rPr>
              <w:t>镀锌钢管，室外主接地网埋深</w:t>
            </w:r>
            <w:r>
              <w:rPr>
                <w:spacing w:val="-40"/>
              </w:rPr>
              <w:t xml:space="preserve"> </w:t>
            </w:r>
            <w:r>
              <w:rPr>
                <w:rFonts w:ascii="Times New Roman" w:hAnsi="Times New Roman" w:eastAsia="Times New Roman" w:cs="Times New Roman"/>
                <w:spacing w:val="-5"/>
              </w:rPr>
              <w:t xml:space="preserve">0.8 </w:t>
            </w:r>
            <w:r>
              <w:rPr>
                <w:spacing w:val="-5"/>
              </w:rPr>
              <w:t>米，</w:t>
            </w:r>
            <w:r>
              <w:t xml:space="preserve"> </w:t>
            </w:r>
            <w:r>
              <w:rPr>
                <w:spacing w:val="-3"/>
              </w:rPr>
              <w:t>垂直接地极长度为</w:t>
            </w:r>
            <w:r>
              <w:rPr>
                <w:spacing w:val="-55"/>
              </w:rPr>
              <w:t xml:space="preserve"> </w:t>
            </w:r>
            <w:r>
              <w:rPr>
                <w:rFonts w:ascii="Times New Roman" w:hAnsi="Times New Roman" w:eastAsia="Times New Roman" w:cs="Times New Roman"/>
                <w:spacing w:val="-3"/>
              </w:rPr>
              <w:t>2.5m</w:t>
            </w:r>
            <w:r>
              <w:rPr>
                <w:spacing w:val="-3"/>
              </w:rPr>
              <w:t>；室内接地网采用</w:t>
            </w:r>
            <w:r>
              <w:rPr>
                <w:rFonts w:ascii="Times New Roman" w:hAnsi="Times New Roman" w:eastAsia="Times New Roman" w:cs="Times New Roman"/>
                <w:spacing w:val="-3"/>
              </w:rPr>
              <w:t>-60</w:t>
            </w:r>
            <w:r>
              <w:rPr>
                <w:spacing w:val="-3"/>
              </w:rPr>
              <w:t>×</w:t>
            </w:r>
            <w:r>
              <w:rPr>
                <w:rFonts w:ascii="Times New Roman" w:hAnsi="Times New Roman" w:eastAsia="Times New Roman" w:cs="Times New Roman"/>
                <w:spacing w:val="-3"/>
              </w:rPr>
              <w:t>6</w:t>
            </w:r>
            <w:r>
              <w:rPr>
                <w:rFonts w:ascii="Times New Roman" w:hAnsi="Times New Roman" w:eastAsia="Times New Roman" w:cs="Times New Roman"/>
                <w:spacing w:val="14"/>
              </w:rPr>
              <w:t xml:space="preserve"> </w:t>
            </w:r>
            <w:r>
              <w:rPr>
                <w:spacing w:val="-3"/>
              </w:rPr>
              <w:t>热镀锌扁钢，</w:t>
            </w:r>
            <w:r>
              <w:rPr>
                <w:spacing w:val="-4"/>
              </w:rPr>
              <w:t>敷设截面积不小于</w:t>
            </w:r>
            <w:r>
              <w:t xml:space="preserve"> </w:t>
            </w:r>
            <w:r>
              <w:rPr>
                <w:rFonts w:ascii="Times New Roman" w:hAnsi="Times New Roman" w:eastAsia="Times New Roman" w:cs="Times New Roman"/>
                <w:spacing w:val="3"/>
              </w:rPr>
              <w:t>100</w:t>
            </w:r>
            <w:r>
              <w:rPr>
                <w:rFonts w:ascii="Times New Roman" w:hAnsi="Times New Roman" w:eastAsia="Times New Roman" w:cs="Times New Roman"/>
              </w:rPr>
              <w:t>mm</w:t>
            </w:r>
            <w:r>
              <w:rPr>
                <w:spacing w:val="3"/>
              </w:rPr>
              <w:t>²与主接地网紧密连接的等电位体。升压站设环行道路，作为设备运输、</w:t>
            </w:r>
            <w:r>
              <w:rPr>
                <w:spacing w:val="8"/>
              </w:rPr>
              <w:t xml:space="preserve"> </w:t>
            </w:r>
            <w:r>
              <w:rPr>
                <w:spacing w:val="-1"/>
              </w:rPr>
              <w:t>巡视、消防的通道。</w:t>
            </w:r>
          </w:p>
          <w:p w14:paraId="196AEC64">
            <w:pPr>
              <w:pStyle w:val="6"/>
              <w:spacing w:before="58" w:line="219" w:lineRule="auto"/>
              <w:ind w:left="588"/>
            </w:pPr>
            <w:r>
              <w:rPr>
                <w:spacing w:val="-1"/>
              </w:rPr>
              <w:t>升压站主要设备设施清单见下表：</w:t>
            </w:r>
          </w:p>
          <w:p w14:paraId="08A955C2">
            <w:pPr>
              <w:pStyle w:val="6"/>
              <w:spacing w:before="176" w:line="228" w:lineRule="auto"/>
              <w:ind w:left="2658"/>
              <w:rPr>
                <w:sz w:val="20"/>
                <w:szCs w:val="20"/>
              </w:rPr>
            </w:pPr>
            <w:r>
              <w:rPr>
                <w:b/>
                <w:bCs/>
                <w:spacing w:val="5"/>
                <w:sz w:val="20"/>
                <w:szCs w:val="20"/>
              </w:rPr>
              <w:t>表</w:t>
            </w:r>
            <w:r>
              <w:rPr>
                <w:spacing w:val="-22"/>
                <w:sz w:val="20"/>
                <w:szCs w:val="20"/>
              </w:rPr>
              <w:t xml:space="preserve"> </w:t>
            </w:r>
            <w:r>
              <w:rPr>
                <w:rFonts w:ascii="Times New Roman" w:hAnsi="Times New Roman" w:eastAsia="Times New Roman" w:cs="Times New Roman"/>
                <w:b/>
                <w:bCs/>
                <w:spacing w:val="5"/>
                <w:sz w:val="20"/>
                <w:szCs w:val="20"/>
              </w:rPr>
              <w:t xml:space="preserve">2-9    </w:t>
            </w:r>
            <w:r>
              <w:rPr>
                <w:b/>
                <w:bCs/>
                <w:spacing w:val="5"/>
                <w:sz w:val="20"/>
                <w:szCs w:val="20"/>
              </w:rPr>
              <w:t>升压站设备设施清单一览表</w:t>
            </w:r>
          </w:p>
        </w:tc>
      </w:tr>
      <w:tr w14:paraId="696EA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64" w:type="dxa"/>
            <w:vMerge w:val="continue"/>
            <w:tcBorders>
              <w:top w:val="nil"/>
              <w:left w:val="single" w:color="000000" w:sz="6" w:space="0"/>
              <w:bottom w:val="nil"/>
            </w:tcBorders>
            <w:vAlign w:val="top"/>
          </w:tcPr>
          <w:p w14:paraId="0D202D7B">
            <w:pPr>
              <w:rPr>
                <w:rFonts w:ascii="Arial"/>
                <w:sz w:val="21"/>
              </w:rPr>
            </w:pPr>
          </w:p>
        </w:tc>
        <w:tc>
          <w:tcPr>
            <w:tcW w:w="222" w:type="dxa"/>
            <w:vMerge w:val="restart"/>
            <w:tcBorders>
              <w:top w:val="nil"/>
              <w:bottom w:val="nil"/>
            </w:tcBorders>
            <w:vAlign w:val="top"/>
          </w:tcPr>
          <w:p w14:paraId="6E7CCF2A">
            <w:pPr>
              <w:rPr>
                <w:rFonts w:ascii="Arial"/>
                <w:sz w:val="21"/>
              </w:rPr>
            </w:pPr>
          </w:p>
        </w:tc>
        <w:tc>
          <w:tcPr>
            <w:tcW w:w="1096" w:type="dxa"/>
            <w:vAlign w:val="top"/>
          </w:tcPr>
          <w:p w14:paraId="6E9DC009">
            <w:pPr>
              <w:pStyle w:val="6"/>
              <w:spacing w:before="178" w:line="230" w:lineRule="auto"/>
              <w:ind w:left="339"/>
              <w:rPr>
                <w:sz w:val="20"/>
                <w:szCs w:val="20"/>
              </w:rPr>
            </w:pPr>
            <w:r>
              <w:rPr>
                <w:spacing w:val="3"/>
                <w:sz w:val="20"/>
                <w:szCs w:val="20"/>
              </w:rPr>
              <w:t>名称</w:t>
            </w:r>
          </w:p>
        </w:tc>
        <w:tc>
          <w:tcPr>
            <w:tcW w:w="4243" w:type="dxa"/>
            <w:vAlign w:val="top"/>
          </w:tcPr>
          <w:p w14:paraId="2CF1E2C6">
            <w:pPr>
              <w:pStyle w:val="6"/>
              <w:spacing w:before="178" w:line="228" w:lineRule="auto"/>
              <w:ind w:left="1916"/>
              <w:rPr>
                <w:sz w:val="20"/>
                <w:szCs w:val="20"/>
              </w:rPr>
            </w:pPr>
            <w:r>
              <w:rPr>
                <w:spacing w:val="3"/>
                <w:sz w:val="20"/>
                <w:szCs w:val="20"/>
              </w:rPr>
              <w:t>参数</w:t>
            </w:r>
          </w:p>
        </w:tc>
        <w:tc>
          <w:tcPr>
            <w:tcW w:w="549" w:type="dxa"/>
            <w:textDirection w:val="tbRlV"/>
            <w:vAlign w:val="top"/>
          </w:tcPr>
          <w:p w14:paraId="763E0B18">
            <w:pPr>
              <w:pStyle w:val="6"/>
              <w:spacing w:before="166" w:line="216" w:lineRule="auto"/>
              <w:ind w:left="44"/>
              <w:rPr>
                <w:sz w:val="20"/>
                <w:szCs w:val="20"/>
              </w:rPr>
            </w:pPr>
            <w:r>
              <w:rPr>
                <w:spacing w:val="8"/>
                <w:sz w:val="20"/>
                <w:szCs w:val="20"/>
              </w:rPr>
              <w:t>单</w:t>
            </w:r>
            <w:r>
              <w:rPr>
                <w:spacing w:val="-38"/>
                <w:sz w:val="20"/>
                <w:szCs w:val="20"/>
              </w:rPr>
              <w:t xml:space="preserve"> </w:t>
            </w:r>
            <w:r>
              <w:rPr>
                <w:spacing w:val="8"/>
                <w:sz w:val="20"/>
                <w:szCs w:val="20"/>
              </w:rPr>
              <w:t>位</w:t>
            </w:r>
          </w:p>
        </w:tc>
        <w:tc>
          <w:tcPr>
            <w:tcW w:w="629" w:type="dxa"/>
            <w:textDirection w:val="tbRlV"/>
            <w:vAlign w:val="top"/>
          </w:tcPr>
          <w:p w14:paraId="3D271E59">
            <w:pPr>
              <w:pStyle w:val="6"/>
              <w:spacing w:before="203" w:line="216" w:lineRule="auto"/>
              <w:ind w:left="44"/>
              <w:rPr>
                <w:sz w:val="20"/>
                <w:szCs w:val="20"/>
              </w:rPr>
            </w:pPr>
            <w:r>
              <w:rPr>
                <w:spacing w:val="8"/>
                <w:sz w:val="20"/>
                <w:szCs w:val="20"/>
              </w:rPr>
              <w:t>数</w:t>
            </w:r>
            <w:r>
              <w:rPr>
                <w:spacing w:val="-38"/>
                <w:sz w:val="20"/>
                <w:szCs w:val="20"/>
              </w:rPr>
              <w:t xml:space="preserve"> </w:t>
            </w:r>
            <w:r>
              <w:rPr>
                <w:spacing w:val="8"/>
                <w:sz w:val="20"/>
                <w:szCs w:val="20"/>
              </w:rPr>
              <w:t>量</w:t>
            </w:r>
          </w:p>
        </w:tc>
        <w:tc>
          <w:tcPr>
            <w:tcW w:w="1629" w:type="dxa"/>
            <w:vAlign w:val="top"/>
          </w:tcPr>
          <w:p w14:paraId="503B1BB2">
            <w:pPr>
              <w:pStyle w:val="6"/>
              <w:spacing w:before="178" w:line="229" w:lineRule="auto"/>
              <w:ind w:left="617"/>
              <w:rPr>
                <w:sz w:val="20"/>
                <w:szCs w:val="20"/>
              </w:rPr>
            </w:pPr>
            <w:r>
              <w:rPr>
                <w:spacing w:val="3"/>
                <w:sz w:val="20"/>
                <w:szCs w:val="20"/>
              </w:rPr>
              <w:t>备注</w:t>
            </w:r>
          </w:p>
        </w:tc>
        <w:tc>
          <w:tcPr>
            <w:tcW w:w="232" w:type="dxa"/>
            <w:vMerge w:val="restart"/>
            <w:tcBorders>
              <w:top w:val="nil"/>
              <w:bottom w:val="nil"/>
              <w:right w:val="single" w:color="000000" w:sz="6" w:space="0"/>
            </w:tcBorders>
            <w:vAlign w:val="top"/>
          </w:tcPr>
          <w:p w14:paraId="7828E722">
            <w:pPr>
              <w:rPr>
                <w:rFonts w:ascii="Arial"/>
                <w:sz w:val="21"/>
              </w:rPr>
            </w:pPr>
          </w:p>
        </w:tc>
      </w:tr>
      <w:tr w14:paraId="0C17D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 w:hRule="atLeast"/>
        </w:trPr>
        <w:tc>
          <w:tcPr>
            <w:tcW w:w="464" w:type="dxa"/>
            <w:vMerge w:val="continue"/>
            <w:tcBorders>
              <w:top w:val="nil"/>
              <w:left w:val="single" w:color="000000" w:sz="6" w:space="0"/>
              <w:bottom w:val="single" w:color="000000" w:sz="6" w:space="0"/>
            </w:tcBorders>
            <w:vAlign w:val="top"/>
          </w:tcPr>
          <w:p w14:paraId="29F8678B">
            <w:pPr>
              <w:rPr>
                <w:rFonts w:ascii="Arial"/>
                <w:sz w:val="21"/>
              </w:rPr>
            </w:pPr>
          </w:p>
        </w:tc>
        <w:tc>
          <w:tcPr>
            <w:tcW w:w="222" w:type="dxa"/>
            <w:vMerge w:val="continue"/>
            <w:tcBorders>
              <w:top w:val="nil"/>
              <w:bottom w:val="single" w:color="000000" w:sz="6" w:space="0"/>
            </w:tcBorders>
            <w:vAlign w:val="top"/>
          </w:tcPr>
          <w:p w14:paraId="68FDAC48">
            <w:pPr>
              <w:rPr>
                <w:rFonts w:ascii="Arial"/>
                <w:sz w:val="21"/>
              </w:rPr>
            </w:pPr>
          </w:p>
        </w:tc>
        <w:tc>
          <w:tcPr>
            <w:tcW w:w="1096" w:type="dxa"/>
            <w:tcBorders>
              <w:bottom w:val="single" w:color="000000" w:sz="6" w:space="0"/>
            </w:tcBorders>
            <w:vAlign w:val="top"/>
          </w:tcPr>
          <w:p w14:paraId="75E45FF2">
            <w:pPr>
              <w:spacing w:line="385" w:lineRule="auto"/>
              <w:rPr>
                <w:rFonts w:ascii="Arial"/>
                <w:sz w:val="21"/>
              </w:rPr>
            </w:pPr>
          </w:p>
          <w:p w14:paraId="429D4DCC">
            <w:pPr>
              <w:pStyle w:val="6"/>
              <w:spacing w:before="65"/>
              <w:ind w:left="230" w:right="113" w:hanging="128"/>
              <w:rPr>
                <w:sz w:val="20"/>
                <w:szCs w:val="20"/>
              </w:rPr>
            </w:pPr>
            <w:r>
              <w:rPr>
                <w:rFonts w:ascii="Times New Roman" w:hAnsi="Times New Roman" w:eastAsia="Times New Roman" w:cs="Times New Roman"/>
                <w:spacing w:val="5"/>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14"/>
                <w:sz w:val="20"/>
                <w:szCs w:val="20"/>
              </w:rPr>
              <w:t xml:space="preserve"> </w:t>
            </w:r>
            <w:r>
              <w:rPr>
                <w:spacing w:val="5"/>
                <w:sz w:val="20"/>
                <w:szCs w:val="20"/>
              </w:rPr>
              <w:t>主</w:t>
            </w:r>
            <w:r>
              <w:rPr>
                <w:sz w:val="20"/>
                <w:szCs w:val="20"/>
              </w:rPr>
              <w:t xml:space="preserve"> </w:t>
            </w:r>
            <w:r>
              <w:rPr>
                <w:spacing w:val="6"/>
                <w:sz w:val="20"/>
                <w:szCs w:val="20"/>
              </w:rPr>
              <w:t>变压器</w:t>
            </w:r>
          </w:p>
        </w:tc>
        <w:tc>
          <w:tcPr>
            <w:tcW w:w="4243" w:type="dxa"/>
            <w:tcBorders>
              <w:bottom w:val="single" w:color="000000" w:sz="6" w:space="0"/>
            </w:tcBorders>
            <w:vAlign w:val="top"/>
          </w:tcPr>
          <w:p w14:paraId="69A43071">
            <w:pPr>
              <w:pStyle w:val="6"/>
              <w:spacing w:before="179" w:line="228" w:lineRule="auto"/>
              <w:ind w:left="132"/>
              <w:rPr>
                <w:sz w:val="20"/>
                <w:szCs w:val="20"/>
              </w:rPr>
            </w:pPr>
            <w:r>
              <w:rPr>
                <w:spacing w:val="5"/>
                <w:sz w:val="20"/>
                <w:szCs w:val="20"/>
              </w:rPr>
              <w:t>电压等级</w:t>
            </w:r>
            <w:r>
              <w:rPr>
                <w:spacing w:val="-38"/>
                <w:sz w:val="20"/>
                <w:szCs w:val="20"/>
              </w:rPr>
              <w:t xml:space="preserve"> </w:t>
            </w:r>
            <w:r>
              <w:rPr>
                <w:rFonts w:ascii="Times New Roman" w:hAnsi="Times New Roman" w:eastAsia="Times New Roman" w:cs="Times New Roman"/>
                <w:spacing w:val="5"/>
                <w:sz w:val="20"/>
                <w:szCs w:val="20"/>
              </w:rPr>
              <w:t>220</w:t>
            </w:r>
            <w:r>
              <w:rPr>
                <w:rFonts w:ascii="Times New Roman" w:hAnsi="Times New Roman" w:eastAsia="Times New Roman" w:cs="Times New Roman"/>
                <w:sz w:val="20"/>
                <w:szCs w:val="20"/>
              </w:rPr>
              <w:t>KV</w:t>
            </w:r>
            <w:r>
              <w:rPr>
                <w:spacing w:val="5"/>
                <w:sz w:val="20"/>
                <w:szCs w:val="20"/>
              </w:rPr>
              <w:t>，</w:t>
            </w:r>
            <w:r>
              <w:rPr>
                <w:rFonts w:ascii="Times New Roman" w:hAnsi="Times New Roman" w:eastAsia="Times New Roman" w:cs="Times New Roman"/>
                <w:spacing w:val="5"/>
                <w:sz w:val="20"/>
                <w:szCs w:val="20"/>
              </w:rPr>
              <w:t>.</w:t>
            </w:r>
            <w:r>
              <w:rPr>
                <w:spacing w:val="5"/>
                <w:sz w:val="20"/>
                <w:szCs w:val="20"/>
              </w:rPr>
              <w:t>三相铜芯双绕组有载调压</w:t>
            </w:r>
          </w:p>
          <w:p w14:paraId="45E12B21">
            <w:pPr>
              <w:pStyle w:val="6"/>
              <w:spacing w:before="24" w:line="218" w:lineRule="auto"/>
              <w:ind w:right="10"/>
              <w:jc w:val="right"/>
              <w:rPr>
                <w:sz w:val="20"/>
                <w:szCs w:val="20"/>
              </w:rPr>
            </w:pPr>
            <w:r>
              <w:rPr>
                <w:spacing w:val="2"/>
                <w:sz w:val="20"/>
                <w:szCs w:val="20"/>
              </w:rPr>
              <w:t>（二级能效</w:t>
            </w:r>
            <w:r>
              <w:rPr>
                <w:spacing w:val="-38"/>
                <w:sz w:val="20"/>
                <w:szCs w:val="20"/>
              </w:rPr>
              <w:t>，），</w:t>
            </w:r>
            <w:r>
              <w:rPr>
                <w:spacing w:val="2"/>
                <w:sz w:val="20"/>
                <w:szCs w:val="20"/>
              </w:rPr>
              <w:t>电压比：</w:t>
            </w:r>
            <w:r>
              <w:rPr>
                <w:rFonts w:ascii="Times New Roman" w:hAnsi="Times New Roman" w:eastAsia="Times New Roman" w:cs="Times New Roman"/>
                <w:spacing w:val="2"/>
                <w:sz w:val="20"/>
                <w:szCs w:val="20"/>
              </w:rPr>
              <w:t>230</w:t>
            </w:r>
            <w:r>
              <w:rPr>
                <w:spacing w:val="2"/>
                <w:sz w:val="20"/>
                <w:szCs w:val="20"/>
              </w:rPr>
              <w:t>±</w:t>
            </w:r>
            <w:r>
              <w:rPr>
                <w:rFonts w:ascii="Times New Roman" w:hAnsi="Times New Roman" w:eastAsia="Times New Roman" w:cs="Times New Roman"/>
                <w:spacing w:val="2"/>
                <w:sz w:val="20"/>
                <w:szCs w:val="20"/>
              </w:rPr>
              <w:t>8</w:t>
            </w:r>
            <w:r>
              <w:rPr>
                <w:spacing w:val="2"/>
                <w:sz w:val="20"/>
                <w:szCs w:val="20"/>
              </w:rPr>
              <w:t>×</w:t>
            </w:r>
            <w:r>
              <w:rPr>
                <w:rFonts w:ascii="Times New Roman" w:hAnsi="Times New Roman" w:eastAsia="Times New Roman" w:cs="Times New Roman"/>
                <w:spacing w:val="2"/>
                <w:sz w:val="20"/>
                <w:szCs w:val="20"/>
              </w:rPr>
              <w:t>1.25%/37</w:t>
            </w:r>
            <w:r>
              <w:rPr>
                <w:spacing w:val="2"/>
                <w:sz w:val="20"/>
                <w:szCs w:val="20"/>
              </w:rPr>
              <w:t>，</w:t>
            </w:r>
          </w:p>
          <w:p w14:paraId="0649893C">
            <w:pPr>
              <w:pStyle w:val="6"/>
              <w:spacing w:line="281" w:lineRule="exact"/>
              <w:ind w:left="110"/>
              <w:rPr>
                <w:sz w:val="20"/>
                <w:szCs w:val="20"/>
              </w:rPr>
            </w:pPr>
            <w:r>
              <w:rPr>
                <w:position w:val="1"/>
                <w:sz w:val="20"/>
                <w:szCs w:val="20"/>
              </w:rPr>
              <w:t>容量</w:t>
            </w:r>
            <w:r>
              <w:rPr>
                <w:spacing w:val="-18"/>
                <w:position w:val="1"/>
                <w:sz w:val="20"/>
                <w:szCs w:val="20"/>
              </w:rPr>
              <w:t xml:space="preserve"> </w:t>
            </w:r>
            <w:r>
              <w:rPr>
                <w:rFonts w:ascii="Times New Roman" w:hAnsi="Times New Roman" w:eastAsia="Times New Roman" w:cs="Times New Roman"/>
                <w:position w:val="1"/>
                <w:sz w:val="20"/>
                <w:szCs w:val="20"/>
              </w:rPr>
              <w:t>180MVA</w:t>
            </w:r>
            <w:r>
              <w:rPr>
                <w:rFonts w:ascii="Times New Roman" w:hAnsi="Times New Roman" w:eastAsia="Times New Roman" w:cs="Times New Roman"/>
                <w:spacing w:val="-27"/>
                <w:position w:val="1"/>
                <w:sz w:val="20"/>
                <w:szCs w:val="20"/>
              </w:rPr>
              <w:t xml:space="preserve"> </w:t>
            </w:r>
            <w:r>
              <w:rPr>
                <w:position w:val="1"/>
                <w:sz w:val="20"/>
                <w:szCs w:val="20"/>
              </w:rPr>
              <w:t>，阻抗百分比：</w:t>
            </w:r>
            <w:r>
              <w:rPr>
                <w:rFonts w:ascii="Times New Roman" w:hAnsi="Times New Roman" w:eastAsia="Times New Roman" w:cs="Times New Roman"/>
                <w:position w:val="1"/>
                <w:sz w:val="20"/>
                <w:szCs w:val="20"/>
              </w:rPr>
              <w:t>Uk=</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position w:val="1"/>
                <w:sz w:val="20"/>
                <w:szCs w:val="20"/>
              </w:rPr>
              <w:t>14%</w:t>
            </w:r>
            <w:r>
              <w:rPr>
                <w:position w:val="1"/>
                <w:sz w:val="20"/>
                <w:szCs w:val="20"/>
              </w:rPr>
              <w:t>，冷却</w:t>
            </w:r>
          </w:p>
          <w:p w14:paraId="07E3380F">
            <w:pPr>
              <w:pStyle w:val="6"/>
              <w:spacing w:before="30" w:line="229" w:lineRule="auto"/>
              <w:ind w:left="1507"/>
              <w:rPr>
                <w:rFonts w:ascii="Times New Roman" w:hAnsi="Times New Roman" w:eastAsia="Times New Roman" w:cs="Times New Roman"/>
                <w:sz w:val="20"/>
                <w:szCs w:val="20"/>
              </w:rPr>
            </w:pPr>
            <w:r>
              <w:rPr>
                <w:spacing w:val="15"/>
                <w:sz w:val="20"/>
                <w:szCs w:val="20"/>
              </w:rPr>
              <w:t>方式：</w:t>
            </w:r>
            <w:r>
              <w:rPr>
                <w:rFonts w:ascii="Times New Roman" w:hAnsi="Times New Roman" w:eastAsia="Times New Roman" w:cs="Times New Roman"/>
                <w:sz w:val="20"/>
                <w:szCs w:val="20"/>
              </w:rPr>
              <w:t>ONAN</w:t>
            </w:r>
          </w:p>
        </w:tc>
        <w:tc>
          <w:tcPr>
            <w:tcW w:w="549" w:type="dxa"/>
            <w:tcBorders>
              <w:bottom w:val="single" w:color="000000" w:sz="6" w:space="0"/>
            </w:tcBorders>
            <w:vAlign w:val="top"/>
          </w:tcPr>
          <w:p w14:paraId="56074023">
            <w:pPr>
              <w:spacing w:line="261" w:lineRule="auto"/>
              <w:rPr>
                <w:rFonts w:ascii="Arial"/>
                <w:sz w:val="21"/>
              </w:rPr>
            </w:pPr>
          </w:p>
          <w:p w14:paraId="016BA3E3">
            <w:pPr>
              <w:spacing w:line="261" w:lineRule="auto"/>
              <w:rPr>
                <w:rFonts w:ascii="Arial"/>
                <w:sz w:val="21"/>
              </w:rPr>
            </w:pPr>
          </w:p>
          <w:p w14:paraId="07548545">
            <w:pPr>
              <w:pStyle w:val="6"/>
              <w:spacing w:before="65" w:line="230" w:lineRule="auto"/>
              <w:ind w:left="193"/>
              <w:rPr>
                <w:sz w:val="20"/>
                <w:szCs w:val="20"/>
              </w:rPr>
            </w:pPr>
            <w:r>
              <w:rPr>
                <w:sz w:val="20"/>
                <w:szCs w:val="20"/>
              </w:rPr>
              <w:t>台</w:t>
            </w:r>
          </w:p>
        </w:tc>
        <w:tc>
          <w:tcPr>
            <w:tcW w:w="629" w:type="dxa"/>
            <w:tcBorders>
              <w:bottom w:val="single" w:color="000000" w:sz="6" w:space="0"/>
            </w:tcBorders>
            <w:vAlign w:val="top"/>
          </w:tcPr>
          <w:p w14:paraId="6C7DB17D">
            <w:pPr>
              <w:spacing w:line="282" w:lineRule="auto"/>
              <w:rPr>
                <w:rFonts w:ascii="Arial"/>
                <w:sz w:val="21"/>
              </w:rPr>
            </w:pPr>
          </w:p>
          <w:p w14:paraId="6526E6A2">
            <w:pPr>
              <w:spacing w:line="283" w:lineRule="auto"/>
              <w:rPr>
                <w:rFonts w:ascii="Arial"/>
                <w:sz w:val="21"/>
              </w:rPr>
            </w:pPr>
          </w:p>
          <w:p w14:paraId="7409796A">
            <w:pPr>
              <w:spacing w:before="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9" w:type="dxa"/>
            <w:tcBorders>
              <w:bottom w:val="single" w:color="000000" w:sz="6" w:space="0"/>
            </w:tcBorders>
            <w:vAlign w:val="top"/>
          </w:tcPr>
          <w:p w14:paraId="4E9EA4D5">
            <w:pPr>
              <w:pStyle w:val="6"/>
              <w:spacing w:before="46" w:line="244" w:lineRule="auto"/>
              <w:ind w:left="119" w:right="46" w:firstLine="75"/>
              <w:jc w:val="both"/>
              <w:rPr>
                <w:sz w:val="20"/>
                <w:szCs w:val="20"/>
              </w:rPr>
            </w:pPr>
            <w:r>
              <w:rPr>
                <w:spacing w:val="1"/>
                <w:sz w:val="20"/>
                <w:szCs w:val="20"/>
              </w:rPr>
              <w:t>配备</w:t>
            </w:r>
            <w:r>
              <w:rPr>
                <w:spacing w:val="-18"/>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3"/>
                <w:sz w:val="20"/>
                <w:szCs w:val="20"/>
              </w:rPr>
              <w:t xml:space="preserve"> </w:t>
            </w:r>
            <w:r>
              <w:rPr>
                <w:spacing w:val="1"/>
                <w:sz w:val="20"/>
                <w:szCs w:val="20"/>
              </w:rPr>
              <w:t>套中性</w:t>
            </w:r>
            <w:r>
              <w:rPr>
                <w:sz w:val="20"/>
                <w:szCs w:val="20"/>
              </w:rPr>
              <w:t xml:space="preserve">  </w:t>
            </w:r>
            <w:r>
              <w:rPr>
                <w:spacing w:val="20"/>
                <w:sz w:val="20"/>
                <w:szCs w:val="20"/>
              </w:rPr>
              <w:t>点接地成套设</w:t>
            </w:r>
            <w:r>
              <w:rPr>
                <w:spacing w:val="1"/>
                <w:sz w:val="20"/>
                <w:szCs w:val="20"/>
              </w:rPr>
              <w:t xml:space="preserve">  </w:t>
            </w:r>
            <w:r>
              <w:rPr>
                <w:spacing w:val="-9"/>
                <w:sz w:val="20"/>
                <w:szCs w:val="20"/>
              </w:rPr>
              <w:t>备，导线</w:t>
            </w:r>
            <w:r>
              <w:rPr>
                <w:spacing w:val="-18"/>
                <w:sz w:val="20"/>
                <w:szCs w:val="20"/>
              </w:rPr>
              <w:t xml:space="preserve"> </w:t>
            </w:r>
            <w:r>
              <w:rPr>
                <w:rFonts w:ascii="Times New Roman" w:hAnsi="Times New Roman" w:eastAsia="Times New Roman" w:cs="Times New Roman"/>
                <w:spacing w:val="-9"/>
                <w:sz w:val="20"/>
                <w:szCs w:val="20"/>
              </w:rPr>
              <w:t>150m</w:t>
            </w:r>
            <w:r>
              <w:rPr>
                <w:spacing w:val="-9"/>
                <w:sz w:val="20"/>
                <w:szCs w:val="20"/>
              </w:rPr>
              <w:t>，</w:t>
            </w:r>
            <w:r>
              <w:rPr>
                <w:sz w:val="20"/>
                <w:szCs w:val="20"/>
              </w:rPr>
              <w:t xml:space="preserve"> </w:t>
            </w:r>
            <w:r>
              <w:rPr>
                <w:spacing w:val="2"/>
                <w:sz w:val="20"/>
                <w:szCs w:val="20"/>
              </w:rPr>
              <w:t>绝缘子串</w:t>
            </w:r>
            <w:r>
              <w:rPr>
                <w:spacing w:val="-36"/>
                <w:sz w:val="20"/>
                <w:szCs w:val="20"/>
              </w:rPr>
              <w:t xml:space="preserve"> </w:t>
            </w:r>
            <w:r>
              <w:rPr>
                <w:rFonts w:ascii="Times New Roman" w:hAnsi="Times New Roman" w:eastAsia="Times New Roman" w:cs="Times New Roman"/>
                <w:spacing w:val="2"/>
                <w:sz w:val="20"/>
                <w:szCs w:val="20"/>
              </w:rPr>
              <w:t>9</w:t>
            </w:r>
            <w:r>
              <w:rPr>
                <w:rFonts w:ascii="Times New Roman" w:hAnsi="Times New Roman" w:eastAsia="Times New Roman" w:cs="Times New Roman"/>
                <w:spacing w:val="29"/>
                <w:sz w:val="20"/>
                <w:szCs w:val="20"/>
              </w:rPr>
              <w:t xml:space="preserve"> </w:t>
            </w:r>
            <w:r>
              <w:rPr>
                <w:spacing w:val="2"/>
                <w:sz w:val="20"/>
                <w:szCs w:val="20"/>
              </w:rPr>
              <w:t>串，</w:t>
            </w:r>
            <w:r>
              <w:rPr>
                <w:sz w:val="20"/>
                <w:szCs w:val="20"/>
              </w:rPr>
              <w:t xml:space="preserve"> </w:t>
            </w:r>
            <w:r>
              <w:rPr>
                <w:spacing w:val="8"/>
                <w:sz w:val="20"/>
                <w:szCs w:val="20"/>
              </w:rPr>
              <w:t>导线金具</w:t>
            </w:r>
            <w:r>
              <w:rPr>
                <w:spacing w:val="-36"/>
                <w:sz w:val="20"/>
                <w:szCs w:val="20"/>
              </w:rPr>
              <w:t xml:space="preserve"> </w:t>
            </w:r>
            <w:r>
              <w:rPr>
                <w:rFonts w:ascii="Times New Roman" w:hAnsi="Times New Roman" w:eastAsia="Times New Roman" w:cs="Times New Roman"/>
                <w:spacing w:val="8"/>
                <w:sz w:val="20"/>
                <w:szCs w:val="20"/>
              </w:rPr>
              <w:t xml:space="preserve">24 </w:t>
            </w:r>
            <w:r>
              <w:rPr>
                <w:spacing w:val="8"/>
                <w:sz w:val="20"/>
                <w:szCs w:val="20"/>
              </w:rPr>
              <w:t>套</w:t>
            </w:r>
          </w:p>
        </w:tc>
        <w:tc>
          <w:tcPr>
            <w:tcW w:w="232" w:type="dxa"/>
            <w:vMerge w:val="continue"/>
            <w:tcBorders>
              <w:top w:val="nil"/>
              <w:bottom w:val="single" w:color="000000" w:sz="6" w:space="0"/>
              <w:right w:val="single" w:color="000000" w:sz="6" w:space="0"/>
            </w:tcBorders>
            <w:vAlign w:val="top"/>
          </w:tcPr>
          <w:p w14:paraId="33864DF2">
            <w:pPr>
              <w:rPr>
                <w:rFonts w:ascii="Arial"/>
                <w:sz w:val="21"/>
              </w:rPr>
            </w:pPr>
          </w:p>
        </w:tc>
      </w:tr>
    </w:tbl>
    <w:p w14:paraId="3ED6129E">
      <w:pPr>
        <w:rPr>
          <w:rFonts w:ascii="Arial"/>
          <w:sz w:val="21"/>
        </w:rPr>
      </w:pPr>
    </w:p>
    <w:p w14:paraId="2A7EE494">
      <w:pPr>
        <w:rPr>
          <w:rFonts w:ascii="Arial" w:hAnsi="Arial" w:eastAsia="Arial" w:cs="Arial"/>
          <w:sz w:val="21"/>
          <w:szCs w:val="21"/>
        </w:rPr>
        <w:sectPr>
          <w:footerReference r:id="rId66" w:type="default"/>
          <w:pgSz w:w="11906" w:h="16839"/>
          <w:pgMar w:top="1431" w:right="1413" w:bottom="1278" w:left="1413" w:header="0" w:footer="1116" w:gutter="0"/>
          <w:cols w:space="720" w:num="1"/>
        </w:sectPr>
      </w:pPr>
    </w:p>
    <w:p w14:paraId="3084DFB3">
      <w:pPr>
        <w:spacing w:line="99" w:lineRule="exact"/>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
        <w:gridCol w:w="222"/>
        <w:gridCol w:w="1096"/>
        <w:gridCol w:w="4243"/>
        <w:gridCol w:w="549"/>
        <w:gridCol w:w="629"/>
        <w:gridCol w:w="1629"/>
        <w:gridCol w:w="232"/>
      </w:tblGrid>
      <w:tr w14:paraId="19B4A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64" w:type="dxa"/>
            <w:vMerge w:val="restart"/>
            <w:tcBorders>
              <w:top w:val="single" w:color="000000" w:sz="6" w:space="0"/>
              <w:left w:val="single" w:color="000000" w:sz="6" w:space="0"/>
              <w:bottom w:val="nil"/>
            </w:tcBorders>
            <w:vAlign w:val="top"/>
          </w:tcPr>
          <w:p w14:paraId="70E1DA8E">
            <w:pPr>
              <w:rPr>
                <w:rFonts w:ascii="Arial"/>
                <w:sz w:val="21"/>
              </w:rPr>
            </w:pPr>
          </w:p>
        </w:tc>
        <w:tc>
          <w:tcPr>
            <w:tcW w:w="222" w:type="dxa"/>
            <w:vMerge w:val="restart"/>
            <w:tcBorders>
              <w:top w:val="single" w:color="000000" w:sz="6" w:space="0"/>
              <w:bottom w:val="nil"/>
            </w:tcBorders>
            <w:vAlign w:val="top"/>
          </w:tcPr>
          <w:p w14:paraId="7AAF2AD5">
            <w:pPr>
              <w:rPr>
                <w:rFonts w:ascii="Arial"/>
                <w:sz w:val="21"/>
              </w:rPr>
            </w:pPr>
          </w:p>
        </w:tc>
        <w:tc>
          <w:tcPr>
            <w:tcW w:w="1096" w:type="dxa"/>
            <w:tcBorders>
              <w:top w:val="single" w:color="000000" w:sz="6" w:space="0"/>
            </w:tcBorders>
            <w:vAlign w:val="top"/>
          </w:tcPr>
          <w:p w14:paraId="4D0B5B22">
            <w:pPr>
              <w:pStyle w:val="6"/>
              <w:spacing w:before="47" w:line="234" w:lineRule="auto"/>
              <w:ind w:left="127" w:right="133"/>
              <w:rPr>
                <w:sz w:val="20"/>
                <w:szCs w:val="20"/>
              </w:rPr>
            </w:pPr>
            <w:r>
              <w:rPr>
                <w:spacing w:val="7"/>
                <w:sz w:val="20"/>
                <w:szCs w:val="20"/>
              </w:rPr>
              <w:t>接地变及</w:t>
            </w:r>
            <w:r>
              <w:rPr>
                <w:spacing w:val="1"/>
                <w:sz w:val="20"/>
                <w:szCs w:val="20"/>
              </w:rPr>
              <w:t xml:space="preserve"> </w:t>
            </w:r>
            <w:r>
              <w:rPr>
                <w:spacing w:val="7"/>
                <w:sz w:val="20"/>
                <w:szCs w:val="20"/>
              </w:rPr>
              <w:t>接地电阻</w:t>
            </w:r>
          </w:p>
        </w:tc>
        <w:tc>
          <w:tcPr>
            <w:tcW w:w="4243" w:type="dxa"/>
            <w:tcBorders>
              <w:top w:val="single" w:color="000000" w:sz="6" w:space="0"/>
            </w:tcBorders>
            <w:vAlign w:val="top"/>
          </w:tcPr>
          <w:p w14:paraId="341E1B53">
            <w:pPr>
              <w:pStyle w:val="6"/>
              <w:spacing w:before="47" w:line="234" w:lineRule="auto"/>
              <w:ind w:left="535" w:right="104" w:hanging="4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4"/>
                <w:sz w:val="20"/>
                <w:szCs w:val="20"/>
              </w:rPr>
              <w:t xml:space="preserve"> </w:t>
            </w:r>
            <w:r>
              <w:rPr>
                <w:spacing w:val="4"/>
                <w:sz w:val="20"/>
                <w:szCs w:val="20"/>
              </w:rPr>
              <w:t>接地变及接地电阻成套装置柜，接地电</w:t>
            </w:r>
            <w:r>
              <w:rPr>
                <w:spacing w:val="6"/>
                <w:sz w:val="20"/>
                <w:szCs w:val="20"/>
              </w:rPr>
              <w:t xml:space="preserve"> </w:t>
            </w:r>
            <w:r>
              <w:rPr>
                <w:spacing w:val="-1"/>
                <w:sz w:val="20"/>
                <w:szCs w:val="20"/>
              </w:rPr>
              <w:t>阻</w:t>
            </w:r>
            <w:r>
              <w:rPr>
                <w:spacing w:val="-33"/>
                <w:sz w:val="20"/>
                <w:szCs w:val="20"/>
              </w:rPr>
              <w:t xml:space="preserve"> </w:t>
            </w:r>
            <w:r>
              <w:rPr>
                <w:rFonts w:ascii="Times New Roman" w:hAnsi="Times New Roman" w:eastAsia="Times New Roman" w:cs="Times New Roman"/>
                <w:spacing w:val="-1"/>
                <w:sz w:val="20"/>
                <w:szCs w:val="20"/>
              </w:rPr>
              <w:t xml:space="preserve">35-600A-33.7 </w:t>
            </w:r>
            <w:r>
              <w:rPr>
                <w:spacing w:val="-1"/>
                <w:sz w:val="20"/>
                <w:szCs w:val="20"/>
              </w:rPr>
              <w:t>Ω</w:t>
            </w:r>
            <w:r>
              <w:rPr>
                <w:spacing w:val="-72"/>
                <w:sz w:val="20"/>
                <w:szCs w:val="20"/>
              </w:rPr>
              <w:t xml:space="preserve"> </w:t>
            </w:r>
            <w:r>
              <w:rPr>
                <w:spacing w:val="-1"/>
                <w:sz w:val="20"/>
                <w:szCs w:val="20"/>
              </w:rPr>
              <w:t>,</w:t>
            </w:r>
            <w:r>
              <w:rPr>
                <w:spacing w:val="59"/>
                <w:sz w:val="20"/>
                <w:szCs w:val="20"/>
              </w:rPr>
              <w:t xml:space="preserve"> </w:t>
            </w:r>
            <w:r>
              <w:rPr>
                <w:spacing w:val="-1"/>
                <w:sz w:val="20"/>
                <w:szCs w:val="20"/>
              </w:rPr>
              <w:t>通流时间≤</w:t>
            </w:r>
            <w:r>
              <w:rPr>
                <w:rFonts w:ascii="Times New Roman" w:hAnsi="Times New Roman" w:eastAsia="Times New Roman" w:cs="Times New Roman"/>
                <w:spacing w:val="-1"/>
                <w:sz w:val="20"/>
                <w:szCs w:val="20"/>
              </w:rPr>
              <w:t>10s</w:t>
            </w:r>
          </w:p>
        </w:tc>
        <w:tc>
          <w:tcPr>
            <w:tcW w:w="549" w:type="dxa"/>
            <w:tcBorders>
              <w:top w:val="single" w:color="000000" w:sz="6" w:space="0"/>
            </w:tcBorders>
            <w:vAlign w:val="top"/>
          </w:tcPr>
          <w:p w14:paraId="60576AAD">
            <w:pPr>
              <w:pStyle w:val="6"/>
              <w:spacing w:before="180" w:line="230" w:lineRule="auto"/>
              <w:ind w:left="193"/>
              <w:rPr>
                <w:sz w:val="20"/>
                <w:szCs w:val="20"/>
              </w:rPr>
            </w:pPr>
            <w:r>
              <w:rPr>
                <w:sz w:val="20"/>
                <w:szCs w:val="20"/>
              </w:rPr>
              <w:t>台</w:t>
            </w:r>
          </w:p>
        </w:tc>
        <w:tc>
          <w:tcPr>
            <w:tcW w:w="629" w:type="dxa"/>
            <w:tcBorders>
              <w:top w:val="single" w:color="000000" w:sz="6" w:space="0"/>
            </w:tcBorders>
            <w:vAlign w:val="top"/>
          </w:tcPr>
          <w:p w14:paraId="5478FCC6">
            <w:pPr>
              <w:spacing w:before="219"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9" w:type="dxa"/>
            <w:tcBorders>
              <w:top w:val="single" w:color="000000" w:sz="6" w:space="0"/>
            </w:tcBorders>
            <w:vAlign w:val="top"/>
          </w:tcPr>
          <w:p w14:paraId="3F76D1FE">
            <w:pPr>
              <w:rPr>
                <w:rFonts w:ascii="Arial"/>
                <w:sz w:val="21"/>
              </w:rPr>
            </w:pPr>
          </w:p>
        </w:tc>
        <w:tc>
          <w:tcPr>
            <w:tcW w:w="232" w:type="dxa"/>
            <w:vMerge w:val="restart"/>
            <w:tcBorders>
              <w:top w:val="single" w:color="000000" w:sz="6" w:space="0"/>
              <w:bottom w:val="nil"/>
              <w:right w:val="single" w:color="000000" w:sz="6" w:space="0"/>
            </w:tcBorders>
            <w:vAlign w:val="top"/>
          </w:tcPr>
          <w:p w14:paraId="77AB6EAA">
            <w:pPr>
              <w:rPr>
                <w:rFonts w:ascii="Arial"/>
                <w:sz w:val="21"/>
              </w:rPr>
            </w:pPr>
          </w:p>
        </w:tc>
      </w:tr>
      <w:tr w14:paraId="64959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64" w:type="dxa"/>
            <w:vMerge w:val="continue"/>
            <w:tcBorders>
              <w:top w:val="nil"/>
              <w:left w:val="single" w:color="000000" w:sz="6" w:space="0"/>
              <w:bottom w:val="nil"/>
            </w:tcBorders>
            <w:vAlign w:val="top"/>
          </w:tcPr>
          <w:p w14:paraId="797B2F1F">
            <w:pPr>
              <w:rPr>
                <w:rFonts w:ascii="Arial"/>
                <w:sz w:val="21"/>
              </w:rPr>
            </w:pPr>
          </w:p>
        </w:tc>
        <w:tc>
          <w:tcPr>
            <w:tcW w:w="222" w:type="dxa"/>
            <w:vMerge w:val="continue"/>
            <w:tcBorders>
              <w:top w:val="nil"/>
              <w:bottom w:val="nil"/>
            </w:tcBorders>
            <w:vAlign w:val="top"/>
          </w:tcPr>
          <w:p w14:paraId="7F26659A">
            <w:pPr>
              <w:rPr>
                <w:rFonts w:ascii="Arial"/>
                <w:sz w:val="21"/>
              </w:rPr>
            </w:pPr>
          </w:p>
        </w:tc>
        <w:tc>
          <w:tcPr>
            <w:tcW w:w="1096" w:type="dxa"/>
            <w:vAlign w:val="top"/>
          </w:tcPr>
          <w:p w14:paraId="72C93322">
            <w:pPr>
              <w:pStyle w:val="6"/>
              <w:spacing w:before="167"/>
              <w:ind w:left="130" w:right="133" w:firstLine="29"/>
              <w:rPr>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9"/>
                <w:sz w:val="20"/>
                <w:szCs w:val="20"/>
              </w:rPr>
              <w:t xml:space="preserve"> </w:t>
            </w:r>
            <w:r>
              <w:rPr>
                <w:spacing w:val="5"/>
                <w:sz w:val="20"/>
                <w:szCs w:val="20"/>
              </w:rPr>
              <w:t>进</w:t>
            </w:r>
            <w:r>
              <w:rPr>
                <w:sz w:val="20"/>
                <w:szCs w:val="20"/>
              </w:rPr>
              <w:t xml:space="preserve"> </w:t>
            </w:r>
            <w:r>
              <w:rPr>
                <w:spacing w:val="6"/>
                <w:sz w:val="20"/>
                <w:szCs w:val="20"/>
              </w:rPr>
              <w:t>线开关柜</w:t>
            </w:r>
          </w:p>
        </w:tc>
        <w:tc>
          <w:tcPr>
            <w:tcW w:w="4243" w:type="dxa"/>
            <w:vAlign w:val="top"/>
          </w:tcPr>
          <w:p w14:paraId="419EAFEF">
            <w:pPr>
              <w:pStyle w:val="6"/>
              <w:spacing w:before="166"/>
              <w:ind w:left="1180" w:right="104" w:hanging="1066"/>
              <w:rPr>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17"/>
                <w:sz w:val="20"/>
                <w:szCs w:val="20"/>
              </w:rPr>
              <w:t xml:space="preserve"> </w:t>
            </w:r>
            <w:r>
              <w:rPr>
                <w:spacing w:val="-3"/>
                <w:sz w:val="20"/>
                <w:szCs w:val="20"/>
              </w:rPr>
              <w:t>电压等级：</w:t>
            </w:r>
            <w:r>
              <w:rPr>
                <w:rFonts w:ascii="Times New Roman" w:hAnsi="Times New Roman" w:eastAsia="Times New Roman" w:cs="Times New Roman"/>
                <w:spacing w:val="-3"/>
                <w:sz w:val="20"/>
                <w:szCs w:val="20"/>
              </w:rPr>
              <w:t>40.5kV</w:t>
            </w:r>
            <w:r>
              <w:rPr>
                <w:spacing w:val="-3"/>
                <w:sz w:val="20"/>
                <w:szCs w:val="20"/>
              </w:rPr>
              <w:t>，型号规格：</w:t>
            </w:r>
            <w:r>
              <w:rPr>
                <w:rFonts w:ascii="Times New Roman" w:hAnsi="Times New Roman" w:eastAsia="Times New Roman" w:cs="Times New Roman"/>
                <w:spacing w:val="-3"/>
                <w:sz w:val="20"/>
                <w:szCs w:val="20"/>
              </w:rPr>
              <w:t>1250A,3</w:t>
            </w:r>
            <w:r>
              <w:rPr>
                <w:rFonts w:ascii="Times New Roman" w:hAnsi="Times New Roman" w:eastAsia="Times New Roman" w:cs="Times New Roman"/>
                <w:spacing w:val="-4"/>
                <w:sz w:val="20"/>
                <w:szCs w:val="20"/>
              </w:rPr>
              <w:t>1.5kA,</w:t>
            </w:r>
            <w:r>
              <w:rPr>
                <w:rFonts w:ascii="Times New Roman" w:hAnsi="Times New Roman" w:eastAsia="Times New Roman" w:cs="Times New Roman"/>
                <w:sz w:val="20"/>
                <w:szCs w:val="20"/>
              </w:rPr>
              <w:t xml:space="preserve"> </w:t>
            </w:r>
            <w:r>
              <w:rPr>
                <w:spacing w:val="8"/>
                <w:sz w:val="20"/>
                <w:szCs w:val="20"/>
              </w:rPr>
              <w:t>配真空断路器空气柜</w:t>
            </w:r>
          </w:p>
        </w:tc>
        <w:tc>
          <w:tcPr>
            <w:tcW w:w="549" w:type="dxa"/>
            <w:vAlign w:val="top"/>
          </w:tcPr>
          <w:p w14:paraId="16505A89">
            <w:pPr>
              <w:pStyle w:val="6"/>
              <w:spacing w:before="303" w:line="230" w:lineRule="auto"/>
              <w:ind w:left="193"/>
              <w:rPr>
                <w:sz w:val="20"/>
                <w:szCs w:val="20"/>
              </w:rPr>
            </w:pPr>
            <w:r>
              <w:rPr>
                <w:sz w:val="20"/>
                <w:szCs w:val="20"/>
              </w:rPr>
              <w:t>台</w:t>
            </w:r>
          </w:p>
        </w:tc>
        <w:tc>
          <w:tcPr>
            <w:tcW w:w="629" w:type="dxa"/>
            <w:vAlign w:val="top"/>
          </w:tcPr>
          <w:p w14:paraId="54C86E39">
            <w:pPr>
              <w:spacing w:line="282" w:lineRule="auto"/>
              <w:rPr>
                <w:rFonts w:ascii="Arial"/>
                <w:sz w:val="21"/>
              </w:rPr>
            </w:pPr>
          </w:p>
          <w:p w14:paraId="2187364C">
            <w:pPr>
              <w:spacing w:before="58" w:line="192"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29" w:type="dxa"/>
            <w:vAlign w:val="top"/>
          </w:tcPr>
          <w:p w14:paraId="4A412152">
            <w:pPr>
              <w:pStyle w:val="6"/>
              <w:spacing w:before="31" w:line="227" w:lineRule="auto"/>
              <w:ind w:left="202"/>
              <w:rPr>
                <w:sz w:val="20"/>
                <w:szCs w:val="20"/>
              </w:rPr>
            </w:pPr>
            <w:r>
              <w:rPr>
                <w:spacing w:val="6"/>
                <w:sz w:val="20"/>
                <w:szCs w:val="20"/>
              </w:rPr>
              <w:t>断路器采用固</w:t>
            </w:r>
          </w:p>
          <w:p w14:paraId="5C814CD2">
            <w:pPr>
              <w:pStyle w:val="6"/>
              <w:spacing w:before="25" w:line="228" w:lineRule="auto"/>
              <w:ind w:left="116"/>
              <w:rPr>
                <w:rFonts w:ascii="Times New Roman" w:hAnsi="Times New Roman" w:eastAsia="Times New Roman" w:cs="Times New Roman"/>
                <w:sz w:val="20"/>
                <w:szCs w:val="20"/>
              </w:rPr>
            </w:pPr>
            <w:r>
              <w:rPr>
                <w:spacing w:val="8"/>
                <w:sz w:val="20"/>
                <w:szCs w:val="20"/>
              </w:rPr>
              <w:t>封极柱形式，</w:t>
            </w:r>
            <w:r>
              <w:rPr>
                <w:rFonts w:ascii="Times New Roman" w:hAnsi="Times New Roman" w:eastAsia="Times New Roman" w:cs="Times New Roman"/>
                <w:spacing w:val="8"/>
                <w:sz w:val="20"/>
                <w:szCs w:val="20"/>
              </w:rPr>
              <w:t>4</w:t>
            </w:r>
          </w:p>
          <w:p w14:paraId="4F5BD153">
            <w:pPr>
              <w:pStyle w:val="6"/>
              <w:spacing w:before="24" w:line="218" w:lineRule="auto"/>
              <w:ind w:left="320"/>
              <w:rPr>
                <w:sz w:val="20"/>
                <w:szCs w:val="20"/>
              </w:rPr>
            </w:pPr>
            <w:r>
              <w:rPr>
                <w:spacing w:val="4"/>
                <w:sz w:val="20"/>
                <w:szCs w:val="20"/>
              </w:rPr>
              <w:t>回光伏进线</w:t>
            </w:r>
          </w:p>
        </w:tc>
        <w:tc>
          <w:tcPr>
            <w:tcW w:w="232" w:type="dxa"/>
            <w:vMerge w:val="continue"/>
            <w:tcBorders>
              <w:top w:val="nil"/>
              <w:bottom w:val="nil"/>
              <w:right w:val="single" w:color="000000" w:sz="6" w:space="0"/>
            </w:tcBorders>
            <w:vAlign w:val="top"/>
          </w:tcPr>
          <w:p w14:paraId="57554A6D">
            <w:pPr>
              <w:rPr>
                <w:rFonts w:ascii="Arial"/>
                <w:sz w:val="21"/>
              </w:rPr>
            </w:pPr>
          </w:p>
        </w:tc>
      </w:tr>
      <w:tr w14:paraId="4B8FE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64" w:type="dxa"/>
            <w:vMerge w:val="continue"/>
            <w:tcBorders>
              <w:top w:val="nil"/>
              <w:left w:val="single" w:color="000000" w:sz="6" w:space="0"/>
              <w:bottom w:val="nil"/>
            </w:tcBorders>
            <w:vAlign w:val="top"/>
          </w:tcPr>
          <w:p w14:paraId="20D28AE0">
            <w:pPr>
              <w:rPr>
                <w:rFonts w:ascii="Arial"/>
                <w:sz w:val="21"/>
              </w:rPr>
            </w:pPr>
          </w:p>
        </w:tc>
        <w:tc>
          <w:tcPr>
            <w:tcW w:w="222" w:type="dxa"/>
            <w:vMerge w:val="continue"/>
            <w:tcBorders>
              <w:top w:val="nil"/>
              <w:bottom w:val="nil"/>
            </w:tcBorders>
            <w:vAlign w:val="top"/>
          </w:tcPr>
          <w:p w14:paraId="62CF9FBC">
            <w:pPr>
              <w:rPr>
                <w:rFonts w:ascii="Arial"/>
                <w:sz w:val="21"/>
              </w:rPr>
            </w:pPr>
          </w:p>
        </w:tc>
        <w:tc>
          <w:tcPr>
            <w:tcW w:w="1096" w:type="dxa"/>
            <w:vAlign w:val="top"/>
          </w:tcPr>
          <w:p w14:paraId="05F7F7F3">
            <w:pPr>
              <w:pStyle w:val="6"/>
              <w:spacing w:before="31" w:line="237" w:lineRule="auto"/>
              <w:ind w:left="183"/>
              <w:rPr>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2"/>
                <w:w w:val="101"/>
                <w:sz w:val="20"/>
                <w:szCs w:val="20"/>
              </w:rPr>
              <w:t xml:space="preserve"> </w:t>
            </w:r>
            <w:r>
              <w:rPr>
                <w:spacing w:val="4"/>
                <w:sz w:val="20"/>
                <w:szCs w:val="20"/>
              </w:rPr>
              <w:t>主</w:t>
            </w:r>
          </w:p>
          <w:p w14:paraId="06442524">
            <w:pPr>
              <w:pStyle w:val="6"/>
              <w:spacing w:before="17" w:line="228" w:lineRule="auto"/>
              <w:ind w:left="128"/>
              <w:rPr>
                <w:sz w:val="20"/>
                <w:szCs w:val="20"/>
              </w:rPr>
            </w:pPr>
            <w:r>
              <w:rPr>
                <w:spacing w:val="7"/>
                <w:sz w:val="20"/>
                <w:szCs w:val="20"/>
              </w:rPr>
              <w:t>变出线开</w:t>
            </w:r>
          </w:p>
          <w:p w14:paraId="45A48DB7">
            <w:pPr>
              <w:pStyle w:val="6"/>
              <w:spacing w:before="24" w:line="216" w:lineRule="auto"/>
              <w:ind w:left="340"/>
              <w:rPr>
                <w:sz w:val="20"/>
                <w:szCs w:val="20"/>
              </w:rPr>
            </w:pPr>
            <w:r>
              <w:rPr>
                <w:spacing w:val="3"/>
                <w:sz w:val="20"/>
                <w:szCs w:val="20"/>
              </w:rPr>
              <w:t>关柜</w:t>
            </w:r>
          </w:p>
        </w:tc>
        <w:tc>
          <w:tcPr>
            <w:tcW w:w="4243" w:type="dxa"/>
            <w:vAlign w:val="top"/>
          </w:tcPr>
          <w:p w14:paraId="594AFB96">
            <w:pPr>
              <w:pStyle w:val="6"/>
              <w:spacing w:before="168" w:line="239" w:lineRule="auto"/>
              <w:ind w:left="1288" w:right="113" w:hanging="1149"/>
              <w:rPr>
                <w:sz w:val="20"/>
                <w:szCs w:val="20"/>
              </w:rPr>
            </w:pPr>
            <w:r>
              <w:rPr>
                <w:spacing w:val="5"/>
                <w:sz w:val="20"/>
                <w:szCs w:val="20"/>
              </w:rPr>
              <w:t>电压等级：</w:t>
            </w:r>
            <w:r>
              <w:rPr>
                <w:rFonts w:ascii="Times New Roman" w:hAnsi="Times New Roman" w:eastAsia="Times New Roman" w:cs="Times New Roman"/>
                <w:spacing w:val="5"/>
                <w:sz w:val="20"/>
                <w:szCs w:val="20"/>
              </w:rPr>
              <w:t>40.5</w:t>
            </w:r>
            <w:r>
              <w:rPr>
                <w:rFonts w:ascii="Times New Roman" w:hAnsi="Times New Roman" w:eastAsia="Times New Roman" w:cs="Times New Roman"/>
                <w:sz w:val="20"/>
                <w:szCs w:val="20"/>
              </w:rPr>
              <w:t>kV</w:t>
            </w:r>
            <w:r>
              <w:rPr>
                <w:rFonts w:ascii="Times New Roman" w:hAnsi="Times New Roman" w:eastAsia="Times New Roman" w:cs="Times New Roman"/>
                <w:spacing w:val="-24"/>
                <w:sz w:val="20"/>
                <w:szCs w:val="20"/>
              </w:rPr>
              <w:t xml:space="preserve"> </w:t>
            </w:r>
            <w:r>
              <w:rPr>
                <w:spacing w:val="5"/>
                <w:sz w:val="20"/>
                <w:szCs w:val="20"/>
              </w:rPr>
              <w:t>，</w:t>
            </w:r>
            <w:r>
              <w:rPr>
                <w:rFonts w:ascii="Times New Roman" w:hAnsi="Times New Roman" w:eastAsia="Times New Roman" w:cs="Times New Roman"/>
                <w:spacing w:val="5"/>
                <w:sz w:val="20"/>
                <w:szCs w:val="20"/>
              </w:rPr>
              <w:t>40.5</w:t>
            </w:r>
            <w:r>
              <w:rPr>
                <w:rFonts w:ascii="Times New Roman" w:hAnsi="Times New Roman" w:eastAsia="Times New Roman" w:cs="Times New Roman"/>
                <w:sz w:val="20"/>
                <w:szCs w:val="20"/>
              </w:rPr>
              <w:t>kV</w:t>
            </w:r>
            <w:r>
              <w:rPr>
                <w:rFonts w:ascii="Times New Roman" w:hAnsi="Times New Roman" w:eastAsia="Times New Roman" w:cs="Times New Roman"/>
                <w:spacing w:val="5"/>
                <w:sz w:val="20"/>
                <w:szCs w:val="20"/>
              </w:rPr>
              <w:t>2500A,31.5</w:t>
            </w:r>
            <w:r>
              <w:rPr>
                <w:rFonts w:ascii="Times New Roman" w:hAnsi="Times New Roman" w:eastAsia="Times New Roman" w:cs="Times New Roman"/>
                <w:sz w:val="20"/>
                <w:szCs w:val="20"/>
              </w:rPr>
              <w:t>kA</w:t>
            </w:r>
            <w:r>
              <w:rPr>
                <w:rFonts w:ascii="Times New Roman" w:hAnsi="Times New Roman" w:eastAsia="Times New Roman" w:cs="Times New Roman"/>
                <w:spacing w:val="5"/>
                <w:sz w:val="20"/>
                <w:szCs w:val="20"/>
              </w:rPr>
              <w:t>,</w:t>
            </w:r>
            <w:r>
              <w:rPr>
                <w:spacing w:val="5"/>
                <w:sz w:val="20"/>
                <w:szCs w:val="20"/>
              </w:rPr>
              <w:t>配</w:t>
            </w:r>
            <w:r>
              <w:rPr>
                <w:sz w:val="20"/>
                <w:szCs w:val="20"/>
              </w:rPr>
              <w:t xml:space="preserve"> </w:t>
            </w:r>
            <w:r>
              <w:rPr>
                <w:spacing w:val="8"/>
                <w:sz w:val="20"/>
                <w:szCs w:val="20"/>
              </w:rPr>
              <w:t>真空断路器空气柜</w:t>
            </w:r>
          </w:p>
        </w:tc>
        <w:tc>
          <w:tcPr>
            <w:tcW w:w="549" w:type="dxa"/>
            <w:vAlign w:val="top"/>
          </w:tcPr>
          <w:p w14:paraId="3807E35B">
            <w:pPr>
              <w:pStyle w:val="6"/>
              <w:spacing w:before="305" w:line="230" w:lineRule="auto"/>
              <w:ind w:left="193"/>
              <w:rPr>
                <w:sz w:val="20"/>
                <w:szCs w:val="20"/>
              </w:rPr>
            </w:pPr>
            <w:r>
              <w:rPr>
                <w:sz w:val="20"/>
                <w:szCs w:val="20"/>
              </w:rPr>
              <w:t>台</w:t>
            </w:r>
          </w:p>
        </w:tc>
        <w:tc>
          <w:tcPr>
            <w:tcW w:w="629" w:type="dxa"/>
            <w:vAlign w:val="top"/>
          </w:tcPr>
          <w:p w14:paraId="7C5993FD">
            <w:pPr>
              <w:spacing w:line="281" w:lineRule="auto"/>
              <w:rPr>
                <w:rFonts w:ascii="Arial"/>
                <w:sz w:val="21"/>
              </w:rPr>
            </w:pPr>
          </w:p>
          <w:p w14:paraId="5F14636A">
            <w:pPr>
              <w:spacing w:before="58"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29" w:type="dxa"/>
            <w:vAlign w:val="top"/>
          </w:tcPr>
          <w:p w14:paraId="33E7D9DE">
            <w:pPr>
              <w:pStyle w:val="6"/>
              <w:spacing w:before="169" w:line="239" w:lineRule="auto"/>
              <w:ind w:left="298" w:right="179" w:hanging="96"/>
              <w:rPr>
                <w:sz w:val="20"/>
                <w:szCs w:val="20"/>
              </w:rPr>
            </w:pPr>
            <w:r>
              <w:rPr>
                <w:spacing w:val="6"/>
                <w:sz w:val="20"/>
                <w:szCs w:val="20"/>
              </w:rPr>
              <w:t>断路器采用固</w:t>
            </w:r>
            <w:r>
              <w:rPr>
                <w:spacing w:val="4"/>
                <w:sz w:val="20"/>
                <w:szCs w:val="20"/>
              </w:rPr>
              <w:t xml:space="preserve"> </w:t>
            </w:r>
            <w:r>
              <w:rPr>
                <w:spacing w:val="8"/>
                <w:sz w:val="20"/>
                <w:szCs w:val="20"/>
              </w:rPr>
              <w:t>封极柱形式</w:t>
            </w:r>
          </w:p>
        </w:tc>
        <w:tc>
          <w:tcPr>
            <w:tcW w:w="232" w:type="dxa"/>
            <w:vMerge w:val="continue"/>
            <w:tcBorders>
              <w:top w:val="nil"/>
              <w:bottom w:val="nil"/>
              <w:right w:val="single" w:color="000000" w:sz="6" w:space="0"/>
            </w:tcBorders>
            <w:vAlign w:val="top"/>
          </w:tcPr>
          <w:p w14:paraId="5215F7FD">
            <w:pPr>
              <w:rPr>
                <w:rFonts w:ascii="Arial"/>
                <w:sz w:val="21"/>
              </w:rPr>
            </w:pPr>
          </w:p>
        </w:tc>
      </w:tr>
      <w:tr w14:paraId="3A2AC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464" w:type="dxa"/>
            <w:vMerge w:val="continue"/>
            <w:tcBorders>
              <w:top w:val="nil"/>
              <w:left w:val="single" w:color="000000" w:sz="6" w:space="0"/>
              <w:bottom w:val="nil"/>
            </w:tcBorders>
            <w:vAlign w:val="top"/>
          </w:tcPr>
          <w:p w14:paraId="45A08C2F">
            <w:pPr>
              <w:rPr>
                <w:rFonts w:ascii="Arial"/>
                <w:sz w:val="21"/>
              </w:rPr>
            </w:pPr>
          </w:p>
        </w:tc>
        <w:tc>
          <w:tcPr>
            <w:tcW w:w="222" w:type="dxa"/>
            <w:vMerge w:val="continue"/>
            <w:tcBorders>
              <w:top w:val="nil"/>
              <w:bottom w:val="nil"/>
            </w:tcBorders>
            <w:vAlign w:val="top"/>
          </w:tcPr>
          <w:p w14:paraId="18BCDB41">
            <w:pPr>
              <w:rPr>
                <w:rFonts w:ascii="Arial"/>
                <w:sz w:val="21"/>
              </w:rPr>
            </w:pPr>
          </w:p>
        </w:tc>
        <w:tc>
          <w:tcPr>
            <w:tcW w:w="1096" w:type="dxa"/>
            <w:vAlign w:val="top"/>
          </w:tcPr>
          <w:p w14:paraId="72484CDE">
            <w:pPr>
              <w:spacing w:before="51" w:line="199"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kV</w:t>
            </w:r>
          </w:p>
          <w:p w14:paraId="4CF19EBD">
            <w:pPr>
              <w:pStyle w:val="6"/>
              <w:spacing w:before="32" w:line="228" w:lineRule="auto"/>
              <w:ind w:left="111"/>
              <w:rPr>
                <w:sz w:val="20"/>
                <w:szCs w:val="20"/>
              </w:rPr>
            </w:pPr>
            <w:r>
              <w:rPr>
                <w:rFonts w:ascii="Times New Roman" w:hAnsi="Times New Roman" w:eastAsia="Times New Roman" w:cs="Times New Roman"/>
                <w:sz w:val="20"/>
                <w:szCs w:val="20"/>
              </w:rPr>
              <w:t>SVG</w:t>
            </w:r>
            <w:r>
              <w:rPr>
                <w:rFonts w:ascii="Times New Roman" w:hAnsi="Times New Roman" w:eastAsia="Times New Roman" w:cs="Times New Roman"/>
                <w:spacing w:val="5"/>
                <w:sz w:val="20"/>
                <w:szCs w:val="20"/>
              </w:rPr>
              <w:t xml:space="preserve"> </w:t>
            </w:r>
            <w:r>
              <w:rPr>
                <w:spacing w:val="5"/>
                <w:sz w:val="20"/>
                <w:szCs w:val="20"/>
              </w:rPr>
              <w:t>开关</w:t>
            </w:r>
          </w:p>
          <w:p w14:paraId="2E94C028">
            <w:pPr>
              <w:pStyle w:val="6"/>
              <w:spacing w:before="26" w:line="215" w:lineRule="auto"/>
              <w:ind w:left="441"/>
              <w:rPr>
                <w:sz w:val="20"/>
                <w:szCs w:val="20"/>
              </w:rPr>
            </w:pPr>
            <w:r>
              <w:rPr>
                <w:spacing w:val="1"/>
                <w:sz w:val="20"/>
                <w:szCs w:val="20"/>
              </w:rPr>
              <w:t>柜</w:t>
            </w:r>
          </w:p>
        </w:tc>
        <w:tc>
          <w:tcPr>
            <w:tcW w:w="4243" w:type="dxa"/>
            <w:vAlign w:val="top"/>
          </w:tcPr>
          <w:p w14:paraId="353AD1FA">
            <w:pPr>
              <w:pStyle w:val="6"/>
              <w:spacing w:before="290" w:line="221" w:lineRule="auto"/>
              <w:ind w:left="201"/>
              <w:rPr>
                <w:sz w:val="20"/>
                <w:szCs w:val="20"/>
              </w:rPr>
            </w:pPr>
            <w:r>
              <w:rPr>
                <w:rFonts w:ascii="Times New Roman" w:hAnsi="Times New Roman" w:eastAsia="Times New Roman" w:cs="Times New Roman"/>
                <w:spacing w:val="6"/>
                <w:sz w:val="20"/>
                <w:szCs w:val="20"/>
              </w:rPr>
              <w:t>40.5</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1250A,31.5</w:t>
            </w:r>
            <w:r>
              <w:rPr>
                <w:rFonts w:ascii="Times New Roman" w:hAnsi="Times New Roman" w:eastAsia="Times New Roman" w:cs="Times New Roman"/>
                <w:sz w:val="20"/>
                <w:szCs w:val="20"/>
              </w:rPr>
              <w:t>kA</w:t>
            </w:r>
            <w:r>
              <w:rPr>
                <w:rFonts w:ascii="Times New Roman" w:hAnsi="Times New Roman" w:eastAsia="Times New Roman" w:cs="Times New Roman"/>
                <w:spacing w:val="6"/>
                <w:sz w:val="20"/>
                <w:szCs w:val="20"/>
              </w:rPr>
              <w:t>,</w:t>
            </w:r>
            <w:r>
              <w:rPr>
                <w:spacing w:val="6"/>
                <w:sz w:val="20"/>
                <w:szCs w:val="20"/>
              </w:rPr>
              <w:t>配</w:t>
            </w:r>
            <w:r>
              <w:rPr>
                <w:spacing w:val="-34"/>
                <w:sz w:val="20"/>
                <w:szCs w:val="20"/>
              </w:rPr>
              <w:t xml:space="preserve"> </w:t>
            </w:r>
            <w:r>
              <w:rPr>
                <w:rFonts w:ascii="Times New Roman" w:hAnsi="Times New Roman" w:eastAsia="Times New Roman" w:cs="Times New Roman"/>
                <w:sz w:val="20"/>
                <w:szCs w:val="20"/>
              </w:rPr>
              <w:t>SF</w:t>
            </w:r>
            <w:r>
              <w:rPr>
                <w:rFonts w:ascii="Times New Roman" w:hAnsi="Times New Roman" w:eastAsia="Times New Roman" w:cs="Times New Roman"/>
                <w:spacing w:val="6"/>
                <w:sz w:val="20"/>
                <w:szCs w:val="20"/>
              </w:rPr>
              <w:t>6</w:t>
            </w:r>
            <w:r>
              <w:rPr>
                <w:rFonts w:ascii="Times New Roman" w:hAnsi="Times New Roman" w:eastAsia="Times New Roman" w:cs="Times New Roman"/>
                <w:spacing w:val="23"/>
                <w:sz w:val="20"/>
                <w:szCs w:val="20"/>
              </w:rPr>
              <w:t xml:space="preserve"> </w:t>
            </w:r>
            <w:r>
              <w:rPr>
                <w:spacing w:val="6"/>
                <w:sz w:val="20"/>
                <w:szCs w:val="20"/>
              </w:rPr>
              <w:t>断路器空</w:t>
            </w:r>
            <w:r>
              <w:rPr>
                <w:spacing w:val="5"/>
                <w:sz w:val="20"/>
                <w:szCs w:val="20"/>
              </w:rPr>
              <w:t>气柜</w:t>
            </w:r>
          </w:p>
        </w:tc>
        <w:tc>
          <w:tcPr>
            <w:tcW w:w="549" w:type="dxa"/>
            <w:vAlign w:val="top"/>
          </w:tcPr>
          <w:p w14:paraId="288C2BE1">
            <w:pPr>
              <w:pStyle w:val="6"/>
              <w:spacing w:before="290" w:line="230" w:lineRule="auto"/>
              <w:ind w:left="193"/>
              <w:rPr>
                <w:sz w:val="20"/>
                <w:szCs w:val="20"/>
              </w:rPr>
            </w:pPr>
            <w:r>
              <w:rPr>
                <w:sz w:val="20"/>
                <w:szCs w:val="20"/>
              </w:rPr>
              <w:t>台</w:t>
            </w:r>
          </w:p>
        </w:tc>
        <w:tc>
          <w:tcPr>
            <w:tcW w:w="629" w:type="dxa"/>
            <w:vAlign w:val="top"/>
          </w:tcPr>
          <w:p w14:paraId="63A5B804">
            <w:pPr>
              <w:spacing w:line="267" w:lineRule="auto"/>
              <w:rPr>
                <w:rFonts w:ascii="Arial"/>
                <w:sz w:val="21"/>
              </w:rPr>
            </w:pPr>
          </w:p>
          <w:p w14:paraId="6022E5E1">
            <w:pPr>
              <w:spacing w:before="57"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29" w:type="dxa"/>
            <w:vAlign w:val="top"/>
          </w:tcPr>
          <w:p w14:paraId="184E4AB9">
            <w:pPr>
              <w:rPr>
                <w:rFonts w:ascii="Arial"/>
                <w:sz w:val="21"/>
              </w:rPr>
            </w:pPr>
          </w:p>
        </w:tc>
        <w:tc>
          <w:tcPr>
            <w:tcW w:w="232" w:type="dxa"/>
            <w:vMerge w:val="continue"/>
            <w:tcBorders>
              <w:top w:val="nil"/>
              <w:bottom w:val="nil"/>
              <w:right w:val="single" w:color="000000" w:sz="6" w:space="0"/>
            </w:tcBorders>
            <w:vAlign w:val="top"/>
          </w:tcPr>
          <w:p w14:paraId="50357E5D">
            <w:pPr>
              <w:rPr>
                <w:rFonts w:ascii="Arial"/>
                <w:sz w:val="21"/>
              </w:rPr>
            </w:pPr>
          </w:p>
        </w:tc>
      </w:tr>
      <w:tr w14:paraId="41128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64" w:type="dxa"/>
            <w:vMerge w:val="continue"/>
            <w:tcBorders>
              <w:top w:val="nil"/>
              <w:left w:val="single" w:color="000000" w:sz="6" w:space="0"/>
              <w:bottom w:val="nil"/>
            </w:tcBorders>
            <w:vAlign w:val="top"/>
          </w:tcPr>
          <w:p w14:paraId="022D8685">
            <w:pPr>
              <w:rPr>
                <w:rFonts w:ascii="Arial"/>
                <w:sz w:val="21"/>
              </w:rPr>
            </w:pPr>
          </w:p>
        </w:tc>
        <w:tc>
          <w:tcPr>
            <w:tcW w:w="222" w:type="dxa"/>
            <w:vMerge w:val="continue"/>
            <w:tcBorders>
              <w:top w:val="nil"/>
              <w:bottom w:val="nil"/>
            </w:tcBorders>
            <w:vAlign w:val="top"/>
          </w:tcPr>
          <w:p w14:paraId="362F5207">
            <w:pPr>
              <w:rPr>
                <w:rFonts w:ascii="Arial"/>
                <w:sz w:val="21"/>
              </w:rPr>
            </w:pPr>
          </w:p>
        </w:tc>
        <w:tc>
          <w:tcPr>
            <w:tcW w:w="1096" w:type="dxa"/>
            <w:vAlign w:val="top"/>
          </w:tcPr>
          <w:p w14:paraId="4B1EC64F">
            <w:pPr>
              <w:pStyle w:val="6"/>
              <w:spacing w:before="34" w:line="231" w:lineRule="auto"/>
              <w:ind w:left="183"/>
              <w:rPr>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2"/>
                <w:sz w:val="20"/>
                <w:szCs w:val="20"/>
              </w:rPr>
              <w:t xml:space="preserve"> </w:t>
            </w:r>
            <w:r>
              <w:rPr>
                <w:spacing w:val="4"/>
                <w:sz w:val="20"/>
                <w:szCs w:val="20"/>
              </w:rPr>
              <w:t>站</w:t>
            </w:r>
          </w:p>
          <w:p w14:paraId="62BBACD5">
            <w:pPr>
              <w:pStyle w:val="6"/>
              <w:spacing w:before="21" w:line="228" w:lineRule="auto"/>
              <w:ind w:left="130"/>
              <w:rPr>
                <w:sz w:val="20"/>
                <w:szCs w:val="20"/>
              </w:rPr>
            </w:pPr>
            <w:r>
              <w:rPr>
                <w:spacing w:val="6"/>
                <w:sz w:val="20"/>
                <w:szCs w:val="20"/>
              </w:rPr>
              <w:t>用变开关</w:t>
            </w:r>
          </w:p>
          <w:p w14:paraId="6A9EDF09">
            <w:pPr>
              <w:pStyle w:val="6"/>
              <w:spacing w:before="24" w:line="215" w:lineRule="auto"/>
              <w:ind w:left="441"/>
              <w:rPr>
                <w:sz w:val="20"/>
                <w:szCs w:val="20"/>
              </w:rPr>
            </w:pPr>
            <w:r>
              <w:rPr>
                <w:spacing w:val="1"/>
                <w:sz w:val="20"/>
                <w:szCs w:val="20"/>
              </w:rPr>
              <w:t>柜</w:t>
            </w:r>
          </w:p>
        </w:tc>
        <w:tc>
          <w:tcPr>
            <w:tcW w:w="4243" w:type="dxa"/>
            <w:vAlign w:val="top"/>
          </w:tcPr>
          <w:p w14:paraId="277DF196">
            <w:pPr>
              <w:pStyle w:val="6"/>
              <w:spacing w:before="306" w:line="221" w:lineRule="auto"/>
              <w:ind w:left="213"/>
              <w:rPr>
                <w:sz w:val="20"/>
                <w:szCs w:val="20"/>
              </w:rPr>
            </w:pPr>
            <w:r>
              <w:rPr>
                <w:rFonts w:ascii="Times New Roman" w:hAnsi="Times New Roman" w:eastAsia="Times New Roman" w:cs="Times New Roman"/>
                <w:spacing w:val="7"/>
                <w:sz w:val="20"/>
                <w:szCs w:val="20"/>
              </w:rPr>
              <w:t>40.5</w:t>
            </w:r>
            <w:r>
              <w:rPr>
                <w:rFonts w:ascii="Times New Roman" w:hAnsi="Times New Roman" w:eastAsia="Times New Roman" w:cs="Times New Roman"/>
                <w:sz w:val="20"/>
                <w:szCs w:val="20"/>
              </w:rPr>
              <w:t>kV</w:t>
            </w:r>
            <w:r>
              <w:rPr>
                <w:rFonts w:ascii="Times New Roman" w:hAnsi="Times New Roman" w:eastAsia="Times New Roman" w:cs="Times New Roman"/>
                <w:spacing w:val="7"/>
                <w:sz w:val="20"/>
                <w:szCs w:val="20"/>
              </w:rPr>
              <w:t>1250A,31.5</w:t>
            </w:r>
            <w:r>
              <w:rPr>
                <w:rFonts w:ascii="Times New Roman" w:hAnsi="Times New Roman" w:eastAsia="Times New Roman" w:cs="Times New Roman"/>
                <w:sz w:val="20"/>
                <w:szCs w:val="20"/>
              </w:rPr>
              <w:t>kA</w:t>
            </w:r>
            <w:r>
              <w:rPr>
                <w:rFonts w:ascii="Times New Roman" w:hAnsi="Times New Roman" w:eastAsia="Times New Roman" w:cs="Times New Roman"/>
                <w:spacing w:val="7"/>
                <w:sz w:val="20"/>
                <w:szCs w:val="20"/>
              </w:rPr>
              <w:t>,</w:t>
            </w:r>
            <w:r>
              <w:rPr>
                <w:spacing w:val="7"/>
                <w:sz w:val="20"/>
                <w:szCs w:val="20"/>
              </w:rPr>
              <w:t>配真空断路器空气柜</w:t>
            </w:r>
          </w:p>
        </w:tc>
        <w:tc>
          <w:tcPr>
            <w:tcW w:w="549" w:type="dxa"/>
            <w:vAlign w:val="top"/>
          </w:tcPr>
          <w:p w14:paraId="5DDE03EE">
            <w:pPr>
              <w:pStyle w:val="6"/>
              <w:spacing w:before="306" w:line="230" w:lineRule="auto"/>
              <w:ind w:left="193"/>
              <w:rPr>
                <w:sz w:val="20"/>
                <w:szCs w:val="20"/>
              </w:rPr>
            </w:pPr>
            <w:r>
              <w:rPr>
                <w:sz w:val="20"/>
                <w:szCs w:val="20"/>
              </w:rPr>
              <w:t>台</w:t>
            </w:r>
          </w:p>
        </w:tc>
        <w:tc>
          <w:tcPr>
            <w:tcW w:w="629" w:type="dxa"/>
            <w:vAlign w:val="top"/>
          </w:tcPr>
          <w:p w14:paraId="551CF355">
            <w:pPr>
              <w:spacing w:line="283" w:lineRule="auto"/>
              <w:rPr>
                <w:rFonts w:ascii="Arial"/>
                <w:sz w:val="21"/>
              </w:rPr>
            </w:pPr>
          </w:p>
          <w:p w14:paraId="56B4DC06">
            <w:pPr>
              <w:spacing w:before="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9" w:type="dxa"/>
            <w:vAlign w:val="top"/>
          </w:tcPr>
          <w:p w14:paraId="6B054524">
            <w:pPr>
              <w:pStyle w:val="6"/>
              <w:spacing w:before="170"/>
              <w:ind w:left="298" w:right="179" w:hanging="96"/>
              <w:rPr>
                <w:sz w:val="20"/>
                <w:szCs w:val="20"/>
              </w:rPr>
            </w:pPr>
            <w:r>
              <w:rPr>
                <w:spacing w:val="6"/>
                <w:sz w:val="20"/>
                <w:szCs w:val="20"/>
              </w:rPr>
              <w:t>断路器采用固</w:t>
            </w:r>
            <w:r>
              <w:rPr>
                <w:spacing w:val="4"/>
                <w:sz w:val="20"/>
                <w:szCs w:val="20"/>
              </w:rPr>
              <w:t xml:space="preserve"> </w:t>
            </w:r>
            <w:r>
              <w:rPr>
                <w:spacing w:val="8"/>
                <w:sz w:val="20"/>
                <w:szCs w:val="20"/>
              </w:rPr>
              <w:t>封极柱形式</w:t>
            </w:r>
          </w:p>
        </w:tc>
        <w:tc>
          <w:tcPr>
            <w:tcW w:w="232" w:type="dxa"/>
            <w:vMerge w:val="continue"/>
            <w:tcBorders>
              <w:top w:val="nil"/>
              <w:bottom w:val="nil"/>
              <w:right w:val="single" w:color="000000" w:sz="6" w:space="0"/>
            </w:tcBorders>
            <w:vAlign w:val="top"/>
          </w:tcPr>
          <w:p w14:paraId="1C0BDF71">
            <w:pPr>
              <w:rPr>
                <w:rFonts w:ascii="Arial"/>
                <w:sz w:val="21"/>
              </w:rPr>
            </w:pPr>
          </w:p>
        </w:tc>
      </w:tr>
      <w:tr w14:paraId="18812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4" w:type="dxa"/>
            <w:vMerge w:val="continue"/>
            <w:tcBorders>
              <w:top w:val="nil"/>
              <w:left w:val="single" w:color="000000" w:sz="6" w:space="0"/>
              <w:bottom w:val="nil"/>
            </w:tcBorders>
            <w:vAlign w:val="top"/>
          </w:tcPr>
          <w:p w14:paraId="7F1F47A2">
            <w:pPr>
              <w:rPr>
                <w:rFonts w:ascii="Arial"/>
                <w:sz w:val="21"/>
              </w:rPr>
            </w:pPr>
          </w:p>
        </w:tc>
        <w:tc>
          <w:tcPr>
            <w:tcW w:w="222" w:type="dxa"/>
            <w:vMerge w:val="continue"/>
            <w:tcBorders>
              <w:top w:val="nil"/>
              <w:bottom w:val="nil"/>
            </w:tcBorders>
            <w:vAlign w:val="top"/>
          </w:tcPr>
          <w:p w14:paraId="0A258C2F">
            <w:pPr>
              <w:rPr>
                <w:rFonts w:ascii="Arial"/>
                <w:sz w:val="21"/>
              </w:rPr>
            </w:pPr>
          </w:p>
        </w:tc>
        <w:tc>
          <w:tcPr>
            <w:tcW w:w="1096" w:type="dxa"/>
            <w:vAlign w:val="top"/>
          </w:tcPr>
          <w:p w14:paraId="39F0E5EB">
            <w:pPr>
              <w:pStyle w:val="6"/>
              <w:spacing w:before="34" w:line="233" w:lineRule="auto"/>
              <w:ind w:left="130" w:right="133" w:firstLine="53"/>
              <w:rPr>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1"/>
                <w:sz w:val="20"/>
                <w:szCs w:val="20"/>
              </w:rPr>
              <w:t xml:space="preserve"> </w:t>
            </w:r>
            <w:r>
              <w:rPr>
                <w:spacing w:val="4"/>
                <w:sz w:val="20"/>
                <w:szCs w:val="20"/>
              </w:rPr>
              <w:t>母</w:t>
            </w:r>
            <w:r>
              <w:rPr>
                <w:sz w:val="20"/>
                <w:szCs w:val="20"/>
              </w:rPr>
              <w:t xml:space="preserve"> </w:t>
            </w:r>
            <w:r>
              <w:rPr>
                <w:spacing w:val="6"/>
                <w:sz w:val="20"/>
                <w:szCs w:val="20"/>
              </w:rPr>
              <w:t>线设备柜</w:t>
            </w:r>
          </w:p>
        </w:tc>
        <w:tc>
          <w:tcPr>
            <w:tcW w:w="4243" w:type="dxa"/>
            <w:vAlign w:val="top"/>
          </w:tcPr>
          <w:p w14:paraId="3AEAB7E5">
            <w:pPr>
              <w:pStyle w:val="6"/>
              <w:spacing w:before="169" w:line="228" w:lineRule="auto"/>
              <w:ind w:right="10"/>
              <w:jc w:val="right"/>
              <w:rPr>
                <w:sz w:val="20"/>
                <w:szCs w:val="20"/>
              </w:rPr>
            </w:pPr>
            <w:r>
              <w:rPr>
                <w:spacing w:val="-4"/>
                <w:sz w:val="20"/>
                <w:szCs w:val="20"/>
              </w:rPr>
              <w:t>电压等级：</w:t>
            </w:r>
            <w:r>
              <w:rPr>
                <w:rFonts w:ascii="Times New Roman" w:hAnsi="Times New Roman" w:eastAsia="Times New Roman" w:cs="Times New Roman"/>
                <w:spacing w:val="-4"/>
                <w:sz w:val="20"/>
                <w:szCs w:val="20"/>
              </w:rPr>
              <w:t>35kV</w:t>
            </w:r>
            <w:r>
              <w:rPr>
                <w:rFonts w:ascii="Times New Roman" w:hAnsi="Times New Roman" w:eastAsia="Times New Roman" w:cs="Times New Roman"/>
                <w:spacing w:val="27"/>
                <w:w w:val="101"/>
                <w:sz w:val="20"/>
                <w:szCs w:val="20"/>
              </w:rPr>
              <w:t xml:space="preserve"> </w:t>
            </w:r>
            <w:r>
              <w:rPr>
                <w:spacing w:val="-4"/>
                <w:sz w:val="20"/>
                <w:szCs w:val="20"/>
              </w:rPr>
              <w:t>以下，手车</w:t>
            </w:r>
            <w:r>
              <w:rPr>
                <w:spacing w:val="-28"/>
                <w:sz w:val="20"/>
                <w:szCs w:val="20"/>
              </w:rPr>
              <w:t xml:space="preserve"> </w:t>
            </w:r>
            <w:r>
              <w:rPr>
                <w:rFonts w:ascii="Times New Roman" w:hAnsi="Times New Roman" w:eastAsia="Times New Roman" w:cs="Times New Roman"/>
                <w:spacing w:val="-4"/>
                <w:sz w:val="20"/>
                <w:szCs w:val="20"/>
              </w:rPr>
              <w:t>1250A 31.5kA/3</w:t>
            </w:r>
            <w:r>
              <w:rPr>
                <w:rFonts w:ascii="Times New Roman" w:hAnsi="Times New Roman" w:eastAsia="Times New Roman" w:cs="Times New Roman"/>
                <w:spacing w:val="-5"/>
                <w:sz w:val="20"/>
                <w:szCs w:val="20"/>
              </w:rPr>
              <w:t>s</w:t>
            </w:r>
            <w:r>
              <w:rPr>
                <w:spacing w:val="-5"/>
                <w:sz w:val="20"/>
                <w:szCs w:val="20"/>
              </w:rPr>
              <w:t>，</w:t>
            </w:r>
          </w:p>
        </w:tc>
        <w:tc>
          <w:tcPr>
            <w:tcW w:w="549" w:type="dxa"/>
            <w:vAlign w:val="top"/>
          </w:tcPr>
          <w:p w14:paraId="55AFD277">
            <w:pPr>
              <w:pStyle w:val="6"/>
              <w:spacing w:before="169" w:line="230" w:lineRule="auto"/>
              <w:ind w:left="193"/>
              <w:rPr>
                <w:sz w:val="20"/>
                <w:szCs w:val="20"/>
              </w:rPr>
            </w:pPr>
            <w:r>
              <w:rPr>
                <w:sz w:val="20"/>
                <w:szCs w:val="20"/>
              </w:rPr>
              <w:t>台</w:t>
            </w:r>
          </w:p>
        </w:tc>
        <w:tc>
          <w:tcPr>
            <w:tcW w:w="629" w:type="dxa"/>
            <w:vAlign w:val="top"/>
          </w:tcPr>
          <w:p w14:paraId="552676FF">
            <w:pPr>
              <w:spacing w:before="207"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29" w:type="dxa"/>
            <w:vAlign w:val="top"/>
          </w:tcPr>
          <w:p w14:paraId="329B3E38">
            <w:pPr>
              <w:rPr>
                <w:rFonts w:ascii="Arial"/>
                <w:sz w:val="21"/>
              </w:rPr>
            </w:pPr>
          </w:p>
        </w:tc>
        <w:tc>
          <w:tcPr>
            <w:tcW w:w="232" w:type="dxa"/>
            <w:vMerge w:val="continue"/>
            <w:tcBorders>
              <w:top w:val="nil"/>
              <w:bottom w:val="nil"/>
              <w:right w:val="single" w:color="000000" w:sz="6" w:space="0"/>
            </w:tcBorders>
            <w:vAlign w:val="top"/>
          </w:tcPr>
          <w:p w14:paraId="46377CBE">
            <w:pPr>
              <w:rPr>
                <w:rFonts w:ascii="Arial"/>
                <w:sz w:val="21"/>
              </w:rPr>
            </w:pPr>
          </w:p>
        </w:tc>
      </w:tr>
      <w:tr w14:paraId="1BD33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64" w:type="dxa"/>
            <w:vMerge w:val="continue"/>
            <w:tcBorders>
              <w:top w:val="nil"/>
              <w:left w:val="single" w:color="000000" w:sz="6" w:space="0"/>
              <w:bottom w:val="nil"/>
            </w:tcBorders>
            <w:vAlign w:val="top"/>
          </w:tcPr>
          <w:p w14:paraId="343DB799">
            <w:pPr>
              <w:rPr>
                <w:rFonts w:ascii="Arial"/>
                <w:sz w:val="21"/>
              </w:rPr>
            </w:pPr>
          </w:p>
        </w:tc>
        <w:tc>
          <w:tcPr>
            <w:tcW w:w="222" w:type="dxa"/>
            <w:vMerge w:val="continue"/>
            <w:tcBorders>
              <w:top w:val="nil"/>
              <w:bottom w:val="nil"/>
            </w:tcBorders>
            <w:vAlign w:val="top"/>
          </w:tcPr>
          <w:p w14:paraId="20762DDB">
            <w:pPr>
              <w:rPr>
                <w:rFonts w:ascii="Arial"/>
                <w:sz w:val="21"/>
              </w:rPr>
            </w:pPr>
          </w:p>
        </w:tc>
        <w:tc>
          <w:tcPr>
            <w:tcW w:w="1096" w:type="dxa"/>
            <w:vAlign w:val="top"/>
          </w:tcPr>
          <w:p w14:paraId="1A892664">
            <w:pPr>
              <w:pStyle w:val="6"/>
              <w:spacing w:before="35" w:line="228" w:lineRule="auto"/>
              <w:ind w:left="128"/>
              <w:rPr>
                <w:sz w:val="20"/>
                <w:szCs w:val="20"/>
              </w:rPr>
            </w:pPr>
            <w:r>
              <w:rPr>
                <w:spacing w:val="7"/>
                <w:sz w:val="20"/>
                <w:szCs w:val="20"/>
              </w:rPr>
              <w:t>检修小车</w:t>
            </w:r>
          </w:p>
          <w:p w14:paraId="374AD3C1">
            <w:pPr>
              <w:pStyle w:val="6"/>
              <w:spacing w:before="26" w:line="230" w:lineRule="auto"/>
              <w:ind w:left="194"/>
              <w:rPr>
                <w:sz w:val="20"/>
                <w:szCs w:val="20"/>
              </w:rPr>
            </w:pPr>
            <w:r>
              <w:rPr>
                <w:rFonts w:ascii="Times New Roman" w:hAnsi="Times New Roman" w:eastAsia="Times New Roman" w:cs="Times New Roman"/>
                <w:spacing w:val="8"/>
                <w:sz w:val="20"/>
                <w:szCs w:val="20"/>
              </w:rPr>
              <w:t>/</w:t>
            </w:r>
            <w:r>
              <w:rPr>
                <w:spacing w:val="8"/>
                <w:sz w:val="20"/>
                <w:szCs w:val="20"/>
              </w:rPr>
              <w:t>验电小</w:t>
            </w:r>
          </w:p>
          <w:p w14:paraId="403B4B87">
            <w:pPr>
              <w:pStyle w:val="6"/>
              <w:spacing w:before="22" w:line="213" w:lineRule="auto"/>
              <w:ind w:left="444"/>
              <w:rPr>
                <w:sz w:val="20"/>
                <w:szCs w:val="20"/>
              </w:rPr>
            </w:pPr>
            <w:r>
              <w:rPr>
                <w:sz w:val="20"/>
                <w:szCs w:val="20"/>
              </w:rPr>
              <w:t>车</w:t>
            </w:r>
          </w:p>
        </w:tc>
        <w:tc>
          <w:tcPr>
            <w:tcW w:w="4243" w:type="dxa"/>
            <w:vAlign w:val="top"/>
          </w:tcPr>
          <w:p w14:paraId="763CCA7D">
            <w:pPr>
              <w:spacing w:line="242" w:lineRule="auto"/>
              <w:rPr>
                <w:rFonts w:ascii="Arial"/>
                <w:sz w:val="21"/>
              </w:rPr>
            </w:pPr>
          </w:p>
          <w:p w14:paraId="41A07E24">
            <w:pPr>
              <w:pStyle w:val="6"/>
              <w:spacing w:before="65" w:line="228" w:lineRule="auto"/>
              <w:ind w:left="1312"/>
              <w:rPr>
                <w:rFonts w:ascii="Times New Roman" w:hAnsi="Times New Roman" w:eastAsia="Times New Roman" w:cs="Times New Roman"/>
                <w:sz w:val="20"/>
                <w:szCs w:val="20"/>
              </w:rPr>
            </w:pPr>
            <w:r>
              <w:rPr>
                <w:spacing w:val="5"/>
                <w:sz w:val="20"/>
                <w:szCs w:val="20"/>
              </w:rPr>
              <w:t>电压等级：</w:t>
            </w:r>
            <w:r>
              <w:rPr>
                <w:rFonts w:ascii="Times New Roman" w:hAnsi="Times New Roman" w:eastAsia="Times New Roman" w:cs="Times New Roman"/>
                <w:spacing w:val="5"/>
                <w:sz w:val="20"/>
                <w:szCs w:val="20"/>
              </w:rPr>
              <w:t>40.5</w:t>
            </w:r>
            <w:r>
              <w:rPr>
                <w:rFonts w:ascii="Times New Roman" w:hAnsi="Times New Roman" w:eastAsia="Times New Roman" w:cs="Times New Roman"/>
                <w:sz w:val="20"/>
                <w:szCs w:val="20"/>
              </w:rPr>
              <w:t>kV</w:t>
            </w:r>
          </w:p>
        </w:tc>
        <w:tc>
          <w:tcPr>
            <w:tcW w:w="549" w:type="dxa"/>
            <w:vAlign w:val="top"/>
          </w:tcPr>
          <w:p w14:paraId="112C8D37">
            <w:pPr>
              <w:spacing w:line="242" w:lineRule="auto"/>
              <w:rPr>
                <w:rFonts w:ascii="Arial"/>
                <w:sz w:val="21"/>
              </w:rPr>
            </w:pPr>
          </w:p>
          <w:p w14:paraId="22174A4F">
            <w:pPr>
              <w:pStyle w:val="6"/>
              <w:spacing w:before="65" w:line="230" w:lineRule="auto"/>
              <w:ind w:left="193"/>
              <w:rPr>
                <w:sz w:val="20"/>
                <w:szCs w:val="20"/>
              </w:rPr>
            </w:pPr>
            <w:r>
              <w:rPr>
                <w:sz w:val="20"/>
                <w:szCs w:val="20"/>
              </w:rPr>
              <w:t>台</w:t>
            </w:r>
          </w:p>
        </w:tc>
        <w:tc>
          <w:tcPr>
            <w:tcW w:w="629" w:type="dxa"/>
            <w:vAlign w:val="top"/>
          </w:tcPr>
          <w:p w14:paraId="76941DC0">
            <w:pPr>
              <w:spacing w:line="285" w:lineRule="auto"/>
              <w:rPr>
                <w:rFonts w:ascii="Arial"/>
                <w:sz w:val="21"/>
              </w:rPr>
            </w:pPr>
          </w:p>
          <w:p w14:paraId="1407201D">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29" w:type="dxa"/>
            <w:vAlign w:val="top"/>
          </w:tcPr>
          <w:p w14:paraId="11DAFDA7">
            <w:pPr>
              <w:rPr>
                <w:rFonts w:ascii="Arial"/>
                <w:sz w:val="21"/>
              </w:rPr>
            </w:pPr>
          </w:p>
        </w:tc>
        <w:tc>
          <w:tcPr>
            <w:tcW w:w="232" w:type="dxa"/>
            <w:vMerge w:val="continue"/>
            <w:tcBorders>
              <w:top w:val="nil"/>
              <w:bottom w:val="nil"/>
              <w:right w:val="single" w:color="000000" w:sz="6" w:space="0"/>
            </w:tcBorders>
            <w:vAlign w:val="top"/>
          </w:tcPr>
          <w:p w14:paraId="3F4F19A4">
            <w:pPr>
              <w:rPr>
                <w:rFonts w:ascii="Arial"/>
                <w:sz w:val="21"/>
              </w:rPr>
            </w:pPr>
          </w:p>
        </w:tc>
      </w:tr>
      <w:tr w14:paraId="2CCF9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64" w:type="dxa"/>
            <w:vMerge w:val="continue"/>
            <w:tcBorders>
              <w:top w:val="nil"/>
              <w:left w:val="single" w:color="000000" w:sz="6" w:space="0"/>
              <w:bottom w:val="nil"/>
            </w:tcBorders>
            <w:vAlign w:val="top"/>
          </w:tcPr>
          <w:p w14:paraId="7449F016">
            <w:pPr>
              <w:rPr>
                <w:rFonts w:ascii="Arial"/>
                <w:sz w:val="21"/>
              </w:rPr>
            </w:pPr>
          </w:p>
        </w:tc>
        <w:tc>
          <w:tcPr>
            <w:tcW w:w="222" w:type="dxa"/>
            <w:vMerge w:val="continue"/>
            <w:tcBorders>
              <w:top w:val="nil"/>
              <w:bottom w:val="nil"/>
            </w:tcBorders>
            <w:vAlign w:val="top"/>
          </w:tcPr>
          <w:p w14:paraId="32A9D373">
            <w:pPr>
              <w:rPr>
                <w:rFonts w:ascii="Arial"/>
                <w:sz w:val="21"/>
              </w:rPr>
            </w:pPr>
          </w:p>
        </w:tc>
        <w:tc>
          <w:tcPr>
            <w:tcW w:w="1096" w:type="dxa"/>
            <w:vAlign w:val="top"/>
          </w:tcPr>
          <w:p w14:paraId="7DA7E0A7">
            <w:pPr>
              <w:pStyle w:val="6"/>
              <w:spacing w:before="157" w:line="229" w:lineRule="auto"/>
              <w:ind w:left="337"/>
              <w:rPr>
                <w:sz w:val="20"/>
                <w:szCs w:val="20"/>
              </w:rPr>
            </w:pPr>
            <w:r>
              <w:rPr>
                <w:spacing w:val="4"/>
                <w:sz w:val="20"/>
                <w:szCs w:val="20"/>
              </w:rPr>
              <w:t>铜排</w:t>
            </w:r>
          </w:p>
        </w:tc>
        <w:tc>
          <w:tcPr>
            <w:tcW w:w="4243" w:type="dxa"/>
            <w:vAlign w:val="top"/>
          </w:tcPr>
          <w:p w14:paraId="05BAC7AC">
            <w:pPr>
              <w:pStyle w:val="6"/>
              <w:spacing w:before="157" w:line="227" w:lineRule="auto"/>
              <w:ind w:left="404"/>
              <w:rPr>
                <w:sz w:val="20"/>
                <w:szCs w:val="20"/>
              </w:rPr>
            </w:pPr>
            <w:r>
              <w:rPr>
                <w:spacing w:val="5"/>
                <w:sz w:val="20"/>
                <w:szCs w:val="20"/>
              </w:rPr>
              <w:t>型号规格：</w:t>
            </w:r>
            <w:r>
              <w:rPr>
                <w:rFonts w:ascii="Times New Roman" w:hAnsi="Times New Roman" w:eastAsia="Times New Roman" w:cs="Times New Roman"/>
                <w:sz w:val="20"/>
                <w:szCs w:val="20"/>
              </w:rPr>
              <w:t>TMY</w:t>
            </w:r>
            <w:r>
              <w:rPr>
                <w:rFonts w:ascii="Times New Roman" w:hAnsi="Times New Roman" w:eastAsia="Times New Roman" w:cs="Times New Roman"/>
                <w:spacing w:val="5"/>
                <w:sz w:val="20"/>
                <w:szCs w:val="20"/>
              </w:rPr>
              <w:t>-100x10</w:t>
            </w:r>
            <w:r>
              <w:rPr>
                <w:rFonts w:ascii="Times New Roman" w:hAnsi="Times New Roman" w:eastAsia="Times New Roman" w:cs="Times New Roman"/>
                <w:spacing w:val="-13"/>
                <w:sz w:val="20"/>
                <w:szCs w:val="20"/>
              </w:rPr>
              <w:t xml:space="preserve"> </w:t>
            </w:r>
            <w:r>
              <w:rPr>
                <w:spacing w:val="5"/>
                <w:sz w:val="20"/>
                <w:szCs w:val="20"/>
              </w:rPr>
              <w:t>，含绝缘材料</w:t>
            </w:r>
          </w:p>
        </w:tc>
        <w:tc>
          <w:tcPr>
            <w:tcW w:w="549" w:type="dxa"/>
            <w:vAlign w:val="top"/>
          </w:tcPr>
          <w:p w14:paraId="02947312">
            <w:pPr>
              <w:spacing w:before="239" w:line="141"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629" w:type="dxa"/>
            <w:vAlign w:val="top"/>
          </w:tcPr>
          <w:p w14:paraId="3783CE35">
            <w:pPr>
              <w:spacing w:before="193"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629" w:type="dxa"/>
            <w:vAlign w:val="top"/>
          </w:tcPr>
          <w:p w14:paraId="7B2FDB08">
            <w:pPr>
              <w:pStyle w:val="6"/>
              <w:spacing w:before="37" w:line="228" w:lineRule="auto"/>
              <w:ind w:left="614"/>
              <w:rPr>
                <w:sz w:val="20"/>
                <w:szCs w:val="20"/>
              </w:rPr>
            </w:pPr>
            <w:r>
              <w:rPr>
                <w:spacing w:val="6"/>
                <w:sz w:val="20"/>
                <w:szCs w:val="20"/>
              </w:rPr>
              <w:t>双拼</w:t>
            </w:r>
          </w:p>
          <w:p w14:paraId="30710BA1">
            <w:pPr>
              <w:spacing w:before="46" w:line="185" w:lineRule="auto"/>
              <w:ind w:left="252"/>
              <w:rPr>
                <w:rFonts w:ascii="Times New Roman" w:hAnsi="Times New Roman" w:eastAsia="Times New Roman" w:cs="Times New Roman"/>
                <w:sz w:val="20"/>
                <w:szCs w:val="20"/>
              </w:rPr>
            </w:pPr>
            <w:r>
              <w:rPr>
                <w:rFonts w:ascii="Times New Roman" w:hAnsi="Times New Roman" w:eastAsia="Times New Roman" w:cs="Times New Roman"/>
                <w:sz w:val="20"/>
                <w:szCs w:val="20"/>
              </w:rPr>
              <w:t>TMY</w:t>
            </w:r>
            <w:r>
              <w:rPr>
                <w:rFonts w:ascii="Times New Roman" w:hAnsi="Times New Roman" w:eastAsia="Times New Roman" w:cs="Times New Roman"/>
                <w:spacing w:val="3"/>
                <w:sz w:val="20"/>
                <w:szCs w:val="20"/>
              </w:rPr>
              <w:t>-100x10</w:t>
            </w:r>
          </w:p>
        </w:tc>
        <w:tc>
          <w:tcPr>
            <w:tcW w:w="232" w:type="dxa"/>
            <w:vMerge w:val="continue"/>
            <w:tcBorders>
              <w:top w:val="nil"/>
              <w:bottom w:val="nil"/>
              <w:right w:val="single" w:color="000000" w:sz="6" w:space="0"/>
            </w:tcBorders>
            <w:vAlign w:val="top"/>
          </w:tcPr>
          <w:p w14:paraId="1BC890DA">
            <w:pPr>
              <w:rPr>
                <w:rFonts w:ascii="Arial"/>
                <w:sz w:val="21"/>
              </w:rPr>
            </w:pPr>
          </w:p>
        </w:tc>
      </w:tr>
      <w:tr w14:paraId="59180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4" w:type="dxa"/>
            <w:vMerge w:val="continue"/>
            <w:tcBorders>
              <w:top w:val="nil"/>
              <w:left w:val="single" w:color="000000" w:sz="6" w:space="0"/>
              <w:bottom w:val="nil"/>
            </w:tcBorders>
            <w:vAlign w:val="top"/>
          </w:tcPr>
          <w:p w14:paraId="06B1D4B2">
            <w:pPr>
              <w:rPr>
                <w:rFonts w:ascii="Arial"/>
                <w:sz w:val="21"/>
              </w:rPr>
            </w:pPr>
          </w:p>
        </w:tc>
        <w:tc>
          <w:tcPr>
            <w:tcW w:w="222" w:type="dxa"/>
            <w:vMerge w:val="continue"/>
            <w:tcBorders>
              <w:top w:val="nil"/>
              <w:bottom w:val="nil"/>
            </w:tcBorders>
            <w:vAlign w:val="top"/>
          </w:tcPr>
          <w:p w14:paraId="0D75F05C">
            <w:pPr>
              <w:rPr>
                <w:rFonts w:ascii="Arial"/>
                <w:sz w:val="21"/>
              </w:rPr>
            </w:pPr>
          </w:p>
        </w:tc>
        <w:tc>
          <w:tcPr>
            <w:tcW w:w="1096" w:type="dxa"/>
            <w:vAlign w:val="top"/>
          </w:tcPr>
          <w:p w14:paraId="4D66E160">
            <w:pPr>
              <w:pStyle w:val="6"/>
              <w:spacing w:before="38" w:line="231" w:lineRule="auto"/>
              <w:ind w:left="128" w:right="133" w:firstLine="55"/>
              <w:rPr>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2"/>
                <w:sz w:val="20"/>
                <w:szCs w:val="20"/>
              </w:rPr>
              <w:t xml:space="preserve"> </w:t>
            </w:r>
            <w:r>
              <w:rPr>
                <w:spacing w:val="4"/>
                <w:sz w:val="20"/>
                <w:szCs w:val="20"/>
              </w:rPr>
              <w:t>支</w:t>
            </w:r>
            <w:r>
              <w:rPr>
                <w:sz w:val="20"/>
                <w:szCs w:val="20"/>
              </w:rPr>
              <w:t xml:space="preserve"> </w:t>
            </w:r>
            <w:r>
              <w:rPr>
                <w:spacing w:val="7"/>
                <w:sz w:val="20"/>
                <w:szCs w:val="20"/>
              </w:rPr>
              <w:t>柱绝缘子</w:t>
            </w:r>
          </w:p>
        </w:tc>
        <w:tc>
          <w:tcPr>
            <w:tcW w:w="4243" w:type="dxa"/>
            <w:vAlign w:val="top"/>
          </w:tcPr>
          <w:p w14:paraId="50081C12">
            <w:pPr>
              <w:pStyle w:val="6"/>
              <w:spacing w:before="174" w:line="228"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40.5</w:t>
            </w:r>
            <w:r>
              <w:rPr>
                <w:rFonts w:ascii="Times New Roman" w:hAnsi="Times New Roman" w:eastAsia="Times New Roman" w:cs="Times New Roman"/>
                <w:sz w:val="20"/>
                <w:szCs w:val="20"/>
              </w:rPr>
              <w:t>kV</w:t>
            </w:r>
            <w:r>
              <w:rPr>
                <w:rFonts w:ascii="Times New Roman" w:hAnsi="Times New Roman" w:eastAsia="Times New Roman" w:cs="Times New Roman"/>
                <w:spacing w:val="-25"/>
                <w:sz w:val="20"/>
                <w:szCs w:val="20"/>
              </w:rPr>
              <w:t xml:space="preserve"> </w:t>
            </w:r>
            <w:r>
              <w:rPr>
                <w:spacing w:val="6"/>
                <w:sz w:val="20"/>
                <w:szCs w:val="20"/>
              </w:rPr>
              <w:t>，型号规格：</w:t>
            </w:r>
            <w:r>
              <w:rPr>
                <w:rFonts w:ascii="Times New Roman" w:hAnsi="Times New Roman" w:eastAsia="Times New Roman" w:cs="Times New Roman"/>
                <w:sz w:val="20"/>
                <w:szCs w:val="20"/>
              </w:rPr>
              <w:t>ZSW</w:t>
            </w:r>
            <w:r>
              <w:rPr>
                <w:rFonts w:ascii="Times New Roman" w:hAnsi="Times New Roman" w:eastAsia="Times New Roman" w:cs="Times New Roman"/>
                <w:spacing w:val="6"/>
                <w:sz w:val="20"/>
                <w:szCs w:val="20"/>
              </w:rPr>
              <w:t>-35/4</w:t>
            </w:r>
          </w:p>
        </w:tc>
        <w:tc>
          <w:tcPr>
            <w:tcW w:w="549" w:type="dxa"/>
            <w:vAlign w:val="top"/>
          </w:tcPr>
          <w:p w14:paraId="5980B09F">
            <w:pPr>
              <w:pStyle w:val="6"/>
              <w:spacing w:before="174" w:line="228" w:lineRule="auto"/>
              <w:ind w:left="178"/>
              <w:rPr>
                <w:sz w:val="20"/>
                <w:szCs w:val="20"/>
              </w:rPr>
            </w:pPr>
            <w:r>
              <w:rPr>
                <w:sz w:val="20"/>
                <w:szCs w:val="20"/>
              </w:rPr>
              <w:t>支</w:t>
            </w:r>
          </w:p>
        </w:tc>
        <w:tc>
          <w:tcPr>
            <w:tcW w:w="629" w:type="dxa"/>
            <w:vAlign w:val="top"/>
          </w:tcPr>
          <w:p w14:paraId="6E36001C">
            <w:pPr>
              <w:spacing w:before="21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629" w:type="dxa"/>
            <w:vAlign w:val="top"/>
          </w:tcPr>
          <w:p w14:paraId="3BE2BAA9">
            <w:pPr>
              <w:pStyle w:val="6"/>
              <w:spacing w:before="174" w:line="228" w:lineRule="auto"/>
              <w:ind w:left="300"/>
              <w:rPr>
                <w:sz w:val="20"/>
                <w:szCs w:val="20"/>
              </w:rPr>
            </w:pPr>
            <w:r>
              <w:rPr>
                <w:spacing w:val="3"/>
                <w:sz w:val="20"/>
                <w:szCs w:val="20"/>
              </w:rPr>
              <w:t>含支架</w:t>
            </w:r>
            <w:r>
              <w:rPr>
                <w:spacing w:val="-38"/>
                <w:sz w:val="20"/>
                <w:szCs w:val="20"/>
              </w:rPr>
              <w:t xml:space="preserve"> </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12"/>
                <w:w w:val="101"/>
                <w:sz w:val="20"/>
                <w:szCs w:val="20"/>
              </w:rPr>
              <w:t xml:space="preserve"> </w:t>
            </w:r>
            <w:r>
              <w:rPr>
                <w:spacing w:val="3"/>
                <w:sz w:val="20"/>
                <w:szCs w:val="20"/>
              </w:rPr>
              <w:t>根</w:t>
            </w:r>
          </w:p>
        </w:tc>
        <w:tc>
          <w:tcPr>
            <w:tcW w:w="232" w:type="dxa"/>
            <w:vMerge w:val="continue"/>
            <w:tcBorders>
              <w:top w:val="nil"/>
              <w:bottom w:val="nil"/>
              <w:right w:val="single" w:color="000000" w:sz="6" w:space="0"/>
            </w:tcBorders>
            <w:vAlign w:val="top"/>
          </w:tcPr>
          <w:p w14:paraId="68F0E21E">
            <w:pPr>
              <w:rPr>
                <w:rFonts w:ascii="Arial"/>
                <w:sz w:val="21"/>
              </w:rPr>
            </w:pPr>
          </w:p>
        </w:tc>
      </w:tr>
      <w:tr w14:paraId="10FFB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4" w:type="dxa"/>
            <w:vMerge w:val="continue"/>
            <w:tcBorders>
              <w:top w:val="nil"/>
              <w:left w:val="single" w:color="000000" w:sz="6" w:space="0"/>
              <w:bottom w:val="nil"/>
            </w:tcBorders>
            <w:vAlign w:val="top"/>
          </w:tcPr>
          <w:p w14:paraId="1EF9D16D">
            <w:pPr>
              <w:rPr>
                <w:rFonts w:ascii="Arial"/>
                <w:sz w:val="21"/>
              </w:rPr>
            </w:pPr>
          </w:p>
        </w:tc>
        <w:tc>
          <w:tcPr>
            <w:tcW w:w="222" w:type="dxa"/>
            <w:vMerge w:val="continue"/>
            <w:tcBorders>
              <w:top w:val="nil"/>
              <w:bottom w:val="nil"/>
            </w:tcBorders>
            <w:vAlign w:val="top"/>
          </w:tcPr>
          <w:p w14:paraId="37DF654E">
            <w:pPr>
              <w:rPr>
                <w:rFonts w:ascii="Arial"/>
                <w:sz w:val="21"/>
              </w:rPr>
            </w:pPr>
          </w:p>
        </w:tc>
        <w:tc>
          <w:tcPr>
            <w:tcW w:w="1096" w:type="dxa"/>
            <w:vAlign w:val="top"/>
          </w:tcPr>
          <w:p w14:paraId="0225DCE2">
            <w:pPr>
              <w:pStyle w:val="6"/>
              <w:spacing w:before="40" w:line="230" w:lineRule="auto"/>
              <w:ind w:left="230" w:right="188" w:hanging="47"/>
              <w:rPr>
                <w:sz w:val="20"/>
                <w:szCs w:val="20"/>
              </w:rPr>
            </w:pPr>
            <w:r>
              <w:rPr>
                <w:rFonts w:ascii="Times New Roman" w:hAnsi="Times New Roman" w:eastAsia="Times New Roman" w:cs="Times New Roman"/>
                <w:sz w:val="20"/>
                <w:szCs w:val="20"/>
              </w:rPr>
              <w:t>35kV</w:t>
            </w:r>
            <w:r>
              <w:rPr>
                <w:rFonts w:ascii="Times New Roman" w:hAnsi="Times New Roman" w:eastAsia="Times New Roman" w:cs="Times New Roman"/>
                <w:spacing w:val="23"/>
                <w:sz w:val="20"/>
                <w:szCs w:val="20"/>
              </w:rPr>
              <w:t xml:space="preserve"> </w:t>
            </w:r>
            <w:r>
              <w:rPr>
                <w:sz w:val="20"/>
                <w:szCs w:val="20"/>
              </w:rPr>
              <w:t xml:space="preserve">穿 </w:t>
            </w:r>
            <w:r>
              <w:rPr>
                <w:spacing w:val="6"/>
                <w:sz w:val="20"/>
                <w:szCs w:val="20"/>
              </w:rPr>
              <w:t>墙套管</w:t>
            </w:r>
          </w:p>
        </w:tc>
        <w:tc>
          <w:tcPr>
            <w:tcW w:w="4243" w:type="dxa"/>
            <w:vAlign w:val="top"/>
          </w:tcPr>
          <w:p w14:paraId="383B87B4">
            <w:pPr>
              <w:pStyle w:val="6"/>
              <w:spacing w:before="174" w:line="228" w:lineRule="auto"/>
              <w:ind w:left="475"/>
              <w:rPr>
                <w:rFonts w:ascii="Times New Roman" w:hAnsi="Times New Roman" w:eastAsia="Times New Roman" w:cs="Times New Roman"/>
                <w:sz w:val="20"/>
                <w:szCs w:val="20"/>
              </w:rPr>
            </w:pPr>
            <w:r>
              <w:rPr>
                <w:spacing w:val="5"/>
                <w:sz w:val="20"/>
                <w:szCs w:val="20"/>
              </w:rPr>
              <w:t>电压等级：</w:t>
            </w: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5"/>
                <w:sz w:val="20"/>
                <w:szCs w:val="20"/>
              </w:rPr>
              <w:t xml:space="preserve"> </w:t>
            </w:r>
            <w:r>
              <w:rPr>
                <w:spacing w:val="5"/>
                <w:sz w:val="20"/>
                <w:szCs w:val="20"/>
              </w:rPr>
              <w:t>，型号规格：</w:t>
            </w:r>
            <w:r>
              <w:rPr>
                <w:rFonts w:ascii="Times New Roman" w:hAnsi="Times New Roman" w:eastAsia="Times New Roman" w:cs="Times New Roman"/>
                <w:spacing w:val="5"/>
                <w:sz w:val="20"/>
                <w:szCs w:val="20"/>
              </w:rPr>
              <w:t>2500A</w:t>
            </w:r>
          </w:p>
        </w:tc>
        <w:tc>
          <w:tcPr>
            <w:tcW w:w="549" w:type="dxa"/>
            <w:vAlign w:val="top"/>
          </w:tcPr>
          <w:p w14:paraId="360D63C7">
            <w:pPr>
              <w:pStyle w:val="6"/>
              <w:spacing w:before="175" w:line="228" w:lineRule="auto"/>
              <w:ind w:left="178"/>
              <w:rPr>
                <w:sz w:val="20"/>
                <w:szCs w:val="20"/>
              </w:rPr>
            </w:pPr>
            <w:r>
              <w:rPr>
                <w:sz w:val="20"/>
                <w:szCs w:val="20"/>
              </w:rPr>
              <w:t>支</w:t>
            </w:r>
          </w:p>
        </w:tc>
        <w:tc>
          <w:tcPr>
            <w:tcW w:w="629" w:type="dxa"/>
            <w:vAlign w:val="top"/>
          </w:tcPr>
          <w:p w14:paraId="2B7713CA">
            <w:pPr>
              <w:spacing w:before="210"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29" w:type="dxa"/>
            <w:vAlign w:val="top"/>
          </w:tcPr>
          <w:p w14:paraId="3209D5C1">
            <w:pPr>
              <w:rPr>
                <w:rFonts w:ascii="Arial"/>
                <w:sz w:val="21"/>
              </w:rPr>
            </w:pPr>
          </w:p>
        </w:tc>
        <w:tc>
          <w:tcPr>
            <w:tcW w:w="232" w:type="dxa"/>
            <w:vMerge w:val="continue"/>
            <w:tcBorders>
              <w:top w:val="nil"/>
              <w:bottom w:val="nil"/>
              <w:right w:val="single" w:color="000000" w:sz="6" w:space="0"/>
            </w:tcBorders>
            <w:vAlign w:val="top"/>
          </w:tcPr>
          <w:p w14:paraId="35AEE31C">
            <w:pPr>
              <w:rPr>
                <w:rFonts w:ascii="Arial"/>
                <w:sz w:val="21"/>
              </w:rPr>
            </w:pPr>
          </w:p>
        </w:tc>
      </w:tr>
      <w:tr w14:paraId="72A9B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4" w:type="dxa"/>
            <w:vMerge w:val="continue"/>
            <w:tcBorders>
              <w:top w:val="nil"/>
              <w:left w:val="single" w:color="000000" w:sz="6" w:space="0"/>
              <w:bottom w:val="nil"/>
            </w:tcBorders>
            <w:vAlign w:val="top"/>
          </w:tcPr>
          <w:p w14:paraId="164D86B0">
            <w:pPr>
              <w:rPr>
                <w:rFonts w:ascii="Arial"/>
                <w:sz w:val="21"/>
              </w:rPr>
            </w:pPr>
          </w:p>
        </w:tc>
        <w:tc>
          <w:tcPr>
            <w:tcW w:w="222" w:type="dxa"/>
            <w:vMerge w:val="continue"/>
            <w:tcBorders>
              <w:top w:val="nil"/>
              <w:bottom w:val="nil"/>
            </w:tcBorders>
            <w:vAlign w:val="top"/>
          </w:tcPr>
          <w:p w14:paraId="72587111">
            <w:pPr>
              <w:rPr>
                <w:rFonts w:ascii="Arial"/>
                <w:sz w:val="21"/>
              </w:rPr>
            </w:pPr>
          </w:p>
        </w:tc>
        <w:tc>
          <w:tcPr>
            <w:tcW w:w="1096" w:type="dxa"/>
            <w:vAlign w:val="top"/>
          </w:tcPr>
          <w:p w14:paraId="0ED803C8">
            <w:pPr>
              <w:pStyle w:val="6"/>
              <w:spacing w:before="38" w:line="231" w:lineRule="auto"/>
              <w:ind w:left="148" w:right="133" w:firstLine="35"/>
              <w:rPr>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1"/>
                <w:sz w:val="20"/>
                <w:szCs w:val="20"/>
              </w:rPr>
              <w:t xml:space="preserve"> </w:t>
            </w:r>
            <w:r>
              <w:rPr>
                <w:spacing w:val="4"/>
                <w:sz w:val="20"/>
                <w:szCs w:val="20"/>
              </w:rPr>
              <w:t>封</w:t>
            </w:r>
            <w:r>
              <w:rPr>
                <w:sz w:val="20"/>
                <w:szCs w:val="20"/>
              </w:rPr>
              <w:t xml:space="preserve"> </w:t>
            </w:r>
            <w:r>
              <w:rPr>
                <w:spacing w:val="2"/>
                <w:sz w:val="20"/>
                <w:szCs w:val="20"/>
              </w:rPr>
              <w:t>闭母线桥</w:t>
            </w:r>
          </w:p>
        </w:tc>
        <w:tc>
          <w:tcPr>
            <w:tcW w:w="4243" w:type="dxa"/>
            <w:vAlign w:val="top"/>
          </w:tcPr>
          <w:p w14:paraId="345C0BF1">
            <w:pPr>
              <w:pStyle w:val="6"/>
              <w:spacing w:before="174" w:line="228" w:lineRule="auto"/>
              <w:ind w:left="475"/>
              <w:rPr>
                <w:rFonts w:ascii="Times New Roman" w:hAnsi="Times New Roman" w:eastAsia="Times New Roman" w:cs="Times New Roman"/>
                <w:sz w:val="20"/>
                <w:szCs w:val="20"/>
              </w:rPr>
            </w:pPr>
            <w:r>
              <w:rPr>
                <w:spacing w:val="5"/>
                <w:sz w:val="20"/>
                <w:szCs w:val="20"/>
              </w:rPr>
              <w:t>电压等级：</w:t>
            </w: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5"/>
                <w:sz w:val="20"/>
                <w:szCs w:val="20"/>
              </w:rPr>
              <w:t xml:space="preserve"> </w:t>
            </w:r>
            <w:r>
              <w:rPr>
                <w:spacing w:val="5"/>
                <w:sz w:val="20"/>
                <w:szCs w:val="20"/>
              </w:rPr>
              <w:t>，型号规格：</w:t>
            </w:r>
            <w:r>
              <w:rPr>
                <w:rFonts w:ascii="Times New Roman" w:hAnsi="Times New Roman" w:eastAsia="Times New Roman" w:cs="Times New Roman"/>
                <w:spacing w:val="5"/>
                <w:sz w:val="20"/>
                <w:szCs w:val="20"/>
              </w:rPr>
              <w:t>2500A</w:t>
            </w:r>
          </w:p>
        </w:tc>
        <w:tc>
          <w:tcPr>
            <w:tcW w:w="549" w:type="dxa"/>
            <w:vAlign w:val="top"/>
          </w:tcPr>
          <w:p w14:paraId="280DA3CE">
            <w:pPr>
              <w:spacing w:before="257" w:line="141"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629" w:type="dxa"/>
            <w:vAlign w:val="top"/>
          </w:tcPr>
          <w:p w14:paraId="5391D6A3">
            <w:pPr>
              <w:spacing w:before="21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629" w:type="dxa"/>
            <w:vAlign w:val="top"/>
          </w:tcPr>
          <w:p w14:paraId="6EF234AB">
            <w:pPr>
              <w:rPr>
                <w:rFonts w:ascii="Arial"/>
                <w:sz w:val="21"/>
              </w:rPr>
            </w:pPr>
          </w:p>
        </w:tc>
        <w:tc>
          <w:tcPr>
            <w:tcW w:w="232" w:type="dxa"/>
            <w:vMerge w:val="continue"/>
            <w:tcBorders>
              <w:top w:val="nil"/>
              <w:bottom w:val="nil"/>
              <w:right w:val="single" w:color="000000" w:sz="6" w:space="0"/>
            </w:tcBorders>
            <w:vAlign w:val="top"/>
          </w:tcPr>
          <w:p w14:paraId="44979E5A">
            <w:pPr>
              <w:rPr>
                <w:rFonts w:ascii="Arial"/>
                <w:sz w:val="21"/>
              </w:rPr>
            </w:pPr>
          </w:p>
        </w:tc>
      </w:tr>
      <w:tr w14:paraId="1368C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64" w:type="dxa"/>
            <w:vMerge w:val="continue"/>
            <w:tcBorders>
              <w:top w:val="nil"/>
              <w:left w:val="single" w:color="000000" w:sz="6" w:space="0"/>
              <w:bottom w:val="nil"/>
            </w:tcBorders>
            <w:vAlign w:val="top"/>
          </w:tcPr>
          <w:p w14:paraId="4BCAB151">
            <w:pPr>
              <w:rPr>
                <w:rFonts w:ascii="Arial"/>
                <w:sz w:val="21"/>
              </w:rPr>
            </w:pPr>
          </w:p>
        </w:tc>
        <w:tc>
          <w:tcPr>
            <w:tcW w:w="222" w:type="dxa"/>
            <w:vMerge w:val="continue"/>
            <w:tcBorders>
              <w:top w:val="nil"/>
              <w:bottom w:val="nil"/>
            </w:tcBorders>
            <w:vAlign w:val="top"/>
          </w:tcPr>
          <w:p w14:paraId="2B138263">
            <w:pPr>
              <w:rPr>
                <w:rFonts w:ascii="Arial"/>
                <w:sz w:val="21"/>
              </w:rPr>
            </w:pPr>
          </w:p>
        </w:tc>
        <w:tc>
          <w:tcPr>
            <w:tcW w:w="1096" w:type="dxa"/>
            <w:vAlign w:val="top"/>
          </w:tcPr>
          <w:p w14:paraId="76E453E5">
            <w:pPr>
              <w:pStyle w:val="6"/>
              <w:spacing w:before="41" w:line="227" w:lineRule="auto"/>
              <w:ind w:left="183"/>
              <w:rPr>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2"/>
                <w:sz w:val="20"/>
                <w:szCs w:val="20"/>
              </w:rPr>
              <w:t xml:space="preserve"> </w:t>
            </w:r>
            <w:r>
              <w:rPr>
                <w:spacing w:val="4"/>
                <w:sz w:val="20"/>
                <w:szCs w:val="20"/>
              </w:rPr>
              <w:t>氧</w:t>
            </w:r>
          </w:p>
          <w:p w14:paraId="33C98960">
            <w:pPr>
              <w:pStyle w:val="6"/>
              <w:spacing w:before="25" w:line="228" w:lineRule="auto"/>
              <w:ind w:left="129"/>
              <w:rPr>
                <w:sz w:val="20"/>
                <w:szCs w:val="20"/>
              </w:rPr>
            </w:pPr>
            <w:r>
              <w:rPr>
                <w:spacing w:val="7"/>
                <w:sz w:val="20"/>
                <w:szCs w:val="20"/>
              </w:rPr>
              <w:t>化锌避雷</w:t>
            </w:r>
          </w:p>
          <w:p w14:paraId="76EA0FB8">
            <w:pPr>
              <w:pStyle w:val="6"/>
              <w:spacing w:before="23" w:line="210" w:lineRule="auto"/>
              <w:ind w:left="442"/>
              <w:rPr>
                <w:sz w:val="20"/>
                <w:szCs w:val="20"/>
              </w:rPr>
            </w:pPr>
            <w:r>
              <w:rPr>
                <w:sz w:val="20"/>
                <w:szCs w:val="20"/>
              </w:rPr>
              <w:t>器</w:t>
            </w:r>
          </w:p>
        </w:tc>
        <w:tc>
          <w:tcPr>
            <w:tcW w:w="4243" w:type="dxa"/>
            <w:vAlign w:val="top"/>
          </w:tcPr>
          <w:p w14:paraId="5E4C89CC">
            <w:pPr>
              <w:spacing w:line="245" w:lineRule="auto"/>
              <w:rPr>
                <w:rFonts w:ascii="Arial"/>
                <w:sz w:val="21"/>
              </w:rPr>
            </w:pPr>
          </w:p>
          <w:p w14:paraId="5D6537C4">
            <w:pPr>
              <w:pStyle w:val="6"/>
              <w:spacing w:before="65" w:line="221" w:lineRule="auto"/>
              <w:ind w:left="770"/>
              <w:rPr>
                <w:sz w:val="20"/>
                <w:szCs w:val="20"/>
              </w:rPr>
            </w:pPr>
            <w:r>
              <w:rPr>
                <w:rFonts w:ascii="Times New Roman" w:hAnsi="Times New Roman" w:eastAsia="Times New Roman" w:cs="Times New Roman"/>
                <w:sz w:val="20"/>
                <w:szCs w:val="20"/>
              </w:rPr>
              <w:t>HY</w:t>
            </w:r>
            <w:r>
              <w:rPr>
                <w:rFonts w:ascii="Times New Roman" w:hAnsi="Times New Roman" w:eastAsia="Times New Roman" w:cs="Times New Roman"/>
                <w:spacing w:val="8"/>
                <w:sz w:val="20"/>
                <w:szCs w:val="20"/>
              </w:rPr>
              <w:t>5</w:t>
            </w:r>
            <w:r>
              <w:rPr>
                <w:rFonts w:ascii="Times New Roman" w:hAnsi="Times New Roman" w:eastAsia="Times New Roman" w:cs="Times New Roman"/>
                <w:sz w:val="20"/>
                <w:szCs w:val="20"/>
              </w:rPr>
              <w:t>WZ</w:t>
            </w:r>
            <w:r>
              <w:rPr>
                <w:rFonts w:ascii="Times New Roman" w:hAnsi="Times New Roman" w:eastAsia="Times New Roman" w:cs="Times New Roman"/>
                <w:spacing w:val="8"/>
                <w:sz w:val="20"/>
                <w:szCs w:val="20"/>
              </w:rPr>
              <w:t>-51/134,</w:t>
            </w:r>
            <w:r>
              <w:rPr>
                <w:spacing w:val="8"/>
                <w:sz w:val="20"/>
                <w:szCs w:val="20"/>
              </w:rPr>
              <w:t>含放电记录器</w:t>
            </w:r>
          </w:p>
        </w:tc>
        <w:tc>
          <w:tcPr>
            <w:tcW w:w="549" w:type="dxa"/>
            <w:vAlign w:val="top"/>
          </w:tcPr>
          <w:p w14:paraId="4E20247B">
            <w:pPr>
              <w:spacing w:line="245" w:lineRule="auto"/>
              <w:rPr>
                <w:rFonts w:ascii="Arial"/>
                <w:sz w:val="21"/>
              </w:rPr>
            </w:pPr>
          </w:p>
          <w:p w14:paraId="2B766872">
            <w:pPr>
              <w:pStyle w:val="6"/>
              <w:spacing w:before="65" w:line="231" w:lineRule="auto"/>
              <w:ind w:left="189"/>
              <w:rPr>
                <w:sz w:val="20"/>
                <w:szCs w:val="20"/>
              </w:rPr>
            </w:pPr>
            <w:r>
              <w:rPr>
                <w:sz w:val="20"/>
                <w:szCs w:val="20"/>
              </w:rPr>
              <w:t>只</w:t>
            </w:r>
          </w:p>
        </w:tc>
        <w:tc>
          <w:tcPr>
            <w:tcW w:w="629" w:type="dxa"/>
            <w:vAlign w:val="top"/>
          </w:tcPr>
          <w:p w14:paraId="1D0AE9EA">
            <w:pPr>
              <w:spacing w:line="289" w:lineRule="auto"/>
              <w:rPr>
                <w:rFonts w:ascii="Arial"/>
                <w:sz w:val="21"/>
              </w:rPr>
            </w:pPr>
          </w:p>
          <w:p w14:paraId="76699722">
            <w:pPr>
              <w:spacing w:before="57"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29" w:type="dxa"/>
            <w:vAlign w:val="top"/>
          </w:tcPr>
          <w:p w14:paraId="1066326C">
            <w:pPr>
              <w:rPr>
                <w:rFonts w:ascii="Arial"/>
                <w:sz w:val="21"/>
              </w:rPr>
            </w:pPr>
          </w:p>
        </w:tc>
        <w:tc>
          <w:tcPr>
            <w:tcW w:w="232" w:type="dxa"/>
            <w:vMerge w:val="continue"/>
            <w:tcBorders>
              <w:top w:val="nil"/>
              <w:bottom w:val="nil"/>
              <w:right w:val="single" w:color="000000" w:sz="6" w:space="0"/>
            </w:tcBorders>
            <w:vAlign w:val="top"/>
          </w:tcPr>
          <w:p w14:paraId="7DE203A0">
            <w:pPr>
              <w:rPr>
                <w:rFonts w:ascii="Arial"/>
                <w:sz w:val="21"/>
              </w:rPr>
            </w:pPr>
          </w:p>
        </w:tc>
      </w:tr>
      <w:tr w14:paraId="4BF8D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464" w:type="dxa"/>
            <w:vMerge w:val="continue"/>
            <w:tcBorders>
              <w:top w:val="nil"/>
              <w:left w:val="single" w:color="000000" w:sz="6" w:space="0"/>
              <w:bottom w:val="nil"/>
            </w:tcBorders>
            <w:vAlign w:val="top"/>
          </w:tcPr>
          <w:p w14:paraId="2D04006B">
            <w:pPr>
              <w:rPr>
                <w:rFonts w:ascii="Arial"/>
                <w:sz w:val="21"/>
              </w:rPr>
            </w:pPr>
          </w:p>
        </w:tc>
        <w:tc>
          <w:tcPr>
            <w:tcW w:w="222" w:type="dxa"/>
            <w:vMerge w:val="continue"/>
            <w:tcBorders>
              <w:top w:val="nil"/>
              <w:bottom w:val="nil"/>
            </w:tcBorders>
            <w:vAlign w:val="top"/>
          </w:tcPr>
          <w:p w14:paraId="398FCCE5">
            <w:pPr>
              <w:rPr>
                <w:rFonts w:ascii="Arial"/>
                <w:sz w:val="21"/>
              </w:rPr>
            </w:pPr>
          </w:p>
        </w:tc>
        <w:tc>
          <w:tcPr>
            <w:tcW w:w="1096" w:type="dxa"/>
            <w:vAlign w:val="top"/>
          </w:tcPr>
          <w:p w14:paraId="1E8FE358">
            <w:pPr>
              <w:spacing w:before="58" w:line="199"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220</w:t>
            </w:r>
            <w:r>
              <w:rPr>
                <w:rFonts w:ascii="Times New Roman" w:hAnsi="Times New Roman" w:eastAsia="Times New Roman" w:cs="Times New Roman"/>
                <w:sz w:val="20"/>
                <w:szCs w:val="20"/>
              </w:rPr>
              <w:t>kV</w:t>
            </w:r>
          </w:p>
          <w:p w14:paraId="6970B7E1">
            <w:pPr>
              <w:pStyle w:val="6"/>
              <w:spacing w:before="34" w:line="228" w:lineRule="auto"/>
              <w:ind w:left="141"/>
              <w:rPr>
                <w:sz w:val="20"/>
                <w:szCs w:val="20"/>
              </w:rPr>
            </w:pPr>
            <w:r>
              <w:rPr>
                <w:rFonts w:ascii="Times New Roman" w:hAnsi="Times New Roman" w:eastAsia="Times New Roman" w:cs="Times New Roman"/>
                <w:spacing w:val="-1"/>
                <w:sz w:val="20"/>
                <w:szCs w:val="20"/>
              </w:rPr>
              <w:t>GIS</w:t>
            </w:r>
            <w:r>
              <w:rPr>
                <w:rFonts w:ascii="Times New Roman" w:hAnsi="Times New Roman" w:eastAsia="Times New Roman" w:cs="Times New Roman"/>
                <w:spacing w:val="31"/>
                <w:sz w:val="20"/>
                <w:szCs w:val="20"/>
              </w:rPr>
              <w:t xml:space="preserve"> </w:t>
            </w:r>
            <w:r>
              <w:rPr>
                <w:spacing w:val="-1"/>
                <w:sz w:val="20"/>
                <w:szCs w:val="20"/>
              </w:rPr>
              <w:t>出线</w:t>
            </w:r>
          </w:p>
          <w:p w14:paraId="619B8897">
            <w:pPr>
              <w:pStyle w:val="6"/>
              <w:spacing w:before="24" w:line="208" w:lineRule="auto"/>
              <w:ind w:left="353"/>
              <w:rPr>
                <w:sz w:val="20"/>
                <w:szCs w:val="20"/>
              </w:rPr>
            </w:pPr>
            <w:r>
              <w:rPr>
                <w:spacing w:val="-4"/>
                <w:sz w:val="20"/>
                <w:szCs w:val="20"/>
              </w:rPr>
              <w:t>间隔</w:t>
            </w:r>
          </w:p>
        </w:tc>
        <w:tc>
          <w:tcPr>
            <w:tcW w:w="4243" w:type="dxa"/>
            <w:vAlign w:val="top"/>
          </w:tcPr>
          <w:p w14:paraId="0A19E06E">
            <w:pPr>
              <w:pStyle w:val="6"/>
              <w:spacing w:before="161"/>
              <w:ind w:left="1300" w:right="103" w:hanging="1197"/>
              <w:rPr>
                <w:sz w:val="20"/>
                <w:szCs w:val="20"/>
              </w:rPr>
            </w:pPr>
            <w:r>
              <w:rPr>
                <w:rFonts w:ascii="Times New Roman" w:hAnsi="Times New Roman" w:eastAsia="Times New Roman" w:cs="Times New Roman"/>
                <w:spacing w:val="3"/>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3"/>
                <w:sz w:val="20"/>
                <w:szCs w:val="20"/>
              </w:rPr>
              <w:t xml:space="preserve"> 3150A,50</w:t>
            </w:r>
            <w:r>
              <w:rPr>
                <w:rFonts w:ascii="Times New Roman" w:hAnsi="Times New Roman" w:eastAsia="Times New Roman" w:cs="Times New Roman"/>
                <w:sz w:val="20"/>
                <w:szCs w:val="20"/>
              </w:rPr>
              <w:t>kA</w:t>
            </w:r>
            <w:r>
              <w:rPr>
                <w:spacing w:val="3"/>
                <w:sz w:val="20"/>
                <w:szCs w:val="20"/>
              </w:rPr>
              <w:t>，主母线安装：</w:t>
            </w:r>
            <w:r>
              <w:rPr>
                <w:rFonts w:ascii="Times New Roman" w:hAnsi="Times New Roman" w:eastAsia="Times New Roman" w:cs="Times New Roman"/>
                <w:spacing w:val="3"/>
                <w:sz w:val="20"/>
                <w:szCs w:val="20"/>
              </w:rPr>
              <w:t>5m/</w:t>
            </w:r>
            <w:r>
              <w:rPr>
                <w:spacing w:val="3"/>
                <w:sz w:val="20"/>
                <w:szCs w:val="20"/>
              </w:rPr>
              <w:t>台，进</w:t>
            </w:r>
            <w:r>
              <w:rPr>
                <w:spacing w:val="9"/>
                <w:sz w:val="20"/>
                <w:szCs w:val="20"/>
              </w:rPr>
              <w:t xml:space="preserve"> </w:t>
            </w:r>
            <w:r>
              <w:rPr>
                <w:spacing w:val="5"/>
                <w:sz w:val="20"/>
                <w:szCs w:val="20"/>
              </w:rPr>
              <w:t>出线套管：</w:t>
            </w:r>
            <w:r>
              <w:rPr>
                <w:rFonts w:ascii="Times New Roman" w:hAnsi="Times New Roman" w:eastAsia="Times New Roman" w:cs="Times New Roman"/>
                <w:spacing w:val="5"/>
                <w:sz w:val="20"/>
                <w:szCs w:val="20"/>
              </w:rPr>
              <w:t xml:space="preserve">3 </w:t>
            </w:r>
            <w:r>
              <w:rPr>
                <w:spacing w:val="5"/>
                <w:sz w:val="20"/>
                <w:szCs w:val="20"/>
              </w:rPr>
              <w:t>个</w:t>
            </w:r>
            <w:r>
              <w:rPr>
                <w:rFonts w:ascii="Times New Roman" w:hAnsi="Times New Roman" w:eastAsia="Times New Roman" w:cs="Times New Roman"/>
                <w:spacing w:val="5"/>
                <w:sz w:val="20"/>
                <w:szCs w:val="20"/>
              </w:rPr>
              <w:t>/</w:t>
            </w:r>
            <w:r>
              <w:rPr>
                <w:spacing w:val="5"/>
                <w:sz w:val="20"/>
                <w:szCs w:val="20"/>
              </w:rPr>
              <w:t>台</w:t>
            </w:r>
          </w:p>
        </w:tc>
        <w:tc>
          <w:tcPr>
            <w:tcW w:w="549" w:type="dxa"/>
            <w:vAlign w:val="top"/>
          </w:tcPr>
          <w:p w14:paraId="3F46AB00">
            <w:pPr>
              <w:pStyle w:val="6"/>
              <w:spacing w:before="297" w:line="230" w:lineRule="auto"/>
              <w:ind w:left="193"/>
              <w:rPr>
                <w:sz w:val="20"/>
                <w:szCs w:val="20"/>
              </w:rPr>
            </w:pPr>
            <w:r>
              <w:rPr>
                <w:sz w:val="20"/>
                <w:szCs w:val="20"/>
              </w:rPr>
              <w:t>台</w:t>
            </w:r>
          </w:p>
        </w:tc>
        <w:tc>
          <w:tcPr>
            <w:tcW w:w="629" w:type="dxa"/>
            <w:vAlign w:val="top"/>
          </w:tcPr>
          <w:p w14:paraId="4EE8BE4E">
            <w:pPr>
              <w:spacing w:line="274" w:lineRule="auto"/>
              <w:rPr>
                <w:rFonts w:ascii="Arial"/>
                <w:sz w:val="21"/>
              </w:rPr>
            </w:pPr>
          </w:p>
          <w:p w14:paraId="57BE7150">
            <w:pPr>
              <w:spacing w:before="57"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29" w:type="dxa"/>
            <w:vAlign w:val="top"/>
          </w:tcPr>
          <w:p w14:paraId="3B99D617">
            <w:pPr>
              <w:rPr>
                <w:rFonts w:ascii="Arial"/>
                <w:sz w:val="21"/>
              </w:rPr>
            </w:pPr>
          </w:p>
        </w:tc>
        <w:tc>
          <w:tcPr>
            <w:tcW w:w="232" w:type="dxa"/>
            <w:vMerge w:val="continue"/>
            <w:tcBorders>
              <w:top w:val="nil"/>
              <w:bottom w:val="nil"/>
              <w:right w:val="single" w:color="000000" w:sz="6" w:space="0"/>
            </w:tcBorders>
            <w:vAlign w:val="top"/>
          </w:tcPr>
          <w:p w14:paraId="29C84C9B">
            <w:pPr>
              <w:rPr>
                <w:rFonts w:ascii="Arial"/>
                <w:sz w:val="21"/>
              </w:rPr>
            </w:pPr>
          </w:p>
        </w:tc>
      </w:tr>
      <w:tr w14:paraId="37781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464" w:type="dxa"/>
            <w:vMerge w:val="continue"/>
            <w:tcBorders>
              <w:top w:val="nil"/>
              <w:left w:val="single" w:color="000000" w:sz="6" w:space="0"/>
              <w:bottom w:val="nil"/>
            </w:tcBorders>
            <w:vAlign w:val="top"/>
          </w:tcPr>
          <w:p w14:paraId="7E9C2B31">
            <w:pPr>
              <w:rPr>
                <w:rFonts w:ascii="Arial"/>
                <w:sz w:val="21"/>
              </w:rPr>
            </w:pPr>
          </w:p>
        </w:tc>
        <w:tc>
          <w:tcPr>
            <w:tcW w:w="222" w:type="dxa"/>
            <w:vMerge w:val="continue"/>
            <w:tcBorders>
              <w:top w:val="nil"/>
              <w:bottom w:val="nil"/>
            </w:tcBorders>
            <w:vAlign w:val="top"/>
          </w:tcPr>
          <w:p w14:paraId="40D54C83">
            <w:pPr>
              <w:rPr>
                <w:rFonts w:ascii="Arial"/>
                <w:sz w:val="21"/>
              </w:rPr>
            </w:pPr>
          </w:p>
        </w:tc>
        <w:tc>
          <w:tcPr>
            <w:tcW w:w="1096" w:type="dxa"/>
            <w:vAlign w:val="top"/>
          </w:tcPr>
          <w:p w14:paraId="6C985E3F">
            <w:pPr>
              <w:spacing w:before="60" w:line="199"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220</w:t>
            </w:r>
            <w:r>
              <w:rPr>
                <w:rFonts w:ascii="Times New Roman" w:hAnsi="Times New Roman" w:eastAsia="Times New Roman" w:cs="Times New Roman"/>
                <w:sz w:val="20"/>
                <w:szCs w:val="20"/>
              </w:rPr>
              <w:t>kV</w:t>
            </w:r>
          </w:p>
          <w:p w14:paraId="0D5A0D7E">
            <w:pPr>
              <w:pStyle w:val="6"/>
              <w:spacing w:before="31" w:line="229" w:lineRule="auto"/>
              <w:ind w:left="141"/>
              <w:rPr>
                <w:sz w:val="20"/>
                <w:szCs w:val="20"/>
              </w:rPr>
            </w:pPr>
            <w:r>
              <w:rPr>
                <w:rFonts w:ascii="Times New Roman" w:hAnsi="Times New Roman" w:eastAsia="Times New Roman" w:cs="Times New Roman"/>
                <w:sz w:val="20"/>
                <w:szCs w:val="20"/>
              </w:rPr>
              <w:t>GIS</w:t>
            </w:r>
            <w:r>
              <w:rPr>
                <w:rFonts w:ascii="Times New Roman" w:hAnsi="Times New Roman" w:eastAsia="Times New Roman" w:cs="Times New Roman"/>
                <w:spacing w:val="14"/>
                <w:sz w:val="20"/>
                <w:szCs w:val="20"/>
              </w:rPr>
              <w:t xml:space="preserve"> </w:t>
            </w:r>
            <w:r>
              <w:rPr>
                <w:spacing w:val="6"/>
                <w:sz w:val="20"/>
                <w:szCs w:val="20"/>
              </w:rPr>
              <w:t>主变</w:t>
            </w:r>
          </w:p>
          <w:p w14:paraId="415807C9">
            <w:pPr>
              <w:pStyle w:val="6"/>
              <w:spacing w:before="24" w:line="207" w:lineRule="auto"/>
              <w:ind w:left="353"/>
              <w:rPr>
                <w:sz w:val="20"/>
                <w:szCs w:val="20"/>
              </w:rPr>
            </w:pPr>
            <w:r>
              <w:rPr>
                <w:spacing w:val="-4"/>
                <w:sz w:val="20"/>
                <w:szCs w:val="20"/>
              </w:rPr>
              <w:t>间隔</w:t>
            </w:r>
          </w:p>
        </w:tc>
        <w:tc>
          <w:tcPr>
            <w:tcW w:w="4243" w:type="dxa"/>
            <w:vAlign w:val="top"/>
          </w:tcPr>
          <w:p w14:paraId="257C76AF">
            <w:pPr>
              <w:pStyle w:val="6"/>
              <w:spacing w:before="162" w:line="239" w:lineRule="auto"/>
              <w:ind w:left="1300" w:right="103" w:hanging="1197"/>
              <w:rPr>
                <w:sz w:val="20"/>
                <w:szCs w:val="20"/>
              </w:rPr>
            </w:pPr>
            <w:r>
              <w:rPr>
                <w:rFonts w:ascii="Times New Roman" w:hAnsi="Times New Roman" w:eastAsia="Times New Roman" w:cs="Times New Roman"/>
                <w:spacing w:val="3"/>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3"/>
                <w:sz w:val="20"/>
                <w:szCs w:val="20"/>
              </w:rPr>
              <w:t xml:space="preserve"> 3150A,50</w:t>
            </w:r>
            <w:r>
              <w:rPr>
                <w:rFonts w:ascii="Times New Roman" w:hAnsi="Times New Roman" w:eastAsia="Times New Roman" w:cs="Times New Roman"/>
                <w:sz w:val="20"/>
                <w:szCs w:val="20"/>
              </w:rPr>
              <w:t>kA</w:t>
            </w:r>
            <w:r>
              <w:rPr>
                <w:spacing w:val="3"/>
                <w:sz w:val="20"/>
                <w:szCs w:val="20"/>
              </w:rPr>
              <w:t>，主母线安装：</w:t>
            </w:r>
            <w:r>
              <w:rPr>
                <w:rFonts w:ascii="Times New Roman" w:hAnsi="Times New Roman" w:eastAsia="Times New Roman" w:cs="Times New Roman"/>
                <w:spacing w:val="3"/>
                <w:sz w:val="20"/>
                <w:szCs w:val="20"/>
              </w:rPr>
              <w:t>5m/</w:t>
            </w:r>
            <w:r>
              <w:rPr>
                <w:spacing w:val="3"/>
                <w:sz w:val="20"/>
                <w:szCs w:val="20"/>
              </w:rPr>
              <w:t>台，进</w:t>
            </w:r>
            <w:r>
              <w:rPr>
                <w:spacing w:val="9"/>
                <w:sz w:val="20"/>
                <w:szCs w:val="20"/>
              </w:rPr>
              <w:t xml:space="preserve"> </w:t>
            </w:r>
            <w:r>
              <w:rPr>
                <w:spacing w:val="5"/>
                <w:sz w:val="20"/>
                <w:szCs w:val="20"/>
              </w:rPr>
              <w:t>出线套管：</w:t>
            </w:r>
            <w:r>
              <w:rPr>
                <w:rFonts w:ascii="Times New Roman" w:hAnsi="Times New Roman" w:eastAsia="Times New Roman" w:cs="Times New Roman"/>
                <w:spacing w:val="5"/>
                <w:sz w:val="20"/>
                <w:szCs w:val="20"/>
              </w:rPr>
              <w:t xml:space="preserve">3 </w:t>
            </w:r>
            <w:r>
              <w:rPr>
                <w:spacing w:val="5"/>
                <w:sz w:val="20"/>
                <w:szCs w:val="20"/>
              </w:rPr>
              <w:t>个</w:t>
            </w:r>
            <w:r>
              <w:rPr>
                <w:rFonts w:ascii="Times New Roman" w:hAnsi="Times New Roman" w:eastAsia="Times New Roman" w:cs="Times New Roman"/>
                <w:spacing w:val="5"/>
                <w:sz w:val="20"/>
                <w:szCs w:val="20"/>
              </w:rPr>
              <w:t>/</w:t>
            </w:r>
            <w:r>
              <w:rPr>
                <w:spacing w:val="5"/>
                <w:sz w:val="20"/>
                <w:szCs w:val="20"/>
              </w:rPr>
              <w:t>台</w:t>
            </w:r>
          </w:p>
        </w:tc>
        <w:tc>
          <w:tcPr>
            <w:tcW w:w="549" w:type="dxa"/>
            <w:vAlign w:val="top"/>
          </w:tcPr>
          <w:p w14:paraId="5E276DE7">
            <w:pPr>
              <w:pStyle w:val="6"/>
              <w:spacing w:before="299" w:line="230" w:lineRule="auto"/>
              <w:ind w:left="193"/>
              <w:rPr>
                <w:sz w:val="20"/>
                <w:szCs w:val="20"/>
              </w:rPr>
            </w:pPr>
            <w:r>
              <w:rPr>
                <w:sz w:val="20"/>
                <w:szCs w:val="20"/>
              </w:rPr>
              <w:t>台</w:t>
            </w:r>
          </w:p>
        </w:tc>
        <w:tc>
          <w:tcPr>
            <w:tcW w:w="629" w:type="dxa"/>
            <w:vAlign w:val="top"/>
          </w:tcPr>
          <w:p w14:paraId="13352B1A">
            <w:pPr>
              <w:spacing w:line="276" w:lineRule="auto"/>
              <w:rPr>
                <w:rFonts w:ascii="Arial"/>
                <w:sz w:val="21"/>
              </w:rPr>
            </w:pPr>
          </w:p>
          <w:p w14:paraId="055679F9">
            <w:pPr>
              <w:spacing w:before="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9" w:type="dxa"/>
            <w:vAlign w:val="top"/>
          </w:tcPr>
          <w:p w14:paraId="1079BBB7">
            <w:pPr>
              <w:rPr>
                <w:rFonts w:ascii="Arial"/>
                <w:sz w:val="21"/>
              </w:rPr>
            </w:pPr>
          </w:p>
        </w:tc>
        <w:tc>
          <w:tcPr>
            <w:tcW w:w="232" w:type="dxa"/>
            <w:vMerge w:val="continue"/>
            <w:tcBorders>
              <w:top w:val="nil"/>
              <w:bottom w:val="nil"/>
              <w:right w:val="single" w:color="000000" w:sz="6" w:space="0"/>
            </w:tcBorders>
            <w:vAlign w:val="top"/>
          </w:tcPr>
          <w:p w14:paraId="69C2EF77">
            <w:pPr>
              <w:rPr>
                <w:rFonts w:ascii="Arial"/>
                <w:sz w:val="21"/>
              </w:rPr>
            </w:pPr>
          </w:p>
        </w:tc>
      </w:tr>
      <w:tr w14:paraId="2EDC2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464" w:type="dxa"/>
            <w:vMerge w:val="continue"/>
            <w:tcBorders>
              <w:top w:val="nil"/>
              <w:left w:val="single" w:color="000000" w:sz="6" w:space="0"/>
              <w:bottom w:val="nil"/>
            </w:tcBorders>
            <w:vAlign w:val="top"/>
          </w:tcPr>
          <w:p w14:paraId="3A31C2D6">
            <w:pPr>
              <w:rPr>
                <w:rFonts w:ascii="Arial"/>
                <w:sz w:val="21"/>
              </w:rPr>
            </w:pPr>
          </w:p>
        </w:tc>
        <w:tc>
          <w:tcPr>
            <w:tcW w:w="222" w:type="dxa"/>
            <w:vMerge w:val="continue"/>
            <w:tcBorders>
              <w:top w:val="nil"/>
              <w:bottom w:val="nil"/>
            </w:tcBorders>
            <w:vAlign w:val="top"/>
          </w:tcPr>
          <w:p w14:paraId="4394DB83">
            <w:pPr>
              <w:rPr>
                <w:rFonts w:ascii="Arial"/>
                <w:sz w:val="21"/>
              </w:rPr>
            </w:pPr>
          </w:p>
        </w:tc>
        <w:tc>
          <w:tcPr>
            <w:tcW w:w="1096" w:type="dxa"/>
            <w:vAlign w:val="top"/>
          </w:tcPr>
          <w:p w14:paraId="7A8E102E">
            <w:pPr>
              <w:pStyle w:val="6"/>
              <w:spacing w:before="61" w:line="230" w:lineRule="auto"/>
              <w:ind w:left="131" w:right="133" w:firstLine="127"/>
              <w:rPr>
                <w:sz w:val="20"/>
                <w:szCs w:val="20"/>
              </w:rPr>
            </w:pPr>
            <w:r>
              <w:rPr>
                <w:rFonts w:ascii="Times New Roman" w:hAnsi="Times New Roman" w:eastAsia="Times New Roman" w:cs="Times New Roman"/>
                <w:spacing w:val="7"/>
                <w:sz w:val="20"/>
                <w:szCs w:val="20"/>
              </w:rPr>
              <w:t>220</w:t>
            </w:r>
            <w:r>
              <w:rPr>
                <w:rFonts w:ascii="Times New Roman" w:hAnsi="Times New Roman" w:eastAsia="Times New Roman" w:cs="Times New Roman"/>
                <w:sz w:val="20"/>
                <w:szCs w:val="20"/>
              </w:rPr>
              <w:t>kV    GIS</w:t>
            </w:r>
            <w:r>
              <w:rPr>
                <w:rFonts w:ascii="Times New Roman" w:hAnsi="Times New Roman" w:eastAsia="Times New Roman" w:cs="Times New Roman"/>
                <w:spacing w:val="12"/>
                <w:sz w:val="20"/>
                <w:szCs w:val="20"/>
              </w:rPr>
              <w:t xml:space="preserve"> </w:t>
            </w:r>
            <w:r>
              <w:rPr>
                <w:spacing w:val="12"/>
                <w:sz w:val="20"/>
                <w:szCs w:val="20"/>
              </w:rPr>
              <w:t>母线</w:t>
            </w:r>
            <w:r>
              <w:rPr>
                <w:sz w:val="20"/>
                <w:szCs w:val="20"/>
              </w:rPr>
              <w:t xml:space="preserve"> </w:t>
            </w:r>
            <w:r>
              <w:rPr>
                <w:spacing w:val="6"/>
                <w:sz w:val="20"/>
                <w:szCs w:val="20"/>
              </w:rPr>
              <w:t>设备间隔</w:t>
            </w:r>
          </w:p>
        </w:tc>
        <w:tc>
          <w:tcPr>
            <w:tcW w:w="4243" w:type="dxa"/>
            <w:vAlign w:val="top"/>
          </w:tcPr>
          <w:p w14:paraId="12FD5566">
            <w:pPr>
              <w:pStyle w:val="6"/>
              <w:spacing w:before="298" w:line="221" w:lineRule="auto"/>
              <w:ind w:left="262"/>
              <w:rPr>
                <w:sz w:val="20"/>
                <w:szCs w:val="20"/>
              </w:rPr>
            </w:pP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3150A,50</w:t>
            </w:r>
            <w:r>
              <w:rPr>
                <w:rFonts w:ascii="Times New Roman" w:hAnsi="Times New Roman" w:eastAsia="Times New Roman" w:cs="Times New Roman"/>
                <w:sz w:val="20"/>
                <w:szCs w:val="20"/>
              </w:rPr>
              <w:t>kA</w:t>
            </w:r>
            <w:r>
              <w:rPr>
                <w:rFonts w:ascii="Times New Roman" w:hAnsi="Times New Roman" w:eastAsia="Times New Roman" w:cs="Times New Roman"/>
                <w:spacing w:val="-21"/>
                <w:sz w:val="20"/>
                <w:szCs w:val="20"/>
              </w:rPr>
              <w:t xml:space="preserve"> </w:t>
            </w:r>
            <w:r>
              <w:rPr>
                <w:spacing w:val="6"/>
                <w:sz w:val="20"/>
                <w:szCs w:val="20"/>
              </w:rPr>
              <w:t>，主母线安装：</w:t>
            </w:r>
            <w:r>
              <w:rPr>
                <w:rFonts w:ascii="Times New Roman" w:hAnsi="Times New Roman" w:eastAsia="Times New Roman" w:cs="Times New Roman"/>
                <w:spacing w:val="6"/>
                <w:sz w:val="20"/>
                <w:szCs w:val="20"/>
              </w:rPr>
              <w:t>5m/</w:t>
            </w:r>
            <w:r>
              <w:rPr>
                <w:spacing w:val="6"/>
                <w:sz w:val="20"/>
                <w:szCs w:val="20"/>
              </w:rPr>
              <w:t>台</w:t>
            </w:r>
          </w:p>
        </w:tc>
        <w:tc>
          <w:tcPr>
            <w:tcW w:w="549" w:type="dxa"/>
            <w:vAlign w:val="top"/>
          </w:tcPr>
          <w:p w14:paraId="3FC53A1C">
            <w:pPr>
              <w:pStyle w:val="6"/>
              <w:spacing w:before="298" w:line="230" w:lineRule="auto"/>
              <w:ind w:left="193"/>
              <w:rPr>
                <w:sz w:val="20"/>
                <w:szCs w:val="20"/>
              </w:rPr>
            </w:pPr>
            <w:r>
              <w:rPr>
                <w:sz w:val="20"/>
                <w:szCs w:val="20"/>
              </w:rPr>
              <w:t>台</w:t>
            </w:r>
          </w:p>
        </w:tc>
        <w:tc>
          <w:tcPr>
            <w:tcW w:w="629" w:type="dxa"/>
            <w:vAlign w:val="top"/>
          </w:tcPr>
          <w:p w14:paraId="1A5B0736">
            <w:pPr>
              <w:spacing w:line="277" w:lineRule="auto"/>
              <w:rPr>
                <w:rFonts w:ascii="Arial"/>
                <w:sz w:val="21"/>
              </w:rPr>
            </w:pPr>
          </w:p>
          <w:p w14:paraId="4198F3EF">
            <w:pPr>
              <w:spacing w:before="58"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29" w:type="dxa"/>
            <w:vAlign w:val="top"/>
          </w:tcPr>
          <w:p w14:paraId="5A2A5B35">
            <w:pPr>
              <w:rPr>
                <w:rFonts w:ascii="Arial"/>
                <w:sz w:val="21"/>
              </w:rPr>
            </w:pPr>
          </w:p>
        </w:tc>
        <w:tc>
          <w:tcPr>
            <w:tcW w:w="232" w:type="dxa"/>
            <w:vMerge w:val="continue"/>
            <w:tcBorders>
              <w:top w:val="nil"/>
              <w:bottom w:val="nil"/>
              <w:right w:val="single" w:color="000000" w:sz="6" w:space="0"/>
            </w:tcBorders>
            <w:vAlign w:val="top"/>
          </w:tcPr>
          <w:p w14:paraId="152280FD">
            <w:pPr>
              <w:rPr>
                <w:rFonts w:ascii="Arial"/>
                <w:sz w:val="21"/>
              </w:rPr>
            </w:pPr>
          </w:p>
        </w:tc>
      </w:tr>
      <w:tr w14:paraId="1FA8C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64" w:type="dxa"/>
            <w:vMerge w:val="continue"/>
            <w:tcBorders>
              <w:top w:val="nil"/>
              <w:left w:val="single" w:color="000000" w:sz="6" w:space="0"/>
              <w:bottom w:val="nil"/>
            </w:tcBorders>
            <w:vAlign w:val="top"/>
          </w:tcPr>
          <w:p w14:paraId="02C18852">
            <w:pPr>
              <w:rPr>
                <w:rFonts w:ascii="Arial"/>
                <w:sz w:val="21"/>
              </w:rPr>
            </w:pPr>
          </w:p>
        </w:tc>
        <w:tc>
          <w:tcPr>
            <w:tcW w:w="222" w:type="dxa"/>
            <w:vMerge w:val="continue"/>
            <w:tcBorders>
              <w:top w:val="nil"/>
              <w:bottom w:val="nil"/>
            </w:tcBorders>
            <w:vAlign w:val="top"/>
          </w:tcPr>
          <w:p w14:paraId="7F601351">
            <w:pPr>
              <w:rPr>
                <w:rFonts w:ascii="Arial"/>
                <w:sz w:val="21"/>
              </w:rPr>
            </w:pPr>
          </w:p>
        </w:tc>
        <w:tc>
          <w:tcPr>
            <w:tcW w:w="1096" w:type="dxa"/>
            <w:vAlign w:val="top"/>
          </w:tcPr>
          <w:p w14:paraId="351BF853">
            <w:pPr>
              <w:pStyle w:val="6"/>
              <w:spacing w:before="46" w:line="228" w:lineRule="auto"/>
              <w:ind w:left="352" w:right="149" w:hanging="211"/>
              <w:rPr>
                <w:sz w:val="20"/>
                <w:szCs w:val="20"/>
              </w:rPr>
            </w:pPr>
            <w:r>
              <w:rPr>
                <w:rFonts w:ascii="Times New Roman" w:hAnsi="Times New Roman" w:eastAsia="Times New Roman" w:cs="Times New Roman"/>
                <w:sz w:val="20"/>
                <w:szCs w:val="20"/>
              </w:rPr>
              <w:t>GIS</w:t>
            </w:r>
            <w:r>
              <w:rPr>
                <w:rFonts w:ascii="Times New Roman" w:hAnsi="Times New Roman" w:eastAsia="Times New Roman" w:cs="Times New Roman"/>
                <w:spacing w:val="14"/>
                <w:w w:val="101"/>
                <w:sz w:val="20"/>
                <w:szCs w:val="20"/>
              </w:rPr>
              <w:t xml:space="preserve"> </w:t>
            </w:r>
            <w:r>
              <w:rPr>
                <w:spacing w:val="6"/>
                <w:sz w:val="20"/>
                <w:szCs w:val="20"/>
              </w:rPr>
              <w:t>分段</w:t>
            </w:r>
            <w:r>
              <w:rPr>
                <w:sz w:val="20"/>
                <w:szCs w:val="20"/>
              </w:rPr>
              <w:t xml:space="preserve"> </w:t>
            </w:r>
            <w:r>
              <w:rPr>
                <w:spacing w:val="-4"/>
                <w:sz w:val="20"/>
                <w:szCs w:val="20"/>
              </w:rPr>
              <w:t>间隔</w:t>
            </w:r>
          </w:p>
        </w:tc>
        <w:tc>
          <w:tcPr>
            <w:tcW w:w="4243" w:type="dxa"/>
            <w:vAlign w:val="top"/>
          </w:tcPr>
          <w:p w14:paraId="1421D619">
            <w:pPr>
              <w:pStyle w:val="6"/>
              <w:spacing w:before="180" w:line="221" w:lineRule="auto"/>
              <w:ind w:left="262"/>
              <w:rPr>
                <w:sz w:val="20"/>
                <w:szCs w:val="20"/>
              </w:rPr>
            </w:pP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3150A,50</w:t>
            </w:r>
            <w:r>
              <w:rPr>
                <w:rFonts w:ascii="Times New Roman" w:hAnsi="Times New Roman" w:eastAsia="Times New Roman" w:cs="Times New Roman"/>
                <w:sz w:val="20"/>
                <w:szCs w:val="20"/>
              </w:rPr>
              <w:t>kA</w:t>
            </w:r>
            <w:r>
              <w:rPr>
                <w:rFonts w:ascii="Times New Roman" w:hAnsi="Times New Roman" w:eastAsia="Times New Roman" w:cs="Times New Roman"/>
                <w:spacing w:val="-21"/>
                <w:sz w:val="20"/>
                <w:szCs w:val="20"/>
              </w:rPr>
              <w:t xml:space="preserve"> </w:t>
            </w:r>
            <w:r>
              <w:rPr>
                <w:spacing w:val="6"/>
                <w:sz w:val="20"/>
                <w:szCs w:val="20"/>
              </w:rPr>
              <w:t>，主母线安装：</w:t>
            </w:r>
            <w:r>
              <w:rPr>
                <w:rFonts w:ascii="Times New Roman" w:hAnsi="Times New Roman" w:eastAsia="Times New Roman" w:cs="Times New Roman"/>
                <w:spacing w:val="6"/>
                <w:sz w:val="20"/>
                <w:szCs w:val="20"/>
              </w:rPr>
              <w:t>5m/</w:t>
            </w:r>
            <w:r>
              <w:rPr>
                <w:spacing w:val="6"/>
                <w:sz w:val="20"/>
                <w:szCs w:val="20"/>
              </w:rPr>
              <w:t>台</w:t>
            </w:r>
          </w:p>
        </w:tc>
        <w:tc>
          <w:tcPr>
            <w:tcW w:w="549" w:type="dxa"/>
            <w:vAlign w:val="top"/>
          </w:tcPr>
          <w:p w14:paraId="4E3659AD">
            <w:pPr>
              <w:pStyle w:val="6"/>
              <w:spacing w:before="180" w:line="230" w:lineRule="auto"/>
              <w:ind w:left="193"/>
              <w:rPr>
                <w:sz w:val="20"/>
                <w:szCs w:val="20"/>
              </w:rPr>
            </w:pPr>
            <w:r>
              <w:rPr>
                <w:sz w:val="20"/>
                <w:szCs w:val="20"/>
              </w:rPr>
              <w:t>台</w:t>
            </w:r>
          </w:p>
        </w:tc>
        <w:tc>
          <w:tcPr>
            <w:tcW w:w="629" w:type="dxa"/>
            <w:vAlign w:val="top"/>
          </w:tcPr>
          <w:p w14:paraId="0947762A">
            <w:pPr>
              <w:spacing w:before="21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9" w:type="dxa"/>
            <w:vAlign w:val="top"/>
          </w:tcPr>
          <w:p w14:paraId="0CA23571">
            <w:pPr>
              <w:rPr>
                <w:rFonts w:ascii="Arial"/>
                <w:sz w:val="21"/>
              </w:rPr>
            </w:pPr>
          </w:p>
        </w:tc>
        <w:tc>
          <w:tcPr>
            <w:tcW w:w="232" w:type="dxa"/>
            <w:vMerge w:val="continue"/>
            <w:tcBorders>
              <w:top w:val="nil"/>
              <w:bottom w:val="nil"/>
              <w:right w:val="single" w:color="000000" w:sz="6" w:space="0"/>
            </w:tcBorders>
            <w:vAlign w:val="top"/>
          </w:tcPr>
          <w:p w14:paraId="6DC95981">
            <w:pPr>
              <w:rPr>
                <w:rFonts w:ascii="Arial"/>
                <w:sz w:val="21"/>
              </w:rPr>
            </w:pPr>
          </w:p>
        </w:tc>
      </w:tr>
      <w:tr w14:paraId="6651A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4" w:type="dxa"/>
            <w:vMerge w:val="continue"/>
            <w:tcBorders>
              <w:top w:val="nil"/>
              <w:left w:val="single" w:color="000000" w:sz="6" w:space="0"/>
              <w:bottom w:val="nil"/>
            </w:tcBorders>
            <w:vAlign w:val="top"/>
          </w:tcPr>
          <w:p w14:paraId="54172A71">
            <w:pPr>
              <w:rPr>
                <w:rFonts w:ascii="Arial"/>
                <w:sz w:val="21"/>
              </w:rPr>
            </w:pPr>
          </w:p>
        </w:tc>
        <w:tc>
          <w:tcPr>
            <w:tcW w:w="222" w:type="dxa"/>
            <w:vMerge w:val="continue"/>
            <w:tcBorders>
              <w:top w:val="nil"/>
              <w:bottom w:val="nil"/>
            </w:tcBorders>
            <w:vAlign w:val="top"/>
          </w:tcPr>
          <w:p w14:paraId="57509992">
            <w:pPr>
              <w:rPr>
                <w:rFonts w:ascii="Arial"/>
                <w:sz w:val="21"/>
              </w:rPr>
            </w:pPr>
          </w:p>
        </w:tc>
        <w:tc>
          <w:tcPr>
            <w:tcW w:w="1096" w:type="dxa"/>
            <w:vAlign w:val="top"/>
          </w:tcPr>
          <w:p w14:paraId="3FB63FA5">
            <w:pPr>
              <w:pStyle w:val="6"/>
              <w:spacing w:before="42" w:line="229" w:lineRule="auto"/>
              <w:ind w:left="340" w:right="135" w:hanging="214"/>
              <w:rPr>
                <w:sz w:val="20"/>
                <w:szCs w:val="20"/>
              </w:rPr>
            </w:pP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9"/>
                <w:sz w:val="20"/>
                <w:szCs w:val="20"/>
              </w:rPr>
              <w:t xml:space="preserve"> </w:t>
            </w:r>
            <w:r>
              <w:rPr>
                <w:spacing w:val="6"/>
                <w:sz w:val="20"/>
                <w:szCs w:val="20"/>
              </w:rPr>
              <w:t>避</w:t>
            </w:r>
            <w:r>
              <w:rPr>
                <w:sz w:val="20"/>
                <w:szCs w:val="20"/>
              </w:rPr>
              <w:t xml:space="preserve"> </w:t>
            </w:r>
            <w:r>
              <w:rPr>
                <w:spacing w:val="2"/>
                <w:sz w:val="20"/>
                <w:szCs w:val="20"/>
              </w:rPr>
              <w:t>雷器</w:t>
            </w:r>
          </w:p>
        </w:tc>
        <w:tc>
          <w:tcPr>
            <w:tcW w:w="4243" w:type="dxa"/>
            <w:vAlign w:val="top"/>
          </w:tcPr>
          <w:p w14:paraId="0CC57DA7">
            <w:pPr>
              <w:pStyle w:val="6"/>
              <w:spacing w:before="179" w:line="228" w:lineRule="auto"/>
              <w:ind w:left="919"/>
              <w:rPr>
                <w:sz w:val="20"/>
                <w:szCs w:val="20"/>
              </w:rPr>
            </w:pPr>
            <w:r>
              <w:rPr>
                <w:rFonts w:ascii="Times New Roman" w:hAnsi="Times New Roman" w:eastAsia="Times New Roman" w:cs="Times New Roman"/>
                <w:spacing w:val="5"/>
                <w:sz w:val="20"/>
                <w:szCs w:val="20"/>
              </w:rPr>
              <w:t xml:space="preserve">Y10W-204/532W </w:t>
            </w:r>
            <w:r>
              <w:rPr>
                <w:spacing w:val="5"/>
                <w:sz w:val="20"/>
                <w:szCs w:val="20"/>
              </w:rPr>
              <w:t>含计数器</w:t>
            </w:r>
          </w:p>
        </w:tc>
        <w:tc>
          <w:tcPr>
            <w:tcW w:w="549" w:type="dxa"/>
            <w:vAlign w:val="top"/>
          </w:tcPr>
          <w:p w14:paraId="4E1712F5">
            <w:pPr>
              <w:pStyle w:val="6"/>
              <w:spacing w:before="180" w:line="228" w:lineRule="auto"/>
              <w:ind w:left="178"/>
              <w:rPr>
                <w:sz w:val="20"/>
                <w:szCs w:val="20"/>
              </w:rPr>
            </w:pPr>
            <w:r>
              <w:rPr>
                <w:sz w:val="20"/>
                <w:szCs w:val="20"/>
              </w:rPr>
              <w:t>支</w:t>
            </w:r>
          </w:p>
        </w:tc>
        <w:tc>
          <w:tcPr>
            <w:tcW w:w="629" w:type="dxa"/>
            <w:vAlign w:val="top"/>
          </w:tcPr>
          <w:p w14:paraId="4853CB0F">
            <w:pPr>
              <w:spacing w:before="216"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629" w:type="dxa"/>
            <w:vAlign w:val="top"/>
          </w:tcPr>
          <w:p w14:paraId="79564EEE">
            <w:pPr>
              <w:rPr>
                <w:rFonts w:ascii="Arial"/>
                <w:sz w:val="21"/>
              </w:rPr>
            </w:pPr>
          </w:p>
        </w:tc>
        <w:tc>
          <w:tcPr>
            <w:tcW w:w="232" w:type="dxa"/>
            <w:vMerge w:val="continue"/>
            <w:tcBorders>
              <w:top w:val="nil"/>
              <w:bottom w:val="nil"/>
              <w:right w:val="single" w:color="000000" w:sz="6" w:space="0"/>
            </w:tcBorders>
            <w:vAlign w:val="top"/>
          </w:tcPr>
          <w:p w14:paraId="39E0A7BD">
            <w:pPr>
              <w:rPr>
                <w:rFonts w:ascii="Arial"/>
                <w:sz w:val="21"/>
              </w:rPr>
            </w:pPr>
          </w:p>
        </w:tc>
      </w:tr>
      <w:tr w14:paraId="57C3E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4" w:type="dxa"/>
            <w:vMerge w:val="continue"/>
            <w:tcBorders>
              <w:top w:val="nil"/>
              <w:left w:val="single" w:color="000000" w:sz="6" w:space="0"/>
              <w:bottom w:val="nil"/>
            </w:tcBorders>
            <w:vAlign w:val="top"/>
          </w:tcPr>
          <w:p w14:paraId="44AD718B">
            <w:pPr>
              <w:rPr>
                <w:rFonts w:ascii="Arial"/>
                <w:sz w:val="21"/>
              </w:rPr>
            </w:pPr>
          </w:p>
        </w:tc>
        <w:tc>
          <w:tcPr>
            <w:tcW w:w="222" w:type="dxa"/>
            <w:vMerge w:val="continue"/>
            <w:tcBorders>
              <w:top w:val="nil"/>
              <w:bottom w:val="nil"/>
            </w:tcBorders>
            <w:vAlign w:val="top"/>
          </w:tcPr>
          <w:p w14:paraId="14DCD57A">
            <w:pPr>
              <w:rPr>
                <w:rFonts w:ascii="Arial"/>
                <w:sz w:val="21"/>
              </w:rPr>
            </w:pPr>
          </w:p>
        </w:tc>
        <w:tc>
          <w:tcPr>
            <w:tcW w:w="1096" w:type="dxa"/>
            <w:vAlign w:val="top"/>
          </w:tcPr>
          <w:p w14:paraId="733C9616">
            <w:pPr>
              <w:pStyle w:val="6"/>
              <w:spacing w:before="45" w:line="205" w:lineRule="auto"/>
              <w:ind w:left="133"/>
              <w:rPr>
                <w:sz w:val="20"/>
                <w:szCs w:val="20"/>
              </w:rPr>
            </w:pPr>
            <w:r>
              <w:rPr>
                <w:spacing w:val="5"/>
                <w:sz w:val="20"/>
                <w:szCs w:val="20"/>
              </w:rPr>
              <w:t>导线金具</w:t>
            </w:r>
          </w:p>
        </w:tc>
        <w:tc>
          <w:tcPr>
            <w:tcW w:w="4243" w:type="dxa"/>
            <w:vAlign w:val="top"/>
          </w:tcPr>
          <w:p w14:paraId="64E6B133">
            <w:pPr>
              <w:rPr>
                <w:rFonts w:ascii="Arial"/>
                <w:sz w:val="21"/>
              </w:rPr>
            </w:pPr>
          </w:p>
        </w:tc>
        <w:tc>
          <w:tcPr>
            <w:tcW w:w="549" w:type="dxa"/>
            <w:vAlign w:val="top"/>
          </w:tcPr>
          <w:p w14:paraId="7D14573E">
            <w:pPr>
              <w:pStyle w:val="6"/>
              <w:spacing w:before="45" w:line="205" w:lineRule="auto"/>
              <w:ind w:left="178"/>
              <w:rPr>
                <w:sz w:val="20"/>
                <w:szCs w:val="20"/>
              </w:rPr>
            </w:pPr>
            <w:r>
              <w:rPr>
                <w:sz w:val="20"/>
                <w:szCs w:val="20"/>
              </w:rPr>
              <w:t>套</w:t>
            </w:r>
          </w:p>
        </w:tc>
        <w:tc>
          <w:tcPr>
            <w:tcW w:w="629" w:type="dxa"/>
            <w:vAlign w:val="top"/>
          </w:tcPr>
          <w:p w14:paraId="70DF59AA">
            <w:pPr>
              <w:spacing w:before="82" w:line="194"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629" w:type="dxa"/>
            <w:vAlign w:val="top"/>
          </w:tcPr>
          <w:p w14:paraId="64A6CD15">
            <w:pPr>
              <w:rPr>
                <w:rFonts w:ascii="Arial"/>
                <w:sz w:val="21"/>
              </w:rPr>
            </w:pPr>
          </w:p>
        </w:tc>
        <w:tc>
          <w:tcPr>
            <w:tcW w:w="232" w:type="dxa"/>
            <w:vMerge w:val="continue"/>
            <w:tcBorders>
              <w:top w:val="nil"/>
              <w:bottom w:val="nil"/>
              <w:right w:val="single" w:color="000000" w:sz="6" w:space="0"/>
            </w:tcBorders>
            <w:vAlign w:val="top"/>
          </w:tcPr>
          <w:p w14:paraId="6D832214">
            <w:pPr>
              <w:rPr>
                <w:rFonts w:ascii="Arial"/>
                <w:sz w:val="21"/>
              </w:rPr>
            </w:pPr>
          </w:p>
        </w:tc>
      </w:tr>
      <w:tr w14:paraId="33008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4" w:type="dxa"/>
            <w:vMerge w:val="continue"/>
            <w:tcBorders>
              <w:top w:val="nil"/>
              <w:left w:val="single" w:color="000000" w:sz="6" w:space="0"/>
              <w:bottom w:val="nil"/>
            </w:tcBorders>
            <w:vAlign w:val="top"/>
          </w:tcPr>
          <w:p w14:paraId="590D5415">
            <w:pPr>
              <w:rPr>
                <w:rFonts w:ascii="Arial"/>
                <w:sz w:val="21"/>
              </w:rPr>
            </w:pPr>
          </w:p>
        </w:tc>
        <w:tc>
          <w:tcPr>
            <w:tcW w:w="222" w:type="dxa"/>
            <w:vMerge w:val="continue"/>
            <w:tcBorders>
              <w:top w:val="nil"/>
              <w:bottom w:val="nil"/>
            </w:tcBorders>
            <w:vAlign w:val="top"/>
          </w:tcPr>
          <w:p w14:paraId="5A091C7C">
            <w:pPr>
              <w:rPr>
                <w:rFonts w:ascii="Arial"/>
                <w:sz w:val="21"/>
              </w:rPr>
            </w:pPr>
          </w:p>
        </w:tc>
        <w:tc>
          <w:tcPr>
            <w:tcW w:w="1096" w:type="dxa"/>
            <w:vAlign w:val="top"/>
          </w:tcPr>
          <w:p w14:paraId="050C8347">
            <w:pPr>
              <w:pStyle w:val="6"/>
              <w:spacing w:before="43" w:line="206" w:lineRule="auto"/>
              <w:ind w:left="342"/>
              <w:rPr>
                <w:sz w:val="20"/>
                <w:szCs w:val="20"/>
              </w:rPr>
            </w:pPr>
            <w:r>
              <w:rPr>
                <w:spacing w:val="2"/>
                <w:sz w:val="20"/>
                <w:szCs w:val="20"/>
              </w:rPr>
              <w:t>导线</w:t>
            </w:r>
          </w:p>
        </w:tc>
        <w:tc>
          <w:tcPr>
            <w:tcW w:w="4243" w:type="dxa"/>
            <w:vAlign w:val="top"/>
          </w:tcPr>
          <w:p w14:paraId="38D6BC5A">
            <w:pPr>
              <w:spacing w:before="75" w:line="199" w:lineRule="auto"/>
              <w:ind w:left="1478"/>
              <w:rPr>
                <w:rFonts w:ascii="Times New Roman" w:hAnsi="Times New Roman" w:eastAsia="Times New Roman" w:cs="Times New Roman"/>
                <w:sz w:val="20"/>
                <w:szCs w:val="20"/>
              </w:rPr>
            </w:pPr>
            <w:r>
              <w:rPr>
                <w:rFonts w:ascii="Times New Roman" w:hAnsi="Times New Roman" w:eastAsia="Times New Roman" w:cs="Times New Roman"/>
                <w:sz w:val="20"/>
                <w:szCs w:val="20"/>
              </w:rPr>
              <w:t>JL</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GlA</w:t>
            </w:r>
            <w:r>
              <w:rPr>
                <w:rFonts w:ascii="Times New Roman" w:hAnsi="Times New Roman" w:eastAsia="Times New Roman" w:cs="Times New Roman"/>
                <w:spacing w:val="7"/>
                <w:sz w:val="20"/>
                <w:szCs w:val="20"/>
              </w:rPr>
              <w:t>-400/35</w:t>
            </w:r>
          </w:p>
        </w:tc>
        <w:tc>
          <w:tcPr>
            <w:tcW w:w="549" w:type="dxa"/>
            <w:vAlign w:val="top"/>
          </w:tcPr>
          <w:p w14:paraId="4E952BE7">
            <w:pPr>
              <w:spacing w:before="125" w:line="141"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629" w:type="dxa"/>
            <w:vAlign w:val="top"/>
          </w:tcPr>
          <w:p w14:paraId="740B8B6C">
            <w:pPr>
              <w:spacing w:before="79"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629" w:type="dxa"/>
            <w:vAlign w:val="top"/>
          </w:tcPr>
          <w:p w14:paraId="3F4B1B3D">
            <w:pPr>
              <w:rPr>
                <w:rFonts w:ascii="Arial"/>
                <w:sz w:val="21"/>
              </w:rPr>
            </w:pPr>
          </w:p>
        </w:tc>
        <w:tc>
          <w:tcPr>
            <w:tcW w:w="232" w:type="dxa"/>
            <w:vMerge w:val="continue"/>
            <w:tcBorders>
              <w:top w:val="nil"/>
              <w:bottom w:val="nil"/>
              <w:right w:val="single" w:color="000000" w:sz="6" w:space="0"/>
            </w:tcBorders>
            <w:vAlign w:val="top"/>
          </w:tcPr>
          <w:p w14:paraId="3C700439">
            <w:pPr>
              <w:rPr>
                <w:rFonts w:ascii="Arial"/>
                <w:sz w:val="21"/>
              </w:rPr>
            </w:pPr>
          </w:p>
        </w:tc>
      </w:tr>
      <w:tr w14:paraId="3D82C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4" w:type="dxa"/>
            <w:vMerge w:val="continue"/>
            <w:tcBorders>
              <w:top w:val="nil"/>
              <w:left w:val="single" w:color="000000" w:sz="6" w:space="0"/>
              <w:bottom w:val="nil"/>
            </w:tcBorders>
            <w:vAlign w:val="top"/>
          </w:tcPr>
          <w:p w14:paraId="28E1B249">
            <w:pPr>
              <w:rPr>
                <w:rFonts w:ascii="Arial"/>
                <w:sz w:val="21"/>
              </w:rPr>
            </w:pPr>
          </w:p>
        </w:tc>
        <w:tc>
          <w:tcPr>
            <w:tcW w:w="222" w:type="dxa"/>
            <w:vMerge w:val="continue"/>
            <w:tcBorders>
              <w:top w:val="nil"/>
              <w:bottom w:val="nil"/>
            </w:tcBorders>
            <w:vAlign w:val="top"/>
          </w:tcPr>
          <w:p w14:paraId="5AEB8BDA">
            <w:pPr>
              <w:rPr>
                <w:rFonts w:ascii="Arial"/>
                <w:sz w:val="21"/>
              </w:rPr>
            </w:pPr>
          </w:p>
        </w:tc>
        <w:tc>
          <w:tcPr>
            <w:tcW w:w="1096" w:type="dxa"/>
            <w:vAlign w:val="top"/>
          </w:tcPr>
          <w:p w14:paraId="46843A17">
            <w:pPr>
              <w:pStyle w:val="6"/>
              <w:spacing w:before="44" w:line="205" w:lineRule="auto"/>
              <w:ind w:left="130"/>
              <w:rPr>
                <w:sz w:val="20"/>
                <w:szCs w:val="20"/>
              </w:rPr>
            </w:pPr>
            <w:r>
              <w:rPr>
                <w:spacing w:val="6"/>
                <w:sz w:val="20"/>
                <w:szCs w:val="20"/>
              </w:rPr>
              <w:t>绝缘子串</w:t>
            </w:r>
          </w:p>
        </w:tc>
        <w:tc>
          <w:tcPr>
            <w:tcW w:w="4243" w:type="dxa"/>
            <w:vAlign w:val="top"/>
          </w:tcPr>
          <w:p w14:paraId="556C2FFE">
            <w:pPr>
              <w:spacing w:before="77" w:line="198" w:lineRule="auto"/>
              <w:ind w:left="140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21×(</w:t>
            </w:r>
            <w:r>
              <w:rPr>
                <w:rFonts w:ascii="Times New Roman" w:hAnsi="Times New Roman" w:eastAsia="Times New Roman" w:cs="Times New Roman"/>
                <w:sz w:val="20"/>
                <w:szCs w:val="20"/>
              </w:rPr>
              <w:t>XWP</w:t>
            </w:r>
            <w:r>
              <w:rPr>
                <w:rFonts w:ascii="Times New Roman" w:hAnsi="Times New Roman" w:eastAsia="Times New Roman" w:cs="Times New Roman"/>
                <w:spacing w:val="6"/>
                <w:sz w:val="20"/>
                <w:szCs w:val="20"/>
              </w:rPr>
              <w:t>2-100)</w:t>
            </w:r>
          </w:p>
        </w:tc>
        <w:tc>
          <w:tcPr>
            <w:tcW w:w="549" w:type="dxa"/>
            <w:vAlign w:val="top"/>
          </w:tcPr>
          <w:p w14:paraId="5D95A959">
            <w:pPr>
              <w:pStyle w:val="6"/>
              <w:spacing w:before="44" w:line="205" w:lineRule="auto"/>
              <w:ind w:left="196"/>
              <w:rPr>
                <w:sz w:val="20"/>
                <w:szCs w:val="20"/>
              </w:rPr>
            </w:pPr>
            <w:r>
              <w:rPr>
                <w:sz w:val="20"/>
                <w:szCs w:val="20"/>
              </w:rPr>
              <w:t>串</w:t>
            </w:r>
          </w:p>
        </w:tc>
        <w:tc>
          <w:tcPr>
            <w:tcW w:w="629" w:type="dxa"/>
            <w:vAlign w:val="top"/>
          </w:tcPr>
          <w:p w14:paraId="0CFB7FD3">
            <w:pPr>
              <w:spacing w:before="81" w:line="194"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29" w:type="dxa"/>
            <w:vAlign w:val="top"/>
          </w:tcPr>
          <w:p w14:paraId="05158B06">
            <w:pPr>
              <w:rPr>
                <w:rFonts w:ascii="Arial"/>
                <w:sz w:val="21"/>
              </w:rPr>
            </w:pPr>
          </w:p>
        </w:tc>
        <w:tc>
          <w:tcPr>
            <w:tcW w:w="232" w:type="dxa"/>
            <w:vMerge w:val="continue"/>
            <w:tcBorders>
              <w:top w:val="nil"/>
              <w:bottom w:val="nil"/>
              <w:right w:val="single" w:color="000000" w:sz="6" w:space="0"/>
            </w:tcBorders>
            <w:vAlign w:val="top"/>
          </w:tcPr>
          <w:p w14:paraId="457EFB80">
            <w:pPr>
              <w:rPr>
                <w:rFonts w:ascii="Arial"/>
                <w:sz w:val="21"/>
              </w:rPr>
            </w:pPr>
          </w:p>
        </w:tc>
      </w:tr>
      <w:tr w14:paraId="3F3BA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464" w:type="dxa"/>
            <w:vMerge w:val="continue"/>
            <w:tcBorders>
              <w:top w:val="nil"/>
              <w:left w:val="single" w:color="000000" w:sz="6" w:space="0"/>
              <w:bottom w:val="single" w:color="000000" w:sz="6" w:space="0"/>
            </w:tcBorders>
            <w:vAlign w:val="top"/>
          </w:tcPr>
          <w:p w14:paraId="0836EAF8">
            <w:pPr>
              <w:rPr>
                <w:rFonts w:ascii="Arial"/>
                <w:sz w:val="21"/>
              </w:rPr>
            </w:pPr>
          </w:p>
        </w:tc>
        <w:tc>
          <w:tcPr>
            <w:tcW w:w="222" w:type="dxa"/>
            <w:vMerge w:val="continue"/>
            <w:tcBorders>
              <w:top w:val="nil"/>
              <w:bottom w:val="single" w:color="000000" w:sz="6" w:space="0"/>
            </w:tcBorders>
            <w:vAlign w:val="top"/>
          </w:tcPr>
          <w:p w14:paraId="5417370B">
            <w:pPr>
              <w:rPr>
                <w:rFonts w:ascii="Arial"/>
                <w:sz w:val="21"/>
              </w:rPr>
            </w:pPr>
          </w:p>
        </w:tc>
        <w:tc>
          <w:tcPr>
            <w:tcW w:w="1096" w:type="dxa"/>
            <w:tcBorders>
              <w:bottom w:val="single" w:color="000000" w:sz="6" w:space="0"/>
            </w:tcBorders>
            <w:vAlign w:val="top"/>
          </w:tcPr>
          <w:p w14:paraId="0076E0DB">
            <w:pPr>
              <w:pStyle w:val="6"/>
              <w:spacing w:before="47" w:line="239" w:lineRule="auto"/>
              <w:ind w:left="130" w:right="133"/>
              <w:rPr>
                <w:sz w:val="20"/>
                <w:szCs w:val="20"/>
              </w:rPr>
            </w:pPr>
            <w:r>
              <w:rPr>
                <w:spacing w:val="6"/>
                <w:sz w:val="20"/>
                <w:szCs w:val="20"/>
              </w:rPr>
              <w:t>无功补偿</w:t>
            </w:r>
            <w:r>
              <w:rPr>
                <w:spacing w:val="2"/>
                <w:sz w:val="20"/>
                <w:szCs w:val="20"/>
              </w:rPr>
              <w:t xml:space="preserve"> </w:t>
            </w:r>
            <w:r>
              <w:rPr>
                <w:spacing w:val="6"/>
                <w:sz w:val="20"/>
                <w:szCs w:val="20"/>
              </w:rPr>
              <w:t>成套装置</w:t>
            </w:r>
          </w:p>
          <w:p w14:paraId="68677B7A">
            <w:pPr>
              <w:pStyle w:val="6"/>
              <w:spacing w:before="24" w:line="234" w:lineRule="auto"/>
              <w:ind w:left="334" w:right="111" w:hanging="218"/>
              <w:rPr>
                <w:sz w:val="20"/>
                <w:szCs w:val="20"/>
              </w:rPr>
            </w:pPr>
            <w:r>
              <w:rPr>
                <w:spacing w:val="4"/>
                <w:sz w:val="20"/>
                <w:szCs w:val="20"/>
              </w:rPr>
              <w:t>（</w:t>
            </w:r>
            <w:r>
              <w:rPr>
                <w:rFonts w:ascii="Times New Roman" w:hAnsi="Times New Roman" w:eastAsia="Times New Roman" w:cs="Times New Roman"/>
                <w:sz w:val="20"/>
                <w:szCs w:val="20"/>
              </w:rPr>
              <w:t>SVG</w:t>
            </w:r>
            <w:r>
              <w:rPr>
                <w:rFonts w:ascii="Times New Roman" w:hAnsi="Times New Roman" w:eastAsia="Times New Roman" w:cs="Times New Roman"/>
                <w:spacing w:val="4"/>
                <w:sz w:val="20"/>
                <w:szCs w:val="20"/>
              </w:rPr>
              <w:t xml:space="preserve"> </w:t>
            </w:r>
            <w:r>
              <w:rPr>
                <w:spacing w:val="4"/>
                <w:sz w:val="20"/>
                <w:szCs w:val="20"/>
              </w:rPr>
              <w:t>装</w:t>
            </w:r>
            <w:r>
              <w:rPr>
                <w:sz w:val="20"/>
                <w:szCs w:val="20"/>
              </w:rPr>
              <w:t xml:space="preserve"> </w:t>
            </w:r>
            <w:r>
              <w:rPr>
                <w:spacing w:val="1"/>
                <w:sz w:val="20"/>
                <w:szCs w:val="20"/>
              </w:rPr>
              <w:t>置）</w:t>
            </w:r>
          </w:p>
        </w:tc>
        <w:tc>
          <w:tcPr>
            <w:tcW w:w="4243" w:type="dxa"/>
            <w:tcBorders>
              <w:bottom w:val="single" w:color="000000" w:sz="6" w:space="0"/>
            </w:tcBorders>
            <w:vAlign w:val="top"/>
          </w:tcPr>
          <w:p w14:paraId="31AB185A">
            <w:pPr>
              <w:spacing w:line="251" w:lineRule="auto"/>
              <w:rPr>
                <w:rFonts w:ascii="Arial"/>
                <w:sz w:val="21"/>
              </w:rPr>
            </w:pPr>
          </w:p>
          <w:p w14:paraId="02221AB9">
            <w:pPr>
              <w:pStyle w:val="6"/>
              <w:spacing w:before="65" w:line="239" w:lineRule="auto"/>
              <w:ind w:left="1602" w:right="154" w:hanging="1447"/>
              <w:rPr>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5"/>
                <w:sz w:val="20"/>
                <w:szCs w:val="20"/>
              </w:rPr>
              <w:t xml:space="preserve"> </w:t>
            </w:r>
            <w:r>
              <w:rPr>
                <w:spacing w:val="4"/>
                <w:sz w:val="20"/>
                <w:szCs w:val="20"/>
              </w:rPr>
              <w:t>，</w:t>
            </w:r>
            <w:r>
              <w:rPr>
                <w:rFonts w:ascii="Times New Roman" w:hAnsi="Times New Roman" w:eastAsia="Times New Roman" w:cs="Times New Roman"/>
                <w:sz w:val="20"/>
                <w:szCs w:val="20"/>
              </w:rPr>
              <w:t>SVG</w:t>
            </w:r>
            <w:r>
              <w:rPr>
                <w:rFonts w:ascii="Times New Roman" w:hAnsi="Times New Roman" w:eastAsia="Times New Roman" w:cs="Times New Roman"/>
                <w:spacing w:val="4"/>
                <w:sz w:val="20"/>
                <w:szCs w:val="20"/>
              </w:rPr>
              <w:t>,</w:t>
            </w:r>
            <w:r>
              <w:rPr>
                <w:rFonts w:ascii="Times New Roman" w:hAnsi="Times New Roman" w:eastAsia="Times New Roman" w:cs="Times New Roman"/>
                <w:spacing w:val="-17"/>
                <w:sz w:val="20"/>
                <w:szCs w:val="20"/>
              </w:rPr>
              <w:t xml:space="preserve"> </w:t>
            </w:r>
            <w:r>
              <w:rPr>
                <w:spacing w:val="4"/>
                <w:sz w:val="20"/>
                <w:szCs w:val="20"/>
              </w:rPr>
              <w:t>±</w:t>
            </w:r>
            <w:r>
              <w:rPr>
                <w:rFonts w:ascii="Times New Roman" w:hAnsi="Times New Roman" w:eastAsia="Times New Roman" w:cs="Times New Roman"/>
                <w:spacing w:val="4"/>
                <w:sz w:val="20"/>
                <w:szCs w:val="20"/>
              </w:rPr>
              <w:t>27</w:t>
            </w:r>
            <w:r>
              <w:rPr>
                <w:rFonts w:ascii="Times New Roman" w:hAnsi="Times New Roman" w:eastAsia="Times New Roman" w:cs="Times New Roman"/>
                <w:sz w:val="20"/>
                <w:szCs w:val="20"/>
              </w:rPr>
              <w:t>MVar</w:t>
            </w:r>
            <w:r>
              <w:rPr>
                <w:rFonts w:ascii="Times New Roman" w:hAnsi="Times New Roman" w:eastAsia="Times New Roman" w:cs="Times New Roman"/>
                <w:spacing w:val="-28"/>
                <w:sz w:val="20"/>
                <w:szCs w:val="20"/>
              </w:rPr>
              <w:t xml:space="preserve"> </w:t>
            </w:r>
            <w:r>
              <w:rPr>
                <w:spacing w:val="4"/>
                <w:sz w:val="20"/>
                <w:szCs w:val="20"/>
              </w:rPr>
              <w:t>，静止型水冷动态无</w:t>
            </w:r>
            <w:r>
              <w:rPr>
                <w:sz w:val="20"/>
                <w:szCs w:val="20"/>
              </w:rPr>
              <w:t xml:space="preserve"> </w:t>
            </w:r>
            <w:r>
              <w:rPr>
                <w:spacing w:val="7"/>
                <w:sz w:val="20"/>
                <w:szCs w:val="20"/>
              </w:rPr>
              <w:t>功补偿装置</w:t>
            </w:r>
          </w:p>
        </w:tc>
        <w:tc>
          <w:tcPr>
            <w:tcW w:w="549" w:type="dxa"/>
            <w:tcBorders>
              <w:bottom w:val="single" w:color="000000" w:sz="6" w:space="0"/>
            </w:tcBorders>
            <w:vAlign w:val="top"/>
          </w:tcPr>
          <w:p w14:paraId="6A3DF64D">
            <w:pPr>
              <w:spacing w:line="387" w:lineRule="auto"/>
              <w:rPr>
                <w:rFonts w:ascii="Arial"/>
                <w:sz w:val="21"/>
              </w:rPr>
            </w:pPr>
          </w:p>
          <w:p w14:paraId="27B1CE33">
            <w:pPr>
              <w:pStyle w:val="6"/>
              <w:spacing w:before="65" w:line="228" w:lineRule="auto"/>
              <w:ind w:left="178"/>
              <w:rPr>
                <w:sz w:val="20"/>
                <w:szCs w:val="20"/>
              </w:rPr>
            </w:pPr>
            <w:r>
              <w:rPr>
                <w:sz w:val="20"/>
                <w:szCs w:val="20"/>
              </w:rPr>
              <w:t>套</w:t>
            </w:r>
          </w:p>
        </w:tc>
        <w:tc>
          <w:tcPr>
            <w:tcW w:w="629" w:type="dxa"/>
            <w:tcBorders>
              <w:bottom w:val="single" w:color="000000" w:sz="6" w:space="0"/>
            </w:tcBorders>
            <w:vAlign w:val="top"/>
          </w:tcPr>
          <w:p w14:paraId="792FB376">
            <w:pPr>
              <w:spacing w:line="430" w:lineRule="auto"/>
              <w:rPr>
                <w:rFonts w:ascii="Arial"/>
                <w:sz w:val="21"/>
              </w:rPr>
            </w:pPr>
          </w:p>
          <w:p w14:paraId="2EACBD52">
            <w:pPr>
              <w:spacing w:before="57"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29" w:type="dxa"/>
            <w:tcBorders>
              <w:bottom w:val="single" w:color="000000" w:sz="6" w:space="0"/>
            </w:tcBorders>
            <w:vAlign w:val="top"/>
          </w:tcPr>
          <w:p w14:paraId="6C647E8F">
            <w:pPr>
              <w:rPr>
                <w:rFonts w:ascii="Arial"/>
                <w:sz w:val="21"/>
              </w:rPr>
            </w:pPr>
          </w:p>
        </w:tc>
        <w:tc>
          <w:tcPr>
            <w:tcW w:w="232" w:type="dxa"/>
            <w:vMerge w:val="continue"/>
            <w:tcBorders>
              <w:top w:val="nil"/>
              <w:bottom w:val="single" w:color="000000" w:sz="6" w:space="0"/>
              <w:right w:val="single" w:color="000000" w:sz="6" w:space="0"/>
            </w:tcBorders>
            <w:vAlign w:val="top"/>
          </w:tcPr>
          <w:p w14:paraId="2E716F70">
            <w:pPr>
              <w:rPr>
                <w:rFonts w:ascii="Arial"/>
                <w:sz w:val="21"/>
              </w:rPr>
            </w:pPr>
          </w:p>
        </w:tc>
      </w:tr>
    </w:tbl>
    <w:p w14:paraId="472FFE66">
      <w:pPr>
        <w:rPr>
          <w:rFonts w:ascii="Arial"/>
          <w:sz w:val="21"/>
        </w:rPr>
      </w:pPr>
    </w:p>
    <w:p w14:paraId="2B4EBA02">
      <w:pPr>
        <w:rPr>
          <w:rFonts w:ascii="Arial" w:hAnsi="Arial" w:eastAsia="Arial" w:cs="Arial"/>
          <w:sz w:val="21"/>
          <w:szCs w:val="21"/>
        </w:rPr>
        <w:sectPr>
          <w:footerReference r:id="rId67" w:type="default"/>
          <w:pgSz w:w="11906" w:h="16839"/>
          <w:pgMar w:top="1431" w:right="1413" w:bottom="1278" w:left="1413" w:header="0" w:footer="1116" w:gutter="0"/>
          <w:cols w:space="720" w:num="1"/>
        </w:sectPr>
      </w:pPr>
    </w:p>
    <w:p w14:paraId="111E88C1">
      <w:pPr>
        <w:spacing w:line="99" w:lineRule="exact"/>
      </w:pPr>
      <w:r>
        <w:drawing>
          <wp:anchor distT="0" distB="0" distL="0" distR="0" simplePos="0" relativeHeight="251711488" behindDoc="0" locked="0" layoutInCell="0" allowOverlap="1">
            <wp:simplePos x="0" y="0"/>
            <wp:positionH relativeFrom="page">
              <wp:posOffset>1261110</wp:posOffset>
            </wp:positionH>
            <wp:positionV relativeFrom="page">
              <wp:posOffset>8776335</wp:posOffset>
            </wp:positionV>
            <wp:extent cx="12065" cy="76263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02"/>
                    <a:stretch>
                      <a:fillRect/>
                    </a:stretch>
                  </pic:blipFill>
                  <pic:spPr>
                    <a:xfrm>
                      <a:off x="0" y="0"/>
                      <a:ext cx="12192" cy="762634"/>
                    </a:xfrm>
                    <a:prstGeom prst="rect">
                      <a:avLst/>
                    </a:prstGeom>
                  </pic:spPr>
                </pic:pic>
              </a:graphicData>
            </a:graphic>
          </wp:anchor>
        </w:drawing>
      </w: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
        <w:gridCol w:w="222"/>
        <w:gridCol w:w="515"/>
        <w:gridCol w:w="581"/>
        <w:gridCol w:w="852"/>
        <w:gridCol w:w="863"/>
        <w:gridCol w:w="1162"/>
        <w:gridCol w:w="1269"/>
        <w:gridCol w:w="97"/>
        <w:gridCol w:w="549"/>
        <w:gridCol w:w="537"/>
        <w:gridCol w:w="92"/>
        <w:gridCol w:w="1626"/>
        <w:gridCol w:w="235"/>
      </w:tblGrid>
      <w:tr w14:paraId="70BB2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464" w:type="dxa"/>
            <w:vMerge w:val="restart"/>
            <w:tcBorders>
              <w:top w:val="single" w:color="000000" w:sz="6" w:space="0"/>
              <w:left w:val="single" w:color="000000" w:sz="6" w:space="0"/>
              <w:bottom w:val="nil"/>
            </w:tcBorders>
            <w:vAlign w:val="top"/>
          </w:tcPr>
          <w:p w14:paraId="4A53C428">
            <w:pPr>
              <w:rPr>
                <w:rFonts w:ascii="Arial"/>
                <w:sz w:val="21"/>
              </w:rPr>
            </w:pPr>
          </w:p>
        </w:tc>
        <w:tc>
          <w:tcPr>
            <w:tcW w:w="222" w:type="dxa"/>
            <w:vMerge w:val="restart"/>
            <w:tcBorders>
              <w:top w:val="single" w:color="000000" w:sz="6" w:space="0"/>
              <w:bottom w:val="nil"/>
            </w:tcBorders>
            <w:vAlign w:val="top"/>
          </w:tcPr>
          <w:p w14:paraId="335A4AA2">
            <w:pPr>
              <w:rPr>
                <w:rFonts w:ascii="Arial"/>
                <w:sz w:val="21"/>
              </w:rPr>
            </w:pPr>
          </w:p>
        </w:tc>
        <w:tc>
          <w:tcPr>
            <w:tcW w:w="1096" w:type="dxa"/>
            <w:gridSpan w:val="2"/>
            <w:tcBorders>
              <w:top w:val="single" w:color="000000" w:sz="6" w:space="0"/>
            </w:tcBorders>
            <w:vAlign w:val="top"/>
          </w:tcPr>
          <w:p w14:paraId="0F1026BF">
            <w:pPr>
              <w:spacing w:line="261" w:lineRule="auto"/>
              <w:rPr>
                <w:rFonts w:ascii="Arial"/>
                <w:sz w:val="21"/>
              </w:rPr>
            </w:pPr>
          </w:p>
          <w:p w14:paraId="69E88C08">
            <w:pPr>
              <w:spacing w:line="262" w:lineRule="auto"/>
              <w:rPr>
                <w:rFonts w:ascii="Arial"/>
                <w:sz w:val="21"/>
              </w:rPr>
            </w:pPr>
          </w:p>
          <w:p w14:paraId="4B3E83FE">
            <w:pPr>
              <w:pStyle w:val="6"/>
              <w:spacing w:before="65" w:line="229" w:lineRule="auto"/>
              <w:ind w:left="130"/>
              <w:rPr>
                <w:sz w:val="20"/>
                <w:szCs w:val="20"/>
              </w:rPr>
            </w:pPr>
            <w:r>
              <w:rPr>
                <w:spacing w:val="6"/>
                <w:sz w:val="20"/>
                <w:szCs w:val="20"/>
              </w:rPr>
              <w:t>升压站计</w:t>
            </w:r>
          </w:p>
          <w:p w14:paraId="405ACEFC">
            <w:pPr>
              <w:pStyle w:val="6"/>
              <w:spacing w:before="22" w:line="227" w:lineRule="auto"/>
              <w:ind w:left="130"/>
              <w:rPr>
                <w:sz w:val="20"/>
                <w:szCs w:val="20"/>
              </w:rPr>
            </w:pPr>
            <w:r>
              <w:rPr>
                <w:spacing w:val="6"/>
                <w:sz w:val="20"/>
                <w:szCs w:val="20"/>
              </w:rPr>
              <w:t>算机监控</w:t>
            </w:r>
          </w:p>
          <w:p w14:paraId="03BA9F0E">
            <w:pPr>
              <w:pStyle w:val="6"/>
              <w:spacing w:before="25" w:line="229" w:lineRule="auto"/>
              <w:ind w:left="341"/>
              <w:rPr>
                <w:sz w:val="20"/>
                <w:szCs w:val="20"/>
              </w:rPr>
            </w:pPr>
            <w:r>
              <w:rPr>
                <w:spacing w:val="2"/>
                <w:sz w:val="20"/>
                <w:szCs w:val="20"/>
              </w:rPr>
              <w:t>系统</w:t>
            </w:r>
          </w:p>
        </w:tc>
        <w:tc>
          <w:tcPr>
            <w:tcW w:w="4243" w:type="dxa"/>
            <w:gridSpan w:val="5"/>
            <w:tcBorders>
              <w:top w:val="single" w:color="000000" w:sz="6" w:space="0"/>
            </w:tcBorders>
            <w:vAlign w:val="top"/>
          </w:tcPr>
          <w:p w14:paraId="4D65ED09">
            <w:pPr>
              <w:pStyle w:val="6"/>
              <w:spacing w:before="46" w:line="227" w:lineRule="auto"/>
              <w:ind w:left="132"/>
              <w:rPr>
                <w:sz w:val="20"/>
                <w:szCs w:val="20"/>
              </w:rPr>
            </w:pPr>
            <w:r>
              <w:rPr>
                <w:spacing w:val="7"/>
                <w:sz w:val="20"/>
                <w:szCs w:val="20"/>
              </w:rPr>
              <w:t>内含主机兼操作员</w:t>
            </w:r>
            <w:r>
              <w:rPr>
                <w:rFonts w:ascii="Times New Roman" w:hAnsi="Times New Roman" w:eastAsia="Times New Roman" w:cs="Times New Roman"/>
                <w:spacing w:val="7"/>
                <w:sz w:val="20"/>
                <w:szCs w:val="20"/>
              </w:rPr>
              <w:t>/</w:t>
            </w:r>
            <w:r>
              <w:rPr>
                <w:spacing w:val="7"/>
                <w:sz w:val="20"/>
                <w:szCs w:val="20"/>
              </w:rPr>
              <w:t>工程师工作站、显示器及</w:t>
            </w:r>
          </w:p>
          <w:p w14:paraId="43AE23BC">
            <w:pPr>
              <w:pStyle w:val="6"/>
              <w:spacing w:before="25" w:line="227" w:lineRule="auto"/>
              <w:ind w:left="130"/>
              <w:rPr>
                <w:sz w:val="20"/>
                <w:szCs w:val="20"/>
              </w:rPr>
            </w:pPr>
            <w:r>
              <w:rPr>
                <w:spacing w:val="8"/>
                <w:sz w:val="20"/>
                <w:szCs w:val="20"/>
              </w:rPr>
              <w:t>键盘鼠标</w:t>
            </w:r>
            <w:r>
              <w:rPr>
                <w:spacing w:val="-32"/>
                <w:sz w:val="20"/>
                <w:szCs w:val="20"/>
              </w:rPr>
              <w:t xml:space="preserve"> </w:t>
            </w:r>
            <w:r>
              <w:rPr>
                <w:rFonts w:ascii="Times New Roman" w:hAnsi="Times New Roman" w:eastAsia="Times New Roman" w:cs="Times New Roman"/>
                <w:spacing w:val="8"/>
                <w:sz w:val="20"/>
                <w:szCs w:val="20"/>
              </w:rPr>
              <w:t xml:space="preserve">2 </w:t>
            </w:r>
            <w:r>
              <w:rPr>
                <w:spacing w:val="8"/>
                <w:sz w:val="20"/>
                <w:szCs w:val="20"/>
              </w:rPr>
              <w:t>套；采用电网公司认可的安全操</w:t>
            </w:r>
          </w:p>
          <w:p w14:paraId="46E749F2">
            <w:pPr>
              <w:pStyle w:val="6"/>
              <w:spacing w:before="27" w:line="228" w:lineRule="auto"/>
              <w:ind w:left="132"/>
              <w:rPr>
                <w:sz w:val="20"/>
                <w:szCs w:val="20"/>
              </w:rPr>
            </w:pPr>
            <w:r>
              <w:rPr>
                <w:spacing w:val="9"/>
                <w:sz w:val="20"/>
                <w:szCs w:val="20"/>
              </w:rPr>
              <w:t>作系统操作系统、软件及数据库；含音响及</w:t>
            </w:r>
          </w:p>
          <w:p w14:paraId="0187B518">
            <w:pPr>
              <w:pStyle w:val="6"/>
              <w:spacing w:before="24" w:line="221" w:lineRule="auto"/>
              <w:ind w:right="9"/>
              <w:jc w:val="right"/>
              <w:rPr>
                <w:sz w:val="20"/>
                <w:szCs w:val="20"/>
              </w:rPr>
            </w:pPr>
            <w:r>
              <w:rPr>
                <w:spacing w:val="1"/>
                <w:sz w:val="20"/>
                <w:szCs w:val="20"/>
              </w:rPr>
              <w:t>语音报警装置</w:t>
            </w:r>
            <w:r>
              <w:rPr>
                <w:spacing w:val="-12"/>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套；激光打印机</w:t>
            </w:r>
            <w:r>
              <w:rPr>
                <w:rFonts w:ascii="Times New Roman" w:hAnsi="Times New Roman" w:eastAsia="Times New Roman" w:cs="Times New Roman"/>
                <w:spacing w:val="1"/>
                <w:sz w:val="20"/>
                <w:szCs w:val="20"/>
              </w:rPr>
              <w:t>(A3/A4)2</w:t>
            </w:r>
            <w:r>
              <w:rPr>
                <w:rFonts w:ascii="Times New Roman" w:hAnsi="Times New Roman" w:eastAsia="Times New Roman" w:cs="Times New Roman"/>
                <w:spacing w:val="29"/>
                <w:sz w:val="20"/>
                <w:szCs w:val="20"/>
              </w:rPr>
              <w:t xml:space="preserve"> </w:t>
            </w:r>
            <w:r>
              <w:rPr>
                <w:spacing w:val="1"/>
                <w:sz w:val="20"/>
                <w:szCs w:val="20"/>
              </w:rPr>
              <w:t>台；</w:t>
            </w:r>
          </w:p>
          <w:p w14:paraId="763D74E0">
            <w:pPr>
              <w:pStyle w:val="6"/>
              <w:spacing w:before="34" w:line="227" w:lineRule="auto"/>
              <w:ind w:left="156"/>
              <w:rPr>
                <w:rFonts w:ascii="Times New Roman" w:hAnsi="Times New Roman" w:eastAsia="Times New Roman" w:cs="Times New Roman"/>
                <w:sz w:val="20"/>
                <w:szCs w:val="20"/>
              </w:rPr>
            </w:pPr>
            <w:r>
              <w:rPr>
                <w:spacing w:val="7"/>
                <w:sz w:val="20"/>
                <w:szCs w:val="20"/>
              </w:rPr>
              <w:t>其他附件及连接线缆</w:t>
            </w:r>
            <w:r>
              <w:rPr>
                <w:spacing w:val="-20"/>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套，微机五防系统</w:t>
            </w:r>
            <w:r>
              <w:rPr>
                <w:spacing w:val="-23"/>
                <w:sz w:val="20"/>
                <w:szCs w:val="20"/>
              </w:rPr>
              <w:t xml:space="preserve"> </w:t>
            </w:r>
            <w:r>
              <w:rPr>
                <w:rFonts w:ascii="Times New Roman" w:hAnsi="Times New Roman" w:eastAsia="Times New Roman" w:cs="Times New Roman"/>
                <w:spacing w:val="7"/>
                <w:sz w:val="20"/>
                <w:szCs w:val="20"/>
              </w:rPr>
              <w:t>1</w:t>
            </w:r>
          </w:p>
          <w:p w14:paraId="227438BD">
            <w:pPr>
              <w:pStyle w:val="6"/>
              <w:spacing w:before="25" w:line="227" w:lineRule="auto"/>
              <w:ind w:left="108"/>
              <w:rPr>
                <w:sz w:val="20"/>
                <w:szCs w:val="20"/>
              </w:rPr>
            </w:pPr>
            <w:r>
              <w:rPr>
                <w:spacing w:val="8"/>
                <w:sz w:val="20"/>
                <w:szCs w:val="20"/>
              </w:rPr>
              <w:t>套，数据通信网关机柜</w:t>
            </w:r>
            <w:r>
              <w:rPr>
                <w:spacing w:val="-31"/>
                <w:sz w:val="20"/>
                <w:szCs w:val="20"/>
              </w:rPr>
              <w:t xml:space="preserve"> </w:t>
            </w:r>
            <w:r>
              <w:rPr>
                <w:rFonts w:ascii="Times New Roman" w:hAnsi="Times New Roman" w:eastAsia="Times New Roman" w:cs="Times New Roman"/>
                <w:spacing w:val="8"/>
                <w:sz w:val="20"/>
                <w:szCs w:val="20"/>
              </w:rPr>
              <w:t xml:space="preserve">2 </w:t>
            </w:r>
            <w:r>
              <w:rPr>
                <w:spacing w:val="8"/>
                <w:sz w:val="20"/>
                <w:szCs w:val="20"/>
              </w:rPr>
              <w:t>面，间隔层交换机</w:t>
            </w:r>
          </w:p>
          <w:p w14:paraId="08FDCB5B">
            <w:pPr>
              <w:pStyle w:val="6"/>
              <w:spacing w:before="28" w:line="215" w:lineRule="auto"/>
              <w:ind w:left="1936"/>
              <w:rPr>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28"/>
                <w:w w:val="101"/>
                <w:sz w:val="20"/>
                <w:szCs w:val="20"/>
              </w:rPr>
              <w:t xml:space="preserve"> </w:t>
            </w:r>
            <w:r>
              <w:rPr>
                <w:sz w:val="20"/>
                <w:szCs w:val="20"/>
              </w:rPr>
              <w:t>台</w:t>
            </w:r>
          </w:p>
        </w:tc>
        <w:tc>
          <w:tcPr>
            <w:tcW w:w="549" w:type="dxa"/>
            <w:tcBorders>
              <w:top w:val="single" w:color="000000" w:sz="6" w:space="0"/>
            </w:tcBorders>
            <w:vAlign w:val="top"/>
          </w:tcPr>
          <w:p w14:paraId="4221A8AD">
            <w:pPr>
              <w:spacing w:line="264" w:lineRule="auto"/>
              <w:rPr>
                <w:rFonts w:ascii="Arial"/>
                <w:sz w:val="21"/>
              </w:rPr>
            </w:pPr>
          </w:p>
          <w:p w14:paraId="7D6F1107">
            <w:pPr>
              <w:spacing w:line="264" w:lineRule="auto"/>
              <w:rPr>
                <w:rFonts w:ascii="Arial"/>
                <w:sz w:val="21"/>
              </w:rPr>
            </w:pPr>
          </w:p>
          <w:p w14:paraId="598C8855">
            <w:pPr>
              <w:spacing w:line="265" w:lineRule="auto"/>
              <w:rPr>
                <w:rFonts w:ascii="Arial"/>
                <w:sz w:val="21"/>
              </w:rPr>
            </w:pPr>
          </w:p>
          <w:p w14:paraId="6E7461E9">
            <w:pPr>
              <w:pStyle w:val="6"/>
              <w:spacing w:before="65" w:line="228" w:lineRule="auto"/>
              <w:ind w:left="178"/>
              <w:rPr>
                <w:sz w:val="20"/>
                <w:szCs w:val="20"/>
              </w:rPr>
            </w:pPr>
            <w:r>
              <w:rPr>
                <w:sz w:val="20"/>
                <w:szCs w:val="20"/>
              </w:rPr>
              <w:t>套</w:t>
            </w:r>
          </w:p>
        </w:tc>
        <w:tc>
          <w:tcPr>
            <w:tcW w:w="629" w:type="dxa"/>
            <w:gridSpan w:val="2"/>
            <w:tcBorders>
              <w:top w:val="single" w:color="000000" w:sz="6" w:space="0"/>
            </w:tcBorders>
            <w:vAlign w:val="top"/>
          </w:tcPr>
          <w:p w14:paraId="73E8380D">
            <w:pPr>
              <w:spacing w:line="278" w:lineRule="auto"/>
              <w:rPr>
                <w:rFonts w:ascii="Arial"/>
                <w:sz w:val="21"/>
              </w:rPr>
            </w:pPr>
          </w:p>
          <w:p w14:paraId="0FC207E8">
            <w:pPr>
              <w:spacing w:line="278" w:lineRule="auto"/>
              <w:rPr>
                <w:rFonts w:ascii="Arial"/>
                <w:sz w:val="21"/>
              </w:rPr>
            </w:pPr>
          </w:p>
          <w:p w14:paraId="6C893899">
            <w:pPr>
              <w:spacing w:line="279" w:lineRule="auto"/>
              <w:rPr>
                <w:rFonts w:ascii="Arial"/>
                <w:sz w:val="21"/>
              </w:rPr>
            </w:pPr>
          </w:p>
          <w:p w14:paraId="1D4FC7D8">
            <w:pPr>
              <w:spacing w:before="5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6" w:type="dxa"/>
            <w:tcBorders>
              <w:top w:val="single" w:color="000000" w:sz="6" w:space="0"/>
            </w:tcBorders>
            <w:vAlign w:val="top"/>
          </w:tcPr>
          <w:p w14:paraId="60EA79B0">
            <w:pPr>
              <w:rPr>
                <w:rFonts w:ascii="Arial"/>
                <w:sz w:val="21"/>
              </w:rPr>
            </w:pPr>
          </w:p>
        </w:tc>
        <w:tc>
          <w:tcPr>
            <w:tcW w:w="235" w:type="dxa"/>
            <w:vMerge w:val="restart"/>
            <w:tcBorders>
              <w:top w:val="single" w:color="000000" w:sz="6" w:space="0"/>
              <w:bottom w:val="nil"/>
              <w:right w:val="single" w:color="000000" w:sz="6" w:space="0"/>
            </w:tcBorders>
            <w:vAlign w:val="top"/>
          </w:tcPr>
          <w:p w14:paraId="6CEB8322">
            <w:pPr>
              <w:rPr>
                <w:rFonts w:ascii="Arial"/>
                <w:sz w:val="21"/>
              </w:rPr>
            </w:pPr>
          </w:p>
        </w:tc>
      </w:tr>
      <w:tr w14:paraId="2A09E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64" w:type="dxa"/>
            <w:vMerge w:val="continue"/>
            <w:tcBorders>
              <w:top w:val="nil"/>
              <w:left w:val="single" w:color="000000" w:sz="6" w:space="0"/>
              <w:bottom w:val="nil"/>
            </w:tcBorders>
            <w:vAlign w:val="top"/>
          </w:tcPr>
          <w:p w14:paraId="389C473F">
            <w:pPr>
              <w:rPr>
                <w:rFonts w:ascii="Arial"/>
                <w:sz w:val="21"/>
              </w:rPr>
            </w:pPr>
          </w:p>
        </w:tc>
        <w:tc>
          <w:tcPr>
            <w:tcW w:w="222" w:type="dxa"/>
            <w:vMerge w:val="continue"/>
            <w:tcBorders>
              <w:top w:val="nil"/>
              <w:bottom w:val="nil"/>
            </w:tcBorders>
            <w:vAlign w:val="top"/>
          </w:tcPr>
          <w:p w14:paraId="3849EBC2">
            <w:pPr>
              <w:rPr>
                <w:rFonts w:ascii="Arial"/>
                <w:sz w:val="21"/>
              </w:rPr>
            </w:pPr>
          </w:p>
        </w:tc>
        <w:tc>
          <w:tcPr>
            <w:tcW w:w="1096" w:type="dxa"/>
            <w:gridSpan w:val="2"/>
            <w:vAlign w:val="top"/>
          </w:tcPr>
          <w:p w14:paraId="17D02B11">
            <w:pPr>
              <w:pStyle w:val="6"/>
              <w:spacing w:before="169"/>
              <w:ind w:left="340" w:right="133" w:hanging="192"/>
              <w:rPr>
                <w:sz w:val="20"/>
                <w:szCs w:val="20"/>
              </w:rPr>
            </w:pPr>
            <w:r>
              <w:rPr>
                <w:spacing w:val="2"/>
                <w:sz w:val="20"/>
                <w:szCs w:val="20"/>
              </w:rPr>
              <w:t>同步时钟</w:t>
            </w:r>
            <w:r>
              <w:rPr>
                <w:sz w:val="20"/>
                <w:szCs w:val="20"/>
              </w:rPr>
              <w:t xml:space="preserve"> </w:t>
            </w:r>
            <w:r>
              <w:rPr>
                <w:spacing w:val="2"/>
                <w:sz w:val="20"/>
                <w:szCs w:val="20"/>
              </w:rPr>
              <w:t>系统</w:t>
            </w:r>
          </w:p>
        </w:tc>
        <w:tc>
          <w:tcPr>
            <w:tcW w:w="4243" w:type="dxa"/>
            <w:gridSpan w:val="5"/>
            <w:vAlign w:val="top"/>
          </w:tcPr>
          <w:p w14:paraId="23484C0A">
            <w:pPr>
              <w:pStyle w:val="6"/>
              <w:spacing w:before="32" w:line="228" w:lineRule="auto"/>
              <w:ind w:left="107"/>
              <w:rPr>
                <w:sz w:val="20"/>
                <w:szCs w:val="20"/>
              </w:rPr>
            </w:pPr>
            <w:r>
              <w:rPr>
                <w:spacing w:val="6"/>
                <w:sz w:val="20"/>
                <w:szCs w:val="20"/>
              </w:rPr>
              <w:t xml:space="preserve">含主时钟 </w:t>
            </w:r>
            <w:r>
              <w:rPr>
                <w:rFonts w:ascii="Times New Roman" w:hAnsi="Times New Roman" w:eastAsia="Times New Roman" w:cs="Times New Roman"/>
                <w:spacing w:val="6"/>
                <w:sz w:val="20"/>
                <w:szCs w:val="20"/>
              </w:rPr>
              <w:t xml:space="preserve">2  </w:t>
            </w:r>
            <w:r>
              <w:rPr>
                <w:spacing w:val="6"/>
                <w:sz w:val="20"/>
                <w:szCs w:val="20"/>
              </w:rPr>
              <w:t>套（双北斗</w:t>
            </w:r>
            <w:r>
              <w:rPr>
                <w:spacing w:val="1"/>
                <w:sz w:val="20"/>
                <w:szCs w:val="20"/>
              </w:rPr>
              <w:t>），</w:t>
            </w:r>
            <w:r>
              <w:rPr>
                <w:spacing w:val="6"/>
                <w:sz w:val="20"/>
                <w:szCs w:val="20"/>
              </w:rPr>
              <w:t>时间同步扩展单</w:t>
            </w:r>
          </w:p>
          <w:p w14:paraId="62E0BD8D">
            <w:pPr>
              <w:pStyle w:val="6"/>
              <w:spacing w:before="26" w:line="228" w:lineRule="auto"/>
              <w:ind w:left="135"/>
              <w:rPr>
                <w:rFonts w:ascii="Times New Roman" w:hAnsi="Times New Roman" w:eastAsia="Times New Roman" w:cs="Times New Roman"/>
                <w:sz w:val="20"/>
                <w:szCs w:val="20"/>
              </w:rPr>
            </w:pPr>
            <w:r>
              <w:rPr>
                <w:spacing w:val="7"/>
                <w:sz w:val="20"/>
                <w:szCs w:val="20"/>
              </w:rPr>
              <w:t>元</w:t>
            </w:r>
            <w:r>
              <w:rPr>
                <w:spacing w:val="-36"/>
                <w:sz w:val="20"/>
                <w:szCs w:val="20"/>
              </w:rPr>
              <w:t xml:space="preserve"> </w:t>
            </w:r>
            <w:r>
              <w:rPr>
                <w:rFonts w:ascii="Times New Roman" w:hAnsi="Times New Roman" w:eastAsia="Times New Roman" w:cs="Times New Roman"/>
                <w:spacing w:val="7"/>
                <w:sz w:val="20"/>
                <w:szCs w:val="20"/>
              </w:rPr>
              <w:t xml:space="preserve">4 </w:t>
            </w:r>
            <w:r>
              <w:rPr>
                <w:spacing w:val="7"/>
                <w:sz w:val="20"/>
                <w:szCs w:val="20"/>
              </w:rPr>
              <w:t>个，每单元</w:t>
            </w:r>
            <w:r>
              <w:rPr>
                <w:spacing w:val="-39"/>
                <w:sz w:val="20"/>
                <w:szCs w:val="20"/>
              </w:rPr>
              <w:t xml:space="preserve"> </w:t>
            </w:r>
            <w:r>
              <w:rPr>
                <w:rFonts w:ascii="Times New Roman" w:hAnsi="Times New Roman" w:eastAsia="Times New Roman" w:cs="Times New Roman"/>
                <w:spacing w:val="7"/>
                <w:sz w:val="20"/>
                <w:szCs w:val="20"/>
              </w:rPr>
              <w:t xml:space="preserve">32 </w:t>
            </w:r>
            <w:r>
              <w:rPr>
                <w:spacing w:val="7"/>
                <w:sz w:val="20"/>
                <w:szCs w:val="20"/>
              </w:rPr>
              <w:t>个口；</w:t>
            </w:r>
            <w:r>
              <w:rPr>
                <w:rFonts w:ascii="Times New Roman" w:hAnsi="Times New Roman" w:eastAsia="Times New Roman" w:cs="Times New Roman"/>
                <w:sz w:val="20"/>
                <w:szCs w:val="20"/>
              </w:rPr>
              <w:t>TMU</w:t>
            </w:r>
            <w:r>
              <w:rPr>
                <w:rFonts w:ascii="Times New Roman" w:hAnsi="Times New Roman" w:eastAsia="Times New Roman" w:cs="Times New Roman"/>
                <w:spacing w:val="7"/>
                <w:sz w:val="20"/>
                <w:szCs w:val="20"/>
              </w:rPr>
              <w:t xml:space="preserve"> </w:t>
            </w:r>
            <w:r>
              <w:rPr>
                <w:spacing w:val="7"/>
                <w:sz w:val="20"/>
                <w:szCs w:val="20"/>
              </w:rPr>
              <w:t>检测装置</w:t>
            </w:r>
            <w:r>
              <w:rPr>
                <w:spacing w:val="32"/>
                <w:sz w:val="20"/>
                <w:szCs w:val="20"/>
              </w:rPr>
              <w:t xml:space="preserve"> </w:t>
            </w:r>
            <w:r>
              <w:rPr>
                <w:rFonts w:ascii="Times New Roman" w:hAnsi="Times New Roman" w:eastAsia="Times New Roman" w:cs="Times New Roman"/>
                <w:spacing w:val="7"/>
                <w:sz w:val="20"/>
                <w:szCs w:val="20"/>
              </w:rPr>
              <w:t>1</w:t>
            </w:r>
          </w:p>
          <w:p w14:paraId="7E6F220F">
            <w:pPr>
              <w:pStyle w:val="6"/>
              <w:spacing w:before="25" w:line="215" w:lineRule="auto"/>
              <w:ind w:left="1407"/>
              <w:rPr>
                <w:sz w:val="20"/>
                <w:szCs w:val="20"/>
              </w:rPr>
            </w:pPr>
            <w:r>
              <w:rPr>
                <w:sz w:val="20"/>
                <w:szCs w:val="20"/>
              </w:rPr>
              <w:t>台；含屏柜</w:t>
            </w:r>
            <w:r>
              <w:rPr>
                <w:spacing w:val="-20"/>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13"/>
                <w:w w:val="101"/>
                <w:sz w:val="20"/>
                <w:szCs w:val="20"/>
              </w:rPr>
              <w:t xml:space="preserve"> </w:t>
            </w:r>
            <w:r>
              <w:rPr>
                <w:sz w:val="20"/>
                <w:szCs w:val="20"/>
              </w:rPr>
              <w:t>面</w:t>
            </w:r>
          </w:p>
        </w:tc>
        <w:tc>
          <w:tcPr>
            <w:tcW w:w="549" w:type="dxa"/>
            <w:vAlign w:val="top"/>
          </w:tcPr>
          <w:p w14:paraId="56015980">
            <w:pPr>
              <w:rPr>
                <w:rFonts w:ascii="Arial"/>
                <w:sz w:val="21"/>
              </w:rPr>
            </w:pPr>
          </w:p>
          <w:p w14:paraId="1296DDB1">
            <w:pPr>
              <w:pStyle w:val="6"/>
              <w:spacing w:before="65" w:line="228" w:lineRule="auto"/>
              <w:ind w:left="178"/>
              <w:rPr>
                <w:sz w:val="20"/>
                <w:szCs w:val="20"/>
              </w:rPr>
            </w:pPr>
            <w:r>
              <w:rPr>
                <w:sz w:val="20"/>
                <w:szCs w:val="20"/>
              </w:rPr>
              <w:t>套</w:t>
            </w:r>
          </w:p>
        </w:tc>
        <w:tc>
          <w:tcPr>
            <w:tcW w:w="629" w:type="dxa"/>
            <w:gridSpan w:val="2"/>
            <w:vAlign w:val="top"/>
          </w:tcPr>
          <w:p w14:paraId="6C186465">
            <w:pPr>
              <w:spacing w:line="283" w:lineRule="auto"/>
              <w:rPr>
                <w:rFonts w:ascii="Arial"/>
                <w:sz w:val="21"/>
              </w:rPr>
            </w:pPr>
          </w:p>
          <w:p w14:paraId="6CB065B8">
            <w:pPr>
              <w:spacing w:before="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6" w:type="dxa"/>
            <w:vAlign w:val="top"/>
          </w:tcPr>
          <w:p w14:paraId="3737810C">
            <w:pPr>
              <w:rPr>
                <w:rFonts w:ascii="Arial"/>
                <w:sz w:val="21"/>
              </w:rPr>
            </w:pPr>
          </w:p>
        </w:tc>
        <w:tc>
          <w:tcPr>
            <w:tcW w:w="235" w:type="dxa"/>
            <w:vMerge w:val="continue"/>
            <w:tcBorders>
              <w:top w:val="nil"/>
              <w:bottom w:val="nil"/>
              <w:right w:val="single" w:color="000000" w:sz="6" w:space="0"/>
            </w:tcBorders>
            <w:vAlign w:val="top"/>
          </w:tcPr>
          <w:p w14:paraId="70AA2ED2">
            <w:pPr>
              <w:rPr>
                <w:rFonts w:ascii="Arial"/>
                <w:sz w:val="21"/>
              </w:rPr>
            </w:pPr>
          </w:p>
        </w:tc>
      </w:tr>
      <w:tr w14:paraId="67F64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64" w:type="dxa"/>
            <w:vMerge w:val="continue"/>
            <w:tcBorders>
              <w:top w:val="nil"/>
              <w:left w:val="single" w:color="000000" w:sz="6" w:space="0"/>
              <w:bottom w:val="nil"/>
            </w:tcBorders>
            <w:vAlign w:val="top"/>
          </w:tcPr>
          <w:p w14:paraId="6C2740A1">
            <w:pPr>
              <w:rPr>
                <w:rFonts w:ascii="Arial"/>
                <w:sz w:val="21"/>
              </w:rPr>
            </w:pPr>
          </w:p>
        </w:tc>
        <w:tc>
          <w:tcPr>
            <w:tcW w:w="222" w:type="dxa"/>
            <w:vMerge w:val="continue"/>
            <w:tcBorders>
              <w:top w:val="nil"/>
              <w:bottom w:val="nil"/>
            </w:tcBorders>
            <w:vAlign w:val="top"/>
          </w:tcPr>
          <w:p w14:paraId="0582243A">
            <w:pPr>
              <w:rPr>
                <w:rFonts w:ascii="Arial"/>
                <w:sz w:val="21"/>
              </w:rPr>
            </w:pPr>
          </w:p>
        </w:tc>
        <w:tc>
          <w:tcPr>
            <w:tcW w:w="1096" w:type="dxa"/>
            <w:gridSpan w:val="2"/>
            <w:vAlign w:val="top"/>
          </w:tcPr>
          <w:p w14:paraId="0B745F34">
            <w:pPr>
              <w:spacing w:line="254" w:lineRule="auto"/>
              <w:rPr>
                <w:rFonts w:ascii="Arial"/>
                <w:sz w:val="21"/>
              </w:rPr>
            </w:pPr>
          </w:p>
          <w:p w14:paraId="2A8146E6">
            <w:pPr>
              <w:spacing w:line="255" w:lineRule="auto"/>
              <w:rPr>
                <w:rFonts w:ascii="Arial"/>
                <w:sz w:val="21"/>
              </w:rPr>
            </w:pPr>
          </w:p>
          <w:p w14:paraId="41E82C86">
            <w:pPr>
              <w:pStyle w:val="6"/>
              <w:spacing w:before="65" w:line="228" w:lineRule="auto"/>
              <w:ind w:left="132"/>
              <w:rPr>
                <w:sz w:val="20"/>
                <w:szCs w:val="20"/>
              </w:rPr>
            </w:pPr>
            <w:r>
              <w:rPr>
                <w:spacing w:val="6"/>
                <w:sz w:val="20"/>
                <w:szCs w:val="20"/>
              </w:rPr>
              <w:t>继电保护</w:t>
            </w:r>
          </w:p>
        </w:tc>
        <w:tc>
          <w:tcPr>
            <w:tcW w:w="4243" w:type="dxa"/>
            <w:gridSpan w:val="5"/>
            <w:vAlign w:val="top"/>
          </w:tcPr>
          <w:p w14:paraId="22E76657">
            <w:pPr>
              <w:pStyle w:val="6"/>
              <w:spacing w:before="34" w:line="228" w:lineRule="auto"/>
              <w:ind w:left="107"/>
              <w:rPr>
                <w:sz w:val="20"/>
                <w:szCs w:val="20"/>
              </w:rPr>
            </w:pPr>
            <w:r>
              <w:rPr>
                <w:spacing w:val="6"/>
                <w:sz w:val="20"/>
                <w:szCs w:val="20"/>
              </w:rPr>
              <w:t>包括主变保护柜</w:t>
            </w:r>
            <w:r>
              <w:rPr>
                <w:spacing w:val="-40"/>
                <w:sz w:val="20"/>
                <w:szCs w:val="20"/>
              </w:rPr>
              <w:t xml:space="preserve"> </w:t>
            </w:r>
            <w:r>
              <w:rPr>
                <w:rFonts w:ascii="Times New Roman" w:hAnsi="Times New Roman" w:eastAsia="Times New Roman" w:cs="Times New Roman"/>
                <w:spacing w:val="6"/>
                <w:sz w:val="20"/>
                <w:szCs w:val="20"/>
              </w:rPr>
              <w:t>A/B/C</w:t>
            </w:r>
            <w:r>
              <w:rPr>
                <w:rFonts w:ascii="Times New Roman" w:hAnsi="Times New Roman" w:eastAsia="Times New Roman" w:cs="Times New Roman"/>
                <w:spacing w:val="-22"/>
                <w:sz w:val="20"/>
                <w:szCs w:val="20"/>
              </w:rPr>
              <w:t xml:space="preserve"> </w:t>
            </w:r>
            <w:r>
              <w:rPr>
                <w:spacing w:val="6"/>
                <w:sz w:val="20"/>
                <w:szCs w:val="20"/>
              </w:rPr>
              <w:t>，</w:t>
            </w: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16"/>
                <w:w w:val="101"/>
                <w:sz w:val="20"/>
                <w:szCs w:val="20"/>
              </w:rPr>
              <w:t xml:space="preserve"> </w:t>
            </w:r>
            <w:r>
              <w:rPr>
                <w:spacing w:val="6"/>
                <w:sz w:val="20"/>
                <w:szCs w:val="20"/>
              </w:rPr>
              <w:t>线路保护柜</w:t>
            </w:r>
          </w:p>
          <w:p w14:paraId="74BC5FE4">
            <w:pPr>
              <w:pStyle w:val="6"/>
              <w:spacing w:before="24" w:line="228"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A/B</w:t>
            </w:r>
            <w:r>
              <w:rPr>
                <w:rFonts w:ascii="Times New Roman" w:hAnsi="Times New Roman" w:eastAsia="Times New Roman" w:cs="Times New Roman"/>
                <w:spacing w:val="-10"/>
                <w:sz w:val="20"/>
                <w:szCs w:val="20"/>
              </w:rPr>
              <w:t xml:space="preserve"> </w:t>
            </w:r>
            <w:r>
              <w:rPr>
                <w:spacing w:val="6"/>
                <w:sz w:val="20"/>
                <w:szCs w:val="20"/>
              </w:rPr>
              <w:t>，</w:t>
            </w: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母线保护</w:t>
            </w:r>
            <w:r>
              <w:rPr>
                <w:spacing w:val="-44"/>
                <w:sz w:val="20"/>
                <w:szCs w:val="20"/>
              </w:rPr>
              <w:t xml:space="preserve"> </w:t>
            </w:r>
            <w:r>
              <w:rPr>
                <w:rFonts w:ascii="Times New Roman" w:hAnsi="Times New Roman" w:eastAsia="Times New Roman" w:cs="Times New Roman"/>
                <w:spacing w:val="6"/>
                <w:sz w:val="20"/>
                <w:szCs w:val="20"/>
              </w:rPr>
              <w:t xml:space="preserve">A </w:t>
            </w:r>
            <w:r>
              <w:rPr>
                <w:spacing w:val="6"/>
                <w:sz w:val="20"/>
                <w:szCs w:val="20"/>
              </w:rPr>
              <w:t>柜，</w:t>
            </w:r>
            <w:r>
              <w:rPr>
                <w:rFonts w:ascii="Times New Roman" w:hAnsi="Times New Roman" w:eastAsia="Times New Roman" w:cs="Times New Roman"/>
                <w:spacing w:val="6"/>
                <w:sz w:val="20"/>
                <w:szCs w:val="20"/>
              </w:rPr>
              <w:t xml:space="preserve">B </w:t>
            </w:r>
            <w:r>
              <w:rPr>
                <w:spacing w:val="6"/>
                <w:sz w:val="20"/>
                <w:szCs w:val="20"/>
              </w:rPr>
              <w:t>柜，</w:t>
            </w: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p>
          <w:p w14:paraId="3C48E236">
            <w:pPr>
              <w:pStyle w:val="6"/>
              <w:spacing w:before="23" w:line="227" w:lineRule="auto"/>
              <w:ind w:left="110"/>
              <w:rPr>
                <w:sz w:val="20"/>
                <w:szCs w:val="20"/>
              </w:rPr>
            </w:pPr>
            <w:r>
              <w:rPr>
                <w:spacing w:val="4"/>
                <w:sz w:val="20"/>
                <w:szCs w:val="20"/>
              </w:rPr>
              <w:t>分段保护柜，</w:t>
            </w:r>
            <w:r>
              <w:rPr>
                <w:rFonts w:ascii="Times New Roman" w:hAnsi="Times New Roman" w:eastAsia="Times New Roman" w:cs="Times New Roman"/>
                <w:spacing w:val="4"/>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4"/>
                <w:sz w:val="20"/>
                <w:szCs w:val="20"/>
              </w:rPr>
              <w:t xml:space="preserve"> </w:t>
            </w:r>
            <w:r>
              <w:rPr>
                <w:spacing w:val="4"/>
                <w:sz w:val="20"/>
                <w:szCs w:val="20"/>
              </w:rPr>
              <w:t>母线保护柜，微机保护故</w:t>
            </w:r>
          </w:p>
          <w:p w14:paraId="48EB1931">
            <w:pPr>
              <w:pStyle w:val="6"/>
              <w:spacing w:before="27" w:line="227" w:lineRule="auto"/>
              <w:ind w:left="118"/>
              <w:rPr>
                <w:sz w:val="20"/>
                <w:szCs w:val="20"/>
              </w:rPr>
            </w:pPr>
            <w:r>
              <w:rPr>
                <w:spacing w:val="3"/>
                <w:sz w:val="20"/>
                <w:szCs w:val="20"/>
              </w:rPr>
              <w:t>障信息系统子站，防孤岛保护屏，</w:t>
            </w:r>
            <w:r>
              <w:rPr>
                <w:rFonts w:ascii="Times New Roman" w:hAnsi="Times New Roman" w:eastAsia="Times New Roman" w:cs="Times New Roman"/>
                <w:spacing w:val="3"/>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3"/>
                <w:sz w:val="20"/>
                <w:szCs w:val="20"/>
              </w:rPr>
              <w:t xml:space="preserve"> </w:t>
            </w:r>
            <w:r>
              <w:rPr>
                <w:spacing w:val="3"/>
                <w:sz w:val="20"/>
                <w:szCs w:val="20"/>
              </w:rPr>
              <w:t>微机</w:t>
            </w:r>
          </w:p>
          <w:p w14:paraId="1BA453D6">
            <w:pPr>
              <w:pStyle w:val="6"/>
              <w:spacing w:before="28" w:line="214" w:lineRule="auto"/>
              <w:ind w:left="461"/>
              <w:rPr>
                <w:sz w:val="20"/>
                <w:szCs w:val="20"/>
              </w:rPr>
            </w:pPr>
            <w:r>
              <w:rPr>
                <w:spacing w:val="9"/>
                <w:sz w:val="20"/>
                <w:szCs w:val="20"/>
              </w:rPr>
              <w:t>测控保护装置，</w:t>
            </w:r>
            <w:r>
              <w:rPr>
                <w:rFonts w:ascii="Times New Roman" w:hAnsi="Times New Roman" w:eastAsia="Times New Roman" w:cs="Times New Roman"/>
                <w:spacing w:val="9"/>
                <w:sz w:val="20"/>
                <w:szCs w:val="20"/>
              </w:rPr>
              <w:t>35</w:t>
            </w:r>
            <w:r>
              <w:rPr>
                <w:rFonts w:ascii="Times New Roman" w:hAnsi="Times New Roman" w:eastAsia="Times New Roman" w:cs="Times New Roman"/>
                <w:sz w:val="20"/>
                <w:szCs w:val="20"/>
              </w:rPr>
              <w:t>KVPT</w:t>
            </w:r>
            <w:r>
              <w:rPr>
                <w:rFonts w:ascii="Times New Roman" w:hAnsi="Times New Roman" w:eastAsia="Times New Roman" w:cs="Times New Roman"/>
                <w:spacing w:val="20"/>
                <w:w w:val="101"/>
                <w:sz w:val="20"/>
                <w:szCs w:val="20"/>
              </w:rPr>
              <w:t xml:space="preserve"> </w:t>
            </w:r>
            <w:r>
              <w:rPr>
                <w:spacing w:val="9"/>
                <w:sz w:val="20"/>
                <w:szCs w:val="20"/>
              </w:rPr>
              <w:t>消诺装置等</w:t>
            </w:r>
          </w:p>
        </w:tc>
        <w:tc>
          <w:tcPr>
            <w:tcW w:w="549" w:type="dxa"/>
            <w:vAlign w:val="top"/>
          </w:tcPr>
          <w:p w14:paraId="7B3E451A">
            <w:pPr>
              <w:spacing w:line="254" w:lineRule="auto"/>
              <w:rPr>
                <w:rFonts w:ascii="Arial"/>
                <w:sz w:val="21"/>
              </w:rPr>
            </w:pPr>
          </w:p>
          <w:p w14:paraId="18C72E4F">
            <w:pPr>
              <w:spacing w:line="255" w:lineRule="auto"/>
              <w:rPr>
                <w:rFonts w:ascii="Arial"/>
                <w:sz w:val="21"/>
              </w:rPr>
            </w:pPr>
          </w:p>
          <w:p w14:paraId="39795F37">
            <w:pPr>
              <w:pStyle w:val="6"/>
              <w:spacing w:before="65" w:line="228" w:lineRule="auto"/>
              <w:ind w:left="178"/>
              <w:rPr>
                <w:sz w:val="20"/>
                <w:szCs w:val="20"/>
              </w:rPr>
            </w:pPr>
            <w:r>
              <w:rPr>
                <w:sz w:val="20"/>
                <w:szCs w:val="20"/>
              </w:rPr>
              <w:t>套</w:t>
            </w:r>
          </w:p>
        </w:tc>
        <w:tc>
          <w:tcPr>
            <w:tcW w:w="629" w:type="dxa"/>
            <w:gridSpan w:val="2"/>
            <w:vAlign w:val="top"/>
          </w:tcPr>
          <w:p w14:paraId="0054CF33">
            <w:pPr>
              <w:spacing w:line="276" w:lineRule="auto"/>
              <w:rPr>
                <w:rFonts w:ascii="Arial"/>
                <w:sz w:val="21"/>
              </w:rPr>
            </w:pPr>
          </w:p>
          <w:p w14:paraId="63828C59">
            <w:pPr>
              <w:spacing w:line="276" w:lineRule="auto"/>
              <w:rPr>
                <w:rFonts w:ascii="Arial"/>
                <w:sz w:val="21"/>
              </w:rPr>
            </w:pPr>
          </w:p>
          <w:p w14:paraId="1213AB7A">
            <w:pPr>
              <w:spacing w:before="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6" w:type="dxa"/>
            <w:vAlign w:val="top"/>
          </w:tcPr>
          <w:p w14:paraId="483ED286">
            <w:pPr>
              <w:rPr>
                <w:rFonts w:ascii="Arial"/>
                <w:sz w:val="21"/>
              </w:rPr>
            </w:pPr>
          </w:p>
        </w:tc>
        <w:tc>
          <w:tcPr>
            <w:tcW w:w="235" w:type="dxa"/>
            <w:vMerge w:val="continue"/>
            <w:tcBorders>
              <w:top w:val="nil"/>
              <w:bottom w:val="nil"/>
              <w:right w:val="single" w:color="000000" w:sz="6" w:space="0"/>
            </w:tcBorders>
            <w:vAlign w:val="top"/>
          </w:tcPr>
          <w:p w14:paraId="6D95F0DD">
            <w:pPr>
              <w:rPr>
                <w:rFonts w:ascii="Arial"/>
                <w:sz w:val="21"/>
              </w:rPr>
            </w:pPr>
          </w:p>
        </w:tc>
      </w:tr>
      <w:tr w14:paraId="6CD81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4" w:type="dxa"/>
            <w:vMerge w:val="continue"/>
            <w:tcBorders>
              <w:top w:val="nil"/>
              <w:left w:val="single" w:color="000000" w:sz="6" w:space="0"/>
              <w:bottom w:val="nil"/>
            </w:tcBorders>
            <w:vAlign w:val="top"/>
          </w:tcPr>
          <w:p w14:paraId="24DFC18A">
            <w:pPr>
              <w:rPr>
                <w:rFonts w:ascii="Arial"/>
                <w:sz w:val="21"/>
              </w:rPr>
            </w:pPr>
          </w:p>
        </w:tc>
        <w:tc>
          <w:tcPr>
            <w:tcW w:w="222" w:type="dxa"/>
            <w:vMerge w:val="continue"/>
            <w:tcBorders>
              <w:top w:val="nil"/>
              <w:bottom w:val="nil"/>
            </w:tcBorders>
            <w:vAlign w:val="top"/>
          </w:tcPr>
          <w:p w14:paraId="40A1055B">
            <w:pPr>
              <w:rPr>
                <w:rFonts w:ascii="Arial"/>
                <w:sz w:val="21"/>
              </w:rPr>
            </w:pPr>
          </w:p>
        </w:tc>
        <w:tc>
          <w:tcPr>
            <w:tcW w:w="1096" w:type="dxa"/>
            <w:gridSpan w:val="2"/>
            <w:vAlign w:val="top"/>
          </w:tcPr>
          <w:p w14:paraId="3157BBCB">
            <w:pPr>
              <w:pStyle w:val="6"/>
              <w:spacing w:before="34" w:line="233" w:lineRule="auto"/>
              <w:ind w:left="336" w:right="133" w:hanging="205"/>
              <w:rPr>
                <w:sz w:val="20"/>
                <w:szCs w:val="20"/>
              </w:rPr>
            </w:pPr>
            <w:r>
              <w:rPr>
                <w:spacing w:val="6"/>
                <w:sz w:val="20"/>
                <w:szCs w:val="20"/>
              </w:rPr>
              <w:t>故障录波</w:t>
            </w:r>
            <w:r>
              <w:rPr>
                <w:spacing w:val="1"/>
                <w:sz w:val="20"/>
                <w:szCs w:val="20"/>
              </w:rPr>
              <w:t xml:space="preserve"> </w:t>
            </w:r>
            <w:r>
              <w:rPr>
                <w:spacing w:val="4"/>
                <w:sz w:val="20"/>
                <w:szCs w:val="20"/>
              </w:rPr>
              <w:t>器柜</w:t>
            </w:r>
          </w:p>
        </w:tc>
        <w:tc>
          <w:tcPr>
            <w:tcW w:w="4243" w:type="dxa"/>
            <w:gridSpan w:val="5"/>
            <w:vAlign w:val="top"/>
          </w:tcPr>
          <w:p w14:paraId="0A3BD415">
            <w:pPr>
              <w:rPr>
                <w:rFonts w:ascii="Arial"/>
                <w:sz w:val="21"/>
              </w:rPr>
            </w:pPr>
          </w:p>
        </w:tc>
        <w:tc>
          <w:tcPr>
            <w:tcW w:w="549" w:type="dxa"/>
            <w:vAlign w:val="top"/>
          </w:tcPr>
          <w:p w14:paraId="0E5D0C3B">
            <w:pPr>
              <w:pStyle w:val="6"/>
              <w:spacing w:before="171" w:line="229" w:lineRule="auto"/>
              <w:ind w:left="178"/>
              <w:rPr>
                <w:sz w:val="20"/>
                <w:szCs w:val="20"/>
              </w:rPr>
            </w:pPr>
            <w:r>
              <w:rPr>
                <w:sz w:val="20"/>
                <w:szCs w:val="20"/>
              </w:rPr>
              <w:t>面</w:t>
            </w:r>
          </w:p>
        </w:tc>
        <w:tc>
          <w:tcPr>
            <w:tcW w:w="629" w:type="dxa"/>
            <w:gridSpan w:val="2"/>
            <w:vAlign w:val="top"/>
          </w:tcPr>
          <w:p w14:paraId="6F57981F">
            <w:pPr>
              <w:spacing w:before="206"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26" w:type="dxa"/>
            <w:vAlign w:val="top"/>
          </w:tcPr>
          <w:p w14:paraId="62F4F41B">
            <w:pPr>
              <w:rPr>
                <w:rFonts w:ascii="Arial"/>
                <w:sz w:val="21"/>
              </w:rPr>
            </w:pPr>
          </w:p>
        </w:tc>
        <w:tc>
          <w:tcPr>
            <w:tcW w:w="235" w:type="dxa"/>
            <w:vMerge w:val="continue"/>
            <w:tcBorders>
              <w:top w:val="nil"/>
              <w:bottom w:val="nil"/>
              <w:right w:val="single" w:color="000000" w:sz="6" w:space="0"/>
            </w:tcBorders>
            <w:vAlign w:val="top"/>
          </w:tcPr>
          <w:p w14:paraId="3A64FF3B">
            <w:pPr>
              <w:rPr>
                <w:rFonts w:ascii="Arial"/>
                <w:sz w:val="21"/>
              </w:rPr>
            </w:pPr>
          </w:p>
        </w:tc>
      </w:tr>
      <w:tr w14:paraId="77E56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464" w:type="dxa"/>
            <w:vMerge w:val="continue"/>
            <w:tcBorders>
              <w:top w:val="nil"/>
              <w:left w:val="single" w:color="000000" w:sz="6" w:space="0"/>
              <w:bottom w:val="nil"/>
            </w:tcBorders>
            <w:vAlign w:val="top"/>
          </w:tcPr>
          <w:p w14:paraId="576A9F8A">
            <w:pPr>
              <w:rPr>
                <w:rFonts w:ascii="Arial"/>
                <w:sz w:val="21"/>
              </w:rPr>
            </w:pPr>
          </w:p>
        </w:tc>
        <w:tc>
          <w:tcPr>
            <w:tcW w:w="222" w:type="dxa"/>
            <w:vMerge w:val="continue"/>
            <w:tcBorders>
              <w:top w:val="nil"/>
              <w:bottom w:val="nil"/>
            </w:tcBorders>
            <w:vAlign w:val="top"/>
          </w:tcPr>
          <w:p w14:paraId="3A709C1B">
            <w:pPr>
              <w:rPr>
                <w:rFonts w:ascii="Arial"/>
                <w:sz w:val="21"/>
              </w:rPr>
            </w:pPr>
          </w:p>
        </w:tc>
        <w:tc>
          <w:tcPr>
            <w:tcW w:w="1096" w:type="dxa"/>
            <w:gridSpan w:val="2"/>
            <w:vAlign w:val="top"/>
          </w:tcPr>
          <w:p w14:paraId="077D05B6">
            <w:pPr>
              <w:pStyle w:val="6"/>
              <w:spacing w:before="153" w:line="239" w:lineRule="auto"/>
              <w:ind w:left="127" w:right="133" w:firstLine="1"/>
              <w:rPr>
                <w:sz w:val="20"/>
                <w:szCs w:val="20"/>
              </w:rPr>
            </w:pPr>
            <w:r>
              <w:rPr>
                <w:spacing w:val="7"/>
                <w:sz w:val="20"/>
                <w:szCs w:val="20"/>
              </w:rPr>
              <w:t>有功无功</w:t>
            </w:r>
            <w:r>
              <w:rPr>
                <w:sz w:val="20"/>
                <w:szCs w:val="20"/>
              </w:rPr>
              <w:t xml:space="preserve"> </w:t>
            </w:r>
            <w:r>
              <w:rPr>
                <w:spacing w:val="7"/>
                <w:sz w:val="20"/>
                <w:szCs w:val="20"/>
              </w:rPr>
              <w:t>控制系统</w:t>
            </w:r>
          </w:p>
        </w:tc>
        <w:tc>
          <w:tcPr>
            <w:tcW w:w="4243" w:type="dxa"/>
            <w:gridSpan w:val="5"/>
            <w:vAlign w:val="top"/>
          </w:tcPr>
          <w:p w14:paraId="4BBD601A">
            <w:pPr>
              <w:pStyle w:val="6"/>
              <w:spacing w:before="37" w:line="238" w:lineRule="auto"/>
              <w:ind w:left="106" w:right="106" w:firstLine="7"/>
              <w:rPr>
                <w:sz w:val="19"/>
                <w:szCs w:val="19"/>
              </w:rPr>
            </w:pPr>
            <w:r>
              <w:rPr>
                <w:rFonts w:ascii="Times New Roman" w:hAnsi="Times New Roman" w:eastAsia="Times New Roman" w:cs="Times New Roman"/>
                <w:spacing w:val="1"/>
                <w:sz w:val="19"/>
                <w:szCs w:val="19"/>
              </w:rPr>
              <w:t>.</w:t>
            </w:r>
            <w:r>
              <w:rPr>
                <w:spacing w:val="1"/>
                <w:sz w:val="19"/>
                <w:szCs w:val="19"/>
              </w:rPr>
              <w:t xml:space="preserve">型号规格：含 </w:t>
            </w:r>
            <w:r>
              <w:rPr>
                <w:rFonts w:ascii="Times New Roman" w:hAnsi="Times New Roman" w:eastAsia="Times New Roman" w:cs="Times New Roman"/>
                <w:sz w:val="19"/>
                <w:szCs w:val="19"/>
              </w:rPr>
              <w:t>AGC</w:t>
            </w:r>
            <w:r>
              <w:rPr>
                <w:rFonts w:ascii="Times New Roman" w:hAnsi="Times New Roman" w:eastAsia="Times New Roman" w:cs="Times New Roman"/>
                <w:spacing w:val="1"/>
                <w:sz w:val="19"/>
                <w:szCs w:val="19"/>
              </w:rPr>
              <w:t xml:space="preserve">  </w:t>
            </w:r>
            <w:r>
              <w:rPr>
                <w:spacing w:val="1"/>
                <w:sz w:val="19"/>
                <w:szCs w:val="19"/>
              </w:rPr>
              <w:t>有功功率</w:t>
            </w:r>
            <w:r>
              <w:rPr>
                <w:spacing w:val="13"/>
                <w:sz w:val="19"/>
                <w:szCs w:val="19"/>
              </w:rPr>
              <w:t xml:space="preserve"> </w:t>
            </w:r>
            <w:r>
              <w:rPr>
                <w:spacing w:val="1"/>
                <w:sz w:val="19"/>
                <w:szCs w:val="19"/>
              </w:rPr>
              <w:t>控制系统、</w:t>
            </w:r>
            <w:r>
              <w:rPr>
                <w:rFonts w:ascii="Times New Roman" w:hAnsi="Times New Roman" w:eastAsia="Times New Roman" w:cs="Times New Roman"/>
                <w:sz w:val="19"/>
                <w:szCs w:val="19"/>
              </w:rPr>
              <w:t xml:space="preserve">AVC </w:t>
            </w:r>
            <w:r>
              <w:rPr>
                <w:spacing w:val="7"/>
                <w:sz w:val="19"/>
                <w:szCs w:val="19"/>
              </w:rPr>
              <w:t>无功电压控制系统；后台服务器</w:t>
            </w:r>
            <w:r>
              <w:rPr>
                <w:spacing w:val="39"/>
                <w:sz w:val="19"/>
                <w:szCs w:val="19"/>
              </w:rPr>
              <w:t xml:space="preserve"> </w:t>
            </w:r>
            <w:r>
              <w:rPr>
                <w:rFonts w:ascii="Times New Roman" w:hAnsi="Times New Roman" w:eastAsia="Times New Roman" w:cs="Times New Roman"/>
                <w:spacing w:val="7"/>
                <w:sz w:val="19"/>
                <w:szCs w:val="19"/>
              </w:rPr>
              <w:t xml:space="preserve">1  </w:t>
            </w:r>
            <w:r>
              <w:rPr>
                <w:spacing w:val="7"/>
                <w:sz w:val="19"/>
                <w:szCs w:val="19"/>
              </w:rPr>
              <w:t>套；含屏</w:t>
            </w:r>
            <w:r>
              <w:rPr>
                <w:sz w:val="19"/>
                <w:szCs w:val="19"/>
              </w:rPr>
              <w:t xml:space="preserve">  </w:t>
            </w:r>
            <w:r>
              <w:rPr>
                <w:spacing w:val="-6"/>
                <w:sz w:val="19"/>
                <w:szCs w:val="19"/>
              </w:rPr>
              <w:t>柜</w:t>
            </w:r>
            <w:r>
              <w:rPr>
                <w:spacing w:val="29"/>
                <w:w w:val="101"/>
                <w:sz w:val="19"/>
                <w:szCs w:val="19"/>
              </w:rPr>
              <w:t xml:space="preserve"> </w:t>
            </w:r>
            <w:r>
              <w:rPr>
                <w:rFonts w:ascii="Times New Roman" w:hAnsi="Times New Roman" w:eastAsia="Times New Roman" w:cs="Times New Roman"/>
                <w:spacing w:val="-6"/>
                <w:sz w:val="19"/>
                <w:szCs w:val="19"/>
              </w:rPr>
              <w:t>1</w:t>
            </w:r>
            <w:r>
              <w:rPr>
                <w:rFonts w:ascii="Times New Roman" w:hAnsi="Times New Roman" w:eastAsia="Times New Roman" w:cs="Times New Roman"/>
                <w:spacing w:val="7"/>
                <w:sz w:val="19"/>
                <w:szCs w:val="19"/>
              </w:rPr>
              <w:t xml:space="preserve">  </w:t>
            </w:r>
            <w:r>
              <w:rPr>
                <w:spacing w:val="-6"/>
                <w:sz w:val="19"/>
                <w:szCs w:val="19"/>
              </w:rPr>
              <w:t>面</w:t>
            </w:r>
          </w:p>
        </w:tc>
        <w:tc>
          <w:tcPr>
            <w:tcW w:w="549" w:type="dxa"/>
            <w:vAlign w:val="top"/>
          </w:tcPr>
          <w:p w14:paraId="4719C185">
            <w:pPr>
              <w:pStyle w:val="6"/>
              <w:spacing w:before="287" w:line="228" w:lineRule="auto"/>
              <w:ind w:left="178"/>
              <w:rPr>
                <w:sz w:val="20"/>
                <w:szCs w:val="20"/>
              </w:rPr>
            </w:pPr>
            <w:r>
              <w:rPr>
                <w:sz w:val="20"/>
                <w:szCs w:val="20"/>
              </w:rPr>
              <w:t>套</w:t>
            </w:r>
          </w:p>
        </w:tc>
        <w:tc>
          <w:tcPr>
            <w:tcW w:w="629" w:type="dxa"/>
            <w:gridSpan w:val="2"/>
            <w:vAlign w:val="top"/>
          </w:tcPr>
          <w:p w14:paraId="55778250">
            <w:pPr>
              <w:spacing w:line="265" w:lineRule="auto"/>
              <w:rPr>
                <w:rFonts w:ascii="Arial"/>
                <w:sz w:val="21"/>
              </w:rPr>
            </w:pPr>
          </w:p>
          <w:p w14:paraId="588FD0EA">
            <w:pPr>
              <w:spacing w:before="5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6" w:type="dxa"/>
            <w:vAlign w:val="top"/>
          </w:tcPr>
          <w:p w14:paraId="33114D48">
            <w:pPr>
              <w:rPr>
                <w:rFonts w:ascii="Arial"/>
                <w:sz w:val="21"/>
              </w:rPr>
            </w:pPr>
          </w:p>
        </w:tc>
        <w:tc>
          <w:tcPr>
            <w:tcW w:w="235" w:type="dxa"/>
            <w:vMerge w:val="continue"/>
            <w:tcBorders>
              <w:top w:val="nil"/>
              <w:bottom w:val="nil"/>
              <w:right w:val="single" w:color="000000" w:sz="6" w:space="0"/>
            </w:tcBorders>
            <w:vAlign w:val="top"/>
          </w:tcPr>
          <w:p w14:paraId="6967CB1C">
            <w:pPr>
              <w:rPr>
                <w:rFonts w:ascii="Arial"/>
                <w:sz w:val="21"/>
              </w:rPr>
            </w:pPr>
          </w:p>
        </w:tc>
      </w:tr>
      <w:tr w14:paraId="5EA16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1" w:hRule="atLeast"/>
        </w:trPr>
        <w:tc>
          <w:tcPr>
            <w:tcW w:w="464" w:type="dxa"/>
            <w:vMerge w:val="continue"/>
            <w:tcBorders>
              <w:top w:val="nil"/>
              <w:left w:val="single" w:color="000000" w:sz="6" w:space="0"/>
              <w:bottom w:val="nil"/>
            </w:tcBorders>
            <w:vAlign w:val="top"/>
          </w:tcPr>
          <w:p w14:paraId="6625BD73">
            <w:pPr>
              <w:rPr>
                <w:rFonts w:ascii="Arial"/>
                <w:sz w:val="21"/>
              </w:rPr>
            </w:pPr>
          </w:p>
        </w:tc>
        <w:tc>
          <w:tcPr>
            <w:tcW w:w="222" w:type="dxa"/>
            <w:vMerge w:val="continue"/>
            <w:tcBorders>
              <w:top w:val="nil"/>
              <w:bottom w:val="nil"/>
            </w:tcBorders>
            <w:vAlign w:val="top"/>
          </w:tcPr>
          <w:p w14:paraId="65A1D11D">
            <w:pPr>
              <w:rPr>
                <w:rFonts w:ascii="Arial"/>
                <w:sz w:val="21"/>
              </w:rPr>
            </w:pPr>
          </w:p>
        </w:tc>
        <w:tc>
          <w:tcPr>
            <w:tcW w:w="1096" w:type="dxa"/>
            <w:gridSpan w:val="2"/>
            <w:vAlign w:val="top"/>
          </w:tcPr>
          <w:p w14:paraId="067B50CA">
            <w:pPr>
              <w:spacing w:line="343" w:lineRule="auto"/>
              <w:rPr>
                <w:rFonts w:ascii="Arial"/>
                <w:sz w:val="21"/>
              </w:rPr>
            </w:pPr>
          </w:p>
          <w:p w14:paraId="6E68F1C9">
            <w:pPr>
              <w:pStyle w:val="6"/>
              <w:spacing w:before="65"/>
              <w:ind w:left="340" w:right="133" w:hanging="213"/>
              <w:rPr>
                <w:sz w:val="20"/>
                <w:szCs w:val="20"/>
              </w:rPr>
            </w:pPr>
            <w:r>
              <w:rPr>
                <w:spacing w:val="7"/>
                <w:sz w:val="20"/>
                <w:szCs w:val="20"/>
              </w:rPr>
              <w:t>视频监控</w:t>
            </w:r>
            <w:r>
              <w:rPr>
                <w:spacing w:val="1"/>
                <w:sz w:val="20"/>
                <w:szCs w:val="20"/>
              </w:rPr>
              <w:t xml:space="preserve"> </w:t>
            </w:r>
            <w:r>
              <w:rPr>
                <w:spacing w:val="2"/>
                <w:sz w:val="20"/>
                <w:szCs w:val="20"/>
              </w:rPr>
              <w:t>系统</w:t>
            </w:r>
          </w:p>
        </w:tc>
        <w:tc>
          <w:tcPr>
            <w:tcW w:w="4243" w:type="dxa"/>
            <w:gridSpan w:val="5"/>
            <w:vAlign w:val="top"/>
          </w:tcPr>
          <w:p w14:paraId="3D39718F">
            <w:pPr>
              <w:pStyle w:val="6"/>
              <w:spacing w:before="36" w:line="239" w:lineRule="auto"/>
              <w:ind w:left="111" w:right="104"/>
              <w:rPr>
                <w:sz w:val="19"/>
                <w:szCs w:val="19"/>
              </w:rPr>
            </w:pPr>
            <w:r>
              <w:rPr>
                <w:spacing w:val="4"/>
                <w:sz w:val="19"/>
                <w:szCs w:val="19"/>
              </w:rPr>
              <w:t>高清球机（带云台）</w:t>
            </w:r>
            <w:r>
              <w:rPr>
                <w:rFonts w:ascii="Times New Roman" w:hAnsi="Times New Roman" w:eastAsia="Times New Roman" w:cs="Times New Roman"/>
                <w:spacing w:val="4"/>
                <w:sz w:val="19"/>
                <w:szCs w:val="19"/>
              </w:rPr>
              <w:t>30</w:t>
            </w:r>
            <w:r>
              <w:rPr>
                <w:rFonts w:ascii="Times New Roman" w:hAnsi="Times New Roman" w:eastAsia="Times New Roman" w:cs="Times New Roman"/>
                <w:spacing w:val="20"/>
                <w:w w:val="101"/>
                <w:sz w:val="19"/>
                <w:szCs w:val="19"/>
              </w:rPr>
              <w:t xml:space="preserve">  </w:t>
            </w:r>
            <w:r>
              <w:rPr>
                <w:spacing w:val="4"/>
                <w:sz w:val="19"/>
                <w:szCs w:val="19"/>
              </w:rPr>
              <w:t>台；固定式高清摄像机</w:t>
            </w:r>
            <w:r>
              <w:rPr>
                <w:sz w:val="19"/>
                <w:szCs w:val="19"/>
              </w:rPr>
              <w:t xml:space="preserve"> </w:t>
            </w:r>
            <w:r>
              <w:rPr>
                <w:rFonts w:ascii="Times New Roman" w:hAnsi="Times New Roman" w:eastAsia="Times New Roman" w:cs="Times New Roman"/>
                <w:spacing w:val="4"/>
                <w:sz w:val="19"/>
                <w:szCs w:val="19"/>
              </w:rPr>
              <w:t>8</w:t>
            </w:r>
            <w:r>
              <w:rPr>
                <w:rFonts w:ascii="Times New Roman" w:hAnsi="Times New Roman" w:eastAsia="Times New Roman" w:cs="Times New Roman"/>
                <w:spacing w:val="17"/>
                <w:w w:val="101"/>
                <w:sz w:val="19"/>
                <w:szCs w:val="19"/>
              </w:rPr>
              <w:t xml:space="preserve">  </w:t>
            </w:r>
            <w:r>
              <w:rPr>
                <w:spacing w:val="4"/>
                <w:sz w:val="19"/>
                <w:szCs w:val="19"/>
              </w:rPr>
              <w:t xml:space="preserve">台；防爆摄像机 </w:t>
            </w:r>
            <w:r>
              <w:rPr>
                <w:rFonts w:ascii="Times New Roman" w:hAnsi="Times New Roman" w:eastAsia="Times New Roman" w:cs="Times New Roman"/>
                <w:spacing w:val="4"/>
                <w:sz w:val="19"/>
                <w:szCs w:val="19"/>
              </w:rPr>
              <w:t>4</w:t>
            </w:r>
            <w:r>
              <w:rPr>
                <w:rFonts w:ascii="Times New Roman" w:hAnsi="Times New Roman" w:eastAsia="Times New Roman" w:cs="Times New Roman"/>
                <w:spacing w:val="14"/>
                <w:sz w:val="19"/>
                <w:szCs w:val="19"/>
              </w:rPr>
              <w:t xml:space="preserve">  </w:t>
            </w:r>
            <w:r>
              <w:rPr>
                <w:spacing w:val="4"/>
                <w:sz w:val="19"/>
                <w:szCs w:val="19"/>
              </w:rPr>
              <w:t xml:space="preserve">台；百兆交换机 </w:t>
            </w:r>
            <w:r>
              <w:rPr>
                <w:rFonts w:ascii="Times New Roman" w:hAnsi="Times New Roman" w:eastAsia="Times New Roman" w:cs="Times New Roman"/>
                <w:spacing w:val="4"/>
                <w:sz w:val="19"/>
                <w:szCs w:val="19"/>
              </w:rPr>
              <w:t>2</w:t>
            </w:r>
            <w:r>
              <w:rPr>
                <w:rFonts w:ascii="Times New Roman" w:hAnsi="Times New Roman" w:eastAsia="Times New Roman" w:cs="Times New Roman"/>
                <w:spacing w:val="14"/>
                <w:sz w:val="19"/>
                <w:szCs w:val="19"/>
              </w:rPr>
              <w:t xml:space="preserve">  </w:t>
            </w:r>
            <w:r>
              <w:rPr>
                <w:spacing w:val="4"/>
                <w:sz w:val="19"/>
                <w:szCs w:val="19"/>
              </w:rPr>
              <w:t>台，</w:t>
            </w:r>
          </w:p>
          <w:p w14:paraId="516BB431">
            <w:pPr>
              <w:pStyle w:val="6"/>
              <w:spacing w:before="27" w:line="238" w:lineRule="auto"/>
              <w:ind w:left="107" w:right="103"/>
              <w:rPr>
                <w:sz w:val="19"/>
                <w:szCs w:val="19"/>
              </w:rPr>
            </w:pPr>
            <w:r>
              <w:rPr>
                <w:spacing w:val="-1"/>
                <w:sz w:val="19"/>
                <w:szCs w:val="19"/>
              </w:rPr>
              <w:t>千兆交换机</w:t>
            </w:r>
            <w:r>
              <w:rPr>
                <w:spacing w:val="41"/>
                <w:sz w:val="19"/>
                <w:szCs w:val="19"/>
              </w:rPr>
              <w:t xml:space="preserve"> </w:t>
            </w:r>
            <w:r>
              <w:rPr>
                <w:rFonts w:ascii="Times New Roman" w:hAnsi="Times New Roman" w:eastAsia="Times New Roman" w:cs="Times New Roman"/>
                <w:spacing w:val="-1"/>
                <w:sz w:val="19"/>
                <w:szCs w:val="19"/>
              </w:rPr>
              <w:t>1</w:t>
            </w:r>
            <w:r>
              <w:rPr>
                <w:rFonts w:ascii="Times New Roman" w:hAnsi="Times New Roman" w:eastAsia="Times New Roman" w:cs="Times New Roman"/>
                <w:spacing w:val="14"/>
                <w:sz w:val="19"/>
                <w:szCs w:val="19"/>
              </w:rPr>
              <w:t xml:space="preserve">  </w:t>
            </w:r>
            <w:r>
              <w:rPr>
                <w:spacing w:val="-1"/>
                <w:sz w:val="19"/>
                <w:szCs w:val="19"/>
              </w:rPr>
              <w:t>台，服务器单元</w:t>
            </w:r>
            <w:r>
              <w:rPr>
                <w:spacing w:val="-40"/>
                <w:sz w:val="19"/>
                <w:szCs w:val="19"/>
              </w:rPr>
              <w:t xml:space="preserve"> </w:t>
            </w:r>
            <w:r>
              <w:rPr>
                <w:rFonts w:ascii="Times New Roman" w:hAnsi="Times New Roman" w:eastAsia="Times New Roman" w:cs="Times New Roman"/>
                <w:spacing w:val="-1"/>
                <w:sz w:val="19"/>
                <w:szCs w:val="19"/>
              </w:rPr>
              <w:t xml:space="preserve">2  </w:t>
            </w:r>
            <w:r>
              <w:rPr>
                <w:spacing w:val="-1"/>
                <w:sz w:val="19"/>
                <w:szCs w:val="19"/>
              </w:rPr>
              <w:t>套，后台机</w:t>
            </w:r>
            <w:r>
              <w:rPr>
                <w:spacing w:val="29"/>
                <w:sz w:val="19"/>
                <w:szCs w:val="19"/>
              </w:rPr>
              <w:t xml:space="preserve"> </w:t>
            </w:r>
            <w:r>
              <w:rPr>
                <w:rFonts w:ascii="Times New Roman" w:hAnsi="Times New Roman" w:eastAsia="Times New Roman" w:cs="Times New Roman"/>
                <w:spacing w:val="-1"/>
                <w:sz w:val="19"/>
                <w:szCs w:val="19"/>
              </w:rPr>
              <w:t>1</w:t>
            </w:r>
            <w:r>
              <w:rPr>
                <w:rFonts w:ascii="Times New Roman" w:hAnsi="Times New Roman" w:eastAsia="Times New Roman" w:cs="Times New Roman"/>
                <w:sz w:val="19"/>
                <w:szCs w:val="19"/>
              </w:rPr>
              <w:t xml:space="preserve"> </w:t>
            </w:r>
            <w:r>
              <w:rPr>
                <w:spacing w:val="8"/>
                <w:sz w:val="19"/>
                <w:szCs w:val="19"/>
              </w:rPr>
              <w:t xml:space="preserve">套，存储单元按 </w:t>
            </w:r>
            <w:r>
              <w:rPr>
                <w:rFonts w:ascii="Times New Roman" w:hAnsi="Times New Roman" w:eastAsia="Times New Roman" w:cs="Times New Roman"/>
                <w:spacing w:val="8"/>
                <w:sz w:val="19"/>
                <w:szCs w:val="19"/>
              </w:rPr>
              <w:t xml:space="preserve">3  </w:t>
            </w:r>
            <w:r>
              <w:rPr>
                <w:spacing w:val="8"/>
                <w:sz w:val="19"/>
                <w:szCs w:val="19"/>
              </w:rPr>
              <w:t>个月存储时间配置，组柜</w:t>
            </w:r>
            <w:r>
              <w:rPr>
                <w:spacing w:val="4"/>
                <w:sz w:val="19"/>
                <w:szCs w:val="19"/>
              </w:rPr>
              <w:t xml:space="preserve">  </w:t>
            </w:r>
            <w:r>
              <w:rPr>
                <w:rFonts w:ascii="Times New Roman" w:hAnsi="Times New Roman" w:eastAsia="Times New Roman" w:cs="Times New Roman"/>
                <w:spacing w:val="-2"/>
                <w:sz w:val="19"/>
                <w:szCs w:val="19"/>
              </w:rPr>
              <w:t>1</w:t>
            </w:r>
            <w:r>
              <w:rPr>
                <w:rFonts w:ascii="Times New Roman" w:hAnsi="Times New Roman" w:eastAsia="Times New Roman" w:cs="Times New Roman"/>
                <w:spacing w:val="7"/>
                <w:sz w:val="19"/>
                <w:szCs w:val="19"/>
              </w:rPr>
              <w:t xml:space="preserve">  </w:t>
            </w:r>
            <w:r>
              <w:rPr>
                <w:spacing w:val="-2"/>
                <w:sz w:val="19"/>
                <w:szCs w:val="19"/>
              </w:rPr>
              <w:t>面</w:t>
            </w:r>
          </w:p>
        </w:tc>
        <w:tc>
          <w:tcPr>
            <w:tcW w:w="549" w:type="dxa"/>
            <w:vAlign w:val="top"/>
          </w:tcPr>
          <w:p w14:paraId="0DB12524">
            <w:pPr>
              <w:rPr>
                <w:rFonts w:ascii="Arial"/>
                <w:sz w:val="21"/>
              </w:rPr>
            </w:pPr>
          </w:p>
          <w:p w14:paraId="164DB131">
            <w:pPr>
              <w:rPr>
                <w:rFonts w:ascii="Arial"/>
                <w:sz w:val="21"/>
              </w:rPr>
            </w:pPr>
          </w:p>
          <w:p w14:paraId="72AE4AA9">
            <w:pPr>
              <w:pStyle w:val="6"/>
              <w:spacing w:before="65" w:line="228" w:lineRule="auto"/>
              <w:ind w:left="178"/>
              <w:rPr>
                <w:sz w:val="20"/>
                <w:szCs w:val="20"/>
              </w:rPr>
            </w:pPr>
            <w:r>
              <w:rPr>
                <w:sz w:val="20"/>
                <w:szCs w:val="20"/>
              </w:rPr>
              <w:t>套</w:t>
            </w:r>
          </w:p>
        </w:tc>
        <w:tc>
          <w:tcPr>
            <w:tcW w:w="629" w:type="dxa"/>
            <w:gridSpan w:val="2"/>
            <w:vAlign w:val="top"/>
          </w:tcPr>
          <w:p w14:paraId="76728FF8">
            <w:pPr>
              <w:spacing w:line="261" w:lineRule="auto"/>
              <w:rPr>
                <w:rFonts w:ascii="Arial"/>
                <w:sz w:val="21"/>
              </w:rPr>
            </w:pPr>
          </w:p>
          <w:p w14:paraId="6393C344">
            <w:pPr>
              <w:spacing w:line="262" w:lineRule="auto"/>
              <w:rPr>
                <w:rFonts w:ascii="Arial"/>
                <w:sz w:val="21"/>
              </w:rPr>
            </w:pPr>
          </w:p>
          <w:p w14:paraId="7F76BABC">
            <w:pPr>
              <w:spacing w:before="5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6" w:type="dxa"/>
            <w:vAlign w:val="top"/>
          </w:tcPr>
          <w:p w14:paraId="0FBCEF73">
            <w:pPr>
              <w:rPr>
                <w:rFonts w:ascii="Arial"/>
                <w:sz w:val="21"/>
              </w:rPr>
            </w:pPr>
          </w:p>
        </w:tc>
        <w:tc>
          <w:tcPr>
            <w:tcW w:w="235" w:type="dxa"/>
            <w:vMerge w:val="continue"/>
            <w:tcBorders>
              <w:top w:val="nil"/>
              <w:bottom w:val="nil"/>
              <w:right w:val="single" w:color="000000" w:sz="6" w:space="0"/>
            </w:tcBorders>
            <w:vAlign w:val="top"/>
          </w:tcPr>
          <w:p w14:paraId="584935DD">
            <w:pPr>
              <w:rPr>
                <w:rFonts w:ascii="Arial"/>
                <w:sz w:val="21"/>
              </w:rPr>
            </w:pPr>
          </w:p>
        </w:tc>
      </w:tr>
      <w:tr w14:paraId="5DAA7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4" w:type="dxa"/>
            <w:vMerge w:val="continue"/>
            <w:tcBorders>
              <w:top w:val="nil"/>
              <w:left w:val="single" w:color="000000" w:sz="6" w:space="0"/>
              <w:bottom w:val="nil"/>
            </w:tcBorders>
            <w:vAlign w:val="top"/>
          </w:tcPr>
          <w:p w14:paraId="34B8EBA5">
            <w:pPr>
              <w:rPr>
                <w:rFonts w:ascii="Arial"/>
                <w:sz w:val="21"/>
              </w:rPr>
            </w:pPr>
          </w:p>
        </w:tc>
        <w:tc>
          <w:tcPr>
            <w:tcW w:w="222" w:type="dxa"/>
            <w:vMerge w:val="continue"/>
            <w:tcBorders>
              <w:top w:val="nil"/>
              <w:bottom w:val="nil"/>
            </w:tcBorders>
            <w:vAlign w:val="top"/>
          </w:tcPr>
          <w:p w14:paraId="3C9C8A5E">
            <w:pPr>
              <w:rPr>
                <w:rFonts w:ascii="Arial"/>
                <w:sz w:val="21"/>
              </w:rPr>
            </w:pPr>
          </w:p>
        </w:tc>
        <w:tc>
          <w:tcPr>
            <w:tcW w:w="1096" w:type="dxa"/>
            <w:gridSpan w:val="2"/>
            <w:vAlign w:val="top"/>
          </w:tcPr>
          <w:p w14:paraId="2A505C72">
            <w:pPr>
              <w:pStyle w:val="6"/>
              <w:spacing w:before="37" w:line="212" w:lineRule="auto"/>
              <w:ind w:left="129"/>
              <w:rPr>
                <w:sz w:val="20"/>
                <w:szCs w:val="20"/>
              </w:rPr>
            </w:pPr>
            <w:r>
              <w:rPr>
                <w:spacing w:val="7"/>
                <w:sz w:val="20"/>
                <w:szCs w:val="20"/>
              </w:rPr>
              <w:t>技防系统</w:t>
            </w:r>
          </w:p>
        </w:tc>
        <w:tc>
          <w:tcPr>
            <w:tcW w:w="4243" w:type="dxa"/>
            <w:gridSpan w:val="5"/>
            <w:vAlign w:val="top"/>
          </w:tcPr>
          <w:p w14:paraId="220B9E34">
            <w:pPr>
              <w:spacing w:before="68" w:line="199" w:lineRule="auto"/>
              <w:ind w:left="20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49" w:type="dxa"/>
            <w:vAlign w:val="top"/>
          </w:tcPr>
          <w:p w14:paraId="70BD1896">
            <w:pPr>
              <w:pStyle w:val="6"/>
              <w:spacing w:before="37" w:line="212" w:lineRule="auto"/>
              <w:ind w:left="178"/>
              <w:rPr>
                <w:sz w:val="20"/>
                <w:szCs w:val="20"/>
              </w:rPr>
            </w:pPr>
            <w:r>
              <w:rPr>
                <w:sz w:val="20"/>
                <w:szCs w:val="20"/>
              </w:rPr>
              <w:t>套</w:t>
            </w:r>
          </w:p>
        </w:tc>
        <w:tc>
          <w:tcPr>
            <w:tcW w:w="629" w:type="dxa"/>
            <w:gridSpan w:val="2"/>
            <w:vAlign w:val="top"/>
          </w:tcPr>
          <w:p w14:paraId="7D66294E">
            <w:pPr>
              <w:spacing w:before="7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6" w:type="dxa"/>
            <w:vAlign w:val="top"/>
          </w:tcPr>
          <w:p w14:paraId="1F51A472">
            <w:pPr>
              <w:rPr>
                <w:rFonts w:ascii="Arial"/>
                <w:sz w:val="21"/>
              </w:rPr>
            </w:pPr>
          </w:p>
        </w:tc>
        <w:tc>
          <w:tcPr>
            <w:tcW w:w="235" w:type="dxa"/>
            <w:vMerge w:val="continue"/>
            <w:tcBorders>
              <w:top w:val="nil"/>
              <w:bottom w:val="nil"/>
              <w:right w:val="single" w:color="000000" w:sz="6" w:space="0"/>
            </w:tcBorders>
            <w:vAlign w:val="top"/>
          </w:tcPr>
          <w:p w14:paraId="0E6A89D4">
            <w:pPr>
              <w:rPr>
                <w:rFonts w:ascii="Arial"/>
                <w:sz w:val="21"/>
              </w:rPr>
            </w:pPr>
          </w:p>
        </w:tc>
      </w:tr>
      <w:tr w14:paraId="1BD05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4" w:type="dxa"/>
            <w:vMerge w:val="continue"/>
            <w:tcBorders>
              <w:top w:val="nil"/>
              <w:left w:val="single" w:color="000000" w:sz="6" w:space="0"/>
              <w:bottom w:val="nil"/>
            </w:tcBorders>
            <w:vAlign w:val="top"/>
          </w:tcPr>
          <w:p w14:paraId="03E6A416">
            <w:pPr>
              <w:rPr>
                <w:rFonts w:ascii="Arial"/>
                <w:sz w:val="21"/>
              </w:rPr>
            </w:pPr>
          </w:p>
        </w:tc>
        <w:tc>
          <w:tcPr>
            <w:tcW w:w="222" w:type="dxa"/>
            <w:vMerge w:val="continue"/>
            <w:tcBorders>
              <w:top w:val="nil"/>
              <w:bottom w:val="nil"/>
            </w:tcBorders>
            <w:vAlign w:val="top"/>
          </w:tcPr>
          <w:p w14:paraId="73C37B07">
            <w:pPr>
              <w:rPr>
                <w:rFonts w:ascii="Arial"/>
                <w:sz w:val="21"/>
              </w:rPr>
            </w:pPr>
          </w:p>
        </w:tc>
        <w:tc>
          <w:tcPr>
            <w:tcW w:w="1096" w:type="dxa"/>
            <w:gridSpan w:val="2"/>
            <w:vAlign w:val="top"/>
          </w:tcPr>
          <w:p w14:paraId="69692805">
            <w:pPr>
              <w:pStyle w:val="6"/>
              <w:spacing w:before="38" w:line="231" w:lineRule="auto"/>
              <w:ind w:left="341" w:right="133" w:hanging="211"/>
              <w:rPr>
                <w:sz w:val="20"/>
                <w:szCs w:val="20"/>
              </w:rPr>
            </w:pPr>
            <w:r>
              <w:rPr>
                <w:spacing w:val="6"/>
                <w:sz w:val="20"/>
                <w:szCs w:val="20"/>
              </w:rPr>
              <w:t>火灾报警</w:t>
            </w:r>
            <w:r>
              <w:rPr>
                <w:spacing w:val="2"/>
                <w:sz w:val="20"/>
                <w:szCs w:val="20"/>
              </w:rPr>
              <w:t xml:space="preserve"> 系统</w:t>
            </w:r>
          </w:p>
        </w:tc>
        <w:tc>
          <w:tcPr>
            <w:tcW w:w="4243" w:type="dxa"/>
            <w:gridSpan w:val="5"/>
            <w:vAlign w:val="top"/>
          </w:tcPr>
          <w:p w14:paraId="7243F31F">
            <w:pPr>
              <w:spacing w:before="206" w:line="199" w:lineRule="auto"/>
              <w:ind w:left="20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49" w:type="dxa"/>
            <w:vAlign w:val="top"/>
          </w:tcPr>
          <w:p w14:paraId="6DBE8EEE">
            <w:pPr>
              <w:pStyle w:val="6"/>
              <w:spacing w:before="172" w:line="228" w:lineRule="auto"/>
              <w:ind w:left="178"/>
              <w:rPr>
                <w:sz w:val="20"/>
                <w:szCs w:val="20"/>
              </w:rPr>
            </w:pPr>
            <w:r>
              <w:rPr>
                <w:sz w:val="20"/>
                <w:szCs w:val="20"/>
              </w:rPr>
              <w:t>套</w:t>
            </w:r>
          </w:p>
        </w:tc>
        <w:tc>
          <w:tcPr>
            <w:tcW w:w="629" w:type="dxa"/>
            <w:gridSpan w:val="2"/>
            <w:vAlign w:val="top"/>
          </w:tcPr>
          <w:p w14:paraId="10227259">
            <w:pPr>
              <w:spacing w:before="21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6" w:type="dxa"/>
            <w:vAlign w:val="top"/>
          </w:tcPr>
          <w:p w14:paraId="432AC486">
            <w:pPr>
              <w:rPr>
                <w:rFonts w:ascii="Arial"/>
                <w:sz w:val="21"/>
              </w:rPr>
            </w:pPr>
          </w:p>
        </w:tc>
        <w:tc>
          <w:tcPr>
            <w:tcW w:w="235" w:type="dxa"/>
            <w:vMerge w:val="continue"/>
            <w:tcBorders>
              <w:top w:val="nil"/>
              <w:bottom w:val="nil"/>
              <w:right w:val="single" w:color="000000" w:sz="6" w:space="0"/>
            </w:tcBorders>
            <w:vAlign w:val="top"/>
          </w:tcPr>
          <w:p w14:paraId="3EC5AFAC">
            <w:pPr>
              <w:rPr>
                <w:rFonts w:ascii="Arial"/>
                <w:sz w:val="21"/>
              </w:rPr>
            </w:pPr>
          </w:p>
        </w:tc>
      </w:tr>
      <w:tr w14:paraId="27984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4" w:type="dxa"/>
            <w:vMerge w:val="continue"/>
            <w:tcBorders>
              <w:top w:val="nil"/>
              <w:left w:val="single" w:color="000000" w:sz="6" w:space="0"/>
              <w:bottom w:val="nil"/>
            </w:tcBorders>
            <w:vAlign w:val="top"/>
          </w:tcPr>
          <w:p w14:paraId="7BE19CD8">
            <w:pPr>
              <w:rPr>
                <w:rFonts w:ascii="Arial"/>
                <w:sz w:val="21"/>
              </w:rPr>
            </w:pPr>
          </w:p>
        </w:tc>
        <w:tc>
          <w:tcPr>
            <w:tcW w:w="222" w:type="dxa"/>
            <w:vMerge w:val="continue"/>
            <w:tcBorders>
              <w:top w:val="nil"/>
              <w:bottom w:val="nil"/>
            </w:tcBorders>
            <w:vAlign w:val="top"/>
          </w:tcPr>
          <w:p w14:paraId="3E844A29">
            <w:pPr>
              <w:rPr>
                <w:rFonts w:ascii="Arial"/>
                <w:sz w:val="21"/>
              </w:rPr>
            </w:pPr>
          </w:p>
        </w:tc>
        <w:tc>
          <w:tcPr>
            <w:tcW w:w="1096" w:type="dxa"/>
            <w:gridSpan w:val="2"/>
            <w:vAlign w:val="top"/>
          </w:tcPr>
          <w:p w14:paraId="24F22516">
            <w:pPr>
              <w:pStyle w:val="6"/>
              <w:spacing w:before="38" w:line="231" w:lineRule="auto"/>
              <w:ind w:left="340" w:right="133" w:hanging="212"/>
              <w:rPr>
                <w:sz w:val="20"/>
                <w:szCs w:val="20"/>
              </w:rPr>
            </w:pPr>
            <w:r>
              <w:rPr>
                <w:spacing w:val="7"/>
                <w:sz w:val="20"/>
                <w:szCs w:val="20"/>
              </w:rPr>
              <w:t>环境监测</w:t>
            </w:r>
            <w:r>
              <w:rPr>
                <w:sz w:val="20"/>
                <w:szCs w:val="20"/>
              </w:rPr>
              <w:t xml:space="preserve"> </w:t>
            </w:r>
            <w:r>
              <w:rPr>
                <w:spacing w:val="2"/>
                <w:sz w:val="20"/>
                <w:szCs w:val="20"/>
              </w:rPr>
              <w:t>系统</w:t>
            </w:r>
          </w:p>
        </w:tc>
        <w:tc>
          <w:tcPr>
            <w:tcW w:w="4243" w:type="dxa"/>
            <w:gridSpan w:val="5"/>
            <w:vAlign w:val="top"/>
          </w:tcPr>
          <w:p w14:paraId="6082C4FD">
            <w:pPr>
              <w:pStyle w:val="6"/>
              <w:spacing w:before="38" w:line="231" w:lineRule="auto"/>
              <w:ind w:left="375" w:right="33" w:hanging="268"/>
              <w:rPr>
                <w:sz w:val="20"/>
                <w:szCs w:val="20"/>
              </w:rPr>
            </w:pPr>
            <w:r>
              <w:rPr>
                <w:spacing w:val="4"/>
                <w:sz w:val="20"/>
                <w:szCs w:val="20"/>
              </w:rPr>
              <w:t>含环境监测主机、风速传感器、风向传感器、</w:t>
            </w:r>
            <w:r>
              <w:rPr>
                <w:spacing w:val="16"/>
                <w:sz w:val="20"/>
                <w:szCs w:val="20"/>
              </w:rPr>
              <w:t xml:space="preserve"> </w:t>
            </w:r>
            <w:r>
              <w:rPr>
                <w:spacing w:val="7"/>
                <w:sz w:val="20"/>
                <w:szCs w:val="20"/>
              </w:rPr>
              <w:t>日照辐射表、测温探头、控制盒及支架</w:t>
            </w:r>
          </w:p>
        </w:tc>
        <w:tc>
          <w:tcPr>
            <w:tcW w:w="549" w:type="dxa"/>
            <w:vAlign w:val="top"/>
          </w:tcPr>
          <w:p w14:paraId="6EB99CA7">
            <w:pPr>
              <w:pStyle w:val="6"/>
              <w:spacing w:before="173" w:line="228" w:lineRule="auto"/>
              <w:ind w:left="178"/>
              <w:rPr>
                <w:sz w:val="20"/>
                <w:szCs w:val="20"/>
              </w:rPr>
            </w:pPr>
            <w:r>
              <w:rPr>
                <w:sz w:val="20"/>
                <w:szCs w:val="20"/>
              </w:rPr>
              <w:t>套</w:t>
            </w:r>
          </w:p>
        </w:tc>
        <w:tc>
          <w:tcPr>
            <w:tcW w:w="629" w:type="dxa"/>
            <w:gridSpan w:val="2"/>
            <w:vAlign w:val="top"/>
          </w:tcPr>
          <w:p w14:paraId="6AC3D225">
            <w:pPr>
              <w:spacing w:before="21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6" w:type="dxa"/>
            <w:vAlign w:val="top"/>
          </w:tcPr>
          <w:p w14:paraId="2A4B8F79">
            <w:pPr>
              <w:rPr>
                <w:rFonts w:ascii="Arial"/>
                <w:sz w:val="21"/>
              </w:rPr>
            </w:pPr>
          </w:p>
        </w:tc>
        <w:tc>
          <w:tcPr>
            <w:tcW w:w="235" w:type="dxa"/>
            <w:vMerge w:val="continue"/>
            <w:tcBorders>
              <w:top w:val="nil"/>
              <w:bottom w:val="nil"/>
              <w:right w:val="single" w:color="000000" w:sz="6" w:space="0"/>
            </w:tcBorders>
            <w:vAlign w:val="top"/>
          </w:tcPr>
          <w:p w14:paraId="5B92D672">
            <w:pPr>
              <w:rPr>
                <w:rFonts w:ascii="Arial"/>
                <w:sz w:val="21"/>
              </w:rPr>
            </w:pPr>
          </w:p>
        </w:tc>
      </w:tr>
      <w:tr w14:paraId="27BBF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64" w:type="dxa"/>
            <w:vMerge w:val="continue"/>
            <w:tcBorders>
              <w:top w:val="nil"/>
              <w:left w:val="single" w:color="000000" w:sz="6" w:space="0"/>
              <w:bottom w:val="nil"/>
            </w:tcBorders>
            <w:vAlign w:val="top"/>
          </w:tcPr>
          <w:p w14:paraId="73DCEF78">
            <w:pPr>
              <w:rPr>
                <w:rFonts w:ascii="Arial"/>
                <w:sz w:val="21"/>
              </w:rPr>
            </w:pPr>
          </w:p>
        </w:tc>
        <w:tc>
          <w:tcPr>
            <w:tcW w:w="222" w:type="dxa"/>
            <w:vMerge w:val="continue"/>
            <w:tcBorders>
              <w:top w:val="nil"/>
              <w:bottom w:val="nil"/>
            </w:tcBorders>
            <w:vAlign w:val="top"/>
          </w:tcPr>
          <w:p w14:paraId="4DBA73C7">
            <w:pPr>
              <w:rPr>
                <w:rFonts w:ascii="Arial"/>
                <w:sz w:val="21"/>
              </w:rPr>
            </w:pPr>
          </w:p>
        </w:tc>
        <w:tc>
          <w:tcPr>
            <w:tcW w:w="1096" w:type="dxa"/>
            <w:gridSpan w:val="2"/>
            <w:vAlign w:val="top"/>
          </w:tcPr>
          <w:p w14:paraId="32151399">
            <w:pPr>
              <w:pStyle w:val="6"/>
              <w:spacing w:before="39" w:line="230" w:lineRule="auto"/>
              <w:ind w:left="233" w:right="133" w:hanging="102"/>
              <w:rPr>
                <w:sz w:val="20"/>
                <w:szCs w:val="20"/>
              </w:rPr>
            </w:pPr>
            <w:r>
              <w:rPr>
                <w:spacing w:val="6"/>
                <w:sz w:val="20"/>
                <w:szCs w:val="20"/>
              </w:rPr>
              <w:t>油色谱在</w:t>
            </w:r>
            <w:r>
              <w:rPr>
                <w:spacing w:val="1"/>
                <w:sz w:val="20"/>
                <w:szCs w:val="20"/>
              </w:rPr>
              <w:t xml:space="preserve"> </w:t>
            </w:r>
            <w:r>
              <w:rPr>
                <w:spacing w:val="6"/>
                <w:sz w:val="20"/>
                <w:szCs w:val="20"/>
              </w:rPr>
              <w:t>线监测</w:t>
            </w:r>
          </w:p>
        </w:tc>
        <w:tc>
          <w:tcPr>
            <w:tcW w:w="4243" w:type="dxa"/>
            <w:gridSpan w:val="5"/>
            <w:vAlign w:val="top"/>
          </w:tcPr>
          <w:p w14:paraId="14AB2593">
            <w:pPr>
              <w:spacing w:before="207" w:line="199" w:lineRule="auto"/>
              <w:ind w:left="20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49" w:type="dxa"/>
            <w:vAlign w:val="top"/>
          </w:tcPr>
          <w:p w14:paraId="4D64DB7C">
            <w:pPr>
              <w:pStyle w:val="6"/>
              <w:spacing w:before="173" w:line="228" w:lineRule="auto"/>
              <w:ind w:left="178"/>
              <w:rPr>
                <w:sz w:val="20"/>
                <w:szCs w:val="20"/>
              </w:rPr>
            </w:pPr>
            <w:r>
              <w:rPr>
                <w:sz w:val="20"/>
                <w:szCs w:val="20"/>
              </w:rPr>
              <w:t>套</w:t>
            </w:r>
          </w:p>
        </w:tc>
        <w:tc>
          <w:tcPr>
            <w:tcW w:w="629" w:type="dxa"/>
            <w:gridSpan w:val="2"/>
            <w:vAlign w:val="top"/>
          </w:tcPr>
          <w:p w14:paraId="5FB30CBA">
            <w:pPr>
              <w:spacing w:before="21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6" w:type="dxa"/>
            <w:vAlign w:val="top"/>
          </w:tcPr>
          <w:p w14:paraId="2AF42D50">
            <w:pPr>
              <w:rPr>
                <w:rFonts w:ascii="Arial"/>
                <w:sz w:val="21"/>
              </w:rPr>
            </w:pPr>
          </w:p>
        </w:tc>
        <w:tc>
          <w:tcPr>
            <w:tcW w:w="235" w:type="dxa"/>
            <w:vMerge w:val="continue"/>
            <w:tcBorders>
              <w:top w:val="nil"/>
              <w:bottom w:val="nil"/>
              <w:right w:val="single" w:color="000000" w:sz="6" w:space="0"/>
            </w:tcBorders>
            <w:vAlign w:val="top"/>
          </w:tcPr>
          <w:p w14:paraId="1DE7F83F">
            <w:pPr>
              <w:rPr>
                <w:rFonts w:ascii="Arial"/>
                <w:sz w:val="21"/>
              </w:rPr>
            </w:pPr>
          </w:p>
        </w:tc>
      </w:tr>
      <w:tr w14:paraId="7F78E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464" w:type="dxa"/>
            <w:vMerge w:val="continue"/>
            <w:tcBorders>
              <w:top w:val="nil"/>
              <w:left w:val="single" w:color="000000" w:sz="6" w:space="0"/>
              <w:bottom w:val="nil"/>
            </w:tcBorders>
            <w:vAlign w:val="top"/>
          </w:tcPr>
          <w:p w14:paraId="08C000EF">
            <w:pPr>
              <w:rPr>
                <w:rFonts w:ascii="Arial"/>
                <w:sz w:val="21"/>
              </w:rPr>
            </w:pPr>
          </w:p>
        </w:tc>
        <w:tc>
          <w:tcPr>
            <w:tcW w:w="222" w:type="dxa"/>
            <w:vMerge w:val="continue"/>
            <w:tcBorders>
              <w:top w:val="nil"/>
              <w:bottom w:val="nil"/>
            </w:tcBorders>
            <w:vAlign w:val="top"/>
          </w:tcPr>
          <w:p w14:paraId="469E766C">
            <w:pPr>
              <w:rPr>
                <w:rFonts w:ascii="Arial"/>
                <w:sz w:val="21"/>
              </w:rPr>
            </w:pPr>
          </w:p>
        </w:tc>
        <w:tc>
          <w:tcPr>
            <w:tcW w:w="1096" w:type="dxa"/>
            <w:gridSpan w:val="2"/>
            <w:vAlign w:val="top"/>
          </w:tcPr>
          <w:p w14:paraId="2663D151">
            <w:pPr>
              <w:pStyle w:val="6"/>
              <w:spacing w:before="41" w:line="229" w:lineRule="auto"/>
              <w:ind w:left="107" w:right="171" w:firstLine="3"/>
              <w:rPr>
                <w:sz w:val="19"/>
                <w:szCs w:val="19"/>
              </w:rPr>
            </w:pPr>
            <w:r>
              <w:rPr>
                <w:rFonts w:ascii="Times New Roman" w:hAnsi="Times New Roman" w:eastAsia="Times New Roman" w:cs="Times New Roman"/>
                <w:sz w:val="19"/>
                <w:szCs w:val="19"/>
              </w:rPr>
              <w:t>SF</w:t>
            </w:r>
            <w:r>
              <w:rPr>
                <w:rFonts w:ascii="Times New Roman" w:hAnsi="Times New Roman" w:eastAsia="Times New Roman" w:cs="Times New Roman"/>
                <w:spacing w:val="4"/>
                <w:sz w:val="19"/>
                <w:szCs w:val="19"/>
              </w:rPr>
              <w:t>6</w:t>
            </w:r>
            <w:r>
              <w:rPr>
                <w:rFonts w:ascii="Times New Roman" w:hAnsi="Times New Roman" w:eastAsia="Times New Roman" w:cs="Times New Roman"/>
                <w:spacing w:val="7"/>
                <w:sz w:val="19"/>
                <w:szCs w:val="19"/>
              </w:rPr>
              <w:t xml:space="preserve">  </w:t>
            </w:r>
            <w:r>
              <w:rPr>
                <w:spacing w:val="4"/>
                <w:sz w:val="19"/>
                <w:szCs w:val="19"/>
              </w:rPr>
              <w:t>在线</w:t>
            </w:r>
            <w:r>
              <w:rPr>
                <w:sz w:val="19"/>
                <w:szCs w:val="19"/>
              </w:rPr>
              <w:t xml:space="preserve"> </w:t>
            </w:r>
            <w:r>
              <w:rPr>
                <w:spacing w:val="7"/>
                <w:sz w:val="19"/>
                <w:szCs w:val="19"/>
              </w:rPr>
              <w:t>监测系统</w:t>
            </w:r>
          </w:p>
        </w:tc>
        <w:tc>
          <w:tcPr>
            <w:tcW w:w="4243" w:type="dxa"/>
            <w:gridSpan w:val="5"/>
            <w:vAlign w:val="top"/>
          </w:tcPr>
          <w:p w14:paraId="687670B1">
            <w:pPr>
              <w:spacing w:before="197" w:line="199" w:lineRule="auto"/>
              <w:ind w:left="20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49" w:type="dxa"/>
            <w:vAlign w:val="top"/>
          </w:tcPr>
          <w:p w14:paraId="56C18B10">
            <w:pPr>
              <w:pStyle w:val="6"/>
              <w:spacing w:before="163" w:line="228" w:lineRule="auto"/>
              <w:ind w:left="178"/>
              <w:rPr>
                <w:sz w:val="20"/>
                <w:szCs w:val="20"/>
              </w:rPr>
            </w:pPr>
            <w:r>
              <w:rPr>
                <w:sz w:val="20"/>
                <w:szCs w:val="20"/>
              </w:rPr>
              <w:t>套</w:t>
            </w:r>
          </w:p>
        </w:tc>
        <w:tc>
          <w:tcPr>
            <w:tcW w:w="629" w:type="dxa"/>
            <w:gridSpan w:val="2"/>
            <w:vAlign w:val="top"/>
          </w:tcPr>
          <w:p w14:paraId="3BD505AB">
            <w:pPr>
              <w:spacing w:before="20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6" w:type="dxa"/>
            <w:vAlign w:val="top"/>
          </w:tcPr>
          <w:p w14:paraId="3C01D04E">
            <w:pPr>
              <w:rPr>
                <w:rFonts w:ascii="Arial"/>
                <w:sz w:val="21"/>
              </w:rPr>
            </w:pPr>
          </w:p>
        </w:tc>
        <w:tc>
          <w:tcPr>
            <w:tcW w:w="235" w:type="dxa"/>
            <w:vMerge w:val="continue"/>
            <w:tcBorders>
              <w:top w:val="nil"/>
              <w:bottom w:val="nil"/>
              <w:right w:val="single" w:color="000000" w:sz="6" w:space="0"/>
            </w:tcBorders>
            <w:vAlign w:val="top"/>
          </w:tcPr>
          <w:p w14:paraId="57C44143">
            <w:pPr>
              <w:rPr>
                <w:rFonts w:ascii="Arial"/>
                <w:sz w:val="21"/>
              </w:rPr>
            </w:pPr>
          </w:p>
        </w:tc>
      </w:tr>
      <w:tr w14:paraId="7DC8A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7" w:hRule="atLeast"/>
        </w:trPr>
        <w:tc>
          <w:tcPr>
            <w:tcW w:w="464" w:type="dxa"/>
            <w:vMerge w:val="continue"/>
            <w:tcBorders>
              <w:top w:val="nil"/>
              <w:left w:val="single" w:color="000000" w:sz="6" w:space="0"/>
              <w:bottom w:val="nil"/>
            </w:tcBorders>
            <w:vAlign w:val="top"/>
          </w:tcPr>
          <w:p w14:paraId="1AB48B87">
            <w:pPr>
              <w:rPr>
                <w:rFonts w:ascii="Arial"/>
                <w:sz w:val="21"/>
              </w:rPr>
            </w:pPr>
          </w:p>
        </w:tc>
        <w:tc>
          <w:tcPr>
            <w:tcW w:w="8600" w:type="dxa"/>
            <w:gridSpan w:val="13"/>
            <w:tcBorders>
              <w:bottom w:val="single" w:color="000000" w:sz="6" w:space="0"/>
              <w:right w:val="single" w:color="000000" w:sz="6" w:space="0"/>
            </w:tcBorders>
            <w:vAlign w:val="top"/>
          </w:tcPr>
          <w:p w14:paraId="1DDF2C67">
            <w:pPr>
              <w:spacing w:line="379" w:lineRule="auto"/>
              <w:rPr>
                <w:rFonts w:ascii="Arial"/>
                <w:sz w:val="21"/>
              </w:rPr>
            </w:pPr>
          </w:p>
          <w:p w14:paraId="7BF08F22">
            <w:pPr>
              <w:pStyle w:val="6"/>
              <w:spacing w:before="78" w:line="220" w:lineRule="auto"/>
              <w:ind w:left="609"/>
            </w:pPr>
            <w:r>
              <w:rPr>
                <w:b/>
                <w:bCs/>
                <w:spacing w:val="-5"/>
              </w:rPr>
              <w:t>四、项目占地及移民安置</w:t>
            </w:r>
          </w:p>
          <w:p w14:paraId="6CE1F4C9">
            <w:pPr>
              <w:pStyle w:val="6"/>
              <w:spacing w:before="179" w:line="220" w:lineRule="auto"/>
              <w:ind w:left="598"/>
            </w:pPr>
            <w:r>
              <w:rPr>
                <w:spacing w:val="-3"/>
              </w:rPr>
              <w:t>（</w:t>
            </w:r>
            <w:r>
              <w:rPr>
                <w:rFonts w:ascii="Times New Roman" w:hAnsi="Times New Roman" w:eastAsia="Times New Roman" w:cs="Times New Roman"/>
                <w:spacing w:val="-3"/>
              </w:rPr>
              <w:t>1</w:t>
            </w:r>
            <w:r>
              <w:rPr>
                <w:spacing w:val="-3"/>
              </w:rPr>
              <w:t>）项目占地</w:t>
            </w:r>
          </w:p>
          <w:p w14:paraId="686AC64C">
            <w:pPr>
              <w:pStyle w:val="6"/>
              <w:spacing w:before="182" w:line="350" w:lineRule="auto"/>
              <w:ind w:left="125" w:right="102" w:firstLine="465"/>
              <w:jc w:val="both"/>
            </w:pPr>
            <w:r>
              <w:rPr>
                <w:spacing w:val="-12"/>
              </w:rPr>
              <w:t>项 目</w:t>
            </w:r>
            <w:r>
              <w:rPr>
                <w:spacing w:val="-54"/>
              </w:rPr>
              <w:t xml:space="preserve"> </w:t>
            </w:r>
            <w:r>
              <w:rPr>
                <w:spacing w:val="-12"/>
              </w:rPr>
              <w:t>总</w:t>
            </w:r>
            <w:r>
              <w:rPr>
                <w:spacing w:val="-28"/>
              </w:rPr>
              <w:t xml:space="preserve"> </w:t>
            </w:r>
            <w:r>
              <w:rPr>
                <w:spacing w:val="-12"/>
              </w:rPr>
              <w:t>占</w:t>
            </w:r>
            <w:r>
              <w:rPr>
                <w:spacing w:val="-66"/>
              </w:rPr>
              <w:t xml:space="preserve"> </w:t>
            </w:r>
            <w:r>
              <w:rPr>
                <w:spacing w:val="-12"/>
              </w:rPr>
              <w:t>地</w:t>
            </w:r>
            <w:r>
              <w:rPr>
                <w:spacing w:val="-64"/>
              </w:rPr>
              <w:t xml:space="preserve"> </w:t>
            </w:r>
            <w:r>
              <w:rPr>
                <w:spacing w:val="-12"/>
              </w:rPr>
              <w:t>面</w:t>
            </w:r>
            <w:r>
              <w:rPr>
                <w:spacing w:val="-65"/>
              </w:rPr>
              <w:t xml:space="preserve"> </w:t>
            </w:r>
            <w:r>
              <w:rPr>
                <w:spacing w:val="-12"/>
              </w:rPr>
              <w:t xml:space="preserve">积 </w:t>
            </w:r>
            <w:r>
              <w:rPr>
                <w:rFonts w:ascii="Times New Roman" w:hAnsi="Times New Roman" w:eastAsia="Times New Roman" w:cs="Times New Roman"/>
                <w:spacing w:val="-12"/>
              </w:rPr>
              <w:t>140.</w:t>
            </w:r>
            <w:r>
              <w:rPr>
                <w:rFonts w:ascii="Times New Roman" w:hAnsi="Times New Roman" w:eastAsia="Times New Roman" w:cs="Times New Roman"/>
                <w:spacing w:val="-32"/>
              </w:rPr>
              <w:t xml:space="preserve"> </w:t>
            </w:r>
            <w:r>
              <w:rPr>
                <w:rFonts w:ascii="Times New Roman" w:hAnsi="Times New Roman" w:eastAsia="Times New Roman" w:cs="Times New Roman"/>
                <w:spacing w:val="-12"/>
              </w:rPr>
              <w:t>1304hm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34"/>
                <w:w w:val="101"/>
                <w:position w:val="8"/>
                <w:sz w:val="15"/>
                <w:szCs w:val="15"/>
              </w:rPr>
              <w:t xml:space="preserve"> </w:t>
            </w:r>
            <w:r>
              <w:rPr>
                <w:spacing w:val="-11"/>
              </w:rPr>
              <w:t>，</w:t>
            </w:r>
            <w:r>
              <w:rPr>
                <w:spacing w:val="-64"/>
              </w:rPr>
              <w:t xml:space="preserve"> </w:t>
            </w:r>
            <w:r>
              <w:rPr>
                <w:spacing w:val="-11"/>
              </w:rPr>
              <w:t>其</w:t>
            </w:r>
            <w:r>
              <w:rPr>
                <w:spacing w:val="-43"/>
              </w:rPr>
              <w:t xml:space="preserve"> </w:t>
            </w:r>
            <w:r>
              <w:rPr>
                <w:spacing w:val="-11"/>
              </w:rPr>
              <w:t>中</w:t>
            </w:r>
            <w:r>
              <w:rPr>
                <w:spacing w:val="-65"/>
              </w:rPr>
              <w:t xml:space="preserve"> </w:t>
            </w:r>
            <w:r>
              <w:rPr>
                <w:spacing w:val="-11"/>
              </w:rPr>
              <w:t>永</w:t>
            </w:r>
            <w:r>
              <w:rPr>
                <w:spacing w:val="-63"/>
              </w:rPr>
              <w:t xml:space="preserve"> </w:t>
            </w:r>
            <w:r>
              <w:rPr>
                <w:spacing w:val="-11"/>
              </w:rPr>
              <w:t>久</w:t>
            </w:r>
            <w:r>
              <w:rPr>
                <w:spacing w:val="-25"/>
              </w:rPr>
              <w:t xml:space="preserve"> </w:t>
            </w:r>
            <w:r>
              <w:rPr>
                <w:spacing w:val="-11"/>
              </w:rPr>
              <w:t>占</w:t>
            </w:r>
            <w:r>
              <w:rPr>
                <w:spacing w:val="-65"/>
              </w:rPr>
              <w:t xml:space="preserve"> </w:t>
            </w:r>
            <w:r>
              <w:rPr>
                <w:spacing w:val="-11"/>
              </w:rPr>
              <w:t xml:space="preserve">地 </w:t>
            </w:r>
            <w:r>
              <w:rPr>
                <w:rFonts w:ascii="Times New Roman" w:hAnsi="Times New Roman" w:eastAsia="Times New Roman" w:cs="Times New Roman"/>
                <w:spacing w:val="-11"/>
              </w:rPr>
              <w:t>3.4547hm</w:t>
            </w:r>
            <w:r>
              <w:rPr>
                <w:rFonts w:ascii="Times New Roman" w:hAnsi="Times New Roman" w:eastAsia="Times New Roman" w:cs="Times New Roman"/>
                <w:spacing w:val="13"/>
                <w:position w:val="8"/>
                <w:sz w:val="15"/>
                <w:szCs w:val="15"/>
              </w:rPr>
              <w:t>2</w:t>
            </w:r>
            <w:r>
              <w:rPr>
                <w:rFonts w:ascii="Times New Roman" w:hAnsi="Times New Roman" w:eastAsia="Times New Roman" w:cs="Times New Roman"/>
                <w:spacing w:val="36"/>
                <w:position w:val="8"/>
                <w:sz w:val="15"/>
                <w:szCs w:val="15"/>
              </w:rPr>
              <w:t xml:space="preserve"> </w:t>
            </w:r>
            <w:r>
              <w:rPr>
                <w:spacing w:val="-27"/>
              </w:rPr>
              <w:t>，</w:t>
            </w:r>
            <w:r>
              <w:rPr>
                <w:spacing w:val="-52"/>
              </w:rPr>
              <w:t xml:space="preserve"> </w:t>
            </w:r>
            <w:r>
              <w:rPr>
                <w:spacing w:val="-27"/>
              </w:rPr>
              <w:t>临</w:t>
            </w:r>
            <w:r>
              <w:rPr>
                <w:spacing w:val="-54"/>
              </w:rPr>
              <w:t xml:space="preserve"> </w:t>
            </w:r>
            <w:r>
              <w:rPr>
                <w:spacing w:val="-27"/>
              </w:rPr>
              <w:t>时</w:t>
            </w:r>
            <w:r>
              <w:rPr>
                <w:spacing w:val="-28"/>
              </w:rPr>
              <w:t xml:space="preserve"> </w:t>
            </w:r>
            <w:r>
              <w:rPr>
                <w:spacing w:val="-27"/>
              </w:rPr>
              <w:t>占</w:t>
            </w:r>
            <w:r>
              <w:rPr>
                <w:spacing w:val="-65"/>
              </w:rPr>
              <w:t xml:space="preserve"> </w:t>
            </w:r>
            <w:r>
              <w:rPr>
                <w:spacing w:val="-27"/>
              </w:rPr>
              <w:t>地</w:t>
            </w:r>
            <w:r>
              <w:t xml:space="preserve"> </w:t>
            </w:r>
            <w:r>
              <w:rPr>
                <w:rFonts w:ascii="Times New Roman" w:hAnsi="Times New Roman" w:eastAsia="Times New Roman" w:cs="Times New Roman"/>
                <w:spacing w:val="-3"/>
              </w:rPr>
              <w:t>136.6757hm</w:t>
            </w:r>
            <w:r>
              <w:rPr>
                <w:rFonts w:ascii="Times New Roman" w:hAnsi="Times New Roman" w:eastAsia="Times New Roman" w:cs="Times New Roman"/>
                <w:spacing w:val="-3"/>
                <w:position w:val="8"/>
                <w:sz w:val="15"/>
                <w:szCs w:val="15"/>
              </w:rPr>
              <w:t>2</w:t>
            </w:r>
            <w:r>
              <w:rPr>
                <w:spacing w:val="-3"/>
              </w:rPr>
              <w:t>。项目原始占地类型为林地、草地、设施农用地、裸岩石砾地。各项</w:t>
            </w:r>
            <w:r>
              <w:t xml:space="preserve"> </w:t>
            </w:r>
            <w:r>
              <w:rPr>
                <w:spacing w:val="-4"/>
              </w:rPr>
              <w:t>占地指标见下表：</w:t>
            </w:r>
          </w:p>
          <w:p w14:paraId="2CD715C9">
            <w:pPr>
              <w:pStyle w:val="6"/>
              <w:spacing w:before="31" w:line="209" w:lineRule="auto"/>
              <w:ind w:left="2583"/>
              <w:rPr>
                <w:rFonts w:ascii="Times New Roman" w:hAnsi="Times New Roman" w:eastAsia="Times New Roman" w:cs="Times New Roman"/>
                <w:sz w:val="13"/>
                <w:szCs w:val="13"/>
              </w:rPr>
            </w:pPr>
            <w:r>
              <w:rPr>
                <w:b/>
                <w:bCs/>
                <w:spacing w:val="6"/>
                <w:sz w:val="20"/>
                <w:szCs w:val="20"/>
              </w:rPr>
              <w:t>表</w:t>
            </w:r>
            <w:r>
              <w:rPr>
                <w:spacing w:val="-24"/>
                <w:sz w:val="20"/>
                <w:szCs w:val="20"/>
              </w:rPr>
              <w:t xml:space="preserve"> </w:t>
            </w:r>
            <w:r>
              <w:rPr>
                <w:rFonts w:ascii="Times New Roman" w:hAnsi="Times New Roman" w:eastAsia="Times New Roman" w:cs="Times New Roman"/>
                <w:b/>
                <w:bCs/>
                <w:spacing w:val="6"/>
                <w:sz w:val="20"/>
                <w:szCs w:val="20"/>
              </w:rPr>
              <w:t xml:space="preserve">2-10  </w:t>
            </w:r>
            <w:r>
              <w:rPr>
                <w:b/>
                <w:bCs/>
                <w:spacing w:val="6"/>
                <w:sz w:val="20"/>
                <w:szCs w:val="20"/>
              </w:rPr>
              <w:t>项目主要占地指标表</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hm</w:t>
            </w:r>
            <w:r>
              <w:rPr>
                <w:rFonts w:ascii="Times New Roman" w:hAnsi="Times New Roman" w:eastAsia="Times New Roman" w:cs="Times New Roman"/>
                <w:b/>
                <w:bCs/>
                <w:spacing w:val="6"/>
                <w:position w:val="6"/>
                <w:sz w:val="13"/>
                <w:szCs w:val="13"/>
              </w:rPr>
              <w:t>2</w:t>
            </w:r>
          </w:p>
        </w:tc>
      </w:tr>
      <w:tr w14:paraId="66085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464" w:type="dxa"/>
            <w:vMerge w:val="continue"/>
            <w:tcBorders>
              <w:top w:val="nil"/>
              <w:left w:val="single" w:color="000000" w:sz="6" w:space="0"/>
              <w:bottom w:val="nil"/>
            </w:tcBorders>
            <w:vAlign w:val="top"/>
          </w:tcPr>
          <w:p w14:paraId="1C50DA13">
            <w:pPr>
              <w:rPr>
                <w:rFonts w:ascii="Arial"/>
                <w:sz w:val="21"/>
              </w:rPr>
            </w:pPr>
          </w:p>
        </w:tc>
        <w:tc>
          <w:tcPr>
            <w:tcW w:w="737" w:type="dxa"/>
            <w:gridSpan w:val="2"/>
            <w:vMerge w:val="restart"/>
            <w:tcBorders>
              <w:top w:val="single" w:color="000000" w:sz="6" w:space="0"/>
              <w:bottom w:val="nil"/>
              <w:right w:val="single" w:color="000000" w:sz="4" w:space="0"/>
            </w:tcBorders>
            <w:textDirection w:val="tbRlV"/>
            <w:vAlign w:val="top"/>
          </w:tcPr>
          <w:p w14:paraId="43D26AEC">
            <w:pPr>
              <w:pStyle w:val="6"/>
              <w:spacing w:before="206" w:line="218" w:lineRule="auto"/>
              <w:ind w:left="58"/>
              <w:rPr>
                <w:sz w:val="20"/>
                <w:szCs w:val="20"/>
              </w:rPr>
            </w:pPr>
            <w:r>
              <w:rPr>
                <w:b/>
                <w:bCs/>
                <w:spacing w:val="6"/>
                <w:sz w:val="20"/>
                <w:szCs w:val="20"/>
              </w:rPr>
              <w:t>序</w:t>
            </w:r>
            <w:r>
              <w:rPr>
                <w:spacing w:val="-35"/>
                <w:sz w:val="20"/>
                <w:szCs w:val="20"/>
              </w:rPr>
              <w:t xml:space="preserve"> </w:t>
            </w:r>
            <w:r>
              <w:rPr>
                <w:b/>
                <w:bCs/>
                <w:spacing w:val="6"/>
                <w:sz w:val="20"/>
                <w:szCs w:val="20"/>
              </w:rPr>
              <w:t>号</w:t>
            </w:r>
          </w:p>
        </w:tc>
        <w:tc>
          <w:tcPr>
            <w:tcW w:w="1433" w:type="dxa"/>
            <w:gridSpan w:val="2"/>
            <w:vMerge w:val="restart"/>
            <w:tcBorders>
              <w:top w:val="single" w:color="000000" w:sz="6" w:space="0"/>
              <w:left w:val="single" w:color="000000" w:sz="4" w:space="0"/>
              <w:bottom w:val="nil"/>
              <w:right w:val="single" w:color="000000" w:sz="4" w:space="0"/>
            </w:tcBorders>
            <w:vAlign w:val="top"/>
          </w:tcPr>
          <w:p w14:paraId="3D0D37BC">
            <w:pPr>
              <w:pStyle w:val="6"/>
              <w:spacing w:before="195" w:line="228" w:lineRule="auto"/>
              <w:ind w:left="295"/>
              <w:rPr>
                <w:sz w:val="20"/>
                <w:szCs w:val="20"/>
              </w:rPr>
            </w:pPr>
            <w:r>
              <w:rPr>
                <w:b/>
                <w:bCs/>
                <w:spacing w:val="5"/>
                <w:sz w:val="20"/>
                <w:szCs w:val="20"/>
              </w:rPr>
              <w:t>项目名称</w:t>
            </w:r>
          </w:p>
        </w:tc>
        <w:tc>
          <w:tcPr>
            <w:tcW w:w="3294" w:type="dxa"/>
            <w:gridSpan w:val="3"/>
            <w:tcBorders>
              <w:top w:val="single" w:color="000000" w:sz="6" w:space="0"/>
              <w:left w:val="single" w:color="000000" w:sz="4" w:space="0"/>
              <w:bottom w:val="single" w:color="000000" w:sz="4" w:space="0"/>
              <w:right w:val="single" w:color="000000" w:sz="4" w:space="0"/>
            </w:tcBorders>
            <w:vAlign w:val="top"/>
          </w:tcPr>
          <w:p w14:paraId="5CB1BA78">
            <w:pPr>
              <w:pStyle w:val="6"/>
              <w:spacing w:before="46" w:line="212" w:lineRule="auto"/>
              <w:ind w:left="554"/>
              <w:rPr>
                <w:sz w:val="20"/>
                <w:szCs w:val="20"/>
              </w:rPr>
            </w:pPr>
            <w:r>
              <w:rPr>
                <w:b/>
                <w:bCs/>
                <w:spacing w:val="4"/>
                <w:sz w:val="20"/>
                <w:szCs w:val="20"/>
              </w:rPr>
              <w:t>占地类型及面积（</w:t>
            </w:r>
            <w:r>
              <w:rPr>
                <w:rFonts w:ascii="Times New Roman" w:hAnsi="Times New Roman" w:eastAsia="Times New Roman" w:cs="Times New Roman"/>
                <w:b/>
                <w:bCs/>
                <w:sz w:val="20"/>
                <w:szCs w:val="20"/>
              </w:rPr>
              <w:t>hm</w:t>
            </w:r>
            <w:r>
              <w:rPr>
                <w:rFonts w:ascii="Times New Roman" w:hAnsi="Times New Roman" w:eastAsia="Times New Roman" w:cs="Times New Roman"/>
                <w:b/>
                <w:bCs/>
                <w:spacing w:val="4"/>
                <w:position w:val="6"/>
                <w:sz w:val="13"/>
                <w:szCs w:val="13"/>
              </w:rPr>
              <w:t>2</w:t>
            </w:r>
            <w:r>
              <w:rPr>
                <w:b/>
                <w:bCs/>
                <w:spacing w:val="4"/>
                <w:sz w:val="20"/>
                <w:szCs w:val="20"/>
              </w:rPr>
              <w:t>）</w:t>
            </w:r>
          </w:p>
        </w:tc>
        <w:tc>
          <w:tcPr>
            <w:tcW w:w="1183" w:type="dxa"/>
            <w:gridSpan w:val="3"/>
            <w:vMerge w:val="restart"/>
            <w:tcBorders>
              <w:top w:val="single" w:color="000000" w:sz="6" w:space="0"/>
              <w:left w:val="single" w:color="000000" w:sz="4" w:space="0"/>
              <w:bottom w:val="nil"/>
              <w:right w:val="single" w:color="000000" w:sz="4" w:space="0"/>
            </w:tcBorders>
            <w:vAlign w:val="top"/>
          </w:tcPr>
          <w:p w14:paraId="6E2E0F56">
            <w:pPr>
              <w:pStyle w:val="6"/>
              <w:spacing w:before="195" w:line="229" w:lineRule="auto"/>
              <w:ind w:left="387"/>
              <w:rPr>
                <w:sz w:val="20"/>
                <w:szCs w:val="20"/>
              </w:rPr>
            </w:pPr>
            <w:r>
              <w:rPr>
                <w:b/>
                <w:bCs/>
                <w:spacing w:val="2"/>
                <w:sz w:val="20"/>
                <w:szCs w:val="20"/>
              </w:rPr>
              <w:t>合计</w:t>
            </w:r>
          </w:p>
        </w:tc>
        <w:tc>
          <w:tcPr>
            <w:tcW w:w="1718" w:type="dxa"/>
            <w:gridSpan w:val="2"/>
            <w:vMerge w:val="restart"/>
            <w:tcBorders>
              <w:top w:val="single" w:color="000000" w:sz="6" w:space="0"/>
              <w:left w:val="single" w:color="000000" w:sz="4" w:space="0"/>
              <w:bottom w:val="nil"/>
              <w:right w:val="single" w:color="000000" w:sz="6" w:space="0"/>
            </w:tcBorders>
            <w:vAlign w:val="top"/>
          </w:tcPr>
          <w:p w14:paraId="1AFB10F2">
            <w:pPr>
              <w:pStyle w:val="6"/>
              <w:spacing w:before="195" w:line="228" w:lineRule="auto"/>
              <w:ind w:left="474"/>
              <w:rPr>
                <w:sz w:val="20"/>
                <w:szCs w:val="20"/>
              </w:rPr>
            </w:pPr>
            <w:r>
              <w:rPr>
                <w:b/>
                <w:bCs/>
                <w:spacing w:val="-3"/>
                <w:sz w:val="20"/>
                <w:szCs w:val="20"/>
              </w:rPr>
              <w:t>占地性质</w:t>
            </w:r>
          </w:p>
        </w:tc>
        <w:tc>
          <w:tcPr>
            <w:tcW w:w="235" w:type="dxa"/>
            <w:vMerge w:val="restart"/>
            <w:tcBorders>
              <w:top w:val="nil"/>
              <w:left w:val="single" w:color="000000" w:sz="6" w:space="0"/>
              <w:bottom w:val="nil"/>
              <w:right w:val="single" w:color="000000" w:sz="6" w:space="0"/>
            </w:tcBorders>
            <w:vAlign w:val="top"/>
          </w:tcPr>
          <w:p w14:paraId="6EEE6F1C">
            <w:pPr>
              <w:rPr>
                <w:rFonts w:ascii="Arial"/>
                <w:sz w:val="21"/>
              </w:rPr>
            </w:pPr>
          </w:p>
        </w:tc>
      </w:tr>
      <w:tr w14:paraId="0F9B0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64" w:type="dxa"/>
            <w:vMerge w:val="continue"/>
            <w:tcBorders>
              <w:top w:val="nil"/>
              <w:left w:val="single" w:color="000000" w:sz="6" w:space="0"/>
              <w:bottom w:val="nil"/>
            </w:tcBorders>
            <w:vAlign w:val="top"/>
          </w:tcPr>
          <w:p w14:paraId="19C1839F">
            <w:pPr>
              <w:rPr>
                <w:rFonts w:ascii="Arial"/>
                <w:sz w:val="21"/>
              </w:rPr>
            </w:pPr>
          </w:p>
        </w:tc>
        <w:tc>
          <w:tcPr>
            <w:tcW w:w="737" w:type="dxa"/>
            <w:gridSpan w:val="2"/>
            <w:vMerge w:val="continue"/>
            <w:tcBorders>
              <w:top w:val="nil"/>
              <w:bottom w:val="single" w:color="000000" w:sz="4" w:space="0"/>
              <w:right w:val="single" w:color="000000" w:sz="4" w:space="0"/>
            </w:tcBorders>
            <w:textDirection w:val="tbRlV"/>
            <w:vAlign w:val="top"/>
          </w:tcPr>
          <w:p w14:paraId="6DA9280E">
            <w:pPr>
              <w:rPr>
                <w:rFonts w:ascii="Arial"/>
                <w:sz w:val="21"/>
              </w:rPr>
            </w:pPr>
          </w:p>
        </w:tc>
        <w:tc>
          <w:tcPr>
            <w:tcW w:w="1433" w:type="dxa"/>
            <w:gridSpan w:val="2"/>
            <w:vMerge w:val="continue"/>
            <w:tcBorders>
              <w:top w:val="nil"/>
              <w:left w:val="single" w:color="000000" w:sz="4" w:space="0"/>
              <w:bottom w:val="single" w:color="000000" w:sz="4" w:space="0"/>
              <w:right w:val="single" w:color="000000" w:sz="4" w:space="0"/>
            </w:tcBorders>
            <w:vAlign w:val="top"/>
          </w:tcPr>
          <w:p w14:paraId="77BB2BDF">
            <w:pPr>
              <w:rPr>
                <w:rFonts w:ascii="Arial"/>
                <w:sz w:val="21"/>
              </w:rPr>
            </w:pPr>
          </w:p>
        </w:tc>
        <w:tc>
          <w:tcPr>
            <w:tcW w:w="863" w:type="dxa"/>
            <w:tcBorders>
              <w:top w:val="single" w:color="000000" w:sz="4" w:space="0"/>
              <w:left w:val="single" w:color="000000" w:sz="4" w:space="0"/>
              <w:bottom w:val="single" w:color="000000" w:sz="4" w:space="0"/>
              <w:right w:val="single" w:color="000000" w:sz="4" w:space="0"/>
            </w:tcBorders>
            <w:vAlign w:val="top"/>
          </w:tcPr>
          <w:p w14:paraId="3FCDB37D">
            <w:pPr>
              <w:pStyle w:val="6"/>
              <w:spacing w:before="48" w:line="213" w:lineRule="auto"/>
              <w:ind w:left="221"/>
              <w:rPr>
                <w:sz w:val="20"/>
                <w:szCs w:val="20"/>
              </w:rPr>
            </w:pPr>
            <w:r>
              <w:rPr>
                <w:b/>
                <w:bCs/>
                <w:spacing w:val="3"/>
                <w:sz w:val="20"/>
                <w:szCs w:val="20"/>
              </w:rPr>
              <w:t>林地</w:t>
            </w:r>
          </w:p>
        </w:tc>
        <w:tc>
          <w:tcPr>
            <w:tcW w:w="1162" w:type="dxa"/>
            <w:tcBorders>
              <w:top w:val="single" w:color="000000" w:sz="4" w:space="0"/>
              <w:left w:val="single" w:color="000000" w:sz="4" w:space="0"/>
              <w:bottom w:val="single" w:color="000000" w:sz="4" w:space="0"/>
              <w:right w:val="single" w:color="000000" w:sz="4" w:space="0"/>
            </w:tcBorders>
            <w:vAlign w:val="top"/>
          </w:tcPr>
          <w:p w14:paraId="4FBE80F0">
            <w:pPr>
              <w:pStyle w:val="6"/>
              <w:spacing w:before="48" w:line="213" w:lineRule="auto"/>
              <w:ind w:left="374"/>
              <w:rPr>
                <w:sz w:val="20"/>
                <w:szCs w:val="20"/>
              </w:rPr>
            </w:pPr>
            <w:r>
              <w:rPr>
                <w:b/>
                <w:bCs/>
                <w:spacing w:val="3"/>
                <w:sz w:val="20"/>
                <w:szCs w:val="20"/>
              </w:rPr>
              <w:t>草地</w:t>
            </w:r>
          </w:p>
        </w:tc>
        <w:tc>
          <w:tcPr>
            <w:tcW w:w="1269" w:type="dxa"/>
            <w:tcBorders>
              <w:top w:val="single" w:color="000000" w:sz="4" w:space="0"/>
              <w:left w:val="single" w:color="000000" w:sz="4" w:space="0"/>
              <w:bottom w:val="single" w:color="000000" w:sz="4" w:space="0"/>
              <w:right w:val="single" w:color="000000" w:sz="4" w:space="0"/>
            </w:tcBorders>
            <w:vAlign w:val="top"/>
          </w:tcPr>
          <w:p w14:paraId="552D3B49">
            <w:pPr>
              <w:pStyle w:val="6"/>
              <w:spacing w:before="48" w:line="213" w:lineRule="auto"/>
              <w:ind w:left="219"/>
              <w:rPr>
                <w:sz w:val="20"/>
                <w:szCs w:val="20"/>
              </w:rPr>
            </w:pPr>
            <w:r>
              <w:rPr>
                <w:b/>
                <w:bCs/>
                <w:spacing w:val="5"/>
                <w:sz w:val="20"/>
                <w:szCs w:val="20"/>
              </w:rPr>
              <w:t>非林草地</w:t>
            </w:r>
          </w:p>
        </w:tc>
        <w:tc>
          <w:tcPr>
            <w:tcW w:w="1183" w:type="dxa"/>
            <w:gridSpan w:val="3"/>
            <w:vMerge w:val="continue"/>
            <w:tcBorders>
              <w:top w:val="nil"/>
              <w:left w:val="single" w:color="000000" w:sz="4" w:space="0"/>
              <w:bottom w:val="single" w:color="000000" w:sz="4" w:space="0"/>
              <w:right w:val="single" w:color="000000" w:sz="4" w:space="0"/>
            </w:tcBorders>
            <w:vAlign w:val="top"/>
          </w:tcPr>
          <w:p w14:paraId="73DCBD00">
            <w:pPr>
              <w:rPr>
                <w:rFonts w:ascii="Arial"/>
                <w:sz w:val="21"/>
              </w:rPr>
            </w:pPr>
          </w:p>
        </w:tc>
        <w:tc>
          <w:tcPr>
            <w:tcW w:w="1718" w:type="dxa"/>
            <w:gridSpan w:val="2"/>
            <w:vMerge w:val="continue"/>
            <w:tcBorders>
              <w:top w:val="nil"/>
              <w:left w:val="single" w:color="000000" w:sz="4" w:space="0"/>
              <w:bottom w:val="single" w:color="000000" w:sz="4" w:space="0"/>
              <w:right w:val="single" w:color="000000" w:sz="6" w:space="0"/>
            </w:tcBorders>
            <w:vAlign w:val="top"/>
          </w:tcPr>
          <w:p w14:paraId="280E804E">
            <w:pPr>
              <w:rPr>
                <w:rFonts w:ascii="Arial"/>
                <w:sz w:val="21"/>
              </w:rPr>
            </w:pPr>
          </w:p>
        </w:tc>
        <w:tc>
          <w:tcPr>
            <w:tcW w:w="235" w:type="dxa"/>
            <w:vMerge w:val="continue"/>
            <w:tcBorders>
              <w:top w:val="nil"/>
              <w:left w:val="single" w:color="000000" w:sz="6" w:space="0"/>
              <w:bottom w:val="nil"/>
              <w:right w:val="single" w:color="000000" w:sz="6" w:space="0"/>
            </w:tcBorders>
            <w:vAlign w:val="top"/>
          </w:tcPr>
          <w:p w14:paraId="687E4093">
            <w:pPr>
              <w:rPr>
                <w:rFonts w:ascii="Arial"/>
                <w:sz w:val="21"/>
              </w:rPr>
            </w:pPr>
          </w:p>
        </w:tc>
      </w:tr>
      <w:tr w14:paraId="0BFC7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64" w:type="dxa"/>
            <w:vMerge w:val="continue"/>
            <w:tcBorders>
              <w:top w:val="nil"/>
              <w:left w:val="single" w:color="000000" w:sz="6" w:space="0"/>
              <w:bottom w:val="nil"/>
            </w:tcBorders>
            <w:vAlign w:val="top"/>
          </w:tcPr>
          <w:p w14:paraId="5497A4A7">
            <w:pPr>
              <w:rPr>
                <w:rFonts w:ascii="Arial"/>
                <w:sz w:val="21"/>
              </w:rPr>
            </w:pPr>
          </w:p>
        </w:tc>
        <w:tc>
          <w:tcPr>
            <w:tcW w:w="737" w:type="dxa"/>
            <w:gridSpan w:val="2"/>
            <w:tcBorders>
              <w:top w:val="single" w:color="000000" w:sz="4" w:space="0"/>
              <w:bottom w:val="single" w:color="000000" w:sz="4" w:space="0"/>
              <w:right w:val="single" w:color="000000" w:sz="4" w:space="0"/>
            </w:tcBorders>
            <w:vAlign w:val="top"/>
          </w:tcPr>
          <w:p w14:paraId="71C45D20">
            <w:pPr>
              <w:spacing w:before="84"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33" w:type="dxa"/>
            <w:gridSpan w:val="2"/>
            <w:tcBorders>
              <w:top w:val="single" w:color="000000" w:sz="4" w:space="0"/>
              <w:left w:val="single" w:color="000000" w:sz="4" w:space="0"/>
              <w:bottom w:val="single" w:color="000000" w:sz="4" w:space="0"/>
              <w:right w:val="single" w:color="000000" w:sz="4" w:space="0"/>
            </w:tcBorders>
            <w:vAlign w:val="top"/>
          </w:tcPr>
          <w:p w14:paraId="355E92D9">
            <w:pPr>
              <w:pStyle w:val="6"/>
              <w:spacing w:before="49" w:line="212" w:lineRule="auto"/>
              <w:ind w:left="190"/>
              <w:rPr>
                <w:sz w:val="20"/>
                <w:szCs w:val="20"/>
              </w:rPr>
            </w:pPr>
            <w:r>
              <w:rPr>
                <w:spacing w:val="7"/>
                <w:sz w:val="20"/>
                <w:szCs w:val="20"/>
              </w:rPr>
              <w:t>光伏阵列区</w:t>
            </w:r>
          </w:p>
        </w:tc>
        <w:tc>
          <w:tcPr>
            <w:tcW w:w="863" w:type="dxa"/>
            <w:tcBorders>
              <w:top w:val="single" w:color="000000" w:sz="4" w:space="0"/>
              <w:left w:val="single" w:color="000000" w:sz="4" w:space="0"/>
              <w:bottom w:val="single" w:color="000000" w:sz="4" w:space="0"/>
              <w:right w:val="single" w:color="000000" w:sz="4" w:space="0"/>
            </w:tcBorders>
            <w:vAlign w:val="top"/>
          </w:tcPr>
          <w:p w14:paraId="487405D0">
            <w:pPr>
              <w:spacing w:before="84"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62" w:type="dxa"/>
            <w:tcBorders>
              <w:top w:val="single" w:color="000000" w:sz="4" w:space="0"/>
              <w:left w:val="single" w:color="000000" w:sz="4" w:space="0"/>
              <w:bottom w:val="single" w:color="000000" w:sz="4" w:space="0"/>
              <w:right w:val="single" w:color="000000" w:sz="4" w:space="0"/>
            </w:tcBorders>
            <w:vAlign w:val="top"/>
          </w:tcPr>
          <w:p w14:paraId="5F04618F">
            <w:pPr>
              <w:spacing w:before="84"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130.6703</w:t>
            </w:r>
          </w:p>
        </w:tc>
        <w:tc>
          <w:tcPr>
            <w:tcW w:w="1269" w:type="dxa"/>
            <w:tcBorders>
              <w:top w:val="single" w:color="000000" w:sz="4" w:space="0"/>
              <w:left w:val="single" w:color="000000" w:sz="4" w:space="0"/>
              <w:bottom w:val="single" w:color="000000" w:sz="4" w:space="0"/>
              <w:right w:val="single" w:color="000000" w:sz="4" w:space="0"/>
            </w:tcBorders>
            <w:vAlign w:val="top"/>
          </w:tcPr>
          <w:p w14:paraId="51694C10">
            <w:pPr>
              <w:spacing w:before="84"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6.0054</w:t>
            </w:r>
          </w:p>
        </w:tc>
        <w:tc>
          <w:tcPr>
            <w:tcW w:w="1183" w:type="dxa"/>
            <w:gridSpan w:val="3"/>
            <w:tcBorders>
              <w:top w:val="single" w:color="000000" w:sz="4" w:space="0"/>
              <w:left w:val="single" w:color="000000" w:sz="4" w:space="0"/>
              <w:bottom w:val="single" w:color="000000" w:sz="4" w:space="0"/>
              <w:right w:val="single" w:color="000000" w:sz="4" w:space="0"/>
            </w:tcBorders>
            <w:vAlign w:val="top"/>
          </w:tcPr>
          <w:p w14:paraId="632C1787">
            <w:pPr>
              <w:spacing w:before="8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136.6757</w:t>
            </w:r>
          </w:p>
        </w:tc>
        <w:tc>
          <w:tcPr>
            <w:tcW w:w="1718" w:type="dxa"/>
            <w:gridSpan w:val="2"/>
            <w:tcBorders>
              <w:top w:val="single" w:color="000000" w:sz="4" w:space="0"/>
              <w:left w:val="single" w:color="000000" w:sz="4" w:space="0"/>
              <w:bottom w:val="single" w:color="000000" w:sz="4" w:space="0"/>
              <w:right w:val="single" w:color="000000" w:sz="6" w:space="0"/>
            </w:tcBorders>
            <w:vAlign w:val="top"/>
          </w:tcPr>
          <w:p w14:paraId="448E6B78">
            <w:pPr>
              <w:pStyle w:val="6"/>
              <w:spacing w:before="49" w:line="212" w:lineRule="auto"/>
              <w:ind w:left="453"/>
              <w:rPr>
                <w:sz w:val="20"/>
                <w:szCs w:val="20"/>
              </w:rPr>
            </w:pPr>
            <w:r>
              <w:rPr>
                <w:spacing w:val="4"/>
                <w:sz w:val="20"/>
                <w:szCs w:val="20"/>
              </w:rPr>
              <w:t>临时占地</w:t>
            </w:r>
          </w:p>
        </w:tc>
        <w:tc>
          <w:tcPr>
            <w:tcW w:w="235" w:type="dxa"/>
            <w:vMerge w:val="continue"/>
            <w:tcBorders>
              <w:top w:val="nil"/>
              <w:left w:val="single" w:color="000000" w:sz="6" w:space="0"/>
              <w:bottom w:val="nil"/>
              <w:right w:val="single" w:color="000000" w:sz="6" w:space="0"/>
            </w:tcBorders>
            <w:vAlign w:val="top"/>
          </w:tcPr>
          <w:p w14:paraId="451A2B0F">
            <w:pPr>
              <w:rPr>
                <w:rFonts w:ascii="Arial"/>
                <w:sz w:val="21"/>
              </w:rPr>
            </w:pPr>
          </w:p>
        </w:tc>
      </w:tr>
      <w:tr w14:paraId="4E54C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464" w:type="dxa"/>
            <w:vMerge w:val="continue"/>
            <w:tcBorders>
              <w:top w:val="nil"/>
              <w:left w:val="single" w:color="000000" w:sz="6" w:space="0"/>
              <w:bottom w:val="single" w:color="000000" w:sz="6" w:space="0"/>
            </w:tcBorders>
            <w:vAlign w:val="top"/>
          </w:tcPr>
          <w:p w14:paraId="7DAD757D">
            <w:pPr>
              <w:rPr>
                <w:rFonts w:ascii="Arial"/>
                <w:sz w:val="21"/>
              </w:rPr>
            </w:pPr>
          </w:p>
        </w:tc>
        <w:tc>
          <w:tcPr>
            <w:tcW w:w="737" w:type="dxa"/>
            <w:gridSpan w:val="2"/>
            <w:tcBorders>
              <w:top w:val="single" w:color="000000" w:sz="4" w:space="0"/>
              <w:bottom w:val="single" w:color="000000" w:sz="6" w:space="0"/>
              <w:right w:val="single" w:color="000000" w:sz="4" w:space="0"/>
            </w:tcBorders>
            <w:vAlign w:val="top"/>
          </w:tcPr>
          <w:p w14:paraId="4A5974C7">
            <w:pPr>
              <w:rPr>
                <w:rFonts w:ascii="Arial"/>
                <w:sz w:val="21"/>
              </w:rPr>
            </w:pPr>
          </w:p>
        </w:tc>
        <w:tc>
          <w:tcPr>
            <w:tcW w:w="1433" w:type="dxa"/>
            <w:gridSpan w:val="2"/>
            <w:tcBorders>
              <w:top w:val="single" w:color="000000" w:sz="4" w:space="0"/>
              <w:left w:val="single" w:color="000000" w:sz="4" w:space="0"/>
              <w:bottom w:val="single" w:color="000000" w:sz="6" w:space="0"/>
              <w:right w:val="single" w:color="000000" w:sz="4" w:space="0"/>
            </w:tcBorders>
            <w:vAlign w:val="top"/>
          </w:tcPr>
          <w:p w14:paraId="6ADA3C0E">
            <w:pPr>
              <w:pStyle w:val="6"/>
              <w:spacing w:before="47" w:line="223" w:lineRule="auto"/>
              <w:ind w:left="505"/>
              <w:rPr>
                <w:sz w:val="20"/>
                <w:szCs w:val="20"/>
              </w:rPr>
            </w:pPr>
            <w:r>
              <w:rPr>
                <w:spacing w:val="3"/>
                <w:sz w:val="20"/>
                <w:szCs w:val="20"/>
              </w:rPr>
              <w:t>箱变</w:t>
            </w:r>
          </w:p>
        </w:tc>
        <w:tc>
          <w:tcPr>
            <w:tcW w:w="863" w:type="dxa"/>
            <w:tcBorders>
              <w:top w:val="single" w:color="000000" w:sz="4" w:space="0"/>
              <w:left w:val="single" w:color="000000" w:sz="4" w:space="0"/>
              <w:bottom w:val="single" w:color="000000" w:sz="6" w:space="0"/>
              <w:right w:val="single" w:color="000000" w:sz="4" w:space="0"/>
            </w:tcBorders>
            <w:vAlign w:val="top"/>
          </w:tcPr>
          <w:p w14:paraId="35009319">
            <w:pPr>
              <w:spacing w:before="85"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62" w:type="dxa"/>
            <w:tcBorders>
              <w:top w:val="single" w:color="000000" w:sz="4" w:space="0"/>
              <w:left w:val="single" w:color="000000" w:sz="4" w:space="0"/>
              <w:bottom w:val="single" w:color="000000" w:sz="6" w:space="0"/>
              <w:right w:val="single" w:color="000000" w:sz="4" w:space="0"/>
            </w:tcBorders>
            <w:vAlign w:val="top"/>
          </w:tcPr>
          <w:p w14:paraId="7E5A47F3">
            <w:pPr>
              <w:spacing w:before="85"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0.2563</w:t>
            </w:r>
          </w:p>
        </w:tc>
        <w:tc>
          <w:tcPr>
            <w:tcW w:w="1269" w:type="dxa"/>
            <w:tcBorders>
              <w:top w:val="single" w:color="000000" w:sz="4" w:space="0"/>
              <w:left w:val="single" w:color="000000" w:sz="4" w:space="0"/>
              <w:bottom w:val="single" w:color="000000" w:sz="6" w:space="0"/>
              <w:right w:val="single" w:color="000000" w:sz="4" w:space="0"/>
            </w:tcBorders>
            <w:vAlign w:val="top"/>
          </w:tcPr>
          <w:p w14:paraId="53312D5B">
            <w:pPr>
              <w:spacing w:before="85"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0.0040</w:t>
            </w:r>
          </w:p>
        </w:tc>
        <w:tc>
          <w:tcPr>
            <w:tcW w:w="1183" w:type="dxa"/>
            <w:gridSpan w:val="3"/>
            <w:tcBorders>
              <w:top w:val="single" w:color="000000" w:sz="4" w:space="0"/>
              <w:left w:val="single" w:color="000000" w:sz="4" w:space="0"/>
              <w:bottom w:val="single" w:color="000000" w:sz="6" w:space="0"/>
              <w:right w:val="single" w:color="000000" w:sz="4" w:space="0"/>
            </w:tcBorders>
            <w:vAlign w:val="top"/>
          </w:tcPr>
          <w:p w14:paraId="1FFECEFA">
            <w:pPr>
              <w:spacing w:before="85"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0.2603</w:t>
            </w:r>
          </w:p>
        </w:tc>
        <w:tc>
          <w:tcPr>
            <w:tcW w:w="1718" w:type="dxa"/>
            <w:gridSpan w:val="2"/>
            <w:tcBorders>
              <w:top w:val="single" w:color="000000" w:sz="4" w:space="0"/>
              <w:left w:val="single" w:color="000000" w:sz="4" w:space="0"/>
              <w:bottom w:val="single" w:color="000000" w:sz="6" w:space="0"/>
              <w:right w:val="single" w:color="000000" w:sz="6" w:space="0"/>
            </w:tcBorders>
            <w:vAlign w:val="top"/>
          </w:tcPr>
          <w:p w14:paraId="02E429DC">
            <w:pPr>
              <w:pStyle w:val="6"/>
              <w:spacing w:before="47" w:line="223" w:lineRule="auto"/>
              <w:ind w:left="444"/>
              <w:rPr>
                <w:sz w:val="20"/>
                <w:szCs w:val="20"/>
              </w:rPr>
            </w:pPr>
            <w:r>
              <w:rPr>
                <w:spacing w:val="6"/>
                <w:sz w:val="20"/>
                <w:szCs w:val="20"/>
              </w:rPr>
              <w:t>永久占地</w:t>
            </w:r>
          </w:p>
        </w:tc>
        <w:tc>
          <w:tcPr>
            <w:tcW w:w="235" w:type="dxa"/>
            <w:vMerge w:val="continue"/>
            <w:tcBorders>
              <w:top w:val="nil"/>
              <w:left w:val="single" w:color="000000" w:sz="6" w:space="0"/>
              <w:bottom w:val="single" w:color="000000" w:sz="6" w:space="0"/>
              <w:right w:val="single" w:color="000000" w:sz="6" w:space="0"/>
            </w:tcBorders>
            <w:vAlign w:val="top"/>
          </w:tcPr>
          <w:p w14:paraId="16A02E43">
            <w:pPr>
              <w:rPr>
                <w:rFonts w:ascii="Arial"/>
                <w:sz w:val="21"/>
              </w:rPr>
            </w:pPr>
          </w:p>
        </w:tc>
      </w:tr>
    </w:tbl>
    <w:p w14:paraId="1713F3EC">
      <w:pPr>
        <w:rPr>
          <w:rFonts w:ascii="Arial"/>
          <w:sz w:val="21"/>
        </w:rPr>
      </w:pPr>
    </w:p>
    <w:p w14:paraId="00A5ABAD">
      <w:pPr>
        <w:rPr>
          <w:rFonts w:ascii="Arial" w:hAnsi="Arial" w:eastAsia="Arial" w:cs="Arial"/>
          <w:sz w:val="21"/>
          <w:szCs w:val="21"/>
        </w:rPr>
        <w:sectPr>
          <w:footerReference r:id="rId68" w:type="default"/>
          <w:pgSz w:w="11906" w:h="16839"/>
          <w:pgMar w:top="1431" w:right="1413" w:bottom="1278" w:left="1413" w:header="0" w:footer="1116" w:gutter="0"/>
          <w:cols w:space="720" w:num="1"/>
        </w:sectPr>
      </w:pPr>
    </w:p>
    <w:p w14:paraId="2AB39A69">
      <w:pPr>
        <w:spacing w:line="99" w:lineRule="exact"/>
      </w:pPr>
      <w:r>
        <w:pict>
          <v:shape id="_x0000_s1073" o:spid="_x0000_s1073" style="position:absolute;left:0pt;margin-left:99.3pt;margin-top:77.55pt;height:61.05pt;width:1pt;mso-position-horizontal-relative:page;mso-position-vertical-relative:page;z-index:251712512;mso-width-relative:page;mso-height-relative:page;" filled="f" stroked="t" coordsize="20,1220" o:allowincell="f" path="m9,0l9,1220e">
            <v:fill on="f" focussize="0,0"/>
            <v:stroke weight="0.96pt" color="#000000" miterlimit="2" joinstyle="bevel"/>
            <v:imagedata o:title=""/>
            <o:lock v:ext="edit"/>
          </v:shape>
        </w:pict>
      </w:r>
    </w:p>
    <w:tbl>
      <w:tblPr>
        <w:tblStyle w:val="5"/>
        <w:tblW w:w="906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737"/>
        <w:gridCol w:w="1433"/>
        <w:gridCol w:w="863"/>
        <w:gridCol w:w="1162"/>
        <w:gridCol w:w="1269"/>
        <w:gridCol w:w="1183"/>
        <w:gridCol w:w="1709"/>
        <w:gridCol w:w="244"/>
      </w:tblGrid>
      <w:tr w14:paraId="4B425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64" w:type="dxa"/>
            <w:vMerge w:val="restart"/>
            <w:tcBorders>
              <w:top w:val="single" w:color="000000" w:sz="6" w:space="0"/>
              <w:left w:val="single" w:color="000000" w:sz="6" w:space="0"/>
              <w:bottom w:val="nil"/>
              <w:right w:val="single" w:color="000000" w:sz="2" w:space="0"/>
            </w:tcBorders>
            <w:vAlign w:val="top"/>
          </w:tcPr>
          <w:p w14:paraId="2210EDD0">
            <w:pPr>
              <w:rPr>
                <w:rFonts w:ascii="Arial"/>
                <w:sz w:val="21"/>
              </w:rPr>
            </w:pPr>
          </w:p>
        </w:tc>
        <w:tc>
          <w:tcPr>
            <w:tcW w:w="737" w:type="dxa"/>
            <w:tcBorders>
              <w:top w:val="single" w:color="000000" w:sz="6" w:space="0"/>
              <w:left w:val="single" w:color="000000" w:sz="2" w:space="0"/>
            </w:tcBorders>
            <w:vAlign w:val="top"/>
          </w:tcPr>
          <w:p w14:paraId="1242BDB4">
            <w:pPr>
              <w:spacing w:before="99"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33" w:type="dxa"/>
            <w:tcBorders>
              <w:top w:val="single" w:color="000000" w:sz="6" w:space="0"/>
            </w:tcBorders>
            <w:vAlign w:val="top"/>
          </w:tcPr>
          <w:p w14:paraId="783FA29E">
            <w:pPr>
              <w:pStyle w:val="6"/>
              <w:spacing w:before="61" w:line="226" w:lineRule="auto"/>
              <w:ind w:left="399"/>
              <w:rPr>
                <w:sz w:val="20"/>
                <w:szCs w:val="20"/>
              </w:rPr>
            </w:pPr>
            <w:r>
              <w:rPr>
                <w:spacing w:val="6"/>
                <w:sz w:val="20"/>
                <w:szCs w:val="20"/>
              </w:rPr>
              <w:t>升压站</w:t>
            </w:r>
          </w:p>
        </w:tc>
        <w:tc>
          <w:tcPr>
            <w:tcW w:w="863" w:type="dxa"/>
            <w:tcBorders>
              <w:top w:val="single" w:color="000000" w:sz="6" w:space="0"/>
            </w:tcBorders>
            <w:vAlign w:val="top"/>
          </w:tcPr>
          <w:p w14:paraId="46820F20">
            <w:pPr>
              <w:spacing w:before="99"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62" w:type="dxa"/>
            <w:tcBorders>
              <w:top w:val="single" w:color="000000" w:sz="6" w:space="0"/>
            </w:tcBorders>
            <w:vAlign w:val="top"/>
          </w:tcPr>
          <w:p w14:paraId="644B3A2D">
            <w:pPr>
              <w:spacing w:before="9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1.3785</w:t>
            </w:r>
          </w:p>
        </w:tc>
        <w:tc>
          <w:tcPr>
            <w:tcW w:w="1269" w:type="dxa"/>
            <w:tcBorders>
              <w:top w:val="single" w:color="000000" w:sz="6" w:space="0"/>
            </w:tcBorders>
            <w:vAlign w:val="top"/>
          </w:tcPr>
          <w:p w14:paraId="0EFA21D1">
            <w:pPr>
              <w:spacing w:before="99" w:line="195" w:lineRule="auto"/>
              <w:ind w:left="58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83" w:type="dxa"/>
            <w:tcBorders>
              <w:top w:val="single" w:color="000000" w:sz="6" w:space="0"/>
            </w:tcBorders>
            <w:vAlign w:val="top"/>
          </w:tcPr>
          <w:p w14:paraId="4AA11087">
            <w:pPr>
              <w:spacing w:before="99"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1.3785</w:t>
            </w:r>
          </w:p>
        </w:tc>
        <w:tc>
          <w:tcPr>
            <w:tcW w:w="1709" w:type="dxa"/>
            <w:tcBorders>
              <w:top w:val="single" w:color="000000" w:sz="6" w:space="0"/>
              <w:right w:val="single" w:color="000000" w:sz="6" w:space="0"/>
            </w:tcBorders>
            <w:vAlign w:val="top"/>
          </w:tcPr>
          <w:p w14:paraId="60F031F0">
            <w:pPr>
              <w:pStyle w:val="6"/>
              <w:spacing w:before="61" w:line="226" w:lineRule="auto"/>
              <w:ind w:left="444"/>
              <w:rPr>
                <w:sz w:val="20"/>
                <w:szCs w:val="20"/>
              </w:rPr>
            </w:pPr>
            <w:r>
              <w:rPr>
                <w:spacing w:val="6"/>
                <w:sz w:val="20"/>
                <w:szCs w:val="20"/>
              </w:rPr>
              <w:t>永久占地</w:t>
            </w:r>
          </w:p>
        </w:tc>
        <w:tc>
          <w:tcPr>
            <w:tcW w:w="244" w:type="dxa"/>
            <w:vMerge w:val="restart"/>
            <w:tcBorders>
              <w:top w:val="single" w:color="000000" w:sz="6" w:space="0"/>
              <w:left w:val="single" w:color="000000" w:sz="6" w:space="0"/>
              <w:bottom w:val="nil"/>
              <w:right w:val="single" w:color="000000" w:sz="6" w:space="0"/>
            </w:tcBorders>
            <w:vAlign w:val="top"/>
          </w:tcPr>
          <w:p w14:paraId="31A8457E">
            <w:pPr>
              <w:rPr>
                <w:rFonts w:ascii="Arial"/>
                <w:sz w:val="21"/>
              </w:rPr>
            </w:pPr>
          </w:p>
        </w:tc>
      </w:tr>
      <w:tr w14:paraId="2D4E2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64" w:type="dxa"/>
            <w:vMerge w:val="continue"/>
            <w:tcBorders>
              <w:top w:val="nil"/>
              <w:left w:val="single" w:color="000000" w:sz="6" w:space="0"/>
              <w:bottom w:val="nil"/>
              <w:right w:val="single" w:color="000000" w:sz="2" w:space="0"/>
            </w:tcBorders>
            <w:vAlign w:val="top"/>
          </w:tcPr>
          <w:p w14:paraId="2BFB65BB">
            <w:pPr>
              <w:rPr>
                <w:rFonts w:ascii="Arial"/>
                <w:sz w:val="21"/>
              </w:rPr>
            </w:pPr>
          </w:p>
        </w:tc>
        <w:tc>
          <w:tcPr>
            <w:tcW w:w="737" w:type="dxa"/>
            <w:tcBorders>
              <w:left w:val="single" w:color="000000" w:sz="2" w:space="0"/>
            </w:tcBorders>
            <w:vAlign w:val="top"/>
          </w:tcPr>
          <w:p w14:paraId="21095F70">
            <w:pPr>
              <w:spacing w:before="70"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33" w:type="dxa"/>
            <w:vAlign w:val="top"/>
          </w:tcPr>
          <w:p w14:paraId="3EC72FCE">
            <w:pPr>
              <w:pStyle w:val="6"/>
              <w:spacing w:before="35" w:line="225" w:lineRule="auto"/>
              <w:ind w:left="293"/>
              <w:rPr>
                <w:sz w:val="20"/>
                <w:szCs w:val="20"/>
              </w:rPr>
            </w:pPr>
            <w:r>
              <w:rPr>
                <w:spacing w:val="7"/>
                <w:sz w:val="20"/>
                <w:szCs w:val="20"/>
              </w:rPr>
              <w:t>进站道路</w:t>
            </w:r>
          </w:p>
        </w:tc>
        <w:tc>
          <w:tcPr>
            <w:tcW w:w="863" w:type="dxa"/>
            <w:vAlign w:val="top"/>
          </w:tcPr>
          <w:p w14:paraId="766211F9">
            <w:pPr>
              <w:spacing w:before="70"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62" w:type="dxa"/>
            <w:vAlign w:val="top"/>
          </w:tcPr>
          <w:p w14:paraId="1BBF8B62">
            <w:pPr>
              <w:spacing w:before="70"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1.3843</w:t>
            </w:r>
          </w:p>
        </w:tc>
        <w:tc>
          <w:tcPr>
            <w:tcW w:w="1269" w:type="dxa"/>
            <w:vAlign w:val="top"/>
          </w:tcPr>
          <w:p w14:paraId="08D3BB08">
            <w:pPr>
              <w:spacing w:before="70"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0.0032</w:t>
            </w:r>
          </w:p>
        </w:tc>
        <w:tc>
          <w:tcPr>
            <w:tcW w:w="1183" w:type="dxa"/>
            <w:vAlign w:val="top"/>
          </w:tcPr>
          <w:p w14:paraId="040CF9B8">
            <w:pPr>
              <w:spacing w:before="70"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1.3875</w:t>
            </w:r>
          </w:p>
        </w:tc>
        <w:tc>
          <w:tcPr>
            <w:tcW w:w="1709" w:type="dxa"/>
            <w:tcBorders>
              <w:right w:val="single" w:color="000000" w:sz="6" w:space="0"/>
            </w:tcBorders>
            <w:vAlign w:val="top"/>
          </w:tcPr>
          <w:p w14:paraId="0D7AEFA9">
            <w:pPr>
              <w:pStyle w:val="6"/>
              <w:spacing w:before="35" w:line="225" w:lineRule="auto"/>
              <w:ind w:left="444"/>
              <w:rPr>
                <w:sz w:val="20"/>
                <w:szCs w:val="20"/>
              </w:rPr>
            </w:pPr>
            <w:r>
              <w:rPr>
                <w:spacing w:val="6"/>
                <w:sz w:val="20"/>
                <w:szCs w:val="20"/>
              </w:rPr>
              <w:t>永久占地</w:t>
            </w:r>
          </w:p>
        </w:tc>
        <w:tc>
          <w:tcPr>
            <w:tcW w:w="244" w:type="dxa"/>
            <w:vMerge w:val="continue"/>
            <w:tcBorders>
              <w:top w:val="nil"/>
              <w:left w:val="single" w:color="000000" w:sz="6" w:space="0"/>
              <w:bottom w:val="nil"/>
              <w:right w:val="single" w:color="000000" w:sz="6" w:space="0"/>
            </w:tcBorders>
            <w:vAlign w:val="top"/>
          </w:tcPr>
          <w:p w14:paraId="59A1AF3A">
            <w:pPr>
              <w:rPr>
                <w:rFonts w:ascii="Arial"/>
                <w:sz w:val="21"/>
              </w:rPr>
            </w:pPr>
          </w:p>
        </w:tc>
      </w:tr>
      <w:tr w14:paraId="6374D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464" w:type="dxa"/>
            <w:vMerge w:val="continue"/>
            <w:tcBorders>
              <w:top w:val="nil"/>
              <w:left w:val="single" w:color="000000" w:sz="6" w:space="0"/>
              <w:bottom w:val="nil"/>
              <w:right w:val="single" w:color="000000" w:sz="2" w:space="0"/>
            </w:tcBorders>
            <w:vAlign w:val="top"/>
          </w:tcPr>
          <w:p w14:paraId="40D4863B">
            <w:pPr>
              <w:rPr>
                <w:rFonts w:ascii="Arial"/>
                <w:sz w:val="21"/>
              </w:rPr>
            </w:pPr>
          </w:p>
        </w:tc>
        <w:tc>
          <w:tcPr>
            <w:tcW w:w="737" w:type="dxa"/>
            <w:tcBorders>
              <w:left w:val="single" w:color="000000" w:sz="2" w:space="0"/>
            </w:tcBorders>
            <w:vAlign w:val="top"/>
          </w:tcPr>
          <w:p w14:paraId="1ACA436C">
            <w:pPr>
              <w:spacing w:before="72"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33" w:type="dxa"/>
            <w:vAlign w:val="top"/>
          </w:tcPr>
          <w:p w14:paraId="7F5AADEA">
            <w:pPr>
              <w:pStyle w:val="6"/>
              <w:spacing w:before="34" w:line="226" w:lineRule="auto"/>
              <w:ind w:left="503"/>
              <w:rPr>
                <w:sz w:val="20"/>
                <w:szCs w:val="20"/>
              </w:rPr>
            </w:pPr>
            <w:r>
              <w:rPr>
                <w:spacing w:val="4"/>
                <w:sz w:val="20"/>
                <w:szCs w:val="20"/>
              </w:rPr>
              <w:t>塔基</w:t>
            </w:r>
          </w:p>
        </w:tc>
        <w:tc>
          <w:tcPr>
            <w:tcW w:w="863" w:type="dxa"/>
            <w:vAlign w:val="top"/>
          </w:tcPr>
          <w:p w14:paraId="21C73494">
            <w:pPr>
              <w:spacing w:before="71"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0.0789</w:t>
            </w:r>
          </w:p>
        </w:tc>
        <w:tc>
          <w:tcPr>
            <w:tcW w:w="1162" w:type="dxa"/>
            <w:vAlign w:val="top"/>
          </w:tcPr>
          <w:p w14:paraId="6C6520E8">
            <w:pPr>
              <w:spacing w:before="71"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0.2913</w:t>
            </w:r>
          </w:p>
        </w:tc>
        <w:tc>
          <w:tcPr>
            <w:tcW w:w="1269" w:type="dxa"/>
            <w:vAlign w:val="top"/>
          </w:tcPr>
          <w:p w14:paraId="58D4BD9E">
            <w:pPr>
              <w:spacing w:before="71"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0.0582</w:t>
            </w:r>
          </w:p>
        </w:tc>
        <w:tc>
          <w:tcPr>
            <w:tcW w:w="1183" w:type="dxa"/>
            <w:vAlign w:val="top"/>
          </w:tcPr>
          <w:p w14:paraId="1C70A3E9">
            <w:pPr>
              <w:spacing w:before="71"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0.4284</w:t>
            </w:r>
          </w:p>
        </w:tc>
        <w:tc>
          <w:tcPr>
            <w:tcW w:w="1709" w:type="dxa"/>
            <w:tcBorders>
              <w:right w:val="single" w:color="000000" w:sz="6" w:space="0"/>
            </w:tcBorders>
            <w:vAlign w:val="top"/>
          </w:tcPr>
          <w:p w14:paraId="49B560D8">
            <w:pPr>
              <w:pStyle w:val="6"/>
              <w:spacing w:before="34" w:line="226" w:lineRule="auto"/>
              <w:ind w:left="444"/>
              <w:rPr>
                <w:sz w:val="20"/>
                <w:szCs w:val="20"/>
              </w:rPr>
            </w:pPr>
            <w:r>
              <w:rPr>
                <w:spacing w:val="6"/>
                <w:sz w:val="20"/>
                <w:szCs w:val="20"/>
              </w:rPr>
              <w:t>永久占地</w:t>
            </w:r>
          </w:p>
        </w:tc>
        <w:tc>
          <w:tcPr>
            <w:tcW w:w="244" w:type="dxa"/>
            <w:vMerge w:val="continue"/>
            <w:tcBorders>
              <w:top w:val="nil"/>
              <w:left w:val="single" w:color="000000" w:sz="6" w:space="0"/>
              <w:bottom w:val="nil"/>
              <w:right w:val="single" w:color="000000" w:sz="6" w:space="0"/>
            </w:tcBorders>
            <w:vAlign w:val="top"/>
          </w:tcPr>
          <w:p w14:paraId="7D307D3C">
            <w:pPr>
              <w:rPr>
                <w:rFonts w:ascii="Arial"/>
                <w:sz w:val="21"/>
              </w:rPr>
            </w:pPr>
          </w:p>
        </w:tc>
      </w:tr>
      <w:tr w14:paraId="4019C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464" w:type="dxa"/>
            <w:vMerge w:val="continue"/>
            <w:tcBorders>
              <w:top w:val="nil"/>
              <w:left w:val="single" w:color="000000" w:sz="6" w:space="0"/>
              <w:bottom w:val="nil"/>
              <w:right w:val="single" w:color="000000" w:sz="2" w:space="0"/>
            </w:tcBorders>
            <w:vAlign w:val="top"/>
          </w:tcPr>
          <w:p w14:paraId="0CACD0AB">
            <w:pPr>
              <w:rPr>
                <w:rFonts w:ascii="Arial"/>
                <w:sz w:val="21"/>
              </w:rPr>
            </w:pPr>
          </w:p>
        </w:tc>
        <w:tc>
          <w:tcPr>
            <w:tcW w:w="2170" w:type="dxa"/>
            <w:gridSpan w:val="2"/>
            <w:tcBorders>
              <w:left w:val="single" w:color="000000" w:sz="2" w:space="0"/>
              <w:bottom w:val="single" w:color="000000" w:sz="6" w:space="0"/>
            </w:tcBorders>
            <w:vAlign w:val="top"/>
          </w:tcPr>
          <w:p w14:paraId="21F4FF39">
            <w:pPr>
              <w:pStyle w:val="6"/>
              <w:spacing w:before="35" w:line="227" w:lineRule="auto"/>
              <w:ind w:left="934"/>
              <w:rPr>
                <w:sz w:val="20"/>
                <w:szCs w:val="20"/>
              </w:rPr>
            </w:pPr>
            <w:r>
              <w:rPr>
                <w:b/>
                <w:bCs/>
                <w:spacing w:val="3"/>
                <w:sz w:val="20"/>
                <w:szCs w:val="20"/>
              </w:rPr>
              <w:t>合计</w:t>
            </w:r>
          </w:p>
        </w:tc>
        <w:tc>
          <w:tcPr>
            <w:tcW w:w="863" w:type="dxa"/>
            <w:tcBorders>
              <w:bottom w:val="single" w:color="000000" w:sz="6" w:space="0"/>
            </w:tcBorders>
            <w:vAlign w:val="top"/>
          </w:tcPr>
          <w:p w14:paraId="3EAD1D36">
            <w:pPr>
              <w:spacing w:before="70"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0.0789</w:t>
            </w:r>
          </w:p>
        </w:tc>
        <w:tc>
          <w:tcPr>
            <w:tcW w:w="1162" w:type="dxa"/>
            <w:tcBorders>
              <w:bottom w:val="single" w:color="000000" w:sz="6" w:space="0"/>
            </w:tcBorders>
            <w:vAlign w:val="top"/>
          </w:tcPr>
          <w:p w14:paraId="72468B51">
            <w:pPr>
              <w:spacing w:before="70"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133.9807</w:t>
            </w:r>
          </w:p>
        </w:tc>
        <w:tc>
          <w:tcPr>
            <w:tcW w:w="1269" w:type="dxa"/>
            <w:tcBorders>
              <w:bottom w:val="single" w:color="000000" w:sz="6" w:space="0"/>
            </w:tcBorders>
            <w:vAlign w:val="top"/>
          </w:tcPr>
          <w:p w14:paraId="2A65F4CE">
            <w:pPr>
              <w:spacing w:before="70"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6.0708</w:t>
            </w:r>
          </w:p>
        </w:tc>
        <w:tc>
          <w:tcPr>
            <w:tcW w:w="1183" w:type="dxa"/>
            <w:tcBorders>
              <w:bottom w:val="single" w:color="000000" w:sz="6" w:space="0"/>
            </w:tcBorders>
            <w:vAlign w:val="top"/>
          </w:tcPr>
          <w:p w14:paraId="483DBB5A">
            <w:pPr>
              <w:spacing w:before="70"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140.1304</w:t>
            </w:r>
          </w:p>
        </w:tc>
        <w:tc>
          <w:tcPr>
            <w:tcW w:w="1709" w:type="dxa"/>
            <w:tcBorders>
              <w:bottom w:val="single" w:color="000000" w:sz="6" w:space="0"/>
              <w:right w:val="single" w:color="000000" w:sz="6" w:space="0"/>
            </w:tcBorders>
            <w:vAlign w:val="top"/>
          </w:tcPr>
          <w:p w14:paraId="5235A91D">
            <w:pPr>
              <w:pStyle w:val="6"/>
              <w:spacing w:before="35" w:line="227" w:lineRule="auto"/>
              <w:ind w:left="216"/>
              <w:rPr>
                <w:sz w:val="20"/>
                <w:szCs w:val="20"/>
              </w:rPr>
            </w:pPr>
            <w:r>
              <w:rPr>
                <w:spacing w:val="5"/>
                <w:sz w:val="20"/>
                <w:szCs w:val="20"/>
              </w:rPr>
              <w:t>临时</w:t>
            </w:r>
            <w:r>
              <w:rPr>
                <w:rFonts w:ascii="Times New Roman" w:hAnsi="Times New Roman" w:eastAsia="Times New Roman" w:cs="Times New Roman"/>
                <w:spacing w:val="5"/>
                <w:sz w:val="20"/>
                <w:szCs w:val="20"/>
              </w:rPr>
              <w:t>/</w:t>
            </w:r>
            <w:r>
              <w:rPr>
                <w:spacing w:val="5"/>
                <w:sz w:val="20"/>
                <w:szCs w:val="20"/>
              </w:rPr>
              <w:t>永久占地</w:t>
            </w:r>
          </w:p>
        </w:tc>
        <w:tc>
          <w:tcPr>
            <w:tcW w:w="244" w:type="dxa"/>
            <w:vMerge w:val="continue"/>
            <w:tcBorders>
              <w:top w:val="nil"/>
              <w:left w:val="single" w:color="000000" w:sz="6" w:space="0"/>
              <w:bottom w:val="nil"/>
              <w:right w:val="single" w:color="000000" w:sz="6" w:space="0"/>
            </w:tcBorders>
            <w:vAlign w:val="top"/>
          </w:tcPr>
          <w:p w14:paraId="19E27D95">
            <w:pPr>
              <w:rPr>
                <w:rFonts w:ascii="Arial"/>
                <w:sz w:val="21"/>
              </w:rPr>
            </w:pPr>
          </w:p>
        </w:tc>
      </w:tr>
      <w:tr w14:paraId="1AC00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7" w:hRule="atLeast"/>
        </w:trPr>
        <w:tc>
          <w:tcPr>
            <w:tcW w:w="464" w:type="dxa"/>
            <w:vMerge w:val="continue"/>
            <w:tcBorders>
              <w:top w:val="nil"/>
              <w:left w:val="single" w:color="000000" w:sz="6" w:space="0"/>
              <w:bottom w:val="single" w:color="000000" w:sz="2" w:space="0"/>
              <w:right w:val="single" w:color="000000" w:sz="2" w:space="0"/>
            </w:tcBorders>
            <w:vAlign w:val="top"/>
          </w:tcPr>
          <w:p w14:paraId="7764447B">
            <w:pPr>
              <w:rPr>
                <w:rFonts w:ascii="Arial"/>
                <w:sz w:val="21"/>
              </w:rPr>
            </w:pPr>
          </w:p>
        </w:tc>
        <w:tc>
          <w:tcPr>
            <w:tcW w:w="8600" w:type="dxa"/>
            <w:gridSpan w:val="8"/>
            <w:tcBorders>
              <w:top w:val="single" w:color="000000" w:sz="6" w:space="0"/>
              <w:left w:val="single" w:color="000000" w:sz="2" w:space="0"/>
              <w:bottom w:val="single" w:color="000000" w:sz="2" w:space="0"/>
              <w:right w:val="single" w:color="000000" w:sz="6" w:space="0"/>
            </w:tcBorders>
            <w:vAlign w:val="top"/>
          </w:tcPr>
          <w:p w14:paraId="59F62B84">
            <w:pPr>
              <w:pStyle w:val="6"/>
              <w:spacing w:before="30" w:line="221" w:lineRule="auto"/>
              <w:ind w:left="598"/>
            </w:pPr>
            <w:r>
              <w:rPr>
                <w:spacing w:val="-3"/>
              </w:rPr>
              <w:t>（</w:t>
            </w:r>
            <w:r>
              <w:rPr>
                <w:rFonts w:ascii="Times New Roman" w:hAnsi="Times New Roman" w:eastAsia="Times New Roman" w:cs="Times New Roman"/>
                <w:spacing w:val="-3"/>
              </w:rPr>
              <w:t>2</w:t>
            </w:r>
            <w:r>
              <w:rPr>
                <w:spacing w:val="-3"/>
              </w:rPr>
              <w:t>）移民安置</w:t>
            </w:r>
          </w:p>
          <w:p w14:paraId="205E173A">
            <w:pPr>
              <w:pStyle w:val="6"/>
              <w:spacing w:before="180" w:line="219" w:lineRule="auto"/>
              <w:ind w:left="587"/>
            </w:pPr>
            <w:r>
              <w:rPr>
                <w:spacing w:val="-1"/>
              </w:rPr>
              <w:t>本项目未涉及移民搬迁。</w:t>
            </w:r>
          </w:p>
          <w:p w14:paraId="34F8622B">
            <w:pPr>
              <w:pStyle w:val="6"/>
              <w:spacing w:before="181" w:line="219" w:lineRule="auto"/>
              <w:ind w:left="590"/>
            </w:pPr>
            <w:r>
              <w:rPr>
                <w:b/>
                <w:bCs/>
                <w:spacing w:val="-3"/>
              </w:rPr>
              <w:t>五、工作制度及劳动定员</w:t>
            </w:r>
          </w:p>
          <w:p w14:paraId="2BF2966B">
            <w:pPr>
              <w:pStyle w:val="6"/>
              <w:spacing w:before="183" w:line="219" w:lineRule="auto"/>
              <w:ind w:left="605"/>
            </w:pPr>
            <w:r>
              <w:rPr>
                <w:rFonts w:ascii="Times New Roman" w:hAnsi="Times New Roman" w:eastAsia="Times New Roman" w:cs="Times New Roman"/>
                <w:spacing w:val="-10"/>
              </w:rPr>
              <w:t>1</w:t>
            </w:r>
            <w:r>
              <w:rPr>
                <w:rFonts w:ascii="Times New Roman" w:hAnsi="Times New Roman" w:eastAsia="Times New Roman" w:cs="Times New Roman"/>
                <w:spacing w:val="-30"/>
              </w:rPr>
              <w:t xml:space="preserve"> </w:t>
            </w:r>
            <w:r>
              <w:rPr>
                <w:spacing w:val="-10"/>
              </w:rPr>
              <w:t>、劳动定员</w:t>
            </w:r>
          </w:p>
          <w:p w14:paraId="025854C1">
            <w:pPr>
              <w:pStyle w:val="6"/>
              <w:spacing w:before="181" w:line="350" w:lineRule="auto"/>
              <w:ind w:left="106" w:right="102" w:firstLine="483"/>
            </w:pPr>
            <w:r>
              <w:rPr>
                <w:spacing w:val="-1"/>
              </w:rPr>
              <w:t>项目运维管理人员日常主要在升压站内工作，对全站进行监控、故障检修和</w:t>
            </w:r>
            <w:r>
              <w:rPr>
                <w:spacing w:val="9"/>
              </w:rPr>
              <w:t xml:space="preserve"> </w:t>
            </w:r>
            <w:r>
              <w:rPr>
                <w:spacing w:val="4"/>
              </w:rPr>
              <w:t>事故报告等，视需要至光伏场区进行组件清</w:t>
            </w:r>
            <w:r>
              <w:rPr>
                <w:spacing w:val="3"/>
              </w:rPr>
              <w:t>洗和保养检修。本项目综合定员</w:t>
            </w:r>
            <w:r>
              <w:rPr>
                <w:spacing w:val="-27"/>
              </w:rPr>
              <w:t xml:space="preserve"> </w:t>
            </w:r>
            <w:r>
              <w:rPr>
                <w:rFonts w:ascii="Times New Roman" w:hAnsi="Times New Roman" w:eastAsia="Times New Roman" w:cs="Times New Roman"/>
                <w:spacing w:val="3"/>
              </w:rPr>
              <w:t>18</w:t>
            </w:r>
            <w:r>
              <w:rPr>
                <w:rFonts w:ascii="Times New Roman" w:hAnsi="Times New Roman" w:eastAsia="Times New Roman" w:cs="Times New Roman"/>
              </w:rPr>
              <w:t xml:space="preserve"> </w:t>
            </w:r>
            <w:r>
              <w:rPr>
                <w:spacing w:val="-2"/>
              </w:rPr>
              <w:t>人，其中厂内食宿</w:t>
            </w:r>
            <w:r>
              <w:rPr>
                <w:spacing w:val="-29"/>
              </w:rPr>
              <w:t xml:space="preserve"> </w:t>
            </w:r>
            <w:r>
              <w:rPr>
                <w:rFonts w:ascii="Times New Roman" w:hAnsi="Times New Roman" w:eastAsia="Times New Roman" w:cs="Times New Roman"/>
                <w:spacing w:val="-2"/>
              </w:rPr>
              <w:t xml:space="preserve">12 </w:t>
            </w:r>
            <w:r>
              <w:rPr>
                <w:spacing w:val="-2"/>
              </w:rPr>
              <w:t>人，</w:t>
            </w:r>
            <w:r>
              <w:rPr>
                <w:rFonts w:ascii="Times New Roman" w:hAnsi="Times New Roman" w:eastAsia="Times New Roman" w:cs="Times New Roman"/>
                <w:spacing w:val="-2"/>
              </w:rPr>
              <w:t xml:space="preserve">6 </w:t>
            </w:r>
            <w:r>
              <w:rPr>
                <w:spacing w:val="-2"/>
              </w:rPr>
              <w:t>人轮班休息。</w:t>
            </w:r>
          </w:p>
          <w:p w14:paraId="4B3462EB">
            <w:pPr>
              <w:pStyle w:val="6"/>
              <w:spacing w:before="36" w:line="220" w:lineRule="auto"/>
              <w:ind w:left="582"/>
            </w:pPr>
            <w:r>
              <w:rPr>
                <w:rFonts w:ascii="Times New Roman" w:hAnsi="Times New Roman" w:eastAsia="Times New Roman" w:cs="Times New Roman"/>
                <w:spacing w:val="-6"/>
              </w:rPr>
              <w:t>2</w:t>
            </w:r>
            <w:r>
              <w:rPr>
                <w:rFonts w:ascii="Times New Roman" w:hAnsi="Times New Roman" w:eastAsia="Times New Roman" w:cs="Times New Roman"/>
                <w:spacing w:val="-31"/>
              </w:rPr>
              <w:t xml:space="preserve"> </w:t>
            </w:r>
            <w:r>
              <w:rPr>
                <w:spacing w:val="-6"/>
              </w:rPr>
              <w:t>、工作制度</w:t>
            </w:r>
          </w:p>
          <w:p w14:paraId="3C343FCD">
            <w:pPr>
              <w:pStyle w:val="6"/>
              <w:spacing w:before="181" w:line="219" w:lineRule="auto"/>
              <w:ind w:left="589"/>
            </w:pPr>
            <w:r>
              <w:rPr>
                <w:spacing w:val="-2"/>
              </w:rPr>
              <w:t>工作采取</w:t>
            </w:r>
            <w:r>
              <w:rPr>
                <w:spacing w:val="-29"/>
              </w:rPr>
              <w:t xml:space="preserve"> </w:t>
            </w:r>
            <w:r>
              <w:rPr>
                <w:rFonts w:ascii="Times New Roman" w:hAnsi="Times New Roman" w:eastAsia="Times New Roman" w:cs="Times New Roman"/>
                <w:spacing w:val="-2"/>
              </w:rPr>
              <w:t>8h/</w:t>
            </w:r>
            <w:r>
              <w:rPr>
                <w:spacing w:val="-2"/>
              </w:rPr>
              <w:t>班，每日三班轮流值守，全年工作</w:t>
            </w:r>
            <w:r>
              <w:rPr>
                <w:spacing w:val="-50"/>
              </w:rPr>
              <w:t xml:space="preserve"> </w:t>
            </w:r>
            <w:r>
              <w:rPr>
                <w:rFonts w:ascii="Times New Roman" w:hAnsi="Times New Roman" w:eastAsia="Times New Roman" w:cs="Times New Roman"/>
                <w:spacing w:val="-2"/>
              </w:rPr>
              <w:t>365d</w:t>
            </w:r>
            <w:r>
              <w:rPr>
                <w:spacing w:val="-2"/>
              </w:rPr>
              <w:t>。</w:t>
            </w:r>
          </w:p>
        </w:tc>
      </w:tr>
      <w:tr w14:paraId="59A20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5" w:hRule="atLeast"/>
        </w:trPr>
        <w:tc>
          <w:tcPr>
            <w:tcW w:w="464" w:type="dxa"/>
            <w:tcBorders>
              <w:top w:val="single" w:color="000000" w:sz="2" w:space="0"/>
              <w:left w:val="single" w:color="000000" w:sz="6" w:space="0"/>
              <w:bottom w:val="single" w:color="000000" w:sz="6" w:space="0"/>
              <w:right w:val="single" w:color="000000" w:sz="2" w:space="0"/>
            </w:tcBorders>
            <w:textDirection w:val="tbRlV"/>
            <w:vAlign w:val="top"/>
          </w:tcPr>
          <w:p w14:paraId="55D1526E">
            <w:pPr>
              <w:pStyle w:val="6"/>
              <w:spacing w:before="110" w:line="209" w:lineRule="auto"/>
              <w:ind w:left="2764"/>
            </w:pPr>
            <w:r>
              <w:rPr>
                <w:spacing w:val="23"/>
                <w:w w:val="116"/>
              </w:rPr>
              <w:t>总平面及现场布置</w:t>
            </w:r>
          </w:p>
        </w:tc>
        <w:tc>
          <w:tcPr>
            <w:tcW w:w="8600" w:type="dxa"/>
            <w:gridSpan w:val="8"/>
            <w:tcBorders>
              <w:top w:val="single" w:color="000000" w:sz="2" w:space="0"/>
              <w:left w:val="single" w:color="000000" w:sz="2" w:space="0"/>
              <w:bottom w:val="single" w:color="000000" w:sz="6" w:space="0"/>
              <w:right w:val="single" w:color="000000" w:sz="6" w:space="0"/>
            </w:tcBorders>
            <w:vAlign w:val="top"/>
          </w:tcPr>
          <w:p w14:paraId="6C11823E">
            <w:pPr>
              <w:pStyle w:val="6"/>
              <w:spacing w:before="40" w:line="219" w:lineRule="auto"/>
              <w:ind w:left="593"/>
            </w:pPr>
            <w:r>
              <w:rPr>
                <w:rFonts w:ascii="Times New Roman" w:hAnsi="Times New Roman" w:eastAsia="Times New Roman" w:cs="Times New Roman"/>
                <w:b/>
                <w:bCs/>
                <w:spacing w:val="-7"/>
              </w:rPr>
              <w:t>1</w:t>
            </w:r>
            <w:r>
              <w:rPr>
                <w:rFonts w:ascii="Times New Roman" w:hAnsi="Times New Roman" w:eastAsia="Times New Roman" w:cs="Times New Roman"/>
                <w:b/>
                <w:bCs/>
                <w:spacing w:val="-27"/>
              </w:rPr>
              <w:t xml:space="preserve"> </w:t>
            </w:r>
            <w:r>
              <w:rPr>
                <w:b/>
                <w:bCs/>
                <w:spacing w:val="-7"/>
              </w:rPr>
              <w:t>、工程总平面布置</w:t>
            </w:r>
          </w:p>
          <w:p w14:paraId="58DBC7F7">
            <w:pPr>
              <w:pStyle w:val="6"/>
              <w:spacing w:before="180" w:line="219" w:lineRule="auto"/>
              <w:ind w:left="598"/>
            </w:pPr>
            <w:r>
              <w:rPr>
                <w:spacing w:val="-3"/>
              </w:rPr>
              <w:t>（</w:t>
            </w:r>
            <w:r>
              <w:rPr>
                <w:rFonts w:ascii="Times New Roman" w:hAnsi="Times New Roman" w:eastAsia="Times New Roman" w:cs="Times New Roman"/>
                <w:spacing w:val="-3"/>
              </w:rPr>
              <w:t>1</w:t>
            </w:r>
            <w:r>
              <w:rPr>
                <w:spacing w:val="-3"/>
              </w:rPr>
              <w:t>）总体布置</w:t>
            </w:r>
          </w:p>
          <w:p w14:paraId="24543CEF">
            <w:pPr>
              <w:pStyle w:val="6"/>
              <w:spacing w:before="181" w:line="355" w:lineRule="auto"/>
              <w:ind w:left="106" w:right="35" w:firstLine="466"/>
            </w:pPr>
            <w:r>
              <w:rPr>
                <w:spacing w:val="-7"/>
              </w:rPr>
              <w:t>本项目由升压站和光伏片区构成，在满足规范及工艺要求的前提下尽量压</w:t>
            </w:r>
            <w:r>
              <w:rPr>
                <w:spacing w:val="-8"/>
              </w:rPr>
              <w:t>缩场</w:t>
            </w:r>
            <w:r>
              <w:t xml:space="preserve"> </w:t>
            </w:r>
            <w:r>
              <w:rPr>
                <w:spacing w:val="-5"/>
              </w:rPr>
              <w:t>区用地。根据场址总体布局规划，项目共布置</w:t>
            </w:r>
            <w:r>
              <w:rPr>
                <w:rFonts w:ascii="Times New Roman" w:hAnsi="Times New Roman" w:eastAsia="Times New Roman" w:cs="Times New Roman"/>
                <w:spacing w:val="-5"/>
              </w:rPr>
              <w:t>37</w:t>
            </w:r>
            <w:r>
              <w:rPr>
                <w:spacing w:val="-5"/>
              </w:rPr>
              <w:t>个光伏发电单元、一座</w:t>
            </w:r>
            <w:r>
              <w:rPr>
                <w:rFonts w:ascii="Times New Roman" w:hAnsi="Times New Roman" w:eastAsia="Times New Roman" w:cs="Times New Roman"/>
                <w:spacing w:val="-5"/>
              </w:rPr>
              <w:t>220kV</w:t>
            </w:r>
            <w:r>
              <w:rPr>
                <w:spacing w:val="-5"/>
              </w:rPr>
              <w:t>升压</w:t>
            </w:r>
            <w:r>
              <w:rPr>
                <w:spacing w:val="1"/>
              </w:rPr>
              <w:t xml:space="preserve"> </w:t>
            </w:r>
            <w:r>
              <w:rPr>
                <w:spacing w:val="-4"/>
              </w:rPr>
              <w:t>站，项目光伏场区共分为</w:t>
            </w:r>
            <w:r>
              <w:rPr>
                <w:rFonts w:ascii="Times New Roman" w:hAnsi="Times New Roman" w:eastAsia="Times New Roman" w:cs="Times New Roman"/>
                <w:spacing w:val="-4"/>
              </w:rPr>
              <w:t>15</w:t>
            </w:r>
            <w:r>
              <w:rPr>
                <w:spacing w:val="-4"/>
              </w:rPr>
              <w:t>个区块，升压站位于光伏场区区块</w:t>
            </w:r>
            <w:r>
              <w:rPr>
                <w:rFonts w:ascii="Times New Roman" w:hAnsi="Times New Roman" w:eastAsia="Times New Roman" w:cs="Times New Roman"/>
                <w:spacing w:val="-4"/>
              </w:rPr>
              <w:t>8</w:t>
            </w:r>
            <w:r>
              <w:rPr>
                <w:spacing w:val="-4"/>
              </w:rPr>
              <w:t>内东侧。整个项目</w:t>
            </w:r>
            <w:r>
              <w:rPr>
                <w:spacing w:val="15"/>
              </w:rPr>
              <w:t xml:space="preserve"> </w:t>
            </w:r>
            <w:r>
              <w:rPr>
                <w:spacing w:val="-12"/>
              </w:rPr>
              <w:t>布置充分考虑地形、建筑物、道路等基础上，各片区布置紧凑，各区块间有效贯通，</w:t>
            </w:r>
            <w:r>
              <w:rPr>
                <w:spacing w:val="10"/>
              </w:rPr>
              <w:t xml:space="preserve"> </w:t>
            </w:r>
            <w:r>
              <w:rPr>
                <w:spacing w:val="-7"/>
              </w:rPr>
              <w:t>同时达到节约用地、节约连接电缆、日常巡查线路简便的目的，整个布置避让了生</w:t>
            </w:r>
            <w:r>
              <w:t xml:space="preserve"> </w:t>
            </w:r>
            <w:r>
              <w:rPr>
                <w:spacing w:val="-8"/>
              </w:rPr>
              <w:t>态红线、基本农田、天然林等敏感因素。</w:t>
            </w:r>
          </w:p>
          <w:p w14:paraId="7659EB81">
            <w:pPr>
              <w:pStyle w:val="6"/>
              <w:spacing w:before="33" w:line="219" w:lineRule="auto"/>
              <w:ind w:left="598"/>
            </w:pPr>
            <w:r>
              <w:rPr>
                <w:spacing w:val="-3"/>
              </w:rPr>
              <w:t>（</w:t>
            </w:r>
            <w:r>
              <w:rPr>
                <w:rFonts w:ascii="Times New Roman" w:hAnsi="Times New Roman" w:eastAsia="Times New Roman" w:cs="Times New Roman"/>
                <w:spacing w:val="-3"/>
              </w:rPr>
              <w:t>2</w:t>
            </w:r>
            <w:r>
              <w:rPr>
                <w:spacing w:val="-3"/>
              </w:rPr>
              <w:t>）升压站布置</w:t>
            </w:r>
          </w:p>
          <w:p w14:paraId="20CCBB53">
            <w:pPr>
              <w:pStyle w:val="6"/>
              <w:spacing w:before="180" w:line="355" w:lineRule="auto"/>
              <w:ind w:left="102" w:right="95" w:firstLine="485"/>
            </w:pPr>
            <w:r>
              <w:rPr>
                <w:spacing w:val="-4"/>
              </w:rPr>
              <w:t>本项目在场址中部平缓地新建一座</w:t>
            </w:r>
            <w:r>
              <w:rPr>
                <w:spacing w:val="-38"/>
              </w:rPr>
              <w:t xml:space="preserve"> </w:t>
            </w:r>
            <w:r>
              <w:rPr>
                <w:rFonts w:ascii="Times New Roman" w:hAnsi="Times New Roman" w:eastAsia="Times New Roman" w:cs="Times New Roman"/>
                <w:spacing w:val="-4"/>
              </w:rPr>
              <w:t xml:space="preserve">220kV </w:t>
            </w:r>
            <w:r>
              <w:rPr>
                <w:spacing w:val="-4"/>
              </w:rPr>
              <w:t>升压站，位于项目区块</w:t>
            </w:r>
            <w:r>
              <w:rPr>
                <w:spacing w:val="-45"/>
              </w:rPr>
              <w:t xml:space="preserve"> </w:t>
            </w:r>
            <w:r>
              <w:rPr>
                <w:rFonts w:ascii="Times New Roman" w:hAnsi="Times New Roman" w:eastAsia="Times New Roman" w:cs="Times New Roman"/>
                <w:spacing w:val="-4"/>
              </w:rPr>
              <w:t>8</w:t>
            </w:r>
            <w:r>
              <w:rPr>
                <w:rFonts w:ascii="Times New Roman" w:hAnsi="Times New Roman" w:eastAsia="Times New Roman" w:cs="Times New Roman"/>
                <w:spacing w:val="39"/>
              </w:rPr>
              <w:t xml:space="preserve"> </w:t>
            </w:r>
            <w:r>
              <w:rPr>
                <w:spacing w:val="-4"/>
              </w:rPr>
              <w:t>内东侧，</w:t>
            </w:r>
            <w:r>
              <w:t xml:space="preserve"> </w:t>
            </w:r>
            <w:r>
              <w:rPr>
                <w:rFonts w:ascii="Times New Roman" w:hAnsi="Times New Roman" w:eastAsia="Times New Roman" w:cs="Times New Roman"/>
                <w:spacing w:val="-4"/>
              </w:rPr>
              <w:t xml:space="preserve">220kV </w:t>
            </w:r>
            <w:r>
              <w:rPr>
                <w:spacing w:val="-4"/>
              </w:rPr>
              <w:t>升压站规模为</w:t>
            </w:r>
            <w:r>
              <w:rPr>
                <w:spacing w:val="-20"/>
              </w:rPr>
              <w:t xml:space="preserve"> </w:t>
            </w:r>
            <w:r>
              <w:rPr>
                <w:rFonts w:ascii="Times New Roman" w:hAnsi="Times New Roman" w:eastAsia="Times New Roman" w:cs="Times New Roman"/>
                <w:spacing w:val="-4"/>
              </w:rPr>
              <w:t>180MVA</w:t>
            </w:r>
            <w:r>
              <w:rPr>
                <w:rFonts w:ascii="Times New Roman" w:hAnsi="Times New Roman" w:eastAsia="Times New Roman" w:cs="Times New Roman"/>
                <w:spacing w:val="-34"/>
              </w:rPr>
              <w:t xml:space="preserve"> </w:t>
            </w:r>
            <w:r>
              <w:rPr>
                <w:spacing w:val="-4"/>
              </w:rPr>
              <w:t>，</w:t>
            </w:r>
            <w:r>
              <w:rPr>
                <w:spacing w:val="-68"/>
              </w:rPr>
              <w:t xml:space="preserve"> </w:t>
            </w:r>
            <w:r>
              <w:rPr>
                <w:spacing w:val="-4"/>
              </w:rPr>
              <w:t>占地面积</w:t>
            </w:r>
            <w:r>
              <w:rPr>
                <w:spacing w:val="-30"/>
              </w:rPr>
              <w:t xml:space="preserve"> </w:t>
            </w:r>
            <w:r>
              <w:rPr>
                <w:rFonts w:ascii="Times New Roman" w:hAnsi="Times New Roman" w:eastAsia="Times New Roman" w:cs="Times New Roman"/>
                <w:spacing w:val="-4"/>
              </w:rPr>
              <w:t>13888m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7"/>
                <w:position w:val="8"/>
                <w:sz w:val="15"/>
                <w:szCs w:val="15"/>
              </w:rPr>
              <w:t xml:space="preserve"> </w:t>
            </w:r>
            <w:r>
              <w:rPr>
                <w:spacing w:val="-4"/>
              </w:rPr>
              <w:t>，分为生产区和生活区。其中</w:t>
            </w:r>
            <w:r>
              <w:t xml:space="preserve"> 生产区整体布置于升压站中部、南部，生活</w:t>
            </w:r>
            <w:r>
              <w:rPr>
                <w:spacing w:val="-1"/>
              </w:rPr>
              <w:t>区布置与升压站北部。生活区布置有</w:t>
            </w:r>
            <w:r>
              <w:t xml:space="preserve"> 综合楼、辅助用房及危废间，生活区四周适当绿化；生产</w:t>
            </w:r>
            <w:r>
              <w:rPr>
                <w:spacing w:val="-1"/>
              </w:rPr>
              <w:t>区中部布置主变一台、</w:t>
            </w:r>
            <w:r>
              <w:t xml:space="preserve"> 事故油池一座、主控楼及</w:t>
            </w:r>
            <w:r>
              <w:rPr>
                <w:spacing w:val="-50"/>
              </w:rPr>
              <w:t xml:space="preserve"> </w:t>
            </w:r>
            <w:r>
              <w:rPr>
                <w:rFonts w:ascii="Times New Roman" w:hAnsi="Times New Roman" w:eastAsia="Times New Roman" w:cs="Times New Roman"/>
              </w:rPr>
              <w:t xml:space="preserve">35KV </w:t>
            </w:r>
            <w:r>
              <w:t>配电室。升压站出</w:t>
            </w:r>
            <w:r>
              <w:rPr>
                <w:spacing w:val="-1"/>
              </w:rPr>
              <w:t>线由东侧出线，各电气设备之</w:t>
            </w:r>
            <w:r>
              <w:t xml:space="preserve"> </w:t>
            </w:r>
            <w:r>
              <w:rPr>
                <w:spacing w:val="-1"/>
              </w:rPr>
              <w:t>间通过电缆沟连接。</w:t>
            </w:r>
          </w:p>
          <w:p w14:paraId="1774F587">
            <w:pPr>
              <w:pStyle w:val="6"/>
              <w:spacing w:before="35" w:line="343" w:lineRule="auto"/>
              <w:ind w:left="101" w:right="104" w:firstLine="487"/>
            </w:pPr>
            <w:r>
              <w:rPr>
                <w:spacing w:val="2"/>
              </w:rPr>
              <w:t>升压站四周设</w:t>
            </w:r>
            <w:r>
              <w:rPr>
                <w:spacing w:val="-50"/>
              </w:rPr>
              <w:t xml:space="preserve"> </w:t>
            </w:r>
            <w:r>
              <w:rPr>
                <w:rFonts w:ascii="Times New Roman" w:hAnsi="Times New Roman" w:eastAsia="Times New Roman" w:cs="Times New Roman"/>
                <w:spacing w:val="2"/>
              </w:rPr>
              <w:t>2.5m</w:t>
            </w:r>
            <w:r>
              <w:rPr>
                <w:rFonts w:ascii="Times New Roman" w:hAnsi="Times New Roman" w:eastAsia="Times New Roman" w:cs="Times New Roman"/>
                <w:spacing w:val="19"/>
              </w:rPr>
              <w:t xml:space="preserve"> </w:t>
            </w:r>
            <w:r>
              <w:rPr>
                <w:spacing w:val="2"/>
              </w:rPr>
              <w:t>高砖砌围墙，升压站大门布置在场地</w:t>
            </w:r>
            <w:r>
              <w:rPr>
                <w:spacing w:val="1"/>
              </w:rPr>
              <w:t>北侧，站内道路为</w:t>
            </w:r>
            <w:r>
              <w:t xml:space="preserve"> </w:t>
            </w:r>
            <w:r>
              <w:rPr>
                <w:rFonts w:ascii="Times New Roman" w:hAnsi="Times New Roman" w:eastAsia="Times New Roman" w:cs="Times New Roman"/>
                <w:spacing w:val="-2"/>
              </w:rPr>
              <w:t>4.5m</w:t>
            </w:r>
            <w:r>
              <w:rPr>
                <w:rFonts w:ascii="Times New Roman" w:hAnsi="Times New Roman" w:eastAsia="Times New Roman" w:cs="Times New Roman"/>
                <w:spacing w:val="37"/>
                <w:w w:val="101"/>
              </w:rPr>
              <w:t xml:space="preserve"> </w:t>
            </w:r>
            <w:r>
              <w:rPr>
                <w:spacing w:val="-2"/>
              </w:rPr>
              <w:t>宽混凝土路面，在站内形成环形通道。</w:t>
            </w:r>
          </w:p>
        </w:tc>
      </w:tr>
    </w:tbl>
    <w:p w14:paraId="32799F84">
      <w:pPr>
        <w:rPr>
          <w:rFonts w:ascii="Arial"/>
          <w:sz w:val="21"/>
        </w:rPr>
      </w:pPr>
    </w:p>
    <w:p w14:paraId="27825028">
      <w:pPr>
        <w:rPr>
          <w:rFonts w:ascii="Arial" w:hAnsi="Arial" w:eastAsia="Arial" w:cs="Arial"/>
          <w:sz w:val="21"/>
          <w:szCs w:val="21"/>
        </w:rPr>
        <w:sectPr>
          <w:footerReference r:id="rId69" w:type="default"/>
          <w:pgSz w:w="11906" w:h="16839"/>
          <w:pgMar w:top="1431" w:right="1413" w:bottom="1278" w:left="1413" w:header="0" w:footer="1116" w:gutter="0"/>
          <w:cols w:space="720" w:num="1"/>
        </w:sectPr>
      </w:pPr>
    </w:p>
    <w:p w14:paraId="27D5B265">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0E5A4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27" w:hRule="atLeast"/>
        </w:trPr>
        <w:tc>
          <w:tcPr>
            <w:tcW w:w="464" w:type="dxa"/>
            <w:tcBorders>
              <w:bottom w:val="single" w:color="000000" w:sz="2" w:space="0"/>
              <w:right w:val="single" w:color="000000" w:sz="2" w:space="0"/>
            </w:tcBorders>
            <w:vAlign w:val="top"/>
          </w:tcPr>
          <w:p w14:paraId="68106532">
            <w:pPr>
              <w:rPr>
                <w:rFonts w:ascii="Arial"/>
                <w:sz w:val="21"/>
              </w:rPr>
            </w:pPr>
          </w:p>
        </w:tc>
        <w:tc>
          <w:tcPr>
            <w:tcW w:w="8600" w:type="dxa"/>
            <w:tcBorders>
              <w:left w:val="single" w:color="000000" w:sz="2" w:space="0"/>
              <w:bottom w:val="single" w:color="000000" w:sz="2" w:space="0"/>
            </w:tcBorders>
            <w:vAlign w:val="top"/>
          </w:tcPr>
          <w:p w14:paraId="4E5C9E5B">
            <w:pPr>
              <w:pStyle w:val="6"/>
              <w:spacing w:before="29" w:line="219" w:lineRule="auto"/>
              <w:ind w:left="583"/>
            </w:pPr>
            <w:r>
              <w:rPr>
                <w:rFonts w:ascii="Times New Roman" w:hAnsi="Times New Roman" w:eastAsia="Times New Roman" w:cs="Times New Roman"/>
                <w:b/>
                <w:bCs/>
                <w:spacing w:val="-7"/>
              </w:rPr>
              <w:t>2</w:t>
            </w:r>
            <w:r>
              <w:rPr>
                <w:rFonts w:ascii="Times New Roman" w:hAnsi="Times New Roman" w:eastAsia="Times New Roman" w:cs="Times New Roman"/>
                <w:b/>
                <w:bCs/>
                <w:spacing w:val="-33"/>
              </w:rPr>
              <w:t xml:space="preserve"> </w:t>
            </w:r>
            <w:r>
              <w:rPr>
                <w:b/>
                <w:bCs/>
                <w:spacing w:val="-7"/>
              </w:rPr>
              <w:t>、施工布置</w:t>
            </w:r>
          </w:p>
          <w:p w14:paraId="6F823AC4">
            <w:pPr>
              <w:pStyle w:val="6"/>
              <w:spacing w:before="183" w:line="220" w:lineRule="auto"/>
              <w:ind w:left="598"/>
            </w:pPr>
            <w:r>
              <w:rPr>
                <w:spacing w:val="-3"/>
              </w:rPr>
              <w:t>（</w:t>
            </w:r>
            <w:r>
              <w:rPr>
                <w:rFonts w:ascii="Times New Roman" w:hAnsi="Times New Roman" w:eastAsia="Times New Roman" w:cs="Times New Roman"/>
                <w:spacing w:val="-3"/>
              </w:rPr>
              <w:t>1</w:t>
            </w:r>
            <w:r>
              <w:rPr>
                <w:spacing w:val="-3"/>
              </w:rPr>
              <w:t>）施工营场地</w:t>
            </w:r>
          </w:p>
          <w:p w14:paraId="7A864117">
            <w:pPr>
              <w:pStyle w:val="6"/>
              <w:spacing w:before="179" w:line="353" w:lineRule="auto"/>
              <w:ind w:left="110" w:right="102" w:firstLine="475"/>
            </w:pPr>
            <w:r>
              <w:rPr>
                <w:spacing w:val="-3"/>
              </w:rPr>
              <w:t>施工期间布设</w:t>
            </w:r>
            <w:r>
              <w:rPr>
                <w:spacing w:val="-31"/>
              </w:rPr>
              <w:t xml:space="preserve"> </w:t>
            </w:r>
            <w:r>
              <w:rPr>
                <w:rFonts w:ascii="Times New Roman" w:hAnsi="Times New Roman" w:eastAsia="Times New Roman" w:cs="Times New Roman"/>
                <w:spacing w:val="-3"/>
              </w:rPr>
              <w:t xml:space="preserve">1 </w:t>
            </w:r>
            <w:r>
              <w:rPr>
                <w:spacing w:val="-3"/>
              </w:rPr>
              <w:t>个施工营场地，位于项目地块</w:t>
            </w:r>
            <w:r>
              <w:rPr>
                <w:spacing w:val="-45"/>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38"/>
                <w:w w:val="101"/>
              </w:rPr>
              <w:t xml:space="preserve"> </w:t>
            </w:r>
            <w:r>
              <w:rPr>
                <w:spacing w:val="-3"/>
              </w:rPr>
              <w:t>内，场地中心地理坐标为：</w:t>
            </w:r>
            <w:r>
              <w:t xml:space="preserve"> </w:t>
            </w:r>
            <w:r>
              <w:rPr>
                <w:spacing w:val="-1"/>
              </w:rPr>
              <w:t>东经</w:t>
            </w:r>
            <w:r>
              <w:rPr>
                <w:spacing w:val="-27"/>
              </w:rPr>
              <w:t xml:space="preserve"> </w:t>
            </w:r>
            <w:r>
              <w:rPr>
                <w:rFonts w:ascii="Times New Roman" w:hAnsi="Times New Roman" w:eastAsia="Times New Roman" w:cs="Times New Roman"/>
                <w:spacing w:val="-1"/>
              </w:rPr>
              <w:t>103°25′</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12.564″</w:t>
            </w:r>
            <w:r>
              <w:rPr>
                <w:rFonts w:ascii="Times New Roman" w:hAnsi="Times New Roman" w:eastAsia="Times New Roman" w:cs="Times New Roman"/>
                <w:spacing w:val="-25"/>
              </w:rPr>
              <w:t xml:space="preserve"> </w:t>
            </w:r>
            <w:r>
              <w:rPr>
                <w:spacing w:val="-1"/>
              </w:rPr>
              <w:t>，北纬</w:t>
            </w:r>
            <w:r>
              <w:rPr>
                <w:spacing w:val="-50"/>
              </w:rPr>
              <w:t xml:space="preserve"> </w:t>
            </w:r>
            <w:r>
              <w:rPr>
                <w:rFonts w:ascii="Times New Roman" w:hAnsi="Times New Roman" w:eastAsia="Times New Roman" w:cs="Times New Roman"/>
                <w:spacing w:val="-1"/>
              </w:rPr>
              <w:t>25°41′4</w:t>
            </w:r>
            <w:r>
              <w:rPr>
                <w:rFonts w:ascii="Times New Roman" w:hAnsi="Times New Roman" w:eastAsia="Times New Roman" w:cs="Times New Roman"/>
                <w:spacing w:val="-2"/>
              </w:rPr>
              <w:t>2.938″</w:t>
            </w:r>
            <w:r>
              <w:rPr>
                <w:rFonts w:ascii="Times New Roman" w:hAnsi="Times New Roman" w:eastAsia="Times New Roman" w:cs="Times New Roman"/>
                <w:spacing w:val="-25"/>
              </w:rPr>
              <w:t xml:space="preserve"> </w:t>
            </w:r>
            <w:r>
              <w:rPr>
                <w:spacing w:val="-2"/>
              </w:rPr>
              <w:t>，不额外新增临时用地，用地面积</w:t>
            </w:r>
            <w:r>
              <w:rPr>
                <w:spacing w:val="-51"/>
              </w:rPr>
              <w:t xml:space="preserve"> </w:t>
            </w:r>
            <w:r>
              <w:rPr>
                <w:rFonts w:ascii="Times New Roman" w:hAnsi="Times New Roman" w:eastAsia="Times New Roman" w:cs="Times New Roman"/>
                <w:spacing w:val="-2"/>
              </w:rPr>
              <w:t xml:space="preserve">2 </w:t>
            </w:r>
            <w:r>
              <w:rPr>
                <w:spacing w:val="-2"/>
              </w:rPr>
              <w:t>亩</w:t>
            </w:r>
            <w:r>
              <w:t xml:space="preserve"> </w:t>
            </w:r>
            <w:r>
              <w:rPr>
                <w:spacing w:val="-1"/>
              </w:rPr>
              <w:t>（</w:t>
            </w:r>
            <w:r>
              <w:rPr>
                <w:rFonts w:ascii="Times New Roman" w:hAnsi="Times New Roman" w:eastAsia="Times New Roman" w:cs="Times New Roman"/>
                <w:spacing w:val="-1"/>
              </w:rPr>
              <w:t>1333m</w:t>
            </w:r>
            <w:r>
              <w:rPr>
                <w:rFonts w:ascii="Times New Roman" w:hAnsi="Times New Roman" w:eastAsia="Times New Roman" w:cs="Times New Roman"/>
                <w:spacing w:val="-1"/>
                <w:position w:val="7"/>
                <w:sz w:val="15"/>
                <w:szCs w:val="15"/>
              </w:rPr>
              <w:t xml:space="preserve">2 </w:t>
            </w:r>
            <w:r>
              <w:rPr>
                <w:spacing w:val="-20"/>
              </w:rPr>
              <w:t>），</w:t>
            </w:r>
            <w:r>
              <w:rPr>
                <w:spacing w:val="-1"/>
              </w:rPr>
              <w:t>主要布置材料堆场和办公生活区，采用外购商品混凝</w:t>
            </w:r>
            <w:r>
              <w:rPr>
                <w:spacing w:val="-2"/>
              </w:rPr>
              <w:t>土，不在厂区</w:t>
            </w:r>
            <w:r>
              <w:t xml:space="preserve"> </w:t>
            </w:r>
            <w:r>
              <w:rPr>
                <w:spacing w:val="-2"/>
              </w:rPr>
              <w:t>设置混凝土拌合站。</w:t>
            </w:r>
          </w:p>
          <w:p w14:paraId="6AC4BE45">
            <w:pPr>
              <w:pStyle w:val="6"/>
              <w:spacing w:before="35" w:line="350" w:lineRule="auto"/>
              <w:ind w:left="106" w:right="102" w:firstLine="480"/>
            </w:pPr>
            <w:r>
              <w:rPr>
                <w:spacing w:val="-1"/>
              </w:rPr>
              <w:t>其中材料堆放仓库占地面积约</w:t>
            </w:r>
            <w:r>
              <w:rPr>
                <w:spacing w:val="-36"/>
              </w:rPr>
              <w:t xml:space="preserve"> </w:t>
            </w:r>
            <w:r>
              <w:rPr>
                <w:rFonts w:ascii="Times New Roman" w:hAnsi="Times New Roman" w:eastAsia="Times New Roman" w:cs="Times New Roman"/>
                <w:spacing w:val="-1"/>
              </w:rPr>
              <w:t>500m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0"/>
                <w:position w:val="8"/>
                <w:sz w:val="15"/>
                <w:szCs w:val="15"/>
              </w:rPr>
              <w:t xml:space="preserve"> </w:t>
            </w:r>
            <w:r>
              <w:rPr>
                <w:spacing w:val="-1"/>
              </w:rPr>
              <w:t>，主要作为钢结构加工及堆放、太阳电</w:t>
            </w:r>
            <w:r>
              <w:t xml:space="preserve"> </w:t>
            </w:r>
            <w:r>
              <w:rPr>
                <w:spacing w:val="-1"/>
              </w:rPr>
              <w:t>池组件堆放，材料加工区占地面积约</w:t>
            </w:r>
            <w:r>
              <w:rPr>
                <w:spacing w:val="-35"/>
              </w:rPr>
              <w:t xml:space="preserve"> </w:t>
            </w:r>
            <w:r>
              <w:rPr>
                <w:rFonts w:ascii="Times New Roman" w:hAnsi="Times New Roman" w:eastAsia="Times New Roman" w:cs="Times New Roman"/>
                <w:spacing w:val="-1"/>
              </w:rPr>
              <w:t>500m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8"/>
                <w:position w:val="8"/>
                <w:sz w:val="15"/>
                <w:szCs w:val="15"/>
              </w:rPr>
              <w:t xml:space="preserve"> </w:t>
            </w:r>
            <w:r>
              <w:rPr>
                <w:spacing w:val="-1"/>
              </w:rPr>
              <w:t>，主要作为钢筋等材料的加工区域，</w:t>
            </w:r>
            <w:r>
              <w:t xml:space="preserve"> </w:t>
            </w:r>
            <w:r>
              <w:rPr>
                <w:spacing w:val="-2"/>
              </w:rPr>
              <w:t>办公区占地面积约</w:t>
            </w:r>
            <w:r>
              <w:rPr>
                <w:spacing w:val="-40"/>
              </w:rPr>
              <w:t xml:space="preserve"> </w:t>
            </w:r>
            <w:r>
              <w:rPr>
                <w:rFonts w:ascii="Times New Roman" w:hAnsi="Times New Roman" w:eastAsia="Times New Roman" w:cs="Times New Roman"/>
                <w:spacing w:val="-2"/>
              </w:rPr>
              <w:t>233m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0"/>
                <w:position w:val="8"/>
                <w:sz w:val="15"/>
                <w:szCs w:val="15"/>
              </w:rPr>
              <w:t xml:space="preserve"> </w:t>
            </w:r>
            <w:r>
              <w:rPr>
                <w:spacing w:val="-2"/>
              </w:rPr>
              <w:t>，该区域包含施工单位办公区等。</w:t>
            </w:r>
          </w:p>
          <w:p w14:paraId="0B723C3D">
            <w:pPr>
              <w:pStyle w:val="6"/>
              <w:spacing w:before="33" w:line="219" w:lineRule="auto"/>
              <w:ind w:left="598"/>
            </w:pPr>
            <w:r>
              <w:rPr>
                <w:spacing w:val="-4"/>
              </w:rPr>
              <w:t>（</w:t>
            </w:r>
            <w:r>
              <w:rPr>
                <w:rFonts w:ascii="Times New Roman" w:hAnsi="Times New Roman" w:eastAsia="Times New Roman" w:cs="Times New Roman"/>
                <w:spacing w:val="-4"/>
              </w:rPr>
              <w:t>2</w:t>
            </w:r>
            <w:r>
              <w:rPr>
                <w:spacing w:val="-4"/>
              </w:rPr>
              <w:t>）弃土场</w:t>
            </w:r>
          </w:p>
          <w:p w14:paraId="443972F7">
            <w:pPr>
              <w:pStyle w:val="6"/>
              <w:spacing w:before="180" w:line="219" w:lineRule="auto"/>
              <w:ind w:left="587"/>
            </w:pPr>
            <w:r>
              <w:t>本工程土石方量较少，施工期挖填平衡，不</w:t>
            </w:r>
            <w:r>
              <w:rPr>
                <w:spacing w:val="-1"/>
              </w:rPr>
              <w:t>产生弃渣，不设置弃土场。</w:t>
            </w:r>
          </w:p>
          <w:p w14:paraId="2C38BBF9">
            <w:pPr>
              <w:pStyle w:val="6"/>
              <w:spacing w:before="184" w:line="220" w:lineRule="auto"/>
              <w:ind w:left="598"/>
            </w:pPr>
            <w:r>
              <w:rPr>
                <w:spacing w:val="-3"/>
              </w:rPr>
              <w:t>（</w:t>
            </w:r>
            <w:r>
              <w:rPr>
                <w:rFonts w:ascii="Times New Roman" w:hAnsi="Times New Roman" w:eastAsia="Times New Roman" w:cs="Times New Roman"/>
                <w:spacing w:val="-3"/>
              </w:rPr>
              <w:t>3</w:t>
            </w:r>
            <w:r>
              <w:rPr>
                <w:spacing w:val="-3"/>
              </w:rPr>
              <w:t>）表土堆场</w:t>
            </w:r>
          </w:p>
          <w:p w14:paraId="7BA31858">
            <w:pPr>
              <w:pStyle w:val="6"/>
              <w:spacing w:before="184" w:line="355" w:lineRule="auto"/>
              <w:ind w:left="105" w:right="40" w:firstLine="483"/>
              <w:jc w:val="both"/>
            </w:pPr>
            <w:r>
              <w:t>工程在拟建升压站旁用规划</w:t>
            </w:r>
            <w:r>
              <w:rPr>
                <w:rFonts w:ascii="Times New Roman" w:hAnsi="Times New Roman" w:eastAsia="Times New Roman" w:cs="Times New Roman"/>
              </w:rPr>
              <w:t>1</w:t>
            </w:r>
            <w:r>
              <w:t>个表土堆场用</w:t>
            </w:r>
            <w:r>
              <w:rPr>
                <w:spacing w:val="-1"/>
              </w:rPr>
              <w:t>于堆存升压站及进站道路剥离的</w:t>
            </w:r>
            <w:r>
              <w:t xml:space="preserve">  </w:t>
            </w:r>
            <w:r>
              <w:rPr>
                <w:spacing w:val="-2"/>
              </w:rPr>
              <w:t>表土，在本项目用地范围内，不新增占地，占地面积约为</w:t>
            </w:r>
            <w:r>
              <w:rPr>
                <w:rFonts w:ascii="Times New Roman" w:hAnsi="Times New Roman" w:eastAsia="Times New Roman" w:cs="Times New Roman"/>
                <w:spacing w:val="-2"/>
              </w:rPr>
              <w:t>1000m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5"/>
                <w:position w:val="8"/>
                <w:sz w:val="15"/>
                <w:szCs w:val="15"/>
              </w:rPr>
              <w:t xml:space="preserve"> </w:t>
            </w:r>
            <w:r>
              <w:rPr>
                <w:spacing w:val="-2"/>
              </w:rPr>
              <w:t>，地理位置：东</w:t>
            </w:r>
            <w:r>
              <w:t xml:space="preserve"> </w:t>
            </w:r>
            <w:r>
              <w:rPr>
                <w:spacing w:val="-6"/>
              </w:rPr>
              <w:t>经</w:t>
            </w:r>
            <w:r>
              <w:rPr>
                <w:rFonts w:ascii="Times New Roman" w:hAnsi="Times New Roman" w:eastAsia="Times New Roman" w:cs="Times New Roman"/>
                <w:spacing w:val="-6"/>
              </w:rPr>
              <w:t>103</w:t>
            </w:r>
            <w:r>
              <w:rPr>
                <w:rFonts w:ascii="Times New Roman" w:hAnsi="Times New Roman" w:eastAsia="Times New Roman" w:cs="Times New Roman"/>
                <w:spacing w:val="-29"/>
              </w:rPr>
              <w:t xml:space="preserve"> </w:t>
            </w:r>
            <w:r>
              <w:rPr>
                <w:spacing w:val="-6"/>
              </w:rPr>
              <w:t>°</w:t>
            </w:r>
            <w:r>
              <w:rPr>
                <w:rFonts w:ascii="Times New Roman" w:hAnsi="Times New Roman" w:eastAsia="Times New Roman" w:cs="Times New Roman"/>
                <w:spacing w:val="-6"/>
              </w:rPr>
              <w:t>25'26.541"</w:t>
            </w:r>
            <w:r>
              <w:rPr>
                <w:spacing w:val="-6"/>
              </w:rPr>
              <w:t>，北纬</w:t>
            </w:r>
            <w:r>
              <w:rPr>
                <w:rFonts w:ascii="Times New Roman" w:hAnsi="Times New Roman" w:eastAsia="Times New Roman" w:cs="Times New Roman"/>
                <w:spacing w:val="-6"/>
              </w:rPr>
              <w:t>25</w:t>
            </w:r>
            <w:r>
              <w:rPr>
                <w:rFonts w:ascii="Times New Roman" w:hAnsi="Times New Roman" w:eastAsia="Times New Roman" w:cs="Times New Roman"/>
                <w:spacing w:val="-29"/>
              </w:rPr>
              <w:t xml:space="preserve"> </w:t>
            </w:r>
            <w:r>
              <w:rPr>
                <w:spacing w:val="-6"/>
              </w:rPr>
              <w:t>°</w:t>
            </w:r>
            <w:r>
              <w:rPr>
                <w:rFonts w:ascii="Times New Roman" w:hAnsi="Times New Roman" w:eastAsia="Times New Roman" w:cs="Times New Roman"/>
                <w:spacing w:val="-6"/>
              </w:rPr>
              <w:t>41'31.125"</w:t>
            </w:r>
            <w:r>
              <w:rPr>
                <w:spacing w:val="-6"/>
              </w:rPr>
              <w:t>；各箱变建设时剥离的表土就地堆存利</w:t>
            </w:r>
            <w:r>
              <w:rPr>
                <w:spacing w:val="-7"/>
              </w:rPr>
              <w:t>用，</w:t>
            </w:r>
            <w:r>
              <w:t xml:space="preserve"> </w:t>
            </w:r>
            <w:r>
              <w:rPr>
                <w:spacing w:val="-1"/>
              </w:rPr>
              <w:t>约</w:t>
            </w:r>
            <w:r>
              <w:rPr>
                <w:rFonts w:ascii="Times New Roman" w:hAnsi="Times New Roman" w:eastAsia="Times New Roman" w:cs="Times New Roman"/>
                <w:spacing w:val="-1"/>
              </w:rPr>
              <w:t>10m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rPr>
              <w:t>/</w:t>
            </w:r>
            <w:r>
              <w:rPr>
                <w:spacing w:val="-1"/>
              </w:rPr>
              <w:t>个，共约</w:t>
            </w:r>
            <w:r>
              <w:rPr>
                <w:rFonts w:ascii="Times New Roman" w:hAnsi="Times New Roman" w:eastAsia="Times New Roman" w:cs="Times New Roman"/>
                <w:spacing w:val="-1"/>
              </w:rPr>
              <w:t>370m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7"/>
                <w:position w:val="7"/>
                <w:sz w:val="15"/>
                <w:szCs w:val="15"/>
              </w:rPr>
              <w:t xml:space="preserve"> </w:t>
            </w:r>
            <w:r>
              <w:rPr>
                <w:spacing w:val="-1"/>
              </w:rPr>
              <w:t>，即用即回填；施工营地剥离的表土暂存于升压站旁临时</w:t>
            </w:r>
            <w:r>
              <w:t xml:space="preserve"> </w:t>
            </w:r>
            <w:r>
              <w:rPr>
                <w:spacing w:val="-1"/>
              </w:rPr>
              <w:t>表土堆场内，不单独设置。表土堆放期间采取临时拦挡、临时覆盖等措施进行综</w:t>
            </w:r>
            <w:r>
              <w:rPr>
                <w:spacing w:val="15"/>
              </w:rPr>
              <w:t xml:space="preserve"> </w:t>
            </w:r>
            <w:r>
              <w:rPr>
                <w:spacing w:val="-1"/>
              </w:rPr>
              <w:t>合防护，待主体工程进入施工末期，全部用于绿化及植被恢复覆土回填，清运结</w:t>
            </w:r>
            <w:r>
              <w:rPr>
                <w:spacing w:val="13"/>
              </w:rPr>
              <w:t xml:space="preserve"> </w:t>
            </w:r>
            <w:r>
              <w:rPr>
                <w:spacing w:val="-1"/>
              </w:rPr>
              <w:t>束后清理地表，进行撒草植被恢复。</w:t>
            </w:r>
          </w:p>
          <w:p w14:paraId="69830B65">
            <w:pPr>
              <w:pStyle w:val="6"/>
              <w:spacing w:before="29" w:line="224" w:lineRule="auto"/>
              <w:ind w:left="2646"/>
              <w:rPr>
                <w:sz w:val="20"/>
                <w:szCs w:val="20"/>
              </w:rPr>
            </w:pPr>
            <w:r>
              <w:rPr>
                <w:b/>
                <w:bCs/>
                <w:spacing w:val="4"/>
                <w:sz w:val="20"/>
                <w:szCs w:val="20"/>
              </w:rPr>
              <w:t>表</w:t>
            </w:r>
            <w:r>
              <w:rPr>
                <w:spacing w:val="-40"/>
                <w:sz w:val="20"/>
                <w:szCs w:val="20"/>
              </w:rPr>
              <w:t xml:space="preserve"> </w:t>
            </w:r>
            <w:r>
              <w:rPr>
                <w:rFonts w:ascii="Times New Roman" w:hAnsi="Times New Roman" w:eastAsia="Times New Roman" w:cs="Times New Roman"/>
                <w:b/>
                <w:bCs/>
                <w:spacing w:val="4"/>
                <w:sz w:val="20"/>
                <w:szCs w:val="20"/>
              </w:rPr>
              <w:t xml:space="preserve">2- 11      </w:t>
            </w:r>
            <w:r>
              <w:rPr>
                <w:b/>
                <w:bCs/>
                <w:spacing w:val="4"/>
                <w:sz w:val="20"/>
                <w:szCs w:val="20"/>
              </w:rPr>
              <w:t>表土临时堆场规划统计表</w:t>
            </w:r>
          </w:p>
          <w:tbl>
            <w:tblPr>
              <w:tblStyle w:val="5"/>
              <w:tblW w:w="838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1"/>
              <w:gridCol w:w="2224"/>
              <w:gridCol w:w="1172"/>
              <w:gridCol w:w="1363"/>
              <w:gridCol w:w="1170"/>
              <w:gridCol w:w="1570"/>
            </w:tblGrid>
            <w:tr w14:paraId="520C4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81" w:type="dxa"/>
                  <w:vAlign w:val="top"/>
                </w:tcPr>
                <w:p w14:paraId="7B85EE6A">
                  <w:pPr>
                    <w:pStyle w:val="6"/>
                    <w:spacing w:before="218" w:line="229" w:lineRule="auto"/>
                    <w:ind w:left="235"/>
                    <w:rPr>
                      <w:sz w:val="20"/>
                      <w:szCs w:val="20"/>
                    </w:rPr>
                  </w:pPr>
                  <w:r>
                    <w:rPr>
                      <w:b/>
                      <w:bCs/>
                      <w:spacing w:val="4"/>
                      <w:sz w:val="20"/>
                      <w:szCs w:val="20"/>
                    </w:rPr>
                    <w:t>序号</w:t>
                  </w:r>
                </w:p>
              </w:tc>
              <w:tc>
                <w:tcPr>
                  <w:tcW w:w="2224" w:type="dxa"/>
                  <w:vAlign w:val="top"/>
                </w:tcPr>
                <w:p w14:paraId="347BC644">
                  <w:pPr>
                    <w:pStyle w:val="6"/>
                    <w:spacing w:before="217" w:line="228" w:lineRule="auto"/>
                    <w:ind w:left="694"/>
                    <w:rPr>
                      <w:sz w:val="20"/>
                      <w:szCs w:val="20"/>
                    </w:rPr>
                  </w:pPr>
                  <w:r>
                    <w:rPr>
                      <w:b/>
                      <w:bCs/>
                      <w:spacing w:val="6"/>
                      <w:sz w:val="20"/>
                      <w:szCs w:val="20"/>
                    </w:rPr>
                    <w:t>堆存位置</w:t>
                  </w:r>
                </w:p>
              </w:tc>
              <w:tc>
                <w:tcPr>
                  <w:tcW w:w="1172" w:type="dxa"/>
                  <w:vAlign w:val="top"/>
                </w:tcPr>
                <w:p w14:paraId="4A38C20E">
                  <w:pPr>
                    <w:pStyle w:val="6"/>
                    <w:spacing w:before="218" w:line="229" w:lineRule="auto"/>
                    <w:ind w:left="81"/>
                    <w:rPr>
                      <w:sz w:val="20"/>
                      <w:szCs w:val="20"/>
                    </w:rPr>
                  </w:pPr>
                  <w:r>
                    <w:rPr>
                      <w:b/>
                      <w:bCs/>
                      <w:spacing w:val="-8"/>
                      <w:sz w:val="20"/>
                      <w:szCs w:val="20"/>
                    </w:rPr>
                    <w:t>占地（</w:t>
                  </w:r>
                  <w:r>
                    <w:rPr>
                      <w:spacing w:val="-59"/>
                      <w:sz w:val="20"/>
                      <w:szCs w:val="20"/>
                    </w:rPr>
                    <w:t xml:space="preserve"> </w:t>
                  </w:r>
                  <w:r>
                    <w:rPr>
                      <w:rFonts w:ascii="Times New Roman" w:hAnsi="Times New Roman" w:eastAsia="Times New Roman" w:cs="Times New Roman"/>
                      <w:b/>
                      <w:bCs/>
                      <w:spacing w:val="-8"/>
                      <w:sz w:val="20"/>
                      <w:szCs w:val="20"/>
                    </w:rPr>
                    <w:t>m</w:t>
                  </w:r>
                  <w:r>
                    <w:rPr>
                      <w:rFonts w:ascii="Times New Roman" w:hAnsi="Times New Roman" w:eastAsia="Times New Roman" w:cs="Times New Roman"/>
                      <w:b/>
                      <w:bCs/>
                      <w:spacing w:val="-8"/>
                      <w:position w:val="6"/>
                      <w:sz w:val="13"/>
                      <w:szCs w:val="13"/>
                    </w:rPr>
                    <w:t>2</w:t>
                  </w:r>
                  <w:r>
                    <w:rPr>
                      <w:b/>
                      <w:bCs/>
                      <w:spacing w:val="-8"/>
                      <w:sz w:val="20"/>
                      <w:szCs w:val="20"/>
                    </w:rPr>
                    <w:t>）</w:t>
                  </w:r>
                </w:p>
              </w:tc>
              <w:tc>
                <w:tcPr>
                  <w:tcW w:w="1363" w:type="dxa"/>
                  <w:vAlign w:val="top"/>
                </w:tcPr>
                <w:p w14:paraId="2B18694B">
                  <w:pPr>
                    <w:pStyle w:val="6"/>
                    <w:spacing w:before="217" w:line="228" w:lineRule="auto"/>
                    <w:jc w:val="right"/>
                    <w:rPr>
                      <w:sz w:val="20"/>
                      <w:szCs w:val="20"/>
                    </w:rPr>
                  </w:pPr>
                  <w:r>
                    <w:rPr>
                      <w:b/>
                      <w:bCs/>
                      <w:spacing w:val="-11"/>
                      <w:sz w:val="20"/>
                      <w:szCs w:val="20"/>
                    </w:rPr>
                    <w:t>堆土高度（</w:t>
                  </w:r>
                  <w:r>
                    <w:rPr>
                      <w:spacing w:val="-54"/>
                      <w:sz w:val="20"/>
                      <w:szCs w:val="20"/>
                    </w:rPr>
                    <w:t xml:space="preserve"> </w:t>
                  </w:r>
                  <w:r>
                    <w:rPr>
                      <w:rFonts w:ascii="Times New Roman" w:hAnsi="Times New Roman" w:eastAsia="Times New Roman" w:cs="Times New Roman"/>
                      <w:b/>
                      <w:bCs/>
                      <w:spacing w:val="-11"/>
                      <w:sz w:val="20"/>
                      <w:szCs w:val="20"/>
                    </w:rPr>
                    <w:t>m</w:t>
                  </w:r>
                  <w:r>
                    <w:rPr>
                      <w:b/>
                      <w:bCs/>
                      <w:spacing w:val="-11"/>
                      <w:sz w:val="20"/>
                      <w:szCs w:val="20"/>
                    </w:rPr>
                    <w:t>）</w:t>
                  </w:r>
                </w:p>
              </w:tc>
              <w:tc>
                <w:tcPr>
                  <w:tcW w:w="1170" w:type="dxa"/>
                  <w:vAlign w:val="top"/>
                </w:tcPr>
                <w:p w14:paraId="4FB1AC90">
                  <w:pPr>
                    <w:pStyle w:val="6"/>
                    <w:spacing w:before="82" w:line="239" w:lineRule="auto"/>
                    <w:ind w:left="487" w:right="56" w:hanging="423"/>
                    <w:rPr>
                      <w:sz w:val="20"/>
                      <w:szCs w:val="20"/>
                    </w:rPr>
                  </w:pPr>
                  <w:r>
                    <w:rPr>
                      <w:b/>
                      <w:bCs/>
                      <w:spacing w:val="6"/>
                      <w:sz w:val="20"/>
                      <w:szCs w:val="20"/>
                    </w:rPr>
                    <w:t>控制堆土边</w:t>
                  </w:r>
                  <w:r>
                    <w:rPr>
                      <w:spacing w:val="2"/>
                      <w:sz w:val="20"/>
                      <w:szCs w:val="20"/>
                    </w:rPr>
                    <w:t xml:space="preserve"> </w:t>
                  </w:r>
                  <w:r>
                    <w:rPr>
                      <w:b/>
                      <w:bCs/>
                      <w:spacing w:val="-2"/>
                      <w:sz w:val="20"/>
                      <w:szCs w:val="20"/>
                    </w:rPr>
                    <w:t>坡</w:t>
                  </w:r>
                </w:p>
              </w:tc>
              <w:tc>
                <w:tcPr>
                  <w:tcW w:w="1570" w:type="dxa"/>
                  <w:vAlign w:val="top"/>
                </w:tcPr>
                <w:p w14:paraId="016FE1C7">
                  <w:pPr>
                    <w:pStyle w:val="6"/>
                    <w:spacing w:before="218" w:line="228" w:lineRule="auto"/>
                    <w:ind w:left="117"/>
                    <w:rPr>
                      <w:sz w:val="20"/>
                      <w:szCs w:val="20"/>
                    </w:rPr>
                  </w:pPr>
                  <w:r>
                    <w:rPr>
                      <w:b/>
                      <w:bCs/>
                      <w:spacing w:val="3"/>
                      <w:sz w:val="20"/>
                      <w:szCs w:val="20"/>
                    </w:rPr>
                    <w:t>容量（万</w:t>
                  </w:r>
                  <w:r>
                    <w:rPr>
                      <w:spacing w:val="-36"/>
                      <w:sz w:val="20"/>
                      <w:szCs w:val="20"/>
                    </w:rPr>
                    <w:t xml:space="preserve"> </w:t>
                  </w:r>
                  <w:r>
                    <w:rPr>
                      <w:rFonts w:ascii="Times New Roman" w:hAnsi="Times New Roman" w:eastAsia="Times New Roman" w:cs="Times New Roman"/>
                      <w:b/>
                      <w:bCs/>
                      <w:spacing w:val="3"/>
                      <w:sz w:val="20"/>
                      <w:szCs w:val="20"/>
                    </w:rPr>
                    <w:t>m</w:t>
                  </w:r>
                  <w:r>
                    <w:rPr>
                      <w:rFonts w:ascii="Times New Roman" w:hAnsi="Times New Roman" w:eastAsia="Times New Roman" w:cs="Times New Roman"/>
                      <w:b/>
                      <w:bCs/>
                      <w:spacing w:val="3"/>
                      <w:position w:val="6"/>
                      <w:sz w:val="13"/>
                      <w:szCs w:val="13"/>
                    </w:rPr>
                    <w:t>3</w:t>
                  </w:r>
                  <w:r>
                    <w:rPr>
                      <w:b/>
                      <w:bCs/>
                      <w:spacing w:val="3"/>
                      <w:sz w:val="20"/>
                      <w:szCs w:val="20"/>
                    </w:rPr>
                    <w:t>）</w:t>
                  </w:r>
                </w:p>
              </w:tc>
            </w:tr>
            <w:tr w14:paraId="3AD69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81" w:type="dxa"/>
                  <w:vAlign w:val="top"/>
                </w:tcPr>
                <w:p w14:paraId="35AF7949">
                  <w:pPr>
                    <w:spacing w:before="8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24" w:type="dxa"/>
                  <w:vAlign w:val="top"/>
                </w:tcPr>
                <w:p w14:paraId="09476C59">
                  <w:pPr>
                    <w:pStyle w:val="6"/>
                    <w:spacing w:before="45" w:line="228" w:lineRule="auto"/>
                    <w:ind w:left="698"/>
                    <w:rPr>
                      <w:sz w:val="20"/>
                      <w:szCs w:val="20"/>
                    </w:rPr>
                  </w:pPr>
                  <w:r>
                    <w:rPr>
                      <w:spacing w:val="6"/>
                      <w:sz w:val="20"/>
                      <w:szCs w:val="20"/>
                    </w:rPr>
                    <w:t>升压站内</w:t>
                  </w:r>
                </w:p>
              </w:tc>
              <w:tc>
                <w:tcPr>
                  <w:tcW w:w="1172" w:type="dxa"/>
                  <w:vAlign w:val="top"/>
                </w:tcPr>
                <w:p w14:paraId="64CB85BB">
                  <w:pPr>
                    <w:spacing w:before="8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363" w:type="dxa"/>
                  <w:vAlign w:val="top"/>
                </w:tcPr>
                <w:p w14:paraId="45354BEA">
                  <w:pPr>
                    <w:spacing w:before="81"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170" w:type="dxa"/>
                  <w:vAlign w:val="top"/>
                </w:tcPr>
                <w:p w14:paraId="6F97A69A">
                  <w:pPr>
                    <w:spacing w:before="81"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1:1</w:t>
                  </w:r>
                </w:p>
              </w:tc>
              <w:tc>
                <w:tcPr>
                  <w:tcW w:w="1570" w:type="dxa"/>
                  <w:vAlign w:val="top"/>
                </w:tcPr>
                <w:p w14:paraId="35D47D84">
                  <w:pPr>
                    <w:spacing w:before="81"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r>
            <w:tr w14:paraId="4C897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81" w:type="dxa"/>
                  <w:vAlign w:val="top"/>
                </w:tcPr>
                <w:p w14:paraId="580A82E7">
                  <w:pPr>
                    <w:spacing w:before="82"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24" w:type="dxa"/>
                  <w:vAlign w:val="top"/>
                </w:tcPr>
                <w:p w14:paraId="1878BE19">
                  <w:pPr>
                    <w:pStyle w:val="6"/>
                    <w:spacing w:before="46" w:line="228" w:lineRule="auto"/>
                    <w:ind w:left="382"/>
                    <w:rPr>
                      <w:sz w:val="20"/>
                      <w:szCs w:val="20"/>
                    </w:rPr>
                  </w:pPr>
                  <w:r>
                    <w:rPr>
                      <w:spacing w:val="8"/>
                      <w:sz w:val="20"/>
                      <w:szCs w:val="20"/>
                    </w:rPr>
                    <w:t>各箱变基础周边</w:t>
                  </w:r>
                </w:p>
              </w:tc>
              <w:tc>
                <w:tcPr>
                  <w:tcW w:w="1172" w:type="dxa"/>
                  <w:vAlign w:val="top"/>
                </w:tcPr>
                <w:p w14:paraId="7A1FA741">
                  <w:pPr>
                    <w:spacing w:before="8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370</w:t>
                  </w:r>
                </w:p>
              </w:tc>
              <w:tc>
                <w:tcPr>
                  <w:tcW w:w="1363" w:type="dxa"/>
                  <w:vAlign w:val="top"/>
                </w:tcPr>
                <w:p w14:paraId="04F281C4">
                  <w:pPr>
                    <w:spacing w:before="82" w:line="195" w:lineRule="auto"/>
                    <w:ind w:left="5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70" w:type="dxa"/>
                  <w:vAlign w:val="top"/>
                </w:tcPr>
                <w:p w14:paraId="4572F1B7">
                  <w:pPr>
                    <w:spacing w:before="82"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w:t>
                  </w:r>
                </w:p>
              </w:tc>
              <w:tc>
                <w:tcPr>
                  <w:tcW w:w="1570" w:type="dxa"/>
                  <w:vAlign w:val="top"/>
                </w:tcPr>
                <w:p w14:paraId="66B4B3B0">
                  <w:pPr>
                    <w:spacing w:before="82"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r>
            <w:tr w14:paraId="140F9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81" w:type="dxa"/>
                  <w:vAlign w:val="top"/>
                </w:tcPr>
                <w:p w14:paraId="7CA9B875">
                  <w:pPr>
                    <w:rPr>
                      <w:rFonts w:ascii="Arial"/>
                      <w:sz w:val="21"/>
                    </w:rPr>
                  </w:pPr>
                </w:p>
              </w:tc>
              <w:tc>
                <w:tcPr>
                  <w:tcW w:w="2224" w:type="dxa"/>
                  <w:vAlign w:val="top"/>
                </w:tcPr>
                <w:p w14:paraId="5863C4AB">
                  <w:pPr>
                    <w:pStyle w:val="6"/>
                    <w:spacing w:before="46" w:line="228" w:lineRule="auto"/>
                    <w:ind w:left="906"/>
                    <w:rPr>
                      <w:sz w:val="20"/>
                      <w:szCs w:val="20"/>
                    </w:rPr>
                  </w:pPr>
                  <w:r>
                    <w:rPr>
                      <w:spacing w:val="4"/>
                      <w:sz w:val="20"/>
                      <w:szCs w:val="20"/>
                    </w:rPr>
                    <w:t>合计</w:t>
                  </w:r>
                </w:p>
              </w:tc>
              <w:tc>
                <w:tcPr>
                  <w:tcW w:w="1172" w:type="dxa"/>
                  <w:vAlign w:val="top"/>
                </w:tcPr>
                <w:p w14:paraId="56854CB2">
                  <w:pPr>
                    <w:spacing w:before="85"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4700</w:t>
                  </w:r>
                </w:p>
              </w:tc>
              <w:tc>
                <w:tcPr>
                  <w:tcW w:w="1363" w:type="dxa"/>
                  <w:vAlign w:val="top"/>
                </w:tcPr>
                <w:p w14:paraId="28627730">
                  <w:pPr>
                    <w:rPr>
                      <w:rFonts w:ascii="Arial"/>
                      <w:sz w:val="21"/>
                    </w:rPr>
                  </w:pPr>
                </w:p>
              </w:tc>
              <w:tc>
                <w:tcPr>
                  <w:tcW w:w="1170" w:type="dxa"/>
                  <w:vAlign w:val="top"/>
                </w:tcPr>
                <w:p w14:paraId="00F5D838">
                  <w:pPr>
                    <w:rPr>
                      <w:rFonts w:ascii="Arial"/>
                      <w:sz w:val="21"/>
                    </w:rPr>
                  </w:pPr>
                </w:p>
              </w:tc>
              <w:tc>
                <w:tcPr>
                  <w:tcW w:w="1570" w:type="dxa"/>
                  <w:vAlign w:val="top"/>
                </w:tcPr>
                <w:p w14:paraId="46A5FA09">
                  <w:pPr>
                    <w:rPr>
                      <w:rFonts w:ascii="Arial"/>
                      <w:sz w:val="21"/>
                    </w:rPr>
                  </w:pPr>
                </w:p>
              </w:tc>
            </w:tr>
            <w:tr w14:paraId="305EA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380" w:type="dxa"/>
                  <w:gridSpan w:val="6"/>
                  <w:vAlign w:val="top"/>
                </w:tcPr>
                <w:p w14:paraId="61F0F456">
                  <w:pPr>
                    <w:pStyle w:val="6"/>
                    <w:spacing w:before="47" w:line="228" w:lineRule="auto"/>
                    <w:ind w:left="2482"/>
                    <w:rPr>
                      <w:rFonts w:ascii="Times New Roman" w:hAnsi="Times New Roman" w:eastAsia="Times New Roman" w:cs="Times New Roman"/>
                      <w:sz w:val="13"/>
                      <w:szCs w:val="13"/>
                    </w:rPr>
                  </w:pPr>
                  <w:r>
                    <w:rPr>
                      <w:spacing w:val="6"/>
                      <w:sz w:val="20"/>
                      <w:szCs w:val="20"/>
                    </w:rPr>
                    <w:t>说明：单个箱变周边堆土面积约</w:t>
                  </w:r>
                  <w:r>
                    <w:rPr>
                      <w:spacing w:val="-7"/>
                      <w:sz w:val="20"/>
                      <w:szCs w:val="20"/>
                    </w:rPr>
                    <w:t xml:space="preserve"> </w:t>
                  </w:r>
                  <w:r>
                    <w:rPr>
                      <w:rFonts w:ascii="Times New Roman" w:hAnsi="Times New Roman" w:eastAsia="Times New Roman" w:cs="Times New Roman"/>
                      <w:spacing w:val="6"/>
                      <w:sz w:val="20"/>
                      <w:szCs w:val="20"/>
                    </w:rPr>
                    <w:t>10m</w:t>
                  </w:r>
                  <w:r>
                    <w:rPr>
                      <w:rFonts w:ascii="Times New Roman" w:hAnsi="Times New Roman" w:eastAsia="Times New Roman" w:cs="Times New Roman"/>
                      <w:spacing w:val="6"/>
                      <w:position w:val="6"/>
                      <w:sz w:val="13"/>
                      <w:szCs w:val="13"/>
                    </w:rPr>
                    <w:t>2</w:t>
                  </w:r>
                </w:p>
              </w:tc>
            </w:tr>
          </w:tbl>
          <w:p w14:paraId="2832FD24">
            <w:pPr>
              <w:pStyle w:val="6"/>
              <w:spacing w:before="35" w:line="220" w:lineRule="auto"/>
              <w:ind w:left="598"/>
            </w:pPr>
            <w:r>
              <w:rPr>
                <w:spacing w:val="-4"/>
              </w:rPr>
              <w:t>（</w:t>
            </w:r>
            <w:r>
              <w:rPr>
                <w:rFonts w:ascii="Times New Roman" w:hAnsi="Times New Roman" w:eastAsia="Times New Roman" w:cs="Times New Roman"/>
                <w:spacing w:val="-4"/>
              </w:rPr>
              <w:t>4</w:t>
            </w:r>
            <w:r>
              <w:rPr>
                <w:spacing w:val="-4"/>
              </w:rPr>
              <w:t>）取料场</w:t>
            </w:r>
          </w:p>
          <w:p w14:paraId="5DBF2259">
            <w:pPr>
              <w:pStyle w:val="6"/>
              <w:spacing w:before="182" w:line="338" w:lineRule="auto"/>
              <w:ind w:left="105" w:right="102" w:firstLine="481"/>
            </w:pPr>
            <w:r>
              <w:rPr>
                <w:spacing w:val="-1"/>
              </w:rPr>
              <w:t>本工程施工所用砂石料均在具有合法手续的沙石料场购买，工程不单独设置</w:t>
            </w:r>
            <w:r>
              <w:rPr>
                <w:spacing w:val="12"/>
              </w:rPr>
              <w:t xml:space="preserve"> </w:t>
            </w:r>
            <w:r>
              <w:rPr>
                <w:spacing w:val="-2"/>
              </w:rPr>
              <w:t>砂石料场。</w:t>
            </w:r>
          </w:p>
        </w:tc>
      </w:tr>
      <w:tr w14:paraId="348D9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1" w:hRule="atLeast"/>
        </w:trPr>
        <w:tc>
          <w:tcPr>
            <w:tcW w:w="464" w:type="dxa"/>
            <w:tcBorders>
              <w:top w:val="single" w:color="000000" w:sz="2" w:space="0"/>
              <w:right w:val="single" w:color="000000" w:sz="2" w:space="0"/>
            </w:tcBorders>
            <w:textDirection w:val="tbRlV"/>
            <w:vAlign w:val="top"/>
          </w:tcPr>
          <w:p w14:paraId="35C0334D">
            <w:pPr>
              <w:pStyle w:val="6"/>
              <w:spacing w:before="111" w:line="209" w:lineRule="auto"/>
              <w:ind w:left="48"/>
            </w:pPr>
            <w:r>
              <w:rPr>
                <w:spacing w:val="53"/>
              </w:rPr>
              <w:t>施工方案</w:t>
            </w:r>
          </w:p>
        </w:tc>
        <w:tc>
          <w:tcPr>
            <w:tcW w:w="8600" w:type="dxa"/>
            <w:tcBorders>
              <w:top w:val="single" w:color="000000" w:sz="2" w:space="0"/>
              <w:left w:val="single" w:color="000000" w:sz="2" w:space="0"/>
            </w:tcBorders>
            <w:vAlign w:val="top"/>
          </w:tcPr>
          <w:p w14:paraId="74265906">
            <w:pPr>
              <w:pStyle w:val="6"/>
              <w:spacing w:before="205" w:line="222" w:lineRule="auto"/>
              <w:ind w:left="590"/>
            </w:pPr>
            <w:r>
              <w:rPr>
                <w:b/>
                <w:bCs/>
                <w:spacing w:val="-4"/>
              </w:rPr>
              <w:t>一、施工工艺</w:t>
            </w:r>
          </w:p>
          <w:p w14:paraId="1B3CE7CD">
            <w:pPr>
              <w:pStyle w:val="6"/>
              <w:spacing w:before="176" w:line="219" w:lineRule="auto"/>
              <w:ind w:left="590"/>
            </w:pPr>
            <w:r>
              <w:rPr>
                <w:spacing w:val="-1"/>
              </w:rPr>
              <w:t>项目施工依托现有乡村公路、现有消防通道及山间道路入场，场区道路以消</w:t>
            </w:r>
          </w:p>
        </w:tc>
      </w:tr>
    </w:tbl>
    <w:p w14:paraId="16FF96CA">
      <w:pPr>
        <w:rPr>
          <w:rFonts w:ascii="Arial"/>
          <w:sz w:val="21"/>
        </w:rPr>
      </w:pPr>
    </w:p>
    <w:p w14:paraId="473EA6CB">
      <w:pPr>
        <w:rPr>
          <w:rFonts w:ascii="Arial" w:hAnsi="Arial" w:eastAsia="Arial" w:cs="Arial"/>
          <w:sz w:val="21"/>
          <w:szCs w:val="21"/>
        </w:rPr>
        <w:sectPr>
          <w:footerReference r:id="rId70" w:type="default"/>
          <w:pgSz w:w="11906" w:h="16839"/>
          <w:pgMar w:top="1431" w:right="1413" w:bottom="1278" w:left="1413" w:header="0" w:footer="1116" w:gutter="0"/>
          <w:cols w:space="720" w:num="1"/>
        </w:sectPr>
      </w:pPr>
    </w:p>
    <w:p w14:paraId="44FCA7B6">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4E00D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45" w:hRule="atLeast"/>
        </w:trPr>
        <w:tc>
          <w:tcPr>
            <w:tcW w:w="464" w:type="dxa"/>
            <w:tcBorders>
              <w:right w:val="single" w:color="000000" w:sz="2" w:space="0"/>
            </w:tcBorders>
            <w:vAlign w:val="top"/>
          </w:tcPr>
          <w:p w14:paraId="09630CDA">
            <w:pPr>
              <w:rPr>
                <w:rFonts w:ascii="Arial"/>
                <w:sz w:val="21"/>
              </w:rPr>
            </w:pPr>
          </w:p>
        </w:tc>
        <w:tc>
          <w:tcPr>
            <w:tcW w:w="8600" w:type="dxa"/>
            <w:tcBorders>
              <w:left w:val="single" w:color="000000" w:sz="2" w:space="0"/>
            </w:tcBorders>
            <w:vAlign w:val="top"/>
          </w:tcPr>
          <w:p w14:paraId="5F97B5AD">
            <w:pPr>
              <w:pStyle w:val="6"/>
              <w:spacing w:before="30" w:line="350" w:lineRule="auto"/>
              <w:ind w:left="109" w:right="102" w:firstLine="12"/>
              <w:jc w:val="both"/>
            </w:pPr>
            <w:r>
              <w:rPr>
                <w:spacing w:val="-1"/>
              </w:rPr>
              <w:t>防通道单独进行立项报批，本次不进行评价，建设单位在开展道路工程时另行办</w:t>
            </w:r>
            <w:r>
              <w:t xml:space="preserve"> </w:t>
            </w:r>
            <w:r>
              <w:rPr>
                <w:spacing w:val="-2"/>
              </w:rPr>
              <w:t>理相关环保手续。因此，项目施工内容主要包括：光伏厂区工程、</w:t>
            </w:r>
            <w:r>
              <w:rPr>
                <w:rFonts w:ascii="Times New Roman" w:hAnsi="Times New Roman" w:eastAsia="Times New Roman" w:cs="Times New Roman"/>
                <w:spacing w:val="-2"/>
              </w:rPr>
              <w:t xml:space="preserve">220KV </w:t>
            </w:r>
            <w:r>
              <w:rPr>
                <w:spacing w:val="-2"/>
              </w:rPr>
              <w:t>升压站</w:t>
            </w:r>
            <w:r>
              <w:rPr>
                <w:spacing w:val="6"/>
              </w:rPr>
              <w:t xml:space="preserve"> </w:t>
            </w:r>
            <w:r>
              <w:rPr>
                <w:spacing w:val="-1"/>
              </w:rPr>
              <w:t>工程、</w:t>
            </w:r>
            <w:r>
              <w:rPr>
                <w:rFonts w:ascii="Times New Roman" w:hAnsi="Times New Roman" w:eastAsia="Times New Roman" w:cs="Times New Roman"/>
                <w:spacing w:val="-1"/>
              </w:rPr>
              <w:t xml:space="preserve">35KV </w:t>
            </w:r>
            <w:r>
              <w:rPr>
                <w:spacing w:val="-1"/>
              </w:rPr>
              <w:t>集电线路工程。</w:t>
            </w:r>
          </w:p>
          <w:p w14:paraId="54805314">
            <w:pPr>
              <w:pStyle w:val="6"/>
              <w:spacing w:before="34" w:line="353" w:lineRule="auto"/>
              <w:ind w:left="106" w:right="102" w:firstLine="483"/>
              <w:jc w:val="both"/>
            </w:pPr>
            <w:r>
              <w:rPr>
                <w:spacing w:val="-1"/>
              </w:rPr>
              <w:t>项目施工期间将施工所需材料及施工机械运至项目场地内，对项目主要构筑</w:t>
            </w:r>
            <w:r>
              <w:rPr>
                <w:spacing w:val="9"/>
              </w:rPr>
              <w:t xml:space="preserve"> </w:t>
            </w:r>
            <w:r>
              <w:rPr>
                <w:spacing w:val="-1"/>
              </w:rPr>
              <w:t>物区需要进行平整的场地进行平整，继而进行项目区内主要的构筑物建设及太阳</w:t>
            </w:r>
            <w:r>
              <w:rPr>
                <w:spacing w:val="15"/>
              </w:rPr>
              <w:t xml:space="preserve"> </w:t>
            </w:r>
            <w:r>
              <w:rPr>
                <w:spacing w:val="-1"/>
              </w:rPr>
              <w:t>能电池组件的安装。电站建设及电池组件安装完成后进行设备调试，同时对项目</w:t>
            </w:r>
            <w:r>
              <w:rPr>
                <w:spacing w:val="15"/>
              </w:rPr>
              <w:t xml:space="preserve"> </w:t>
            </w:r>
            <w:r>
              <w:t>厂区内破坏的地表植被进行适当绿化恢复，调</w:t>
            </w:r>
            <w:r>
              <w:rPr>
                <w:spacing w:val="-1"/>
              </w:rPr>
              <w:t>试完成后投入正式运营。</w:t>
            </w:r>
          </w:p>
          <w:p w14:paraId="621FC22B">
            <w:pPr>
              <w:pStyle w:val="6"/>
              <w:spacing w:before="32" w:line="219" w:lineRule="auto"/>
              <w:ind w:left="605"/>
            </w:pPr>
            <w:r>
              <w:rPr>
                <w:rFonts w:ascii="Times New Roman" w:hAnsi="Times New Roman" w:eastAsia="Times New Roman" w:cs="Times New Roman"/>
                <w:spacing w:val="-7"/>
              </w:rPr>
              <w:t>1</w:t>
            </w:r>
            <w:r>
              <w:rPr>
                <w:rFonts w:ascii="Times New Roman" w:hAnsi="Times New Roman" w:eastAsia="Times New Roman" w:cs="Times New Roman"/>
                <w:spacing w:val="-33"/>
              </w:rPr>
              <w:t xml:space="preserve"> </w:t>
            </w:r>
            <w:r>
              <w:rPr>
                <w:spacing w:val="-7"/>
              </w:rPr>
              <w:t>、</w:t>
            </w:r>
            <w:r>
              <w:rPr>
                <w:b/>
                <w:bCs/>
                <w:spacing w:val="-7"/>
              </w:rPr>
              <w:t>光伏厂区施工方案</w:t>
            </w:r>
          </w:p>
          <w:p w14:paraId="7FBF4681">
            <w:pPr>
              <w:pStyle w:val="6"/>
              <w:spacing w:before="183" w:line="354" w:lineRule="auto"/>
              <w:ind w:left="104" w:right="104" w:firstLine="483"/>
            </w:pPr>
            <w:r>
              <w:rPr>
                <w:spacing w:val="-1"/>
              </w:rPr>
              <w:t>光伏厂区工程需要进行光伏支架、单晶硅光伏组件安装、电缆敷设等工作，</w:t>
            </w:r>
            <w:r>
              <w:rPr>
                <w:spacing w:val="8"/>
              </w:rPr>
              <w:t xml:space="preserve"> </w:t>
            </w:r>
            <w:r>
              <w:rPr>
                <w:spacing w:val="-1"/>
              </w:rPr>
              <w:t>施工过程主要为：施工测量、混凝土灌注桩施工、土方开挖施工、砼垫层施工、</w:t>
            </w:r>
            <w:r>
              <w:rPr>
                <w:spacing w:val="14"/>
              </w:rPr>
              <w:t xml:space="preserve"> </w:t>
            </w:r>
            <w:r>
              <w:rPr>
                <w:spacing w:val="-1"/>
              </w:rPr>
              <w:t>钢筋工程、模板工程、混凝土工程、土方回填工程、光伏支架安装、光伏组件安</w:t>
            </w:r>
            <w:r>
              <w:rPr>
                <w:spacing w:val="14"/>
              </w:rPr>
              <w:t xml:space="preserve"> </w:t>
            </w:r>
            <w:r>
              <w:rPr>
                <w:spacing w:val="-1"/>
              </w:rPr>
              <w:t>装、逆变器安装接线、箱式变压器安装、电缆敷设、电缆头制作安装。工艺流程</w:t>
            </w:r>
            <w:r>
              <w:rPr>
                <w:spacing w:val="14"/>
              </w:rPr>
              <w:t xml:space="preserve"> </w:t>
            </w:r>
            <w:r>
              <w:rPr>
                <w:spacing w:val="-2"/>
              </w:rPr>
              <w:t>图如下所示：</w:t>
            </w:r>
          </w:p>
          <w:p w14:paraId="1D91B46E">
            <w:pPr>
              <w:spacing w:before="77" w:line="4828" w:lineRule="exact"/>
              <w:ind w:firstLine="199"/>
            </w:pPr>
            <w:r>
              <w:rPr>
                <w:position w:val="-96"/>
              </w:rPr>
              <w:drawing>
                <wp:inline distT="0" distB="0" distL="0" distR="0">
                  <wp:extent cx="5135245" cy="30651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03"/>
                          <a:stretch>
                            <a:fillRect/>
                          </a:stretch>
                        </pic:blipFill>
                        <pic:spPr>
                          <a:xfrm>
                            <a:off x="0" y="0"/>
                            <a:ext cx="5135681" cy="3065716"/>
                          </a:xfrm>
                          <a:prstGeom prst="rect">
                            <a:avLst/>
                          </a:prstGeom>
                        </pic:spPr>
                      </pic:pic>
                    </a:graphicData>
                  </a:graphic>
                </wp:inline>
              </w:drawing>
            </w:r>
          </w:p>
          <w:p w14:paraId="61F839D7">
            <w:pPr>
              <w:spacing w:line="261" w:lineRule="auto"/>
              <w:rPr>
                <w:rFonts w:ascii="Arial"/>
                <w:sz w:val="21"/>
              </w:rPr>
            </w:pPr>
          </w:p>
          <w:p w14:paraId="46A06CD0">
            <w:pPr>
              <w:spacing w:line="262" w:lineRule="auto"/>
              <w:rPr>
                <w:rFonts w:ascii="Arial"/>
                <w:sz w:val="21"/>
              </w:rPr>
            </w:pPr>
          </w:p>
          <w:p w14:paraId="2F7071AD">
            <w:pPr>
              <w:pStyle w:val="6"/>
              <w:spacing w:before="65" w:line="227" w:lineRule="auto"/>
              <w:ind w:left="2310"/>
              <w:outlineLvl w:val="1"/>
              <w:rPr>
                <w:sz w:val="20"/>
                <w:szCs w:val="20"/>
              </w:rPr>
            </w:pPr>
            <w:r>
              <w:rPr>
                <w:b/>
                <w:bCs/>
                <w:spacing w:val="6"/>
                <w:sz w:val="20"/>
                <w:szCs w:val="20"/>
              </w:rPr>
              <w:t>图</w:t>
            </w:r>
            <w:r>
              <w:rPr>
                <w:spacing w:val="-40"/>
                <w:sz w:val="20"/>
                <w:szCs w:val="20"/>
              </w:rPr>
              <w:t xml:space="preserve"> </w:t>
            </w:r>
            <w:r>
              <w:rPr>
                <w:rFonts w:ascii="Times New Roman" w:hAnsi="Times New Roman" w:eastAsia="Times New Roman" w:cs="Times New Roman"/>
                <w:b/>
                <w:bCs/>
                <w:spacing w:val="6"/>
                <w:sz w:val="20"/>
                <w:szCs w:val="20"/>
              </w:rPr>
              <w:t xml:space="preserve">2-2  </w:t>
            </w:r>
            <w:r>
              <w:rPr>
                <w:b/>
                <w:bCs/>
                <w:spacing w:val="6"/>
                <w:sz w:val="20"/>
                <w:szCs w:val="20"/>
              </w:rPr>
              <w:t>光伏阵区施工工艺流程及产污节</w:t>
            </w:r>
            <w:r>
              <w:rPr>
                <w:b/>
                <w:bCs/>
                <w:spacing w:val="5"/>
                <w:sz w:val="20"/>
                <w:szCs w:val="20"/>
              </w:rPr>
              <w:t>点图</w:t>
            </w:r>
          </w:p>
          <w:p w14:paraId="17C0EB96">
            <w:pPr>
              <w:pStyle w:val="6"/>
              <w:spacing w:before="167" w:line="221" w:lineRule="auto"/>
              <w:ind w:left="598"/>
            </w:pPr>
            <w:r>
              <w:rPr>
                <w:b/>
                <w:bCs/>
                <w:spacing w:val="-5"/>
              </w:rPr>
              <w:t>（</w:t>
            </w:r>
            <w:r>
              <w:rPr>
                <w:rFonts w:ascii="Times New Roman" w:hAnsi="Times New Roman" w:eastAsia="Times New Roman" w:cs="Times New Roman"/>
                <w:b/>
                <w:bCs/>
                <w:spacing w:val="-5"/>
              </w:rPr>
              <w:t>1</w:t>
            </w:r>
            <w:r>
              <w:rPr>
                <w:b/>
                <w:bCs/>
                <w:spacing w:val="-5"/>
              </w:rPr>
              <w:t>）施工测量</w:t>
            </w:r>
          </w:p>
          <w:p w14:paraId="688D0D5B">
            <w:pPr>
              <w:pStyle w:val="6"/>
              <w:spacing w:before="182" w:line="342" w:lineRule="auto"/>
              <w:ind w:left="109" w:right="102" w:firstLine="476"/>
            </w:pPr>
            <w:r>
              <w:rPr>
                <w:spacing w:val="-1"/>
              </w:rPr>
              <w:t>施工测量主要是施工人员使用测量设备设施完成，主要对照施工图对进行施</w:t>
            </w:r>
            <w:r>
              <w:rPr>
                <w:spacing w:val="13"/>
              </w:rPr>
              <w:t xml:space="preserve"> </w:t>
            </w:r>
            <w:r>
              <w:rPr>
                <w:spacing w:val="-1"/>
              </w:rPr>
              <w:t>工基点进行确定及标记，做好施工现场平面工程红线桩的检验工作。按各建筑物</w:t>
            </w:r>
          </w:p>
        </w:tc>
      </w:tr>
    </w:tbl>
    <w:p w14:paraId="759D1344">
      <w:pPr>
        <w:rPr>
          <w:rFonts w:ascii="Arial"/>
          <w:sz w:val="21"/>
        </w:rPr>
      </w:pPr>
    </w:p>
    <w:p w14:paraId="624B0034">
      <w:pPr>
        <w:rPr>
          <w:rFonts w:ascii="Arial" w:hAnsi="Arial" w:eastAsia="Arial" w:cs="Arial"/>
          <w:sz w:val="21"/>
          <w:szCs w:val="21"/>
        </w:rPr>
        <w:sectPr>
          <w:footerReference r:id="rId71" w:type="default"/>
          <w:pgSz w:w="11906" w:h="16839"/>
          <w:pgMar w:top="1431" w:right="1413" w:bottom="1278" w:left="1413" w:header="0" w:footer="1116" w:gutter="0"/>
          <w:cols w:space="720" w:num="1"/>
        </w:sectPr>
      </w:pPr>
    </w:p>
    <w:p w14:paraId="605A832E">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521F3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464" w:type="dxa"/>
            <w:tcBorders>
              <w:right w:val="single" w:color="000000" w:sz="2" w:space="0"/>
            </w:tcBorders>
            <w:vAlign w:val="top"/>
          </w:tcPr>
          <w:p w14:paraId="4E78265E">
            <w:pPr>
              <w:rPr>
                <w:rFonts w:ascii="Arial"/>
                <w:sz w:val="21"/>
              </w:rPr>
            </w:pPr>
          </w:p>
        </w:tc>
        <w:tc>
          <w:tcPr>
            <w:tcW w:w="8600" w:type="dxa"/>
            <w:tcBorders>
              <w:left w:val="single" w:color="000000" w:sz="2" w:space="0"/>
            </w:tcBorders>
            <w:vAlign w:val="top"/>
          </w:tcPr>
          <w:p w14:paraId="7C8ACAA0">
            <w:pPr>
              <w:pStyle w:val="6"/>
              <w:spacing w:before="30" w:line="350" w:lineRule="auto"/>
              <w:ind w:left="105" w:right="102" w:firstLine="1"/>
              <w:jc w:val="both"/>
            </w:pPr>
            <w:r>
              <w:rPr>
                <w:spacing w:val="-1"/>
              </w:rPr>
              <w:t>和构筑物设计施工图纸上设置的观测点分别进行布点观测，设备基础总验收测量</w:t>
            </w:r>
            <w:r>
              <w:rPr>
                <w:spacing w:val="14"/>
              </w:rPr>
              <w:t xml:space="preserve"> </w:t>
            </w:r>
            <w:r>
              <w:rPr>
                <w:spacing w:val="-1"/>
              </w:rPr>
              <w:t>一次，电气设备安装完成后测量一次，竣工总验收测量一次。以后第一年每一季</w:t>
            </w:r>
            <w:r>
              <w:rPr>
                <w:spacing w:val="13"/>
              </w:rPr>
              <w:t xml:space="preserve"> </w:t>
            </w:r>
            <w:r>
              <w:rPr>
                <w:spacing w:val="-1"/>
              </w:rPr>
              <w:t>度一次，以后每六个月一次，直至沉降稳定为止。</w:t>
            </w:r>
          </w:p>
          <w:p w14:paraId="56A450C3">
            <w:pPr>
              <w:pStyle w:val="6"/>
              <w:spacing w:before="35" w:line="345" w:lineRule="auto"/>
              <w:ind w:left="105" w:right="102" w:firstLine="480"/>
            </w:pPr>
            <w:r>
              <w:rPr>
                <w:spacing w:val="-1"/>
              </w:rPr>
              <w:t>施工测量过程无土建工程等，不回对生态环境造成破坏，无施工扬尘、施工</w:t>
            </w:r>
            <w:r>
              <w:rPr>
                <w:spacing w:val="13"/>
              </w:rPr>
              <w:t xml:space="preserve"> </w:t>
            </w:r>
            <w:r>
              <w:rPr>
                <w:spacing w:val="-1"/>
              </w:rPr>
              <w:t>废水、固废等产生，对周围环境影响不大。</w:t>
            </w:r>
          </w:p>
          <w:p w14:paraId="5372CCF9">
            <w:pPr>
              <w:pStyle w:val="6"/>
              <w:spacing w:before="37" w:line="219" w:lineRule="auto"/>
              <w:ind w:left="598"/>
            </w:pPr>
            <w:r>
              <w:rPr>
                <w:b/>
                <w:bCs/>
                <w:spacing w:val="-4"/>
              </w:rPr>
              <w:t>（</w:t>
            </w:r>
            <w:r>
              <w:rPr>
                <w:rFonts w:ascii="Times New Roman" w:hAnsi="Times New Roman" w:eastAsia="Times New Roman" w:cs="Times New Roman"/>
                <w:b/>
                <w:bCs/>
                <w:spacing w:val="-4"/>
              </w:rPr>
              <w:t>2</w:t>
            </w:r>
            <w:r>
              <w:rPr>
                <w:b/>
                <w:bCs/>
                <w:spacing w:val="-4"/>
              </w:rPr>
              <w:t>）混凝土灌注桩施工</w:t>
            </w:r>
          </w:p>
          <w:p w14:paraId="6EDDBB0D">
            <w:pPr>
              <w:pStyle w:val="6"/>
              <w:spacing w:before="182" w:line="345" w:lineRule="auto"/>
              <w:ind w:left="107" w:right="102" w:firstLine="478"/>
            </w:pPr>
            <w:r>
              <w:rPr>
                <w:spacing w:val="-1"/>
              </w:rPr>
              <w:t>对测量后确定的控制桩进行钻孔、灌注混凝土。主要包括：定位放线、埋设</w:t>
            </w:r>
            <w:r>
              <w:rPr>
                <w:spacing w:val="13"/>
              </w:rPr>
              <w:t xml:space="preserve"> </w:t>
            </w:r>
            <w:r>
              <w:t>护筒、钻孔、清孔、钢筋笼制作与安装、导管</w:t>
            </w:r>
            <w:r>
              <w:rPr>
                <w:spacing w:val="-1"/>
              </w:rPr>
              <w:t>安装、灌注混凝土等过程。</w:t>
            </w:r>
          </w:p>
          <w:p w14:paraId="73D4388E">
            <w:pPr>
              <w:pStyle w:val="6"/>
              <w:spacing w:before="39" w:line="355" w:lineRule="auto"/>
              <w:ind w:left="106" w:right="102" w:firstLine="484"/>
            </w:pPr>
            <w:r>
              <w:rPr>
                <w:spacing w:val="-1"/>
              </w:rPr>
              <w:t>先对测量工序定出的控制桩进行放线，定出各个桩基的中心线，然后埋设钻</w:t>
            </w:r>
            <w:r>
              <w:rPr>
                <w:spacing w:val="8"/>
              </w:rPr>
              <w:t xml:space="preserve"> </w:t>
            </w:r>
            <w:r>
              <w:rPr>
                <w:spacing w:val="-1"/>
              </w:rPr>
              <w:t>孔所需的钢制护筒，根据地面情况，清理钻机平台，放置钻机后，开始钻孔，钻</w:t>
            </w:r>
            <w:r>
              <w:rPr>
                <w:spacing w:val="12"/>
              </w:rPr>
              <w:t xml:space="preserve"> </w:t>
            </w:r>
            <w:r>
              <w:rPr>
                <w:spacing w:val="-2"/>
              </w:rPr>
              <w:t>孔深度约为</w:t>
            </w:r>
            <w:r>
              <w:rPr>
                <w:spacing w:val="-49"/>
              </w:rPr>
              <w:t xml:space="preserve"> </w:t>
            </w:r>
            <w:r>
              <w:rPr>
                <w:rFonts w:ascii="Times New Roman" w:hAnsi="Times New Roman" w:eastAsia="Times New Roman" w:cs="Times New Roman"/>
                <w:spacing w:val="-2"/>
              </w:rPr>
              <w:t>2.3~6.5m</w:t>
            </w:r>
            <w:r>
              <w:rPr>
                <w:rFonts w:ascii="Times New Roman" w:hAnsi="Times New Roman" w:eastAsia="Times New Roman" w:cs="Times New Roman"/>
                <w:spacing w:val="-30"/>
              </w:rPr>
              <w:t xml:space="preserve"> </w:t>
            </w:r>
            <w:r>
              <w:rPr>
                <w:spacing w:val="-2"/>
              </w:rPr>
              <w:t>，根据施工图实际尺寸进行施工。清孔主要是清理钻孔过程</w:t>
            </w:r>
            <w:r>
              <w:t xml:space="preserve"> </w:t>
            </w:r>
            <w:r>
              <w:rPr>
                <w:spacing w:val="-1"/>
              </w:rPr>
              <w:t>中产生的渣土等，渣土就近堆放于钻孔附近平坦处，用于后续土方回填。钢筋笼</w:t>
            </w:r>
            <w:r>
              <w:rPr>
                <w:spacing w:val="12"/>
              </w:rPr>
              <w:t xml:space="preserve"> </w:t>
            </w:r>
            <w:r>
              <w:rPr>
                <w:spacing w:val="-1"/>
              </w:rPr>
              <w:t>制作与安装在现场进行，按照施工图尺寸进行制作后，分段插入桩孔中。导管安</w:t>
            </w:r>
            <w:r>
              <w:rPr>
                <w:spacing w:val="15"/>
              </w:rPr>
              <w:t xml:space="preserve"> </w:t>
            </w:r>
            <w:r>
              <w:rPr>
                <w:spacing w:val="-1"/>
              </w:rPr>
              <w:t>装时应使位置居于孔中，轴线垂直，稳步沉放，防止卡挂钢筋骨架和碰撞孔壁。</w:t>
            </w:r>
            <w:r>
              <w:rPr>
                <w:spacing w:val="15"/>
              </w:rPr>
              <w:t xml:space="preserve"> </w:t>
            </w:r>
            <w:r>
              <w:rPr>
                <w:spacing w:val="-1"/>
              </w:rPr>
              <w:t>导管底部至孔底标高控制在</w:t>
            </w:r>
            <w:r>
              <w:rPr>
                <w:spacing w:val="-46"/>
              </w:rPr>
              <w:t xml:space="preserve"> </w:t>
            </w:r>
            <w:r>
              <w:rPr>
                <w:rFonts w:ascii="Times New Roman" w:hAnsi="Times New Roman" w:eastAsia="Times New Roman" w:cs="Times New Roman"/>
                <w:spacing w:val="-1"/>
              </w:rPr>
              <w:t>0.3</w:t>
            </w:r>
            <w:r>
              <w:rPr>
                <w:spacing w:val="-1"/>
              </w:rPr>
              <w:t>～</w:t>
            </w:r>
            <w:r>
              <w:rPr>
                <w:rFonts w:ascii="Times New Roman" w:hAnsi="Times New Roman" w:eastAsia="Times New Roman" w:cs="Times New Roman"/>
                <w:spacing w:val="-1"/>
              </w:rPr>
              <w:t xml:space="preserve">0.5m </w:t>
            </w:r>
            <w:r>
              <w:rPr>
                <w:spacing w:val="-1"/>
              </w:rPr>
              <w:t>之间。</w:t>
            </w:r>
          </w:p>
          <w:p w14:paraId="5B1E9526">
            <w:pPr>
              <w:pStyle w:val="6"/>
              <w:spacing w:before="32" w:line="354" w:lineRule="auto"/>
              <w:ind w:left="106" w:right="22" w:firstLine="487"/>
            </w:pPr>
            <w:r>
              <w:rPr>
                <w:spacing w:val="-1"/>
              </w:rPr>
              <w:t>导管安装完成后，进行混凝土浇筑，灌注桩混凝土由混凝土运输车运至施工</w:t>
            </w:r>
            <w:r>
              <w:rPr>
                <w:spacing w:val="6"/>
              </w:rPr>
              <w:t xml:space="preserve"> </w:t>
            </w:r>
            <w:r>
              <w:rPr>
                <w:spacing w:val="1"/>
              </w:rPr>
              <w:t>现场后，直接由料斗进入导管进行灌注，导管首次埋置深度应不</w:t>
            </w:r>
            <w:r>
              <w:t>小于</w:t>
            </w:r>
            <w:r>
              <w:rPr>
                <w:spacing w:val="-27"/>
              </w:rPr>
              <w:t xml:space="preserve"> </w:t>
            </w:r>
            <w:r>
              <w:rPr>
                <w:rFonts w:ascii="Times New Roman" w:hAnsi="Times New Roman" w:eastAsia="Times New Roman" w:cs="Times New Roman"/>
              </w:rPr>
              <w:t>1m</w:t>
            </w:r>
            <w:r>
              <w:rPr>
                <w:rFonts w:ascii="Times New Roman" w:hAnsi="Times New Roman" w:eastAsia="Times New Roman" w:cs="Times New Roman"/>
                <w:spacing w:val="-27"/>
              </w:rPr>
              <w:t xml:space="preserve"> </w:t>
            </w:r>
            <w:r>
              <w:t xml:space="preserve">，在灌 </w:t>
            </w:r>
            <w:r>
              <w:rPr>
                <w:spacing w:val="3"/>
              </w:rPr>
              <w:t>注过程中，导管的埋置深度控制在</w:t>
            </w:r>
            <w:r>
              <w:rPr>
                <w:spacing w:val="-53"/>
              </w:rPr>
              <w:t xml:space="preserve"> </w:t>
            </w:r>
            <w:r>
              <w:rPr>
                <w:rFonts w:ascii="Times New Roman" w:hAnsi="Times New Roman" w:eastAsia="Times New Roman" w:cs="Times New Roman"/>
                <w:spacing w:val="3"/>
              </w:rPr>
              <w:t>2</w:t>
            </w:r>
            <w:r>
              <w:rPr>
                <w:spacing w:val="3"/>
              </w:rPr>
              <w:t>～</w:t>
            </w:r>
            <w:r>
              <w:rPr>
                <w:rFonts w:ascii="Times New Roman" w:hAnsi="Times New Roman" w:eastAsia="Times New Roman" w:cs="Times New Roman"/>
                <w:spacing w:val="3"/>
              </w:rPr>
              <w:t xml:space="preserve">6 </w:t>
            </w:r>
            <w:r>
              <w:rPr>
                <w:spacing w:val="3"/>
              </w:rPr>
              <w:t>米。</w:t>
            </w:r>
            <w:r>
              <w:rPr>
                <w:spacing w:val="2"/>
              </w:rPr>
              <w:t>灌注完的桩顶标高比设计标高高出</w:t>
            </w:r>
            <w:r>
              <w:t xml:space="preserve"> </w:t>
            </w:r>
            <w:r>
              <w:rPr>
                <w:rFonts w:ascii="Times New Roman" w:hAnsi="Times New Roman" w:eastAsia="Times New Roman" w:cs="Times New Roman"/>
                <w:spacing w:val="-2"/>
              </w:rPr>
              <w:t xml:space="preserve">0.9 </w:t>
            </w:r>
            <w:r>
              <w:rPr>
                <w:spacing w:val="-2"/>
              </w:rPr>
              <w:t>米，高出部分在混凝土强度达到</w:t>
            </w:r>
            <w:r>
              <w:rPr>
                <w:spacing w:val="-45"/>
              </w:rPr>
              <w:t xml:space="preserve"> </w:t>
            </w:r>
            <w:r>
              <w:rPr>
                <w:rFonts w:ascii="Times New Roman" w:hAnsi="Times New Roman" w:eastAsia="Times New Roman" w:cs="Times New Roman"/>
                <w:spacing w:val="-2"/>
              </w:rPr>
              <w:t>80%</w:t>
            </w:r>
            <w:r>
              <w:rPr>
                <w:spacing w:val="-2"/>
              </w:rPr>
              <w:t>以上</w:t>
            </w:r>
            <w:r>
              <w:rPr>
                <w:spacing w:val="-3"/>
              </w:rPr>
              <w:t>后凿除，凿除时必须防止损毁桩身。</w:t>
            </w:r>
            <w:r>
              <w:t xml:space="preserve"> </w:t>
            </w:r>
            <w:r>
              <w:rPr>
                <w:spacing w:val="-1"/>
              </w:rPr>
              <w:t>拔护筒时，应注意勿使桩头混凝土离析。</w:t>
            </w:r>
          </w:p>
          <w:p w14:paraId="364EFA0B">
            <w:pPr>
              <w:pStyle w:val="6"/>
              <w:spacing w:before="36" w:line="350" w:lineRule="auto"/>
              <w:ind w:left="107" w:right="102" w:firstLine="481"/>
              <w:jc w:val="both"/>
            </w:pPr>
            <w:r>
              <w:rPr>
                <w:spacing w:val="-1"/>
              </w:rPr>
              <w:t>综上，混凝土灌注桩施工过程中主要产生施工扬尘、噪声及土石方影响，钻</w:t>
            </w:r>
            <w:r>
              <w:rPr>
                <w:spacing w:val="7"/>
              </w:rPr>
              <w:t xml:space="preserve"> </w:t>
            </w:r>
            <w:r>
              <w:rPr>
                <w:spacing w:val="-1"/>
              </w:rPr>
              <w:t>孔平台设置及钻孔时会对生态环境造成轻微破坏，施工机械设备清洗会有少量施</w:t>
            </w:r>
            <w:r>
              <w:rPr>
                <w:spacing w:val="14"/>
              </w:rPr>
              <w:t xml:space="preserve"> </w:t>
            </w:r>
            <w:r>
              <w:rPr>
                <w:spacing w:val="-2"/>
              </w:rPr>
              <w:t>工废水产生。</w:t>
            </w:r>
          </w:p>
          <w:p w14:paraId="4D2B9C07">
            <w:pPr>
              <w:pStyle w:val="6"/>
              <w:spacing w:before="36" w:line="221" w:lineRule="auto"/>
              <w:ind w:left="598"/>
            </w:pPr>
            <w:r>
              <w:rPr>
                <w:b/>
                <w:bCs/>
                <w:spacing w:val="-5"/>
              </w:rPr>
              <w:t>（</w:t>
            </w:r>
            <w:r>
              <w:rPr>
                <w:rFonts w:ascii="Times New Roman" w:hAnsi="Times New Roman" w:eastAsia="Times New Roman" w:cs="Times New Roman"/>
                <w:b/>
                <w:bCs/>
                <w:spacing w:val="-5"/>
              </w:rPr>
              <w:t>3</w:t>
            </w:r>
            <w:r>
              <w:rPr>
                <w:b/>
                <w:bCs/>
                <w:spacing w:val="-5"/>
              </w:rPr>
              <w:t>）土方开挖</w:t>
            </w:r>
          </w:p>
          <w:p w14:paraId="4952CBDF">
            <w:pPr>
              <w:pStyle w:val="6"/>
              <w:spacing w:before="181" w:line="352" w:lineRule="auto"/>
              <w:ind w:left="105" w:right="22" w:firstLine="481"/>
            </w:pPr>
            <w:r>
              <w:rPr>
                <w:spacing w:val="-4"/>
              </w:rPr>
              <w:t>土质基坑采用机械大开挖方法施工，人工修坡，放坡系数为</w:t>
            </w:r>
            <w:r>
              <w:rPr>
                <w:spacing w:val="-15"/>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0"/>
              </w:rPr>
              <w:t xml:space="preserve"> </w:t>
            </w:r>
            <w:r>
              <w:rPr>
                <w:spacing w:val="-4"/>
              </w:rPr>
              <w:t>：</w:t>
            </w:r>
            <w:r>
              <w:rPr>
                <w:rFonts w:ascii="Times New Roman" w:hAnsi="Times New Roman" w:eastAsia="Times New Roman" w:cs="Times New Roman"/>
                <w:spacing w:val="-4"/>
              </w:rPr>
              <w:t>0.5-1</w:t>
            </w:r>
            <w:r>
              <w:rPr>
                <w:spacing w:val="-4"/>
              </w:rPr>
              <w:t>：</w:t>
            </w:r>
            <w:r>
              <w:rPr>
                <w:rFonts w:ascii="Times New Roman" w:hAnsi="Times New Roman" w:eastAsia="Times New Roman" w:cs="Times New Roman"/>
                <w:spacing w:val="-4"/>
              </w:rPr>
              <w:t>0.75</w:t>
            </w:r>
            <w:r>
              <w:rPr>
                <w:spacing w:val="-4"/>
              </w:rPr>
              <w:t>。</w:t>
            </w:r>
            <w:r>
              <w:t xml:space="preserve"> </w:t>
            </w:r>
            <w:r>
              <w:rPr>
                <w:spacing w:val="1"/>
              </w:rPr>
              <w:t>当机械挖方至基底以上</w:t>
            </w:r>
            <w:r>
              <w:rPr>
                <w:spacing w:val="-30"/>
              </w:rPr>
              <w:t xml:space="preserve"> </w:t>
            </w:r>
            <w:r>
              <w:rPr>
                <w:rFonts w:ascii="Times New Roman" w:hAnsi="Times New Roman" w:eastAsia="Times New Roman" w:cs="Times New Roman"/>
                <w:spacing w:val="1"/>
              </w:rPr>
              <w:t>100</w:t>
            </w:r>
            <w:r>
              <w:rPr>
                <w:rFonts w:ascii="Times New Roman" w:hAnsi="Times New Roman" w:eastAsia="Times New Roman" w:cs="Times New Roman"/>
              </w:rPr>
              <w:t>mm</w:t>
            </w:r>
            <w:r>
              <w:rPr>
                <w:rFonts w:ascii="Times New Roman" w:hAnsi="Times New Roman" w:eastAsia="Times New Roman" w:cs="Times New Roman"/>
                <w:spacing w:val="23"/>
                <w:w w:val="101"/>
              </w:rPr>
              <w:t xml:space="preserve"> </w:t>
            </w:r>
            <w:r>
              <w:rPr>
                <w:spacing w:val="1"/>
              </w:rPr>
              <w:t>时，由人工清底，防止扰动地基持力层。该过程</w:t>
            </w:r>
            <w:r>
              <w:t xml:space="preserve"> </w:t>
            </w:r>
            <w:r>
              <w:rPr>
                <w:spacing w:val="-1"/>
              </w:rPr>
              <w:t>中会有土石方产生，堆放于开挖点两侧，回用于后续土方回填。另外，土方开挖</w:t>
            </w:r>
            <w:r>
              <w:rPr>
                <w:spacing w:val="15"/>
              </w:rPr>
              <w:t xml:space="preserve"> </w:t>
            </w:r>
            <w:r>
              <w:rPr>
                <w:spacing w:val="1"/>
              </w:rPr>
              <w:t>过程会对生态环境造成一定的破坏，并产生</w:t>
            </w:r>
            <w:r>
              <w:t xml:space="preserve">扬尘、噪声、施工废水、施工固废， </w:t>
            </w:r>
            <w:r>
              <w:rPr>
                <w:spacing w:val="-1"/>
              </w:rPr>
              <w:t>对周围环境造成一定影响。</w:t>
            </w:r>
          </w:p>
        </w:tc>
      </w:tr>
    </w:tbl>
    <w:p w14:paraId="16E0E3C1">
      <w:pPr>
        <w:rPr>
          <w:rFonts w:ascii="Arial"/>
          <w:sz w:val="21"/>
        </w:rPr>
      </w:pPr>
    </w:p>
    <w:p w14:paraId="46FD364D">
      <w:pPr>
        <w:rPr>
          <w:rFonts w:ascii="Arial" w:hAnsi="Arial" w:eastAsia="Arial" w:cs="Arial"/>
          <w:sz w:val="21"/>
          <w:szCs w:val="21"/>
        </w:rPr>
        <w:sectPr>
          <w:footerReference r:id="rId72" w:type="default"/>
          <w:pgSz w:w="11906" w:h="16839"/>
          <w:pgMar w:top="1431" w:right="1413" w:bottom="1278" w:left="1413" w:header="0" w:footer="1116" w:gutter="0"/>
          <w:cols w:space="720" w:num="1"/>
        </w:sectPr>
      </w:pPr>
    </w:p>
    <w:p w14:paraId="60A2CCB2">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19AED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464" w:type="dxa"/>
            <w:tcBorders>
              <w:right w:val="single" w:color="000000" w:sz="2" w:space="0"/>
            </w:tcBorders>
            <w:vAlign w:val="top"/>
          </w:tcPr>
          <w:p w14:paraId="1B83C2D7">
            <w:pPr>
              <w:rPr>
                <w:rFonts w:ascii="Arial"/>
                <w:sz w:val="21"/>
              </w:rPr>
            </w:pPr>
          </w:p>
        </w:tc>
        <w:tc>
          <w:tcPr>
            <w:tcW w:w="8600" w:type="dxa"/>
            <w:tcBorders>
              <w:left w:val="single" w:color="000000" w:sz="2" w:space="0"/>
            </w:tcBorders>
            <w:vAlign w:val="top"/>
          </w:tcPr>
          <w:p w14:paraId="5EB5CD80">
            <w:pPr>
              <w:pStyle w:val="6"/>
              <w:spacing w:before="30" w:line="219" w:lineRule="auto"/>
              <w:ind w:left="598"/>
            </w:pPr>
            <w:r>
              <w:rPr>
                <w:b/>
                <w:bCs/>
                <w:spacing w:val="-5"/>
              </w:rPr>
              <w:t>（</w:t>
            </w:r>
            <w:r>
              <w:rPr>
                <w:rFonts w:ascii="Times New Roman" w:hAnsi="Times New Roman" w:eastAsia="Times New Roman" w:cs="Times New Roman"/>
                <w:b/>
                <w:bCs/>
                <w:spacing w:val="-5"/>
              </w:rPr>
              <w:t>4</w:t>
            </w:r>
            <w:r>
              <w:rPr>
                <w:b/>
                <w:bCs/>
                <w:spacing w:val="-5"/>
              </w:rPr>
              <w:t>）砼垫层施工</w:t>
            </w:r>
          </w:p>
          <w:p w14:paraId="3F71E126">
            <w:pPr>
              <w:pStyle w:val="6"/>
              <w:spacing w:before="183" w:line="352" w:lineRule="auto"/>
              <w:ind w:left="107" w:right="102" w:firstLine="479"/>
              <w:jc w:val="both"/>
            </w:pPr>
            <w:r>
              <w:rPr>
                <w:spacing w:val="-1"/>
              </w:rPr>
              <w:t>基坑开挖清理完后，进行垫层施工，用方木或模板支好侧模，用水准仪打上</w:t>
            </w:r>
            <w:r>
              <w:rPr>
                <w:spacing w:val="13"/>
              </w:rPr>
              <w:t xml:space="preserve"> </w:t>
            </w:r>
            <w:r>
              <w:rPr>
                <w:spacing w:val="-1"/>
              </w:rPr>
              <w:t>标高线，垫层浇混凝土时必须压实、压平。浇筑垫层混凝土之前，必须按照设计</w:t>
            </w:r>
            <w:r>
              <w:rPr>
                <w:spacing w:val="14"/>
              </w:rPr>
              <w:t xml:space="preserve"> </w:t>
            </w:r>
            <w:r>
              <w:rPr>
                <w:spacing w:val="-1"/>
              </w:rPr>
              <w:t>图纸要求把焊接调整基础塔筒螺栓的预埋件安装好，预埋件尺寸及安装位置符合</w:t>
            </w:r>
            <w:r>
              <w:rPr>
                <w:spacing w:val="14"/>
              </w:rPr>
              <w:t xml:space="preserve"> </w:t>
            </w:r>
            <w:r>
              <w:rPr>
                <w:spacing w:val="-1"/>
              </w:rPr>
              <w:t>设计要求并经验收合格后，方可进行垫层浇筑。</w:t>
            </w:r>
          </w:p>
          <w:p w14:paraId="01F264E0">
            <w:pPr>
              <w:pStyle w:val="6"/>
              <w:spacing w:before="35" w:line="347" w:lineRule="auto"/>
              <w:ind w:left="107" w:right="102" w:firstLine="478"/>
            </w:pPr>
            <w:r>
              <w:rPr>
                <w:spacing w:val="-1"/>
              </w:rPr>
              <w:t>砼垫层施工过程中主要会有施工扬尘、噪声、固废的产生，以及少量混凝土</w:t>
            </w:r>
            <w:r>
              <w:rPr>
                <w:spacing w:val="13"/>
              </w:rPr>
              <w:t xml:space="preserve"> </w:t>
            </w:r>
            <w:r>
              <w:rPr>
                <w:spacing w:val="-2"/>
              </w:rPr>
              <w:t>养护废水产生。</w:t>
            </w:r>
          </w:p>
          <w:p w14:paraId="49466A50">
            <w:pPr>
              <w:pStyle w:val="6"/>
              <w:spacing w:before="32" w:line="219" w:lineRule="auto"/>
              <w:ind w:left="598"/>
            </w:pPr>
            <w:r>
              <w:rPr>
                <w:b/>
                <w:bCs/>
                <w:spacing w:val="-5"/>
              </w:rPr>
              <w:t>（</w:t>
            </w:r>
            <w:r>
              <w:rPr>
                <w:rFonts w:ascii="Times New Roman" w:hAnsi="Times New Roman" w:eastAsia="Times New Roman" w:cs="Times New Roman"/>
                <w:b/>
                <w:bCs/>
                <w:spacing w:val="-5"/>
              </w:rPr>
              <w:t>5</w:t>
            </w:r>
            <w:r>
              <w:rPr>
                <w:b/>
                <w:bCs/>
                <w:spacing w:val="-5"/>
              </w:rPr>
              <w:t>）钢筋工程</w:t>
            </w:r>
          </w:p>
          <w:p w14:paraId="0530A81A">
            <w:pPr>
              <w:pStyle w:val="6"/>
              <w:spacing w:before="184" w:line="344" w:lineRule="auto"/>
              <w:ind w:left="108" w:right="102" w:firstLine="478"/>
            </w:pPr>
            <w:r>
              <w:rPr>
                <w:spacing w:val="-1"/>
              </w:rPr>
              <w:t>根据施工图纸在现场进行钢筋扎设，在砼垫层上进行钢筋工程施工。该过程</w:t>
            </w:r>
            <w:r>
              <w:rPr>
                <w:spacing w:val="13"/>
              </w:rPr>
              <w:t xml:space="preserve"> </w:t>
            </w:r>
            <w:r>
              <w:rPr>
                <w:spacing w:val="-1"/>
              </w:rPr>
              <w:t>主要产生施工扬尘、废钢材、施工噪声、施工废水等影响。</w:t>
            </w:r>
          </w:p>
          <w:p w14:paraId="09D2F3E2">
            <w:pPr>
              <w:pStyle w:val="6"/>
              <w:spacing w:before="35" w:line="219" w:lineRule="auto"/>
              <w:ind w:left="598"/>
            </w:pPr>
            <w:r>
              <w:rPr>
                <w:b/>
                <w:bCs/>
                <w:spacing w:val="-5"/>
              </w:rPr>
              <w:t>（</w:t>
            </w:r>
            <w:r>
              <w:rPr>
                <w:rFonts w:ascii="Times New Roman" w:hAnsi="Times New Roman" w:eastAsia="Times New Roman" w:cs="Times New Roman"/>
                <w:b/>
                <w:bCs/>
                <w:spacing w:val="-5"/>
              </w:rPr>
              <w:t>6</w:t>
            </w:r>
            <w:r>
              <w:rPr>
                <w:b/>
                <w:bCs/>
                <w:spacing w:val="-5"/>
              </w:rPr>
              <w:t>）模板工程</w:t>
            </w:r>
          </w:p>
          <w:p w14:paraId="7F53671E">
            <w:pPr>
              <w:pStyle w:val="6"/>
              <w:spacing w:before="183" w:line="350" w:lineRule="auto"/>
              <w:ind w:left="106" w:right="102" w:firstLine="480"/>
            </w:pPr>
            <w:r>
              <w:rPr>
                <w:spacing w:val="-2"/>
              </w:rPr>
              <w:t>根据施工图纸进行模板支设，模板面板采用</w:t>
            </w:r>
            <w:r>
              <w:rPr>
                <w:spacing w:val="-32"/>
              </w:rPr>
              <w:t xml:space="preserve"> </w:t>
            </w:r>
            <w:r>
              <w:rPr>
                <w:rFonts w:ascii="Times New Roman" w:hAnsi="Times New Roman" w:eastAsia="Times New Roman" w:cs="Times New Roman"/>
                <w:spacing w:val="-2"/>
              </w:rPr>
              <w:t>18mm</w:t>
            </w:r>
            <w:r>
              <w:rPr>
                <w:rFonts w:ascii="Times New Roman" w:hAnsi="Times New Roman" w:eastAsia="Times New Roman" w:cs="Times New Roman"/>
                <w:spacing w:val="16"/>
                <w:w w:val="101"/>
              </w:rPr>
              <w:t xml:space="preserve"> </w:t>
            </w:r>
            <w:r>
              <w:rPr>
                <w:spacing w:val="-2"/>
              </w:rPr>
              <w:t>厚</w:t>
            </w:r>
            <w:r>
              <w:rPr>
                <w:spacing w:val="-3"/>
              </w:rPr>
              <w:t>胶合板，背杠视模板承</w:t>
            </w:r>
            <w:r>
              <w:t xml:space="preserve"> </w:t>
            </w:r>
            <w:r>
              <w:rPr>
                <w:spacing w:val="-2"/>
              </w:rPr>
              <w:t>载能力大小设</w:t>
            </w:r>
            <w:r>
              <w:rPr>
                <w:spacing w:val="-39"/>
              </w:rPr>
              <w:t xml:space="preserve"> </w:t>
            </w:r>
            <w:r>
              <w:rPr>
                <w:rFonts w:ascii="Times New Roman" w:hAnsi="Times New Roman" w:eastAsia="Times New Roman" w:cs="Times New Roman"/>
                <w:spacing w:val="-2"/>
              </w:rPr>
              <w:t>50</w:t>
            </w:r>
            <w:r>
              <w:rPr>
                <w:spacing w:val="-2"/>
              </w:rPr>
              <w:t>×</w:t>
            </w:r>
            <w:r>
              <w:rPr>
                <w:rFonts w:ascii="Times New Roman" w:hAnsi="Times New Roman" w:eastAsia="Times New Roman" w:cs="Times New Roman"/>
                <w:spacing w:val="-2"/>
              </w:rPr>
              <w:t xml:space="preserve">100 </w:t>
            </w:r>
            <w:r>
              <w:rPr>
                <w:spacing w:val="-2"/>
              </w:rPr>
              <w:t>种规格，间距均≤</w:t>
            </w:r>
            <w:r>
              <w:rPr>
                <w:rFonts w:ascii="Times New Roman" w:hAnsi="Times New Roman" w:eastAsia="Times New Roman" w:cs="Times New Roman"/>
                <w:spacing w:val="-2"/>
              </w:rPr>
              <w:t>30cm</w:t>
            </w:r>
            <w:r>
              <w:rPr>
                <w:rFonts w:ascii="Times New Roman" w:hAnsi="Times New Roman" w:eastAsia="Times New Roman" w:cs="Times New Roman"/>
                <w:spacing w:val="-24"/>
              </w:rPr>
              <w:t xml:space="preserve"> </w:t>
            </w:r>
            <w:r>
              <w:rPr>
                <w:spacing w:val="-2"/>
              </w:rPr>
              <w:t>。模板排架设Ф</w:t>
            </w:r>
            <w:r>
              <w:rPr>
                <w:rFonts w:ascii="Times New Roman" w:hAnsi="Times New Roman" w:eastAsia="Times New Roman" w:cs="Times New Roman"/>
                <w:spacing w:val="-2"/>
              </w:rPr>
              <w:t xml:space="preserve">10mm </w:t>
            </w:r>
            <w:r>
              <w:rPr>
                <w:spacing w:val="-2"/>
              </w:rPr>
              <w:t>对拉螺栓，</w:t>
            </w:r>
            <w:r>
              <w:t xml:space="preserve"> </w:t>
            </w:r>
            <w:r>
              <w:rPr>
                <w:spacing w:val="-2"/>
              </w:rPr>
              <w:t>布置间距为：水平≤</w:t>
            </w:r>
            <w:r>
              <w:rPr>
                <w:rFonts w:ascii="Times New Roman" w:hAnsi="Times New Roman" w:eastAsia="Times New Roman" w:cs="Times New Roman"/>
                <w:spacing w:val="-2"/>
              </w:rPr>
              <w:t>60cm</w:t>
            </w:r>
            <w:r>
              <w:rPr>
                <w:rFonts w:ascii="Times New Roman" w:hAnsi="Times New Roman" w:eastAsia="Times New Roman" w:cs="Times New Roman"/>
                <w:spacing w:val="-26"/>
              </w:rPr>
              <w:t xml:space="preserve"> </w:t>
            </w:r>
            <w:r>
              <w:rPr>
                <w:spacing w:val="-2"/>
              </w:rPr>
              <w:t>、垂直≤</w:t>
            </w:r>
            <w:r>
              <w:rPr>
                <w:rFonts w:ascii="Times New Roman" w:hAnsi="Times New Roman" w:eastAsia="Times New Roman" w:cs="Times New Roman"/>
                <w:spacing w:val="-2"/>
              </w:rPr>
              <w:t>70cm</w:t>
            </w:r>
            <w:r>
              <w:rPr>
                <w:spacing w:val="-2"/>
              </w:rPr>
              <w:t>。</w:t>
            </w:r>
          </w:p>
          <w:p w14:paraId="5E14CFC1">
            <w:pPr>
              <w:pStyle w:val="6"/>
              <w:spacing w:before="36" w:line="219" w:lineRule="auto"/>
              <w:jc w:val="right"/>
            </w:pPr>
            <w:r>
              <w:rPr>
                <w:spacing w:val="-5"/>
              </w:rPr>
              <w:t>模板工程施工过程中主要有施工扬尘、废板材、施工噪声</w:t>
            </w:r>
            <w:r>
              <w:rPr>
                <w:spacing w:val="-6"/>
              </w:rPr>
              <w:t>、施工废水等影响。</w:t>
            </w:r>
          </w:p>
          <w:p w14:paraId="6A9D9811">
            <w:pPr>
              <w:pStyle w:val="6"/>
              <w:spacing w:before="182" w:line="220" w:lineRule="auto"/>
              <w:ind w:left="598"/>
            </w:pPr>
            <w:r>
              <w:rPr>
                <w:b/>
                <w:bCs/>
                <w:spacing w:val="-5"/>
              </w:rPr>
              <w:t>（</w:t>
            </w:r>
            <w:r>
              <w:rPr>
                <w:rFonts w:ascii="Times New Roman" w:hAnsi="Times New Roman" w:eastAsia="Times New Roman" w:cs="Times New Roman"/>
                <w:b/>
                <w:bCs/>
                <w:spacing w:val="-5"/>
              </w:rPr>
              <w:t>7</w:t>
            </w:r>
            <w:r>
              <w:rPr>
                <w:b/>
                <w:bCs/>
                <w:spacing w:val="-5"/>
              </w:rPr>
              <w:t>）混凝土工程</w:t>
            </w:r>
          </w:p>
          <w:p w14:paraId="1A50EA0D">
            <w:pPr>
              <w:pStyle w:val="6"/>
              <w:spacing w:before="182" w:line="355" w:lineRule="auto"/>
              <w:ind w:left="105" w:right="102" w:firstLine="481"/>
              <w:jc w:val="both"/>
            </w:pPr>
            <w:r>
              <w:rPr>
                <w:spacing w:val="-1"/>
              </w:rPr>
              <w:t>本项目采用商品混凝土。混凝土施工时采用插入式振动器振捣密实，底板混</w:t>
            </w:r>
            <w:r>
              <w:rPr>
                <w:spacing w:val="12"/>
              </w:rPr>
              <w:t xml:space="preserve"> </w:t>
            </w:r>
            <w:r>
              <w:rPr>
                <w:spacing w:val="-1"/>
              </w:rPr>
              <w:t>凝土上表面用加长平板振动器找平，并用木抹子抹压平实。在振捣过程中，应严</w:t>
            </w:r>
            <w:r>
              <w:rPr>
                <w:spacing w:val="15"/>
              </w:rPr>
              <w:t xml:space="preserve"> </w:t>
            </w:r>
            <w:r>
              <w:rPr>
                <w:spacing w:val="-1"/>
              </w:rPr>
              <w:t>格保持钢筋平直，钢筋的位置及保护层厚度正确，设专人观察模板、钢筋、预埋</w:t>
            </w:r>
            <w:r>
              <w:rPr>
                <w:spacing w:val="15"/>
              </w:rPr>
              <w:t xml:space="preserve"> </w:t>
            </w:r>
            <w:r>
              <w:rPr>
                <w:spacing w:val="-1"/>
              </w:rPr>
              <w:t>件、预埋螺栓等无移动、变形等现象，发现问题及时处理。混凝土在初凝后即浇</w:t>
            </w:r>
            <w:r>
              <w:rPr>
                <w:spacing w:val="15"/>
              </w:rPr>
              <w:t xml:space="preserve"> </w:t>
            </w:r>
            <w:r>
              <w:rPr>
                <w:spacing w:val="-1"/>
              </w:rPr>
              <w:t>水，并在其表面覆盖塑料薄膜养护，保持混凝土表面湿润，保证混凝土强度的增</w:t>
            </w:r>
            <w:r>
              <w:rPr>
                <w:spacing w:val="15"/>
              </w:rPr>
              <w:t xml:space="preserve"> </w:t>
            </w:r>
            <w:r>
              <w:rPr>
                <w:spacing w:val="-5"/>
              </w:rPr>
              <w:t>长。</w:t>
            </w:r>
          </w:p>
          <w:p w14:paraId="766CCE15">
            <w:pPr>
              <w:pStyle w:val="6"/>
              <w:spacing w:before="32" w:line="219" w:lineRule="auto"/>
              <w:ind w:left="589"/>
            </w:pPr>
            <w:r>
              <w:rPr>
                <w:spacing w:val="-1"/>
              </w:rPr>
              <w:t>混凝土浇筑及养护过程主要产生施工固废、噪声及施工废水影响。</w:t>
            </w:r>
          </w:p>
          <w:p w14:paraId="48F3D78D">
            <w:pPr>
              <w:pStyle w:val="6"/>
              <w:spacing w:before="183" w:line="220" w:lineRule="auto"/>
              <w:ind w:left="598"/>
            </w:pPr>
            <w:r>
              <w:rPr>
                <w:b/>
                <w:bCs/>
                <w:spacing w:val="-5"/>
              </w:rPr>
              <w:t>（</w:t>
            </w:r>
            <w:r>
              <w:rPr>
                <w:rFonts w:ascii="Times New Roman" w:hAnsi="Times New Roman" w:eastAsia="Times New Roman" w:cs="Times New Roman"/>
                <w:b/>
                <w:bCs/>
                <w:spacing w:val="-5"/>
              </w:rPr>
              <w:t>8</w:t>
            </w:r>
            <w:r>
              <w:rPr>
                <w:b/>
                <w:bCs/>
                <w:spacing w:val="-5"/>
              </w:rPr>
              <w:t>）土方回填</w:t>
            </w:r>
          </w:p>
          <w:p w14:paraId="56572990">
            <w:pPr>
              <w:pStyle w:val="6"/>
              <w:spacing w:before="179" w:line="350" w:lineRule="auto"/>
              <w:ind w:left="108" w:right="102" w:firstLine="501"/>
              <w:jc w:val="both"/>
            </w:pPr>
            <w:r>
              <w:rPr>
                <w:spacing w:val="-1"/>
              </w:rPr>
              <w:t>回填原则上按照先深后浅的顺序分层碾压，将开挖</w:t>
            </w:r>
            <w:r>
              <w:rPr>
                <w:spacing w:val="-2"/>
              </w:rPr>
              <w:t>及钻孔过程产生的土方回</w:t>
            </w:r>
            <w:r>
              <w:t xml:space="preserve"> </w:t>
            </w:r>
            <w:r>
              <w:rPr>
                <w:spacing w:val="-3"/>
              </w:rPr>
              <w:t>填于钻孔四周及砼垫层四周，每层虚铺土厚度为</w:t>
            </w:r>
            <w:r>
              <w:rPr>
                <w:spacing w:val="-45"/>
              </w:rPr>
              <w:t xml:space="preserve"> </w:t>
            </w:r>
            <w:r>
              <w:rPr>
                <w:rFonts w:ascii="Times New Roman" w:hAnsi="Times New Roman" w:eastAsia="Times New Roman" w:cs="Times New Roman"/>
                <w:spacing w:val="-3"/>
              </w:rPr>
              <w:t>250mm</w:t>
            </w:r>
            <w:r>
              <w:rPr>
                <w:spacing w:val="-3"/>
              </w:rPr>
              <w:t>，回填土用振动碾压机压</w:t>
            </w:r>
            <w:r>
              <w:t xml:space="preserve"> </w:t>
            </w:r>
            <w:r>
              <w:rPr>
                <w:spacing w:val="-1"/>
              </w:rPr>
              <w:t>实，局部用电夯夯实。离基础较近的边角处人工夯实。</w:t>
            </w:r>
          </w:p>
          <w:p w14:paraId="7CFD4736">
            <w:pPr>
              <w:pStyle w:val="6"/>
              <w:spacing w:before="36" w:line="219" w:lineRule="auto"/>
              <w:ind w:left="587"/>
            </w:pPr>
            <w:r>
              <w:rPr>
                <w:spacing w:val="-1"/>
              </w:rPr>
              <w:t>土方回填过程主要产生施工扬尘、噪声及施工机械清洗废水影响。</w:t>
            </w:r>
          </w:p>
          <w:p w14:paraId="24DC2041">
            <w:pPr>
              <w:pStyle w:val="6"/>
              <w:spacing w:before="181" w:line="219" w:lineRule="auto"/>
              <w:ind w:left="598"/>
            </w:pPr>
            <w:r>
              <w:rPr>
                <w:b/>
                <w:bCs/>
                <w:spacing w:val="-5"/>
              </w:rPr>
              <w:t>（</w:t>
            </w:r>
            <w:r>
              <w:rPr>
                <w:rFonts w:ascii="Times New Roman" w:hAnsi="Times New Roman" w:eastAsia="Times New Roman" w:cs="Times New Roman"/>
                <w:b/>
                <w:bCs/>
                <w:spacing w:val="-5"/>
              </w:rPr>
              <w:t>9</w:t>
            </w:r>
            <w:r>
              <w:rPr>
                <w:b/>
                <w:bCs/>
                <w:spacing w:val="-5"/>
              </w:rPr>
              <w:t>）光伏支架安装</w:t>
            </w:r>
          </w:p>
        </w:tc>
      </w:tr>
    </w:tbl>
    <w:p w14:paraId="63E235D5">
      <w:pPr>
        <w:rPr>
          <w:rFonts w:ascii="Arial"/>
          <w:sz w:val="21"/>
        </w:rPr>
      </w:pPr>
    </w:p>
    <w:p w14:paraId="3497D873">
      <w:pPr>
        <w:rPr>
          <w:rFonts w:ascii="Arial" w:hAnsi="Arial" w:eastAsia="Arial" w:cs="Arial"/>
          <w:sz w:val="21"/>
          <w:szCs w:val="21"/>
        </w:rPr>
        <w:sectPr>
          <w:footerReference r:id="rId73" w:type="default"/>
          <w:pgSz w:w="11906" w:h="16839"/>
          <w:pgMar w:top="1431" w:right="1413" w:bottom="1278" w:left="1413" w:header="0" w:footer="1116" w:gutter="0"/>
          <w:cols w:space="720" w:num="1"/>
        </w:sectPr>
      </w:pPr>
    </w:p>
    <w:p w14:paraId="2F699435">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674F2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464" w:type="dxa"/>
            <w:tcBorders>
              <w:right w:val="single" w:color="000000" w:sz="2" w:space="0"/>
            </w:tcBorders>
            <w:vAlign w:val="top"/>
          </w:tcPr>
          <w:p w14:paraId="1794D701">
            <w:pPr>
              <w:rPr>
                <w:rFonts w:ascii="Arial"/>
                <w:sz w:val="21"/>
              </w:rPr>
            </w:pPr>
          </w:p>
        </w:tc>
        <w:tc>
          <w:tcPr>
            <w:tcW w:w="8600" w:type="dxa"/>
            <w:tcBorders>
              <w:left w:val="single" w:color="000000" w:sz="2" w:space="0"/>
            </w:tcBorders>
            <w:vAlign w:val="top"/>
          </w:tcPr>
          <w:p w14:paraId="14E98574">
            <w:pPr>
              <w:pStyle w:val="6"/>
              <w:spacing w:before="30" w:line="346" w:lineRule="auto"/>
              <w:ind w:left="106" w:right="102" w:firstLine="481"/>
            </w:pPr>
            <w:r>
              <w:rPr>
                <w:spacing w:val="-1"/>
              </w:rPr>
              <w:t>光伏支架安装按照以下工序进行：支架运输入场</w:t>
            </w:r>
            <w:r>
              <w:rPr>
                <w:rFonts w:ascii="Times New Roman" w:hAnsi="Times New Roman" w:eastAsia="Times New Roman" w:cs="Times New Roman"/>
                <w:spacing w:val="-1"/>
              </w:rPr>
              <w:t>→</w:t>
            </w:r>
            <w:r>
              <w:rPr>
                <w:spacing w:val="-1"/>
              </w:rPr>
              <w:t>测定支架基础偏差值</w:t>
            </w:r>
            <w:r>
              <w:rPr>
                <w:rFonts w:ascii="Times New Roman" w:hAnsi="Times New Roman" w:eastAsia="Times New Roman" w:cs="Times New Roman"/>
                <w:spacing w:val="-1"/>
              </w:rPr>
              <w:t>→</w:t>
            </w:r>
            <w:r>
              <w:rPr>
                <w:spacing w:val="-1"/>
              </w:rPr>
              <w:t>安</w:t>
            </w:r>
            <w:r>
              <w:rPr>
                <w:spacing w:val="11"/>
              </w:rPr>
              <w:t xml:space="preserve"> </w:t>
            </w:r>
            <w:r>
              <w:t>装立柱</w:t>
            </w:r>
            <w:r>
              <w:rPr>
                <w:rFonts w:ascii="Times New Roman" w:hAnsi="Times New Roman" w:eastAsia="Times New Roman" w:cs="Times New Roman"/>
              </w:rPr>
              <w:t>→</w:t>
            </w:r>
            <w:r>
              <w:t>安装斜梁</w:t>
            </w:r>
            <w:r>
              <w:rPr>
                <w:rFonts w:ascii="Times New Roman" w:hAnsi="Times New Roman" w:eastAsia="Times New Roman" w:cs="Times New Roman"/>
              </w:rPr>
              <w:t>→</w:t>
            </w:r>
            <w:r>
              <w:t>安装横梁</w:t>
            </w:r>
            <w:r>
              <w:rPr>
                <w:rFonts w:ascii="Times New Roman" w:hAnsi="Times New Roman" w:eastAsia="Times New Roman" w:cs="Times New Roman"/>
              </w:rPr>
              <w:t>→</w:t>
            </w:r>
            <w:r>
              <w:t>安装檩条</w:t>
            </w:r>
            <w:r>
              <w:rPr>
                <w:rFonts w:ascii="Times New Roman" w:hAnsi="Times New Roman" w:eastAsia="Times New Roman" w:cs="Times New Roman"/>
              </w:rPr>
              <w:t>→</w:t>
            </w:r>
            <w:r>
              <w:t>检查所有</w:t>
            </w:r>
            <w:r>
              <w:rPr>
                <w:spacing w:val="-1"/>
              </w:rPr>
              <w:t>螺栓的拧紧度并作标记。</w:t>
            </w:r>
          </w:p>
          <w:p w14:paraId="1A20FAE6">
            <w:pPr>
              <w:pStyle w:val="6"/>
              <w:spacing w:before="33" w:line="354" w:lineRule="auto"/>
              <w:ind w:left="105" w:right="95" w:firstLine="481"/>
            </w:pPr>
            <w:r>
              <w:rPr>
                <w:spacing w:val="-1"/>
              </w:rPr>
              <w:t>支架经车辆及人工运输入场后，测量同一个阵列的基础面标高，确认桩基尺</w:t>
            </w:r>
            <w:r>
              <w:rPr>
                <w:spacing w:val="12"/>
              </w:rPr>
              <w:t xml:space="preserve"> </w:t>
            </w:r>
            <w:r>
              <w:rPr>
                <w:spacing w:val="-1"/>
              </w:rPr>
              <w:t>寸后，进行支架安装，先将立柱地板与桩基焊接，然后在立柱上进行斜梁螺栓连</w:t>
            </w:r>
            <w:r>
              <w:rPr>
                <w:spacing w:val="15"/>
              </w:rPr>
              <w:t xml:space="preserve"> </w:t>
            </w:r>
            <w:r>
              <w:rPr>
                <w:spacing w:val="-1"/>
              </w:rPr>
              <w:t>接安装，将斜撑安装在斜梁上，斜撑与挡板之间用螺栓固定，斜撑与斜梁用螺栓</w:t>
            </w:r>
            <w:r>
              <w:rPr>
                <w:spacing w:val="13"/>
              </w:rPr>
              <w:t xml:space="preserve"> </w:t>
            </w:r>
            <w:r>
              <w:rPr>
                <w:spacing w:val="-2"/>
              </w:rPr>
              <w:t>固定；将檩条安装在横梁上，用檩条</w:t>
            </w:r>
            <w:r>
              <w:rPr>
                <w:spacing w:val="-59"/>
              </w:rPr>
              <w:t xml:space="preserve"> </w:t>
            </w:r>
            <w:r>
              <w:rPr>
                <w:rFonts w:ascii="Times New Roman" w:hAnsi="Times New Roman" w:eastAsia="Times New Roman" w:cs="Times New Roman"/>
                <w:spacing w:val="-2"/>
              </w:rPr>
              <w:t>U</w:t>
            </w:r>
            <w:r>
              <w:rPr>
                <w:rFonts w:ascii="Times New Roman" w:hAnsi="Times New Roman" w:eastAsia="Times New Roman" w:cs="Times New Roman"/>
                <w:spacing w:val="18"/>
                <w:w w:val="101"/>
              </w:rPr>
              <w:t xml:space="preserve"> </w:t>
            </w:r>
            <w:r>
              <w:rPr>
                <w:spacing w:val="-2"/>
              </w:rPr>
              <w:t>型螺</w:t>
            </w:r>
            <w:r>
              <w:rPr>
                <w:spacing w:val="-3"/>
              </w:rPr>
              <w:t>栓固定，檩条上方要装上檩条垫板，</w:t>
            </w:r>
            <w:r>
              <w:t xml:space="preserve"> </w:t>
            </w:r>
            <w:r>
              <w:rPr>
                <w:spacing w:val="-1"/>
              </w:rPr>
              <w:t>在横梁的下方要装上檩条压板。</w:t>
            </w:r>
          </w:p>
          <w:p w14:paraId="1A688835">
            <w:pPr>
              <w:pStyle w:val="6"/>
              <w:spacing w:before="34" w:line="346" w:lineRule="auto"/>
              <w:ind w:left="104" w:right="132" w:firstLine="480"/>
            </w:pPr>
            <w:r>
              <w:rPr>
                <w:spacing w:val="-2"/>
              </w:rPr>
              <w:t>在支架安装过程中主要产生噪声、施工扬尘及少量施工固废（废包装材料、</w:t>
            </w:r>
            <w:r>
              <w:rPr>
                <w:spacing w:val="16"/>
              </w:rPr>
              <w:t xml:space="preserve"> </w:t>
            </w:r>
            <w:r>
              <w:rPr>
                <w:spacing w:val="-1"/>
              </w:rPr>
              <w:t>钢材、螺栓等）。</w:t>
            </w:r>
          </w:p>
          <w:p w14:paraId="704F0B22">
            <w:pPr>
              <w:pStyle w:val="6"/>
              <w:spacing w:before="32" w:line="219" w:lineRule="auto"/>
              <w:ind w:left="598"/>
            </w:pPr>
            <w:r>
              <w:rPr>
                <w:b/>
                <w:bCs/>
                <w:spacing w:val="-4"/>
              </w:rPr>
              <w:t>（</w:t>
            </w:r>
            <w:r>
              <w:rPr>
                <w:rFonts w:ascii="Times New Roman" w:hAnsi="Times New Roman" w:eastAsia="Times New Roman" w:cs="Times New Roman"/>
                <w:b/>
                <w:bCs/>
                <w:spacing w:val="-4"/>
              </w:rPr>
              <w:t>10</w:t>
            </w:r>
            <w:r>
              <w:rPr>
                <w:b/>
                <w:bCs/>
                <w:spacing w:val="-4"/>
              </w:rPr>
              <w:t>）光伏组件安装</w:t>
            </w:r>
          </w:p>
          <w:p w14:paraId="01CB0E7A">
            <w:pPr>
              <w:pStyle w:val="6"/>
              <w:spacing w:before="180" w:line="347" w:lineRule="auto"/>
              <w:ind w:left="117" w:right="102" w:firstLine="471"/>
            </w:pPr>
            <w:r>
              <w:rPr>
                <w:spacing w:val="-1"/>
              </w:rPr>
              <w:t>光伏组件安装按照以下工序进行：光伏组件就位→安装螺栓→组件位置对齐</w:t>
            </w:r>
            <w:r>
              <w:rPr>
                <w:spacing w:val="11"/>
              </w:rPr>
              <w:t xml:space="preserve"> </w:t>
            </w:r>
            <w:r>
              <w:rPr>
                <w:spacing w:val="-2"/>
              </w:rPr>
              <w:t>→拧紧螺母→</w:t>
            </w:r>
            <w:r>
              <w:rPr>
                <w:spacing w:val="-87"/>
              </w:rPr>
              <w:t xml:space="preserve"> </w:t>
            </w:r>
            <w:r>
              <w:rPr>
                <w:spacing w:val="-2"/>
              </w:rPr>
              <w:t>串接线连接→检查所有螺栓的拧紧度并作标记。</w:t>
            </w:r>
          </w:p>
          <w:p w14:paraId="70924799">
            <w:pPr>
              <w:pStyle w:val="6"/>
              <w:spacing w:before="38" w:line="355" w:lineRule="auto"/>
              <w:ind w:left="104" w:right="40" w:firstLine="483"/>
            </w:pPr>
            <w:r>
              <w:rPr>
                <w:spacing w:val="-1"/>
              </w:rPr>
              <w:t>光伏组件安装时需将具有相同技术参数的组件安装在同一组串上。组件与机</w:t>
            </w:r>
            <w:r>
              <w:rPr>
                <w:spacing w:val="11"/>
              </w:rPr>
              <w:t xml:space="preserve"> </w:t>
            </w:r>
            <w:r>
              <w:rPr>
                <w:spacing w:val="-5"/>
              </w:rPr>
              <w:t>架的连接螺栓必须加防松弹簧垫圈，并应全</w:t>
            </w:r>
            <w:r>
              <w:rPr>
                <w:spacing w:val="-6"/>
              </w:rPr>
              <w:t>部拧紧。光伏组件安装应平整、直线，</w:t>
            </w:r>
            <w:r>
              <w:t xml:space="preserve"> 组件之间对齐相差不应大于</w:t>
            </w:r>
            <w:r>
              <w:rPr>
                <w:rFonts w:ascii="Times New Roman" w:hAnsi="Times New Roman" w:eastAsia="Times New Roman" w:cs="Times New Roman"/>
              </w:rPr>
              <w:t>3mm</w:t>
            </w:r>
            <w:r>
              <w:rPr>
                <w:rFonts w:ascii="Times New Roman" w:hAnsi="Times New Roman" w:eastAsia="Times New Roman" w:cs="Times New Roman"/>
                <w:spacing w:val="-30"/>
              </w:rPr>
              <w:t xml:space="preserve"> </w:t>
            </w:r>
            <w:r>
              <w:t>，组件阵列全长的</w:t>
            </w:r>
            <w:r>
              <w:rPr>
                <w:spacing w:val="-1"/>
              </w:rPr>
              <w:t>直线度误差在正负</w:t>
            </w:r>
            <w:r>
              <w:rPr>
                <w:rFonts w:ascii="Times New Roman" w:hAnsi="Times New Roman" w:eastAsia="Times New Roman" w:cs="Times New Roman"/>
                <w:spacing w:val="-1"/>
              </w:rPr>
              <w:t>5mm</w:t>
            </w:r>
            <w:r>
              <w:rPr>
                <w:spacing w:val="-1"/>
              </w:rPr>
              <w:t>以内。</w:t>
            </w:r>
            <w:r>
              <w:t xml:space="preserve"> </w:t>
            </w:r>
            <w:r>
              <w:rPr>
                <w:spacing w:val="-1"/>
              </w:rPr>
              <w:t>光伏组件安装完成后必须检查所有螺栓的拧紧度，逐根螺栓检查完成后，逐根在</w:t>
            </w:r>
            <w:r>
              <w:rPr>
                <w:spacing w:val="16"/>
              </w:rPr>
              <w:t xml:space="preserve"> </w:t>
            </w:r>
            <w:r>
              <w:rPr>
                <w:spacing w:val="-5"/>
              </w:rPr>
              <w:t>螺栓与螺母的交按处作标记，标记采用红色</w:t>
            </w:r>
            <w:r>
              <w:rPr>
                <w:spacing w:val="-6"/>
              </w:rPr>
              <w:t>的记号笔进行。光伏组件安装完成后，</w:t>
            </w:r>
            <w:r>
              <w:t xml:space="preserve"> </w:t>
            </w:r>
            <w:r>
              <w:rPr>
                <w:spacing w:val="-1"/>
              </w:rPr>
              <w:t>将光伏组件的串接线连接，并用金属绑扎线将电缆固定于光伏支架上。光伏组件</w:t>
            </w:r>
            <w:r>
              <w:rPr>
                <w:spacing w:val="16"/>
              </w:rPr>
              <w:t xml:space="preserve"> </w:t>
            </w:r>
            <w:r>
              <w:rPr>
                <w:spacing w:val="-1"/>
              </w:rPr>
              <w:t>串接线连接完成后，必须测试串电压是否正常，并做好记录。</w:t>
            </w:r>
          </w:p>
          <w:p w14:paraId="105809A3">
            <w:pPr>
              <w:pStyle w:val="6"/>
              <w:spacing w:before="34" w:line="346" w:lineRule="auto"/>
              <w:ind w:left="106" w:right="102" w:firstLine="479"/>
            </w:pPr>
            <w:r>
              <w:rPr>
                <w:spacing w:val="-1"/>
              </w:rPr>
              <w:t>在光伏组件安装过程中主要产生噪声、施工扬尘及少量施工固废（废包装材</w:t>
            </w:r>
            <w:r>
              <w:rPr>
                <w:spacing w:val="13"/>
              </w:rPr>
              <w:t xml:space="preserve"> </w:t>
            </w:r>
            <w:r>
              <w:rPr>
                <w:spacing w:val="-1"/>
              </w:rPr>
              <w:t>料、钢材、螺栓等）。</w:t>
            </w:r>
          </w:p>
          <w:p w14:paraId="6FF1F80F">
            <w:pPr>
              <w:pStyle w:val="6"/>
              <w:spacing w:before="33" w:line="220" w:lineRule="auto"/>
              <w:ind w:left="598"/>
            </w:pPr>
            <w:r>
              <w:rPr>
                <w:b/>
                <w:bCs/>
                <w:spacing w:val="-4"/>
              </w:rPr>
              <w:t>（</w:t>
            </w:r>
            <w:r>
              <w:rPr>
                <w:rFonts w:ascii="Times New Roman" w:hAnsi="Times New Roman" w:eastAsia="Times New Roman" w:cs="Times New Roman"/>
                <w:b/>
                <w:bCs/>
                <w:spacing w:val="-4"/>
              </w:rPr>
              <w:t>11</w:t>
            </w:r>
            <w:r>
              <w:rPr>
                <w:b/>
                <w:bCs/>
                <w:spacing w:val="-4"/>
              </w:rPr>
              <w:t>）逆变器安装接线</w:t>
            </w:r>
          </w:p>
          <w:p w14:paraId="0028BD79">
            <w:pPr>
              <w:pStyle w:val="6"/>
              <w:spacing w:before="182" w:line="352" w:lineRule="auto"/>
              <w:ind w:left="105" w:right="40" w:firstLine="481"/>
            </w:pPr>
            <w:r>
              <w:t>本项目逆变器安装在光伏支架上，逆变器接线前必须先将箱内保险管取下，</w:t>
            </w:r>
            <w:r>
              <w:rPr>
                <w:spacing w:val="17"/>
              </w:rPr>
              <w:t xml:space="preserve"> </w:t>
            </w:r>
            <w:r>
              <w:rPr>
                <w:spacing w:val="1"/>
              </w:rPr>
              <w:t>并收集保险管，等待光伏发电系统设备安装完成后需</w:t>
            </w:r>
            <w:r>
              <w:t xml:space="preserve">要调试时才将保险管安装。 </w:t>
            </w:r>
            <w:r>
              <w:rPr>
                <w:spacing w:val="-6"/>
              </w:rPr>
              <w:t>逆变器安装时必须按设计图位置安装，箱体安装支架必须牢靠，并在同一平面上，</w:t>
            </w:r>
            <w:r>
              <w:rPr>
                <w:spacing w:val="18"/>
              </w:rPr>
              <w:t xml:space="preserve"> </w:t>
            </w:r>
            <w:r>
              <w:t>当逆变器固定面与支架表面不吻合时，应用镀锌钢垫片</w:t>
            </w:r>
            <w:r>
              <w:rPr>
                <w:spacing w:val="-1"/>
              </w:rPr>
              <w:t>垫平后方可紧固连接螺</w:t>
            </w:r>
          </w:p>
          <w:p w14:paraId="0DD295BC">
            <w:pPr>
              <w:pStyle w:val="6"/>
              <w:spacing w:before="36" w:line="347" w:lineRule="auto"/>
              <w:ind w:left="117" w:right="104" w:hanging="9"/>
            </w:pPr>
            <w:r>
              <w:rPr>
                <w:spacing w:val="-1"/>
              </w:rPr>
              <w:t>丝，严禁用紧拧连接螺丝的方法使其吻合，固定螺栓应加防松垫片并拧紧。接线</w:t>
            </w:r>
            <w:r>
              <w:rPr>
                <w:spacing w:val="10"/>
              </w:rPr>
              <w:t xml:space="preserve"> </w:t>
            </w:r>
            <w:r>
              <w:rPr>
                <w:spacing w:val="-2"/>
              </w:rPr>
              <w:t>时应按照极性进行连接。</w:t>
            </w:r>
          </w:p>
          <w:p w14:paraId="5ABDBD47">
            <w:pPr>
              <w:pStyle w:val="6"/>
              <w:spacing w:before="32" w:line="219" w:lineRule="auto"/>
              <w:ind w:left="585"/>
            </w:pPr>
            <w:r>
              <w:t>逆变器安装过程中主要会产生噪声、少量施工固</w:t>
            </w:r>
            <w:r>
              <w:rPr>
                <w:spacing w:val="-1"/>
              </w:rPr>
              <w:t>废、施工扬尘等影响。</w:t>
            </w:r>
          </w:p>
        </w:tc>
      </w:tr>
    </w:tbl>
    <w:p w14:paraId="199638B2">
      <w:pPr>
        <w:rPr>
          <w:rFonts w:ascii="Arial"/>
          <w:sz w:val="21"/>
        </w:rPr>
      </w:pPr>
    </w:p>
    <w:p w14:paraId="11B83670">
      <w:pPr>
        <w:rPr>
          <w:rFonts w:ascii="Arial" w:hAnsi="Arial" w:eastAsia="Arial" w:cs="Arial"/>
          <w:sz w:val="21"/>
          <w:szCs w:val="21"/>
        </w:rPr>
        <w:sectPr>
          <w:footerReference r:id="rId74" w:type="default"/>
          <w:pgSz w:w="11906" w:h="16839"/>
          <w:pgMar w:top="1431" w:right="1413" w:bottom="1278" w:left="1413" w:header="0" w:footer="1116" w:gutter="0"/>
          <w:cols w:space="720" w:num="1"/>
        </w:sectPr>
      </w:pPr>
    </w:p>
    <w:p w14:paraId="367E99C7">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0E361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464" w:type="dxa"/>
            <w:tcBorders>
              <w:right w:val="single" w:color="000000" w:sz="2" w:space="0"/>
            </w:tcBorders>
            <w:vAlign w:val="top"/>
          </w:tcPr>
          <w:p w14:paraId="7DC5567E">
            <w:pPr>
              <w:rPr>
                <w:rFonts w:ascii="Arial"/>
                <w:sz w:val="21"/>
              </w:rPr>
            </w:pPr>
          </w:p>
        </w:tc>
        <w:tc>
          <w:tcPr>
            <w:tcW w:w="8600" w:type="dxa"/>
            <w:tcBorders>
              <w:left w:val="single" w:color="000000" w:sz="2" w:space="0"/>
            </w:tcBorders>
            <w:vAlign w:val="top"/>
          </w:tcPr>
          <w:p w14:paraId="3DFD11D4">
            <w:pPr>
              <w:pStyle w:val="6"/>
              <w:spacing w:before="29" w:line="220" w:lineRule="auto"/>
              <w:ind w:left="598"/>
            </w:pPr>
            <w:r>
              <w:rPr>
                <w:b/>
                <w:bCs/>
                <w:spacing w:val="-4"/>
              </w:rPr>
              <w:t>（</w:t>
            </w:r>
            <w:r>
              <w:rPr>
                <w:rFonts w:ascii="Times New Roman" w:hAnsi="Times New Roman" w:eastAsia="Times New Roman" w:cs="Times New Roman"/>
                <w:b/>
                <w:bCs/>
                <w:spacing w:val="-4"/>
              </w:rPr>
              <w:t>12</w:t>
            </w:r>
            <w:r>
              <w:rPr>
                <w:b/>
                <w:bCs/>
                <w:spacing w:val="-4"/>
              </w:rPr>
              <w:t>）箱式变压器安装</w:t>
            </w:r>
          </w:p>
          <w:p w14:paraId="5341BE15">
            <w:pPr>
              <w:pStyle w:val="6"/>
              <w:spacing w:before="181" w:line="345" w:lineRule="auto"/>
              <w:ind w:left="117" w:right="102" w:firstLine="471"/>
            </w:pPr>
            <w:r>
              <w:rPr>
                <w:spacing w:val="-1"/>
              </w:rPr>
              <w:t>箱式变压器安装工艺流程包括：设备开箱检查→设备搬运→设备安装及校正</w:t>
            </w:r>
            <w:r>
              <w:rPr>
                <w:spacing w:val="11"/>
              </w:rPr>
              <w:t xml:space="preserve"> </w:t>
            </w:r>
            <w:r>
              <w:rPr>
                <w:spacing w:val="-2"/>
              </w:rPr>
              <w:t>→外观检查→设备调试及试验。</w:t>
            </w:r>
          </w:p>
          <w:p w14:paraId="0D2A519B">
            <w:pPr>
              <w:pStyle w:val="6"/>
              <w:spacing w:before="35" w:line="353" w:lineRule="auto"/>
              <w:ind w:left="106" w:right="40" w:firstLine="481"/>
              <w:jc w:val="both"/>
            </w:pPr>
            <w:r>
              <w:rPr>
                <w:spacing w:val="-1"/>
              </w:rPr>
              <w:t>箱式变压器开箱检查没问题后，运输入场。变压器房采用运输车结合汽车吊</w:t>
            </w:r>
            <w:r>
              <w:rPr>
                <w:spacing w:val="11"/>
              </w:rPr>
              <w:t xml:space="preserve"> </w:t>
            </w:r>
            <w:r>
              <w:rPr>
                <w:spacing w:val="-6"/>
              </w:rPr>
              <w:t>的方式；到达现场后用吊车把箱式变压器吊至预定的设备基础上。配电柜接线后，</w:t>
            </w:r>
            <w:r>
              <w:rPr>
                <w:spacing w:val="17"/>
              </w:rPr>
              <w:t xml:space="preserve"> </w:t>
            </w:r>
            <w:r>
              <w:rPr>
                <w:spacing w:val="-1"/>
              </w:rPr>
              <w:t>清除柜内的杂物和灰尘。安装后，按照产品安装使用技术说明书进行直流柜测试</w:t>
            </w:r>
            <w:r>
              <w:rPr>
                <w:spacing w:val="15"/>
              </w:rPr>
              <w:t xml:space="preserve"> </w:t>
            </w:r>
            <w:r>
              <w:rPr>
                <w:spacing w:val="-1"/>
              </w:rPr>
              <w:t>（包括电压、支路开关、回路等）。</w:t>
            </w:r>
          </w:p>
          <w:p w14:paraId="2B6E28D0">
            <w:pPr>
              <w:pStyle w:val="6"/>
              <w:spacing w:before="33" w:line="219" w:lineRule="auto"/>
              <w:ind w:left="588"/>
            </w:pPr>
            <w:r>
              <w:rPr>
                <w:spacing w:val="-1"/>
              </w:rPr>
              <w:t>箱式变压器安装过程中主要产生噪声、施工扬尘、施工固废影响。</w:t>
            </w:r>
          </w:p>
          <w:p w14:paraId="4124235C">
            <w:pPr>
              <w:pStyle w:val="6"/>
              <w:spacing w:before="183" w:line="219" w:lineRule="auto"/>
              <w:ind w:left="598"/>
            </w:pPr>
            <w:r>
              <w:rPr>
                <w:b/>
                <w:bCs/>
                <w:spacing w:val="-4"/>
              </w:rPr>
              <w:t>（</w:t>
            </w:r>
            <w:r>
              <w:rPr>
                <w:rFonts w:ascii="Times New Roman" w:hAnsi="Times New Roman" w:eastAsia="Times New Roman" w:cs="Times New Roman"/>
                <w:b/>
                <w:bCs/>
                <w:spacing w:val="-4"/>
              </w:rPr>
              <w:t>13</w:t>
            </w:r>
            <w:r>
              <w:rPr>
                <w:b/>
                <w:bCs/>
                <w:spacing w:val="-4"/>
              </w:rPr>
              <w:t>）电缆敷设</w:t>
            </w:r>
          </w:p>
          <w:p w14:paraId="7D0CDAD7">
            <w:pPr>
              <w:pStyle w:val="6"/>
              <w:spacing w:before="181" w:line="219" w:lineRule="auto"/>
              <w:ind w:left="614"/>
            </w:pPr>
            <w:r>
              <w:rPr>
                <w:spacing w:val="-2"/>
              </w:rPr>
              <w:t>电缆敷设主要是从逆变器接入箱式变压器。</w:t>
            </w:r>
          </w:p>
          <w:p w14:paraId="251D3535">
            <w:pPr>
              <w:pStyle w:val="6"/>
              <w:spacing w:before="180" w:line="347" w:lineRule="auto"/>
              <w:ind w:left="107" w:right="102" w:firstLine="507"/>
            </w:pPr>
            <w:r>
              <w:rPr>
                <w:spacing w:val="-5"/>
              </w:rPr>
              <w:t>电缆敷设工艺流程：合格电缆运输入场→</w:t>
            </w:r>
            <w:r>
              <w:rPr>
                <w:spacing w:val="-78"/>
              </w:rPr>
              <w:t xml:space="preserve"> </w:t>
            </w:r>
            <w:r>
              <w:rPr>
                <w:spacing w:val="-5"/>
              </w:rPr>
              <w:t>电缆绝缘检测→</w:t>
            </w:r>
            <w:r>
              <w:rPr>
                <w:spacing w:val="-83"/>
              </w:rPr>
              <w:t xml:space="preserve"> </w:t>
            </w:r>
            <w:r>
              <w:rPr>
                <w:spacing w:val="-5"/>
              </w:rPr>
              <w:t>电缆沟铺沙→</w:t>
            </w:r>
            <w:r>
              <w:rPr>
                <w:spacing w:val="-83"/>
              </w:rPr>
              <w:t xml:space="preserve"> </w:t>
            </w:r>
            <w:r>
              <w:rPr>
                <w:spacing w:val="-5"/>
              </w:rPr>
              <w:t>电缆</w:t>
            </w:r>
            <w:r>
              <w:t xml:space="preserve"> </w:t>
            </w:r>
            <w:r>
              <w:rPr>
                <w:spacing w:val="-6"/>
              </w:rPr>
              <w:t>敷设→</w:t>
            </w:r>
            <w:r>
              <w:rPr>
                <w:spacing w:val="-82"/>
              </w:rPr>
              <w:t xml:space="preserve"> </w:t>
            </w:r>
            <w:r>
              <w:rPr>
                <w:spacing w:val="-6"/>
              </w:rPr>
              <w:t>电缆沟铺沙→</w:t>
            </w:r>
            <w:r>
              <w:rPr>
                <w:spacing w:val="-83"/>
              </w:rPr>
              <w:t xml:space="preserve"> </w:t>
            </w:r>
            <w:r>
              <w:rPr>
                <w:spacing w:val="-6"/>
              </w:rPr>
              <w:t>电缆沟盖砖→</w:t>
            </w:r>
            <w:r>
              <w:rPr>
                <w:spacing w:val="-82"/>
              </w:rPr>
              <w:t xml:space="preserve"> </w:t>
            </w:r>
            <w:r>
              <w:rPr>
                <w:spacing w:val="-6"/>
              </w:rPr>
              <w:t>电缆沟回填→</w:t>
            </w:r>
            <w:r>
              <w:rPr>
                <w:spacing w:val="-83"/>
              </w:rPr>
              <w:t xml:space="preserve"> </w:t>
            </w:r>
            <w:r>
              <w:rPr>
                <w:spacing w:val="-6"/>
              </w:rPr>
              <w:t>电缆标示桩。</w:t>
            </w:r>
          </w:p>
          <w:p w14:paraId="2149B9FA">
            <w:pPr>
              <w:pStyle w:val="6"/>
              <w:spacing w:before="35" w:line="352" w:lineRule="auto"/>
              <w:ind w:left="106" w:right="102" w:firstLine="483"/>
            </w:pPr>
            <w:r>
              <w:rPr>
                <w:spacing w:val="-1"/>
              </w:rPr>
              <w:t>项目电缆敷设采用人力及机械牵引的方式，在便利的地方采用机械牵引，在</w:t>
            </w:r>
            <w:r>
              <w:rPr>
                <w:spacing w:val="9"/>
              </w:rPr>
              <w:t xml:space="preserve"> </w:t>
            </w:r>
            <w:r>
              <w:rPr>
                <w:spacing w:val="-1"/>
              </w:rPr>
              <w:t>箱规狭窄的地方采用人力牵引。电缆敷设前进行绝缘摇测，电池板与组串式逆变</w:t>
            </w:r>
            <w:r>
              <w:rPr>
                <w:spacing w:val="15"/>
              </w:rPr>
              <w:t xml:space="preserve"> </w:t>
            </w:r>
            <w:r>
              <w:rPr>
                <w:spacing w:val="-1"/>
              </w:rPr>
              <w:t>器之间的电缆采用沿光伏支架敷设，组串式逆变器与箱变之间的电缆采用电缆直</w:t>
            </w:r>
            <w:r>
              <w:rPr>
                <w:spacing w:val="15"/>
              </w:rPr>
              <w:t xml:space="preserve"> </w:t>
            </w:r>
            <w:r>
              <w:rPr>
                <w:spacing w:val="-3"/>
              </w:rPr>
              <w:t>埋敷设。</w:t>
            </w:r>
          </w:p>
          <w:p w14:paraId="1B3AB0B8">
            <w:pPr>
              <w:pStyle w:val="6"/>
              <w:spacing w:before="37" w:line="352" w:lineRule="auto"/>
              <w:ind w:left="104" w:right="102" w:firstLine="483"/>
              <w:jc w:val="both"/>
            </w:pPr>
            <w:r>
              <w:rPr>
                <w:spacing w:val="-1"/>
              </w:rPr>
              <w:t>直埋电缆采用直接在原地面进行开挖，因山区光伏地形复杂，主要以人工为</w:t>
            </w:r>
            <w:r>
              <w:rPr>
                <w:spacing w:val="11"/>
              </w:rPr>
              <w:t xml:space="preserve"> </w:t>
            </w:r>
            <w:r>
              <w:rPr>
                <w:spacing w:val="-3"/>
              </w:rPr>
              <w:t>主，小型机械辅助施工，开挖尺寸为顶宽</w:t>
            </w:r>
            <w:r>
              <w:rPr>
                <w:rFonts w:ascii="Times New Roman" w:hAnsi="Times New Roman" w:eastAsia="Times New Roman" w:cs="Times New Roman"/>
                <w:spacing w:val="-3"/>
              </w:rPr>
              <w:t>1.6m</w:t>
            </w:r>
            <w:r>
              <w:rPr>
                <w:rFonts w:ascii="Times New Roman" w:hAnsi="Times New Roman" w:eastAsia="Times New Roman" w:cs="Times New Roman"/>
                <w:spacing w:val="-17"/>
              </w:rPr>
              <w:t xml:space="preserve"> </w:t>
            </w:r>
            <w:r>
              <w:rPr>
                <w:spacing w:val="-3"/>
              </w:rPr>
              <w:t>，底宽</w:t>
            </w:r>
            <w:r>
              <w:rPr>
                <w:rFonts w:ascii="Times New Roman" w:hAnsi="Times New Roman" w:eastAsia="Times New Roman" w:cs="Times New Roman"/>
                <w:spacing w:val="-3"/>
              </w:rPr>
              <w:t>1m</w:t>
            </w:r>
            <w:r>
              <w:rPr>
                <w:rFonts w:ascii="Times New Roman" w:hAnsi="Times New Roman" w:eastAsia="Times New Roman" w:cs="Times New Roman"/>
                <w:spacing w:val="-30"/>
              </w:rPr>
              <w:t xml:space="preserve"> </w:t>
            </w:r>
            <w:r>
              <w:rPr>
                <w:spacing w:val="-3"/>
              </w:rPr>
              <w:t>，深</w:t>
            </w:r>
            <w:r>
              <w:rPr>
                <w:rFonts w:ascii="Times New Roman" w:hAnsi="Times New Roman" w:eastAsia="Times New Roman" w:cs="Times New Roman"/>
                <w:spacing w:val="-3"/>
              </w:rPr>
              <w:t>1m</w:t>
            </w:r>
            <w:r>
              <w:rPr>
                <w:rFonts w:ascii="Times New Roman" w:hAnsi="Times New Roman" w:eastAsia="Times New Roman" w:cs="Times New Roman"/>
                <w:spacing w:val="-26"/>
              </w:rPr>
              <w:t xml:space="preserve"> </w:t>
            </w:r>
            <w:r>
              <w:rPr>
                <w:spacing w:val="-3"/>
              </w:rPr>
              <w:t>。铺砂垫层后放</w:t>
            </w:r>
            <w:r>
              <w:t xml:space="preserve"> </w:t>
            </w:r>
            <w:r>
              <w:rPr>
                <w:spacing w:val="-1"/>
              </w:rPr>
              <w:t>置电缆，再铺一层细沙后覆盖红砖，最后回填碎石土，并沿电缆路径埋设电缆标</w:t>
            </w:r>
            <w:r>
              <w:rPr>
                <w:spacing w:val="16"/>
              </w:rPr>
              <w:t xml:space="preserve"> </w:t>
            </w:r>
            <w:r>
              <w:rPr>
                <w:spacing w:val="-3"/>
              </w:rPr>
              <w:t>示桩。</w:t>
            </w:r>
          </w:p>
          <w:p w14:paraId="502D56E3">
            <w:pPr>
              <w:pStyle w:val="6"/>
              <w:spacing w:before="35" w:line="345" w:lineRule="auto"/>
              <w:ind w:left="126" w:right="102" w:firstLine="459"/>
            </w:pPr>
            <w:r>
              <w:rPr>
                <w:spacing w:val="-1"/>
              </w:rPr>
              <w:t>在电缆敷设过程中主要产生施工扬尘、噪声及施工固废影响，还会产生少量</w:t>
            </w:r>
            <w:r>
              <w:rPr>
                <w:spacing w:val="13"/>
              </w:rPr>
              <w:t xml:space="preserve"> </w:t>
            </w:r>
            <w:r>
              <w:rPr>
                <w:spacing w:val="-1"/>
              </w:rPr>
              <w:t>的施工机械清洗废水影响，电缆沟的开挖会造成一定的生态破</w:t>
            </w:r>
            <w:r>
              <w:rPr>
                <w:spacing w:val="-2"/>
              </w:rPr>
              <w:t>坏。</w:t>
            </w:r>
          </w:p>
          <w:p w14:paraId="07B9AF87">
            <w:pPr>
              <w:pStyle w:val="6"/>
              <w:spacing w:before="38" w:line="219" w:lineRule="auto"/>
              <w:ind w:left="598"/>
            </w:pPr>
            <w:r>
              <w:rPr>
                <w:b/>
                <w:bCs/>
                <w:spacing w:val="-4"/>
              </w:rPr>
              <w:t>（</w:t>
            </w:r>
            <w:r>
              <w:rPr>
                <w:rFonts w:ascii="Times New Roman" w:hAnsi="Times New Roman" w:eastAsia="Times New Roman" w:cs="Times New Roman"/>
                <w:b/>
                <w:bCs/>
                <w:spacing w:val="-4"/>
              </w:rPr>
              <w:t>14</w:t>
            </w:r>
            <w:r>
              <w:rPr>
                <w:b/>
                <w:bCs/>
                <w:spacing w:val="-4"/>
              </w:rPr>
              <w:t>）电缆头制作安装</w:t>
            </w:r>
          </w:p>
          <w:p w14:paraId="501655FD">
            <w:pPr>
              <w:pStyle w:val="6"/>
              <w:spacing w:before="182" w:line="345" w:lineRule="auto"/>
              <w:ind w:left="108" w:right="102" w:firstLine="506"/>
            </w:pPr>
            <w:r>
              <w:rPr>
                <w:spacing w:val="-2"/>
              </w:rPr>
              <w:t>电缆头制作流程：摇测电缆绝缘→剥电缆铠甲，打卡子→焊接地线→包缠电</w:t>
            </w:r>
            <w:r>
              <w:rPr>
                <w:spacing w:val="17"/>
              </w:rPr>
              <w:t xml:space="preserve"> </w:t>
            </w:r>
            <w:r>
              <w:rPr>
                <w:spacing w:val="-1"/>
              </w:rPr>
              <w:t>缆、套电缆终端头套→压电缆芯线接线鼻子、与设备连接。</w:t>
            </w:r>
          </w:p>
          <w:p w14:paraId="1B247339">
            <w:pPr>
              <w:pStyle w:val="6"/>
              <w:spacing w:before="35" w:line="351" w:lineRule="auto"/>
              <w:ind w:left="104" w:right="102" w:firstLine="480"/>
            </w:pPr>
            <w:r>
              <w:rPr>
                <w:spacing w:val="-4"/>
              </w:rPr>
              <w:t>选用</w:t>
            </w:r>
            <w:r>
              <w:rPr>
                <w:rFonts w:ascii="Times New Roman" w:hAnsi="Times New Roman" w:eastAsia="Times New Roman" w:cs="Times New Roman"/>
                <w:spacing w:val="-4"/>
              </w:rPr>
              <w:t xml:space="preserve">1000V  </w:t>
            </w:r>
            <w:r>
              <w:rPr>
                <w:spacing w:val="-4"/>
              </w:rPr>
              <w:t>摇表，对电缆进行摇测，绝缘电阻应在</w:t>
            </w:r>
            <w:r>
              <w:rPr>
                <w:rFonts w:ascii="Times New Roman" w:hAnsi="Times New Roman" w:eastAsia="Times New Roman" w:cs="Times New Roman"/>
                <w:spacing w:val="-4"/>
              </w:rPr>
              <w:t xml:space="preserve">10M </w:t>
            </w:r>
            <w:r>
              <w:rPr>
                <w:spacing w:val="-4"/>
              </w:rPr>
              <w:t>Ω</w:t>
            </w:r>
            <w:r>
              <w:rPr>
                <w:spacing w:val="-70"/>
              </w:rPr>
              <w:t xml:space="preserve"> </w:t>
            </w:r>
            <w:r>
              <w:rPr>
                <w:spacing w:val="-4"/>
              </w:rPr>
              <w:t>以上。电缆摇测完</w:t>
            </w:r>
            <w:r>
              <w:t xml:space="preserve"> </w:t>
            </w:r>
            <w:r>
              <w:rPr>
                <w:spacing w:val="-1"/>
              </w:rPr>
              <w:t>毕后，应将芯线分别对地放电，根据电缆与设备联接的具体尺寸，量电缆并做好</w:t>
            </w:r>
            <w:r>
              <w:rPr>
                <w:spacing w:val="14"/>
              </w:rPr>
              <w:t xml:space="preserve"> </w:t>
            </w:r>
            <w:r>
              <w:rPr>
                <w:spacing w:val="-1"/>
              </w:rPr>
              <w:t>标记。锯掉多余电缆，根据电缆头套型号尺寸要求，剥除外护套。利用电缆本身</w:t>
            </w:r>
            <w:r>
              <w:rPr>
                <w:spacing w:val="16"/>
              </w:rPr>
              <w:t xml:space="preserve"> </w:t>
            </w:r>
            <w:r>
              <w:rPr>
                <w:spacing w:val="-1"/>
              </w:rPr>
              <w:t>钢带宽的二分之一做卡子，采用咬口的方法将卡子打牢，必须打两道，防止钢带</w:t>
            </w:r>
          </w:p>
        </w:tc>
      </w:tr>
    </w:tbl>
    <w:p w14:paraId="2DF205AF">
      <w:pPr>
        <w:rPr>
          <w:rFonts w:ascii="Arial"/>
          <w:sz w:val="21"/>
        </w:rPr>
      </w:pPr>
    </w:p>
    <w:p w14:paraId="5EADA8B9">
      <w:pPr>
        <w:rPr>
          <w:rFonts w:ascii="Arial" w:hAnsi="Arial" w:eastAsia="Arial" w:cs="Arial"/>
          <w:sz w:val="21"/>
          <w:szCs w:val="21"/>
        </w:rPr>
        <w:sectPr>
          <w:footerReference r:id="rId75" w:type="default"/>
          <w:pgSz w:w="11906" w:h="16839"/>
          <w:pgMar w:top="1431" w:right="1413" w:bottom="1278" w:left="1413" w:header="0" w:footer="1116" w:gutter="0"/>
          <w:cols w:space="720" w:num="1"/>
        </w:sectPr>
      </w:pPr>
    </w:p>
    <w:p w14:paraId="4F88030E">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162EF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56" w:hRule="atLeast"/>
        </w:trPr>
        <w:tc>
          <w:tcPr>
            <w:tcW w:w="464" w:type="dxa"/>
            <w:tcBorders>
              <w:right w:val="single" w:color="000000" w:sz="2" w:space="0"/>
            </w:tcBorders>
            <w:vAlign w:val="top"/>
          </w:tcPr>
          <w:p w14:paraId="4B82AC50">
            <w:pPr>
              <w:rPr>
                <w:rFonts w:ascii="Arial"/>
                <w:sz w:val="21"/>
              </w:rPr>
            </w:pPr>
          </w:p>
        </w:tc>
        <w:tc>
          <w:tcPr>
            <w:tcW w:w="8600" w:type="dxa"/>
            <w:tcBorders>
              <w:left w:val="single" w:color="000000" w:sz="2" w:space="0"/>
            </w:tcBorders>
            <w:vAlign w:val="top"/>
          </w:tcPr>
          <w:p w14:paraId="6AAD6223">
            <w:pPr>
              <w:pStyle w:val="6"/>
              <w:spacing w:before="28" w:line="356" w:lineRule="auto"/>
              <w:ind w:left="105" w:right="102" w:firstLine="1"/>
            </w:pPr>
            <w:r>
              <w:rPr>
                <w:spacing w:val="-1"/>
              </w:rPr>
              <w:t>松开，两道卡子的间距为</w:t>
            </w:r>
            <w:r>
              <w:rPr>
                <w:rFonts w:ascii="Times New Roman" w:hAnsi="Times New Roman" w:eastAsia="Times New Roman" w:cs="Times New Roman"/>
                <w:spacing w:val="-1"/>
              </w:rPr>
              <w:t>15mm</w:t>
            </w:r>
            <w:r>
              <w:rPr>
                <w:rFonts w:ascii="Times New Roman" w:hAnsi="Times New Roman" w:eastAsia="Times New Roman" w:cs="Times New Roman"/>
                <w:spacing w:val="-30"/>
              </w:rPr>
              <w:t xml:space="preserve"> </w:t>
            </w:r>
            <w:r>
              <w:rPr>
                <w:spacing w:val="-1"/>
              </w:rPr>
              <w:t>，在打钢带卡子的同时，多股铜线排</w:t>
            </w:r>
            <w:r>
              <w:rPr>
                <w:spacing w:val="-2"/>
              </w:rPr>
              <w:t>列整齐后卡</w:t>
            </w:r>
            <w:r>
              <w:t xml:space="preserve"> </w:t>
            </w:r>
            <w:r>
              <w:rPr>
                <w:spacing w:val="-1"/>
              </w:rPr>
              <w:t>在卡子里。地线采用焊锡焊接于电缆钢带上，焊接应牢固，不应有虚焊现象，应</w:t>
            </w:r>
            <w:r>
              <w:rPr>
                <w:spacing w:val="15"/>
              </w:rPr>
              <w:t xml:space="preserve"> </w:t>
            </w:r>
            <w:r>
              <w:rPr>
                <w:spacing w:val="-1"/>
              </w:rPr>
              <w:t>注意不要将电缆烫伤。必须焊在两层钢带上，根据电缆头的型号尺寸，按照电缆</w:t>
            </w:r>
            <w:r>
              <w:rPr>
                <w:spacing w:val="15"/>
              </w:rPr>
              <w:t xml:space="preserve"> </w:t>
            </w:r>
            <w:r>
              <w:rPr>
                <w:spacing w:val="-1"/>
              </w:rPr>
              <w:t>头套长度和内径，用塑料带采用半叠法包缠电缆。塑料带包缠应紧密，形状呈枣</w:t>
            </w:r>
            <w:r>
              <w:rPr>
                <w:spacing w:val="13"/>
              </w:rPr>
              <w:t xml:space="preserve"> </w:t>
            </w:r>
            <w:r>
              <w:rPr>
                <w:spacing w:val="-1"/>
              </w:rPr>
              <w:t>核状。将电缆头套上部套上，与下部对接、套严。从芯线端头量出长度为线鼻子</w:t>
            </w:r>
            <w:r>
              <w:rPr>
                <w:spacing w:val="15"/>
              </w:rPr>
              <w:t xml:space="preserve"> </w:t>
            </w:r>
            <w:r>
              <w:rPr>
                <w:spacing w:val="-2"/>
              </w:rPr>
              <w:t>的深度，另加</w:t>
            </w:r>
            <w:r>
              <w:rPr>
                <w:rFonts w:ascii="Times New Roman" w:hAnsi="Times New Roman" w:eastAsia="Times New Roman" w:cs="Times New Roman"/>
                <w:spacing w:val="-2"/>
              </w:rPr>
              <w:t>5mm</w:t>
            </w:r>
            <w:r>
              <w:rPr>
                <w:rFonts w:ascii="Times New Roman" w:hAnsi="Times New Roman" w:eastAsia="Times New Roman" w:cs="Times New Roman"/>
                <w:spacing w:val="-21"/>
              </w:rPr>
              <w:t xml:space="preserve"> </w:t>
            </w:r>
            <w:r>
              <w:rPr>
                <w:spacing w:val="-2"/>
              </w:rPr>
              <w:t>，剥去电缆芯线绝缘，并在芯绒上涂上凡士林。将芯线插入接</w:t>
            </w:r>
            <w:r>
              <w:t xml:space="preserve"> </w:t>
            </w:r>
            <w:r>
              <w:rPr>
                <w:spacing w:val="-1"/>
              </w:rPr>
              <w:t>线鼻子内，用压线钳子压紧接线鼻子，压接应在两道以上根据接线端子的型号，</w:t>
            </w:r>
            <w:r>
              <w:rPr>
                <w:spacing w:val="15"/>
              </w:rPr>
              <w:t xml:space="preserve"> </w:t>
            </w:r>
            <w:r>
              <w:rPr>
                <w:spacing w:val="-1"/>
              </w:rPr>
              <w:t>选用螺栓将电缆接线端子压接在设备上。</w:t>
            </w:r>
          </w:p>
          <w:p w14:paraId="33233002">
            <w:pPr>
              <w:pStyle w:val="6"/>
              <w:spacing w:before="36" w:line="219" w:lineRule="auto"/>
              <w:jc w:val="right"/>
            </w:pPr>
            <w:r>
              <w:rPr>
                <w:spacing w:val="-5"/>
              </w:rPr>
              <w:t>在该过程中主要产生少量焊接烟尘、施工固废（废电缆等</w:t>
            </w:r>
            <w:r>
              <w:rPr>
                <w:spacing w:val="-6"/>
              </w:rPr>
              <w:t>）、施工噪声影响。</w:t>
            </w:r>
          </w:p>
          <w:p w14:paraId="4F4255F4">
            <w:pPr>
              <w:pStyle w:val="6"/>
              <w:spacing w:before="180" w:line="221" w:lineRule="auto"/>
              <w:ind w:left="582"/>
            </w:pPr>
            <w:r>
              <w:rPr>
                <w:rFonts w:ascii="Times New Roman" w:hAnsi="Times New Roman" w:eastAsia="Times New Roman" w:cs="Times New Roman"/>
                <w:spacing w:val="-6"/>
              </w:rPr>
              <w:t>2</w:t>
            </w:r>
            <w:r>
              <w:rPr>
                <w:rFonts w:ascii="Times New Roman" w:hAnsi="Times New Roman" w:eastAsia="Times New Roman" w:cs="Times New Roman"/>
                <w:spacing w:val="-32"/>
              </w:rPr>
              <w:t xml:space="preserve"> </w:t>
            </w:r>
            <w:r>
              <w:rPr>
                <w:spacing w:val="-6"/>
              </w:rPr>
              <w:t>、</w:t>
            </w:r>
            <w:r>
              <w:rPr>
                <w:b/>
                <w:bCs/>
                <w:spacing w:val="-6"/>
              </w:rPr>
              <w:t>升压站施工</w:t>
            </w:r>
          </w:p>
          <w:p w14:paraId="50D414D3">
            <w:pPr>
              <w:pStyle w:val="6"/>
              <w:spacing w:before="178" w:line="219" w:lineRule="auto"/>
              <w:ind w:left="587"/>
            </w:pPr>
            <w:r>
              <w:rPr>
                <w:spacing w:val="-1"/>
              </w:rPr>
              <w:t>本项目升压站施工工艺流程及产污节点如下图</w:t>
            </w:r>
            <w:r>
              <w:rPr>
                <w:rFonts w:ascii="Times New Roman" w:hAnsi="Times New Roman" w:eastAsia="Times New Roman" w:cs="Times New Roman"/>
                <w:spacing w:val="-1"/>
              </w:rPr>
              <w:t>2-3</w:t>
            </w:r>
            <w:r>
              <w:rPr>
                <w:spacing w:val="-1"/>
              </w:rPr>
              <w:t>所示。</w:t>
            </w:r>
          </w:p>
          <w:p w14:paraId="1B02CAF9">
            <w:pPr>
              <w:spacing w:before="228" w:line="3362" w:lineRule="exact"/>
              <w:ind w:firstLine="99"/>
            </w:pPr>
            <w:r>
              <w:rPr>
                <w:position w:val="-67"/>
              </w:rPr>
              <w:drawing>
                <wp:inline distT="0" distB="0" distL="0" distR="0">
                  <wp:extent cx="5113020" cy="213487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04"/>
                          <a:stretch>
                            <a:fillRect/>
                          </a:stretch>
                        </pic:blipFill>
                        <pic:spPr>
                          <a:xfrm>
                            <a:off x="0" y="0"/>
                            <a:ext cx="5113237" cy="2135040"/>
                          </a:xfrm>
                          <a:prstGeom prst="rect">
                            <a:avLst/>
                          </a:prstGeom>
                        </pic:spPr>
                      </pic:pic>
                    </a:graphicData>
                  </a:graphic>
                </wp:inline>
              </w:drawing>
            </w:r>
          </w:p>
          <w:p w14:paraId="61560795">
            <w:pPr>
              <w:spacing w:line="370" w:lineRule="auto"/>
              <w:rPr>
                <w:rFonts w:ascii="Arial"/>
                <w:sz w:val="21"/>
              </w:rPr>
            </w:pPr>
          </w:p>
          <w:p w14:paraId="03202FD0">
            <w:pPr>
              <w:pStyle w:val="6"/>
              <w:spacing w:before="65" w:line="228" w:lineRule="auto"/>
              <w:ind w:left="2389"/>
              <w:rPr>
                <w:sz w:val="20"/>
                <w:szCs w:val="20"/>
              </w:rPr>
            </w:pPr>
            <w:r>
              <w:rPr>
                <w:b/>
                <w:bCs/>
                <w:spacing w:val="5"/>
                <w:sz w:val="20"/>
                <w:szCs w:val="20"/>
              </w:rPr>
              <w:t>图</w:t>
            </w:r>
            <w:r>
              <w:rPr>
                <w:rFonts w:ascii="Times New Roman" w:hAnsi="Times New Roman" w:eastAsia="Times New Roman" w:cs="Times New Roman"/>
                <w:b/>
                <w:bCs/>
                <w:spacing w:val="5"/>
                <w:sz w:val="20"/>
                <w:szCs w:val="20"/>
              </w:rPr>
              <w:t xml:space="preserve">2-3    </w:t>
            </w:r>
            <w:r>
              <w:rPr>
                <w:b/>
                <w:bCs/>
                <w:spacing w:val="5"/>
                <w:sz w:val="20"/>
                <w:szCs w:val="20"/>
              </w:rPr>
              <w:t>升压站施工工艺流程及产污节点图</w:t>
            </w:r>
          </w:p>
          <w:p w14:paraId="55EFC11A">
            <w:pPr>
              <w:pStyle w:val="6"/>
              <w:spacing w:before="28" w:line="219" w:lineRule="auto"/>
              <w:ind w:left="588"/>
            </w:pPr>
            <w:r>
              <w:rPr>
                <w:spacing w:val="-1"/>
              </w:rPr>
              <w:t>升压站施工工艺流程简介：</w:t>
            </w:r>
          </w:p>
          <w:p w14:paraId="3ECF1964">
            <w:pPr>
              <w:pStyle w:val="6"/>
              <w:spacing w:before="184" w:line="219" w:lineRule="auto"/>
              <w:ind w:left="598"/>
            </w:pPr>
            <w:r>
              <w:rPr>
                <w:b/>
                <w:bCs/>
                <w:spacing w:val="-4"/>
              </w:rPr>
              <w:t>（</w:t>
            </w:r>
            <w:r>
              <w:rPr>
                <w:rFonts w:ascii="Times New Roman" w:hAnsi="Times New Roman" w:eastAsia="Times New Roman" w:cs="Times New Roman"/>
                <w:b/>
                <w:bCs/>
                <w:spacing w:val="-4"/>
              </w:rPr>
              <w:t>1</w:t>
            </w:r>
            <w:r>
              <w:rPr>
                <w:b/>
                <w:bCs/>
                <w:spacing w:val="-4"/>
              </w:rPr>
              <w:t>）站内场地平整</w:t>
            </w:r>
          </w:p>
          <w:p w14:paraId="6F1AE715">
            <w:pPr>
              <w:pStyle w:val="6"/>
              <w:spacing w:before="179" w:line="354" w:lineRule="auto"/>
              <w:ind w:left="105" w:right="102" w:firstLine="481"/>
              <w:jc w:val="both"/>
            </w:pPr>
            <w:r>
              <w:rPr>
                <w:spacing w:val="-1"/>
              </w:rPr>
              <w:t>站内场地部分开挖和部分回填，场地清理采用推土机配合人工清理，然后将</w:t>
            </w:r>
            <w:r>
              <w:rPr>
                <w:spacing w:val="12"/>
              </w:rPr>
              <w:t xml:space="preserve"> </w:t>
            </w:r>
            <w:r>
              <w:rPr>
                <w:spacing w:val="-1"/>
              </w:rPr>
              <w:t>场地碾平。在平整过程中，会有剥离表土的产生，堆放于拟建升压站旁设置的表</w:t>
            </w:r>
            <w:r>
              <w:rPr>
                <w:spacing w:val="15"/>
              </w:rPr>
              <w:t xml:space="preserve"> </w:t>
            </w:r>
            <w:r>
              <w:rPr>
                <w:spacing w:val="-1"/>
              </w:rPr>
              <w:t>土临时堆场内，用于后期绿化覆土使用。在场地平整过程中主要因地表扰动造成</w:t>
            </w:r>
            <w:r>
              <w:rPr>
                <w:spacing w:val="15"/>
              </w:rPr>
              <w:t xml:space="preserve"> </w:t>
            </w:r>
            <w:r>
              <w:rPr>
                <w:spacing w:val="-1"/>
              </w:rPr>
              <w:t>生态破坏，施工活动产生施工扬尘、噪声及施工表土影响，施工机械设备清洗产</w:t>
            </w:r>
            <w:r>
              <w:rPr>
                <w:spacing w:val="15"/>
              </w:rPr>
              <w:t xml:space="preserve"> </w:t>
            </w:r>
            <w:r>
              <w:rPr>
                <w:spacing w:val="-2"/>
              </w:rPr>
              <w:t>生施工废水。</w:t>
            </w:r>
          </w:p>
          <w:p w14:paraId="1D90A153">
            <w:pPr>
              <w:pStyle w:val="6"/>
              <w:spacing w:before="36" w:line="220" w:lineRule="auto"/>
              <w:ind w:left="598"/>
            </w:pPr>
            <w:r>
              <w:rPr>
                <w:b/>
                <w:bCs/>
                <w:spacing w:val="-4"/>
              </w:rPr>
              <w:t>（</w:t>
            </w:r>
            <w:r>
              <w:rPr>
                <w:rFonts w:ascii="Times New Roman" w:hAnsi="Times New Roman" w:eastAsia="Times New Roman" w:cs="Times New Roman"/>
                <w:b/>
                <w:bCs/>
                <w:spacing w:val="-4"/>
              </w:rPr>
              <w:t>2</w:t>
            </w:r>
            <w:r>
              <w:rPr>
                <w:b/>
                <w:bCs/>
                <w:spacing w:val="-4"/>
              </w:rPr>
              <w:t>）基础开挖、回填</w:t>
            </w:r>
          </w:p>
          <w:p w14:paraId="4FDC7AE4">
            <w:pPr>
              <w:pStyle w:val="6"/>
              <w:spacing w:before="179" w:line="219" w:lineRule="auto"/>
              <w:ind w:left="586"/>
            </w:pPr>
            <w:r>
              <w:rPr>
                <w:spacing w:val="-1"/>
              </w:rPr>
              <w:t>根据设计要求，在各构筑物设计布置位置进行基础开挖、回填工作。基础开</w:t>
            </w:r>
          </w:p>
        </w:tc>
      </w:tr>
    </w:tbl>
    <w:p w14:paraId="6675A686">
      <w:pPr>
        <w:rPr>
          <w:rFonts w:ascii="Arial"/>
          <w:sz w:val="21"/>
        </w:rPr>
      </w:pPr>
    </w:p>
    <w:p w14:paraId="20EB6D22">
      <w:pPr>
        <w:rPr>
          <w:rFonts w:ascii="Arial" w:hAnsi="Arial" w:eastAsia="Arial" w:cs="Arial"/>
          <w:sz w:val="21"/>
          <w:szCs w:val="21"/>
        </w:rPr>
        <w:sectPr>
          <w:footerReference r:id="rId76" w:type="default"/>
          <w:pgSz w:w="11906" w:h="16839"/>
          <w:pgMar w:top="1431" w:right="1413" w:bottom="1278" w:left="1413" w:header="0" w:footer="1116" w:gutter="0"/>
          <w:cols w:space="720" w:num="1"/>
        </w:sectPr>
      </w:pPr>
    </w:p>
    <w:p w14:paraId="28BC1427">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59CAA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464" w:type="dxa"/>
            <w:tcBorders>
              <w:right w:val="single" w:color="000000" w:sz="2" w:space="0"/>
            </w:tcBorders>
            <w:vAlign w:val="top"/>
          </w:tcPr>
          <w:p w14:paraId="305122E1">
            <w:pPr>
              <w:rPr>
                <w:rFonts w:ascii="Arial"/>
                <w:sz w:val="21"/>
              </w:rPr>
            </w:pPr>
          </w:p>
        </w:tc>
        <w:tc>
          <w:tcPr>
            <w:tcW w:w="8600" w:type="dxa"/>
            <w:tcBorders>
              <w:left w:val="single" w:color="000000" w:sz="2" w:space="0"/>
            </w:tcBorders>
            <w:vAlign w:val="top"/>
          </w:tcPr>
          <w:p w14:paraId="77F41556">
            <w:pPr>
              <w:pStyle w:val="6"/>
              <w:spacing w:before="28" w:line="353" w:lineRule="auto"/>
              <w:ind w:left="105" w:right="102"/>
            </w:pPr>
            <w:r>
              <w:t>挖时先采用挖土机按施工划分及顺序开挖，</w:t>
            </w:r>
            <w:r>
              <w:rPr>
                <w:spacing w:val="-1"/>
              </w:rPr>
              <w:t>机械下方留200～250mm厚人工清理，</w:t>
            </w:r>
            <w:r>
              <w:t xml:space="preserve"> </w:t>
            </w:r>
            <w:r>
              <w:rPr>
                <w:spacing w:val="-1"/>
              </w:rPr>
              <w:t>防止基础下原土扰动。回填料包括外购的级配石、开挖的土石方等，根据施工高</w:t>
            </w:r>
            <w:r>
              <w:rPr>
                <w:spacing w:val="15"/>
              </w:rPr>
              <w:t xml:space="preserve"> </w:t>
            </w:r>
            <w:r>
              <w:rPr>
                <w:spacing w:val="-1"/>
              </w:rPr>
              <w:t>程要求，对较低处进行回填，夯实，找平。级配碎石换填后，进行砼垫层施工，</w:t>
            </w:r>
            <w:r>
              <w:rPr>
                <w:spacing w:val="15"/>
              </w:rPr>
              <w:t xml:space="preserve"> </w:t>
            </w:r>
            <w:r>
              <w:rPr>
                <w:spacing w:val="-1"/>
              </w:rPr>
              <w:t>绑扎基础钢筋，进行混凝土浇筑及养护。</w:t>
            </w:r>
          </w:p>
          <w:p w14:paraId="3F8A79F8">
            <w:pPr>
              <w:pStyle w:val="6"/>
              <w:spacing w:before="33" w:line="347" w:lineRule="auto"/>
              <w:ind w:left="105" w:right="102" w:firstLine="480"/>
            </w:pPr>
            <w:r>
              <w:rPr>
                <w:spacing w:val="-1"/>
              </w:rPr>
              <w:t>在基础工程施工中，主要产生生态破坏、施工扬尘、施工噪声、施工废水及</w:t>
            </w:r>
            <w:r>
              <w:rPr>
                <w:spacing w:val="13"/>
              </w:rPr>
              <w:t xml:space="preserve"> </w:t>
            </w:r>
            <w:r>
              <w:rPr>
                <w:spacing w:val="-2"/>
              </w:rPr>
              <w:t>施工固废影响。</w:t>
            </w:r>
          </w:p>
          <w:p w14:paraId="124D288E">
            <w:pPr>
              <w:pStyle w:val="6"/>
              <w:spacing w:before="33" w:line="220" w:lineRule="auto"/>
              <w:ind w:left="598"/>
            </w:pPr>
            <w:r>
              <w:rPr>
                <w:b/>
                <w:bCs/>
                <w:spacing w:val="-4"/>
              </w:rPr>
              <w:t>（</w:t>
            </w:r>
            <w:r>
              <w:rPr>
                <w:rFonts w:ascii="Times New Roman" w:hAnsi="Times New Roman" w:eastAsia="Times New Roman" w:cs="Times New Roman"/>
                <w:b/>
                <w:bCs/>
                <w:spacing w:val="-4"/>
              </w:rPr>
              <w:t>3</w:t>
            </w:r>
            <w:r>
              <w:rPr>
                <w:b/>
                <w:bCs/>
                <w:spacing w:val="-4"/>
              </w:rPr>
              <w:t>）建构筑物施工</w:t>
            </w:r>
          </w:p>
          <w:p w14:paraId="26B2924C">
            <w:pPr>
              <w:pStyle w:val="6"/>
              <w:spacing w:before="179" w:line="350" w:lineRule="auto"/>
              <w:ind w:left="104" w:right="102" w:firstLine="483"/>
              <w:jc w:val="both"/>
            </w:pPr>
            <w:r>
              <w:rPr>
                <w:spacing w:val="-1"/>
              </w:rPr>
              <w:t>主体建构筑施工主要采取以下施工工艺流程：放线→一层模板排架搭设→柱</w:t>
            </w:r>
            <w:r>
              <w:rPr>
                <w:spacing w:val="11"/>
              </w:rPr>
              <w:t xml:space="preserve"> </w:t>
            </w:r>
            <w:r>
              <w:rPr>
                <w:spacing w:val="-1"/>
              </w:rPr>
              <w:t>钢筋立焊、绑扎→柱钢筋验收→支柱、梁板模板→柱砼浇筑→梁板钢筋绑扎→钢</w:t>
            </w:r>
            <w:r>
              <w:rPr>
                <w:spacing w:val="16"/>
              </w:rPr>
              <w:t xml:space="preserve"> </w:t>
            </w:r>
            <w:r>
              <w:rPr>
                <w:spacing w:val="-1"/>
              </w:rPr>
              <w:t>筋验收→浇梁、现浇板砼→养护。</w:t>
            </w:r>
          </w:p>
          <w:p w14:paraId="6B73ABC5">
            <w:pPr>
              <w:pStyle w:val="6"/>
              <w:spacing w:before="34" w:line="351" w:lineRule="auto"/>
              <w:ind w:left="108" w:right="24" w:firstLine="481"/>
              <w:jc w:val="both"/>
            </w:pPr>
            <w:r>
              <w:rPr>
                <w:spacing w:val="-1"/>
              </w:rPr>
              <w:t>项目使用商品混凝土浇筑，根据施工图纸，进行墙体砌筑、模板支设、钢筋</w:t>
            </w:r>
            <w:r>
              <w:rPr>
                <w:spacing w:val="9"/>
              </w:rPr>
              <w:t xml:space="preserve"> </w:t>
            </w:r>
            <w:r>
              <w:rPr>
                <w:spacing w:val="-5"/>
              </w:rPr>
              <w:t>绑扎及焊接、混凝土浇筑及养护等，建构筑物施工过程中主要有施工扬</w:t>
            </w:r>
            <w:r>
              <w:rPr>
                <w:spacing w:val="-6"/>
              </w:rPr>
              <w:t>尘、噪声、</w:t>
            </w:r>
            <w:r>
              <w:t xml:space="preserve"> </w:t>
            </w:r>
            <w:r>
              <w:rPr>
                <w:spacing w:val="-1"/>
              </w:rPr>
              <w:t>固废，混凝土养护废水等产生。</w:t>
            </w:r>
          </w:p>
          <w:p w14:paraId="30E94BBB">
            <w:pPr>
              <w:pStyle w:val="6"/>
              <w:spacing w:before="32" w:line="220" w:lineRule="auto"/>
              <w:ind w:left="598"/>
            </w:pPr>
            <w:r>
              <w:rPr>
                <w:b/>
                <w:bCs/>
                <w:spacing w:val="-4"/>
              </w:rPr>
              <w:t>（</w:t>
            </w:r>
            <w:r>
              <w:rPr>
                <w:rFonts w:ascii="Times New Roman" w:hAnsi="Times New Roman" w:eastAsia="Times New Roman" w:cs="Times New Roman"/>
                <w:b/>
                <w:bCs/>
                <w:spacing w:val="-4"/>
              </w:rPr>
              <w:t>4</w:t>
            </w:r>
            <w:r>
              <w:rPr>
                <w:b/>
                <w:bCs/>
                <w:spacing w:val="-4"/>
              </w:rPr>
              <w:t>）设备、设施安装</w:t>
            </w:r>
          </w:p>
          <w:p w14:paraId="29BBF4BB">
            <w:pPr>
              <w:pStyle w:val="6"/>
              <w:spacing w:before="183" w:line="350" w:lineRule="auto"/>
              <w:ind w:left="134" w:right="104" w:firstLine="450"/>
            </w:pPr>
            <w:r>
              <w:rPr>
                <w:spacing w:val="-3"/>
              </w:rPr>
              <w:t>进行</w:t>
            </w:r>
            <w:r>
              <w:rPr>
                <w:rFonts w:ascii="Times New Roman" w:hAnsi="Times New Roman" w:eastAsia="Times New Roman" w:cs="Times New Roman"/>
                <w:spacing w:val="-3"/>
              </w:rPr>
              <w:t>220KV</w:t>
            </w:r>
            <w:r>
              <w:rPr>
                <w:spacing w:val="-3"/>
              </w:rPr>
              <w:t>、</w:t>
            </w:r>
            <w:r>
              <w:rPr>
                <w:rFonts w:ascii="Times New Roman" w:hAnsi="Times New Roman" w:eastAsia="Times New Roman" w:cs="Times New Roman"/>
                <w:spacing w:val="-3"/>
              </w:rPr>
              <w:t>35KV</w:t>
            </w:r>
            <w:r>
              <w:rPr>
                <w:spacing w:val="-3"/>
              </w:rPr>
              <w:t>两个电压等级的配电装置安装，以及计算机监控系</w:t>
            </w:r>
            <w:r>
              <w:rPr>
                <w:spacing w:val="-4"/>
              </w:rPr>
              <w:t>统、继</w:t>
            </w:r>
            <w:r>
              <w:t xml:space="preserve"> </w:t>
            </w:r>
            <w:r>
              <w:rPr>
                <w:spacing w:val="-1"/>
              </w:rPr>
              <w:t>电保护及安全自动装置安装、辅助智能监控</w:t>
            </w:r>
            <w:r>
              <w:rPr>
                <w:spacing w:val="-2"/>
              </w:rPr>
              <w:t>系统的安装，以及站内公辅工程水、</w:t>
            </w:r>
            <w:r>
              <w:t xml:space="preserve"> </w:t>
            </w:r>
            <w:r>
              <w:rPr>
                <w:spacing w:val="-5"/>
              </w:rPr>
              <w:t>电等的安装工作。</w:t>
            </w:r>
          </w:p>
          <w:p w14:paraId="0CC720E3">
            <w:pPr>
              <w:pStyle w:val="6"/>
              <w:spacing w:before="32" w:line="353" w:lineRule="auto"/>
              <w:ind w:left="106" w:right="102" w:firstLine="479"/>
              <w:jc w:val="both"/>
            </w:pPr>
            <w:r>
              <w:rPr>
                <w:spacing w:val="-1"/>
              </w:rPr>
              <w:t>在设备、设施安装过程中，电缆主要采用桥架敷设，主要流程为：槽式垂直</w:t>
            </w:r>
            <w:r>
              <w:rPr>
                <w:spacing w:val="13"/>
              </w:rPr>
              <w:t xml:space="preserve"> </w:t>
            </w:r>
            <w:r>
              <w:rPr>
                <w:spacing w:val="-2"/>
              </w:rPr>
              <w:t>敷设电缆桥架、槽式水平敷设电缆桥架→</w:t>
            </w:r>
            <w:r>
              <w:rPr>
                <w:spacing w:val="-70"/>
              </w:rPr>
              <w:t xml:space="preserve"> </w:t>
            </w:r>
            <w:r>
              <w:rPr>
                <w:spacing w:val="-2"/>
              </w:rPr>
              <w:t>电缆放装固定→绝缘耐压泄漏试验→挂</w:t>
            </w:r>
            <w:r>
              <w:t xml:space="preserve"> </w:t>
            </w:r>
            <w:r>
              <w:rPr>
                <w:spacing w:val="-1"/>
              </w:rPr>
              <w:t>标志牌。其他设备、设施主要根据安装要求在站内进行人工及机械结合安装。安</w:t>
            </w:r>
            <w:r>
              <w:rPr>
                <w:spacing w:val="12"/>
              </w:rPr>
              <w:t xml:space="preserve"> </w:t>
            </w:r>
            <w:r>
              <w:rPr>
                <w:spacing w:val="-1"/>
              </w:rPr>
              <w:t>装过程中主要产生施工扬尘、噪声、施工固废影响。</w:t>
            </w:r>
          </w:p>
          <w:p w14:paraId="700E28D7">
            <w:pPr>
              <w:pStyle w:val="6"/>
              <w:spacing w:before="33" w:line="219" w:lineRule="auto"/>
              <w:ind w:left="598"/>
            </w:pPr>
            <w:r>
              <w:rPr>
                <w:b/>
                <w:bCs/>
                <w:spacing w:val="-5"/>
              </w:rPr>
              <w:t>（</w:t>
            </w:r>
            <w:r>
              <w:rPr>
                <w:rFonts w:ascii="Times New Roman" w:hAnsi="Times New Roman" w:eastAsia="Times New Roman" w:cs="Times New Roman"/>
                <w:b/>
                <w:bCs/>
                <w:spacing w:val="-5"/>
              </w:rPr>
              <w:t>5</w:t>
            </w:r>
            <w:r>
              <w:rPr>
                <w:b/>
                <w:bCs/>
                <w:spacing w:val="-5"/>
              </w:rPr>
              <w:t>）线路衔接</w:t>
            </w:r>
          </w:p>
          <w:p w14:paraId="436E6500">
            <w:pPr>
              <w:pStyle w:val="6"/>
              <w:spacing w:before="185" w:line="350" w:lineRule="auto"/>
              <w:ind w:left="106" w:right="102" w:firstLine="482"/>
              <w:jc w:val="both"/>
            </w:pPr>
            <w:r>
              <w:rPr>
                <w:spacing w:val="-3"/>
              </w:rPr>
              <w:t>线路衔接主要是</w:t>
            </w:r>
            <w:r>
              <w:rPr>
                <w:rFonts w:ascii="Times New Roman" w:hAnsi="Times New Roman" w:eastAsia="Times New Roman" w:cs="Times New Roman"/>
                <w:spacing w:val="-3"/>
              </w:rPr>
              <w:t>220KV</w:t>
            </w:r>
            <w:r>
              <w:rPr>
                <w:spacing w:val="-3"/>
              </w:rPr>
              <w:t>、</w:t>
            </w:r>
            <w:r>
              <w:rPr>
                <w:rFonts w:ascii="Times New Roman" w:hAnsi="Times New Roman" w:eastAsia="Times New Roman" w:cs="Times New Roman"/>
                <w:spacing w:val="-3"/>
              </w:rPr>
              <w:t>35KV</w:t>
            </w:r>
            <w:r>
              <w:rPr>
                <w:spacing w:val="-3"/>
              </w:rPr>
              <w:t>两个电压等级的配电装置之间的</w:t>
            </w:r>
            <w:r>
              <w:rPr>
                <w:spacing w:val="-4"/>
              </w:rPr>
              <w:t>衔接，以及光</w:t>
            </w:r>
            <w:r>
              <w:t xml:space="preserve"> </w:t>
            </w:r>
            <w:r>
              <w:rPr>
                <w:spacing w:val="-1"/>
              </w:rPr>
              <w:t>伏列阵区集电线路进入升压站的线路衔接工作，需要根据设计资料进行一一对接</w:t>
            </w:r>
            <w:r>
              <w:rPr>
                <w:spacing w:val="15"/>
              </w:rPr>
              <w:t xml:space="preserve"> </w:t>
            </w:r>
            <w:r>
              <w:rPr>
                <w:spacing w:val="-4"/>
              </w:rPr>
              <w:t>工作。</w:t>
            </w:r>
          </w:p>
          <w:p w14:paraId="537CC866">
            <w:pPr>
              <w:pStyle w:val="6"/>
              <w:spacing w:before="33" w:line="219" w:lineRule="auto"/>
              <w:ind w:left="598"/>
            </w:pPr>
            <w:r>
              <w:rPr>
                <w:b/>
                <w:bCs/>
                <w:spacing w:val="-4"/>
              </w:rPr>
              <w:t>（</w:t>
            </w:r>
            <w:r>
              <w:rPr>
                <w:rFonts w:ascii="Times New Roman" w:hAnsi="Times New Roman" w:eastAsia="Times New Roman" w:cs="Times New Roman"/>
                <w:b/>
                <w:bCs/>
                <w:spacing w:val="-4"/>
              </w:rPr>
              <w:t>6</w:t>
            </w:r>
            <w:r>
              <w:rPr>
                <w:b/>
                <w:bCs/>
                <w:spacing w:val="-4"/>
              </w:rPr>
              <w:t>）装饰装修及绿化工程</w:t>
            </w:r>
          </w:p>
          <w:p w14:paraId="09762DE3">
            <w:pPr>
              <w:pStyle w:val="6"/>
              <w:spacing w:before="183" w:line="348" w:lineRule="auto"/>
              <w:ind w:left="108" w:right="102" w:firstLine="478"/>
              <w:jc w:val="both"/>
            </w:pPr>
            <w:r>
              <w:rPr>
                <w:spacing w:val="-1"/>
              </w:rPr>
              <w:t>装饰装修及绿化工程主要是对升压站内主要建筑物根据设计对内饰、外立面</w:t>
            </w:r>
            <w:r>
              <w:rPr>
                <w:spacing w:val="13"/>
              </w:rPr>
              <w:t xml:space="preserve"> </w:t>
            </w:r>
            <w:r>
              <w:rPr>
                <w:spacing w:val="-1"/>
              </w:rPr>
              <w:t>等进行装修装饰，并对不同功能区的房屋、构筑物等进行标识等工作。并对场地</w:t>
            </w:r>
            <w:r>
              <w:rPr>
                <w:spacing w:val="10"/>
              </w:rPr>
              <w:t xml:space="preserve"> </w:t>
            </w:r>
            <w:r>
              <w:rPr>
                <w:spacing w:val="-1"/>
              </w:rPr>
              <w:t>内设计绿化用地进行绿化工作，包括覆土、植被种植、养护等，采取当地易活植</w:t>
            </w:r>
          </w:p>
        </w:tc>
      </w:tr>
    </w:tbl>
    <w:p w14:paraId="13863AA9">
      <w:pPr>
        <w:rPr>
          <w:rFonts w:ascii="Arial"/>
          <w:sz w:val="21"/>
        </w:rPr>
      </w:pPr>
    </w:p>
    <w:p w14:paraId="449CE838">
      <w:pPr>
        <w:rPr>
          <w:rFonts w:ascii="Arial" w:hAnsi="Arial" w:eastAsia="Arial" w:cs="Arial"/>
          <w:sz w:val="21"/>
          <w:szCs w:val="21"/>
        </w:rPr>
        <w:sectPr>
          <w:footerReference r:id="rId77" w:type="default"/>
          <w:pgSz w:w="11906" w:h="16839"/>
          <w:pgMar w:top="1431" w:right="1413" w:bottom="1278" w:left="1413" w:header="0" w:footer="1116" w:gutter="0"/>
          <w:cols w:space="720" w:num="1"/>
        </w:sectPr>
      </w:pPr>
    </w:p>
    <w:p w14:paraId="4FDD4DEB">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761F7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2" w:hRule="atLeast"/>
        </w:trPr>
        <w:tc>
          <w:tcPr>
            <w:tcW w:w="464" w:type="dxa"/>
            <w:tcBorders>
              <w:bottom w:val="nil"/>
              <w:right w:val="single" w:color="000000" w:sz="2" w:space="0"/>
            </w:tcBorders>
            <w:vAlign w:val="top"/>
          </w:tcPr>
          <w:p w14:paraId="2A2F356E">
            <w:pPr>
              <w:rPr>
                <w:rFonts w:ascii="Arial"/>
                <w:sz w:val="21"/>
              </w:rPr>
            </w:pPr>
          </w:p>
        </w:tc>
        <w:tc>
          <w:tcPr>
            <w:tcW w:w="8600" w:type="dxa"/>
            <w:tcBorders>
              <w:left w:val="single" w:color="000000" w:sz="2" w:space="0"/>
              <w:bottom w:val="nil"/>
            </w:tcBorders>
            <w:vAlign w:val="top"/>
          </w:tcPr>
          <w:p w14:paraId="18BD0940">
            <w:pPr>
              <w:pStyle w:val="6"/>
              <w:spacing w:before="29" w:line="219" w:lineRule="auto"/>
              <w:ind w:left="106"/>
            </w:pPr>
            <w:r>
              <w:rPr>
                <w:spacing w:val="-1"/>
              </w:rPr>
              <w:t>被进行绿化。采用市场上合格的装修材料进行装修。</w:t>
            </w:r>
          </w:p>
          <w:p w14:paraId="091DCE74">
            <w:pPr>
              <w:pStyle w:val="6"/>
              <w:spacing w:before="183" w:line="345" w:lineRule="auto"/>
              <w:ind w:left="105" w:right="102" w:firstLine="480"/>
            </w:pPr>
            <w:r>
              <w:rPr>
                <w:spacing w:val="-1"/>
              </w:rPr>
              <w:t>装饰装修及绿化工程施工主要产生施工扬尘及装修废气、噪声、固废及施工</w:t>
            </w:r>
            <w:r>
              <w:rPr>
                <w:spacing w:val="13"/>
              </w:rPr>
              <w:t xml:space="preserve"> </w:t>
            </w:r>
            <w:r>
              <w:rPr>
                <w:spacing w:val="-3"/>
              </w:rPr>
              <w:t>废水等。</w:t>
            </w:r>
          </w:p>
          <w:p w14:paraId="0F81D06F">
            <w:pPr>
              <w:pStyle w:val="6"/>
              <w:spacing w:before="35" w:line="345" w:lineRule="auto"/>
              <w:ind w:left="105" w:right="102" w:firstLine="492"/>
            </w:pPr>
            <w:r>
              <w:rPr>
                <w:spacing w:val="2"/>
              </w:rPr>
              <w:t>（</w:t>
            </w:r>
            <w:r>
              <w:rPr>
                <w:rFonts w:ascii="Times New Roman" w:hAnsi="Times New Roman" w:eastAsia="Times New Roman" w:cs="Times New Roman"/>
                <w:spacing w:val="2"/>
              </w:rPr>
              <w:t>7</w:t>
            </w:r>
            <w:r>
              <w:rPr>
                <w:spacing w:val="2"/>
              </w:rPr>
              <w:t>）</w:t>
            </w:r>
            <w:r>
              <w:rPr>
                <w:b/>
                <w:bCs/>
                <w:spacing w:val="2"/>
              </w:rPr>
              <w:t>竣工调试、验收：</w:t>
            </w:r>
            <w:r>
              <w:rPr>
                <w:spacing w:val="2"/>
              </w:rPr>
              <w:t xml:space="preserve">验收合格后投入运营。在验收过程中，调试等可能 </w:t>
            </w:r>
            <w:r>
              <w:t>存在部分设备设施的拆装等，会有施工扬尘</w:t>
            </w:r>
            <w:r>
              <w:rPr>
                <w:spacing w:val="-1"/>
              </w:rPr>
              <w:t>、噪声及固废的产生。</w:t>
            </w:r>
          </w:p>
          <w:p w14:paraId="1E557587">
            <w:pPr>
              <w:pStyle w:val="6"/>
              <w:spacing w:before="38" w:line="219" w:lineRule="auto"/>
              <w:ind w:left="581"/>
            </w:pPr>
            <w:r>
              <w:rPr>
                <w:rFonts w:ascii="Times New Roman" w:hAnsi="Times New Roman" w:eastAsia="Times New Roman" w:cs="Times New Roman"/>
                <w:b/>
                <w:bCs/>
                <w:spacing w:val="-4"/>
              </w:rPr>
              <w:t>3</w:t>
            </w:r>
            <w:r>
              <w:rPr>
                <w:rFonts w:ascii="Times New Roman" w:hAnsi="Times New Roman" w:eastAsia="Times New Roman" w:cs="Times New Roman"/>
                <w:b/>
                <w:bCs/>
                <w:spacing w:val="-30"/>
              </w:rPr>
              <w:t xml:space="preserve"> </w:t>
            </w:r>
            <w:r>
              <w:rPr>
                <w:b/>
                <w:bCs/>
                <w:spacing w:val="-4"/>
              </w:rPr>
              <w:t>、</w:t>
            </w:r>
            <w:r>
              <w:rPr>
                <w:rFonts w:ascii="Times New Roman" w:hAnsi="Times New Roman" w:eastAsia="Times New Roman" w:cs="Times New Roman"/>
                <w:b/>
                <w:bCs/>
                <w:spacing w:val="-4"/>
              </w:rPr>
              <w:t>35KV</w:t>
            </w:r>
            <w:r>
              <w:rPr>
                <w:b/>
                <w:bCs/>
                <w:spacing w:val="-4"/>
              </w:rPr>
              <w:t>集电线路施工</w:t>
            </w:r>
          </w:p>
          <w:p w14:paraId="10778B5D">
            <w:pPr>
              <w:pStyle w:val="6"/>
              <w:spacing w:before="184" w:line="350" w:lineRule="auto"/>
              <w:ind w:left="106" w:right="102" w:firstLine="480"/>
              <w:jc w:val="both"/>
            </w:pPr>
            <w:r>
              <w:rPr>
                <w:rFonts w:ascii="Times New Roman" w:hAnsi="Times New Roman" w:eastAsia="Times New Roman" w:cs="Times New Roman"/>
                <w:spacing w:val="-4"/>
              </w:rPr>
              <w:t>35KV</w:t>
            </w:r>
            <w:r>
              <w:rPr>
                <w:spacing w:val="-4"/>
              </w:rPr>
              <w:t>集电线路施工流程包括：定位放线、临时道路施工、灌注桩施工、塔材</w:t>
            </w:r>
            <w:r>
              <w:rPr>
                <w:spacing w:val="12"/>
              </w:rPr>
              <w:t xml:space="preserve"> </w:t>
            </w:r>
            <w:r>
              <w:rPr>
                <w:spacing w:val="-1"/>
              </w:rPr>
              <w:t>运输、铁塔组立及接地安装、架线及附件安装。集电线路施工工艺流程及产污节</w:t>
            </w:r>
            <w:r>
              <w:rPr>
                <w:spacing w:val="15"/>
              </w:rPr>
              <w:t xml:space="preserve"> </w:t>
            </w:r>
            <w:r>
              <w:rPr>
                <w:spacing w:val="-2"/>
              </w:rPr>
              <w:t>点如下图所示：</w:t>
            </w:r>
          </w:p>
        </w:tc>
      </w:tr>
      <w:tr w14:paraId="6B6E6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301" w:hRule="atLeast"/>
        </w:trPr>
        <w:tc>
          <w:tcPr>
            <w:tcW w:w="464" w:type="dxa"/>
            <w:tcBorders>
              <w:top w:val="nil"/>
              <w:bottom w:val="nil"/>
              <w:right w:val="single" w:color="000000" w:sz="2" w:space="0"/>
            </w:tcBorders>
            <w:vAlign w:val="top"/>
          </w:tcPr>
          <w:p w14:paraId="7B1392AC">
            <w:pPr>
              <w:rPr>
                <w:rFonts w:ascii="Arial"/>
                <w:sz w:val="21"/>
              </w:rPr>
            </w:pPr>
          </w:p>
        </w:tc>
        <w:tc>
          <w:tcPr>
            <w:tcW w:w="8600" w:type="dxa"/>
            <w:tcBorders>
              <w:top w:val="nil"/>
              <w:left w:val="single" w:color="000000" w:sz="2" w:space="0"/>
              <w:bottom w:val="nil"/>
            </w:tcBorders>
            <w:vAlign w:val="top"/>
          </w:tcPr>
          <w:p w14:paraId="2E298304">
            <w:pPr>
              <w:spacing w:before="4" w:line="3286" w:lineRule="exact"/>
              <w:ind w:firstLine="99"/>
            </w:pPr>
            <w:r>
              <w:rPr>
                <w:position w:val="-65"/>
              </w:rPr>
              <w:drawing>
                <wp:inline distT="0" distB="0" distL="0" distR="0">
                  <wp:extent cx="5240020" cy="20866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05"/>
                          <a:stretch>
                            <a:fillRect/>
                          </a:stretch>
                        </pic:blipFill>
                        <pic:spPr>
                          <a:xfrm>
                            <a:off x="0" y="0"/>
                            <a:ext cx="5240116" cy="2086710"/>
                          </a:xfrm>
                          <a:prstGeom prst="rect">
                            <a:avLst/>
                          </a:prstGeom>
                        </pic:spPr>
                      </pic:pic>
                    </a:graphicData>
                  </a:graphic>
                </wp:inline>
              </w:drawing>
            </w:r>
          </w:p>
        </w:tc>
      </w:tr>
      <w:tr w14:paraId="6D2B9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3" w:hRule="atLeast"/>
        </w:trPr>
        <w:tc>
          <w:tcPr>
            <w:tcW w:w="464" w:type="dxa"/>
            <w:tcBorders>
              <w:top w:val="nil"/>
              <w:right w:val="single" w:color="000000" w:sz="2" w:space="0"/>
            </w:tcBorders>
            <w:vAlign w:val="top"/>
          </w:tcPr>
          <w:p w14:paraId="399EA15C">
            <w:pPr>
              <w:rPr>
                <w:rFonts w:ascii="Arial"/>
                <w:sz w:val="21"/>
              </w:rPr>
            </w:pPr>
          </w:p>
        </w:tc>
        <w:tc>
          <w:tcPr>
            <w:tcW w:w="8600" w:type="dxa"/>
            <w:tcBorders>
              <w:top w:val="nil"/>
              <w:left w:val="single" w:color="000000" w:sz="2" w:space="0"/>
            </w:tcBorders>
            <w:vAlign w:val="top"/>
          </w:tcPr>
          <w:p w14:paraId="35F738E2">
            <w:pPr>
              <w:pStyle w:val="6"/>
              <w:spacing w:before="223" w:line="219" w:lineRule="auto"/>
              <w:ind w:left="1697"/>
            </w:pPr>
            <w:r>
              <w:rPr>
                <w:b/>
                <w:bCs/>
                <w:spacing w:val="-2"/>
              </w:rPr>
              <w:t>图</w:t>
            </w:r>
            <w:r>
              <w:rPr>
                <w:rFonts w:ascii="Times New Roman" w:hAnsi="Times New Roman" w:eastAsia="Times New Roman" w:cs="Times New Roman"/>
                <w:b/>
                <w:bCs/>
                <w:spacing w:val="-2"/>
              </w:rPr>
              <w:t>2-4    35KV</w:t>
            </w:r>
            <w:r>
              <w:rPr>
                <w:b/>
                <w:bCs/>
                <w:spacing w:val="-2"/>
              </w:rPr>
              <w:t>集电线路施工工艺</w:t>
            </w:r>
            <w:r>
              <w:rPr>
                <w:b/>
                <w:bCs/>
                <w:spacing w:val="-3"/>
              </w:rPr>
              <w:t>流程及产污节点图</w:t>
            </w:r>
          </w:p>
          <w:p w14:paraId="2B5202FD">
            <w:pPr>
              <w:pStyle w:val="6"/>
              <w:spacing w:before="182" w:line="219" w:lineRule="auto"/>
              <w:ind w:left="589"/>
            </w:pPr>
            <w:r>
              <w:rPr>
                <w:b/>
                <w:bCs/>
                <w:spacing w:val="-4"/>
              </w:rPr>
              <w:t>工艺流程简述：</w:t>
            </w:r>
          </w:p>
          <w:p w14:paraId="7C920DDF">
            <w:pPr>
              <w:pStyle w:val="6"/>
              <w:spacing w:before="181" w:line="220" w:lineRule="auto"/>
              <w:ind w:left="598"/>
            </w:pPr>
            <w:r>
              <w:rPr>
                <w:b/>
                <w:bCs/>
                <w:spacing w:val="-5"/>
              </w:rPr>
              <w:t>（</w:t>
            </w:r>
            <w:r>
              <w:rPr>
                <w:rFonts w:ascii="Times New Roman" w:hAnsi="Times New Roman" w:eastAsia="Times New Roman" w:cs="Times New Roman"/>
                <w:b/>
                <w:bCs/>
                <w:spacing w:val="-5"/>
              </w:rPr>
              <w:t>1</w:t>
            </w:r>
            <w:r>
              <w:rPr>
                <w:b/>
                <w:bCs/>
                <w:spacing w:val="-5"/>
              </w:rPr>
              <w:t>）定位放线</w:t>
            </w:r>
          </w:p>
          <w:p w14:paraId="187B9A5D">
            <w:pPr>
              <w:pStyle w:val="6"/>
              <w:spacing w:before="181" w:line="347" w:lineRule="auto"/>
              <w:ind w:left="106" w:right="102" w:firstLine="509"/>
            </w:pPr>
            <w:r>
              <w:rPr>
                <w:spacing w:val="-2"/>
              </w:rPr>
              <w:t>由专业测量人员利用专业测量工具定出塔基的四个基础的中心线及边线，做</w:t>
            </w:r>
            <w:r>
              <w:rPr>
                <w:spacing w:val="16"/>
              </w:rPr>
              <w:t xml:space="preserve"> </w:t>
            </w:r>
            <w:r>
              <w:rPr>
                <w:spacing w:val="-3"/>
              </w:rPr>
              <w:t>好标记。</w:t>
            </w:r>
          </w:p>
          <w:p w14:paraId="760978FA">
            <w:pPr>
              <w:pStyle w:val="6"/>
              <w:spacing w:before="32" w:line="219" w:lineRule="auto"/>
              <w:ind w:left="598"/>
            </w:pPr>
            <w:r>
              <w:rPr>
                <w:b/>
                <w:bCs/>
                <w:spacing w:val="-5"/>
              </w:rPr>
              <w:t>（</w:t>
            </w:r>
            <w:r>
              <w:rPr>
                <w:rFonts w:ascii="Times New Roman" w:hAnsi="Times New Roman" w:eastAsia="Times New Roman" w:cs="Times New Roman"/>
                <w:b/>
                <w:bCs/>
                <w:spacing w:val="-5"/>
              </w:rPr>
              <w:t>2</w:t>
            </w:r>
            <w:r>
              <w:rPr>
                <w:b/>
                <w:bCs/>
                <w:spacing w:val="-5"/>
              </w:rPr>
              <w:t>）临时道路施工</w:t>
            </w:r>
          </w:p>
          <w:p w14:paraId="5A274AB4">
            <w:pPr>
              <w:pStyle w:val="6"/>
              <w:spacing w:before="181" w:line="354" w:lineRule="auto"/>
              <w:ind w:left="105" w:right="102" w:firstLine="480"/>
              <w:jc w:val="both"/>
            </w:pPr>
            <w:r>
              <w:rPr>
                <w:spacing w:val="-1"/>
              </w:rPr>
              <w:t>根据现场情况修建一条临时道路，保证桩机、钢筋、混凝土等机械、材料能</w:t>
            </w:r>
            <w:r>
              <w:rPr>
                <w:spacing w:val="13"/>
              </w:rPr>
              <w:t xml:space="preserve"> </w:t>
            </w:r>
            <w:r>
              <w:rPr>
                <w:spacing w:val="-1"/>
              </w:rPr>
              <w:t>够运输到施工现场，临时施工道路在施工后进行复垦及植被恢复。现状有道路途</w:t>
            </w:r>
            <w:r>
              <w:rPr>
                <w:spacing w:val="15"/>
              </w:rPr>
              <w:t xml:space="preserve"> </w:t>
            </w:r>
            <w:r>
              <w:rPr>
                <w:spacing w:val="-1"/>
              </w:rPr>
              <w:t>径的塔基不进行临时道路施工。临时道路施工会短期破坏生态环境，产生施工扬</w:t>
            </w:r>
            <w:r>
              <w:rPr>
                <w:spacing w:val="15"/>
              </w:rPr>
              <w:t xml:space="preserve"> </w:t>
            </w:r>
            <w:r>
              <w:rPr>
                <w:spacing w:val="-1"/>
              </w:rPr>
              <w:t>尘、施工固废、施工噪声，及施工设备清洗废水，剥离的表土堆放于临时施工道</w:t>
            </w:r>
            <w:r>
              <w:rPr>
                <w:spacing w:val="15"/>
              </w:rPr>
              <w:t xml:space="preserve"> </w:t>
            </w:r>
            <w:r>
              <w:rPr>
                <w:spacing w:val="-1"/>
              </w:rPr>
              <w:t>路两侧，回用于后期临时施工道路复垦工作。</w:t>
            </w:r>
          </w:p>
          <w:p w14:paraId="51925A20">
            <w:pPr>
              <w:pStyle w:val="6"/>
              <w:spacing w:before="34" w:line="219" w:lineRule="auto"/>
              <w:ind w:left="598"/>
            </w:pPr>
            <w:r>
              <w:rPr>
                <w:b/>
                <w:bCs/>
                <w:spacing w:val="-5"/>
              </w:rPr>
              <w:t>（</w:t>
            </w:r>
            <w:r>
              <w:rPr>
                <w:rFonts w:ascii="Times New Roman" w:hAnsi="Times New Roman" w:eastAsia="Times New Roman" w:cs="Times New Roman"/>
                <w:b/>
                <w:bCs/>
                <w:spacing w:val="-5"/>
              </w:rPr>
              <w:t>3</w:t>
            </w:r>
            <w:r>
              <w:rPr>
                <w:b/>
                <w:bCs/>
                <w:spacing w:val="-5"/>
              </w:rPr>
              <w:t>）灌注桩施工</w:t>
            </w:r>
          </w:p>
        </w:tc>
      </w:tr>
    </w:tbl>
    <w:p w14:paraId="140BE931">
      <w:pPr>
        <w:rPr>
          <w:rFonts w:ascii="Arial"/>
          <w:sz w:val="21"/>
        </w:rPr>
      </w:pPr>
    </w:p>
    <w:p w14:paraId="00B0DACC">
      <w:pPr>
        <w:rPr>
          <w:rFonts w:ascii="Arial" w:hAnsi="Arial" w:eastAsia="Arial" w:cs="Arial"/>
          <w:sz w:val="21"/>
          <w:szCs w:val="21"/>
        </w:rPr>
        <w:sectPr>
          <w:footerReference r:id="rId78" w:type="default"/>
          <w:pgSz w:w="11906" w:h="16839"/>
          <w:pgMar w:top="1431" w:right="1413" w:bottom="1278" w:left="1413" w:header="0" w:footer="1116" w:gutter="0"/>
          <w:cols w:space="720" w:num="1"/>
        </w:sectPr>
      </w:pPr>
    </w:p>
    <w:p w14:paraId="238F80EB">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3448B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464" w:type="dxa"/>
            <w:tcBorders>
              <w:right w:val="single" w:color="000000" w:sz="2" w:space="0"/>
            </w:tcBorders>
            <w:vAlign w:val="top"/>
          </w:tcPr>
          <w:p w14:paraId="58309DEE">
            <w:pPr>
              <w:rPr>
                <w:rFonts w:ascii="Arial"/>
                <w:sz w:val="21"/>
              </w:rPr>
            </w:pPr>
          </w:p>
        </w:tc>
        <w:tc>
          <w:tcPr>
            <w:tcW w:w="8600" w:type="dxa"/>
            <w:tcBorders>
              <w:left w:val="single" w:color="000000" w:sz="2" w:space="0"/>
            </w:tcBorders>
            <w:vAlign w:val="top"/>
          </w:tcPr>
          <w:p w14:paraId="0EE681EF">
            <w:pPr>
              <w:pStyle w:val="6"/>
              <w:spacing w:before="29" w:line="350" w:lineRule="auto"/>
              <w:ind w:left="104" w:right="102" w:firstLine="486"/>
            </w:pPr>
            <w:r>
              <w:rPr>
                <w:spacing w:val="-1"/>
              </w:rPr>
              <w:t>与光伏阵区灌注桩施工方式一致，使用护筒、钻机进行灌注桩钻孔，并放置</w:t>
            </w:r>
            <w:r>
              <w:rPr>
                <w:spacing w:val="8"/>
              </w:rPr>
              <w:t xml:space="preserve"> </w:t>
            </w:r>
            <w:r>
              <w:rPr>
                <w:spacing w:val="-1"/>
              </w:rPr>
              <w:t>好护筒、钢筋笼等，安装导管，进行混凝土浇灌形成灌注桩。在灌注混凝土时，</w:t>
            </w:r>
            <w:r>
              <w:rPr>
                <w:spacing w:val="16"/>
              </w:rPr>
              <w:t xml:space="preserve"> </w:t>
            </w:r>
            <w:r>
              <w:rPr>
                <w:spacing w:val="-1"/>
              </w:rPr>
              <w:t>进行地脚螺栓安装，灌注完成后做好养护工作。</w:t>
            </w:r>
          </w:p>
          <w:p w14:paraId="5AEE807A">
            <w:pPr>
              <w:pStyle w:val="6"/>
              <w:spacing w:before="37" w:line="350" w:lineRule="auto"/>
              <w:ind w:left="106" w:right="102" w:firstLine="482"/>
            </w:pPr>
            <w:r>
              <w:rPr>
                <w:spacing w:val="-1"/>
              </w:rPr>
              <w:t>混凝土灌注桩施工过程中主要产生施工扬尘、噪声及土石方影响，钻孔平台</w:t>
            </w:r>
            <w:r>
              <w:rPr>
                <w:spacing w:val="10"/>
              </w:rPr>
              <w:t xml:space="preserve"> </w:t>
            </w:r>
            <w:r>
              <w:rPr>
                <w:spacing w:val="-1"/>
              </w:rPr>
              <w:t>设置及钻孔时会对生态环境造成轻微破坏，施工机械设备清洗会有少量施工废水</w:t>
            </w:r>
            <w:r>
              <w:rPr>
                <w:spacing w:val="15"/>
              </w:rPr>
              <w:t xml:space="preserve"> </w:t>
            </w:r>
            <w:r>
              <w:rPr>
                <w:spacing w:val="-4"/>
              </w:rPr>
              <w:t>产生。</w:t>
            </w:r>
          </w:p>
          <w:p w14:paraId="4C30B563">
            <w:pPr>
              <w:pStyle w:val="6"/>
              <w:spacing w:before="35" w:line="219" w:lineRule="auto"/>
              <w:ind w:left="598"/>
            </w:pPr>
            <w:r>
              <w:rPr>
                <w:b/>
                <w:bCs/>
                <w:spacing w:val="-5"/>
              </w:rPr>
              <w:t>（</w:t>
            </w:r>
            <w:r>
              <w:rPr>
                <w:rFonts w:ascii="Times New Roman" w:hAnsi="Times New Roman" w:eastAsia="Times New Roman" w:cs="Times New Roman"/>
                <w:b/>
                <w:bCs/>
                <w:spacing w:val="-5"/>
              </w:rPr>
              <w:t>4</w:t>
            </w:r>
            <w:r>
              <w:rPr>
                <w:b/>
                <w:bCs/>
                <w:spacing w:val="-5"/>
              </w:rPr>
              <w:t>）塔材运输</w:t>
            </w:r>
          </w:p>
          <w:p w14:paraId="703B6DC0">
            <w:pPr>
              <w:pStyle w:val="6"/>
              <w:spacing w:before="180" w:line="347" w:lineRule="auto"/>
              <w:ind w:left="107" w:right="104" w:firstLine="479"/>
            </w:pPr>
            <w:r>
              <w:rPr>
                <w:spacing w:val="-1"/>
              </w:rPr>
              <w:t>塔材经车辆、人工经现有乡村道路、临时施工道路等运输入场。运输过程主</w:t>
            </w:r>
            <w:r>
              <w:rPr>
                <w:spacing w:val="10"/>
              </w:rPr>
              <w:t xml:space="preserve"> </w:t>
            </w:r>
            <w:r>
              <w:rPr>
                <w:spacing w:val="-1"/>
              </w:rPr>
              <w:t>要产生扬尘、噪声影响。</w:t>
            </w:r>
          </w:p>
          <w:p w14:paraId="2D8D98BB">
            <w:pPr>
              <w:pStyle w:val="6"/>
              <w:spacing w:before="32" w:line="220" w:lineRule="auto"/>
              <w:ind w:left="598"/>
            </w:pPr>
            <w:r>
              <w:rPr>
                <w:b/>
                <w:bCs/>
                <w:spacing w:val="-4"/>
              </w:rPr>
              <w:t>（</w:t>
            </w:r>
            <w:r>
              <w:rPr>
                <w:rFonts w:ascii="Times New Roman" w:hAnsi="Times New Roman" w:eastAsia="Times New Roman" w:cs="Times New Roman"/>
                <w:b/>
                <w:bCs/>
                <w:spacing w:val="-4"/>
              </w:rPr>
              <w:t>5</w:t>
            </w:r>
            <w:r>
              <w:rPr>
                <w:b/>
                <w:bCs/>
                <w:spacing w:val="-4"/>
              </w:rPr>
              <w:t>）铁塔组立及接地安装</w:t>
            </w:r>
          </w:p>
          <w:p w14:paraId="357230D8">
            <w:pPr>
              <w:pStyle w:val="6"/>
              <w:spacing w:before="180" w:line="354" w:lineRule="auto"/>
              <w:ind w:left="106" w:right="102" w:firstLine="480"/>
            </w:pPr>
            <w:r>
              <w:rPr>
                <w:spacing w:val="-1"/>
              </w:rPr>
              <w:t>根据安装技术说明进行铁塔组立及接地安装。铁塔安装的螺栓其规格必须与</w:t>
            </w:r>
            <w:r>
              <w:rPr>
                <w:spacing w:val="13"/>
              </w:rPr>
              <w:t xml:space="preserve"> </w:t>
            </w:r>
            <w:r>
              <w:rPr>
                <w:spacing w:val="-1"/>
              </w:rPr>
              <w:t>设计图纸标注相符，其穿入方向必须符合规范要求，同时螺杆应与构件面垂直，</w:t>
            </w:r>
            <w:r>
              <w:rPr>
                <w:spacing w:val="15"/>
              </w:rPr>
              <w:t xml:space="preserve"> </w:t>
            </w:r>
            <w:r>
              <w:rPr>
                <w:spacing w:val="-1"/>
              </w:rPr>
              <w:t>螺栓头平面与构件间不得有空隙。铁塔组立好后，应测量铁塔的倾斜、弯曲，其</w:t>
            </w:r>
            <w:r>
              <w:rPr>
                <w:spacing w:val="15"/>
              </w:rPr>
              <w:t xml:space="preserve"> </w:t>
            </w:r>
            <w:r>
              <w:rPr>
                <w:spacing w:val="-1"/>
              </w:rPr>
              <w:t>值应不超过规范的要求。塔脚板与地脚螺栓连接处必须保证双帽一垫齐全，地脚</w:t>
            </w:r>
            <w:r>
              <w:rPr>
                <w:spacing w:val="15"/>
              </w:rPr>
              <w:t xml:space="preserve"> </w:t>
            </w:r>
            <w:r>
              <w:t>螺栓螺帽必须及时紧固且将外露螺杆按要求砸铆，</w:t>
            </w:r>
            <w:r>
              <w:rPr>
                <w:spacing w:val="-1"/>
              </w:rPr>
              <w:t>以防地脚螺栓螺帽被盗。</w:t>
            </w:r>
          </w:p>
          <w:p w14:paraId="74DD638B">
            <w:pPr>
              <w:pStyle w:val="6"/>
              <w:spacing w:before="32" w:line="353" w:lineRule="auto"/>
              <w:ind w:left="105" w:right="102" w:firstLine="481"/>
            </w:pPr>
            <w:r>
              <w:rPr>
                <w:spacing w:val="-1"/>
              </w:rPr>
              <w:t>敷设接地体如岩石、陡坡等情况时，可适当移动埋设位置，但两接地体间的</w:t>
            </w:r>
            <w:r>
              <w:rPr>
                <w:spacing w:val="12"/>
              </w:rPr>
              <w:t xml:space="preserve"> </w:t>
            </w:r>
            <w:r>
              <w:rPr>
                <w:spacing w:val="3"/>
              </w:rPr>
              <w:t>平行接近距离不宜小于</w:t>
            </w:r>
            <w:r>
              <w:rPr>
                <w:rFonts w:ascii="Times New Roman" w:hAnsi="Times New Roman" w:eastAsia="Times New Roman" w:cs="Times New Roman"/>
                <w:spacing w:val="3"/>
              </w:rPr>
              <w:t>5</w:t>
            </w:r>
            <w:r>
              <w:rPr>
                <w:spacing w:val="3"/>
              </w:rPr>
              <w:t>米，在山地应尽量沿等高线敷设，应敷设于</w:t>
            </w:r>
            <w:r>
              <w:rPr>
                <w:spacing w:val="2"/>
              </w:rPr>
              <w:t>实土内。接</w:t>
            </w:r>
            <w:r>
              <w:t xml:space="preserve"> </w:t>
            </w:r>
            <w:r>
              <w:rPr>
                <w:spacing w:val="-5"/>
              </w:rPr>
              <w:t>地体与埋地通信光缆的距离不应小于</w:t>
            </w:r>
            <w:r>
              <w:rPr>
                <w:rFonts w:ascii="Times New Roman" w:hAnsi="Times New Roman" w:eastAsia="Times New Roman" w:cs="Times New Roman"/>
                <w:spacing w:val="-5"/>
              </w:rPr>
              <w:t>25</w:t>
            </w:r>
            <w:r>
              <w:rPr>
                <w:spacing w:val="-5"/>
              </w:rPr>
              <w:t>米 (</w:t>
            </w:r>
            <w:r>
              <w:rPr>
                <w:spacing w:val="-10"/>
              </w:rPr>
              <w:t xml:space="preserve"> </w:t>
            </w:r>
            <w:r>
              <w:rPr>
                <w:spacing w:val="-5"/>
              </w:rPr>
              <w:t>ρ</w:t>
            </w:r>
            <w:r>
              <w:rPr>
                <w:spacing w:val="-94"/>
              </w:rPr>
              <w:t xml:space="preserve"> </w:t>
            </w:r>
            <w:r>
              <w:rPr>
                <w:spacing w:val="-5"/>
              </w:rPr>
              <w:t>≤</w:t>
            </w:r>
            <w:r>
              <w:rPr>
                <w:rFonts w:ascii="Times New Roman" w:hAnsi="Times New Roman" w:eastAsia="Times New Roman" w:cs="Times New Roman"/>
                <w:spacing w:val="-5"/>
              </w:rPr>
              <w:t>5000</w:t>
            </w:r>
            <w:r>
              <w:rPr>
                <w:spacing w:val="-5"/>
              </w:rPr>
              <w:t>欧</w:t>
            </w:r>
            <w:r>
              <w:rPr>
                <w:rFonts w:ascii="Times New Roman" w:hAnsi="Times New Roman" w:eastAsia="Times New Roman" w:cs="Times New Roman"/>
                <w:spacing w:val="-5"/>
              </w:rPr>
              <w:t>.</w:t>
            </w:r>
            <w:r>
              <w:rPr>
                <w:spacing w:val="-5"/>
              </w:rPr>
              <w:t>米时）或</w:t>
            </w:r>
            <w:r>
              <w:rPr>
                <w:rFonts w:ascii="Times New Roman" w:hAnsi="Times New Roman" w:eastAsia="Times New Roman" w:cs="Times New Roman"/>
                <w:spacing w:val="-5"/>
              </w:rPr>
              <w:t>50</w:t>
            </w:r>
            <w:r>
              <w:rPr>
                <w:spacing w:val="-5"/>
              </w:rPr>
              <w:t>米 (</w:t>
            </w:r>
            <w:r>
              <w:rPr>
                <w:spacing w:val="-26"/>
              </w:rPr>
              <w:t xml:space="preserve"> </w:t>
            </w:r>
            <w:r>
              <w:rPr>
                <w:spacing w:val="-5"/>
              </w:rPr>
              <w:t>ρ</w:t>
            </w:r>
            <w:r>
              <w:rPr>
                <w:spacing w:val="-90"/>
              </w:rPr>
              <w:t xml:space="preserve"> </w:t>
            </w:r>
            <w:r>
              <w:rPr>
                <w:spacing w:val="-5"/>
              </w:rPr>
              <w:t>&gt;</w:t>
            </w:r>
            <w:r>
              <w:rPr>
                <w:rFonts w:ascii="Times New Roman" w:hAnsi="Times New Roman" w:eastAsia="Times New Roman" w:cs="Times New Roman"/>
                <w:spacing w:val="-5"/>
              </w:rPr>
              <w:t>5000</w:t>
            </w:r>
            <w:r>
              <w:rPr>
                <w:rFonts w:ascii="Times New Roman" w:hAnsi="Times New Roman" w:eastAsia="Times New Roman" w:cs="Times New Roman"/>
              </w:rPr>
              <w:t xml:space="preserve"> </w:t>
            </w:r>
            <w:r>
              <w:rPr>
                <w:spacing w:val="-2"/>
              </w:rPr>
              <w:t>欧</w:t>
            </w:r>
            <w:r>
              <w:rPr>
                <w:rFonts w:ascii="Times New Roman" w:hAnsi="Times New Roman" w:eastAsia="Times New Roman" w:cs="Times New Roman"/>
                <w:spacing w:val="-2"/>
              </w:rPr>
              <w:t>.</w:t>
            </w:r>
            <w:r>
              <w:rPr>
                <w:spacing w:val="-2"/>
              </w:rPr>
              <w:t>米时）。</w:t>
            </w:r>
          </w:p>
          <w:p w14:paraId="7A164B89">
            <w:pPr>
              <w:pStyle w:val="6"/>
              <w:spacing w:before="32" w:line="347" w:lineRule="auto"/>
              <w:ind w:left="108" w:right="102" w:firstLine="477"/>
            </w:pPr>
            <w:r>
              <w:rPr>
                <w:spacing w:val="-1"/>
              </w:rPr>
              <w:t>铁塔组立及接地安装过程主要会产生施工扬尘、噪声、固废影响，接地会对</w:t>
            </w:r>
            <w:r>
              <w:rPr>
                <w:spacing w:val="13"/>
              </w:rPr>
              <w:t xml:space="preserve"> </w:t>
            </w:r>
            <w:r>
              <w:rPr>
                <w:spacing w:val="-2"/>
              </w:rPr>
              <w:t>生态产生轻微破坏。</w:t>
            </w:r>
          </w:p>
          <w:p w14:paraId="4DA83330">
            <w:pPr>
              <w:pStyle w:val="6"/>
              <w:spacing w:before="32" w:line="219" w:lineRule="auto"/>
              <w:ind w:left="598"/>
            </w:pPr>
            <w:r>
              <w:rPr>
                <w:b/>
                <w:bCs/>
                <w:spacing w:val="-4"/>
              </w:rPr>
              <w:t>（</w:t>
            </w:r>
            <w:r>
              <w:rPr>
                <w:rFonts w:ascii="Times New Roman" w:hAnsi="Times New Roman" w:eastAsia="Times New Roman" w:cs="Times New Roman"/>
                <w:b/>
                <w:bCs/>
                <w:spacing w:val="-4"/>
              </w:rPr>
              <w:t>6</w:t>
            </w:r>
            <w:r>
              <w:rPr>
                <w:b/>
                <w:bCs/>
                <w:spacing w:val="-4"/>
              </w:rPr>
              <w:t>）架线及附件安装</w:t>
            </w:r>
          </w:p>
          <w:p w14:paraId="1892C0F7">
            <w:pPr>
              <w:pStyle w:val="6"/>
              <w:spacing w:before="185" w:line="346" w:lineRule="auto"/>
              <w:ind w:left="105" w:right="102" w:firstLine="480"/>
              <w:jc w:val="both"/>
            </w:pPr>
            <w:r>
              <w:rPr>
                <w:spacing w:val="1"/>
              </w:rPr>
              <w:t>塔身安装完成后，进行架线及附件安装，采用张力放线方法</w:t>
            </w:r>
            <w:r>
              <w:rPr>
                <w:rFonts w:ascii="Times New Roman" w:hAnsi="Times New Roman" w:eastAsia="Times New Roman" w:cs="Times New Roman"/>
                <w:spacing w:val="1"/>
              </w:rPr>
              <w:t xml:space="preserve">,  </w:t>
            </w:r>
            <w:r>
              <w:rPr>
                <w:spacing w:val="1"/>
              </w:rPr>
              <w:t>耐张塔直接通</w:t>
            </w:r>
            <w:r>
              <w:rPr>
                <w:spacing w:val="5"/>
              </w:rPr>
              <w:t xml:space="preserve"> </w:t>
            </w:r>
            <w:r>
              <w:rPr>
                <w:spacing w:val="-2"/>
              </w:rPr>
              <w:t>过</w:t>
            </w:r>
            <w:r>
              <w:rPr>
                <w:rFonts w:ascii="Times New Roman" w:hAnsi="Times New Roman" w:eastAsia="Times New Roman" w:cs="Times New Roman"/>
                <w:spacing w:val="-2"/>
              </w:rPr>
              <w:t xml:space="preserve">,  </w:t>
            </w:r>
            <w:r>
              <w:rPr>
                <w:spacing w:val="-2"/>
              </w:rPr>
              <w:t>直线塔紧线</w:t>
            </w:r>
            <w:r>
              <w:rPr>
                <w:rFonts w:ascii="Times New Roman" w:hAnsi="Times New Roman" w:eastAsia="Times New Roman" w:cs="Times New Roman"/>
                <w:spacing w:val="-2"/>
              </w:rPr>
              <w:t xml:space="preserve">,  </w:t>
            </w:r>
            <w:r>
              <w:rPr>
                <w:spacing w:val="-2"/>
              </w:rPr>
              <w:t>耐张塔高空锚线、断线、高空压接、对拉挂线</w:t>
            </w:r>
            <w:r>
              <w:rPr>
                <w:rFonts w:ascii="Times New Roman" w:hAnsi="Times New Roman" w:eastAsia="Times New Roman" w:cs="Times New Roman"/>
                <w:spacing w:val="-2"/>
              </w:rPr>
              <w:t xml:space="preserve">,  </w:t>
            </w:r>
            <w:r>
              <w:rPr>
                <w:spacing w:val="-2"/>
              </w:rPr>
              <w:t>牵、张场集中压</w:t>
            </w:r>
            <w:r>
              <w:rPr>
                <w:spacing w:val="4"/>
              </w:rPr>
              <w:t xml:space="preserve"> </w:t>
            </w:r>
            <w:r>
              <w:rPr>
                <w:spacing w:val="-1"/>
              </w:rPr>
              <w:t>接</w:t>
            </w:r>
            <w:r>
              <w:rPr>
                <w:rFonts w:ascii="Times New Roman" w:hAnsi="Times New Roman" w:eastAsia="Times New Roman" w:cs="Times New Roman"/>
                <w:spacing w:val="-1"/>
              </w:rPr>
              <w:t xml:space="preserve">,  </w:t>
            </w:r>
            <w:r>
              <w:rPr>
                <w:spacing w:val="-1"/>
              </w:rPr>
              <w:t>压接采用液压工艺。</w:t>
            </w:r>
          </w:p>
          <w:p w14:paraId="6ED31C4D">
            <w:pPr>
              <w:pStyle w:val="6"/>
              <w:spacing w:before="49" w:line="351" w:lineRule="auto"/>
              <w:ind w:left="106" w:right="102" w:firstLine="480"/>
              <w:jc w:val="both"/>
            </w:pPr>
            <w:r>
              <w:rPr>
                <w:spacing w:val="-1"/>
              </w:rPr>
              <w:t>架线时，利用四台机动绞磨同时紧线。在弛度计算时必须按连续爬坡让线值</w:t>
            </w:r>
            <w:r>
              <w:rPr>
                <w:spacing w:val="12"/>
              </w:rPr>
              <w:t xml:space="preserve"> </w:t>
            </w:r>
            <w:r>
              <w:rPr>
                <w:spacing w:val="-2"/>
              </w:rPr>
              <w:t>计算软件程序进行让线值计算，弛度的调整按“粗调、细调、复调、微调</w:t>
            </w:r>
            <w:r>
              <w:rPr>
                <w:spacing w:val="-70"/>
              </w:rPr>
              <w:t xml:space="preserve"> </w:t>
            </w:r>
            <w:r>
              <w:rPr>
                <w:spacing w:val="-2"/>
              </w:rPr>
              <w:t>”的四</w:t>
            </w:r>
            <w:r>
              <w:t xml:space="preserve"> </w:t>
            </w:r>
            <w:r>
              <w:rPr>
                <w:spacing w:val="-1"/>
              </w:rPr>
              <w:t>调工艺进行，弛度调平后应立即在同一紧线段内同时进行逐基画印，然后按每基</w:t>
            </w:r>
            <w:r>
              <w:rPr>
                <w:spacing w:val="15"/>
              </w:rPr>
              <w:t xml:space="preserve"> </w:t>
            </w:r>
            <w:r>
              <w:rPr>
                <w:spacing w:val="-1"/>
              </w:rPr>
              <w:t>的让线值进行让线并安装附件。架线及附件安装过程中主要有施工扬尘、噪声及</w:t>
            </w:r>
          </w:p>
        </w:tc>
      </w:tr>
    </w:tbl>
    <w:p w14:paraId="7C071295">
      <w:pPr>
        <w:rPr>
          <w:rFonts w:ascii="Arial"/>
          <w:sz w:val="21"/>
        </w:rPr>
      </w:pPr>
    </w:p>
    <w:p w14:paraId="10F51404">
      <w:pPr>
        <w:rPr>
          <w:rFonts w:ascii="Arial" w:hAnsi="Arial" w:eastAsia="Arial" w:cs="Arial"/>
          <w:sz w:val="21"/>
          <w:szCs w:val="21"/>
        </w:rPr>
        <w:sectPr>
          <w:footerReference r:id="rId79" w:type="default"/>
          <w:pgSz w:w="11906" w:h="16839"/>
          <w:pgMar w:top="1431" w:right="1413" w:bottom="1278" w:left="1413" w:header="0" w:footer="1116" w:gutter="0"/>
          <w:cols w:space="720" w:num="1"/>
        </w:sectPr>
      </w:pPr>
    </w:p>
    <w:p w14:paraId="45EC35D5">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0A3C9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464" w:type="dxa"/>
            <w:tcBorders>
              <w:right w:val="single" w:color="000000" w:sz="2" w:space="0"/>
            </w:tcBorders>
            <w:vAlign w:val="top"/>
          </w:tcPr>
          <w:p w14:paraId="1884ED98">
            <w:pPr>
              <w:rPr>
                <w:rFonts w:ascii="Arial"/>
                <w:sz w:val="21"/>
              </w:rPr>
            </w:pPr>
          </w:p>
        </w:tc>
        <w:tc>
          <w:tcPr>
            <w:tcW w:w="8600" w:type="dxa"/>
            <w:tcBorders>
              <w:left w:val="single" w:color="000000" w:sz="2" w:space="0"/>
            </w:tcBorders>
            <w:vAlign w:val="top"/>
          </w:tcPr>
          <w:p w14:paraId="71EE1041">
            <w:pPr>
              <w:pStyle w:val="6"/>
              <w:spacing w:before="30" w:line="219" w:lineRule="auto"/>
              <w:ind w:left="105"/>
            </w:pPr>
            <w:r>
              <w:rPr>
                <w:spacing w:val="-2"/>
              </w:rPr>
              <w:t>施工固废产生。</w:t>
            </w:r>
          </w:p>
          <w:p w14:paraId="306813B3">
            <w:pPr>
              <w:pStyle w:val="6"/>
              <w:spacing w:before="183" w:line="219" w:lineRule="auto"/>
              <w:ind w:left="598"/>
            </w:pPr>
            <w:r>
              <w:rPr>
                <w:b/>
                <w:bCs/>
                <w:spacing w:val="-4"/>
              </w:rPr>
              <w:t>（</w:t>
            </w:r>
            <w:r>
              <w:rPr>
                <w:rFonts w:ascii="Times New Roman" w:hAnsi="Times New Roman" w:eastAsia="Times New Roman" w:cs="Times New Roman"/>
                <w:b/>
                <w:bCs/>
                <w:spacing w:val="-4"/>
              </w:rPr>
              <w:t>7</w:t>
            </w:r>
            <w:r>
              <w:rPr>
                <w:b/>
                <w:bCs/>
                <w:spacing w:val="-4"/>
              </w:rPr>
              <w:t>）竣工调试、验收</w:t>
            </w:r>
          </w:p>
          <w:p w14:paraId="35FF3748">
            <w:pPr>
              <w:pStyle w:val="6"/>
              <w:spacing w:before="179" w:line="347" w:lineRule="auto"/>
              <w:ind w:left="105" w:right="102" w:firstLine="480"/>
            </w:pPr>
            <w:r>
              <w:rPr>
                <w:spacing w:val="-1"/>
              </w:rPr>
              <w:t>验收合格后投入运营。在验收过程中，调试等可能存在部分拆装，会有施工</w:t>
            </w:r>
            <w:r>
              <w:rPr>
                <w:spacing w:val="13"/>
              </w:rPr>
              <w:t xml:space="preserve"> </w:t>
            </w:r>
            <w:r>
              <w:rPr>
                <w:spacing w:val="-1"/>
              </w:rPr>
              <w:t>扬尘、噪声及固废的产生。</w:t>
            </w:r>
          </w:p>
          <w:p w14:paraId="5A629145">
            <w:pPr>
              <w:pStyle w:val="6"/>
              <w:spacing w:before="32" w:line="219" w:lineRule="auto"/>
              <w:ind w:left="598"/>
            </w:pPr>
            <w:r>
              <w:rPr>
                <w:b/>
                <w:bCs/>
                <w:spacing w:val="-4"/>
              </w:rPr>
              <w:t>（</w:t>
            </w:r>
            <w:r>
              <w:rPr>
                <w:rFonts w:ascii="Times New Roman" w:hAnsi="Times New Roman" w:eastAsia="Times New Roman" w:cs="Times New Roman"/>
                <w:b/>
                <w:bCs/>
                <w:spacing w:val="-4"/>
              </w:rPr>
              <w:t>8</w:t>
            </w:r>
            <w:r>
              <w:rPr>
                <w:b/>
                <w:bCs/>
                <w:spacing w:val="-4"/>
              </w:rPr>
              <w:t>）特殊工序施工方式</w:t>
            </w:r>
          </w:p>
          <w:p w14:paraId="06C8B937">
            <w:pPr>
              <w:pStyle w:val="6"/>
              <w:spacing w:before="180" w:line="353" w:lineRule="auto"/>
              <w:ind w:left="102" w:right="102" w:firstLine="483"/>
              <w:jc w:val="both"/>
            </w:pPr>
            <w:r>
              <w:rPr>
                <w:spacing w:val="-1"/>
              </w:rPr>
              <w:t>在跨越电力线施工时，原则上尽可能争取短期停电，采取停电跨越的方法进</w:t>
            </w:r>
            <w:r>
              <w:rPr>
                <w:spacing w:val="13"/>
              </w:rPr>
              <w:t xml:space="preserve"> </w:t>
            </w:r>
            <w:r>
              <w:rPr>
                <w:spacing w:val="-2"/>
              </w:rPr>
              <w:t>行施工。如确实不能停电时，按带电跨越进行施工。其方法是：对跨越的</w:t>
            </w:r>
            <w:r>
              <w:rPr>
                <w:rFonts w:ascii="Times New Roman" w:hAnsi="Times New Roman" w:eastAsia="Times New Roman" w:cs="Times New Roman"/>
                <w:spacing w:val="-2"/>
              </w:rPr>
              <w:t>10kV</w:t>
            </w:r>
            <w:r>
              <w:rPr>
                <w:spacing w:val="-2"/>
              </w:rPr>
              <w:t>及</w:t>
            </w:r>
            <w:r>
              <w:rPr>
                <w:spacing w:val="5"/>
              </w:rPr>
              <w:t xml:space="preserve"> </w:t>
            </w:r>
            <w:r>
              <w:t>以下电力线采用搭设多排立体结构竹质封顶</w:t>
            </w:r>
            <w:r>
              <w:rPr>
                <w:spacing w:val="-1"/>
              </w:rPr>
              <w:t>跨越架进行带电跨越施工；对跨越的</w:t>
            </w:r>
            <w:r>
              <w:t xml:space="preserve"> </w:t>
            </w:r>
            <w:r>
              <w:rPr>
                <w:rFonts w:ascii="Times New Roman" w:hAnsi="Times New Roman" w:eastAsia="Times New Roman" w:cs="Times New Roman"/>
                <w:spacing w:val="-1"/>
              </w:rPr>
              <w:t>20kV</w:t>
            </w:r>
            <w:r>
              <w:rPr>
                <w:spacing w:val="-1"/>
              </w:rPr>
              <w:t>电力线采用玻璃钢管跨越架进行跨越施工。</w:t>
            </w:r>
          </w:p>
          <w:p w14:paraId="00EE34F7">
            <w:pPr>
              <w:pStyle w:val="6"/>
              <w:spacing w:before="34" w:line="345" w:lineRule="auto"/>
              <w:ind w:left="106" w:right="102" w:firstLine="480"/>
            </w:pPr>
            <w:r>
              <w:rPr>
                <w:spacing w:val="-1"/>
              </w:rPr>
              <w:t>跨越公路采用钢管或木杆搭设越线架并封顶，根据需要搭设单排或多排简易</w:t>
            </w:r>
            <w:r>
              <w:rPr>
                <w:spacing w:val="13"/>
              </w:rPr>
              <w:t xml:space="preserve"> </w:t>
            </w:r>
            <w:r>
              <w:rPr>
                <w:spacing w:val="-1"/>
              </w:rPr>
              <w:t>跨越架，以利导、地线顺利展放。进行跨越施工。</w:t>
            </w:r>
          </w:p>
          <w:p w14:paraId="7D30298F">
            <w:pPr>
              <w:pStyle w:val="6"/>
              <w:spacing w:before="36" w:line="221" w:lineRule="auto"/>
              <w:ind w:left="590"/>
            </w:pPr>
            <w:r>
              <w:rPr>
                <w:b/>
                <w:bCs/>
                <w:spacing w:val="-4"/>
              </w:rPr>
              <w:t>二、施工组织计划</w:t>
            </w:r>
          </w:p>
          <w:p w14:paraId="03BCFC26">
            <w:pPr>
              <w:pStyle w:val="6"/>
              <w:spacing w:before="181" w:line="221" w:lineRule="auto"/>
              <w:ind w:left="604"/>
            </w:pPr>
            <w:r>
              <w:rPr>
                <w:spacing w:val="-5"/>
              </w:rPr>
              <w:t>1、施工交通</w:t>
            </w:r>
          </w:p>
          <w:p w14:paraId="53683C33">
            <w:pPr>
              <w:pStyle w:val="6"/>
              <w:spacing w:before="175" w:line="355" w:lineRule="auto"/>
              <w:ind w:left="106" w:right="102" w:firstLine="480"/>
            </w:pPr>
            <w:r>
              <w:rPr>
                <w:spacing w:val="-3"/>
              </w:rPr>
              <w:t>本项目光伏场周边有公路线过境。公路线有</w:t>
            </w:r>
            <w:r>
              <w:rPr>
                <w:spacing w:val="-30"/>
              </w:rPr>
              <w:t xml:space="preserve"> </w:t>
            </w:r>
            <w:r>
              <w:rPr>
                <w:rFonts w:ascii="Times New Roman" w:hAnsi="Times New Roman" w:eastAsia="Times New Roman" w:cs="Times New Roman"/>
                <w:spacing w:val="-3"/>
              </w:rPr>
              <w:t xml:space="preserve">S30 </w:t>
            </w:r>
            <w:r>
              <w:rPr>
                <w:spacing w:val="-3"/>
              </w:rPr>
              <w:t>寻沾高速、</w:t>
            </w:r>
            <w:r>
              <w:rPr>
                <w:rFonts w:ascii="Times New Roman" w:hAnsi="Times New Roman" w:eastAsia="Times New Roman" w:cs="Times New Roman"/>
                <w:spacing w:val="-3"/>
              </w:rPr>
              <w:t>S256</w:t>
            </w:r>
            <w:r>
              <w:rPr>
                <w:rFonts w:ascii="Times New Roman" w:hAnsi="Times New Roman" w:eastAsia="Times New Roman" w:cs="Times New Roman"/>
                <w:spacing w:val="-27"/>
              </w:rPr>
              <w:t xml:space="preserve"> </w:t>
            </w:r>
            <w:r>
              <w:rPr>
                <w:spacing w:val="-3"/>
              </w:rPr>
              <w:t>。设备运输</w:t>
            </w:r>
            <w:r>
              <w:t xml:space="preserve"> </w:t>
            </w:r>
            <w:r>
              <w:rPr>
                <w:spacing w:val="-2"/>
              </w:rPr>
              <w:t>路线为</w:t>
            </w:r>
            <w:r>
              <w:rPr>
                <w:spacing w:val="-45"/>
              </w:rPr>
              <w:t xml:space="preserve"> </w:t>
            </w:r>
            <w:r>
              <w:rPr>
                <w:rFonts w:ascii="Times New Roman" w:hAnsi="Times New Roman" w:eastAsia="Times New Roman" w:cs="Times New Roman"/>
                <w:spacing w:val="-2"/>
              </w:rPr>
              <w:t xml:space="preserve">S30 </w:t>
            </w:r>
            <w:r>
              <w:rPr>
                <w:spacing w:val="-2"/>
              </w:rPr>
              <w:t>寻沾高速</w:t>
            </w:r>
            <w:r>
              <w:rPr>
                <w:rFonts w:ascii="Times New Roman" w:hAnsi="Times New Roman" w:eastAsia="Times New Roman" w:cs="Times New Roman"/>
                <w:spacing w:val="-2"/>
              </w:rPr>
              <w:t>→</w:t>
            </w:r>
            <w:r>
              <w:rPr>
                <w:rFonts w:ascii="Times New Roman" w:hAnsi="Times New Roman" w:eastAsia="Times New Roman" w:cs="Times New Roman"/>
                <w:spacing w:val="-44"/>
              </w:rPr>
              <w:t xml:space="preserve"> </w:t>
            </w:r>
            <w:r>
              <w:rPr>
                <w:rFonts w:ascii="Times New Roman" w:hAnsi="Times New Roman" w:eastAsia="Times New Roman" w:cs="Times New Roman"/>
                <w:spacing w:val="-2"/>
              </w:rPr>
              <w:t>S256→</w:t>
            </w:r>
            <w:r>
              <w:rPr>
                <w:spacing w:val="-2"/>
              </w:rPr>
              <w:t>村村通道路，由村村通沿新建光伏场道路至光伏场</w:t>
            </w:r>
            <w:r>
              <w:t xml:space="preserve"> </w:t>
            </w:r>
            <w:r>
              <w:rPr>
                <w:spacing w:val="-1"/>
              </w:rPr>
              <w:t>区东侧，交通运输较为便利。途中弯道的宽度和承载力，均可满足光伏电站运输</w:t>
            </w:r>
            <w:r>
              <w:rPr>
                <w:spacing w:val="15"/>
              </w:rPr>
              <w:t xml:space="preserve"> </w:t>
            </w:r>
            <w:r>
              <w:rPr>
                <w:spacing w:val="-1"/>
              </w:rPr>
              <w:t>车辆的运输要求。电池组件、逆变器以及其他设备可通过汽车直接运抵场址。其</w:t>
            </w:r>
            <w:r>
              <w:rPr>
                <w:spacing w:val="12"/>
              </w:rPr>
              <w:t xml:space="preserve"> </w:t>
            </w:r>
            <w:r>
              <w:rPr>
                <w:spacing w:val="-1"/>
              </w:rPr>
              <w:t>他建筑材料也均可用汽车直接运到工地，基本能满足大型光伏电站的运输要求。</w:t>
            </w:r>
            <w:r>
              <w:rPr>
                <w:spacing w:val="15"/>
              </w:rPr>
              <w:t xml:space="preserve"> </w:t>
            </w:r>
            <w:r>
              <w:t>新建光伏场道路以消防通道独立立项办理环保手续</w:t>
            </w:r>
            <w:r>
              <w:rPr>
                <w:spacing w:val="-1"/>
              </w:rPr>
              <w:t>，不再本次评价范围内。</w:t>
            </w:r>
          </w:p>
          <w:p w14:paraId="7A761A5C">
            <w:pPr>
              <w:pStyle w:val="6"/>
              <w:spacing w:before="35" w:line="350" w:lineRule="auto"/>
              <w:ind w:left="107" w:right="102" w:firstLine="479"/>
            </w:pPr>
            <w:r>
              <w:rPr>
                <w:spacing w:val="-1"/>
              </w:rPr>
              <w:t>塔基在施工期施工过程中，村村通道路后，部分塔基需要根据入场施工机械</w:t>
            </w:r>
            <w:r>
              <w:rPr>
                <w:spacing w:val="13"/>
              </w:rPr>
              <w:t xml:space="preserve"> </w:t>
            </w:r>
            <w:r>
              <w:rPr>
                <w:spacing w:val="-1"/>
              </w:rPr>
              <w:t>情况进行临时施工道路修建，施工机械及材料能够入场即可，临时施工道路在施</w:t>
            </w:r>
            <w:r>
              <w:rPr>
                <w:spacing w:val="14"/>
              </w:rPr>
              <w:t xml:space="preserve"> </w:t>
            </w:r>
            <w:r>
              <w:rPr>
                <w:spacing w:val="-1"/>
              </w:rPr>
              <w:t>工结束后进行复垦，恢复原貌。</w:t>
            </w:r>
          </w:p>
          <w:p w14:paraId="246CA785">
            <w:pPr>
              <w:pStyle w:val="6"/>
              <w:spacing w:before="36" w:line="219" w:lineRule="auto"/>
              <w:ind w:left="583"/>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、施工场地布置</w:t>
            </w:r>
          </w:p>
          <w:p w14:paraId="0565A4A5">
            <w:pPr>
              <w:pStyle w:val="6"/>
              <w:spacing w:before="186" w:line="352" w:lineRule="auto"/>
              <w:ind w:left="110" w:right="102" w:firstLine="480"/>
            </w:pPr>
            <w:r>
              <w:rPr>
                <w:spacing w:val="-3"/>
              </w:rPr>
              <w:t>项目区共布置</w:t>
            </w:r>
            <w:r>
              <w:rPr>
                <w:spacing w:val="-32"/>
              </w:rPr>
              <w:t xml:space="preserve"> </w:t>
            </w:r>
            <w:r>
              <w:rPr>
                <w:rFonts w:ascii="Times New Roman" w:hAnsi="Times New Roman" w:eastAsia="Times New Roman" w:cs="Times New Roman"/>
                <w:spacing w:val="-3"/>
              </w:rPr>
              <w:t xml:space="preserve">1 </w:t>
            </w:r>
            <w:r>
              <w:rPr>
                <w:spacing w:val="-3"/>
              </w:rPr>
              <w:t>个施工营场地，位于项目地块</w:t>
            </w:r>
            <w:r>
              <w:rPr>
                <w:spacing w:val="-46"/>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39"/>
              </w:rPr>
              <w:t xml:space="preserve"> </w:t>
            </w:r>
            <w:r>
              <w:rPr>
                <w:spacing w:val="-3"/>
              </w:rPr>
              <w:t>内，场地中心地理坐</w:t>
            </w:r>
            <w:r>
              <w:rPr>
                <w:spacing w:val="-4"/>
              </w:rPr>
              <w:t>标为：</w:t>
            </w:r>
            <w:r>
              <w:t xml:space="preserve"> </w:t>
            </w:r>
            <w:r>
              <w:rPr>
                <w:spacing w:val="-1"/>
              </w:rPr>
              <w:t>东经</w:t>
            </w:r>
            <w:r>
              <w:rPr>
                <w:spacing w:val="-27"/>
              </w:rPr>
              <w:t xml:space="preserve"> </w:t>
            </w:r>
            <w:r>
              <w:rPr>
                <w:rFonts w:ascii="Times New Roman" w:hAnsi="Times New Roman" w:eastAsia="Times New Roman" w:cs="Times New Roman"/>
                <w:spacing w:val="-1"/>
              </w:rPr>
              <w:t>103°25′</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12.564″</w:t>
            </w:r>
            <w:r>
              <w:rPr>
                <w:rFonts w:ascii="Times New Roman" w:hAnsi="Times New Roman" w:eastAsia="Times New Roman" w:cs="Times New Roman"/>
                <w:spacing w:val="-25"/>
              </w:rPr>
              <w:t xml:space="preserve"> </w:t>
            </w:r>
            <w:r>
              <w:rPr>
                <w:spacing w:val="-1"/>
              </w:rPr>
              <w:t>，北纬</w:t>
            </w:r>
            <w:r>
              <w:rPr>
                <w:spacing w:val="-50"/>
              </w:rPr>
              <w:t xml:space="preserve"> </w:t>
            </w:r>
            <w:r>
              <w:rPr>
                <w:rFonts w:ascii="Times New Roman" w:hAnsi="Times New Roman" w:eastAsia="Times New Roman" w:cs="Times New Roman"/>
                <w:spacing w:val="-1"/>
              </w:rPr>
              <w:t>25°41′4</w:t>
            </w:r>
            <w:r>
              <w:rPr>
                <w:rFonts w:ascii="Times New Roman" w:hAnsi="Times New Roman" w:eastAsia="Times New Roman" w:cs="Times New Roman"/>
                <w:spacing w:val="-2"/>
              </w:rPr>
              <w:t>2.938″</w:t>
            </w:r>
            <w:r>
              <w:rPr>
                <w:rFonts w:ascii="Times New Roman" w:hAnsi="Times New Roman" w:eastAsia="Times New Roman" w:cs="Times New Roman"/>
                <w:spacing w:val="-25"/>
              </w:rPr>
              <w:t xml:space="preserve"> </w:t>
            </w:r>
            <w:r>
              <w:rPr>
                <w:spacing w:val="-2"/>
              </w:rPr>
              <w:t>，不额外新增临时用地，用地面积</w:t>
            </w:r>
            <w:r>
              <w:rPr>
                <w:spacing w:val="-51"/>
              </w:rPr>
              <w:t xml:space="preserve"> </w:t>
            </w:r>
            <w:r>
              <w:rPr>
                <w:rFonts w:ascii="Times New Roman" w:hAnsi="Times New Roman" w:eastAsia="Times New Roman" w:cs="Times New Roman"/>
                <w:spacing w:val="-2"/>
              </w:rPr>
              <w:t xml:space="preserve">2 </w:t>
            </w:r>
            <w:r>
              <w:rPr>
                <w:spacing w:val="-2"/>
              </w:rPr>
              <w:t>亩</w:t>
            </w:r>
            <w:r>
              <w:t xml:space="preserve"> </w:t>
            </w:r>
            <w:r>
              <w:rPr>
                <w:spacing w:val="-1"/>
              </w:rPr>
              <w:t>（</w:t>
            </w:r>
            <w:r>
              <w:rPr>
                <w:rFonts w:ascii="Times New Roman" w:hAnsi="Times New Roman" w:eastAsia="Times New Roman" w:cs="Times New Roman"/>
                <w:spacing w:val="-1"/>
              </w:rPr>
              <w:t>1333m</w:t>
            </w:r>
            <w:r>
              <w:rPr>
                <w:rFonts w:ascii="Times New Roman" w:hAnsi="Times New Roman" w:eastAsia="Times New Roman" w:cs="Times New Roman"/>
                <w:spacing w:val="-1"/>
                <w:position w:val="7"/>
                <w:sz w:val="15"/>
                <w:szCs w:val="15"/>
              </w:rPr>
              <w:t xml:space="preserve">2 </w:t>
            </w:r>
            <w:r>
              <w:rPr>
                <w:spacing w:val="-20"/>
              </w:rPr>
              <w:t>），</w:t>
            </w:r>
            <w:r>
              <w:rPr>
                <w:spacing w:val="-1"/>
              </w:rPr>
              <w:t>主要布置材料堆场和办公生活区，采用外购商品混凝</w:t>
            </w:r>
            <w:r>
              <w:rPr>
                <w:spacing w:val="-2"/>
              </w:rPr>
              <w:t>土，不在厂区</w:t>
            </w:r>
            <w:r>
              <w:t xml:space="preserve"> </w:t>
            </w:r>
            <w:r>
              <w:rPr>
                <w:spacing w:val="-2"/>
              </w:rPr>
              <w:t>设置混凝土拌合站。</w:t>
            </w:r>
          </w:p>
          <w:p w14:paraId="00CEFCF5">
            <w:pPr>
              <w:pStyle w:val="6"/>
              <w:spacing w:before="35" w:line="220" w:lineRule="auto"/>
              <w:ind w:left="581"/>
            </w:pPr>
            <w:r>
              <w:rPr>
                <w:rFonts w:ascii="Times New Roman" w:hAnsi="Times New Roman" w:eastAsia="Times New Roman" w:cs="Times New Roman"/>
                <w:b/>
                <w:bCs/>
                <w:spacing w:val="-7"/>
              </w:rPr>
              <w:t>3</w:t>
            </w:r>
            <w:r>
              <w:rPr>
                <w:rFonts w:ascii="Times New Roman" w:hAnsi="Times New Roman" w:eastAsia="Times New Roman" w:cs="Times New Roman"/>
                <w:b/>
                <w:bCs/>
                <w:spacing w:val="-34"/>
              </w:rPr>
              <w:t xml:space="preserve"> </w:t>
            </w:r>
            <w:r>
              <w:rPr>
                <w:b/>
                <w:bCs/>
                <w:spacing w:val="-7"/>
              </w:rPr>
              <w:t>、表土堆场</w:t>
            </w:r>
          </w:p>
          <w:p w14:paraId="6D5638FC">
            <w:pPr>
              <w:pStyle w:val="6"/>
              <w:spacing w:before="179" w:line="219" w:lineRule="auto"/>
              <w:ind w:left="589"/>
            </w:pPr>
            <w:r>
              <w:rPr>
                <w:spacing w:val="-1"/>
              </w:rPr>
              <w:t>工程在拟建升压站旁用规划</w:t>
            </w:r>
            <w:r>
              <w:rPr>
                <w:spacing w:val="-36"/>
              </w:rPr>
              <w:t xml:space="preserve"> </w:t>
            </w:r>
            <w:r>
              <w:rPr>
                <w:rFonts w:ascii="Times New Roman" w:hAnsi="Times New Roman" w:eastAsia="Times New Roman" w:cs="Times New Roman"/>
                <w:spacing w:val="-1"/>
              </w:rPr>
              <w:t xml:space="preserve">1 </w:t>
            </w:r>
            <w:r>
              <w:rPr>
                <w:spacing w:val="-1"/>
              </w:rPr>
              <w:t>个表土堆场用于</w:t>
            </w:r>
            <w:r>
              <w:rPr>
                <w:spacing w:val="-2"/>
              </w:rPr>
              <w:t>堆存升压站及进站道路剥离的</w:t>
            </w:r>
          </w:p>
        </w:tc>
      </w:tr>
    </w:tbl>
    <w:p w14:paraId="413BD6B3">
      <w:pPr>
        <w:rPr>
          <w:rFonts w:ascii="Arial"/>
          <w:sz w:val="21"/>
        </w:rPr>
      </w:pPr>
    </w:p>
    <w:p w14:paraId="03DFB407">
      <w:pPr>
        <w:rPr>
          <w:rFonts w:ascii="Arial" w:hAnsi="Arial" w:eastAsia="Arial" w:cs="Arial"/>
          <w:sz w:val="21"/>
          <w:szCs w:val="21"/>
        </w:rPr>
        <w:sectPr>
          <w:footerReference r:id="rId80" w:type="default"/>
          <w:pgSz w:w="11906" w:h="16839"/>
          <w:pgMar w:top="1431" w:right="1413" w:bottom="1278" w:left="1413" w:header="0" w:footer="1116" w:gutter="0"/>
          <w:cols w:space="720" w:num="1"/>
        </w:sectPr>
      </w:pPr>
    </w:p>
    <w:p w14:paraId="38BBEADF">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
        <w:gridCol w:w="8600"/>
      </w:tblGrid>
      <w:tr w14:paraId="26EA8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84" w:hRule="atLeast"/>
        </w:trPr>
        <w:tc>
          <w:tcPr>
            <w:tcW w:w="464" w:type="dxa"/>
            <w:tcBorders>
              <w:bottom w:val="single" w:color="000000" w:sz="2" w:space="0"/>
              <w:right w:val="single" w:color="000000" w:sz="2" w:space="0"/>
            </w:tcBorders>
            <w:vAlign w:val="top"/>
          </w:tcPr>
          <w:p w14:paraId="4587EE2B">
            <w:pPr>
              <w:rPr>
                <w:rFonts w:ascii="Arial"/>
                <w:sz w:val="21"/>
              </w:rPr>
            </w:pPr>
          </w:p>
        </w:tc>
        <w:tc>
          <w:tcPr>
            <w:tcW w:w="8600" w:type="dxa"/>
            <w:tcBorders>
              <w:left w:val="single" w:color="000000" w:sz="2" w:space="0"/>
              <w:bottom w:val="single" w:color="000000" w:sz="2" w:space="0"/>
            </w:tcBorders>
            <w:vAlign w:val="top"/>
          </w:tcPr>
          <w:p w14:paraId="6434C519">
            <w:pPr>
              <w:pStyle w:val="6"/>
              <w:spacing w:before="28" w:line="353" w:lineRule="auto"/>
              <w:ind w:left="107" w:right="102" w:hanging="2"/>
              <w:jc w:val="both"/>
            </w:pPr>
            <w:r>
              <w:drawing>
                <wp:anchor distT="0" distB="0" distL="0" distR="0" simplePos="0" relativeHeight="251714560" behindDoc="0" locked="0" layoutInCell="1" allowOverlap="1">
                  <wp:simplePos x="0" y="0"/>
                  <wp:positionH relativeFrom="rightMargin">
                    <wp:posOffset>-3028315</wp:posOffset>
                  </wp:positionH>
                  <wp:positionV relativeFrom="topMargin">
                    <wp:posOffset>6203950</wp:posOffset>
                  </wp:positionV>
                  <wp:extent cx="2047875" cy="5524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06"/>
                          <a:stretch>
                            <a:fillRect/>
                          </a:stretch>
                        </pic:blipFill>
                        <pic:spPr>
                          <a:xfrm>
                            <a:off x="0" y="0"/>
                            <a:ext cx="2047875" cy="55245"/>
                          </a:xfrm>
                          <a:prstGeom prst="rect">
                            <a:avLst/>
                          </a:prstGeom>
                        </pic:spPr>
                      </pic:pic>
                    </a:graphicData>
                  </a:graphic>
                </wp:anchor>
              </w:drawing>
            </w:r>
            <w:r>
              <w:drawing>
                <wp:anchor distT="0" distB="0" distL="0" distR="0" simplePos="0" relativeHeight="251715584" behindDoc="0" locked="0" layoutInCell="1" allowOverlap="1">
                  <wp:simplePos x="0" y="0"/>
                  <wp:positionH relativeFrom="rightMargin">
                    <wp:posOffset>-1869440</wp:posOffset>
                  </wp:positionH>
                  <wp:positionV relativeFrom="topMargin">
                    <wp:posOffset>6388100</wp:posOffset>
                  </wp:positionV>
                  <wp:extent cx="1144270" cy="4635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07"/>
                          <a:stretch>
                            <a:fillRect/>
                          </a:stretch>
                        </pic:blipFill>
                        <pic:spPr>
                          <a:xfrm>
                            <a:off x="0" y="0"/>
                            <a:ext cx="1144270" cy="46355"/>
                          </a:xfrm>
                          <a:prstGeom prst="rect">
                            <a:avLst/>
                          </a:prstGeom>
                        </pic:spPr>
                      </pic:pic>
                    </a:graphicData>
                  </a:graphic>
                </wp:anchor>
              </w:drawing>
            </w:r>
            <w:r>
              <w:drawing>
                <wp:anchor distT="0" distB="0" distL="0" distR="0" simplePos="0" relativeHeight="251713536" behindDoc="0" locked="0" layoutInCell="1" allowOverlap="1">
                  <wp:simplePos x="0" y="0"/>
                  <wp:positionH relativeFrom="rightMargin">
                    <wp:posOffset>-1337310</wp:posOffset>
                  </wp:positionH>
                  <wp:positionV relativeFrom="topMargin">
                    <wp:posOffset>6584950</wp:posOffset>
                  </wp:positionV>
                  <wp:extent cx="1261745" cy="3937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08"/>
                          <a:stretch>
                            <a:fillRect/>
                          </a:stretch>
                        </pic:blipFill>
                        <pic:spPr>
                          <a:xfrm>
                            <a:off x="0" y="0"/>
                            <a:ext cx="1261745" cy="39370"/>
                          </a:xfrm>
                          <a:prstGeom prst="rect">
                            <a:avLst/>
                          </a:prstGeom>
                        </pic:spPr>
                      </pic:pic>
                    </a:graphicData>
                  </a:graphic>
                </wp:anchor>
              </w:drawing>
            </w:r>
            <w:r>
              <w:rPr>
                <w:spacing w:val="-3"/>
              </w:rPr>
              <w:t>表土，在本项目用地范围内，不新增占地，占</w:t>
            </w:r>
            <w:r>
              <w:rPr>
                <w:spacing w:val="-4"/>
              </w:rPr>
              <w:t>地面积约为</w:t>
            </w:r>
            <w:r>
              <w:rPr>
                <w:spacing w:val="-32"/>
              </w:rPr>
              <w:t xml:space="preserve"> </w:t>
            </w:r>
            <w:r>
              <w:rPr>
                <w:rFonts w:ascii="Times New Roman" w:hAnsi="Times New Roman" w:eastAsia="Times New Roman" w:cs="Times New Roman"/>
                <w:spacing w:val="-4"/>
              </w:rPr>
              <w:t>1000m</w:t>
            </w:r>
            <w:r>
              <w:rPr>
                <w:rFonts w:ascii="Times New Roman" w:hAnsi="Times New Roman" w:eastAsia="Times New Roman" w:cs="Times New Roman"/>
                <w:spacing w:val="-4"/>
                <w:position w:val="7"/>
                <w:sz w:val="15"/>
                <w:szCs w:val="15"/>
              </w:rPr>
              <w:t>2</w:t>
            </w:r>
            <w:r>
              <w:rPr>
                <w:spacing w:val="-4"/>
              </w:rPr>
              <w:t>，地理位置：东</w:t>
            </w:r>
            <w:r>
              <w:t xml:space="preserve"> </w:t>
            </w:r>
            <w:r>
              <w:rPr>
                <w:spacing w:val="-2"/>
              </w:rPr>
              <w:t>经</w:t>
            </w:r>
            <w:r>
              <w:rPr>
                <w:spacing w:val="-30"/>
              </w:rPr>
              <w:t xml:space="preserve"> </w:t>
            </w:r>
            <w:r>
              <w:rPr>
                <w:rFonts w:ascii="Times New Roman" w:hAnsi="Times New Roman" w:eastAsia="Times New Roman" w:cs="Times New Roman"/>
                <w:spacing w:val="-2"/>
              </w:rPr>
              <w:t>103</w:t>
            </w:r>
            <w:r>
              <w:rPr>
                <w:rFonts w:ascii="Times New Roman" w:hAnsi="Times New Roman" w:eastAsia="Times New Roman" w:cs="Times New Roman"/>
                <w:spacing w:val="-24"/>
              </w:rPr>
              <w:t xml:space="preserve"> </w:t>
            </w:r>
            <w:r>
              <w:rPr>
                <w:spacing w:val="-2"/>
              </w:rPr>
              <w:t>°</w:t>
            </w:r>
            <w:r>
              <w:rPr>
                <w:rFonts w:ascii="Times New Roman" w:hAnsi="Times New Roman" w:eastAsia="Times New Roman" w:cs="Times New Roman"/>
                <w:spacing w:val="-2"/>
              </w:rPr>
              <w:t>25'26.541"</w:t>
            </w:r>
            <w:r>
              <w:rPr>
                <w:rFonts w:ascii="Times New Roman" w:hAnsi="Times New Roman" w:eastAsia="Times New Roman" w:cs="Times New Roman"/>
                <w:spacing w:val="-28"/>
              </w:rPr>
              <w:t xml:space="preserve"> </w:t>
            </w:r>
            <w:r>
              <w:rPr>
                <w:spacing w:val="-2"/>
              </w:rPr>
              <w:t>，北纬</w:t>
            </w:r>
            <w:r>
              <w:rPr>
                <w:spacing w:val="-50"/>
              </w:rPr>
              <w:t xml:space="preserve"> </w:t>
            </w:r>
            <w:r>
              <w:rPr>
                <w:rFonts w:ascii="Times New Roman" w:hAnsi="Times New Roman" w:eastAsia="Times New Roman" w:cs="Times New Roman"/>
                <w:spacing w:val="-2"/>
              </w:rPr>
              <w:t>25</w:t>
            </w:r>
            <w:r>
              <w:rPr>
                <w:rFonts w:ascii="Times New Roman" w:hAnsi="Times New Roman" w:eastAsia="Times New Roman" w:cs="Times New Roman"/>
                <w:spacing w:val="-27"/>
              </w:rPr>
              <w:t xml:space="preserve"> </w:t>
            </w:r>
            <w:r>
              <w:rPr>
                <w:spacing w:val="-2"/>
              </w:rPr>
              <w:t>°</w:t>
            </w:r>
            <w:r>
              <w:rPr>
                <w:rFonts w:ascii="Times New Roman" w:hAnsi="Times New Roman" w:eastAsia="Times New Roman" w:cs="Times New Roman"/>
                <w:spacing w:val="-2"/>
              </w:rPr>
              <w:t>41'3</w:t>
            </w:r>
            <w:r>
              <w:rPr>
                <w:rFonts w:ascii="Times New Roman" w:hAnsi="Times New Roman" w:eastAsia="Times New Roman" w:cs="Times New Roman"/>
                <w:spacing w:val="-3"/>
              </w:rPr>
              <w:t>1.125"</w:t>
            </w:r>
            <w:r>
              <w:rPr>
                <w:rFonts w:ascii="Times New Roman" w:hAnsi="Times New Roman" w:eastAsia="Times New Roman" w:cs="Times New Roman"/>
                <w:spacing w:val="-27"/>
              </w:rPr>
              <w:t xml:space="preserve"> </w:t>
            </w:r>
            <w:r>
              <w:rPr>
                <w:spacing w:val="-3"/>
              </w:rPr>
              <w:t>；各箱变建设时剥离的表土就地堆存利</w:t>
            </w:r>
            <w:r>
              <w:t xml:space="preserve"> </w:t>
            </w:r>
            <w:r>
              <w:rPr>
                <w:spacing w:val="1"/>
              </w:rPr>
              <w:t>用，约</w:t>
            </w:r>
            <w:r>
              <w:rPr>
                <w:spacing w:val="-27"/>
              </w:rPr>
              <w:t xml:space="preserve"> </w:t>
            </w:r>
            <w:r>
              <w:rPr>
                <w:rFonts w:ascii="Times New Roman" w:hAnsi="Times New Roman" w:eastAsia="Times New Roman" w:cs="Times New Roman"/>
                <w:spacing w:val="1"/>
              </w:rPr>
              <w:t>10m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rPr>
              <w:t>/</w:t>
            </w:r>
            <w:r>
              <w:rPr>
                <w:spacing w:val="1"/>
              </w:rPr>
              <w:t>个，共约</w:t>
            </w:r>
            <w:r>
              <w:rPr>
                <w:spacing w:val="-48"/>
              </w:rPr>
              <w:t xml:space="preserve"> </w:t>
            </w:r>
            <w:r>
              <w:rPr>
                <w:rFonts w:ascii="Times New Roman" w:hAnsi="Times New Roman" w:eastAsia="Times New Roman" w:cs="Times New Roman"/>
                <w:spacing w:val="1"/>
              </w:rPr>
              <w:t>370m</w:t>
            </w:r>
            <w:r>
              <w:rPr>
                <w:rFonts w:ascii="Times New Roman" w:hAnsi="Times New Roman" w:eastAsia="Times New Roman" w:cs="Times New Roman"/>
                <w:spacing w:val="1"/>
                <w:position w:val="8"/>
                <w:sz w:val="15"/>
                <w:szCs w:val="15"/>
              </w:rPr>
              <w:t xml:space="preserve">2 </w:t>
            </w:r>
            <w:r>
              <w:rPr>
                <w:spacing w:val="1"/>
              </w:rPr>
              <w:t>，即用即回填；</w:t>
            </w:r>
            <w:r>
              <w:t xml:space="preserve">施工营地剥离的表土暂存于升压站 </w:t>
            </w:r>
            <w:r>
              <w:rPr>
                <w:spacing w:val="-1"/>
              </w:rPr>
              <w:t>旁临时表土堆场内，不单独设置。</w:t>
            </w:r>
          </w:p>
          <w:p w14:paraId="4EF1F8EB">
            <w:pPr>
              <w:pStyle w:val="6"/>
              <w:spacing w:before="32" w:line="219" w:lineRule="auto"/>
              <w:ind w:left="583"/>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、施工建筑材料来源</w:t>
            </w:r>
          </w:p>
          <w:p w14:paraId="0BC0F292">
            <w:pPr>
              <w:pStyle w:val="6"/>
              <w:spacing w:before="181" w:line="353" w:lineRule="auto"/>
              <w:ind w:left="107" w:right="40" w:firstLine="482"/>
              <w:jc w:val="both"/>
            </w:pPr>
            <w:r>
              <w:rPr>
                <w:spacing w:val="-1"/>
              </w:rPr>
              <w:t>项目建设所需的主要的建筑材料为钢材、商品混凝土、级配石等，商品混凝</w:t>
            </w:r>
            <w:r>
              <w:rPr>
                <w:spacing w:val="9"/>
              </w:rPr>
              <w:t xml:space="preserve"> </w:t>
            </w:r>
            <w:r>
              <w:rPr>
                <w:spacing w:val="-6"/>
              </w:rPr>
              <w:t>土、级配石等均可从当地具有供货资质的部门购买，本项目不新设石料场及砂场，</w:t>
            </w:r>
            <w:r>
              <w:rPr>
                <w:spacing w:val="16"/>
              </w:rPr>
              <w:t xml:space="preserve"> </w:t>
            </w:r>
            <w:r>
              <w:rPr>
                <w:spacing w:val="-1"/>
              </w:rPr>
              <w:t>由卖方负责其相应的水土流失防治责任；钢材需从当地购置，由卖方送至工程施</w:t>
            </w:r>
            <w:r>
              <w:rPr>
                <w:spacing w:val="14"/>
              </w:rPr>
              <w:t xml:space="preserve"> </w:t>
            </w:r>
            <w:r>
              <w:rPr>
                <w:spacing w:val="-1"/>
              </w:rPr>
              <w:t>工场地。根据实际情况，项目建设所需主要材料均能满足。</w:t>
            </w:r>
          </w:p>
          <w:p w14:paraId="79CC5D38">
            <w:pPr>
              <w:pStyle w:val="6"/>
              <w:spacing w:before="34" w:line="219" w:lineRule="auto"/>
              <w:ind w:left="585"/>
            </w:pPr>
            <w:r>
              <w:rPr>
                <w:rFonts w:ascii="Times New Roman" w:hAnsi="Times New Roman" w:eastAsia="Times New Roman" w:cs="Times New Roman"/>
                <w:b/>
                <w:bCs/>
                <w:spacing w:val="-8"/>
              </w:rPr>
              <w:t>5</w:t>
            </w:r>
            <w:r>
              <w:rPr>
                <w:rFonts w:ascii="Times New Roman" w:hAnsi="Times New Roman" w:eastAsia="Times New Roman" w:cs="Times New Roman"/>
                <w:b/>
                <w:bCs/>
                <w:spacing w:val="-32"/>
              </w:rPr>
              <w:t xml:space="preserve"> </w:t>
            </w:r>
            <w:r>
              <w:rPr>
                <w:b/>
                <w:bCs/>
                <w:spacing w:val="-8"/>
              </w:rPr>
              <w:t>、施工用水</w:t>
            </w:r>
          </w:p>
          <w:p w14:paraId="0E6D3979">
            <w:pPr>
              <w:pStyle w:val="6"/>
              <w:spacing w:before="181" w:line="346" w:lineRule="auto"/>
              <w:ind w:left="105" w:right="102" w:firstLine="481"/>
            </w:pPr>
            <w:r>
              <w:rPr>
                <w:spacing w:val="-1"/>
              </w:rPr>
              <w:t>本工程施工用水由建筑施工用水、施工机械用水、生活用水等组成，本项目</w:t>
            </w:r>
            <w:r>
              <w:rPr>
                <w:spacing w:val="12"/>
              </w:rPr>
              <w:t xml:space="preserve"> </w:t>
            </w:r>
            <w:r>
              <w:t>施工用水计划在场址附近村落取自来水，使用水罐车</w:t>
            </w:r>
            <w:r>
              <w:rPr>
                <w:spacing w:val="-1"/>
              </w:rPr>
              <w:t>清运至施工营地使用。</w:t>
            </w:r>
          </w:p>
          <w:p w14:paraId="75590526">
            <w:pPr>
              <w:pStyle w:val="6"/>
              <w:spacing w:before="35" w:line="221" w:lineRule="auto"/>
              <w:ind w:left="586"/>
            </w:pPr>
            <w:r>
              <w:rPr>
                <w:rFonts w:ascii="Times New Roman" w:hAnsi="Times New Roman" w:eastAsia="Times New Roman" w:cs="Times New Roman"/>
                <w:b/>
                <w:bCs/>
                <w:spacing w:val="-8"/>
              </w:rPr>
              <w:t>6</w:t>
            </w:r>
            <w:r>
              <w:rPr>
                <w:rFonts w:ascii="Times New Roman" w:hAnsi="Times New Roman" w:eastAsia="Times New Roman" w:cs="Times New Roman"/>
                <w:b/>
                <w:bCs/>
                <w:spacing w:val="-33"/>
              </w:rPr>
              <w:t xml:space="preserve"> </w:t>
            </w:r>
            <w:r>
              <w:rPr>
                <w:b/>
                <w:bCs/>
                <w:spacing w:val="-8"/>
              </w:rPr>
              <w:t>、施工用电</w:t>
            </w:r>
          </w:p>
          <w:p w14:paraId="27D615A8">
            <w:pPr>
              <w:pStyle w:val="6"/>
              <w:spacing w:before="178" w:line="347" w:lineRule="auto"/>
              <w:ind w:left="107" w:right="102" w:firstLine="481"/>
            </w:pPr>
            <w:r>
              <w:t>从附近村庄</w:t>
            </w:r>
            <w:r>
              <w:rPr>
                <w:spacing w:val="-17"/>
              </w:rPr>
              <w:t xml:space="preserve"> </w:t>
            </w:r>
            <w:r>
              <w:rPr>
                <w:rFonts w:ascii="Times New Roman" w:hAnsi="Times New Roman" w:eastAsia="Times New Roman" w:cs="Times New Roman"/>
              </w:rPr>
              <w:t xml:space="preserve">10kV </w:t>
            </w:r>
            <w:r>
              <w:t xml:space="preserve">农网引接。施工时作为施工电源，光伏电站建成后此电源 </w:t>
            </w:r>
            <w:r>
              <w:rPr>
                <w:spacing w:val="-2"/>
              </w:rPr>
              <w:t>作为备用电源。</w:t>
            </w:r>
          </w:p>
          <w:p w14:paraId="497755C0">
            <w:pPr>
              <w:pStyle w:val="6"/>
              <w:spacing w:before="32" w:line="219" w:lineRule="auto"/>
              <w:ind w:left="585"/>
            </w:pPr>
            <w:r>
              <w:rPr>
                <w:rFonts w:ascii="Times New Roman" w:hAnsi="Times New Roman" w:eastAsia="Times New Roman" w:cs="Times New Roman"/>
                <w:b/>
                <w:bCs/>
                <w:spacing w:val="-5"/>
              </w:rPr>
              <w:t>7</w:t>
            </w:r>
            <w:r>
              <w:rPr>
                <w:rFonts w:ascii="Times New Roman" w:hAnsi="Times New Roman" w:eastAsia="Times New Roman" w:cs="Times New Roman"/>
                <w:b/>
                <w:bCs/>
                <w:spacing w:val="-34"/>
              </w:rPr>
              <w:t xml:space="preserve"> </w:t>
            </w:r>
            <w:r>
              <w:rPr>
                <w:b/>
                <w:bCs/>
                <w:spacing w:val="-5"/>
              </w:rPr>
              <w:t>、施工人数及施工期</w:t>
            </w:r>
          </w:p>
          <w:p w14:paraId="0D0227CF">
            <w:pPr>
              <w:pStyle w:val="6"/>
              <w:spacing w:before="183" w:line="219" w:lineRule="auto"/>
              <w:ind w:left="585"/>
            </w:pPr>
            <w:r>
              <w:t>施工工期：</w:t>
            </w:r>
            <w:r>
              <w:rPr>
                <w:rFonts w:ascii="Times New Roman" w:hAnsi="Times New Roman" w:eastAsia="Times New Roman" w:cs="Times New Roman"/>
              </w:rPr>
              <w:t>7</w:t>
            </w:r>
            <w:r>
              <w:t>个月，计划在</w:t>
            </w:r>
            <w:r>
              <w:rPr>
                <w:rFonts w:ascii="Times New Roman" w:hAnsi="Times New Roman" w:eastAsia="Times New Roman" w:cs="Times New Roman"/>
              </w:rPr>
              <w:t>2025</w:t>
            </w:r>
            <w:r>
              <w:t>年</w:t>
            </w:r>
            <w:r>
              <w:rPr>
                <w:rFonts w:ascii="Times New Roman" w:hAnsi="Times New Roman" w:eastAsia="Times New Roman" w:cs="Times New Roman"/>
              </w:rPr>
              <w:t>4</w:t>
            </w:r>
            <w:r>
              <w:t>月</w:t>
            </w:r>
            <w:r>
              <w:rPr>
                <w:spacing w:val="-1"/>
              </w:rPr>
              <w:t>开工，于</w:t>
            </w:r>
            <w:r>
              <w:rPr>
                <w:rFonts w:ascii="Times New Roman" w:hAnsi="Times New Roman" w:eastAsia="Times New Roman" w:cs="Times New Roman"/>
                <w:spacing w:val="-1"/>
              </w:rPr>
              <w:t>2025</w:t>
            </w:r>
            <w:r>
              <w:rPr>
                <w:spacing w:val="-1"/>
              </w:rPr>
              <w:t>年</w:t>
            </w:r>
            <w:r>
              <w:rPr>
                <w:rFonts w:ascii="Times New Roman" w:hAnsi="Times New Roman" w:eastAsia="Times New Roman" w:cs="Times New Roman"/>
                <w:spacing w:val="-1"/>
              </w:rPr>
              <w:t>11</w:t>
            </w:r>
            <w:r>
              <w:rPr>
                <w:spacing w:val="-1"/>
              </w:rPr>
              <w:t>月建成投产。</w:t>
            </w:r>
          </w:p>
          <w:p w14:paraId="21629C69">
            <w:pPr>
              <w:pStyle w:val="6"/>
              <w:spacing w:before="181" w:line="219" w:lineRule="auto"/>
              <w:jc w:val="right"/>
            </w:pPr>
            <w:r>
              <w:rPr>
                <w:spacing w:val="1"/>
              </w:rPr>
              <w:t>施工高峰期</w:t>
            </w:r>
            <w:r>
              <w:rPr>
                <w:rFonts w:ascii="Times New Roman" w:hAnsi="Times New Roman" w:eastAsia="Times New Roman" w:cs="Times New Roman"/>
                <w:spacing w:val="1"/>
              </w:rPr>
              <w:t xml:space="preserve">300 </w:t>
            </w:r>
            <w:r>
              <w:rPr>
                <w:spacing w:val="1"/>
              </w:rPr>
              <w:t>人。施工人员约</w:t>
            </w:r>
            <w:r>
              <w:rPr>
                <w:rFonts w:ascii="Times New Roman" w:hAnsi="Times New Roman" w:eastAsia="Times New Roman" w:cs="Times New Roman"/>
                <w:spacing w:val="1"/>
              </w:rPr>
              <w:t xml:space="preserve">50 </w:t>
            </w:r>
            <w:r>
              <w:rPr>
                <w:spacing w:val="1"/>
              </w:rPr>
              <w:t>人在项目区食宿。施工进度计划表详见下表：</w:t>
            </w:r>
          </w:p>
          <w:p w14:paraId="3A249514">
            <w:pPr>
              <w:pStyle w:val="6"/>
              <w:spacing w:before="27" w:line="212" w:lineRule="auto"/>
              <w:ind w:left="3028"/>
            </w:pPr>
            <w:r>
              <w:rPr>
                <w:b/>
                <w:bCs/>
                <w:spacing w:val="-3"/>
              </w:rPr>
              <w:t>表</w:t>
            </w:r>
            <w:r>
              <w:rPr>
                <w:spacing w:val="-44"/>
              </w:rPr>
              <w:t xml:space="preserve"> </w:t>
            </w:r>
            <w:r>
              <w:rPr>
                <w:rFonts w:ascii="Times New Roman" w:hAnsi="Times New Roman" w:eastAsia="Times New Roman" w:cs="Times New Roman"/>
                <w:b/>
                <w:bCs/>
                <w:spacing w:val="-3"/>
              </w:rPr>
              <w:t xml:space="preserve">2-12  </w:t>
            </w:r>
            <w:r>
              <w:rPr>
                <w:b/>
                <w:bCs/>
                <w:spacing w:val="-3"/>
              </w:rPr>
              <w:t>施工进度计划表</w:t>
            </w:r>
          </w:p>
          <w:tbl>
            <w:tblPr>
              <w:tblStyle w:val="5"/>
              <w:tblW w:w="838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70"/>
              <w:gridCol w:w="750"/>
              <w:gridCol w:w="762"/>
              <w:gridCol w:w="774"/>
              <w:gridCol w:w="762"/>
              <w:gridCol w:w="725"/>
              <w:gridCol w:w="774"/>
              <w:gridCol w:w="866"/>
            </w:tblGrid>
            <w:tr w14:paraId="4665A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970" w:type="dxa"/>
                  <w:vMerge w:val="restart"/>
                  <w:tcBorders>
                    <w:bottom w:val="nil"/>
                    <w:tl2br w:val="single" w:color="000000" w:sz="4" w:space="0"/>
                  </w:tcBorders>
                  <w:vAlign w:val="top"/>
                </w:tcPr>
                <w:p w14:paraId="1F771C3C">
                  <w:pPr>
                    <w:pStyle w:val="6"/>
                    <w:spacing w:before="36" w:line="228" w:lineRule="auto"/>
                    <w:ind w:left="1384"/>
                    <w:rPr>
                      <w:sz w:val="20"/>
                      <w:szCs w:val="20"/>
                    </w:rPr>
                  </w:pPr>
                  <w:r>
                    <w:rPr>
                      <w:spacing w:val="5"/>
                      <w:sz w:val="20"/>
                      <w:szCs w:val="20"/>
                    </w:rPr>
                    <w:t>进度</w:t>
                  </w:r>
                </w:p>
                <w:p w14:paraId="6815826A">
                  <w:pPr>
                    <w:pStyle w:val="6"/>
                    <w:spacing w:before="24" w:line="226" w:lineRule="auto"/>
                    <w:ind w:left="120"/>
                    <w:rPr>
                      <w:sz w:val="20"/>
                      <w:szCs w:val="20"/>
                    </w:rPr>
                  </w:pPr>
                  <w:r>
                    <w:rPr>
                      <w:spacing w:val="3"/>
                      <w:sz w:val="20"/>
                      <w:szCs w:val="20"/>
                    </w:rPr>
                    <w:t>项目</w:t>
                  </w:r>
                </w:p>
              </w:tc>
              <w:tc>
                <w:tcPr>
                  <w:tcW w:w="5413" w:type="dxa"/>
                  <w:gridSpan w:val="7"/>
                  <w:vAlign w:val="top"/>
                </w:tcPr>
                <w:p w14:paraId="237BE190">
                  <w:pPr>
                    <w:pStyle w:val="6"/>
                    <w:spacing w:before="36" w:line="217" w:lineRule="auto"/>
                    <w:ind w:left="1978"/>
                    <w:rPr>
                      <w:sz w:val="20"/>
                      <w:szCs w:val="20"/>
                    </w:rPr>
                  </w:pPr>
                  <w:r>
                    <w:rPr>
                      <w:spacing w:val="5"/>
                      <w:sz w:val="20"/>
                      <w:szCs w:val="20"/>
                    </w:rPr>
                    <w:t>建设周期</w:t>
                  </w:r>
                  <w:r>
                    <w:rPr>
                      <w:spacing w:val="-33"/>
                      <w:sz w:val="20"/>
                      <w:szCs w:val="20"/>
                    </w:rPr>
                    <w:t xml:space="preserve"> </w:t>
                  </w:r>
                  <w:r>
                    <w:rPr>
                      <w:rFonts w:ascii="Times New Roman" w:hAnsi="Times New Roman" w:eastAsia="Times New Roman" w:cs="Times New Roman"/>
                      <w:spacing w:val="5"/>
                      <w:sz w:val="20"/>
                      <w:szCs w:val="20"/>
                    </w:rPr>
                    <w:t xml:space="preserve">7 </w:t>
                  </w:r>
                  <w:r>
                    <w:rPr>
                      <w:spacing w:val="5"/>
                      <w:sz w:val="20"/>
                      <w:szCs w:val="20"/>
                    </w:rPr>
                    <w:t>个月</w:t>
                  </w:r>
                </w:p>
              </w:tc>
            </w:tr>
            <w:tr w14:paraId="2091F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970" w:type="dxa"/>
                  <w:vMerge w:val="continue"/>
                  <w:tcBorders>
                    <w:top w:val="nil"/>
                    <w:tl2br w:val="single" w:color="000000" w:sz="4" w:space="0"/>
                  </w:tcBorders>
                  <w:vAlign w:val="top"/>
                </w:tcPr>
                <w:p w14:paraId="200A1247">
                  <w:pPr>
                    <w:rPr>
                      <w:rFonts w:ascii="Arial"/>
                      <w:sz w:val="21"/>
                    </w:rPr>
                  </w:pPr>
                </w:p>
              </w:tc>
              <w:tc>
                <w:tcPr>
                  <w:tcW w:w="750" w:type="dxa"/>
                  <w:vAlign w:val="top"/>
                </w:tcPr>
                <w:p w14:paraId="743A68F3">
                  <w:pPr>
                    <w:pStyle w:val="6"/>
                    <w:spacing w:before="29" w:line="218" w:lineRule="auto"/>
                    <w:ind w:left="190"/>
                    <w:rPr>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17"/>
                      <w:sz w:val="20"/>
                      <w:szCs w:val="20"/>
                    </w:rPr>
                    <w:t xml:space="preserve"> </w:t>
                  </w:r>
                  <w:r>
                    <w:rPr>
                      <w:sz w:val="20"/>
                      <w:szCs w:val="20"/>
                    </w:rPr>
                    <w:t>月</w:t>
                  </w:r>
                </w:p>
              </w:tc>
              <w:tc>
                <w:tcPr>
                  <w:tcW w:w="762" w:type="dxa"/>
                  <w:vAlign w:val="top"/>
                </w:tcPr>
                <w:p w14:paraId="59AF32BF">
                  <w:pPr>
                    <w:pStyle w:val="6"/>
                    <w:spacing w:before="29" w:line="218" w:lineRule="auto"/>
                    <w:ind w:left="202"/>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17"/>
                      <w:sz w:val="20"/>
                      <w:szCs w:val="20"/>
                    </w:rPr>
                    <w:t xml:space="preserve"> </w:t>
                  </w:r>
                  <w:r>
                    <w:rPr>
                      <w:spacing w:val="-3"/>
                      <w:sz w:val="20"/>
                      <w:szCs w:val="20"/>
                    </w:rPr>
                    <w:t>月</w:t>
                  </w:r>
                </w:p>
              </w:tc>
              <w:tc>
                <w:tcPr>
                  <w:tcW w:w="774" w:type="dxa"/>
                  <w:vAlign w:val="top"/>
                </w:tcPr>
                <w:p w14:paraId="6DE95505">
                  <w:pPr>
                    <w:pStyle w:val="6"/>
                    <w:spacing w:before="29" w:line="218" w:lineRule="auto"/>
                    <w:ind w:left="210"/>
                    <w:rPr>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15"/>
                      <w:sz w:val="20"/>
                      <w:szCs w:val="20"/>
                    </w:rPr>
                    <w:t xml:space="preserve"> </w:t>
                  </w:r>
                  <w:r>
                    <w:rPr>
                      <w:spacing w:val="-3"/>
                      <w:sz w:val="20"/>
                      <w:szCs w:val="20"/>
                    </w:rPr>
                    <w:t>月</w:t>
                  </w:r>
                </w:p>
              </w:tc>
              <w:tc>
                <w:tcPr>
                  <w:tcW w:w="762" w:type="dxa"/>
                  <w:vAlign w:val="top"/>
                </w:tcPr>
                <w:p w14:paraId="28EEFF2A">
                  <w:pPr>
                    <w:pStyle w:val="6"/>
                    <w:spacing w:before="29" w:line="218" w:lineRule="auto"/>
                    <w:ind w:left="202"/>
                    <w:rPr>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7"/>
                      <w:sz w:val="20"/>
                      <w:szCs w:val="20"/>
                    </w:rPr>
                    <w:t xml:space="preserve"> </w:t>
                  </w:r>
                  <w:r>
                    <w:rPr>
                      <w:spacing w:val="-2"/>
                      <w:sz w:val="20"/>
                      <w:szCs w:val="20"/>
                    </w:rPr>
                    <w:t>月</w:t>
                  </w:r>
                </w:p>
              </w:tc>
              <w:tc>
                <w:tcPr>
                  <w:tcW w:w="725" w:type="dxa"/>
                  <w:vAlign w:val="top"/>
                </w:tcPr>
                <w:p w14:paraId="2F496B29">
                  <w:pPr>
                    <w:pStyle w:val="6"/>
                    <w:spacing w:before="29" w:line="218" w:lineRule="auto"/>
                    <w:ind w:left="189"/>
                    <w:rPr>
                      <w:sz w:val="20"/>
                      <w:szCs w:val="20"/>
                    </w:rPr>
                  </w:pPr>
                  <w:r>
                    <w:rPr>
                      <w:rFonts w:ascii="Times New Roman" w:hAnsi="Times New Roman" w:eastAsia="Times New Roman" w:cs="Times New Roman"/>
                      <w:spacing w:val="-5"/>
                      <w:sz w:val="20"/>
                      <w:szCs w:val="20"/>
                    </w:rPr>
                    <w:t>8</w:t>
                  </w:r>
                  <w:r>
                    <w:rPr>
                      <w:rFonts w:ascii="Times New Roman" w:hAnsi="Times New Roman" w:eastAsia="Times New Roman" w:cs="Times New Roman"/>
                      <w:spacing w:val="15"/>
                      <w:sz w:val="20"/>
                      <w:szCs w:val="20"/>
                    </w:rPr>
                    <w:t xml:space="preserve"> </w:t>
                  </w:r>
                  <w:r>
                    <w:rPr>
                      <w:spacing w:val="-5"/>
                      <w:sz w:val="20"/>
                      <w:szCs w:val="20"/>
                    </w:rPr>
                    <w:t>月</w:t>
                  </w:r>
                </w:p>
              </w:tc>
              <w:tc>
                <w:tcPr>
                  <w:tcW w:w="774" w:type="dxa"/>
                  <w:vAlign w:val="top"/>
                </w:tcPr>
                <w:p w14:paraId="3866FEFE">
                  <w:pPr>
                    <w:pStyle w:val="6"/>
                    <w:spacing w:before="29" w:line="218" w:lineRule="auto"/>
                    <w:ind w:left="209"/>
                    <w:rPr>
                      <w:sz w:val="20"/>
                      <w:szCs w:val="20"/>
                    </w:rPr>
                  </w:pPr>
                  <w:r>
                    <w:rPr>
                      <w:rFonts w:ascii="Times New Roman" w:hAnsi="Times New Roman" w:eastAsia="Times New Roman" w:cs="Times New Roman"/>
                      <w:spacing w:val="-2"/>
                      <w:sz w:val="20"/>
                      <w:szCs w:val="20"/>
                    </w:rPr>
                    <w:t>9</w:t>
                  </w:r>
                  <w:r>
                    <w:rPr>
                      <w:rFonts w:ascii="Times New Roman" w:hAnsi="Times New Roman" w:eastAsia="Times New Roman" w:cs="Times New Roman"/>
                      <w:spacing w:val="17"/>
                      <w:sz w:val="20"/>
                      <w:szCs w:val="20"/>
                    </w:rPr>
                    <w:t xml:space="preserve"> </w:t>
                  </w:r>
                  <w:r>
                    <w:rPr>
                      <w:spacing w:val="-2"/>
                      <w:sz w:val="20"/>
                      <w:szCs w:val="20"/>
                    </w:rPr>
                    <w:t>月</w:t>
                  </w:r>
                </w:p>
              </w:tc>
              <w:tc>
                <w:tcPr>
                  <w:tcW w:w="866" w:type="dxa"/>
                  <w:vAlign w:val="top"/>
                </w:tcPr>
                <w:p w14:paraId="7216239B">
                  <w:pPr>
                    <w:pStyle w:val="6"/>
                    <w:spacing w:before="29" w:line="218" w:lineRule="auto"/>
                    <w:ind w:left="217"/>
                    <w:rPr>
                      <w:sz w:val="20"/>
                      <w:szCs w:val="20"/>
                    </w:rPr>
                  </w:pPr>
                  <w:r>
                    <w:rPr>
                      <w:rFonts w:ascii="Times New Roman" w:hAnsi="Times New Roman" w:eastAsia="Times New Roman" w:cs="Times New Roman"/>
                      <w:spacing w:val="-5"/>
                      <w:sz w:val="20"/>
                      <w:szCs w:val="20"/>
                    </w:rPr>
                    <w:t>10</w:t>
                  </w:r>
                  <w:r>
                    <w:rPr>
                      <w:rFonts w:ascii="Times New Roman" w:hAnsi="Times New Roman" w:eastAsia="Times New Roman" w:cs="Times New Roman"/>
                      <w:spacing w:val="17"/>
                      <w:sz w:val="20"/>
                      <w:szCs w:val="20"/>
                    </w:rPr>
                    <w:t xml:space="preserve"> </w:t>
                  </w:r>
                  <w:r>
                    <w:rPr>
                      <w:spacing w:val="-5"/>
                      <w:sz w:val="20"/>
                      <w:szCs w:val="20"/>
                    </w:rPr>
                    <w:t>月</w:t>
                  </w:r>
                </w:p>
              </w:tc>
            </w:tr>
            <w:tr w14:paraId="57DC9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970" w:type="dxa"/>
                  <w:vAlign w:val="top"/>
                </w:tcPr>
                <w:p w14:paraId="17A862AE">
                  <w:pPr>
                    <w:pStyle w:val="6"/>
                    <w:spacing w:before="31" w:line="216" w:lineRule="auto"/>
                    <w:ind w:left="1068"/>
                    <w:rPr>
                      <w:sz w:val="20"/>
                      <w:szCs w:val="20"/>
                    </w:rPr>
                  </w:pPr>
                  <w:r>
                    <w:rPr>
                      <w:spacing w:val="7"/>
                      <w:sz w:val="20"/>
                      <w:szCs w:val="20"/>
                    </w:rPr>
                    <w:t>施工设计</w:t>
                  </w:r>
                </w:p>
              </w:tc>
              <w:tc>
                <w:tcPr>
                  <w:tcW w:w="750" w:type="dxa"/>
                  <w:vAlign w:val="top"/>
                </w:tcPr>
                <w:p w14:paraId="0145EC80">
                  <w:pPr>
                    <w:spacing w:before="123" w:line="59" w:lineRule="exact"/>
                    <w:ind w:firstLine="51"/>
                  </w:pPr>
                  <w:r>
                    <w:rPr>
                      <w:position w:val="-1"/>
                    </w:rPr>
                    <w:drawing>
                      <wp:inline distT="0" distB="0" distL="0" distR="0">
                        <wp:extent cx="440055" cy="3683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09"/>
                                <a:stretch>
                                  <a:fillRect/>
                                </a:stretch>
                              </pic:blipFill>
                              <pic:spPr>
                                <a:xfrm>
                                  <a:off x="0" y="0"/>
                                  <a:ext cx="440181" cy="36830"/>
                                </a:xfrm>
                                <a:prstGeom prst="rect">
                                  <a:avLst/>
                                </a:prstGeom>
                              </pic:spPr>
                            </pic:pic>
                          </a:graphicData>
                        </a:graphic>
                      </wp:inline>
                    </w:drawing>
                  </w:r>
                </w:p>
              </w:tc>
              <w:tc>
                <w:tcPr>
                  <w:tcW w:w="762" w:type="dxa"/>
                  <w:vAlign w:val="top"/>
                </w:tcPr>
                <w:p w14:paraId="31ECD578">
                  <w:pPr>
                    <w:rPr>
                      <w:rFonts w:ascii="Arial"/>
                      <w:sz w:val="21"/>
                    </w:rPr>
                  </w:pPr>
                </w:p>
              </w:tc>
              <w:tc>
                <w:tcPr>
                  <w:tcW w:w="774" w:type="dxa"/>
                  <w:vAlign w:val="top"/>
                </w:tcPr>
                <w:p w14:paraId="3B6C7DE8">
                  <w:pPr>
                    <w:rPr>
                      <w:rFonts w:ascii="Arial"/>
                      <w:sz w:val="21"/>
                    </w:rPr>
                  </w:pPr>
                </w:p>
              </w:tc>
              <w:tc>
                <w:tcPr>
                  <w:tcW w:w="762" w:type="dxa"/>
                  <w:vAlign w:val="top"/>
                </w:tcPr>
                <w:p w14:paraId="3D78772E">
                  <w:pPr>
                    <w:rPr>
                      <w:rFonts w:ascii="Arial"/>
                      <w:sz w:val="21"/>
                    </w:rPr>
                  </w:pPr>
                </w:p>
              </w:tc>
              <w:tc>
                <w:tcPr>
                  <w:tcW w:w="725" w:type="dxa"/>
                  <w:vAlign w:val="top"/>
                </w:tcPr>
                <w:p w14:paraId="631AC603">
                  <w:pPr>
                    <w:rPr>
                      <w:rFonts w:ascii="Arial"/>
                      <w:sz w:val="21"/>
                    </w:rPr>
                  </w:pPr>
                </w:p>
              </w:tc>
              <w:tc>
                <w:tcPr>
                  <w:tcW w:w="774" w:type="dxa"/>
                  <w:vAlign w:val="top"/>
                </w:tcPr>
                <w:p w14:paraId="073422A3">
                  <w:pPr>
                    <w:rPr>
                      <w:rFonts w:ascii="Arial"/>
                      <w:sz w:val="21"/>
                    </w:rPr>
                  </w:pPr>
                </w:p>
              </w:tc>
              <w:tc>
                <w:tcPr>
                  <w:tcW w:w="866" w:type="dxa"/>
                  <w:vAlign w:val="top"/>
                </w:tcPr>
                <w:p w14:paraId="5688AE6E">
                  <w:pPr>
                    <w:rPr>
                      <w:rFonts w:ascii="Arial"/>
                      <w:sz w:val="21"/>
                    </w:rPr>
                  </w:pPr>
                </w:p>
              </w:tc>
            </w:tr>
            <w:tr w14:paraId="792F3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970" w:type="dxa"/>
                  <w:vAlign w:val="top"/>
                </w:tcPr>
                <w:p w14:paraId="226CE1E1">
                  <w:pPr>
                    <w:pStyle w:val="6"/>
                    <w:spacing w:before="35" w:line="214" w:lineRule="auto"/>
                    <w:ind w:left="758"/>
                    <w:rPr>
                      <w:sz w:val="20"/>
                      <w:szCs w:val="20"/>
                    </w:rPr>
                  </w:pPr>
                  <w:r>
                    <w:rPr>
                      <w:spacing w:val="8"/>
                      <w:sz w:val="20"/>
                      <w:szCs w:val="20"/>
                    </w:rPr>
                    <w:t>设备、材料采购</w:t>
                  </w:r>
                </w:p>
              </w:tc>
              <w:tc>
                <w:tcPr>
                  <w:tcW w:w="2286" w:type="dxa"/>
                  <w:gridSpan w:val="3"/>
                  <w:vAlign w:val="top"/>
                </w:tcPr>
                <w:p w14:paraId="6DEA17A0">
                  <w:pPr>
                    <w:spacing w:before="87" w:line="63" w:lineRule="exact"/>
                    <w:ind w:firstLine="746"/>
                  </w:pPr>
                  <w:r>
                    <w:rPr>
                      <w:position w:val="-1"/>
                    </w:rPr>
                    <w:drawing>
                      <wp:inline distT="0" distB="0" distL="0" distR="0">
                        <wp:extent cx="873125" cy="3937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10"/>
                                <a:stretch>
                                  <a:fillRect/>
                                </a:stretch>
                              </pic:blipFill>
                              <pic:spPr>
                                <a:xfrm>
                                  <a:off x="0" y="0"/>
                                  <a:ext cx="873125" cy="39370"/>
                                </a:xfrm>
                                <a:prstGeom prst="rect">
                                  <a:avLst/>
                                </a:prstGeom>
                              </pic:spPr>
                            </pic:pic>
                          </a:graphicData>
                        </a:graphic>
                      </wp:inline>
                    </w:drawing>
                  </w:r>
                </w:p>
              </w:tc>
              <w:tc>
                <w:tcPr>
                  <w:tcW w:w="762" w:type="dxa"/>
                  <w:vAlign w:val="top"/>
                </w:tcPr>
                <w:p w14:paraId="72EEB57C">
                  <w:pPr>
                    <w:rPr>
                      <w:rFonts w:ascii="Arial"/>
                      <w:sz w:val="21"/>
                    </w:rPr>
                  </w:pPr>
                </w:p>
              </w:tc>
              <w:tc>
                <w:tcPr>
                  <w:tcW w:w="725" w:type="dxa"/>
                  <w:vAlign w:val="top"/>
                </w:tcPr>
                <w:p w14:paraId="2764879F">
                  <w:pPr>
                    <w:rPr>
                      <w:rFonts w:ascii="Arial"/>
                      <w:sz w:val="21"/>
                    </w:rPr>
                  </w:pPr>
                </w:p>
              </w:tc>
              <w:tc>
                <w:tcPr>
                  <w:tcW w:w="774" w:type="dxa"/>
                  <w:vAlign w:val="top"/>
                </w:tcPr>
                <w:p w14:paraId="56F0AF17">
                  <w:pPr>
                    <w:rPr>
                      <w:rFonts w:ascii="Arial"/>
                      <w:sz w:val="21"/>
                    </w:rPr>
                  </w:pPr>
                </w:p>
              </w:tc>
              <w:tc>
                <w:tcPr>
                  <w:tcW w:w="866" w:type="dxa"/>
                  <w:vAlign w:val="top"/>
                </w:tcPr>
                <w:p w14:paraId="7A5B82F5">
                  <w:pPr>
                    <w:rPr>
                      <w:rFonts w:ascii="Arial"/>
                      <w:sz w:val="21"/>
                    </w:rPr>
                  </w:pPr>
                </w:p>
              </w:tc>
            </w:tr>
            <w:tr w14:paraId="22683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970" w:type="dxa"/>
                  <w:vAlign w:val="top"/>
                </w:tcPr>
                <w:p w14:paraId="2C695F29">
                  <w:pPr>
                    <w:pStyle w:val="6"/>
                    <w:spacing w:before="33" w:line="215" w:lineRule="auto"/>
                    <w:ind w:left="1070"/>
                    <w:rPr>
                      <w:sz w:val="20"/>
                      <w:szCs w:val="20"/>
                    </w:rPr>
                  </w:pPr>
                  <w:r>
                    <w:rPr>
                      <w:spacing w:val="7"/>
                      <w:sz w:val="20"/>
                      <w:szCs w:val="20"/>
                    </w:rPr>
                    <w:t>土建施工</w:t>
                  </w:r>
                </w:p>
              </w:tc>
              <w:tc>
                <w:tcPr>
                  <w:tcW w:w="2286" w:type="dxa"/>
                  <w:gridSpan w:val="3"/>
                  <w:vAlign w:val="top"/>
                </w:tcPr>
                <w:p w14:paraId="17D3D994">
                  <w:pPr>
                    <w:rPr>
                      <w:rFonts w:ascii="Arial"/>
                      <w:sz w:val="21"/>
                    </w:rPr>
                  </w:pPr>
                </w:p>
              </w:tc>
              <w:tc>
                <w:tcPr>
                  <w:tcW w:w="762" w:type="dxa"/>
                  <w:vAlign w:val="top"/>
                </w:tcPr>
                <w:p w14:paraId="7221A324">
                  <w:pPr>
                    <w:rPr>
                      <w:rFonts w:ascii="Arial"/>
                      <w:sz w:val="21"/>
                    </w:rPr>
                  </w:pPr>
                </w:p>
              </w:tc>
              <w:tc>
                <w:tcPr>
                  <w:tcW w:w="725" w:type="dxa"/>
                  <w:vAlign w:val="top"/>
                </w:tcPr>
                <w:p w14:paraId="44570682">
                  <w:pPr>
                    <w:rPr>
                      <w:rFonts w:ascii="Arial"/>
                      <w:sz w:val="21"/>
                    </w:rPr>
                  </w:pPr>
                </w:p>
              </w:tc>
              <w:tc>
                <w:tcPr>
                  <w:tcW w:w="774" w:type="dxa"/>
                  <w:vAlign w:val="top"/>
                </w:tcPr>
                <w:p w14:paraId="05F8F4B1">
                  <w:pPr>
                    <w:rPr>
                      <w:rFonts w:ascii="Arial"/>
                      <w:sz w:val="21"/>
                    </w:rPr>
                  </w:pPr>
                </w:p>
              </w:tc>
              <w:tc>
                <w:tcPr>
                  <w:tcW w:w="866" w:type="dxa"/>
                  <w:vAlign w:val="top"/>
                </w:tcPr>
                <w:p w14:paraId="67BAC3A2">
                  <w:pPr>
                    <w:rPr>
                      <w:rFonts w:ascii="Arial"/>
                      <w:sz w:val="21"/>
                    </w:rPr>
                  </w:pPr>
                </w:p>
              </w:tc>
            </w:tr>
            <w:tr w14:paraId="52F55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970" w:type="dxa"/>
                  <w:vAlign w:val="top"/>
                </w:tcPr>
                <w:p w14:paraId="4EC7E4E0">
                  <w:pPr>
                    <w:pStyle w:val="6"/>
                    <w:spacing w:before="35" w:line="214" w:lineRule="auto"/>
                    <w:ind w:left="1073"/>
                    <w:rPr>
                      <w:sz w:val="20"/>
                      <w:szCs w:val="20"/>
                    </w:rPr>
                  </w:pPr>
                  <w:r>
                    <w:rPr>
                      <w:spacing w:val="6"/>
                      <w:sz w:val="20"/>
                      <w:szCs w:val="20"/>
                    </w:rPr>
                    <w:t>设备安装</w:t>
                  </w:r>
                </w:p>
              </w:tc>
              <w:tc>
                <w:tcPr>
                  <w:tcW w:w="750" w:type="dxa"/>
                  <w:vAlign w:val="top"/>
                </w:tcPr>
                <w:p w14:paraId="5D872D95">
                  <w:pPr>
                    <w:rPr>
                      <w:rFonts w:ascii="Arial"/>
                      <w:sz w:val="21"/>
                    </w:rPr>
                  </w:pPr>
                </w:p>
              </w:tc>
              <w:tc>
                <w:tcPr>
                  <w:tcW w:w="762" w:type="dxa"/>
                  <w:vAlign w:val="top"/>
                </w:tcPr>
                <w:p w14:paraId="14C57675">
                  <w:pPr>
                    <w:rPr>
                      <w:rFonts w:ascii="Arial"/>
                      <w:sz w:val="21"/>
                    </w:rPr>
                  </w:pPr>
                </w:p>
              </w:tc>
              <w:tc>
                <w:tcPr>
                  <w:tcW w:w="774" w:type="dxa"/>
                  <w:vAlign w:val="top"/>
                </w:tcPr>
                <w:p w14:paraId="5E83F4B3">
                  <w:pPr>
                    <w:rPr>
                      <w:rFonts w:ascii="Arial"/>
                      <w:sz w:val="21"/>
                    </w:rPr>
                  </w:pPr>
                </w:p>
              </w:tc>
              <w:tc>
                <w:tcPr>
                  <w:tcW w:w="762" w:type="dxa"/>
                  <w:vAlign w:val="top"/>
                </w:tcPr>
                <w:p w14:paraId="75DF728D">
                  <w:pPr>
                    <w:rPr>
                      <w:rFonts w:ascii="Arial"/>
                      <w:sz w:val="21"/>
                    </w:rPr>
                  </w:pPr>
                </w:p>
              </w:tc>
              <w:tc>
                <w:tcPr>
                  <w:tcW w:w="725" w:type="dxa"/>
                  <w:vAlign w:val="top"/>
                </w:tcPr>
                <w:p w14:paraId="58D9E85C">
                  <w:pPr>
                    <w:rPr>
                      <w:rFonts w:ascii="Arial"/>
                      <w:sz w:val="21"/>
                    </w:rPr>
                  </w:pPr>
                </w:p>
              </w:tc>
              <w:tc>
                <w:tcPr>
                  <w:tcW w:w="774" w:type="dxa"/>
                  <w:vAlign w:val="top"/>
                </w:tcPr>
                <w:p w14:paraId="2BEB2960">
                  <w:pPr>
                    <w:rPr>
                      <w:rFonts w:ascii="Arial"/>
                      <w:sz w:val="21"/>
                    </w:rPr>
                  </w:pPr>
                </w:p>
              </w:tc>
              <w:tc>
                <w:tcPr>
                  <w:tcW w:w="866" w:type="dxa"/>
                  <w:vAlign w:val="top"/>
                </w:tcPr>
                <w:p w14:paraId="0F6A9A40">
                  <w:pPr>
                    <w:rPr>
                      <w:rFonts w:ascii="Arial"/>
                      <w:sz w:val="21"/>
                    </w:rPr>
                  </w:pPr>
                </w:p>
              </w:tc>
            </w:tr>
            <w:tr w14:paraId="09B29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970" w:type="dxa"/>
                  <w:vAlign w:val="top"/>
                </w:tcPr>
                <w:p w14:paraId="06D9BF92">
                  <w:pPr>
                    <w:pStyle w:val="6"/>
                    <w:spacing w:before="36" w:line="217" w:lineRule="auto"/>
                    <w:ind w:left="1282"/>
                    <w:rPr>
                      <w:sz w:val="20"/>
                      <w:szCs w:val="20"/>
                    </w:rPr>
                  </w:pPr>
                  <w:r>
                    <w:rPr>
                      <w:spacing w:val="3"/>
                      <w:sz w:val="20"/>
                      <w:szCs w:val="20"/>
                    </w:rPr>
                    <w:t>调试</w:t>
                  </w:r>
                </w:p>
              </w:tc>
              <w:tc>
                <w:tcPr>
                  <w:tcW w:w="750" w:type="dxa"/>
                  <w:vAlign w:val="top"/>
                </w:tcPr>
                <w:p w14:paraId="19F24E73">
                  <w:pPr>
                    <w:rPr>
                      <w:rFonts w:ascii="Arial"/>
                      <w:sz w:val="21"/>
                    </w:rPr>
                  </w:pPr>
                </w:p>
              </w:tc>
              <w:tc>
                <w:tcPr>
                  <w:tcW w:w="762" w:type="dxa"/>
                  <w:vAlign w:val="top"/>
                </w:tcPr>
                <w:p w14:paraId="095FC790">
                  <w:pPr>
                    <w:rPr>
                      <w:rFonts w:ascii="Arial"/>
                      <w:sz w:val="21"/>
                    </w:rPr>
                  </w:pPr>
                </w:p>
              </w:tc>
              <w:tc>
                <w:tcPr>
                  <w:tcW w:w="774" w:type="dxa"/>
                  <w:vAlign w:val="top"/>
                </w:tcPr>
                <w:p w14:paraId="4CC098A5">
                  <w:pPr>
                    <w:rPr>
                      <w:rFonts w:ascii="Arial"/>
                      <w:sz w:val="21"/>
                    </w:rPr>
                  </w:pPr>
                </w:p>
              </w:tc>
              <w:tc>
                <w:tcPr>
                  <w:tcW w:w="762" w:type="dxa"/>
                  <w:vAlign w:val="top"/>
                </w:tcPr>
                <w:p w14:paraId="26D3DB25">
                  <w:pPr>
                    <w:rPr>
                      <w:rFonts w:ascii="Arial"/>
                      <w:sz w:val="21"/>
                    </w:rPr>
                  </w:pPr>
                </w:p>
              </w:tc>
              <w:tc>
                <w:tcPr>
                  <w:tcW w:w="725" w:type="dxa"/>
                  <w:vAlign w:val="top"/>
                </w:tcPr>
                <w:p w14:paraId="62EC717A">
                  <w:pPr>
                    <w:rPr>
                      <w:rFonts w:ascii="Arial"/>
                      <w:sz w:val="21"/>
                    </w:rPr>
                  </w:pPr>
                </w:p>
              </w:tc>
              <w:tc>
                <w:tcPr>
                  <w:tcW w:w="774" w:type="dxa"/>
                  <w:vAlign w:val="top"/>
                </w:tcPr>
                <w:p w14:paraId="5CC2A850">
                  <w:pPr>
                    <w:rPr>
                      <w:rFonts w:ascii="Arial"/>
                      <w:sz w:val="21"/>
                    </w:rPr>
                  </w:pPr>
                </w:p>
              </w:tc>
              <w:tc>
                <w:tcPr>
                  <w:tcW w:w="866" w:type="dxa"/>
                  <w:vAlign w:val="top"/>
                </w:tcPr>
                <w:p w14:paraId="2A977C51">
                  <w:pPr>
                    <w:rPr>
                      <w:rFonts w:ascii="Arial"/>
                      <w:sz w:val="21"/>
                    </w:rPr>
                  </w:pPr>
                </w:p>
              </w:tc>
            </w:tr>
          </w:tbl>
          <w:p w14:paraId="0BBAAC47">
            <w:pPr>
              <w:rPr>
                <w:rFonts w:ascii="Arial"/>
                <w:sz w:val="21"/>
              </w:rPr>
            </w:pPr>
          </w:p>
        </w:tc>
      </w:tr>
      <w:tr w14:paraId="7DD51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6" w:hRule="atLeast"/>
        </w:trPr>
        <w:tc>
          <w:tcPr>
            <w:tcW w:w="464" w:type="dxa"/>
            <w:tcBorders>
              <w:top w:val="single" w:color="000000" w:sz="2" w:space="0"/>
              <w:right w:val="single" w:color="000000" w:sz="2" w:space="0"/>
            </w:tcBorders>
            <w:textDirection w:val="tbRlV"/>
            <w:vAlign w:val="top"/>
          </w:tcPr>
          <w:p w14:paraId="0330838A">
            <w:pPr>
              <w:pStyle w:val="6"/>
              <w:spacing w:before="110" w:line="209" w:lineRule="auto"/>
              <w:ind w:left="179"/>
            </w:pPr>
            <w:r>
              <w:rPr>
                <w:spacing w:val="35"/>
              </w:rPr>
              <w:t>其他</w:t>
            </w:r>
          </w:p>
        </w:tc>
        <w:tc>
          <w:tcPr>
            <w:tcW w:w="8600" w:type="dxa"/>
            <w:tcBorders>
              <w:top w:val="single" w:color="000000" w:sz="2" w:space="0"/>
              <w:left w:val="single" w:color="000000" w:sz="2" w:space="0"/>
            </w:tcBorders>
            <w:vAlign w:val="top"/>
          </w:tcPr>
          <w:p w14:paraId="53C712C4">
            <w:pPr>
              <w:spacing w:line="256" w:lineRule="auto"/>
              <w:rPr>
                <w:rFonts w:ascii="Arial"/>
                <w:sz w:val="21"/>
              </w:rPr>
            </w:pPr>
          </w:p>
          <w:p w14:paraId="2F27EC7F">
            <w:pPr>
              <w:pStyle w:val="6"/>
              <w:spacing w:before="78" w:line="220" w:lineRule="auto"/>
              <w:ind w:left="590"/>
            </w:pPr>
            <w:r>
              <w:rPr>
                <w:spacing w:val="-1"/>
              </w:rPr>
              <w:t>项目选址为唯一方案，无比选方案。</w:t>
            </w:r>
          </w:p>
        </w:tc>
      </w:tr>
    </w:tbl>
    <w:p w14:paraId="4BB4663F">
      <w:pPr>
        <w:rPr>
          <w:rFonts w:ascii="Arial"/>
          <w:sz w:val="21"/>
        </w:rPr>
      </w:pPr>
    </w:p>
    <w:p w14:paraId="0F1B079E">
      <w:pPr>
        <w:rPr>
          <w:rFonts w:ascii="Arial" w:hAnsi="Arial" w:eastAsia="Arial" w:cs="Arial"/>
          <w:sz w:val="21"/>
          <w:szCs w:val="21"/>
        </w:rPr>
        <w:sectPr>
          <w:footerReference r:id="rId81" w:type="default"/>
          <w:pgSz w:w="11906" w:h="16839"/>
          <w:pgMar w:top="1431" w:right="1413" w:bottom="1276" w:left="1413" w:header="0" w:footer="1116" w:gutter="0"/>
          <w:cols w:space="720" w:num="1"/>
        </w:sectPr>
      </w:pPr>
    </w:p>
    <w:p w14:paraId="3E8FE583">
      <w:pPr>
        <w:spacing w:before="144" w:line="222" w:lineRule="auto"/>
        <w:ind w:left="1856"/>
        <w:outlineLvl w:val="0"/>
        <w:rPr>
          <w:rFonts w:ascii="黑体" w:hAnsi="黑体" w:eastAsia="黑体" w:cs="黑体"/>
          <w:sz w:val="30"/>
          <w:szCs w:val="30"/>
        </w:rPr>
      </w:pPr>
      <w:bookmarkStart w:id="15" w:name="bookmark8"/>
      <w:bookmarkEnd w:id="15"/>
      <w:bookmarkStart w:id="16" w:name="bookmark7"/>
      <w:bookmarkEnd w:id="16"/>
      <w:r>
        <w:rPr>
          <w:rFonts w:ascii="黑体" w:hAnsi="黑体" w:eastAsia="黑体" w:cs="黑体"/>
          <w:spacing w:val="-1"/>
          <w:sz w:val="30"/>
          <w:szCs w:val="30"/>
        </w:rPr>
        <w:t>三、生态环境现状、保护目标及评价标准</w:t>
      </w:r>
    </w:p>
    <w:p w14:paraId="7E031AF5">
      <w:pPr>
        <w:spacing w:line="223"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7BE6B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668" w:type="dxa"/>
            <w:tcBorders>
              <w:right w:val="single" w:color="000000" w:sz="2" w:space="0"/>
            </w:tcBorders>
            <w:textDirection w:val="tbRlV"/>
            <w:vAlign w:val="top"/>
          </w:tcPr>
          <w:p w14:paraId="372DFBB5">
            <w:pPr>
              <w:pStyle w:val="6"/>
              <w:spacing w:before="214" w:line="208" w:lineRule="auto"/>
              <w:ind w:left="5643"/>
            </w:pPr>
            <w:r>
              <w:rPr>
                <w:spacing w:val="59"/>
              </w:rPr>
              <w:t>生态环境现状</w:t>
            </w:r>
          </w:p>
        </w:tc>
        <w:tc>
          <w:tcPr>
            <w:tcW w:w="8396" w:type="dxa"/>
            <w:tcBorders>
              <w:left w:val="single" w:color="000000" w:sz="2" w:space="0"/>
            </w:tcBorders>
            <w:vAlign w:val="top"/>
          </w:tcPr>
          <w:p w14:paraId="6D5BA8FA">
            <w:pPr>
              <w:pStyle w:val="6"/>
              <w:spacing w:before="41" w:line="221" w:lineRule="auto"/>
              <w:ind w:left="595"/>
            </w:pPr>
            <w:r>
              <w:rPr>
                <w:rFonts w:ascii="Times New Roman" w:hAnsi="Times New Roman" w:eastAsia="Times New Roman" w:cs="Times New Roman"/>
                <w:b/>
                <w:bCs/>
                <w:spacing w:val="-7"/>
              </w:rPr>
              <w:t>1</w:t>
            </w:r>
            <w:r>
              <w:rPr>
                <w:rFonts w:ascii="Times New Roman" w:hAnsi="Times New Roman" w:eastAsia="Times New Roman" w:cs="Times New Roman"/>
                <w:b/>
                <w:bCs/>
                <w:spacing w:val="-30"/>
              </w:rPr>
              <w:t xml:space="preserve"> </w:t>
            </w:r>
            <w:r>
              <w:rPr>
                <w:b/>
                <w:bCs/>
                <w:spacing w:val="-7"/>
              </w:rPr>
              <w:t>、主体功能区规划</w:t>
            </w:r>
          </w:p>
          <w:p w14:paraId="63DD3126">
            <w:pPr>
              <w:pStyle w:val="6"/>
              <w:spacing w:before="178" w:line="345" w:lineRule="auto"/>
              <w:ind w:left="112" w:right="104" w:firstLine="480"/>
            </w:pPr>
            <w:r>
              <w:t>项目位于云南省云南省昆明市寻甸回族彝族自治县河口镇境内，根据《云</w:t>
            </w:r>
            <w:r>
              <w:rPr>
                <w:spacing w:val="7"/>
              </w:rPr>
              <w:t xml:space="preserve"> </w:t>
            </w:r>
            <w:r>
              <w:rPr>
                <w:spacing w:val="-1"/>
              </w:rPr>
              <w:t>南省主体功能区规划》，项目所在区域属于国家重点开发区域。</w:t>
            </w:r>
          </w:p>
          <w:p w14:paraId="4D91E3BD">
            <w:pPr>
              <w:pStyle w:val="6"/>
              <w:spacing w:before="36" w:line="355" w:lineRule="auto"/>
              <w:ind w:left="110" w:right="40" w:firstLine="482"/>
            </w:pPr>
            <w:r>
              <w:t>功能定位：我国面向西南开放重要桥头堡建设的核心区，连接东南亚、南</w:t>
            </w:r>
            <w:r>
              <w:rPr>
                <w:spacing w:val="7"/>
              </w:rPr>
              <w:t xml:space="preserve"> </w:t>
            </w:r>
            <w:r>
              <w:t>亚国家的陆路交通枢纽，面向东南亚、南亚对外开放的重要门户；全国重要的</w:t>
            </w:r>
            <w:r>
              <w:rPr>
                <w:spacing w:val="12"/>
              </w:rPr>
              <w:t xml:space="preserve"> </w:t>
            </w:r>
            <w:r>
              <w:t>烟草、旅游、文化、能源和商贸物流基地，以化工、有色冶炼加工、生物为重</w:t>
            </w:r>
            <w:r>
              <w:rPr>
                <w:spacing w:val="12"/>
              </w:rPr>
              <w:t xml:space="preserve"> </w:t>
            </w:r>
            <w:r>
              <w:t>点的区域性资源深加工基地，承接产业转移基地和外向型特色优势产业基地；</w:t>
            </w:r>
            <w:r>
              <w:rPr>
                <w:spacing w:val="12"/>
              </w:rPr>
              <w:t xml:space="preserve"> </w:t>
            </w:r>
            <w:r>
              <w:rPr>
                <w:spacing w:val="-5"/>
              </w:rPr>
              <w:t>我国城市化发展格局中特色鲜明的高原生态宜居城市群；全省跨越发展的引擎，</w:t>
            </w:r>
            <w:r>
              <w:rPr>
                <w:spacing w:val="9"/>
              </w:rPr>
              <w:t xml:space="preserve"> </w:t>
            </w:r>
            <w:r>
              <w:rPr>
                <w:spacing w:val="-1"/>
              </w:rPr>
              <w:t>我国西南地区重要的经济增长极。</w:t>
            </w:r>
          </w:p>
          <w:p w14:paraId="7BA195F0">
            <w:pPr>
              <w:pStyle w:val="6"/>
              <w:spacing w:before="32" w:line="220" w:lineRule="auto"/>
              <w:ind w:left="592"/>
            </w:pPr>
            <w:r>
              <w:rPr>
                <w:spacing w:val="-3"/>
              </w:rPr>
              <w:t>发展方向：</w:t>
            </w:r>
          </w:p>
          <w:p w14:paraId="55442077">
            <w:pPr>
              <w:pStyle w:val="6"/>
              <w:spacing w:before="182" w:line="331" w:lineRule="auto"/>
              <w:ind w:left="109" w:right="22" w:firstLine="491"/>
            </w:pPr>
            <w:r>
              <w:rPr>
                <w:spacing w:val="-9"/>
              </w:rPr>
              <w:t>（</w:t>
            </w:r>
            <w:r>
              <w:rPr>
                <w:rFonts w:ascii="Times New Roman" w:hAnsi="Times New Roman" w:eastAsia="Times New Roman" w:cs="Times New Roman"/>
                <w:spacing w:val="-9"/>
              </w:rPr>
              <w:t>1</w:t>
            </w:r>
            <w:r>
              <w:rPr>
                <w:spacing w:val="-9"/>
              </w:rPr>
              <w:t>）构建“一区、两带、四城、多点</w:t>
            </w:r>
            <w:r>
              <w:rPr>
                <w:spacing w:val="-88"/>
              </w:rPr>
              <w:t xml:space="preserve"> </w:t>
            </w:r>
            <w:r>
              <w:rPr>
                <w:spacing w:val="-9"/>
              </w:rPr>
              <w:t>”一体化的滇中城市经济圈空</w:t>
            </w:r>
            <w:r>
              <w:rPr>
                <w:spacing w:val="-10"/>
              </w:rPr>
              <w:t>间格局。</w:t>
            </w:r>
            <w:r>
              <w:t xml:space="preserve"> 加快滇中产业聚集区规划建设，促进形成昆（明）曲（靖）绿色经济示范带和</w:t>
            </w:r>
            <w:r>
              <w:rPr>
                <w:spacing w:val="11"/>
              </w:rPr>
              <w:t xml:space="preserve"> </w:t>
            </w:r>
            <w:r>
              <w:rPr>
                <w:spacing w:val="2"/>
              </w:rPr>
              <w:t>昆（明）玉（溪）旅游文化产业经济带，重点建设昆明、曲靖、玉溪</w:t>
            </w:r>
            <w:r>
              <w:rPr>
                <w:spacing w:val="1"/>
              </w:rPr>
              <w:t>、楚雄</w:t>
            </w:r>
            <w:r>
              <w:rPr>
                <w:spacing w:val="-51"/>
              </w:rPr>
              <w:t xml:space="preserve"> </w:t>
            </w:r>
            <w:r>
              <w:rPr>
                <w:rFonts w:ascii="Times New Roman" w:hAnsi="Times New Roman" w:eastAsia="Times New Roman" w:cs="Times New Roman"/>
                <w:spacing w:val="1"/>
              </w:rPr>
              <w:t>4</w:t>
            </w:r>
            <w:r>
              <w:rPr>
                <w:rFonts w:ascii="Times New Roman" w:hAnsi="Times New Roman" w:eastAsia="Times New Roman" w:cs="Times New Roman"/>
              </w:rPr>
              <w:t xml:space="preserve">  </w:t>
            </w:r>
            <w:r>
              <w:t>个中心城市，将以县城为重点的城市和小城镇打造为经济圈城市化、工业化发</w:t>
            </w:r>
            <w:r>
              <w:rPr>
                <w:spacing w:val="13"/>
              </w:rPr>
              <w:t xml:space="preserve"> </w:t>
            </w:r>
            <w:r>
              <w:rPr>
                <w:spacing w:val="-2"/>
              </w:rPr>
              <w:t>展的重要支撑。以主要快速交通为纽带，打造</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5"/>
                <w:w w:val="101"/>
              </w:rPr>
              <w:t xml:space="preserve"> </w:t>
            </w:r>
            <w:r>
              <w:rPr>
                <w:spacing w:val="-2"/>
              </w:rPr>
              <w:t>小时经济圈。</w:t>
            </w:r>
          </w:p>
          <w:p w14:paraId="386AF546">
            <w:pPr>
              <w:pStyle w:val="6"/>
              <w:spacing w:before="182" w:line="289" w:lineRule="auto"/>
              <w:ind w:left="112" w:right="43" w:firstLine="488"/>
            </w:pPr>
            <w:r>
              <w:rPr>
                <w:spacing w:val="-9"/>
              </w:rPr>
              <w:t>（</w:t>
            </w:r>
            <w:r>
              <w:rPr>
                <w:rFonts w:ascii="Times New Roman" w:hAnsi="Times New Roman" w:eastAsia="Times New Roman" w:cs="Times New Roman"/>
                <w:spacing w:val="-9"/>
              </w:rPr>
              <w:t>2</w:t>
            </w:r>
            <w:r>
              <w:rPr>
                <w:spacing w:val="-9"/>
              </w:rPr>
              <w:t>）强化昆明的科技创新、商贸流通、信息、旅游、文化和综合服务功能，</w:t>
            </w:r>
            <w:r>
              <w:rPr>
                <w:spacing w:val="7"/>
              </w:rPr>
              <w:t xml:space="preserve"> </w:t>
            </w:r>
            <w:r>
              <w:t>建设区域性国际交通枢纽、商贸物流中心、</w:t>
            </w:r>
            <w:r>
              <w:rPr>
                <w:spacing w:val="-1"/>
              </w:rPr>
              <w:t>历史文化名城、山水园林城市。</w:t>
            </w:r>
          </w:p>
          <w:p w14:paraId="07F968DD">
            <w:pPr>
              <w:pStyle w:val="6"/>
              <w:spacing w:before="179" w:line="290" w:lineRule="auto"/>
              <w:ind w:left="110" w:right="22" w:firstLine="490"/>
            </w:pPr>
            <w:r>
              <w:rPr>
                <w:spacing w:val="-4"/>
              </w:rPr>
              <w:t>（</w:t>
            </w:r>
            <w:r>
              <w:rPr>
                <w:rFonts w:ascii="Times New Roman" w:hAnsi="Times New Roman" w:eastAsia="Times New Roman" w:cs="Times New Roman"/>
                <w:spacing w:val="-4"/>
              </w:rPr>
              <w:t>3</w:t>
            </w:r>
            <w:r>
              <w:rPr>
                <w:spacing w:val="-4"/>
              </w:rPr>
              <w:t>）曲靖、玉溪和楚雄等城市应依托资源特点和比较优势，加强产业分工</w:t>
            </w:r>
            <w:r>
              <w:rPr>
                <w:spacing w:val="14"/>
              </w:rPr>
              <w:t xml:space="preserve"> </w:t>
            </w:r>
            <w:r>
              <w:rPr>
                <w:spacing w:val="-4"/>
              </w:rPr>
              <w:t>协作和对接，实现优势互补、错位发展，形成民族特色和产业</w:t>
            </w:r>
            <w:r>
              <w:rPr>
                <w:spacing w:val="-5"/>
              </w:rPr>
              <w:t>特色鲜明的城市。</w:t>
            </w:r>
          </w:p>
          <w:p w14:paraId="0107ED64">
            <w:pPr>
              <w:pStyle w:val="6"/>
              <w:spacing w:before="182" w:line="289" w:lineRule="auto"/>
              <w:ind w:left="110" w:right="102" w:firstLine="490"/>
            </w:pPr>
            <w:r>
              <w:rPr>
                <w:spacing w:val="-4"/>
              </w:rPr>
              <w:t>（</w:t>
            </w:r>
            <w:r>
              <w:rPr>
                <w:rFonts w:ascii="Times New Roman" w:hAnsi="Times New Roman" w:eastAsia="Times New Roman" w:cs="Times New Roman"/>
                <w:spacing w:val="-4"/>
              </w:rPr>
              <w:t>4</w:t>
            </w:r>
            <w:r>
              <w:rPr>
                <w:spacing w:val="-4"/>
              </w:rPr>
              <w:t>）完善国际运输大通道，强化面向东南亚、南亚陆路枢纽功能。加强区</w:t>
            </w:r>
            <w:r>
              <w:rPr>
                <w:spacing w:val="14"/>
              </w:rPr>
              <w:t xml:space="preserve"> </w:t>
            </w:r>
            <w:r>
              <w:t>域内城际快速轨道交通、通信等基础设施建</w:t>
            </w:r>
            <w:r>
              <w:rPr>
                <w:spacing w:val="-1"/>
              </w:rPr>
              <w:t>设，提升区域一体化水平。</w:t>
            </w:r>
          </w:p>
          <w:p w14:paraId="7CB42800">
            <w:pPr>
              <w:pStyle w:val="6"/>
              <w:spacing w:before="185" w:line="312" w:lineRule="auto"/>
              <w:ind w:left="109" w:right="102" w:firstLine="491"/>
            </w:pPr>
            <w:r>
              <w:rPr>
                <w:spacing w:val="-4"/>
              </w:rPr>
              <w:t>（</w:t>
            </w:r>
            <w:r>
              <w:rPr>
                <w:rFonts w:ascii="Times New Roman" w:hAnsi="Times New Roman" w:eastAsia="Times New Roman" w:cs="Times New Roman"/>
                <w:spacing w:val="-4"/>
              </w:rPr>
              <w:t>5</w:t>
            </w:r>
            <w:r>
              <w:rPr>
                <w:spacing w:val="-4"/>
              </w:rPr>
              <w:t>）建设高原特色农产品生产基地，发展农产品加工业，稳步提高农产品</w:t>
            </w:r>
            <w:r>
              <w:rPr>
                <w:spacing w:val="14"/>
              </w:rPr>
              <w:t xml:space="preserve"> </w:t>
            </w:r>
            <w:r>
              <w:t>质量和效益，推进与周边国家的农业合作，建设外销精细蔬菜生产基地、温带</w:t>
            </w:r>
            <w:r>
              <w:rPr>
                <w:spacing w:val="13"/>
              </w:rPr>
              <w:t xml:space="preserve"> </w:t>
            </w:r>
            <w:r>
              <w:rPr>
                <w:spacing w:val="-1"/>
              </w:rPr>
              <w:t>鲜切花生产基地和高效林业基地。</w:t>
            </w:r>
          </w:p>
          <w:p w14:paraId="7335DDDE">
            <w:pPr>
              <w:pStyle w:val="6"/>
              <w:spacing w:before="183" w:line="324" w:lineRule="auto"/>
              <w:ind w:left="109" w:right="64" w:firstLine="491"/>
            </w:pPr>
            <w:r>
              <w:rPr>
                <w:spacing w:val="-3"/>
              </w:rPr>
              <w:t>（</w:t>
            </w:r>
            <w:r>
              <w:rPr>
                <w:rFonts w:ascii="Times New Roman" w:hAnsi="Times New Roman" w:eastAsia="Times New Roman" w:cs="Times New Roman"/>
                <w:spacing w:val="-3"/>
              </w:rPr>
              <w:t>6</w:t>
            </w:r>
            <w:r>
              <w:rPr>
                <w:spacing w:val="-3"/>
              </w:rPr>
              <w:t>）加强以滇池、抚仙湖为重点的高原湖泊治理和牛栏江上游水源保护，</w:t>
            </w:r>
            <w:r>
              <w:rPr>
                <w:spacing w:val="18"/>
              </w:rPr>
              <w:t xml:space="preserve"> </w:t>
            </w:r>
            <w:r>
              <w:rPr>
                <w:spacing w:val="1"/>
              </w:rPr>
              <w:t>加大水土流失和石漠化防治力度，构建以高原湖泊为主体，林地、水面相连，</w:t>
            </w:r>
            <w:r>
              <w:rPr>
                <w:spacing w:val="8"/>
              </w:rPr>
              <w:t xml:space="preserve"> </w:t>
            </w:r>
            <w:r>
              <w:t>带状环绕、块状相间的高原生态格局。进一步加强跨界水污染和区域性大气复</w:t>
            </w:r>
            <w:r>
              <w:rPr>
                <w:spacing w:val="13"/>
              </w:rPr>
              <w:t xml:space="preserve"> </w:t>
            </w:r>
            <w:r>
              <w:t>合污染整治，废弃物处置、金属污染治理，森林火灾、野生动植物疫源疫病、</w:t>
            </w:r>
          </w:p>
        </w:tc>
      </w:tr>
    </w:tbl>
    <w:p w14:paraId="5D57B6D7">
      <w:pPr>
        <w:rPr>
          <w:rFonts w:ascii="Arial"/>
          <w:sz w:val="21"/>
        </w:rPr>
      </w:pPr>
    </w:p>
    <w:p w14:paraId="58674F2A">
      <w:pPr>
        <w:rPr>
          <w:rFonts w:ascii="Arial" w:hAnsi="Arial" w:eastAsia="Arial" w:cs="Arial"/>
          <w:sz w:val="21"/>
          <w:szCs w:val="21"/>
        </w:rPr>
        <w:sectPr>
          <w:footerReference r:id="rId82" w:type="default"/>
          <w:pgSz w:w="11906" w:h="16839"/>
          <w:pgMar w:top="1431" w:right="1413" w:bottom="1278" w:left="1413" w:header="0" w:footer="1116" w:gutter="0"/>
          <w:cols w:space="720" w:num="1"/>
        </w:sectPr>
      </w:pPr>
    </w:p>
    <w:p w14:paraId="621589B6">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292E0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58" w:hRule="atLeast"/>
        </w:trPr>
        <w:tc>
          <w:tcPr>
            <w:tcW w:w="668" w:type="dxa"/>
            <w:tcBorders>
              <w:bottom w:val="single" w:color="000000" w:sz="4" w:space="0"/>
              <w:right w:val="single" w:color="000000" w:sz="2" w:space="0"/>
            </w:tcBorders>
            <w:vAlign w:val="top"/>
          </w:tcPr>
          <w:p w14:paraId="56C83F82">
            <w:pPr>
              <w:rPr>
                <w:rFonts w:ascii="Arial"/>
                <w:sz w:val="21"/>
              </w:rPr>
            </w:pPr>
          </w:p>
        </w:tc>
        <w:tc>
          <w:tcPr>
            <w:tcW w:w="8396" w:type="dxa"/>
            <w:tcBorders>
              <w:left w:val="single" w:color="000000" w:sz="2" w:space="0"/>
              <w:bottom w:val="single" w:color="000000" w:sz="4" w:space="0"/>
            </w:tcBorders>
            <w:vAlign w:val="top"/>
          </w:tcPr>
          <w:p w14:paraId="68B89CC2">
            <w:pPr>
              <w:pStyle w:val="6"/>
              <w:spacing w:before="42" w:line="219" w:lineRule="auto"/>
              <w:ind w:left="110"/>
            </w:pPr>
            <w:r>
              <w:rPr>
                <w:spacing w:val="-1"/>
              </w:rPr>
              <w:t>有害生物防范等为重点的区域生态安全联防联控力度。</w:t>
            </w:r>
          </w:p>
          <w:p w14:paraId="052FE9A8">
            <w:pPr>
              <w:pStyle w:val="6"/>
              <w:spacing w:before="180" w:line="219" w:lineRule="auto"/>
              <w:ind w:left="585"/>
            </w:pPr>
            <w:r>
              <w:rPr>
                <w:rFonts w:ascii="Times New Roman" w:hAnsi="Times New Roman" w:eastAsia="Times New Roman" w:cs="Times New Roman"/>
                <w:b/>
                <w:bCs/>
                <w:spacing w:val="-4"/>
              </w:rPr>
              <w:t>2</w:t>
            </w:r>
            <w:r>
              <w:rPr>
                <w:rFonts w:ascii="Times New Roman" w:hAnsi="Times New Roman" w:eastAsia="Times New Roman" w:cs="Times New Roman"/>
                <w:b/>
                <w:bCs/>
                <w:spacing w:val="-24"/>
              </w:rPr>
              <w:t xml:space="preserve"> </w:t>
            </w:r>
            <w:r>
              <w:rPr>
                <w:b/>
                <w:bCs/>
                <w:spacing w:val="-4"/>
              </w:rPr>
              <w:t>、与《云南省生态功能区划》的符合性</w:t>
            </w:r>
          </w:p>
          <w:p w14:paraId="0CC3137E">
            <w:pPr>
              <w:pStyle w:val="6"/>
              <w:spacing w:before="179" w:line="353" w:lineRule="auto"/>
              <w:ind w:left="109" w:right="22" w:firstLine="485"/>
              <w:jc w:val="both"/>
            </w:pPr>
            <w:r>
              <w:rPr>
                <w:spacing w:val="-4"/>
              </w:rPr>
              <w:t>《云南省生态功能区划》由原云南省环境保护厅于</w:t>
            </w:r>
            <w:r>
              <w:rPr>
                <w:rFonts w:ascii="Times New Roman" w:hAnsi="Times New Roman" w:eastAsia="Times New Roman" w:cs="Times New Roman"/>
                <w:spacing w:val="-4"/>
              </w:rPr>
              <w:t>2009</w:t>
            </w:r>
            <w:r>
              <w:rPr>
                <w:spacing w:val="-4"/>
              </w:rPr>
              <w:t>年</w:t>
            </w:r>
            <w:r>
              <w:rPr>
                <w:rFonts w:ascii="Times New Roman" w:hAnsi="Times New Roman" w:eastAsia="Times New Roman" w:cs="Times New Roman"/>
                <w:spacing w:val="-5"/>
              </w:rPr>
              <w:t>9</w:t>
            </w:r>
            <w:r>
              <w:rPr>
                <w:spacing w:val="-5"/>
              </w:rPr>
              <w:t>月</w:t>
            </w:r>
            <w:r>
              <w:rPr>
                <w:rFonts w:ascii="Times New Roman" w:hAnsi="Times New Roman" w:eastAsia="Times New Roman" w:cs="Times New Roman"/>
                <w:spacing w:val="-5"/>
              </w:rPr>
              <w:t>7</w:t>
            </w:r>
            <w:r>
              <w:rPr>
                <w:spacing w:val="-5"/>
              </w:rPr>
              <w:t>日发布实施。</w:t>
            </w:r>
            <w:r>
              <w:t xml:space="preserve"> </w:t>
            </w:r>
            <w:r>
              <w:rPr>
                <w:spacing w:val="-3"/>
              </w:rPr>
              <w:t>根据《云南省生态功能区划》云南省生态功能区共分一级区（生态区）</w:t>
            </w:r>
            <w:r>
              <w:rPr>
                <w:rFonts w:ascii="Times New Roman" w:hAnsi="Times New Roman" w:eastAsia="Times New Roman" w:cs="Times New Roman"/>
                <w:spacing w:val="-4"/>
              </w:rPr>
              <w:t>5</w:t>
            </w:r>
            <w:r>
              <w:rPr>
                <w:spacing w:val="-4"/>
              </w:rPr>
              <w:t>个，二</w:t>
            </w:r>
            <w:r>
              <w:t xml:space="preserve"> 级区（生态亚区）</w:t>
            </w:r>
            <w:r>
              <w:rPr>
                <w:rFonts w:ascii="Times New Roman" w:hAnsi="Times New Roman" w:eastAsia="Times New Roman" w:cs="Times New Roman"/>
              </w:rPr>
              <w:t>19</w:t>
            </w:r>
            <w:r>
              <w:t>个，三级区（生态功能区）</w:t>
            </w:r>
            <w:r>
              <w:rPr>
                <w:rFonts w:ascii="Times New Roman" w:hAnsi="Times New Roman" w:eastAsia="Times New Roman" w:cs="Times New Roman"/>
              </w:rPr>
              <w:t>65</w:t>
            </w:r>
            <w:r>
              <w:t>个。项目在云南省生态功能</w:t>
            </w:r>
            <w:r>
              <w:rPr>
                <w:spacing w:val="11"/>
              </w:rPr>
              <w:t xml:space="preserve"> </w:t>
            </w:r>
            <w:r>
              <w:rPr>
                <w:spacing w:val="-1"/>
              </w:rPr>
              <w:t>区划情况，见表</w:t>
            </w:r>
            <w:r>
              <w:rPr>
                <w:rFonts w:ascii="Times New Roman" w:hAnsi="Times New Roman" w:eastAsia="Times New Roman" w:cs="Times New Roman"/>
                <w:spacing w:val="-1"/>
              </w:rPr>
              <w:t>3-1</w:t>
            </w:r>
            <w:r>
              <w:rPr>
                <w:spacing w:val="-1"/>
              </w:rPr>
              <w:t>。</w:t>
            </w:r>
          </w:p>
          <w:p w14:paraId="0497CC2D">
            <w:pPr>
              <w:pStyle w:val="6"/>
              <w:spacing w:before="30" w:line="223" w:lineRule="auto"/>
              <w:ind w:left="2557"/>
              <w:rPr>
                <w:sz w:val="20"/>
                <w:szCs w:val="20"/>
              </w:rPr>
            </w:pPr>
            <w:r>
              <w:rPr>
                <w:b/>
                <w:bCs/>
                <w:spacing w:val="6"/>
                <w:sz w:val="20"/>
                <w:szCs w:val="20"/>
              </w:rPr>
              <w:t>表</w:t>
            </w:r>
            <w:r>
              <w:rPr>
                <w:spacing w:val="-42"/>
                <w:sz w:val="20"/>
                <w:szCs w:val="20"/>
              </w:rPr>
              <w:t xml:space="preserve"> </w:t>
            </w:r>
            <w:r>
              <w:rPr>
                <w:rFonts w:ascii="Times New Roman" w:hAnsi="Times New Roman" w:eastAsia="Times New Roman" w:cs="Times New Roman"/>
                <w:b/>
                <w:bCs/>
                <w:spacing w:val="6"/>
                <w:sz w:val="20"/>
                <w:szCs w:val="20"/>
              </w:rPr>
              <w:t xml:space="preserve">3-1    </w:t>
            </w:r>
            <w:r>
              <w:rPr>
                <w:b/>
                <w:bCs/>
                <w:spacing w:val="6"/>
                <w:sz w:val="20"/>
                <w:szCs w:val="20"/>
              </w:rPr>
              <w:t>项目所在区域生态功能区划</w:t>
            </w:r>
          </w:p>
          <w:tbl>
            <w:tblPr>
              <w:tblStyle w:val="5"/>
              <w:tblW w:w="8179"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960"/>
              <w:gridCol w:w="841"/>
              <w:gridCol w:w="943"/>
              <w:gridCol w:w="1414"/>
              <w:gridCol w:w="720"/>
              <w:gridCol w:w="672"/>
              <w:gridCol w:w="671"/>
              <w:gridCol w:w="1151"/>
            </w:tblGrid>
            <w:tr w14:paraId="210BD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608" w:type="dxa"/>
                  <w:gridSpan w:val="3"/>
                  <w:vAlign w:val="top"/>
                </w:tcPr>
                <w:p w14:paraId="4CF513CC">
                  <w:pPr>
                    <w:pStyle w:val="6"/>
                    <w:spacing w:before="97" w:line="228" w:lineRule="auto"/>
                    <w:ind w:left="469"/>
                    <w:rPr>
                      <w:sz w:val="20"/>
                      <w:szCs w:val="20"/>
                    </w:rPr>
                  </w:pPr>
                  <w:r>
                    <w:rPr>
                      <w:b/>
                      <w:bCs/>
                      <w:spacing w:val="7"/>
                      <w:sz w:val="20"/>
                      <w:szCs w:val="20"/>
                    </w:rPr>
                    <w:t>生态功能分区单元</w:t>
                  </w:r>
                </w:p>
              </w:tc>
              <w:tc>
                <w:tcPr>
                  <w:tcW w:w="943" w:type="dxa"/>
                  <w:vMerge w:val="restart"/>
                  <w:tcBorders>
                    <w:bottom w:val="nil"/>
                  </w:tcBorders>
                  <w:vAlign w:val="top"/>
                </w:tcPr>
                <w:p w14:paraId="11056B12">
                  <w:pPr>
                    <w:spacing w:line="376" w:lineRule="auto"/>
                    <w:rPr>
                      <w:rFonts w:ascii="Arial"/>
                      <w:sz w:val="21"/>
                    </w:rPr>
                  </w:pPr>
                </w:p>
                <w:p w14:paraId="6DB1A543">
                  <w:pPr>
                    <w:pStyle w:val="6"/>
                    <w:spacing w:before="65"/>
                    <w:ind w:left="160" w:right="153"/>
                    <w:rPr>
                      <w:sz w:val="20"/>
                      <w:szCs w:val="20"/>
                    </w:rPr>
                  </w:pPr>
                  <w:r>
                    <w:rPr>
                      <w:b/>
                      <w:bCs/>
                      <w:spacing w:val="5"/>
                      <w:sz w:val="20"/>
                      <w:szCs w:val="20"/>
                    </w:rPr>
                    <w:t>所在区</w:t>
                  </w:r>
                  <w:r>
                    <w:rPr>
                      <w:sz w:val="20"/>
                      <w:szCs w:val="20"/>
                    </w:rPr>
                    <w:t xml:space="preserve"> </w:t>
                  </w:r>
                  <w:r>
                    <w:rPr>
                      <w:b/>
                      <w:bCs/>
                      <w:spacing w:val="5"/>
                      <w:sz w:val="20"/>
                      <w:szCs w:val="20"/>
                    </w:rPr>
                    <w:t>域面积</w:t>
                  </w:r>
                </w:p>
              </w:tc>
              <w:tc>
                <w:tcPr>
                  <w:tcW w:w="1414" w:type="dxa"/>
                  <w:vMerge w:val="restart"/>
                  <w:tcBorders>
                    <w:bottom w:val="nil"/>
                  </w:tcBorders>
                  <w:vAlign w:val="top"/>
                </w:tcPr>
                <w:p w14:paraId="310DF965">
                  <w:pPr>
                    <w:spacing w:line="375" w:lineRule="auto"/>
                    <w:rPr>
                      <w:rFonts w:ascii="Arial"/>
                      <w:sz w:val="21"/>
                    </w:rPr>
                  </w:pPr>
                </w:p>
                <w:p w14:paraId="49B03732">
                  <w:pPr>
                    <w:pStyle w:val="6"/>
                    <w:spacing w:before="65"/>
                    <w:ind w:left="612" w:right="178" w:hanging="423"/>
                    <w:rPr>
                      <w:sz w:val="20"/>
                      <w:szCs w:val="20"/>
                    </w:rPr>
                  </w:pPr>
                  <w:r>
                    <w:rPr>
                      <w:b/>
                      <w:bCs/>
                      <w:spacing w:val="6"/>
                      <w:sz w:val="20"/>
                      <w:szCs w:val="20"/>
                    </w:rPr>
                    <w:t>主要生态特</w:t>
                  </w:r>
                  <w:r>
                    <w:rPr>
                      <w:sz w:val="20"/>
                      <w:szCs w:val="20"/>
                    </w:rPr>
                    <w:t xml:space="preserve"> </w:t>
                  </w:r>
                  <w:r>
                    <w:rPr>
                      <w:b/>
                      <w:bCs/>
                      <w:spacing w:val="-3"/>
                      <w:sz w:val="20"/>
                      <w:szCs w:val="20"/>
                    </w:rPr>
                    <w:t>征</w:t>
                  </w:r>
                </w:p>
              </w:tc>
              <w:tc>
                <w:tcPr>
                  <w:tcW w:w="720" w:type="dxa"/>
                  <w:vMerge w:val="restart"/>
                  <w:tcBorders>
                    <w:bottom w:val="nil"/>
                  </w:tcBorders>
                  <w:vAlign w:val="top"/>
                </w:tcPr>
                <w:p w14:paraId="2D68B68D">
                  <w:pPr>
                    <w:pStyle w:val="6"/>
                    <w:spacing w:before="170" w:line="246" w:lineRule="auto"/>
                    <w:ind w:left="155" w:right="147" w:firstLine="1"/>
                    <w:jc w:val="both"/>
                    <w:rPr>
                      <w:sz w:val="20"/>
                      <w:szCs w:val="20"/>
                    </w:rPr>
                  </w:pPr>
                  <w:r>
                    <w:rPr>
                      <w:b/>
                      <w:bCs/>
                      <w:spacing w:val="3"/>
                      <w:sz w:val="20"/>
                      <w:szCs w:val="20"/>
                    </w:rPr>
                    <w:t>主要</w:t>
                  </w:r>
                  <w:r>
                    <w:rPr>
                      <w:sz w:val="20"/>
                      <w:szCs w:val="20"/>
                    </w:rPr>
                    <w:t xml:space="preserve"> </w:t>
                  </w:r>
                  <w:r>
                    <w:rPr>
                      <w:b/>
                      <w:bCs/>
                      <w:spacing w:val="3"/>
                      <w:sz w:val="20"/>
                      <w:szCs w:val="20"/>
                    </w:rPr>
                    <w:t>生态</w:t>
                  </w:r>
                  <w:r>
                    <w:rPr>
                      <w:sz w:val="20"/>
                      <w:szCs w:val="20"/>
                    </w:rPr>
                    <w:t xml:space="preserve"> </w:t>
                  </w:r>
                  <w:r>
                    <w:rPr>
                      <w:b/>
                      <w:bCs/>
                      <w:spacing w:val="3"/>
                      <w:sz w:val="20"/>
                      <w:szCs w:val="20"/>
                    </w:rPr>
                    <w:t>环境</w:t>
                  </w:r>
                  <w:r>
                    <w:rPr>
                      <w:sz w:val="20"/>
                      <w:szCs w:val="20"/>
                    </w:rPr>
                    <w:t xml:space="preserve"> </w:t>
                  </w:r>
                  <w:r>
                    <w:rPr>
                      <w:b/>
                      <w:bCs/>
                      <w:spacing w:val="3"/>
                      <w:sz w:val="20"/>
                      <w:szCs w:val="20"/>
                    </w:rPr>
                    <w:t>问题</w:t>
                  </w:r>
                </w:p>
              </w:tc>
              <w:tc>
                <w:tcPr>
                  <w:tcW w:w="672" w:type="dxa"/>
                  <w:vMerge w:val="restart"/>
                  <w:tcBorders>
                    <w:bottom w:val="nil"/>
                  </w:tcBorders>
                  <w:vAlign w:val="top"/>
                </w:tcPr>
                <w:p w14:paraId="0AA6EF01">
                  <w:pPr>
                    <w:pStyle w:val="6"/>
                    <w:spacing w:before="171" w:line="233" w:lineRule="auto"/>
                    <w:ind w:left="133"/>
                    <w:rPr>
                      <w:sz w:val="20"/>
                      <w:szCs w:val="20"/>
                    </w:rPr>
                  </w:pPr>
                  <w:r>
                    <w:rPr>
                      <w:b/>
                      <w:bCs/>
                      <w:spacing w:val="3"/>
                      <w:sz w:val="20"/>
                      <w:szCs w:val="20"/>
                    </w:rPr>
                    <w:t>生态</w:t>
                  </w:r>
                </w:p>
                <w:p w14:paraId="324EB39F">
                  <w:pPr>
                    <w:pStyle w:val="6"/>
                    <w:spacing w:before="19" w:line="228" w:lineRule="auto"/>
                    <w:ind w:left="131"/>
                    <w:rPr>
                      <w:sz w:val="20"/>
                      <w:szCs w:val="20"/>
                    </w:rPr>
                  </w:pPr>
                  <w:r>
                    <w:rPr>
                      <w:b/>
                      <w:bCs/>
                      <w:spacing w:val="3"/>
                      <w:sz w:val="20"/>
                      <w:szCs w:val="20"/>
                    </w:rPr>
                    <w:t>环境</w:t>
                  </w:r>
                </w:p>
                <w:p w14:paraId="52C523C0">
                  <w:pPr>
                    <w:pStyle w:val="6"/>
                    <w:spacing w:before="23" w:line="228" w:lineRule="auto"/>
                    <w:ind w:left="132"/>
                    <w:rPr>
                      <w:sz w:val="20"/>
                      <w:szCs w:val="20"/>
                    </w:rPr>
                  </w:pPr>
                  <w:r>
                    <w:rPr>
                      <w:b/>
                      <w:bCs/>
                      <w:spacing w:val="3"/>
                      <w:sz w:val="20"/>
                      <w:szCs w:val="20"/>
                    </w:rPr>
                    <w:t>敏感</w:t>
                  </w:r>
                </w:p>
                <w:p w14:paraId="066F5E7D">
                  <w:pPr>
                    <w:pStyle w:val="6"/>
                    <w:spacing w:before="27" w:line="229" w:lineRule="auto"/>
                    <w:ind w:left="240"/>
                    <w:rPr>
                      <w:sz w:val="20"/>
                      <w:szCs w:val="20"/>
                    </w:rPr>
                  </w:pPr>
                  <w:r>
                    <w:rPr>
                      <w:b/>
                      <w:bCs/>
                      <w:spacing w:val="-3"/>
                      <w:sz w:val="20"/>
                      <w:szCs w:val="20"/>
                    </w:rPr>
                    <w:t>性</w:t>
                  </w:r>
                </w:p>
              </w:tc>
              <w:tc>
                <w:tcPr>
                  <w:tcW w:w="671" w:type="dxa"/>
                  <w:vMerge w:val="restart"/>
                  <w:tcBorders>
                    <w:bottom w:val="nil"/>
                  </w:tcBorders>
                  <w:vAlign w:val="top"/>
                </w:tcPr>
                <w:p w14:paraId="38355BB6">
                  <w:pPr>
                    <w:pStyle w:val="6"/>
                    <w:spacing w:before="37" w:line="244" w:lineRule="auto"/>
                    <w:ind w:left="131" w:right="122" w:firstLine="1"/>
                    <w:jc w:val="both"/>
                    <w:rPr>
                      <w:sz w:val="20"/>
                      <w:szCs w:val="20"/>
                    </w:rPr>
                  </w:pPr>
                  <w:r>
                    <w:rPr>
                      <w:b/>
                      <w:bCs/>
                      <w:spacing w:val="3"/>
                      <w:sz w:val="20"/>
                      <w:szCs w:val="20"/>
                    </w:rPr>
                    <w:t>主要</w:t>
                  </w:r>
                  <w:r>
                    <w:rPr>
                      <w:sz w:val="20"/>
                      <w:szCs w:val="20"/>
                    </w:rPr>
                    <w:t xml:space="preserve"> </w:t>
                  </w:r>
                  <w:r>
                    <w:rPr>
                      <w:b/>
                      <w:bCs/>
                      <w:spacing w:val="3"/>
                      <w:sz w:val="20"/>
                      <w:szCs w:val="20"/>
                    </w:rPr>
                    <w:t>生态</w:t>
                  </w:r>
                  <w:r>
                    <w:rPr>
                      <w:sz w:val="20"/>
                      <w:szCs w:val="20"/>
                    </w:rPr>
                    <w:t xml:space="preserve"> </w:t>
                  </w:r>
                  <w:r>
                    <w:rPr>
                      <w:b/>
                      <w:bCs/>
                      <w:spacing w:val="3"/>
                      <w:sz w:val="20"/>
                      <w:szCs w:val="20"/>
                    </w:rPr>
                    <w:t>系统</w:t>
                  </w:r>
                  <w:r>
                    <w:rPr>
                      <w:sz w:val="20"/>
                      <w:szCs w:val="20"/>
                    </w:rPr>
                    <w:t xml:space="preserve"> </w:t>
                  </w:r>
                  <w:r>
                    <w:rPr>
                      <w:b/>
                      <w:bCs/>
                      <w:spacing w:val="3"/>
                      <w:sz w:val="20"/>
                      <w:szCs w:val="20"/>
                    </w:rPr>
                    <w:t>服务</w:t>
                  </w:r>
                  <w:r>
                    <w:rPr>
                      <w:sz w:val="20"/>
                      <w:szCs w:val="20"/>
                    </w:rPr>
                    <w:t xml:space="preserve"> </w:t>
                  </w:r>
                  <w:r>
                    <w:rPr>
                      <w:b/>
                      <w:bCs/>
                      <w:spacing w:val="3"/>
                      <w:sz w:val="20"/>
                      <w:szCs w:val="20"/>
                    </w:rPr>
                    <w:t>功能</w:t>
                  </w:r>
                </w:p>
              </w:tc>
              <w:tc>
                <w:tcPr>
                  <w:tcW w:w="1151" w:type="dxa"/>
                  <w:vMerge w:val="restart"/>
                  <w:tcBorders>
                    <w:bottom w:val="nil"/>
                  </w:tcBorders>
                  <w:vAlign w:val="top"/>
                </w:tcPr>
                <w:p w14:paraId="36A31B8C">
                  <w:pPr>
                    <w:pStyle w:val="6"/>
                    <w:spacing w:before="306" w:line="228" w:lineRule="auto"/>
                    <w:ind w:left="160"/>
                    <w:rPr>
                      <w:sz w:val="20"/>
                      <w:szCs w:val="20"/>
                    </w:rPr>
                  </w:pPr>
                  <w:r>
                    <w:rPr>
                      <w:b/>
                      <w:bCs/>
                      <w:spacing w:val="6"/>
                      <w:sz w:val="20"/>
                      <w:szCs w:val="20"/>
                    </w:rPr>
                    <w:t>保护措施</w:t>
                  </w:r>
                </w:p>
                <w:p w14:paraId="61BA7500">
                  <w:pPr>
                    <w:pStyle w:val="6"/>
                    <w:spacing w:before="26" w:line="228" w:lineRule="auto"/>
                    <w:ind w:left="163"/>
                    <w:rPr>
                      <w:sz w:val="20"/>
                      <w:szCs w:val="20"/>
                    </w:rPr>
                  </w:pPr>
                  <w:r>
                    <w:rPr>
                      <w:b/>
                      <w:bCs/>
                      <w:spacing w:val="5"/>
                      <w:sz w:val="20"/>
                      <w:szCs w:val="20"/>
                    </w:rPr>
                    <w:t>与发展方</w:t>
                  </w:r>
                </w:p>
                <w:p w14:paraId="573DE423">
                  <w:pPr>
                    <w:pStyle w:val="6"/>
                    <w:spacing w:before="23" w:line="229" w:lineRule="auto"/>
                    <w:ind w:left="497"/>
                    <w:rPr>
                      <w:sz w:val="20"/>
                      <w:szCs w:val="20"/>
                    </w:rPr>
                  </w:pPr>
                  <w:r>
                    <w:rPr>
                      <w:b/>
                      <w:bCs/>
                      <w:spacing w:val="-3"/>
                      <w:sz w:val="20"/>
                      <w:szCs w:val="20"/>
                    </w:rPr>
                    <w:t>向</w:t>
                  </w:r>
                </w:p>
              </w:tc>
            </w:tr>
            <w:tr w14:paraId="51A99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807" w:type="dxa"/>
                  <w:vAlign w:val="top"/>
                </w:tcPr>
                <w:p w14:paraId="353AAFA1">
                  <w:pPr>
                    <w:pStyle w:val="6"/>
                    <w:spacing w:before="234" w:line="242" w:lineRule="auto"/>
                    <w:ind w:left="319" w:right="191" w:hanging="119"/>
                    <w:rPr>
                      <w:sz w:val="20"/>
                      <w:szCs w:val="20"/>
                    </w:rPr>
                  </w:pPr>
                  <w:r>
                    <w:rPr>
                      <w:b/>
                      <w:bCs/>
                      <w:spacing w:val="3"/>
                      <w:sz w:val="20"/>
                      <w:szCs w:val="20"/>
                    </w:rPr>
                    <w:t>生态</w:t>
                  </w:r>
                  <w:r>
                    <w:rPr>
                      <w:sz w:val="20"/>
                      <w:szCs w:val="20"/>
                    </w:rPr>
                    <w:t xml:space="preserve"> </w:t>
                  </w:r>
                  <w:r>
                    <w:rPr>
                      <w:b/>
                      <w:bCs/>
                      <w:spacing w:val="-3"/>
                      <w:sz w:val="20"/>
                      <w:szCs w:val="20"/>
                    </w:rPr>
                    <w:t>区</w:t>
                  </w:r>
                </w:p>
              </w:tc>
              <w:tc>
                <w:tcPr>
                  <w:tcW w:w="960" w:type="dxa"/>
                  <w:vAlign w:val="top"/>
                </w:tcPr>
                <w:p w14:paraId="287F23C2">
                  <w:pPr>
                    <w:pStyle w:val="6"/>
                    <w:spacing w:before="234" w:line="242" w:lineRule="auto"/>
                    <w:ind w:left="392" w:right="165" w:hanging="224"/>
                    <w:rPr>
                      <w:sz w:val="20"/>
                      <w:szCs w:val="20"/>
                    </w:rPr>
                  </w:pPr>
                  <w:r>
                    <w:rPr>
                      <w:b/>
                      <w:bCs/>
                      <w:spacing w:val="5"/>
                      <w:sz w:val="20"/>
                      <w:szCs w:val="20"/>
                    </w:rPr>
                    <w:t>生态亚</w:t>
                  </w:r>
                  <w:r>
                    <w:rPr>
                      <w:sz w:val="20"/>
                      <w:szCs w:val="20"/>
                    </w:rPr>
                    <w:t xml:space="preserve"> </w:t>
                  </w:r>
                  <w:r>
                    <w:rPr>
                      <w:b/>
                      <w:bCs/>
                      <w:spacing w:val="-3"/>
                      <w:sz w:val="20"/>
                      <w:szCs w:val="20"/>
                    </w:rPr>
                    <w:t>区</w:t>
                  </w:r>
                </w:p>
              </w:tc>
              <w:tc>
                <w:tcPr>
                  <w:tcW w:w="841" w:type="dxa"/>
                  <w:vAlign w:val="top"/>
                </w:tcPr>
                <w:p w14:paraId="05D3AFDC">
                  <w:pPr>
                    <w:pStyle w:val="6"/>
                    <w:spacing w:before="98" w:line="233" w:lineRule="auto"/>
                    <w:ind w:left="216"/>
                    <w:rPr>
                      <w:sz w:val="20"/>
                      <w:szCs w:val="20"/>
                    </w:rPr>
                  </w:pPr>
                  <w:r>
                    <w:rPr>
                      <w:b/>
                      <w:bCs/>
                      <w:spacing w:val="3"/>
                      <w:sz w:val="20"/>
                      <w:szCs w:val="20"/>
                    </w:rPr>
                    <w:t>生态</w:t>
                  </w:r>
                </w:p>
                <w:p w14:paraId="41EDF112">
                  <w:pPr>
                    <w:pStyle w:val="6"/>
                    <w:spacing w:before="21" w:line="229" w:lineRule="auto"/>
                    <w:ind w:left="218"/>
                    <w:rPr>
                      <w:sz w:val="20"/>
                      <w:szCs w:val="20"/>
                    </w:rPr>
                  </w:pPr>
                  <w:r>
                    <w:rPr>
                      <w:b/>
                      <w:bCs/>
                      <w:spacing w:val="2"/>
                      <w:sz w:val="20"/>
                      <w:szCs w:val="20"/>
                    </w:rPr>
                    <w:t>功能</w:t>
                  </w:r>
                </w:p>
                <w:p w14:paraId="28F7FE98">
                  <w:pPr>
                    <w:pStyle w:val="6"/>
                    <w:spacing w:before="22" w:line="233" w:lineRule="auto"/>
                    <w:ind w:left="335"/>
                    <w:rPr>
                      <w:sz w:val="20"/>
                      <w:szCs w:val="20"/>
                    </w:rPr>
                  </w:pPr>
                  <w:r>
                    <w:rPr>
                      <w:b/>
                      <w:bCs/>
                      <w:spacing w:val="-3"/>
                      <w:sz w:val="20"/>
                      <w:szCs w:val="20"/>
                    </w:rPr>
                    <w:t>区</w:t>
                  </w:r>
                </w:p>
              </w:tc>
              <w:tc>
                <w:tcPr>
                  <w:tcW w:w="943" w:type="dxa"/>
                  <w:vMerge w:val="continue"/>
                  <w:tcBorders>
                    <w:top w:val="nil"/>
                  </w:tcBorders>
                  <w:vAlign w:val="top"/>
                </w:tcPr>
                <w:p w14:paraId="4B4F20C6">
                  <w:pPr>
                    <w:rPr>
                      <w:rFonts w:ascii="Arial"/>
                      <w:sz w:val="21"/>
                    </w:rPr>
                  </w:pPr>
                </w:p>
              </w:tc>
              <w:tc>
                <w:tcPr>
                  <w:tcW w:w="1414" w:type="dxa"/>
                  <w:vMerge w:val="continue"/>
                  <w:tcBorders>
                    <w:top w:val="nil"/>
                  </w:tcBorders>
                  <w:vAlign w:val="top"/>
                </w:tcPr>
                <w:p w14:paraId="4877856A">
                  <w:pPr>
                    <w:rPr>
                      <w:rFonts w:ascii="Arial"/>
                      <w:sz w:val="21"/>
                    </w:rPr>
                  </w:pPr>
                </w:p>
              </w:tc>
              <w:tc>
                <w:tcPr>
                  <w:tcW w:w="720" w:type="dxa"/>
                  <w:vMerge w:val="continue"/>
                  <w:tcBorders>
                    <w:top w:val="nil"/>
                  </w:tcBorders>
                  <w:vAlign w:val="top"/>
                </w:tcPr>
                <w:p w14:paraId="5DA58E72">
                  <w:pPr>
                    <w:rPr>
                      <w:rFonts w:ascii="Arial"/>
                      <w:sz w:val="21"/>
                    </w:rPr>
                  </w:pPr>
                </w:p>
              </w:tc>
              <w:tc>
                <w:tcPr>
                  <w:tcW w:w="672" w:type="dxa"/>
                  <w:vMerge w:val="continue"/>
                  <w:tcBorders>
                    <w:top w:val="nil"/>
                  </w:tcBorders>
                  <w:vAlign w:val="top"/>
                </w:tcPr>
                <w:p w14:paraId="1D9FEB1B">
                  <w:pPr>
                    <w:rPr>
                      <w:rFonts w:ascii="Arial"/>
                      <w:sz w:val="21"/>
                    </w:rPr>
                  </w:pPr>
                </w:p>
              </w:tc>
              <w:tc>
                <w:tcPr>
                  <w:tcW w:w="671" w:type="dxa"/>
                  <w:vMerge w:val="continue"/>
                  <w:tcBorders>
                    <w:top w:val="nil"/>
                  </w:tcBorders>
                  <w:vAlign w:val="top"/>
                </w:tcPr>
                <w:p w14:paraId="7422620F">
                  <w:pPr>
                    <w:rPr>
                      <w:rFonts w:ascii="Arial"/>
                      <w:sz w:val="21"/>
                    </w:rPr>
                  </w:pPr>
                </w:p>
              </w:tc>
              <w:tc>
                <w:tcPr>
                  <w:tcW w:w="1151" w:type="dxa"/>
                  <w:vMerge w:val="continue"/>
                  <w:tcBorders>
                    <w:top w:val="nil"/>
                  </w:tcBorders>
                  <w:vAlign w:val="top"/>
                </w:tcPr>
                <w:p w14:paraId="2EC12026">
                  <w:pPr>
                    <w:rPr>
                      <w:rFonts w:ascii="Arial"/>
                      <w:sz w:val="21"/>
                    </w:rPr>
                  </w:pPr>
                </w:p>
              </w:tc>
            </w:tr>
            <w:tr w14:paraId="7373A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7" w:hRule="atLeast"/>
              </w:trPr>
              <w:tc>
                <w:tcPr>
                  <w:tcW w:w="807" w:type="dxa"/>
                  <w:vAlign w:val="top"/>
                </w:tcPr>
                <w:p w14:paraId="62A868E9">
                  <w:pPr>
                    <w:spacing w:line="254" w:lineRule="auto"/>
                    <w:rPr>
                      <w:rFonts w:ascii="Arial"/>
                      <w:sz w:val="21"/>
                    </w:rPr>
                  </w:pPr>
                </w:p>
                <w:p w14:paraId="53084119">
                  <w:pPr>
                    <w:spacing w:line="255" w:lineRule="auto"/>
                    <w:rPr>
                      <w:rFonts w:ascii="Arial"/>
                      <w:sz w:val="21"/>
                    </w:rPr>
                  </w:pPr>
                </w:p>
                <w:p w14:paraId="3A9EA0DF">
                  <w:pPr>
                    <w:pStyle w:val="6"/>
                    <w:spacing w:before="65" w:line="228" w:lineRule="auto"/>
                    <w:ind w:left="204"/>
                    <w:rPr>
                      <w:sz w:val="20"/>
                      <w:szCs w:val="20"/>
                    </w:rPr>
                  </w:pPr>
                  <w:r>
                    <w:rPr>
                      <w:spacing w:val="2"/>
                      <w:sz w:val="20"/>
                      <w:szCs w:val="20"/>
                    </w:rPr>
                    <w:t>高原</w:t>
                  </w:r>
                </w:p>
                <w:p w14:paraId="2BEFB818">
                  <w:pPr>
                    <w:pStyle w:val="6"/>
                    <w:spacing w:before="25" w:line="233" w:lineRule="auto"/>
                    <w:ind w:left="200"/>
                    <w:rPr>
                      <w:sz w:val="20"/>
                      <w:szCs w:val="20"/>
                    </w:rPr>
                  </w:pPr>
                  <w:r>
                    <w:rPr>
                      <w:spacing w:val="3"/>
                      <w:sz w:val="20"/>
                      <w:szCs w:val="20"/>
                    </w:rPr>
                    <w:t>亚热</w:t>
                  </w:r>
                </w:p>
                <w:p w14:paraId="7558C217">
                  <w:pPr>
                    <w:pStyle w:val="6"/>
                    <w:spacing w:before="17" w:line="228" w:lineRule="auto"/>
                    <w:ind w:left="204"/>
                    <w:rPr>
                      <w:sz w:val="20"/>
                      <w:szCs w:val="20"/>
                    </w:rPr>
                  </w:pPr>
                  <w:r>
                    <w:rPr>
                      <w:spacing w:val="2"/>
                      <w:sz w:val="20"/>
                      <w:szCs w:val="20"/>
                    </w:rPr>
                    <w:t>带北</w:t>
                  </w:r>
                </w:p>
                <w:p w14:paraId="55E80372">
                  <w:pPr>
                    <w:pStyle w:val="6"/>
                    <w:spacing w:before="26" w:line="228" w:lineRule="auto"/>
                    <w:ind w:left="201"/>
                    <w:rPr>
                      <w:sz w:val="20"/>
                      <w:szCs w:val="20"/>
                    </w:rPr>
                  </w:pPr>
                  <w:r>
                    <w:rPr>
                      <w:spacing w:val="3"/>
                      <w:sz w:val="20"/>
                      <w:szCs w:val="20"/>
                    </w:rPr>
                    <w:t>部常</w:t>
                  </w:r>
                </w:p>
                <w:p w14:paraId="2465E8DC">
                  <w:pPr>
                    <w:pStyle w:val="6"/>
                    <w:spacing w:before="25" w:line="228" w:lineRule="auto"/>
                    <w:ind w:left="200"/>
                    <w:rPr>
                      <w:sz w:val="20"/>
                      <w:szCs w:val="20"/>
                    </w:rPr>
                  </w:pPr>
                  <w:r>
                    <w:rPr>
                      <w:spacing w:val="3"/>
                      <w:sz w:val="20"/>
                      <w:szCs w:val="20"/>
                    </w:rPr>
                    <w:t>绿阔</w:t>
                  </w:r>
                </w:p>
                <w:p w14:paraId="3C62DF52">
                  <w:pPr>
                    <w:pStyle w:val="6"/>
                    <w:spacing w:before="26" w:line="228" w:lineRule="auto"/>
                    <w:ind w:left="211"/>
                    <w:rPr>
                      <w:sz w:val="20"/>
                      <w:szCs w:val="20"/>
                    </w:rPr>
                  </w:pPr>
                  <w:r>
                    <w:rPr>
                      <w:spacing w:val="-2"/>
                      <w:sz w:val="20"/>
                      <w:szCs w:val="20"/>
                    </w:rPr>
                    <w:t>叶林</w:t>
                  </w:r>
                </w:p>
                <w:p w14:paraId="5D9A1E30">
                  <w:pPr>
                    <w:pStyle w:val="6"/>
                    <w:spacing w:before="24" w:line="233" w:lineRule="auto"/>
                    <w:ind w:left="200"/>
                    <w:rPr>
                      <w:sz w:val="20"/>
                      <w:szCs w:val="20"/>
                    </w:rPr>
                  </w:pPr>
                  <w:r>
                    <w:rPr>
                      <w:spacing w:val="3"/>
                      <w:sz w:val="20"/>
                      <w:szCs w:val="20"/>
                    </w:rPr>
                    <w:t>生态</w:t>
                  </w:r>
                </w:p>
                <w:p w14:paraId="6ED0F95B">
                  <w:pPr>
                    <w:pStyle w:val="6"/>
                    <w:spacing w:before="21" w:line="233" w:lineRule="auto"/>
                    <w:ind w:left="319"/>
                    <w:rPr>
                      <w:sz w:val="20"/>
                      <w:szCs w:val="20"/>
                    </w:rPr>
                  </w:pPr>
                  <w:r>
                    <w:rPr>
                      <w:sz w:val="20"/>
                      <w:szCs w:val="20"/>
                    </w:rPr>
                    <w:t>区</w:t>
                  </w:r>
                </w:p>
                <w:p w14:paraId="03AA4247">
                  <w:pPr>
                    <w:pStyle w:val="6"/>
                    <w:spacing w:before="19" w:line="231" w:lineRule="auto"/>
                    <w:ind w:left="227"/>
                    <w:rPr>
                      <w:sz w:val="20"/>
                      <w:szCs w:val="20"/>
                    </w:rPr>
                  </w:pPr>
                  <w:r>
                    <w:rPr>
                      <w:spacing w:val="-1"/>
                      <w:sz w:val="20"/>
                      <w:szCs w:val="20"/>
                    </w:rPr>
                    <w:t>(</w:t>
                  </w:r>
                  <w:r>
                    <w:rPr>
                      <w:rFonts w:ascii="Times New Roman" w:hAnsi="Times New Roman" w:eastAsia="Times New Roman" w:cs="Times New Roman"/>
                      <w:spacing w:val="-1"/>
                      <w:sz w:val="20"/>
                      <w:szCs w:val="20"/>
                    </w:rPr>
                    <w:t>Ⅲ</w:t>
                  </w:r>
                  <w:r>
                    <w:rPr>
                      <w:spacing w:val="-1"/>
                      <w:sz w:val="20"/>
                      <w:szCs w:val="20"/>
                    </w:rPr>
                    <w:t>)</w:t>
                  </w:r>
                </w:p>
              </w:tc>
              <w:tc>
                <w:tcPr>
                  <w:tcW w:w="960" w:type="dxa"/>
                  <w:vAlign w:val="top"/>
                </w:tcPr>
                <w:p w14:paraId="68A00A06">
                  <w:pPr>
                    <w:spacing w:line="254" w:lineRule="auto"/>
                    <w:rPr>
                      <w:rFonts w:ascii="Arial"/>
                      <w:sz w:val="21"/>
                    </w:rPr>
                  </w:pPr>
                </w:p>
                <w:p w14:paraId="61E87943">
                  <w:pPr>
                    <w:spacing w:line="255" w:lineRule="auto"/>
                    <w:rPr>
                      <w:rFonts w:ascii="Arial"/>
                      <w:sz w:val="21"/>
                    </w:rPr>
                  </w:pPr>
                </w:p>
                <w:p w14:paraId="7DEFEEE0">
                  <w:pPr>
                    <w:pStyle w:val="6"/>
                    <w:spacing w:before="65" w:line="228" w:lineRule="auto"/>
                    <w:ind w:left="169"/>
                    <w:rPr>
                      <w:sz w:val="20"/>
                      <w:szCs w:val="20"/>
                    </w:rPr>
                  </w:pPr>
                  <w:r>
                    <w:rPr>
                      <w:spacing w:val="6"/>
                      <w:sz w:val="20"/>
                      <w:szCs w:val="20"/>
                    </w:rPr>
                    <w:t>滇中高</w:t>
                  </w:r>
                </w:p>
                <w:p w14:paraId="433406A5">
                  <w:pPr>
                    <w:pStyle w:val="6"/>
                    <w:spacing w:before="24" w:line="229" w:lineRule="auto"/>
                    <w:ind w:left="174"/>
                    <w:rPr>
                      <w:sz w:val="20"/>
                      <w:szCs w:val="20"/>
                    </w:rPr>
                  </w:pPr>
                  <w:r>
                    <w:rPr>
                      <w:spacing w:val="5"/>
                      <w:sz w:val="20"/>
                      <w:szCs w:val="20"/>
                    </w:rPr>
                    <w:t>原谷盆</w:t>
                  </w:r>
                </w:p>
                <w:p w14:paraId="3D73F805">
                  <w:pPr>
                    <w:pStyle w:val="6"/>
                    <w:spacing w:before="23" w:line="228" w:lineRule="auto"/>
                    <w:ind w:left="172"/>
                    <w:rPr>
                      <w:sz w:val="20"/>
                      <w:szCs w:val="20"/>
                    </w:rPr>
                  </w:pPr>
                  <w:r>
                    <w:rPr>
                      <w:spacing w:val="5"/>
                      <w:sz w:val="20"/>
                      <w:szCs w:val="20"/>
                    </w:rPr>
                    <w:t>半湿润</w:t>
                  </w:r>
                </w:p>
                <w:p w14:paraId="61E1DF3E">
                  <w:pPr>
                    <w:pStyle w:val="6"/>
                    <w:spacing w:before="26" w:line="228" w:lineRule="auto"/>
                    <w:ind w:left="174"/>
                    <w:rPr>
                      <w:sz w:val="20"/>
                      <w:szCs w:val="20"/>
                    </w:rPr>
                  </w:pPr>
                  <w:r>
                    <w:rPr>
                      <w:spacing w:val="5"/>
                      <w:sz w:val="20"/>
                      <w:szCs w:val="20"/>
                    </w:rPr>
                    <w:t>常绿阔</w:t>
                  </w:r>
                </w:p>
                <w:p w14:paraId="68B9124F">
                  <w:pPr>
                    <w:pStyle w:val="6"/>
                    <w:spacing w:before="23" w:line="228" w:lineRule="auto"/>
                    <w:ind w:left="124"/>
                    <w:rPr>
                      <w:sz w:val="20"/>
                      <w:szCs w:val="20"/>
                    </w:rPr>
                  </w:pPr>
                  <w:r>
                    <w:rPr>
                      <w:spacing w:val="-18"/>
                      <w:sz w:val="20"/>
                      <w:szCs w:val="20"/>
                    </w:rPr>
                    <w:t>叶林、暖</w:t>
                  </w:r>
                </w:p>
                <w:p w14:paraId="1B37BA96">
                  <w:pPr>
                    <w:pStyle w:val="6"/>
                    <w:spacing w:before="27" w:line="228" w:lineRule="auto"/>
                    <w:ind w:left="171"/>
                    <w:rPr>
                      <w:sz w:val="20"/>
                      <w:szCs w:val="20"/>
                    </w:rPr>
                  </w:pPr>
                  <w:r>
                    <w:rPr>
                      <w:spacing w:val="6"/>
                      <w:sz w:val="20"/>
                      <w:szCs w:val="20"/>
                    </w:rPr>
                    <w:t>性针叶</w:t>
                  </w:r>
                </w:p>
                <w:p w14:paraId="74D87234">
                  <w:pPr>
                    <w:pStyle w:val="6"/>
                    <w:spacing w:before="24" w:line="228" w:lineRule="auto"/>
                    <w:ind w:left="169"/>
                    <w:rPr>
                      <w:sz w:val="20"/>
                      <w:szCs w:val="20"/>
                    </w:rPr>
                  </w:pPr>
                  <w:r>
                    <w:rPr>
                      <w:spacing w:val="6"/>
                      <w:sz w:val="20"/>
                      <w:szCs w:val="20"/>
                    </w:rPr>
                    <w:t>林生态</w:t>
                  </w:r>
                </w:p>
                <w:p w14:paraId="198556BE">
                  <w:pPr>
                    <w:pStyle w:val="6"/>
                    <w:spacing w:before="27" w:line="233" w:lineRule="auto"/>
                    <w:ind w:left="276"/>
                    <w:rPr>
                      <w:sz w:val="20"/>
                      <w:szCs w:val="20"/>
                    </w:rPr>
                  </w:pPr>
                  <w:r>
                    <w:rPr>
                      <w:spacing w:val="3"/>
                      <w:sz w:val="20"/>
                      <w:szCs w:val="20"/>
                    </w:rPr>
                    <w:t>亚区</w:t>
                  </w:r>
                </w:p>
                <w:p w14:paraId="7152BB76">
                  <w:pPr>
                    <w:pStyle w:val="6"/>
                    <w:spacing w:before="18" w:line="231" w:lineRule="auto"/>
                    <w:ind w:left="231"/>
                    <w:rPr>
                      <w:sz w:val="20"/>
                      <w:szCs w:val="20"/>
                    </w:rPr>
                  </w:pPr>
                  <w:r>
                    <w:rPr>
                      <w:spacing w:val="1"/>
                      <w:sz w:val="20"/>
                      <w:szCs w:val="20"/>
                    </w:rPr>
                    <w:t>(</w:t>
                  </w:r>
                  <w:r>
                    <w:rPr>
                      <w:rFonts w:ascii="Times New Roman" w:hAnsi="Times New Roman" w:eastAsia="Times New Roman" w:cs="Times New Roman"/>
                      <w:spacing w:val="1"/>
                      <w:sz w:val="20"/>
                      <w:szCs w:val="20"/>
                    </w:rPr>
                    <w:t>Ⅲ1</w:t>
                  </w:r>
                  <w:r>
                    <w:rPr>
                      <w:spacing w:val="1"/>
                      <w:sz w:val="20"/>
                      <w:szCs w:val="20"/>
                    </w:rPr>
                    <w:t>）</w:t>
                  </w:r>
                </w:p>
              </w:tc>
              <w:tc>
                <w:tcPr>
                  <w:tcW w:w="841" w:type="dxa"/>
                  <w:vAlign w:val="top"/>
                </w:tcPr>
                <w:p w14:paraId="6527FD80">
                  <w:pPr>
                    <w:spacing w:line="420" w:lineRule="auto"/>
                    <w:rPr>
                      <w:rFonts w:ascii="Arial"/>
                      <w:sz w:val="21"/>
                    </w:rPr>
                  </w:pPr>
                </w:p>
                <w:p w14:paraId="1CDD46EE">
                  <w:pPr>
                    <w:pStyle w:val="6"/>
                    <w:spacing w:before="58" w:line="247" w:lineRule="auto"/>
                    <w:ind w:left="213" w:right="145" w:hanging="102"/>
                    <w:rPr>
                      <w:sz w:val="20"/>
                      <w:szCs w:val="20"/>
                    </w:rPr>
                  </w:pPr>
                  <w:r>
                    <w:rPr>
                      <w:rFonts w:ascii="Times New Roman" w:hAnsi="Times New Roman" w:eastAsia="Times New Roman" w:cs="Times New Roman"/>
                      <w:spacing w:val="4"/>
                      <w:sz w:val="20"/>
                      <w:szCs w:val="20"/>
                    </w:rPr>
                    <w:t>Ⅲ1-10</w:t>
                  </w:r>
                  <w:r>
                    <w:rPr>
                      <w:rFonts w:ascii="Times New Roman" w:hAnsi="Times New Roman" w:eastAsia="Times New Roman" w:cs="Times New Roman"/>
                      <w:sz w:val="20"/>
                      <w:szCs w:val="20"/>
                    </w:rPr>
                    <w:t xml:space="preserve"> </w:t>
                  </w:r>
                  <w:r>
                    <w:rPr>
                      <w:spacing w:val="5"/>
                      <w:sz w:val="20"/>
                      <w:szCs w:val="20"/>
                    </w:rPr>
                    <w:t>牛栏</w:t>
                  </w:r>
                  <w:r>
                    <w:rPr>
                      <w:sz w:val="20"/>
                      <w:szCs w:val="20"/>
                    </w:rPr>
                    <w:t xml:space="preserve"> </w:t>
                  </w:r>
                  <w:r>
                    <w:rPr>
                      <w:spacing w:val="5"/>
                      <w:sz w:val="20"/>
                      <w:szCs w:val="20"/>
                    </w:rPr>
                    <w:t>江上</w:t>
                  </w:r>
                  <w:r>
                    <w:rPr>
                      <w:sz w:val="20"/>
                      <w:szCs w:val="20"/>
                    </w:rPr>
                    <w:t xml:space="preserve"> </w:t>
                  </w:r>
                  <w:r>
                    <w:rPr>
                      <w:spacing w:val="5"/>
                      <w:sz w:val="20"/>
                      <w:szCs w:val="20"/>
                    </w:rPr>
                    <w:t>游丘</w:t>
                  </w:r>
                  <w:r>
                    <w:rPr>
                      <w:sz w:val="20"/>
                      <w:szCs w:val="20"/>
                    </w:rPr>
                    <w:t xml:space="preserve"> </w:t>
                  </w:r>
                  <w:r>
                    <w:rPr>
                      <w:spacing w:val="5"/>
                      <w:sz w:val="20"/>
                      <w:szCs w:val="20"/>
                    </w:rPr>
                    <w:t>原盆</w:t>
                  </w:r>
                  <w:r>
                    <w:rPr>
                      <w:sz w:val="20"/>
                      <w:szCs w:val="20"/>
                    </w:rPr>
                    <w:t xml:space="preserve"> </w:t>
                  </w:r>
                  <w:r>
                    <w:rPr>
                      <w:spacing w:val="5"/>
                      <w:sz w:val="20"/>
                      <w:szCs w:val="20"/>
                    </w:rPr>
                    <w:t>地水</w:t>
                  </w:r>
                  <w:r>
                    <w:rPr>
                      <w:sz w:val="20"/>
                      <w:szCs w:val="20"/>
                    </w:rPr>
                    <w:t xml:space="preserve"> </w:t>
                  </w:r>
                  <w:r>
                    <w:rPr>
                      <w:spacing w:val="5"/>
                      <w:sz w:val="20"/>
                      <w:szCs w:val="20"/>
                    </w:rPr>
                    <w:t>源涵</w:t>
                  </w:r>
                  <w:r>
                    <w:rPr>
                      <w:sz w:val="20"/>
                      <w:szCs w:val="20"/>
                    </w:rPr>
                    <w:t xml:space="preserve"> </w:t>
                  </w:r>
                  <w:r>
                    <w:rPr>
                      <w:spacing w:val="5"/>
                      <w:sz w:val="20"/>
                      <w:szCs w:val="20"/>
                    </w:rPr>
                    <w:t>养生</w:t>
                  </w:r>
                  <w:r>
                    <w:rPr>
                      <w:sz w:val="20"/>
                      <w:szCs w:val="20"/>
                    </w:rPr>
                    <w:t xml:space="preserve"> </w:t>
                  </w:r>
                  <w:r>
                    <w:rPr>
                      <w:spacing w:val="5"/>
                      <w:sz w:val="20"/>
                      <w:szCs w:val="20"/>
                    </w:rPr>
                    <w:t>态功</w:t>
                  </w:r>
                  <w:r>
                    <w:rPr>
                      <w:sz w:val="20"/>
                      <w:szCs w:val="20"/>
                    </w:rPr>
                    <w:t xml:space="preserve"> </w:t>
                  </w:r>
                  <w:r>
                    <w:rPr>
                      <w:spacing w:val="5"/>
                      <w:sz w:val="20"/>
                      <w:szCs w:val="20"/>
                    </w:rPr>
                    <w:t>能区</w:t>
                  </w:r>
                </w:p>
              </w:tc>
              <w:tc>
                <w:tcPr>
                  <w:tcW w:w="943" w:type="dxa"/>
                  <w:vAlign w:val="top"/>
                </w:tcPr>
                <w:p w14:paraId="5CD8FB97">
                  <w:pPr>
                    <w:spacing w:line="254" w:lineRule="auto"/>
                    <w:rPr>
                      <w:rFonts w:ascii="Arial"/>
                      <w:sz w:val="21"/>
                    </w:rPr>
                  </w:pPr>
                </w:p>
                <w:p w14:paraId="22FD6021">
                  <w:pPr>
                    <w:pStyle w:val="6"/>
                    <w:spacing w:before="65" w:line="228" w:lineRule="auto"/>
                    <w:ind w:left="275"/>
                    <w:rPr>
                      <w:sz w:val="20"/>
                      <w:szCs w:val="20"/>
                    </w:rPr>
                  </w:pPr>
                  <w:r>
                    <w:rPr>
                      <w:spacing w:val="1"/>
                      <w:sz w:val="20"/>
                      <w:szCs w:val="20"/>
                    </w:rPr>
                    <w:t>马龙</w:t>
                  </w:r>
                </w:p>
                <w:p w14:paraId="1674E05A">
                  <w:pPr>
                    <w:pStyle w:val="6"/>
                    <w:spacing w:before="24" w:line="229" w:lineRule="auto"/>
                    <w:ind w:left="164"/>
                    <w:rPr>
                      <w:sz w:val="20"/>
                      <w:szCs w:val="20"/>
                    </w:rPr>
                  </w:pPr>
                  <w:r>
                    <w:rPr>
                      <w:spacing w:val="7"/>
                      <w:sz w:val="20"/>
                      <w:szCs w:val="20"/>
                    </w:rPr>
                    <w:t>县，寻</w:t>
                  </w:r>
                </w:p>
                <w:p w14:paraId="65E78615">
                  <w:pPr>
                    <w:pStyle w:val="6"/>
                    <w:spacing w:before="22" w:line="228" w:lineRule="auto"/>
                    <w:ind w:left="168"/>
                    <w:rPr>
                      <w:sz w:val="20"/>
                      <w:szCs w:val="20"/>
                    </w:rPr>
                  </w:pPr>
                  <w:r>
                    <w:rPr>
                      <w:spacing w:val="5"/>
                      <w:sz w:val="20"/>
                      <w:szCs w:val="20"/>
                    </w:rPr>
                    <w:t>甸、宜</w:t>
                  </w:r>
                </w:p>
                <w:p w14:paraId="3FCC5EFC">
                  <w:pPr>
                    <w:pStyle w:val="6"/>
                    <w:spacing w:before="27" w:line="229" w:lineRule="auto"/>
                    <w:ind w:left="196"/>
                    <w:rPr>
                      <w:sz w:val="20"/>
                      <w:szCs w:val="20"/>
                    </w:rPr>
                  </w:pPr>
                  <w:r>
                    <w:rPr>
                      <w:spacing w:val="-4"/>
                      <w:sz w:val="20"/>
                      <w:szCs w:val="20"/>
                    </w:rPr>
                    <w:t>良、寻</w:t>
                  </w:r>
                </w:p>
                <w:p w14:paraId="5BDFEC73">
                  <w:pPr>
                    <w:pStyle w:val="6"/>
                    <w:spacing w:before="22" w:line="228" w:lineRule="auto"/>
                    <w:ind w:left="168"/>
                    <w:rPr>
                      <w:sz w:val="20"/>
                      <w:szCs w:val="20"/>
                    </w:rPr>
                  </w:pPr>
                  <w:r>
                    <w:rPr>
                      <w:spacing w:val="5"/>
                      <w:sz w:val="20"/>
                      <w:szCs w:val="20"/>
                    </w:rPr>
                    <w:t>甸县的</w:t>
                  </w:r>
                </w:p>
                <w:p w14:paraId="37E02C4B">
                  <w:pPr>
                    <w:pStyle w:val="6"/>
                    <w:spacing w:before="27" w:line="228" w:lineRule="auto"/>
                    <w:ind w:left="165"/>
                    <w:rPr>
                      <w:sz w:val="20"/>
                      <w:szCs w:val="20"/>
                    </w:rPr>
                  </w:pPr>
                  <w:r>
                    <w:rPr>
                      <w:spacing w:val="6"/>
                      <w:sz w:val="20"/>
                      <w:szCs w:val="20"/>
                    </w:rPr>
                    <w:t>部分地</w:t>
                  </w:r>
                </w:p>
                <w:p w14:paraId="4891741F">
                  <w:pPr>
                    <w:pStyle w:val="6"/>
                    <w:spacing w:before="24" w:line="229" w:lineRule="auto"/>
                    <w:ind w:left="178"/>
                    <w:rPr>
                      <w:sz w:val="20"/>
                      <w:szCs w:val="20"/>
                    </w:rPr>
                  </w:pPr>
                  <w:r>
                    <w:rPr>
                      <w:spacing w:val="1"/>
                      <w:sz w:val="20"/>
                      <w:szCs w:val="20"/>
                    </w:rPr>
                    <w:t>区，面</w:t>
                  </w:r>
                </w:p>
                <w:p w14:paraId="6A391CD6">
                  <w:pPr>
                    <w:pStyle w:val="6"/>
                    <w:spacing w:before="26" w:line="228" w:lineRule="auto"/>
                    <w:ind w:left="398"/>
                    <w:rPr>
                      <w:sz w:val="20"/>
                      <w:szCs w:val="20"/>
                    </w:rPr>
                  </w:pPr>
                  <w:r>
                    <w:rPr>
                      <w:sz w:val="20"/>
                      <w:szCs w:val="20"/>
                    </w:rPr>
                    <w:t>积</w:t>
                  </w:r>
                </w:p>
                <w:p w14:paraId="7C685155">
                  <w:pPr>
                    <w:spacing w:before="45"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4783.52</w:t>
                  </w:r>
                </w:p>
                <w:p w14:paraId="4F93E429">
                  <w:pPr>
                    <w:pStyle w:val="6"/>
                    <w:spacing w:before="35" w:line="229" w:lineRule="auto"/>
                    <w:ind w:left="162"/>
                    <w:rPr>
                      <w:sz w:val="20"/>
                      <w:szCs w:val="20"/>
                    </w:rPr>
                  </w:pPr>
                  <w:r>
                    <w:rPr>
                      <w:spacing w:val="7"/>
                      <w:sz w:val="20"/>
                      <w:szCs w:val="20"/>
                    </w:rPr>
                    <w:t>平方公</w:t>
                  </w:r>
                </w:p>
                <w:p w14:paraId="0C4F3652">
                  <w:pPr>
                    <w:pStyle w:val="6"/>
                    <w:spacing w:before="23" w:line="234" w:lineRule="auto"/>
                    <w:ind w:left="374"/>
                    <w:rPr>
                      <w:sz w:val="20"/>
                      <w:szCs w:val="20"/>
                    </w:rPr>
                  </w:pPr>
                  <w:r>
                    <w:rPr>
                      <w:sz w:val="20"/>
                      <w:szCs w:val="20"/>
                    </w:rPr>
                    <w:t>里</w:t>
                  </w:r>
                </w:p>
              </w:tc>
              <w:tc>
                <w:tcPr>
                  <w:tcW w:w="1414" w:type="dxa"/>
                  <w:vAlign w:val="top"/>
                </w:tcPr>
                <w:p w14:paraId="768EF7FC">
                  <w:pPr>
                    <w:spacing w:line="373" w:lineRule="auto"/>
                    <w:rPr>
                      <w:rFonts w:ascii="Arial"/>
                      <w:sz w:val="21"/>
                    </w:rPr>
                  </w:pPr>
                </w:p>
                <w:p w14:paraId="4F317EC3">
                  <w:pPr>
                    <w:pStyle w:val="6"/>
                    <w:spacing w:before="65" w:line="228" w:lineRule="auto"/>
                    <w:ind w:left="213"/>
                    <w:rPr>
                      <w:sz w:val="20"/>
                      <w:szCs w:val="20"/>
                    </w:rPr>
                  </w:pPr>
                  <w:r>
                    <w:rPr>
                      <w:spacing w:val="3"/>
                      <w:sz w:val="20"/>
                      <w:szCs w:val="20"/>
                    </w:rPr>
                    <w:t>以石灰岩丘</w:t>
                  </w:r>
                </w:p>
                <w:p w14:paraId="255DF046">
                  <w:pPr>
                    <w:pStyle w:val="6"/>
                    <w:spacing w:before="24" w:line="227" w:lineRule="auto"/>
                    <w:ind w:left="194"/>
                    <w:rPr>
                      <w:sz w:val="20"/>
                      <w:szCs w:val="20"/>
                    </w:rPr>
                  </w:pPr>
                  <w:r>
                    <w:rPr>
                      <w:spacing w:val="7"/>
                      <w:sz w:val="20"/>
                      <w:szCs w:val="20"/>
                    </w:rPr>
                    <w:t>原盆地地貌</w:t>
                  </w:r>
                </w:p>
                <w:p w14:paraId="57433634">
                  <w:pPr>
                    <w:pStyle w:val="6"/>
                    <w:spacing w:before="27" w:line="228" w:lineRule="auto"/>
                    <w:ind w:left="118"/>
                    <w:rPr>
                      <w:sz w:val="20"/>
                      <w:szCs w:val="20"/>
                    </w:rPr>
                  </w:pPr>
                  <w:r>
                    <w:rPr>
                      <w:spacing w:val="-3"/>
                      <w:sz w:val="20"/>
                      <w:szCs w:val="20"/>
                    </w:rPr>
                    <w:t>为主。降雨量</w:t>
                  </w:r>
                </w:p>
                <w:p w14:paraId="2E9B8084">
                  <w:pPr>
                    <w:pStyle w:val="6"/>
                    <w:spacing w:before="24" w:line="233" w:lineRule="auto"/>
                    <w:ind w:left="143"/>
                    <w:rPr>
                      <w:sz w:val="20"/>
                      <w:szCs w:val="20"/>
                    </w:rPr>
                  </w:pPr>
                  <w:r>
                    <w:rPr>
                      <w:rFonts w:ascii="Times New Roman" w:hAnsi="Times New Roman" w:eastAsia="Times New Roman" w:cs="Times New Roman"/>
                      <w:spacing w:val="1"/>
                      <w:sz w:val="20"/>
                      <w:szCs w:val="20"/>
                    </w:rPr>
                    <w:t>1000-1200</w:t>
                  </w:r>
                  <w:r>
                    <w:rPr>
                      <w:rFonts w:ascii="Times New Roman" w:hAnsi="Times New Roman" w:eastAsia="Times New Roman" w:cs="Times New Roman"/>
                      <w:spacing w:val="21"/>
                      <w:sz w:val="20"/>
                      <w:szCs w:val="20"/>
                    </w:rPr>
                    <w:t xml:space="preserve"> </w:t>
                  </w:r>
                  <w:r>
                    <w:rPr>
                      <w:spacing w:val="1"/>
                      <w:sz w:val="20"/>
                      <w:szCs w:val="20"/>
                    </w:rPr>
                    <w:t>毫</w:t>
                  </w:r>
                </w:p>
                <w:p w14:paraId="68995EBA">
                  <w:pPr>
                    <w:pStyle w:val="6"/>
                    <w:spacing w:before="21" w:line="228" w:lineRule="auto"/>
                    <w:ind w:left="115"/>
                    <w:rPr>
                      <w:sz w:val="20"/>
                      <w:szCs w:val="20"/>
                    </w:rPr>
                  </w:pPr>
                  <w:r>
                    <w:rPr>
                      <w:spacing w:val="-3"/>
                      <w:sz w:val="20"/>
                      <w:szCs w:val="20"/>
                    </w:rPr>
                    <w:t>米，植被主要</w:t>
                  </w:r>
                </w:p>
                <w:p w14:paraId="06B2AC39">
                  <w:pPr>
                    <w:pStyle w:val="6"/>
                    <w:spacing w:before="24" w:line="228" w:lineRule="auto"/>
                    <w:ind w:left="192"/>
                    <w:rPr>
                      <w:sz w:val="20"/>
                      <w:szCs w:val="20"/>
                    </w:rPr>
                  </w:pPr>
                  <w:r>
                    <w:rPr>
                      <w:spacing w:val="7"/>
                      <w:sz w:val="20"/>
                      <w:szCs w:val="20"/>
                    </w:rPr>
                    <w:t>为云南松林</w:t>
                  </w:r>
                </w:p>
                <w:p w14:paraId="0DE5A3B8">
                  <w:pPr>
                    <w:pStyle w:val="6"/>
                    <w:spacing w:before="27" w:line="228" w:lineRule="auto"/>
                    <w:ind w:left="190"/>
                    <w:rPr>
                      <w:sz w:val="20"/>
                      <w:szCs w:val="20"/>
                    </w:rPr>
                  </w:pPr>
                  <w:r>
                    <w:rPr>
                      <w:spacing w:val="7"/>
                      <w:sz w:val="20"/>
                      <w:szCs w:val="20"/>
                    </w:rPr>
                    <w:t>和半湿润常</w:t>
                  </w:r>
                </w:p>
                <w:p w14:paraId="355F33AD">
                  <w:pPr>
                    <w:pStyle w:val="6"/>
                    <w:spacing w:before="24" w:line="228" w:lineRule="auto"/>
                    <w:ind w:left="117"/>
                    <w:rPr>
                      <w:sz w:val="20"/>
                      <w:szCs w:val="20"/>
                    </w:rPr>
                  </w:pPr>
                  <w:r>
                    <w:rPr>
                      <w:spacing w:val="-3"/>
                      <w:sz w:val="20"/>
                      <w:szCs w:val="20"/>
                    </w:rPr>
                    <w:t>绿阔叶林，土</w:t>
                  </w:r>
                </w:p>
                <w:p w14:paraId="74149C05">
                  <w:pPr>
                    <w:pStyle w:val="6"/>
                    <w:spacing w:before="24" w:line="228" w:lineRule="auto"/>
                    <w:ind w:left="189"/>
                    <w:rPr>
                      <w:sz w:val="20"/>
                      <w:szCs w:val="20"/>
                    </w:rPr>
                  </w:pPr>
                  <w:r>
                    <w:rPr>
                      <w:spacing w:val="8"/>
                      <w:sz w:val="20"/>
                      <w:szCs w:val="20"/>
                    </w:rPr>
                    <w:t>壤类型主要</w:t>
                  </w:r>
                </w:p>
                <w:p w14:paraId="37069978">
                  <w:pPr>
                    <w:pStyle w:val="6"/>
                    <w:spacing w:before="27" w:line="229" w:lineRule="auto"/>
                    <w:ind w:left="402"/>
                    <w:rPr>
                      <w:sz w:val="20"/>
                      <w:szCs w:val="20"/>
                    </w:rPr>
                  </w:pPr>
                  <w:r>
                    <w:rPr>
                      <w:spacing w:val="5"/>
                      <w:sz w:val="20"/>
                      <w:szCs w:val="20"/>
                    </w:rPr>
                    <w:t>是红壤</w:t>
                  </w:r>
                </w:p>
              </w:tc>
              <w:tc>
                <w:tcPr>
                  <w:tcW w:w="720" w:type="dxa"/>
                  <w:vAlign w:val="top"/>
                </w:tcPr>
                <w:p w14:paraId="20B7F7EF">
                  <w:pPr>
                    <w:spacing w:line="259" w:lineRule="auto"/>
                    <w:rPr>
                      <w:rFonts w:ascii="Arial"/>
                      <w:sz w:val="21"/>
                    </w:rPr>
                  </w:pPr>
                </w:p>
                <w:p w14:paraId="14DCB36A">
                  <w:pPr>
                    <w:spacing w:line="260" w:lineRule="auto"/>
                    <w:rPr>
                      <w:rFonts w:ascii="Arial"/>
                      <w:sz w:val="21"/>
                    </w:rPr>
                  </w:pPr>
                </w:p>
                <w:p w14:paraId="5913744C">
                  <w:pPr>
                    <w:spacing w:line="260" w:lineRule="auto"/>
                    <w:rPr>
                      <w:rFonts w:ascii="Arial"/>
                      <w:sz w:val="21"/>
                    </w:rPr>
                  </w:pPr>
                </w:p>
                <w:p w14:paraId="6531D6B8">
                  <w:pPr>
                    <w:pStyle w:val="6"/>
                    <w:spacing w:before="65" w:line="237" w:lineRule="auto"/>
                    <w:ind w:left="159"/>
                    <w:rPr>
                      <w:sz w:val="20"/>
                      <w:szCs w:val="20"/>
                    </w:rPr>
                  </w:pPr>
                  <w:r>
                    <w:rPr>
                      <w:spacing w:val="4"/>
                      <w:sz w:val="20"/>
                      <w:szCs w:val="20"/>
                    </w:rPr>
                    <w:t>土地</w:t>
                  </w:r>
                </w:p>
                <w:p w14:paraId="0019DD81">
                  <w:pPr>
                    <w:pStyle w:val="6"/>
                    <w:spacing w:before="14" w:line="229" w:lineRule="auto"/>
                    <w:ind w:left="159"/>
                    <w:rPr>
                      <w:sz w:val="20"/>
                      <w:szCs w:val="20"/>
                    </w:rPr>
                  </w:pPr>
                  <w:r>
                    <w:rPr>
                      <w:spacing w:val="4"/>
                      <w:sz w:val="20"/>
                      <w:szCs w:val="20"/>
                    </w:rPr>
                    <w:t>利用</w:t>
                  </w:r>
                </w:p>
                <w:p w14:paraId="01223D44">
                  <w:pPr>
                    <w:pStyle w:val="6"/>
                    <w:spacing w:before="25" w:line="228" w:lineRule="auto"/>
                    <w:ind w:left="159"/>
                    <w:rPr>
                      <w:sz w:val="20"/>
                      <w:szCs w:val="20"/>
                    </w:rPr>
                  </w:pPr>
                  <w:r>
                    <w:rPr>
                      <w:spacing w:val="4"/>
                      <w:sz w:val="20"/>
                      <w:szCs w:val="20"/>
                    </w:rPr>
                    <w:t>过度</w:t>
                  </w:r>
                </w:p>
                <w:p w14:paraId="121784AC">
                  <w:pPr>
                    <w:pStyle w:val="6"/>
                    <w:spacing w:before="24" w:line="228" w:lineRule="auto"/>
                    <w:ind w:left="173"/>
                    <w:rPr>
                      <w:sz w:val="20"/>
                      <w:szCs w:val="20"/>
                    </w:rPr>
                  </w:pPr>
                  <w:r>
                    <w:rPr>
                      <w:spacing w:val="-3"/>
                      <w:sz w:val="20"/>
                      <w:szCs w:val="20"/>
                    </w:rPr>
                    <w:t>引起</w:t>
                  </w:r>
                </w:p>
                <w:p w14:paraId="59059D81">
                  <w:pPr>
                    <w:pStyle w:val="6"/>
                    <w:spacing w:before="25" w:line="231" w:lineRule="auto"/>
                    <w:ind w:left="175"/>
                    <w:rPr>
                      <w:sz w:val="20"/>
                      <w:szCs w:val="20"/>
                    </w:rPr>
                  </w:pPr>
                  <w:r>
                    <w:rPr>
                      <w:spacing w:val="-4"/>
                      <w:sz w:val="20"/>
                      <w:szCs w:val="20"/>
                    </w:rPr>
                    <w:t>的土</w:t>
                  </w:r>
                </w:p>
                <w:p w14:paraId="3761A44B">
                  <w:pPr>
                    <w:pStyle w:val="6"/>
                    <w:spacing w:before="22" w:line="235" w:lineRule="auto"/>
                    <w:ind w:left="158"/>
                    <w:rPr>
                      <w:sz w:val="20"/>
                      <w:szCs w:val="20"/>
                    </w:rPr>
                  </w:pPr>
                  <w:r>
                    <w:rPr>
                      <w:spacing w:val="4"/>
                      <w:sz w:val="20"/>
                      <w:szCs w:val="20"/>
                    </w:rPr>
                    <w:t>地退</w:t>
                  </w:r>
                </w:p>
                <w:p w14:paraId="3A3C9AA6">
                  <w:pPr>
                    <w:pStyle w:val="6"/>
                    <w:spacing w:before="19" w:line="229" w:lineRule="auto"/>
                    <w:ind w:left="264"/>
                    <w:rPr>
                      <w:sz w:val="20"/>
                      <w:szCs w:val="20"/>
                    </w:rPr>
                  </w:pPr>
                  <w:r>
                    <w:rPr>
                      <w:sz w:val="20"/>
                      <w:szCs w:val="20"/>
                    </w:rPr>
                    <w:t>化</w:t>
                  </w:r>
                </w:p>
              </w:tc>
              <w:tc>
                <w:tcPr>
                  <w:tcW w:w="672" w:type="dxa"/>
                  <w:vAlign w:val="top"/>
                </w:tcPr>
                <w:p w14:paraId="1511CDD1">
                  <w:pPr>
                    <w:spacing w:line="263" w:lineRule="auto"/>
                    <w:rPr>
                      <w:rFonts w:ascii="Arial"/>
                      <w:sz w:val="21"/>
                    </w:rPr>
                  </w:pPr>
                </w:p>
                <w:p w14:paraId="0C19B43D">
                  <w:pPr>
                    <w:spacing w:line="263" w:lineRule="auto"/>
                    <w:rPr>
                      <w:rFonts w:ascii="Arial"/>
                      <w:sz w:val="21"/>
                    </w:rPr>
                  </w:pPr>
                </w:p>
                <w:p w14:paraId="0228DD1E">
                  <w:pPr>
                    <w:spacing w:line="263" w:lineRule="auto"/>
                    <w:rPr>
                      <w:rFonts w:ascii="Arial"/>
                      <w:sz w:val="21"/>
                    </w:rPr>
                  </w:pPr>
                </w:p>
                <w:p w14:paraId="4B7714AF">
                  <w:pPr>
                    <w:spacing w:line="263" w:lineRule="auto"/>
                    <w:rPr>
                      <w:rFonts w:ascii="Arial"/>
                      <w:sz w:val="21"/>
                    </w:rPr>
                  </w:pPr>
                </w:p>
                <w:p w14:paraId="12639337">
                  <w:pPr>
                    <w:pStyle w:val="6"/>
                    <w:spacing w:before="65" w:line="246" w:lineRule="auto"/>
                    <w:ind w:left="133" w:right="123" w:firstLine="1"/>
                    <w:jc w:val="both"/>
                    <w:rPr>
                      <w:sz w:val="20"/>
                      <w:szCs w:val="20"/>
                    </w:rPr>
                  </w:pPr>
                  <w:r>
                    <w:rPr>
                      <w:spacing w:val="4"/>
                      <w:sz w:val="20"/>
                      <w:szCs w:val="20"/>
                    </w:rPr>
                    <w:t>石漠</w:t>
                  </w:r>
                  <w:r>
                    <w:rPr>
                      <w:sz w:val="20"/>
                      <w:szCs w:val="20"/>
                    </w:rPr>
                    <w:t xml:space="preserve"> </w:t>
                  </w:r>
                  <w:r>
                    <w:rPr>
                      <w:spacing w:val="5"/>
                      <w:sz w:val="20"/>
                      <w:szCs w:val="20"/>
                    </w:rPr>
                    <w:t>化高</w:t>
                  </w:r>
                  <w:r>
                    <w:rPr>
                      <w:sz w:val="20"/>
                      <w:szCs w:val="20"/>
                    </w:rPr>
                    <w:t xml:space="preserve"> </w:t>
                  </w:r>
                  <w:r>
                    <w:rPr>
                      <w:spacing w:val="5"/>
                      <w:sz w:val="20"/>
                      <w:szCs w:val="20"/>
                    </w:rPr>
                    <w:t>度及</w:t>
                  </w:r>
                  <w:r>
                    <w:rPr>
                      <w:sz w:val="20"/>
                      <w:szCs w:val="20"/>
                    </w:rPr>
                    <w:t xml:space="preserve"> </w:t>
                  </w:r>
                  <w:r>
                    <w:rPr>
                      <w:spacing w:val="5"/>
                      <w:sz w:val="20"/>
                      <w:szCs w:val="20"/>
                    </w:rPr>
                    <w:t>中度</w:t>
                  </w:r>
                  <w:r>
                    <w:rPr>
                      <w:sz w:val="20"/>
                      <w:szCs w:val="20"/>
                    </w:rPr>
                    <w:t xml:space="preserve"> </w:t>
                  </w:r>
                  <w:r>
                    <w:rPr>
                      <w:spacing w:val="5"/>
                      <w:sz w:val="20"/>
                      <w:szCs w:val="20"/>
                    </w:rPr>
                    <w:t>敏感</w:t>
                  </w:r>
                </w:p>
              </w:tc>
              <w:tc>
                <w:tcPr>
                  <w:tcW w:w="671" w:type="dxa"/>
                  <w:vAlign w:val="top"/>
                </w:tcPr>
                <w:p w14:paraId="656DEBEA">
                  <w:pPr>
                    <w:spacing w:line="255" w:lineRule="auto"/>
                    <w:rPr>
                      <w:rFonts w:ascii="Arial"/>
                      <w:sz w:val="21"/>
                    </w:rPr>
                  </w:pPr>
                </w:p>
                <w:p w14:paraId="6C72FFEB">
                  <w:pPr>
                    <w:spacing w:line="255" w:lineRule="auto"/>
                    <w:rPr>
                      <w:rFonts w:ascii="Arial"/>
                      <w:sz w:val="21"/>
                    </w:rPr>
                  </w:pPr>
                </w:p>
                <w:p w14:paraId="157593B6">
                  <w:pPr>
                    <w:pStyle w:val="6"/>
                    <w:spacing w:before="65" w:line="228" w:lineRule="auto"/>
                    <w:ind w:left="136"/>
                    <w:rPr>
                      <w:sz w:val="20"/>
                      <w:szCs w:val="20"/>
                    </w:rPr>
                  </w:pPr>
                  <w:r>
                    <w:rPr>
                      <w:spacing w:val="2"/>
                      <w:sz w:val="20"/>
                      <w:szCs w:val="20"/>
                    </w:rPr>
                    <w:t>牛栏</w:t>
                  </w:r>
                </w:p>
                <w:p w14:paraId="2049874B">
                  <w:pPr>
                    <w:pStyle w:val="6"/>
                    <w:spacing w:before="24" w:line="238" w:lineRule="auto"/>
                    <w:ind w:left="132"/>
                    <w:rPr>
                      <w:sz w:val="20"/>
                      <w:szCs w:val="20"/>
                    </w:rPr>
                  </w:pPr>
                  <w:r>
                    <w:rPr>
                      <w:spacing w:val="4"/>
                      <w:sz w:val="20"/>
                      <w:szCs w:val="20"/>
                    </w:rPr>
                    <w:t>江上</w:t>
                  </w:r>
                </w:p>
                <w:p w14:paraId="28BD1514">
                  <w:pPr>
                    <w:pStyle w:val="6"/>
                    <w:spacing w:before="13" w:line="228" w:lineRule="auto"/>
                    <w:ind w:left="131"/>
                    <w:rPr>
                      <w:sz w:val="20"/>
                      <w:szCs w:val="20"/>
                    </w:rPr>
                  </w:pPr>
                  <w:r>
                    <w:rPr>
                      <w:spacing w:val="4"/>
                      <w:sz w:val="20"/>
                      <w:szCs w:val="20"/>
                    </w:rPr>
                    <w:t>游的</w:t>
                  </w:r>
                </w:p>
                <w:p w14:paraId="24BF1B99">
                  <w:pPr>
                    <w:pStyle w:val="6"/>
                    <w:spacing w:before="25" w:line="228" w:lineRule="auto"/>
                    <w:ind w:left="134"/>
                    <w:rPr>
                      <w:sz w:val="20"/>
                      <w:szCs w:val="20"/>
                    </w:rPr>
                  </w:pPr>
                  <w:r>
                    <w:rPr>
                      <w:spacing w:val="3"/>
                      <w:sz w:val="20"/>
                      <w:szCs w:val="20"/>
                    </w:rPr>
                    <w:t>水源</w:t>
                  </w:r>
                </w:p>
                <w:p w14:paraId="152DE3FC">
                  <w:pPr>
                    <w:pStyle w:val="6"/>
                    <w:spacing w:before="24" w:line="228" w:lineRule="auto"/>
                    <w:ind w:left="132"/>
                    <w:rPr>
                      <w:sz w:val="20"/>
                      <w:szCs w:val="20"/>
                    </w:rPr>
                  </w:pPr>
                  <w:r>
                    <w:rPr>
                      <w:spacing w:val="4"/>
                      <w:sz w:val="20"/>
                      <w:szCs w:val="20"/>
                    </w:rPr>
                    <w:t>涵养</w:t>
                  </w:r>
                </w:p>
                <w:p w14:paraId="0215EDAA">
                  <w:pPr>
                    <w:pStyle w:val="6"/>
                    <w:spacing w:before="26" w:line="231" w:lineRule="auto"/>
                    <w:ind w:left="132"/>
                    <w:rPr>
                      <w:sz w:val="20"/>
                      <w:szCs w:val="20"/>
                    </w:rPr>
                  </w:pPr>
                  <w:r>
                    <w:rPr>
                      <w:spacing w:val="4"/>
                      <w:sz w:val="20"/>
                      <w:szCs w:val="20"/>
                    </w:rPr>
                    <w:t>和生</w:t>
                  </w:r>
                </w:p>
                <w:p w14:paraId="13702EFB">
                  <w:pPr>
                    <w:pStyle w:val="6"/>
                    <w:spacing w:before="21" w:line="230" w:lineRule="auto"/>
                    <w:ind w:left="131"/>
                    <w:rPr>
                      <w:sz w:val="20"/>
                      <w:szCs w:val="20"/>
                    </w:rPr>
                  </w:pPr>
                  <w:r>
                    <w:rPr>
                      <w:spacing w:val="4"/>
                      <w:sz w:val="20"/>
                      <w:szCs w:val="20"/>
                    </w:rPr>
                    <w:t>态农</w:t>
                  </w:r>
                </w:p>
                <w:p w14:paraId="76C6D48C">
                  <w:pPr>
                    <w:pStyle w:val="6"/>
                    <w:spacing w:before="25" w:line="229" w:lineRule="auto"/>
                    <w:ind w:left="131"/>
                    <w:rPr>
                      <w:sz w:val="20"/>
                      <w:szCs w:val="20"/>
                    </w:rPr>
                  </w:pPr>
                  <w:r>
                    <w:rPr>
                      <w:spacing w:val="5"/>
                      <w:sz w:val="20"/>
                      <w:szCs w:val="20"/>
                    </w:rPr>
                    <w:t>业建</w:t>
                  </w:r>
                </w:p>
                <w:p w14:paraId="759A8E25">
                  <w:pPr>
                    <w:pStyle w:val="6"/>
                    <w:spacing w:before="23" w:line="229" w:lineRule="auto"/>
                    <w:ind w:left="240"/>
                    <w:rPr>
                      <w:sz w:val="20"/>
                      <w:szCs w:val="20"/>
                    </w:rPr>
                  </w:pPr>
                  <w:r>
                    <w:rPr>
                      <w:sz w:val="20"/>
                      <w:szCs w:val="20"/>
                    </w:rPr>
                    <w:t>设</w:t>
                  </w:r>
                </w:p>
              </w:tc>
              <w:tc>
                <w:tcPr>
                  <w:tcW w:w="1151" w:type="dxa"/>
                  <w:vAlign w:val="top"/>
                </w:tcPr>
                <w:p w14:paraId="6D363128">
                  <w:pPr>
                    <w:pStyle w:val="6"/>
                    <w:spacing w:before="33" w:line="230" w:lineRule="auto"/>
                    <w:ind w:left="180"/>
                    <w:rPr>
                      <w:sz w:val="20"/>
                      <w:szCs w:val="20"/>
                    </w:rPr>
                  </w:pPr>
                  <w:r>
                    <w:rPr>
                      <w:spacing w:val="2"/>
                      <w:sz w:val="20"/>
                      <w:szCs w:val="20"/>
                    </w:rPr>
                    <w:t>山地封山</w:t>
                  </w:r>
                </w:p>
                <w:p w14:paraId="5737BC6E">
                  <w:pPr>
                    <w:pStyle w:val="6"/>
                    <w:spacing w:before="21" w:line="228" w:lineRule="auto"/>
                    <w:ind w:left="169"/>
                    <w:rPr>
                      <w:sz w:val="20"/>
                      <w:szCs w:val="20"/>
                    </w:rPr>
                  </w:pPr>
                  <w:r>
                    <w:rPr>
                      <w:spacing w:val="5"/>
                      <w:sz w:val="20"/>
                      <w:szCs w:val="20"/>
                    </w:rPr>
                    <w:t>育林，提</w:t>
                  </w:r>
                </w:p>
                <w:p w14:paraId="0E0B6C2F">
                  <w:pPr>
                    <w:pStyle w:val="6"/>
                    <w:spacing w:before="26" w:line="228" w:lineRule="auto"/>
                    <w:ind w:left="167"/>
                    <w:rPr>
                      <w:sz w:val="20"/>
                      <w:szCs w:val="20"/>
                    </w:rPr>
                  </w:pPr>
                  <w:r>
                    <w:rPr>
                      <w:spacing w:val="5"/>
                      <w:sz w:val="20"/>
                      <w:szCs w:val="20"/>
                    </w:rPr>
                    <w:t>高森林覆</w:t>
                  </w:r>
                </w:p>
                <w:p w14:paraId="4714189B">
                  <w:pPr>
                    <w:pStyle w:val="6"/>
                    <w:spacing w:before="24" w:line="229" w:lineRule="auto"/>
                    <w:ind w:left="162"/>
                    <w:rPr>
                      <w:sz w:val="20"/>
                      <w:szCs w:val="20"/>
                    </w:rPr>
                  </w:pPr>
                  <w:r>
                    <w:rPr>
                      <w:spacing w:val="7"/>
                      <w:sz w:val="20"/>
                      <w:szCs w:val="20"/>
                    </w:rPr>
                    <w:t>盖，谷盆</w:t>
                  </w:r>
                </w:p>
                <w:p w14:paraId="7FCA18A1">
                  <w:pPr>
                    <w:pStyle w:val="6"/>
                    <w:spacing w:before="25" w:line="230" w:lineRule="auto"/>
                    <w:ind w:left="161"/>
                    <w:rPr>
                      <w:sz w:val="20"/>
                      <w:szCs w:val="20"/>
                    </w:rPr>
                  </w:pPr>
                  <w:r>
                    <w:rPr>
                      <w:spacing w:val="7"/>
                      <w:sz w:val="20"/>
                      <w:szCs w:val="20"/>
                    </w:rPr>
                    <w:t>地区调整</w:t>
                  </w:r>
                </w:p>
                <w:p w14:paraId="2458BF31">
                  <w:pPr>
                    <w:pStyle w:val="6"/>
                    <w:spacing w:before="22" w:line="229" w:lineRule="auto"/>
                    <w:ind w:left="264"/>
                    <w:rPr>
                      <w:sz w:val="20"/>
                      <w:szCs w:val="20"/>
                    </w:rPr>
                  </w:pPr>
                  <w:r>
                    <w:rPr>
                      <w:spacing w:val="6"/>
                      <w:sz w:val="20"/>
                      <w:szCs w:val="20"/>
                    </w:rPr>
                    <w:t>农业结</w:t>
                  </w:r>
                </w:p>
                <w:p w14:paraId="029762CF">
                  <w:pPr>
                    <w:pStyle w:val="6"/>
                    <w:spacing w:before="26" w:line="228" w:lineRule="auto"/>
                    <w:ind w:left="164"/>
                    <w:rPr>
                      <w:sz w:val="20"/>
                      <w:szCs w:val="20"/>
                    </w:rPr>
                  </w:pPr>
                  <w:r>
                    <w:rPr>
                      <w:spacing w:val="6"/>
                      <w:sz w:val="20"/>
                      <w:szCs w:val="20"/>
                    </w:rPr>
                    <w:t>构，推行</w:t>
                  </w:r>
                </w:p>
                <w:p w14:paraId="5438821C">
                  <w:pPr>
                    <w:pStyle w:val="6"/>
                    <w:spacing w:before="24" w:line="228" w:lineRule="auto"/>
                    <w:ind w:left="264"/>
                    <w:rPr>
                      <w:sz w:val="20"/>
                      <w:szCs w:val="20"/>
                    </w:rPr>
                  </w:pPr>
                  <w:r>
                    <w:rPr>
                      <w:spacing w:val="6"/>
                      <w:sz w:val="20"/>
                      <w:szCs w:val="20"/>
                    </w:rPr>
                    <w:t>清洁生</w:t>
                  </w:r>
                </w:p>
                <w:p w14:paraId="176AD415">
                  <w:pPr>
                    <w:pStyle w:val="6"/>
                    <w:spacing w:before="24" w:line="228" w:lineRule="auto"/>
                    <w:ind w:left="161"/>
                    <w:rPr>
                      <w:sz w:val="20"/>
                      <w:szCs w:val="20"/>
                    </w:rPr>
                  </w:pPr>
                  <w:r>
                    <w:rPr>
                      <w:spacing w:val="7"/>
                      <w:sz w:val="20"/>
                      <w:szCs w:val="20"/>
                    </w:rPr>
                    <w:t>产，保护</w:t>
                  </w:r>
                </w:p>
                <w:p w14:paraId="013AD369">
                  <w:pPr>
                    <w:pStyle w:val="6"/>
                    <w:spacing w:before="27" w:line="230" w:lineRule="auto"/>
                    <w:ind w:left="161"/>
                    <w:rPr>
                      <w:sz w:val="20"/>
                      <w:szCs w:val="20"/>
                    </w:rPr>
                  </w:pPr>
                  <w:r>
                    <w:rPr>
                      <w:spacing w:val="7"/>
                      <w:sz w:val="20"/>
                      <w:szCs w:val="20"/>
                    </w:rPr>
                    <w:t>农田生态</w:t>
                  </w:r>
                </w:p>
                <w:p w14:paraId="7916DDA3">
                  <w:pPr>
                    <w:pStyle w:val="6"/>
                    <w:spacing w:before="25" w:line="228" w:lineRule="auto"/>
                    <w:ind w:left="161"/>
                    <w:rPr>
                      <w:sz w:val="20"/>
                      <w:szCs w:val="20"/>
                    </w:rPr>
                  </w:pPr>
                  <w:r>
                    <w:rPr>
                      <w:spacing w:val="10"/>
                      <w:sz w:val="20"/>
                      <w:szCs w:val="20"/>
                    </w:rPr>
                    <w:t>环境，防</w:t>
                  </w:r>
                </w:p>
                <w:p w14:paraId="6771418E">
                  <w:pPr>
                    <w:pStyle w:val="6"/>
                    <w:spacing w:before="24" w:line="228" w:lineRule="auto"/>
                    <w:ind w:left="162"/>
                    <w:rPr>
                      <w:sz w:val="20"/>
                      <w:szCs w:val="20"/>
                    </w:rPr>
                  </w:pPr>
                  <w:r>
                    <w:rPr>
                      <w:spacing w:val="7"/>
                      <w:sz w:val="20"/>
                      <w:szCs w:val="20"/>
                    </w:rPr>
                    <w:t>止区域石</w:t>
                  </w:r>
                </w:p>
                <w:p w14:paraId="28F5C425">
                  <w:pPr>
                    <w:pStyle w:val="6"/>
                    <w:spacing w:before="26" w:line="217" w:lineRule="auto"/>
                    <w:ind w:left="370"/>
                    <w:rPr>
                      <w:sz w:val="20"/>
                      <w:szCs w:val="20"/>
                    </w:rPr>
                  </w:pPr>
                  <w:r>
                    <w:rPr>
                      <w:spacing w:val="4"/>
                      <w:sz w:val="20"/>
                      <w:szCs w:val="20"/>
                    </w:rPr>
                    <w:t>漠化</w:t>
                  </w:r>
                </w:p>
              </w:tc>
            </w:tr>
          </w:tbl>
          <w:p w14:paraId="05B2EE8D">
            <w:pPr>
              <w:pStyle w:val="6"/>
              <w:spacing w:before="35" w:line="219" w:lineRule="auto"/>
              <w:ind w:left="583"/>
            </w:pPr>
            <w:r>
              <w:rPr>
                <w:rFonts w:ascii="Times New Roman" w:hAnsi="Times New Roman" w:eastAsia="Times New Roman" w:cs="Times New Roman"/>
                <w:b/>
                <w:bCs/>
                <w:spacing w:val="-6"/>
              </w:rPr>
              <w:t>3</w:t>
            </w:r>
            <w:r>
              <w:rPr>
                <w:rFonts w:ascii="Times New Roman" w:hAnsi="Times New Roman" w:eastAsia="Times New Roman" w:cs="Times New Roman"/>
                <w:b/>
                <w:bCs/>
                <w:spacing w:val="-30"/>
              </w:rPr>
              <w:t xml:space="preserve"> </w:t>
            </w:r>
            <w:r>
              <w:rPr>
                <w:b/>
                <w:bCs/>
                <w:spacing w:val="-6"/>
              </w:rPr>
              <w:t>、生态环境现状</w:t>
            </w:r>
          </w:p>
          <w:p w14:paraId="3BC2248F">
            <w:pPr>
              <w:pStyle w:val="6"/>
              <w:spacing w:before="183" w:line="219" w:lineRule="auto"/>
              <w:ind w:left="583"/>
            </w:pPr>
            <w:r>
              <w:rPr>
                <w:rFonts w:ascii="Times New Roman" w:hAnsi="Times New Roman" w:eastAsia="Times New Roman" w:cs="Times New Roman"/>
                <w:b/>
                <w:bCs/>
                <w:spacing w:val="-2"/>
              </w:rPr>
              <w:t xml:space="preserve">3.1  </w:t>
            </w:r>
            <w:r>
              <w:rPr>
                <w:b/>
                <w:bCs/>
                <w:spacing w:val="-2"/>
              </w:rPr>
              <w:t>土地利用现状</w:t>
            </w:r>
          </w:p>
          <w:p w14:paraId="07D1F420">
            <w:pPr>
              <w:pStyle w:val="6"/>
              <w:spacing w:before="181" w:line="350" w:lineRule="auto"/>
              <w:ind w:left="109" w:right="97" w:firstLine="483"/>
              <w:jc w:val="both"/>
            </w:pPr>
            <w:r>
              <w:rPr>
                <w:spacing w:val="-4"/>
              </w:rPr>
              <w:t>项目生态环境影响评价区的土地利用类型见表</w:t>
            </w:r>
            <w:r>
              <w:rPr>
                <w:spacing w:val="-51"/>
              </w:rPr>
              <w:t xml:space="preserve"> </w:t>
            </w:r>
            <w:r>
              <w:rPr>
                <w:rFonts w:ascii="Times New Roman" w:hAnsi="Times New Roman" w:eastAsia="Times New Roman" w:cs="Times New Roman"/>
                <w:spacing w:val="-4"/>
              </w:rPr>
              <w:t>3-2</w:t>
            </w:r>
            <w:r>
              <w:rPr>
                <w:spacing w:val="-4"/>
              </w:rPr>
              <w:t>，土地利用现状</w:t>
            </w:r>
            <w:r>
              <w:rPr>
                <w:spacing w:val="-5"/>
              </w:rPr>
              <w:t>分布情况</w:t>
            </w:r>
            <w:r>
              <w:t xml:space="preserve"> </w:t>
            </w:r>
            <w:r>
              <w:rPr>
                <w:spacing w:val="-8"/>
              </w:rPr>
              <w:t>详见附图</w:t>
            </w:r>
            <w:r>
              <w:rPr>
                <w:spacing w:val="-17"/>
              </w:rPr>
              <w:t xml:space="preserve"> </w:t>
            </w:r>
            <w:r>
              <w:rPr>
                <w:rFonts w:ascii="Times New Roman" w:hAnsi="Times New Roman" w:eastAsia="Times New Roman" w:cs="Times New Roman"/>
                <w:spacing w:val="-8"/>
              </w:rPr>
              <w:t>13</w:t>
            </w:r>
            <w:r>
              <w:rPr>
                <w:spacing w:val="-8"/>
              </w:rPr>
              <w:t>。项目面积共计</w:t>
            </w:r>
            <w:r>
              <w:rPr>
                <w:spacing w:val="-42"/>
              </w:rPr>
              <w:t xml:space="preserve"> </w:t>
            </w:r>
            <w:r>
              <w:rPr>
                <w:rFonts w:ascii="Times New Roman" w:hAnsi="Times New Roman" w:eastAsia="Times New Roman" w:cs="Times New Roman"/>
                <w:spacing w:val="-8"/>
              </w:rPr>
              <w:t>140.</w:t>
            </w:r>
            <w:r>
              <w:rPr>
                <w:rFonts w:ascii="Times New Roman" w:hAnsi="Times New Roman" w:eastAsia="Times New Roman" w:cs="Times New Roman"/>
                <w:spacing w:val="-31"/>
              </w:rPr>
              <w:t xml:space="preserve"> </w:t>
            </w:r>
            <w:r>
              <w:rPr>
                <w:rFonts w:ascii="Times New Roman" w:hAnsi="Times New Roman" w:eastAsia="Times New Roman" w:cs="Times New Roman"/>
                <w:spacing w:val="-8"/>
              </w:rPr>
              <w:t>1304hm</w:t>
            </w:r>
            <w:r>
              <w:rPr>
                <w:rFonts w:ascii="Times New Roman" w:hAnsi="Times New Roman" w:eastAsia="Times New Roman" w:cs="Times New Roman"/>
                <w:spacing w:val="-8"/>
                <w:position w:val="8"/>
                <w:sz w:val="15"/>
                <w:szCs w:val="15"/>
              </w:rPr>
              <w:t>2</w:t>
            </w:r>
            <w:r>
              <w:rPr>
                <w:spacing w:val="-8"/>
              </w:rPr>
              <w:t>，其中人工牧草地占</w:t>
            </w:r>
            <w:r>
              <w:rPr>
                <w:spacing w:val="-62"/>
              </w:rPr>
              <w:t xml:space="preserve"> </w:t>
            </w:r>
            <w:r>
              <w:rPr>
                <w:rFonts w:ascii="Times New Roman" w:hAnsi="Times New Roman" w:eastAsia="Times New Roman" w:cs="Times New Roman"/>
                <w:spacing w:val="-8"/>
              </w:rPr>
              <w:t>61.00%</w:t>
            </w:r>
            <w:r>
              <w:rPr>
                <w:spacing w:val="-8"/>
              </w:rPr>
              <w:t>，其他草地</w:t>
            </w:r>
            <w:r>
              <w:t xml:space="preserve"> </w:t>
            </w:r>
            <w:r>
              <w:rPr>
                <w:rFonts w:ascii="Times New Roman" w:hAnsi="Times New Roman" w:eastAsia="Times New Roman" w:cs="Times New Roman"/>
                <w:spacing w:val="-5"/>
              </w:rPr>
              <w:t>34.61%</w:t>
            </w:r>
            <w:r>
              <w:rPr>
                <w:rFonts w:ascii="Times New Roman" w:hAnsi="Times New Roman" w:eastAsia="Times New Roman" w:cs="Times New Roman"/>
                <w:spacing w:val="-17"/>
              </w:rPr>
              <w:t xml:space="preserve"> </w:t>
            </w:r>
            <w:r>
              <w:rPr>
                <w:spacing w:val="-5"/>
              </w:rPr>
              <w:t>，非林草地</w:t>
            </w:r>
            <w:r>
              <w:rPr>
                <w:spacing w:val="-56"/>
              </w:rPr>
              <w:t xml:space="preserve"> </w:t>
            </w:r>
            <w:r>
              <w:rPr>
                <w:rFonts w:ascii="Times New Roman" w:hAnsi="Times New Roman" w:eastAsia="Times New Roman" w:cs="Times New Roman"/>
                <w:spacing w:val="-5"/>
              </w:rPr>
              <w:t>4.33%</w:t>
            </w:r>
            <w:r>
              <w:rPr>
                <w:rFonts w:ascii="Times New Roman" w:hAnsi="Times New Roman" w:eastAsia="Times New Roman" w:cs="Times New Roman"/>
                <w:spacing w:val="-32"/>
              </w:rPr>
              <w:t xml:space="preserve"> </w:t>
            </w:r>
            <w:r>
              <w:rPr>
                <w:spacing w:val="-5"/>
              </w:rPr>
              <w:t>，林地为</w:t>
            </w:r>
            <w:r>
              <w:rPr>
                <w:spacing w:val="-56"/>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w:t>
            </w:r>
            <w:r>
              <w:rPr>
                <w:spacing w:val="-5"/>
              </w:rPr>
              <w:t>以下。</w:t>
            </w:r>
          </w:p>
          <w:p w14:paraId="0ABB4A84">
            <w:pPr>
              <w:pStyle w:val="6"/>
              <w:spacing w:before="31" w:line="223" w:lineRule="auto"/>
              <w:ind w:left="2346"/>
              <w:rPr>
                <w:sz w:val="20"/>
                <w:szCs w:val="20"/>
              </w:rPr>
            </w:pPr>
            <w:r>
              <w:rPr>
                <w:b/>
                <w:bCs/>
                <w:spacing w:val="6"/>
                <w:sz w:val="20"/>
                <w:szCs w:val="20"/>
              </w:rPr>
              <w:t>表</w:t>
            </w:r>
            <w:r>
              <w:rPr>
                <w:spacing w:val="-38"/>
                <w:sz w:val="20"/>
                <w:szCs w:val="20"/>
              </w:rPr>
              <w:t xml:space="preserve"> </w:t>
            </w:r>
            <w:r>
              <w:rPr>
                <w:rFonts w:ascii="Times New Roman" w:hAnsi="Times New Roman" w:eastAsia="Times New Roman" w:cs="Times New Roman"/>
                <w:b/>
                <w:bCs/>
                <w:spacing w:val="6"/>
                <w:sz w:val="20"/>
                <w:szCs w:val="20"/>
              </w:rPr>
              <w:t xml:space="preserve">3-2    </w:t>
            </w:r>
            <w:r>
              <w:rPr>
                <w:b/>
                <w:bCs/>
                <w:spacing w:val="6"/>
                <w:sz w:val="20"/>
                <w:szCs w:val="20"/>
              </w:rPr>
              <w:t>项目区土地利用类型面积统计表</w:t>
            </w:r>
          </w:p>
          <w:tbl>
            <w:tblPr>
              <w:tblStyle w:val="5"/>
              <w:tblW w:w="818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9"/>
              <w:gridCol w:w="1796"/>
              <w:gridCol w:w="2371"/>
              <w:gridCol w:w="2459"/>
            </w:tblGrid>
            <w:tr w14:paraId="040EE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3355" w:type="dxa"/>
                  <w:gridSpan w:val="2"/>
                  <w:vAlign w:val="top"/>
                </w:tcPr>
                <w:p w14:paraId="28F847D1">
                  <w:pPr>
                    <w:pStyle w:val="6"/>
                    <w:spacing w:before="35" w:line="217" w:lineRule="auto"/>
                    <w:ind w:left="523"/>
                    <w:rPr>
                      <w:sz w:val="20"/>
                      <w:szCs w:val="20"/>
                    </w:rPr>
                  </w:pPr>
                  <w:r>
                    <w:rPr>
                      <w:b/>
                      <w:bCs/>
                      <w:spacing w:val="7"/>
                      <w:sz w:val="20"/>
                      <w:szCs w:val="20"/>
                    </w:rPr>
                    <w:t>评价区土地利用现状类型</w:t>
                  </w:r>
                </w:p>
              </w:tc>
              <w:tc>
                <w:tcPr>
                  <w:tcW w:w="2371" w:type="dxa"/>
                  <w:vMerge w:val="restart"/>
                  <w:tcBorders>
                    <w:bottom w:val="nil"/>
                  </w:tcBorders>
                  <w:vAlign w:val="top"/>
                </w:tcPr>
                <w:p w14:paraId="1B010F3B">
                  <w:pPr>
                    <w:pStyle w:val="6"/>
                    <w:spacing w:before="175" w:line="226" w:lineRule="auto"/>
                    <w:ind w:right="14"/>
                    <w:jc w:val="right"/>
                    <w:rPr>
                      <w:sz w:val="20"/>
                      <w:szCs w:val="20"/>
                    </w:rPr>
                  </w:pPr>
                  <w:r>
                    <w:rPr>
                      <w:b/>
                      <w:bCs/>
                      <w:spacing w:val="7"/>
                      <w:sz w:val="20"/>
                      <w:szCs w:val="20"/>
                    </w:rPr>
                    <w:t>评价范围内面积（</w:t>
                  </w:r>
                  <w:r>
                    <w:rPr>
                      <w:rFonts w:ascii="Times New Roman" w:hAnsi="Times New Roman" w:eastAsia="Times New Roman" w:cs="Times New Roman"/>
                      <w:b/>
                      <w:bCs/>
                      <w:sz w:val="20"/>
                      <w:szCs w:val="20"/>
                    </w:rPr>
                    <w:t>hm</w:t>
                  </w:r>
                  <w:r>
                    <w:rPr>
                      <w:rFonts w:ascii="Times New Roman" w:hAnsi="Times New Roman" w:eastAsia="Times New Roman" w:cs="Times New Roman"/>
                      <w:b/>
                      <w:bCs/>
                      <w:spacing w:val="7"/>
                      <w:position w:val="6"/>
                      <w:sz w:val="13"/>
                      <w:szCs w:val="13"/>
                    </w:rPr>
                    <w:t>2</w:t>
                  </w:r>
                  <w:r>
                    <w:rPr>
                      <w:b/>
                      <w:bCs/>
                      <w:spacing w:val="7"/>
                      <w:sz w:val="20"/>
                      <w:szCs w:val="20"/>
                    </w:rPr>
                    <w:t>）</w:t>
                  </w:r>
                </w:p>
              </w:tc>
              <w:tc>
                <w:tcPr>
                  <w:tcW w:w="2459" w:type="dxa"/>
                  <w:vMerge w:val="restart"/>
                  <w:tcBorders>
                    <w:bottom w:val="nil"/>
                  </w:tcBorders>
                  <w:vAlign w:val="top"/>
                </w:tcPr>
                <w:p w14:paraId="43520454">
                  <w:pPr>
                    <w:pStyle w:val="6"/>
                    <w:spacing w:before="175" w:line="229" w:lineRule="auto"/>
                    <w:ind w:left="729"/>
                    <w:rPr>
                      <w:sz w:val="20"/>
                      <w:szCs w:val="20"/>
                    </w:rPr>
                  </w:pPr>
                  <w:r>
                    <w:rPr>
                      <w:b/>
                      <w:bCs/>
                      <w:sz w:val="20"/>
                      <w:szCs w:val="20"/>
                    </w:rPr>
                    <w:t>比例（</w:t>
                  </w:r>
                  <w:r>
                    <w:rPr>
                      <w:rFonts w:ascii="Times New Roman" w:hAnsi="Times New Roman" w:eastAsia="Times New Roman" w:cs="Times New Roman"/>
                      <w:b/>
                      <w:bCs/>
                      <w:sz w:val="20"/>
                      <w:szCs w:val="20"/>
                    </w:rPr>
                    <w:t>%</w:t>
                  </w:r>
                  <w:r>
                    <w:rPr>
                      <w:b/>
                      <w:bCs/>
                      <w:sz w:val="20"/>
                      <w:szCs w:val="20"/>
                    </w:rPr>
                    <w:t>）</w:t>
                  </w:r>
                </w:p>
              </w:tc>
            </w:tr>
            <w:tr w14:paraId="7B00D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59" w:type="dxa"/>
                  <w:vAlign w:val="top"/>
                </w:tcPr>
                <w:p w14:paraId="2C30C71C">
                  <w:pPr>
                    <w:pStyle w:val="6"/>
                    <w:spacing w:before="30" w:line="217" w:lineRule="auto"/>
                    <w:ind w:left="472"/>
                    <w:rPr>
                      <w:sz w:val="20"/>
                      <w:szCs w:val="20"/>
                    </w:rPr>
                  </w:pPr>
                  <w:r>
                    <w:rPr>
                      <w:b/>
                      <w:bCs/>
                      <w:spacing w:val="4"/>
                      <w:sz w:val="20"/>
                      <w:szCs w:val="20"/>
                    </w:rPr>
                    <w:t>一级类</w:t>
                  </w:r>
                </w:p>
              </w:tc>
              <w:tc>
                <w:tcPr>
                  <w:tcW w:w="1796" w:type="dxa"/>
                  <w:vAlign w:val="top"/>
                </w:tcPr>
                <w:p w14:paraId="15A0D5E7">
                  <w:pPr>
                    <w:pStyle w:val="6"/>
                    <w:spacing w:before="30" w:line="217" w:lineRule="auto"/>
                    <w:ind w:left="588"/>
                    <w:rPr>
                      <w:sz w:val="20"/>
                      <w:szCs w:val="20"/>
                    </w:rPr>
                  </w:pPr>
                  <w:r>
                    <w:rPr>
                      <w:b/>
                      <w:bCs/>
                      <w:spacing w:val="4"/>
                      <w:sz w:val="20"/>
                      <w:szCs w:val="20"/>
                    </w:rPr>
                    <w:t>二级类</w:t>
                  </w:r>
                </w:p>
              </w:tc>
              <w:tc>
                <w:tcPr>
                  <w:tcW w:w="2371" w:type="dxa"/>
                  <w:vMerge w:val="continue"/>
                  <w:tcBorders>
                    <w:top w:val="nil"/>
                  </w:tcBorders>
                  <w:vAlign w:val="top"/>
                </w:tcPr>
                <w:p w14:paraId="615F3D48">
                  <w:pPr>
                    <w:rPr>
                      <w:rFonts w:ascii="Arial"/>
                      <w:sz w:val="21"/>
                    </w:rPr>
                  </w:pPr>
                </w:p>
              </w:tc>
              <w:tc>
                <w:tcPr>
                  <w:tcW w:w="2459" w:type="dxa"/>
                  <w:vMerge w:val="continue"/>
                  <w:tcBorders>
                    <w:top w:val="nil"/>
                  </w:tcBorders>
                  <w:vAlign w:val="top"/>
                </w:tcPr>
                <w:p w14:paraId="4A3D7862">
                  <w:pPr>
                    <w:rPr>
                      <w:rFonts w:ascii="Arial"/>
                      <w:sz w:val="21"/>
                    </w:rPr>
                  </w:pPr>
                </w:p>
              </w:tc>
            </w:tr>
            <w:tr w14:paraId="342FD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59" w:type="dxa"/>
                  <w:vMerge w:val="restart"/>
                  <w:tcBorders>
                    <w:bottom w:val="nil"/>
                  </w:tcBorders>
                  <w:vAlign w:val="top"/>
                </w:tcPr>
                <w:p w14:paraId="65FC3508">
                  <w:pPr>
                    <w:spacing w:line="246" w:lineRule="auto"/>
                    <w:rPr>
                      <w:rFonts w:ascii="Arial"/>
                      <w:sz w:val="21"/>
                    </w:rPr>
                  </w:pPr>
                </w:p>
                <w:p w14:paraId="4ED22F7E">
                  <w:pPr>
                    <w:pStyle w:val="6"/>
                    <w:spacing w:before="65" w:line="227" w:lineRule="auto"/>
                    <w:ind w:left="576"/>
                    <w:rPr>
                      <w:sz w:val="20"/>
                      <w:szCs w:val="20"/>
                    </w:rPr>
                  </w:pPr>
                  <w:r>
                    <w:rPr>
                      <w:spacing w:val="5"/>
                      <w:sz w:val="20"/>
                      <w:szCs w:val="20"/>
                    </w:rPr>
                    <w:t>草地</w:t>
                  </w:r>
                </w:p>
              </w:tc>
              <w:tc>
                <w:tcPr>
                  <w:tcW w:w="1796" w:type="dxa"/>
                  <w:vAlign w:val="top"/>
                </w:tcPr>
                <w:p w14:paraId="0B1CC0ED">
                  <w:pPr>
                    <w:pStyle w:val="6"/>
                    <w:spacing w:before="32" w:line="217" w:lineRule="auto"/>
                    <w:ind w:left="377"/>
                    <w:rPr>
                      <w:sz w:val="20"/>
                      <w:szCs w:val="20"/>
                    </w:rPr>
                  </w:pPr>
                  <w:r>
                    <w:rPr>
                      <w:spacing w:val="7"/>
                      <w:sz w:val="20"/>
                      <w:szCs w:val="20"/>
                    </w:rPr>
                    <w:t>人工牧草地</w:t>
                  </w:r>
                </w:p>
              </w:tc>
              <w:tc>
                <w:tcPr>
                  <w:tcW w:w="2371" w:type="dxa"/>
                  <w:vAlign w:val="top"/>
                </w:tcPr>
                <w:p w14:paraId="3F667EC3">
                  <w:pPr>
                    <w:spacing w:before="68" w:line="195" w:lineRule="auto"/>
                    <w:ind w:left="8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85.4756</w:t>
                  </w:r>
                </w:p>
              </w:tc>
              <w:tc>
                <w:tcPr>
                  <w:tcW w:w="2459" w:type="dxa"/>
                  <w:vAlign w:val="top"/>
                </w:tcPr>
                <w:p w14:paraId="630E4D44">
                  <w:pPr>
                    <w:spacing w:before="68" w:line="195"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61.00</w:t>
                  </w:r>
                </w:p>
              </w:tc>
            </w:tr>
            <w:tr w14:paraId="3E202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59" w:type="dxa"/>
                  <w:vMerge w:val="continue"/>
                  <w:tcBorders>
                    <w:top w:val="nil"/>
                    <w:bottom w:val="nil"/>
                  </w:tcBorders>
                  <w:vAlign w:val="top"/>
                </w:tcPr>
                <w:p w14:paraId="24ADA53F">
                  <w:pPr>
                    <w:rPr>
                      <w:rFonts w:ascii="Arial"/>
                      <w:sz w:val="21"/>
                    </w:rPr>
                  </w:pPr>
                </w:p>
              </w:tc>
              <w:tc>
                <w:tcPr>
                  <w:tcW w:w="1796" w:type="dxa"/>
                  <w:vAlign w:val="top"/>
                </w:tcPr>
                <w:p w14:paraId="30A688B2">
                  <w:pPr>
                    <w:pStyle w:val="6"/>
                    <w:spacing w:before="29" w:line="218" w:lineRule="auto"/>
                    <w:ind w:left="482"/>
                    <w:rPr>
                      <w:sz w:val="20"/>
                      <w:szCs w:val="20"/>
                    </w:rPr>
                  </w:pPr>
                  <w:r>
                    <w:rPr>
                      <w:spacing w:val="7"/>
                      <w:sz w:val="20"/>
                      <w:szCs w:val="20"/>
                    </w:rPr>
                    <w:t>其他草地</w:t>
                  </w:r>
                </w:p>
              </w:tc>
              <w:tc>
                <w:tcPr>
                  <w:tcW w:w="2371" w:type="dxa"/>
                  <w:vAlign w:val="top"/>
                </w:tcPr>
                <w:p w14:paraId="10FB6830">
                  <w:pPr>
                    <w:spacing w:before="65" w:line="195"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48.5051</w:t>
                  </w:r>
                </w:p>
              </w:tc>
              <w:tc>
                <w:tcPr>
                  <w:tcW w:w="2459" w:type="dxa"/>
                  <w:vAlign w:val="top"/>
                </w:tcPr>
                <w:p w14:paraId="3BF2EC19">
                  <w:pPr>
                    <w:spacing w:before="65" w:line="195"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34.61</w:t>
                  </w:r>
                </w:p>
              </w:tc>
            </w:tr>
            <w:tr w14:paraId="419F7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59" w:type="dxa"/>
                  <w:vMerge w:val="continue"/>
                  <w:tcBorders>
                    <w:top w:val="nil"/>
                  </w:tcBorders>
                  <w:vAlign w:val="top"/>
                </w:tcPr>
                <w:p w14:paraId="55079869">
                  <w:pPr>
                    <w:rPr>
                      <w:rFonts w:ascii="Arial"/>
                      <w:sz w:val="21"/>
                    </w:rPr>
                  </w:pPr>
                </w:p>
              </w:tc>
              <w:tc>
                <w:tcPr>
                  <w:tcW w:w="1796" w:type="dxa"/>
                  <w:vAlign w:val="top"/>
                </w:tcPr>
                <w:p w14:paraId="3B0D35E1">
                  <w:pPr>
                    <w:pStyle w:val="6"/>
                    <w:spacing w:before="31" w:line="217" w:lineRule="auto"/>
                    <w:ind w:left="698"/>
                    <w:rPr>
                      <w:sz w:val="20"/>
                      <w:szCs w:val="20"/>
                    </w:rPr>
                  </w:pPr>
                  <w:r>
                    <w:rPr>
                      <w:spacing w:val="2"/>
                      <w:sz w:val="20"/>
                      <w:szCs w:val="20"/>
                    </w:rPr>
                    <w:t>小计</w:t>
                  </w:r>
                </w:p>
              </w:tc>
              <w:tc>
                <w:tcPr>
                  <w:tcW w:w="2371" w:type="dxa"/>
                  <w:vAlign w:val="top"/>
                </w:tcPr>
                <w:p w14:paraId="457BCB58">
                  <w:pPr>
                    <w:spacing w:before="67" w:line="195"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133.9807</w:t>
                  </w:r>
                </w:p>
              </w:tc>
              <w:tc>
                <w:tcPr>
                  <w:tcW w:w="2459" w:type="dxa"/>
                  <w:vAlign w:val="top"/>
                </w:tcPr>
                <w:p w14:paraId="65417814">
                  <w:pPr>
                    <w:spacing w:before="67" w:line="195"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95.61</w:t>
                  </w:r>
                </w:p>
              </w:tc>
            </w:tr>
            <w:tr w14:paraId="42EC7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59" w:type="dxa"/>
                  <w:vMerge w:val="restart"/>
                  <w:tcBorders>
                    <w:bottom w:val="nil"/>
                  </w:tcBorders>
                  <w:vAlign w:val="top"/>
                </w:tcPr>
                <w:p w14:paraId="2165747B">
                  <w:pPr>
                    <w:spacing w:line="246" w:lineRule="auto"/>
                    <w:rPr>
                      <w:rFonts w:ascii="Arial"/>
                      <w:sz w:val="21"/>
                    </w:rPr>
                  </w:pPr>
                </w:p>
                <w:p w14:paraId="0C5BFC28">
                  <w:pPr>
                    <w:pStyle w:val="6"/>
                    <w:spacing w:before="65" w:line="227" w:lineRule="auto"/>
                    <w:ind w:left="575"/>
                    <w:rPr>
                      <w:sz w:val="20"/>
                      <w:szCs w:val="20"/>
                    </w:rPr>
                  </w:pPr>
                  <w:r>
                    <w:rPr>
                      <w:spacing w:val="4"/>
                      <w:sz w:val="20"/>
                      <w:szCs w:val="20"/>
                    </w:rPr>
                    <w:t>林地</w:t>
                  </w:r>
                </w:p>
              </w:tc>
              <w:tc>
                <w:tcPr>
                  <w:tcW w:w="1796" w:type="dxa"/>
                  <w:vAlign w:val="top"/>
                </w:tcPr>
                <w:p w14:paraId="67527E8A">
                  <w:pPr>
                    <w:pStyle w:val="6"/>
                    <w:spacing w:before="33" w:line="216" w:lineRule="auto"/>
                    <w:ind w:left="482"/>
                    <w:rPr>
                      <w:sz w:val="20"/>
                      <w:szCs w:val="20"/>
                    </w:rPr>
                  </w:pPr>
                  <w:r>
                    <w:rPr>
                      <w:spacing w:val="7"/>
                      <w:sz w:val="20"/>
                      <w:szCs w:val="20"/>
                    </w:rPr>
                    <w:t>乔木林地</w:t>
                  </w:r>
                </w:p>
              </w:tc>
              <w:tc>
                <w:tcPr>
                  <w:tcW w:w="2371" w:type="dxa"/>
                  <w:vAlign w:val="top"/>
                </w:tcPr>
                <w:p w14:paraId="0921188C">
                  <w:pPr>
                    <w:spacing w:before="68" w:line="195" w:lineRule="auto"/>
                    <w:ind w:left="9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0.0294</w:t>
                  </w:r>
                </w:p>
              </w:tc>
              <w:tc>
                <w:tcPr>
                  <w:tcW w:w="2459" w:type="dxa"/>
                  <w:vAlign w:val="top"/>
                </w:tcPr>
                <w:p w14:paraId="193F7B64">
                  <w:pPr>
                    <w:spacing w:before="68" w:line="195" w:lineRule="auto"/>
                    <w:ind w:left="10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21287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59" w:type="dxa"/>
                  <w:vMerge w:val="continue"/>
                  <w:tcBorders>
                    <w:top w:val="nil"/>
                    <w:bottom w:val="nil"/>
                  </w:tcBorders>
                  <w:vAlign w:val="top"/>
                </w:tcPr>
                <w:p w14:paraId="73AF8999">
                  <w:pPr>
                    <w:rPr>
                      <w:rFonts w:ascii="Arial"/>
                      <w:sz w:val="21"/>
                    </w:rPr>
                  </w:pPr>
                </w:p>
              </w:tc>
              <w:tc>
                <w:tcPr>
                  <w:tcW w:w="1796" w:type="dxa"/>
                  <w:vAlign w:val="top"/>
                </w:tcPr>
                <w:p w14:paraId="3EC6A438">
                  <w:pPr>
                    <w:pStyle w:val="6"/>
                    <w:spacing w:before="30" w:line="218" w:lineRule="auto"/>
                    <w:ind w:left="482"/>
                    <w:rPr>
                      <w:sz w:val="20"/>
                      <w:szCs w:val="20"/>
                    </w:rPr>
                  </w:pPr>
                  <w:r>
                    <w:rPr>
                      <w:spacing w:val="7"/>
                      <w:sz w:val="20"/>
                      <w:szCs w:val="20"/>
                    </w:rPr>
                    <w:t>其他林地</w:t>
                  </w:r>
                </w:p>
              </w:tc>
              <w:tc>
                <w:tcPr>
                  <w:tcW w:w="2371" w:type="dxa"/>
                  <w:vAlign w:val="top"/>
                </w:tcPr>
                <w:p w14:paraId="161F5A37">
                  <w:pPr>
                    <w:spacing w:before="66" w:line="195" w:lineRule="auto"/>
                    <w:ind w:left="9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0.0495</w:t>
                  </w:r>
                </w:p>
              </w:tc>
              <w:tc>
                <w:tcPr>
                  <w:tcW w:w="2459" w:type="dxa"/>
                  <w:vAlign w:val="top"/>
                </w:tcPr>
                <w:p w14:paraId="58325EF3">
                  <w:pPr>
                    <w:spacing w:before="66" w:line="195" w:lineRule="auto"/>
                    <w:ind w:left="10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14:paraId="6DBEF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59" w:type="dxa"/>
                  <w:vMerge w:val="continue"/>
                  <w:tcBorders>
                    <w:top w:val="nil"/>
                  </w:tcBorders>
                  <w:vAlign w:val="top"/>
                </w:tcPr>
                <w:p w14:paraId="44AFB199">
                  <w:pPr>
                    <w:rPr>
                      <w:rFonts w:ascii="Arial"/>
                      <w:sz w:val="21"/>
                    </w:rPr>
                  </w:pPr>
                </w:p>
              </w:tc>
              <w:tc>
                <w:tcPr>
                  <w:tcW w:w="1796" w:type="dxa"/>
                  <w:vAlign w:val="top"/>
                </w:tcPr>
                <w:p w14:paraId="1AF4719B">
                  <w:pPr>
                    <w:pStyle w:val="6"/>
                    <w:spacing w:before="31" w:line="217" w:lineRule="auto"/>
                    <w:ind w:left="698"/>
                    <w:rPr>
                      <w:sz w:val="20"/>
                      <w:szCs w:val="20"/>
                    </w:rPr>
                  </w:pPr>
                  <w:r>
                    <w:rPr>
                      <w:spacing w:val="2"/>
                      <w:sz w:val="20"/>
                      <w:szCs w:val="20"/>
                    </w:rPr>
                    <w:t>小计</w:t>
                  </w:r>
                </w:p>
              </w:tc>
              <w:tc>
                <w:tcPr>
                  <w:tcW w:w="2371" w:type="dxa"/>
                  <w:vAlign w:val="top"/>
                </w:tcPr>
                <w:p w14:paraId="082B54C1">
                  <w:pPr>
                    <w:spacing w:before="67" w:line="195" w:lineRule="auto"/>
                    <w:ind w:left="9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0.0789</w:t>
                  </w:r>
                </w:p>
              </w:tc>
              <w:tc>
                <w:tcPr>
                  <w:tcW w:w="2459" w:type="dxa"/>
                  <w:vAlign w:val="top"/>
                </w:tcPr>
                <w:p w14:paraId="431BE98A">
                  <w:pPr>
                    <w:spacing w:before="67" w:line="195" w:lineRule="auto"/>
                    <w:ind w:left="10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r>
            <w:tr w14:paraId="699F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355" w:type="dxa"/>
                  <w:gridSpan w:val="2"/>
                  <w:vAlign w:val="top"/>
                </w:tcPr>
                <w:p w14:paraId="6C75668B">
                  <w:pPr>
                    <w:pStyle w:val="6"/>
                    <w:spacing w:before="32" w:line="217" w:lineRule="auto"/>
                    <w:ind w:left="1266"/>
                    <w:rPr>
                      <w:sz w:val="20"/>
                      <w:szCs w:val="20"/>
                    </w:rPr>
                  </w:pPr>
                  <w:r>
                    <w:rPr>
                      <w:spacing w:val="6"/>
                      <w:sz w:val="20"/>
                      <w:szCs w:val="20"/>
                    </w:rPr>
                    <w:t>非林草地</w:t>
                  </w:r>
                </w:p>
              </w:tc>
              <w:tc>
                <w:tcPr>
                  <w:tcW w:w="2371" w:type="dxa"/>
                  <w:vAlign w:val="top"/>
                </w:tcPr>
                <w:p w14:paraId="78AEDB13">
                  <w:pPr>
                    <w:spacing w:before="68"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6.0708</w:t>
                  </w:r>
                </w:p>
              </w:tc>
              <w:tc>
                <w:tcPr>
                  <w:tcW w:w="2459" w:type="dxa"/>
                  <w:vAlign w:val="top"/>
                </w:tcPr>
                <w:p w14:paraId="597BB4B3">
                  <w:pPr>
                    <w:spacing w:before="68" w:line="195" w:lineRule="auto"/>
                    <w:ind w:left="10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4.33</w:t>
                  </w:r>
                </w:p>
              </w:tc>
            </w:tr>
            <w:tr w14:paraId="44AF8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3355" w:type="dxa"/>
                  <w:gridSpan w:val="2"/>
                  <w:tcBorders>
                    <w:bottom w:val="nil"/>
                  </w:tcBorders>
                  <w:vAlign w:val="top"/>
                </w:tcPr>
                <w:p w14:paraId="78D50CC4">
                  <w:pPr>
                    <w:pStyle w:val="6"/>
                    <w:spacing w:before="30" w:line="222" w:lineRule="auto"/>
                    <w:ind w:left="1479"/>
                    <w:rPr>
                      <w:sz w:val="20"/>
                      <w:szCs w:val="20"/>
                    </w:rPr>
                  </w:pPr>
                  <w:r>
                    <w:rPr>
                      <w:spacing w:val="2"/>
                      <w:sz w:val="20"/>
                      <w:szCs w:val="20"/>
                    </w:rPr>
                    <w:t>总计</w:t>
                  </w:r>
                </w:p>
              </w:tc>
              <w:tc>
                <w:tcPr>
                  <w:tcW w:w="2371" w:type="dxa"/>
                  <w:tcBorders>
                    <w:bottom w:val="nil"/>
                  </w:tcBorders>
                  <w:vAlign w:val="top"/>
                </w:tcPr>
                <w:p w14:paraId="7C3D5884">
                  <w:pPr>
                    <w:spacing w:before="65" w:line="195"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140.1304</w:t>
                  </w:r>
                </w:p>
              </w:tc>
              <w:tc>
                <w:tcPr>
                  <w:tcW w:w="2459" w:type="dxa"/>
                  <w:tcBorders>
                    <w:bottom w:val="nil"/>
                  </w:tcBorders>
                  <w:vAlign w:val="top"/>
                </w:tcPr>
                <w:p w14:paraId="2E3FC082">
                  <w:pPr>
                    <w:spacing w:before="65" w:line="195" w:lineRule="auto"/>
                    <w:ind w:left="963"/>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bl>
          <w:p w14:paraId="5DB28F14">
            <w:pPr>
              <w:spacing w:line="14" w:lineRule="auto"/>
              <w:rPr>
                <w:rFonts w:ascii="Arial"/>
                <w:sz w:val="2"/>
              </w:rPr>
            </w:pPr>
          </w:p>
        </w:tc>
      </w:tr>
    </w:tbl>
    <w:p w14:paraId="510B8130">
      <w:pPr>
        <w:rPr>
          <w:rFonts w:ascii="Arial"/>
          <w:sz w:val="21"/>
        </w:rPr>
      </w:pPr>
    </w:p>
    <w:p w14:paraId="3FA72DDA">
      <w:pPr>
        <w:rPr>
          <w:rFonts w:ascii="Arial" w:hAnsi="Arial" w:eastAsia="Arial" w:cs="Arial"/>
          <w:sz w:val="21"/>
          <w:szCs w:val="21"/>
        </w:rPr>
        <w:sectPr>
          <w:footerReference r:id="rId83" w:type="default"/>
          <w:pgSz w:w="11906" w:h="16839"/>
          <w:pgMar w:top="1431" w:right="1413" w:bottom="1276" w:left="1413" w:header="0" w:footer="1116" w:gutter="0"/>
          <w:cols w:space="720" w:num="1"/>
        </w:sectPr>
      </w:pPr>
    </w:p>
    <w:p w14:paraId="76B243CE">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73FEC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668" w:type="dxa"/>
            <w:tcBorders>
              <w:right w:val="single" w:color="000000" w:sz="2" w:space="0"/>
            </w:tcBorders>
            <w:vAlign w:val="top"/>
          </w:tcPr>
          <w:p w14:paraId="298AB548">
            <w:pPr>
              <w:rPr>
                <w:rFonts w:ascii="Arial"/>
                <w:sz w:val="21"/>
              </w:rPr>
            </w:pPr>
          </w:p>
        </w:tc>
        <w:tc>
          <w:tcPr>
            <w:tcW w:w="8396" w:type="dxa"/>
            <w:tcBorders>
              <w:left w:val="single" w:color="000000" w:sz="2" w:space="0"/>
            </w:tcBorders>
            <w:vAlign w:val="top"/>
          </w:tcPr>
          <w:p w14:paraId="788D4403">
            <w:pPr>
              <w:pStyle w:val="6"/>
              <w:spacing w:before="41" w:line="218" w:lineRule="auto"/>
              <w:ind w:left="583"/>
            </w:pPr>
            <w:r>
              <w:rPr>
                <w:rFonts w:ascii="Times New Roman" w:hAnsi="Times New Roman" w:eastAsia="Times New Roman" w:cs="Times New Roman"/>
                <w:b/>
                <w:bCs/>
                <w:spacing w:val="-2"/>
              </w:rPr>
              <w:t xml:space="preserve">3.2 </w:t>
            </w:r>
            <w:r>
              <w:rPr>
                <w:b/>
                <w:bCs/>
                <w:spacing w:val="-2"/>
              </w:rPr>
              <w:t>评价范围</w:t>
            </w:r>
          </w:p>
          <w:p w14:paraId="0366C719">
            <w:pPr>
              <w:pStyle w:val="6"/>
              <w:spacing w:before="182" w:line="222" w:lineRule="auto"/>
              <w:ind w:left="600"/>
            </w:pPr>
            <w:r>
              <w:rPr>
                <w:spacing w:val="-3"/>
              </w:rPr>
              <w:t>（</w:t>
            </w:r>
            <w:r>
              <w:rPr>
                <w:rFonts w:ascii="Times New Roman" w:hAnsi="Times New Roman" w:eastAsia="Times New Roman" w:cs="Times New Roman"/>
                <w:spacing w:val="-3"/>
              </w:rPr>
              <w:t>1</w:t>
            </w:r>
            <w:r>
              <w:rPr>
                <w:spacing w:val="-3"/>
              </w:rPr>
              <w:t>）陆生生态</w:t>
            </w:r>
          </w:p>
          <w:p w14:paraId="57C796DC">
            <w:pPr>
              <w:pStyle w:val="6"/>
              <w:spacing w:before="175" w:line="351" w:lineRule="auto"/>
              <w:ind w:left="110" w:right="102" w:firstLine="480"/>
              <w:jc w:val="both"/>
            </w:pPr>
            <w:r>
              <w:t>本次陆生生态评价根据工程推荐方案确定调查范围和调查线路，重点调查</w:t>
            </w:r>
            <w:r>
              <w:rPr>
                <w:spacing w:val="12"/>
              </w:rPr>
              <w:t xml:space="preserve"> </w:t>
            </w:r>
            <w:r>
              <w:rPr>
                <w:spacing w:val="-5"/>
              </w:rPr>
              <w:t>项目集电线路、道路及外延</w:t>
            </w:r>
            <w:r>
              <w:rPr>
                <w:spacing w:val="-50"/>
              </w:rPr>
              <w:t xml:space="preserve"> </w:t>
            </w:r>
            <w:r>
              <w:rPr>
                <w:rFonts w:ascii="Times New Roman" w:hAnsi="Times New Roman" w:eastAsia="Times New Roman" w:cs="Times New Roman"/>
                <w:spacing w:val="-5"/>
              </w:rPr>
              <w:t>300m</w:t>
            </w:r>
            <w:r>
              <w:rPr>
                <w:rFonts w:ascii="Times New Roman" w:hAnsi="Times New Roman" w:eastAsia="Times New Roman" w:cs="Times New Roman"/>
                <w:spacing w:val="30"/>
              </w:rPr>
              <w:t xml:space="preserve"> </w:t>
            </w:r>
            <w:r>
              <w:rPr>
                <w:spacing w:val="-5"/>
              </w:rPr>
              <w:t>的区域和</w:t>
            </w:r>
            <w:r>
              <w:rPr>
                <w:spacing w:val="-6"/>
              </w:rPr>
              <w:t>光伏阵列区、升压站外延</w:t>
            </w:r>
            <w:r>
              <w:rPr>
                <w:spacing w:val="-49"/>
              </w:rPr>
              <w:t xml:space="preserve"> </w:t>
            </w:r>
            <w:r>
              <w:rPr>
                <w:rFonts w:ascii="Times New Roman" w:hAnsi="Times New Roman" w:eastAsia="Times New Roman" w:cs="Times New Roman"/>
                <w:spacing w:val="-6"/>
              </w:rPr>
              <w:t>500m</w:t>
            </w:r>
            <w:r>
              <w:rPr>
                <w:rFonts w:ascii="Times New Roman" w:hAnsi="Times New Roman" w:eastAsia="Times New Roman" w:cs="Times New Roman"/>
                <w:spacing w:val="30"/>
              </w:rPr>
              <w:t xml:space="preserve"> </w:t>
            </w:r>
            <w:r>
              <w:rPr>
                <w:spacing w:val="-6"/>
              </w:rPr>
              <w:t>的区</w:t>
            </w:r>
            <w:r>
              <w:t xml:space="preserve"> </w:t>
            </w:r>
            <w:r>
              <w:rPr>
                <w:spacing w:val="-2"/>
              </w:rPr>
              <w:t>域。本项目评价区海拔</w:t>
            </w:r>
            <w:r>
              <w:rPr>
                <w:spacing w:val="-48"/>
              </w:rPr>
              <w:t xml:space="preserve"> </w:t>
            </w:r>
            <w:r>
              <w:rPr>
                <w:rFonts w:ascii="Times New Roman" w:hAnsi="Times New Roman" w:eastAsia="Times New Roman" w:cs="Times New Roman"/>
                <w:spacing w:val="-2"/>
              </w:rPr>
              <w:t>2086</w:t>
            </w:r>
            <w:r>
              <w:rPr>
                <w:spacing w:val="-2"/>
              </w:rPr>
              <w:t>～</w:t>
            </w:r>
            <w:r>
              <w:rPr>
                <w:rFonts w:ascii="Times New Roman" w:hAnsi="Times New Roman" w:eastAsia="Times New Roman" w:cs="Times New Roman"/>
                <w:spacing w:val="-2"/>
              </w:rPr>
              <w:t>2380m</w:t>
            </w:r>
            <w:r>
              <w:rPr>
                <w:rFonts w:ascii="Times New Roman" w:hAnsi="Times New Roman" w:eastAsia="Times New Roman" w:cs="Times New Roman"/>
                <w:spacing w:val="-32"/>
              </w:rPr>
              <w:t xml:space="preserve"> </w:t>
            </w:r>
            <w:r>
              <w:rPr>
                <w:spacing w:val="-2"/>
              </w:rPr>
              <w:t>，评价区面积约</w:t>
            </w:r>
            <w:r>
              <w:rPr>
                <w:spacing w:val="-32"/>
              </w:rPr>
              <w:t xml:space="preserve"> </w:t>
            </w:r>
            <w:r>
              <w:rPr>
                <w:rFonts w:ascii="Times New Roman" w:hAnsi="Times New Roman" w:eastAsia="Times New Roman" w:cs="Times New Roman"/>
                <w:spacing w:val="-2"/>
              </w:rPr>
              <w:t>1540.453hm</w:t>
            </w:r>
            <w:r>
              <w:rPr>
                <w:rFonts w:ascii="Times New Roman" w:hAnsi="Times New Roman" w:eastAsia="Times New Roman" w:cs="Times New Roman"/>
                <w:spacing w:val="-2"/>
                <w:position w:val="8"/>
                <w:sz w:val="15"/>
                <w:szCs w:val="15"/>
              </w:rPr>
              <w:t>2</w:t>
            </w:r>
            <w:r>
              <w:rPr>
                <w:spacing w:val="-2"/>
              </w:rPr>
              <w:t>。</w:t>
            </w:r>
          </w:p>
          <w:p w14:paraId="152ECF63">
            <w:pPr>
              <w:pStyle w:val="6"/>
              <w:spacing w:before="34" w:line="219" w:lineRule="auto"/>
              <w:ind w:left="600"/>
            </w:pPr>
            <w:r>
              <w:rPr>
                <w:spacing w:val="-3"/>
              </w:rPr>
              <w:t>（</w:t>
            </w:r>
            <w:r>
              <w:rPr>
                <w:rFonts w:ascii="Times New Roman" w:hAnsi="Times New Roman" w:eastAsia="Times New Roman" w:cs="Times New Roman"/>
                <w:spacing w:val="-3"/>
              </w:rPr>
              <w:t>2</w:t>
            </w:r>
            <w:r>
              <w:rPr>
                <w:spacing w:val="-3"/>
              </w:rPr>
              <w:t>）水生生态</w:t>
            </w:r>
          </w:p>
          <w:p w14:paraId="3CBCA03B">
            <w:pPr>
              <w:pStyle w:val="6"/>
              <w:spacing w:before="182" w:line="350" w:lineRule="auto"/>
              <w:ind w:left="112" w:right="102" w:firstLine="477"/>
            </w:pPr>
            <w:r>
              <w:t>本项目所在区域地表水系不发育，项目区周边仅有少量季节性箐沟，与项</w:t>
            </w:r>
            <w:r>
              <w:rPr>
                <w:spacing w:val="12"/>
              </w:rPr>
              <w:t xml:space="preserve"> </w:t>
            </w:r>
            <w:r>
              <w:rPr>
                <w:spacing w:val="-1"/>
              </w:rPr>
              <w:t>目区距离最近的地表水体为项目南侧和东南侧的牛栏江，最近距离约</w:t>
            </w:r>
            <w:r>
              <w:rPr>
                <w:spacing w:val="-49"/>
              </w:rPr>
              <w:t xml:space="preserve"> </w:t>
            </w:r>
            <w:r>
              <w:rPr>
                <w:rFonts w:ascii="Times New Roman" w:hAnsi="Times New Roman" w:eastAsia="Times New Roman" w:cs="Times New Roman"/>
                <w:spacing w:val="-1"/>
              </w:rPr>
              <w:t>2400m</w:t>
            </w:r>
            <w:r>
              <w:rPr>
                <w:rFonts w:ascii="Times New Roman" w:hAnsi="Times New Roman" w:eastAsia="Times New Roman" w:cs="Times New Roman"/>
                <w:spacing w:val="-32"/>
              </w:rPr>
              <w:t xml:space="preserve"> </w:t>
            </w:r>
            <w:r>
              <w:rPr>
                <w:spacing w:val="-1"/>
              </w:rPr>
              <w:t>，</w:t>
            </w:r>
            <w:r>
              <w:t xml:space="preserve"> </w:t>
            </w:r>
            <w:r>
              <w:rPr>
                <w:spacing w:val="-2"/>
              </w:rPr>
              <w:t>项目建设对其基本无影响。</w:t>
            </w:r>
          </w:p>
          <w:p w14:paraId="1CC33DAF">
            <w:pPr>
              <w:pStyle w:val="6"/>
              <w:spacing w:before="34" w:line="221" w:lineRule="auto"/>
              <w:ind w:left="583"/>
            </w:pPr>
            <w:r>
              <w:rPr>
                <w:rFonts w:ascii="Times New Roman" w:hAnsi="Times New Roman" w:eastAsia="Times New Roman" w:cs="Times New Roman"/>
                <w:b/>
                <w:bCs/>
                <w:spacing w:val="-4"/>
              </w:rPr>
              <w:t>3.3</w:t>
            </w:r>
            <w:r>
              <w:rPr>
                <w:rFonts w:ascii="Times New Roman" w:hAnsi="Times New Roman" w:eastAsia="Times New Roman" w:cs="Times New Roman"/>
                <w:b/>
                <w:bCs/>
                <w:spacing w:val="15"/>
              </w:rPr>
              <w:t xml:space="preserve"> </w:t>
            </w:r>
            <w:r>
              <w:rPr>
                <w:b/>
                <w:bCs/>
                <w:spacing w:val="-4"/>
              </w:rPr>
              <w:t>调查方法</w:t>
            </w:r>
          </w:p>
          <w:p w14:paraId="5A0AEB51">
            <w:pPr>
              <w:pStyle w:val="6"/>
              <w:spacing w:before="182" w:line="219" w:lineRule="auto"/>
              <w:ind w:left="600"/>
            </w:pPr>
            <w:r>
              <w:rPr>
                <w:spacing w:val="-3"/>
              </w:rPr>
              <w:t>（</w:t>
            </w:r>
            <w:r>
              <w:rPr>
                <w:rFonts w:ascii="Times New Roman" w:hAnsi="Times New Roman" w:eastAsia="Times New Roman" w:cs="Times New Roman"/>
                <w:spacing w:val="-3"/>
              </w:rPr>
              <w:t>1</w:t>
            </w:r>
            <w:r>
              <w:rPr>
                <w:spacing w:val="-3"/>
              </w:rPr>
              <w:t>）植物植被</w:t>
            </w:r>
          </w:p>
          <w:p w14:paraId="60024E9E">
            <w:pPr>
              <w:pStyle w:val="6"/>
              <w:spacing w:before="180" w:line="355" w:lineRule="auto"/>
              <w:ind w:left="109" w:right="102" w:firstLine="479"/>
            </w:pPr>
            <w:r>
              <w:t>对项目区内的典型植被进行调查，同时记下植物的种类，植被的组成等，</w:t>
            </w:r>
            <w:r>
              <w:rPr>
                <w:spacing w:val="14"/>
              </w:rPr>
              <w:t xml:space="preserve"> </w:t>
            </w:r>
            <w:r>
              <w:t>确定植物种类、植物群落，记录评价区植被和植物区系状况。同时注意收集相</w:t>
            </w:r>
            <w:r>
              <w:rPr>
                <w:spacing w:val="13"/>
              </w:rPr>
              <w:t xml:space="preserve"> </w:t>
            </w:r>
            <w:r>
              <w:t>关植物和植被调查的资料并咨询了解当地的林业资源情况、野生植物的种类组</w:t>
            </w:r>
            <w:r>
              <w:rPr>
                <w:spacing w:val="13"/>
              </w:rPr>
              <w:t xml:space="preserve"> </w:t>
            </w:r>
            <w:r>
              <w:t>成和资源变动情况；走访群众，了解野生植物的种类和变动情况，收集相关的</w:t>
            </w:r>
            <w:r>
              <w:rPr>
                <w:spacing w:val="13"/>
              </w:rPr>
              <w:t xml:space="preserve"> </w:t>
            </w:r>
            <w:r>
              <w:t>资料如《云南植被》《云南植物志》《中国植被》等，对评价区的植被和植物</w:t>
            </w:r>
            <w:r>
              <w:rPr>
                <w:spacing w:val="13"/>
              </w:rPr>
              <w:t xml:space="preserve"> </w:t>
            </w:r>
            <w:r>
              <w:rPr>
                <w:spacing w:val="-1"/>
              </w:rPr>
              <w:t>资源进行记录、统计和分析。</w:t>
            </w:r>
          </w:p>
          <w:p w14:paraId="3AA6CCAC">
            <w:pPr>
              <w:pStyle w:val="6"/>
              <w:spacing w:before="31" w:line="219" w:lineRule="auto"/>
              <w:ind w:left="600"/>
            </w:pPr>
            <w:r>
              <w:rPr>
                <w:spacing w:val="-2"/>
              </w:rPr>
              <w:t>（</w:t>
            </w:r>
            <w:r>
              <w:rPr>
                <w:rFonts w:ascii="Times New Roman" w:hAnsi="Times New Roman" w:eastAsia="Times New Roman" w:cs="Times New Roman"/>
                <w:spacing w:val="-2"/>
              </w:rPr>
              <w:t>2</w:t>
            </w:r>
            <w:r>
              <w:rPr>
                <w:spacing w:val="-2"/>
              </w:rPr>
              <w:t>）陆栖脊椎动物调查方法</w:t>
            </w:r>
          </w:p>
          <w:p w14:paraId="6AD30791">
            <w:pPr>
              <w:pStyle w:val="6"/>
              <w:spacing w:before="178" w:line="357" w:lineRule="auto"/>
              <w:ind w:left="109" w:right="1" w:firstLine="509"/>
            </w:pPr>
            <w:r>
              <w:rPr>
                <w:spacing w:val="7"/>
              </w:rPr>
              <w:t>陆栖脊椎动物调查以野外现场调查、访问调查和查阅文献资料相结合的</w:t>
            </w:r>
            <w:r>
              <w:t xml:space="preserve">  </w:t>
            </w:r>
            <w:r>
              <w:rPr>
                <w:spacing w:val="7"/>
              </w:rPr>
              <w:t>方式进行。现场调查主要采用资料收集和现场记录法。访问调查则对评价区</w:t>
            </w:r>
            <w:r>
              <w:rPr>
                <w:spacing w:val="6"/>
              </w:rPr>
              <w:t xml:space="preserve">  </w:t>
            </w:r>
            <w:r>
              <w:rPr>
                <w:spacing w:val="7"/>
              </w:rPr>
              <w:t xml:space="preserve">内放牧的村民进行了访问记录，通过指认《中国鸟类野外手册》等常用工具  书中的动物图片，记录了体形较大、特征较明显的群众易分辨种类。文献资  </w:t>
            </w:r>
            <w:r>
              <w:rPr>
                <w:spacing w:val="3"/>
              </w:rPr>
              <w:t>料以《中国哺乳动物分布》《中国哺乳动物物种和亚种分类名录与分布大全》</w:t>
            </w:r>
            <w:r>
              <w:rPr>
                <w:spacing w:val="12"/>
              </w:rPr>
              <w:t xml:space="preserve"> </w:t>
            </w:r>
            <w:r>
              <w:rPr>
                <w:spacing w:val="7"/>
              </w:rPr>
              <w:t>《云南鸟类志》《云南鸟类名录》《云南两栖爬行动物》《云南两栖类志》</w:t>
            </w:r>
            <w:r>
              <w:rPr>
                <w:spacing w:val="1"/>
              </w:rPr>
              <w:t xml:space="preserve">  </w:t>
            </w:r>
            <w:r>
              <w:rPr>
                <w:spacing w:val="7"/>
              </w:rPr>
              <w:t xml:space="preserve">等记载的该区的各类群动物。同时，根据国家重点保护野生动物名录、云南  </w:t>
            </w:r>
            <w:r>
              <w:rPr>
                <w:spacing w:val="9"/>
              </w:rPr>
              <w:t>省重点保护野生动物名录、《濒危野生动植物种国际贸易公约》（</w:t>
            </w:r>
            <w:r>
              <w:rPr>
                <w:rFonts w:ascii="Times New Roman" w:hAnsi="Times New Roman" w:eastAsia="Times New Roman" w:cs="Times New Roman"/>
              </w:rPr>
              <w:t>CITES</w:t>
            </w:r>
            <w:r>
              <w:rPr>
                <w:spacing w:val="9"/>
              </w:rPr>
              <w:t>）</w:t>
            </w:r>
            <w:r>
              <w:rPr>
                <w:spacing w:val="8"/>
              </w:rPr>
              <w:t xml:space="preserve">  </w:t>
            </w:r>
            <w:r>
              <w:rPr>
                <w:spacing w:val="3"/>
              </w:rPr>
              <w:t>附录</w:t>
            </w:r>
            <w:r>
              <w:rPr>
                <w:rFonts w:ascii="Times New Roman" w:hAnsi="Times New Roman" w:eastAsia="Times New Roman" w:cs="Times New Roman"/>
                <w:spacing w:val="3"/>
              </w:rPr>
              <w:t>I</w:t>
            </w:r>
            <w:r>
              <w:rPr>
                <w:rFonts w:ascii="Times New Roman" w:hAnsi="Times New Roman" w:eastAsia="Times New Roman" w:cs="Times New Roman"/>
                <w:spacing w:val="-31"/>
              </w:rPr>
              <w:t xml:space="preserve"> </w:t>
            </w:r>
            <w:r>
              <w:rPr>
                <w:spacing w:val="3"/>
              </w:rPr>
              <w:t>、附录</w:t>
            </w:r>
            <w:r>
              <w:rPr>
                <w:rFonts w:ascii="Times New Roman" w:hAnsi="Times New Roman" w:eastAsia="Times New Roman" w:cs="Times New Roman"/>
              </w:rPr>
              <w:t>II</w:t>
            </w:r>
            <w:r>
              <w:rPr>
                <w:rFonts w:ascii="Times New Roman" w:hAnsi="Times New Roman" w:eastAsia="Times New Roman" w:cs="Times New Roman"/>
                <w:spacing w:val="-22"/>
              </w:rPr>
              <w:t xml:space="preserve"> </w:t>
            </w:r>
            <w:r>
              <w:rPr>
                <w:spacing w:val="3"/>
              </w:rPr>
              <w:t>，以及《中国生物多样性红色名录</w:t>
            </w:r>
            <w:r>
              <w:rPr>
                <w:rFonts w:ascii="Times New Roman" w:hAnsi="Times New Roman" w:eastAsia="Times New Roman" w:cs="Times New Roman"/>
                <w:spacing w:val="2"/>
              </w:rPr>
              <w:t>•</w:t>
            </w:r>
            <w:r>
              <w:rPr>
                <w:spacing w:val="2"/>
              </w:rPr>
              <w:t>脊椎动物卷》（</w:t>
            </w:r>
            <w:r>
              <w:rPr>
                <w:rFonts w:ascii="Times New Roman" w:hAnsi="Times New Roman" w:eastAsia="Times New Roman" w:cs="Times New Roman"/>
                <w:spacing w:val="2"/>
              </w:rPr>
              <w:t>2020</w:t>
            </w:r>
            <w:r>
              <w:rPr>
                <w:spacing w:val="3"/>
              </w:rPr>
              <w:t>），</w:t>
            </w:r>
            <w:r>
              <w:rPr>
                <w:spacing w:val="2"/>
              </w:rPr>
              <w:t>确</w:t>
            </w:r>
            <w:r>
              <w:t xml:space="preserve">  </w:t>
            </w:r>
            <w:r>
              <w:rPr>
                <w:spacing w:val="6"/>
              </w:rPr>
              <w:t>定动物的特有种和保护物种。</w:t>
            </w:r>
          </w:p>
          <w:p w14:paraId="01E26AF5">
            <w:pPr>
              <w:pStyle w:val="6"/>
              <w:spacing w:before="33" w:line="221" w:lineRule="auto"/>
              <w:ind w:left="600"/>
            </w:pPr>
            <w:r>
              <w:rPr>
                <w:spacing w:val="-3"/>
              </w:rPr>
              <w:t>（</w:t>
            </w:r>
            <w:r>
              <w:rPr>
                <w:rFonts w:ascii="Times New Roman" w:hAnsi="Times New Roman" w:eastAsia="Times New Roman" w:cs="Times New Roman"/>
                <w:spacing w:val="-3"/>
              </w:rPr>
              <w:t>3</w:t>
            </w:r>
            <w:r>
              <w:rPr>
                <w:spacing w:val="-3"/>
              </w:rPr>
              <w:t>）调查人员及时间</w:t>
            </w:r>
          </w:p>
        </w:tc>
      </w:tr>
    </w:tbl>
    <w:p w14:paraId="66833D23">
      <w:pPr>
        <w:rPr>
          <w:rFonts w:ascii="Arial"/>
          <w:sz w:val="21"/>
        </w:rPr>
      </w:pPr>
    </w:p>
    <w:p w14:paraId="1A71AEA7">
      <w:pPr>
        <w:rPr>
          <w:rFonts w:ascii="Arial" w:hAnsi="Arial" w:eastAsia="Arial" w:cs="Arial"/>
          <w:sz w:val="21"/>
          <w:szCs w:val="21"/>
        </w:rPr>
        <w:sectPr>
          <w:footerReference r:id="rId84" w:type="default"/>
          <w:pgSz w:w="11906" w:h="16839"/>
          <w:pgMar w:top="1431" w:right="1413" w:bottom="1278" w:left="1413" w:header="0" w:footer="1116" w:gutter="0"/>
          <w:cols w:space="720" w:num="1"/>
        </w:sectPr>
      </w:pPr>
    </w:p>
    <w:p w14:paraId="1C4CFAEB">
      <w:pPr>
        <w:spacing w:line="99" w:lineRule="exact"/>
      </w:pPr>
    </w:p>
    <w:tbl>
      <w:tblPr>
        <w:tblStyle w:val="5"/>
        <w:tblW w:w="9064"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6BE32FB1">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64" w:hRule="atLeast"/>
        </w:trPr>
        <w:tc>
          <w:tcPr>
            <w:tcW w:w="9064" w:type="dxa"/>
            <w:vAlign w:val="top"/>
          </w:tcPr>
          <w:p w14:paraId="1D1A2C82">
            <w:pPr>
              <w:spacing w:line="43" w:lineRule="auto"/>
              <w:rPr>
                <w:rFonts w:ascii="Arial"/>
                <w:sz w:val="2"/>
              </w:rPr>
            </w:pPr>
            <w:r>
              <w:pict>
                <v:shape id="_x0000_s1074" o:spid="_x0000_s1074" o:spt="202" type="#_x0000_t202" style="position:absolute;left:0pt;margin-left:64.65pt;margin-top:665.55pt;height:14.35pt;width:82.85pt;mso-position-horizontal-relative:page;mso-position-vertical-relative:page;z-index:251716608;mso-width-relative:page;mso-height-relative:page;" filled="f" stroked="f" coordsize="21600,21600">
                  <v:path/>
                  <v:fill on="f" focussize="0,0"/>
                  <v:stroke on="f"/>
                  <v:imagedata o:title=""/>
                  <o:lock v:ext="edit" aspectratio="f"/>
                  <v:textbox inset="0mm,0mm,0mm,0mm">
                    <w:txbxContent>
                      <w:p w14:paraId="3733F03A">
                        <w:pPr>
                          <w:pStyle w:val="6"/>
                          <w:spacing w:before="19" w:line="228" w:lineRule="auto"/>
                          <w:ind w:left="20"/>
                          <w:rPr>
                            <w:sz w:val="20"/>
                            <w:szCs w:val="20"/>
                          </w:rPr>
                        </w:pPr>
                        <w:r>
                          <w:rPr>
                            <w:rFonts w:ascii="Times New Roman" w:hAnsi="Times New Roman" w:eastAsia="Times New Roman" w:cs="Times New Roman"/>
                            <w:spacing w:val="7"/>
                            <w:sz w:val="20"/>
                            <w:szCs w:val="20"/>
                          </w:rPr>
                          <w:t>3.</w:t>
                        </w:r>
                        <w:r>
                          <w:rPr>
                            <w:spacing w:val="7"/>
                            <w:sz w:val="20"/>
                            <w:szCs w:val="20"/>
                          </w:rPr>
                          <w:t>尼泊尔桤木群落</w:t>
                        </w:r>
                      </w:p>
                    </w:txbxContent>
                  </v:textbox>
                </v:shape>
              </w:pict>
            </w:r>
          </w:p>
          <w:tbl>
            <w:tblPr>
              <w:tblStyle w:val="5"/>
              <w:tblW w:w="8291" w:type="dxa"/>
              <w:tblInd w:w="6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1"/>
            </w:tblGrid>
            <w:tr w14:paraId="5099B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9" w:hRule="atLeast"/>
              </w:trPr>
              <w:tc>
                <w:tcPr>
                  <w:tcW w:w="8291" w:type="dxa"/>
                  <w:tcBorders>
                    <w:top w:val="nil"/>
                    <w:right w:val="nil"/>
                  </w:tcBorders>
                  <w:vAlign w:val="top"/>
                </w:tcPr>
                <w:p w14:paraId="4938695E">
                  <w:pPr>
                    <w:pStyle w:val="6"/>
                    <w:spacing w:before="38" w:line="344" w:lineRule="auto"/>
                    <w:ind w:left="116" w:firstLine="509"/>
                  </w:pPr>
                  <w:r>
                    <w:rPr>
                      <w:spacing w:val="-3"/>
                    </w:rPr>
                    <w:t>由环评单位项目组成员组成调查人员，于</w:t>
                  </w:r>
                  <w:r>
                    <w:rPr>
                      <w:spacing w:val="-53"/>
                    </w:rPr>
                    <w:t xml:space="preserve"> </w:t>
                  </w:r>
                  <w:r>
                    <w:rPr>
                      <w:rFonts w:ascii="Times New Roman" w:hAnsi="Times New Roman" w:eastAsia="Times New Roman" w:cs="Times New Roman"/>
                      <w:spacing w:val="-3"/>
                    </w:rPr>
                    <w:t xml:space="preserve">2025 </w:t>
                  </w:r>
                  <w:r>
                    <w:rPr>
                      <w:spacing w:val="-3"/>
                    </w:rPr>
                    <w:t>年</w:t>
                  </w:r>
                  <w:r>
                    <w:rPr>
                      <w:spacing w:val="-52"/>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5"/>
                    </w:rPr>
                    <w:t xml:space="preserve"> </w:t>
                  </w:r>
                  <w:r>
                    <w:rPr>
                      <w:spacing w:val="-3"/>
                    </w:rPr>
                    <w:t>月</w:t>
                  </w:r>
                  <w:r>
                    <w:rPr>
                      <w:spacing w:val="-55"/>
                    </w:rPr>
                    <w:t xml:space="preserve"> </w:t>
                  </w:r>
                  <w:r>
                    <w:rPr>
                      <w:rFonts w:ascii="Times New Roman" w:hAnsi="Times New Roman" w:eastAsia="Times New Roman" w:cs="Times New Roman"/>
                      <w:spacing w:val="-3"/>
                    </w:rPr>
                    <w:t xml:space="preserve">20  </w:t>
                  </w:r>
                  <w:r>
                    <w:rPr>
                      <w:spacing w:val="-3"/>
                    </w:rPr>
                    <w:t>日，对项</w:t>
                  </w:r>
                  <w:r>
                    <w:rPr>
                      <w:spacing w:val="-4"/>
                    </w:rPr>
                    <w:t>目区域</w:t>
                  </w:r>
                  <w:r>
                    <w:t xml:space="preserve"> </w:t>
                  </w:r>
                  <w:r>
                    <w:rPr>
                      <w:spacing w:val="-1"/>
                    </w:rPr>
                    <w:t>及周边的植物植被和陆栖脊椎动物现状进行了必要的野外补充调查。</w:t>
                  </w:r>
                </w:p>
                <w:p w14:paraId="1F54FE8C">
                  <w:pPr>
                    <w:pStyle w:val="6"/>
                    <w:spacing w:before="35" w:line="219" w:lineRule="auto"/>
                    <w:ind w:left="608"/>
                  </w:pPr>
                  <w:r>
                    <w:rPr>
                      <w:spacing w:val="-2"/>
                    </w:rPr>
                    <w:t>（</w:t>
                  </w:r>
                  <w:r>
                    <w:rPr>
                      <w:rFonts w:ascii="Times New Roman" w:hAnsi="Times New Roman" w:eastAsia="Times New Roman" w:cs="Times New Roman"/>
                      <w:spacing w:val="-2"/>
                    </w:rPr>
                    <w:t>4</w:t>
                  </w:r>
                  <w:r>
                    <w:rPr>
                      <w:spacing w:val="-2"/>
                    </w:rPr>
                    <w:t>）影响面积计算和制图方法</w:t>
                  </w:r>
                </w:p>
                <w:p w14:paraId="59742AF7">
                  <w:pPr>
                    <w:pStyle w:val="6"/>
                    <w:spacing w:before="180" w:line="353" w:lineRule="auto"/>
                    <w:ind w:left="116" w:firstLine="481"/>
                    <w:jc w:val="both"/>
                  </w:pPr>
                  <w:r>
                    <w:t>利用评价区域卫星影像图片，根据野外植被调查、植物资源调查和动物资</w:t>
                  </w:r>
                  <w:r>
                    <w:rPr>
                      <w:spacing w:val="9"/>
                    </w:rPr>
                    <w:t xml:space="preserve"> </w:t>
                  </w:r>
                  <w:r>
                    <w:rPr>
                      <w:spacing w:val="1"/>
                    </w:rPr>
                    <w:t>源调查的资料，对卫星影像图片进行植被解译。采用</w:t>
                  </w:r>
                  <w:r>
                    <w:rPr>
                      <w:rFonts w:ascii="Times New Roman" w:hAnsi="Times New Roman" w:eastAsia="Times New Roman" w:cs="Times New Roman"/>
                    </w:rPr>
                    <w:t>GIS</w:t>
                  </w:r>
                  <w:r>
                    <w:rPr>
                      <w:rFonts w:ascii="Times New Roman" w:hAnsi="Times New Roman" w:eastAsia="Times New Roman" w:cs="Times New Roman"/>
                      <w:spacing w:val="1"/>
                    </w:rPr>
                    <w:t xml:space="preserve"> </w:t>
                  </w:r>
                  <w:r>
                    <w:rPr>
                      <w:spacing w:val="1"/>
                    </w:rPr>
                    <w:t>方法，计算评价区和</w:t>
                  </w:r>
                  <w:r>
                    <w:rPr>
                      <w:spacing w:val="11"/>
                    </w:rPr>
                    <w:t xml:space="preserve"> </w:t>
                  </w:r>
                  <w:r>
                    <w:t>直接影响区内的各种植被类型的面积。同时完成评价区的植被图、土地利用现</w:t>
                  </w:r>
                  <w:r>
                    <w:rPr>
                      <w:spacing w:val="11"/>
                    </w:rPr>
                    <w:t xml:space="preserve"> </w:t>
                  </w:r>
                  <w:r>
                    <w:rPr>
                      <w:spacing w:val="-1"/>
                    </w:rPr>
                    <w:t>状图、保护物种分布图等图件。</w:t>
                  </w:r>
                </w:p>
                <w:p w14:paraId="62E3051F">
                  <w:pPr>
                    <w:pStyle w:val="6"/>
                    <w:spacing w:before="34" w:line="219" w:lineRule="auto"/>
                    <w:ind w:left="591"/>
                  </w:pPr>
                  <w:r>
                    <w:rPr>
                      <w:rFonts w:ascii="Times New Roman" w:hAnsi="Times New Roman" w:eastAsia="Times New Roman" w:cs="Times New Roman"/>
                      <w:b/>
                      <w:bCs/>
                      <w:spacing w:val="-2"/>
                    </w:rPr>
                    <w:t xml:space="preserve">3.4 </w:t>
                  </w:r>
                  <w:r>
                    <w:rPr>
                      <w:b/>
                      <w:bCs/>
                      <w:spacing w:val="-2"/>
                    </w:rPr>
                    <w:t>植物植被现状</w:t>
                  </w:r>
                </w:p>
                <w:p w14:paraId="70D98660">
                  <w:pPr>
                    <w:pStyle w:val="6"/>
                    <w:spacing w:before="183" w:line="219" w:lineRule="auto"/>
                    <w:ind w:left="608"/>
                  </w:pPr>
                  <w:r>
                    <w:rPr>
                      <w:spacing w:val="-3"/>
                    </w:rPr>
                    <w:t>（</w:t>
                  </w:r>
                  <w:r>
                    <w:rPr>
                      <w:rFonts w:ascii="Times New Roman" w:hAnsi="Times New Roman" w:eastAsia="Times New Roman" w:cs="Times New Roman"/>
                      <w:spacing w:val="-3"/>
                    </w:rPr>
                    <w:t>1</w:t>
                  </w:r>
                  <w:r>
                    <w:rPr>
                      <w:spacing w:val="-3"/>
                    </w:rPr>
                    <w:t>）植被现状</w:t>
                  </w:r>
                </w:p>
                <w:p w14:paraId="4B729510">
                  <w:pPr>
                    <w:pStyle w:val="6"/>
                    <w:spacing w:before="178" w:line="354" w:lineRule="auto"/>
                    <w:ind w:left="117" w:firstLine="478"/>
                  </w:pPr>
                  <w:r>
                    <w:rPr>
                      <w:spacing w:val="-5"/>
                    </w:rPr>
                    <w:t>项目区地处滇中高原，根据《云南植被》，评价区域隶属于</w:t>
                  </w:r>
                  <w:r>
                    <w:rPr>
                      <w:spacing w:val="-54"/>
                    </w:rPr>
                    <w:t xml:space="preserve"> </w:t>
                  </w:r>
                  <w:r>
                    <w:rPr>
                      <w:rFonts w:ascii="Times New Roman" w:hAnsi="Times New Roman" w:eastAsia="Times New Roman" w:cs="Times New Roman"/>
                      <w:spacing w:val="-5"/>
                    </w:rPr>
                    <w:t xml:space="preserve">II  </w:t>
                  </w:r>
                  <w:r>
                    <w:rPr>
                      <w:spacing w:val="-5"/>
                    </w:rPr>
                    <w:t>亚热带常绿</w:t>
                  </w:r>
                  <w:r>
                    <w:t xml:space="preserve"> </w:t>
                  </w:r>
                  <w:r>
                    <w:rPr>
                      <w:spacing w:val="-3"/>
                    </w:rPr>
                    <w:t>阔叶林区域，</w:t>
                  </w:r>
                  <w:r>
                    <w:rPr>
                      <w:rFonts w:ascii="Times New Roman" w:hAnsi="Times New Roman" w:eastAsia="Times New Roman" w:cs="Times New Roman"/>
                      <w:spacing w:val="-3"/>
                    </w:rPr>
                    <w:t xml:space="preserve">IIA  </w:t>
                  </w:r>
                  <w:r>
                    <w:rPr>
                      <w:spacing w:val="-3"/>
                    </w:rPr>
                    <w:t>西部（半湿润）常</w:t>
                  </w:r>
                  <w:r>
                    <w:rPr>
                      <w:spacing w:val="-4"/>
                    </w:rPr>
                    <w:t>绿阔叶林亚区域，</w:t>
                  </w:r>
                  <w:r>
                    <w:rPr>
                      <w:rFonts w:ascii="Times New Roman" w:hAnsi="Times New Roman" w:eastAsia="Times New Roman" w:cs="Times New Roman"/>
                      <w:spacing w:val="-4"/>
                    </w:rPr>
                    <w:t xml:space="preserve">IIAii  </w:t>
                  </w:r>
                  <w:r>
                    <w:rPr>
                      <w:spacing w:val="-4"/>
                    </w:rPr>
                    <w:t>高原亚热带北部常</w:t>
                  </w:r>
                  <w:r>
                    <w:t xml:space="preserve"> 绿阔叶林地带，</w:t>
                  </w:r>
                  <w:r>
                    <w:rPr>
                      <w:rFonts w:ascii="Times New Roman" w:hAnsi="Times New Roman" w:eastAsia="Times New Roman" w:cs="Times New Roman"/>
                    </w:rPr>
                    <w:t xml:space="preserve">IIAii-1 </w:t>
                  </w:r>
                  <w:r>
                    <w:t>滇中、滇东高原常绿阔叶林、云南松林区，</w:t>
                  </w:r>
                  <w:r>
                    <w:rPr>
                      <w:rFonts w:ascii="Times New Roman" w:hAnsi="Times New Roman" w:eastAsia="Times New Roman" w:cs="Times New Roman"/>
                    </w:rPr>
                    <w:t>II</w:t>
                  </w:r>
                  <w:r>
                    <w:rPr>
                      <w:rFonts w:ascii="Times New Roman" w:hAnsi="Times New Roman" w:eastAsia="Times New Roman" w:cs="Times New Roman"/>
                      <w:spacing w:val="-1"/>
                    </w:rPr>
                    <w:t xml:space="preserve">Aii-1a  </w:t>
                  </w:r>
                  <w:r>
                    <w:rPr>
                      <w:spacing w:val="-1"/>
                    </w:rPr>
                    <w:t>滇</w:t>
                  </w:r>
                  <w:r>
                    <w:t xml:space="preserve"> </w:t>
                  </w:r>
                  <w:r>
                    <w:rPr>
                      <w:spacing w:val="-7"/>
                    </w:rPr>
                    <w:t>中高原盆谷滇青冈、元江栲林、云南松林亚区。区域的地带性植被为以滇青冈、</w:t>
                  </w:r>
                  <w:r>
                    <w:rPr>
                      <w:spacing w:val="15"/>
                    </w:rPr>
                    <w:t xml:space="preserve"> </w:t>
                  </w:r>
                  <w:r>
                    <w:rPr>
                      <w:spacing w:val="-3"/>
                    </w:rPr>
                    <w:t>栲类为优势种的半湿润常绿阔叶林和以云南松为优势的暖温性针叶林。</w:t>
                  </w:r>
                </w:p>
                <w:p w14:paraId="61C37F97">
                  <w:pPr>
                    <w:pStyle w:val="6"/>
                    <w:spacing w:before="36" w:line="352" w:lineRule="auto"/>
                    <w:ind w:left="116" w:firstLine="498"/>
                  </w:pPr>
                  <w:r>
                    <w:t>区域人类活动历史悠久，由于人类长期生产生活的干扰</w:t>
                  </w:r>
                  <w:r>
                    <w:rPr>
                      <w:spacing w:val="-1"/>
                    </w:rPr>
                    <w:t>和破坏，评价区内</w:t>
                  </w:r>
                  <w:r>
                    <w:t xml:space="preserve"> 分布有公益林、商品林等人工植被，原生的半湿润常绿阔叶林植被遭到一定程</w:t>
                  </w:r>
                  <w:r>
                    <w:rPr>
                      <w:spacing w:val="11"/>
                    </w:rPr>
                    <w:t xml:space="preserve"> </w:t>
                  </w:r>
                  <w:r>
                    <w:rPr>
                      <w:spacing w:val="-1"/>
                    </w:rPr>
                    <w:t>度破坏，</w:t>
                  </w:r>
                  <w:r>
                    <w:rPr>
                      <w:spacing w:val="-71"/>
                    </w:rPr>
                    <w:t xml:space="preserve"> </w:t>
                  </w:r>
                  <w:r>
                    <w:rPr>
                      <w:spacing w:val="-1"/>
                    </w:rPr>
                    <w:t>自然植被主要以半湿润常绿阔叶林受到破坏后次生的暖温性</w:t>
                  </w:r>
                  <w:r>
                    <w:rPr>
                      <w:spacing w:val="-2"/>
                    </w:rPr>
                    <w:t>针叶林、</w:t>
                  </w:r>
                  <w:r>
                    <w:t xml:space="preserve"> </w:t>
                  </w:r>
                  <w:r>
                    <w:rPr>
                      <w:spacing w:val="-1"/>
                    </w:rPr>
                    <w:t>暖温性稀树灌草丛为主。</w:t>
                  </w:r>
                </w:p>
                <w:p w14:paraId="000D8BCB">
                  <w:pPr>
                    <w:pStyle w:val="6"/>
                    <w:spacing w:before="34" w:line="354" w:lineRule="auto"/>
                    <w:ind w:left="117" w:right="20" w:firstLine="480"/>
                    <w:jc w:val="both"/>
                  </w:pPr>
                  <w:r>
                    <w:rPr>
                      <w:spacing w:val="-1"/>
                    </w:rPr>
                    <w:t>根据《云南植被》的植被分类系统，评价区内的自然植被可划分为</w:t>
                  </w:r>
                  <w:r>
                    <w:rPr>
                      <w:spacing w:val="-38"/>
                    </w:rPr>
                    <w:t xml:space="preserve"> </w:t>
                  </w:r>
                  <w:r>
                    <w:rPr>
                      <w:rFonts w:ascii="Times New Roman" w:hAnsi="Times New Roman" w:eastAsia="Times New Roman" w:cs="Times New Roman"/>
                      <w:spacing w:val="-1"/>
                    </w:rPr>
                    <w:t xml:space="preserve">4 </w:t>
                  </w:r>
                  <w:r>
                    <w:rPr>
                      <w:spacing w:val="-1"/>
                    </w:rPr>
                    <w:t>个植</w:t>
                  </w:r>
                  <w:r>
                    <w:t xml:space="preserve"> 被型，即阔叶林、针叶林、灌丛和稀树灌草丛；</w:t>
                  </w:r>
                  <w:r>
                    <w:rPr>
                      <w:rFonts w:ascii="Times New Roman" w:hAnsi="Times New Roman" w:eastAsia="Times New Roman" w:cs="Times New Roman"/>
                    </w:rPr>
                    <w:t xml:space="preserve">6 </w:t>
                  </w:r>
                  <w:r>
                    <w:t>个</w:t>
                  </w:r>
                  <w:r>
                    <w:rPr>
                      <w:spacing w:val="-1"/>
                    </w:rPr>
                    <w:t>植被亚型，即半湿润常绿</w:t>
                  </w:r>
                  <w:r>
                    <w:t xml:space="preserve"> 阔叶林、暖温性硬叶常绿阔叶林、暖温性落叶阔叶林</w:t>
                  </w:r>
                  <w:r>
                    <w:rPr>
                      <w:spacing w:val="-1"/>
                    </w:rPr>
                    <w:t>、暖温性针叶林、暖性石</w:t>
                  </w:r>
                  <w:r>
                    <w:t xml:space="preserve"> 灰岩灌丛和暖温性稀树灌草丛。评价区内的人工植被</w:t>
                  </w:r>
                  <w:r>
                    <w:rPr>
                      <w:spacing w:val="-1"/>
                    </w:rPr>
                    <w:t>分为防护林、用材林、人</w:t>
                  </w:r>
                  <w:r>
                    <w:t xml:space="preserve"> </w:t>
                  </w:r>
                  <w:r>
                    <w:rPr>
                      <w:spacing w:val="-3"/>
                    </w:rPr>
                    <w:t>工牧草地</w:t>
                  </w:r>
                  <w:r>
                    <w:rPr>
                      <w:spacing w:val="-47"/>
                    </w:rPr>
                    <w:t xml:space="preserve"> </w:t>
                  </w:r>
                  <w:r>
                    <w:rPr>
                      <w:rFonts w:ascii="Times New Roman" w:hAnsi="Times New Roman" w:eastAsia="Times New Roman" w:cs="Times New Roman"/>
                      <w:spacing w:val="-3"/>
                    </w:rPr>
                    <w:t xml:space="preserve">3 </w:t>
                  </w:r>
                  <w:r>
                    <w:rPr>
                      <w:spacing w:val="-3"/>
                    </w:rPr>
                    <w:t>类。</w:t>
                  </w:r>
                </w:p>
                <w:p w14:paraId="21A70356">
                  <w:pPr>
                    <w:pStyle w:val="6"/>
                    <w:spacing w:before="31" w:line="213" w:lineRule="auto"/>
                    <w:ind w:left="2800"/>
                    <w:rPr>
                      <w:sz w:val="20"/>
                      <w:szCs w:val="20"/>
                    </w:rPr>
                  </w:pPr>
                  <w:r>
                    <w:rPr>
                      <w:b/>
                      <w:bCs/>
                      <w:spacing w:val="12"/>
                      <w:sz w:val="20"/>
                      <w:szCs w:val="20"/>
                    </w:rPr>
                    <w:t>表</w:t>
                  </w:r>
                  <w:r>
                    <w:rPr>
                      <w:rFonts w:ascii="Times New Roman" w:hAnsi="Times New Roman" w:eastAsia="Times New Roman" w:cs="Times New Roman"/>
                      <w:b/>
                      <w:bCs/>
                      <w:spacing w:val="12"/>
                      <w:sz w:val="20"/>
                      <w:szCs w:val="20"/>
                    </w:rPr>
                    <w:t xml:space="preserve">3-3  </w:t>
                  </w:r>
                  <w:r>
                    <w:rPr>
                      <w:b/>
                      <w:bCs/>
                      <w:spacing w:val="12"/>
                      <w:sz w:val="20"/>
                      <w:szCs w:val="20"/>
                    </w:rPr>
                    <w:t>评价区内植被分类系统</w:t>
                  </w:r>
                </w:p>
              </w:tc>
            </w:tr>
            <w:tr w14:paraId="7616D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08E1ED17">
                  <w:pPr>
                    <w:pStyle w:val="6"/>
                    <w:spacing w:before="35" w:line="214" w:lineRule="auto"/>
                    <w:ind w:left="222"/>
                    <w:rPr>
                      <w:sz w:val="20"/>
                      <w:szCs w:val="20"/>
                    </w:rPr>
                  </w:pPr>
                  <w:r>
                    <w:rPr>
                      <w:rFonts w:ascii="Times New Roman" w:hAnsi="Times New Roman" w:eastAsia="Times New Roman" w:cs="Times New Roman"/>
                      <w:spacing w:val="-1"/>
                      <w:sz w:val="20"/>
                      <w:szCs w:val="20"/>
                    </w:rPr>
                    <w:t xml:space="preserve">A. </w:t>
                  </w:r>
                  <w:r>
                    <w:rPr>
                      <w:spacing w:val="-1"/>
                      <w:sz w:val="20"/>
                      <w:szCs w:val="20"/>
                    </w:rPr>
                    <w:t>自然植被</w:t>
                  </w:r>
                </w:p>
              </w:tc>
            </w:tr>
            <w:tr w14:paraId="7B527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0C1107ED">
                  <w:pPr>
                    <w:pStyle w:val="6"/>
                    <w:spacing w:before="36" w:line="213" w:lineRule="auto"/>
                    <w:ind w:left="646"/>
                    <w:rPr>
                      <w:sz w:val="20"/>
                      <w:szCs w:val="20"/>
                    </w:rPr>
                  </w:pPr>
                  <w:r>
                    <w:rPr>
                      <w:rFonts w:ascii="Times New Roman" w:hAnsi="Times New Roman" w:eastAsia="Times New Roman" w:cs="Times New Roman"/>
                      <w:spacing w:val="7"/>
                      <w:sz w:val="20"/>
                      <w:szCs w:val="20"/>
                    </w:rPr>
                    <w:t>Ⅰ</w:t>
                  </w:r>
                  <w:r>
                    <w:rPr>
                      <w:spacing w:val="7"/>
                      <w:sz w:val="20"/>
                      <w:szCs w:val="20"/>
                    </w:rPr>
                    <w:t>常绿阔叶林</w:t>
                  </w:r>
                </w:p>
              </w:tc>
            </w:tr>
            <w:tr w14:paraId="795AC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291" w:type="dxa"/>
                  <w:vAlign w:val="top"/>
                </w:tcPr>
                <w:p w14:paraId="426E94C2">
                  <w:pPr>
                    <w:pStyle w:val="6"/>
                    <w:spacing w:before="37" w:line="213" w:lineRule="auto"/>
                    <w:ind w:left="759"/>
                    <w:rPr>
                      <w:sz w:val="20"/>
                      <w:szCs w:val="20"/>
                    </w:rPr>
                  </w:pPr>
                  <w:r>
                    <w:rPr>
                      <w:spacing w:val="4"/>
                      <w:sz w:val="20"/>
                      <w:szCs w:val="20"/>
                    </w:rPr>
                    <w:t>(</w:t>
                  </w:r>
                  <w:r>
                    <w:rPr>
                      <w:rFonts w:ascii="Times New Roman" w:hAnsi="Times New Roman" w:eastAsia="Times New Roman" w:cs="Times New Roman"/>
                      <w:spacing w:val="4"/>
                      <w:sz w:val="20"/>
                      <w:szCs w:val="20"/>
                    </w:rPr>
                    <w:t>Ⅰ</w:t>
                  </w:r>
                  <w:r>
                    <w:rPr>
                      <w:spacing w:val="4"/>
                      <w:sz w:val="20"/>
                      <w:szCs w:val="20"/>
                    </w:rPr>
                    <w:t>)</w:t>
                  </w:r>
                  <w:r>
                    <w:rPr>
                      <w:spacing w:val="37"/>
                      <w:sz w:val="20"/>
                      <w:szCs w:val="20"/>
                    </w:rPr>
                    <w:t xml:space="preserve"> </w:t>
                  </w:r>
                  <w:r>
                    <w:rPr>
                      <w:spacing w:val="4"/>
                      <w:sz w:val="20"/>
                      <w:szCs w:val="20"/>
                    </w:rPr>
                    <w:t>半湿润常绿阔叶林</w:t>
                  </w:r>
                </w:p>
              </w:tc>
            </w:tr>
            <w:tr w14:paraId="282E0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1BAD9B52">
                  <w:pPr>
                    <w:pStyle w:val="6"/>
                    <w:spacing w:before="35" w:line="214" w:lineRule="auto"/>
                    <w:ind w:left="665"/>
                    <w:rPr>
                      <w:sz w:val="20"/>
                      <w:szCs w:val="20"/>
                    </w:rPr>
                  </w:pPr>
                  <w:r>
                    <w:rPr>
                      <w:rFonts w:ascii="Times New Roman" w:hAnsi="Times New Roman" w:eastAsia="Times New Roman" w:cs="Times New Roman"/>
                      <w:spacing w:val="5"/>
                      <w:sz w:val="20"/>
                      <w:szCs w:val="20"/>
                    </w:rPr>
                    <w:t>1.</w:t>
                  </w:r>
                  <w:r>
                    <w:rPr>
                      <w:spacing w:val="5"/>
                      <w:sz w:val="20"/>
                      <w:szCs w:val="20"/>
                    </w:rPr>
                    <w:t>滇青冈—白柯群落</w:t>
                  </w:r>
                </w:p>
              </w:tc>
            </w:tr>
            <w:tr w14:paraId="077FB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6B3C326F">
                  <w:pPr>
                    <w:pStyle w:val="6"/>
                    <w:spacing w:before="36" w:line="213" w:lineRule="auto"/>
                    <w:ind w:left="659"/>
                    <w:rPr>
                      <w:sz w:val="20"/>
                      <w:szCs w:val="20"/>
                    </w:rPr>
                  </w:pPr>
                  <w:r>
                    <w:rPr>
                      <w:spacing w:val="8"/>
                      <w:sz w:val="20"/>
                      <w:szCs w:val="20"/>
                    </w:rPr>
                    <w:t>（</w:t>
                  </w:r>
                  <w:r>
                    <w:rPr>
                      <w:rFonts w:ascii="Times New Roman" w:hAnsi="Times New Roman" w:eastAsia="Times New Roman" w:cs="Times New Roman"/>
                      <w:sz w:val="20"/>
                      <w:szCs w:val="20"/>
                    </w:rPr>
                    <w:t>II</w:t>
                  </w:r>
                  <w:r>
                    <w:rPr>
                      <w:spacing w:val="8"/>
                      <w:sz w:val="20"/>
                      <w:szCs w:val="20"/>
                    </w:rPr>
                    <w:t>）暖温性硬叶常绿阔叶林</w:t>
                  </w:r>
                </w:p>
              </w:tc>
            </w:tr>
            <w:tr w14:paraId="6D406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291" w:type="dxa"/>
                  <w:vAlign w:val="top"/>
                </w:tcPr>
                <w:p w14:paraId="4295FB8A">
                  <w:pPr>
                    <w:pStyle w:val="6"/>
                    <w:spacing w:before="37" w:line="213" w:lineRule="auto"/>
                    <w:ind w:left="645"/>
                    <w:rPr>
                      <w:sz w:val="20"/>
                      <w:szCs w:val="20"/>
                    </w:rPr>
                  </w:pPr>
                  <w:r>
                    <w:rPr>
                      <w:rFonts w:ascii="Times New Roman" w:hAnsi="Times New Roman" w:eastAsia="Times New Roman" w:cs="Times New Roman"/>
                      <w:spacing w:val="7"/>
                      <w:sz w:val="20"/>
                      <w:szCs w:val="20"/>
                    </w:rPr>
                    <w:t>2.</w:t>
                  </w:r>
                  <w:r>
                    <w:rPr>
                      <w:spacing w:val="7"/>
                      <w:sz w:val="20"/>
                      <w:szCs w:val="20"/>
                    </w:rPr>
                    <w:t>黄毛青冈群落</w:t>
                  </w:r>
                </w:p>
              </w:tc>
            </w:tr>
            <w:tr w14:paraId="058F4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28B6CB6A">
                  <w:pPr>
                    <w:pStyle w:val="6"/>
                    <w:spacing w:before="35" w:line="214" w:lineRule="auto"/>
                    <w:ind w:left="646"/>
                    <w:rPr>
                      <w:sz w:val="20"/>
                      <w:szCs w:val="20"/>
                    </w:rPr>
                  </w:pPr>
                  <w:r>
                    <w:rPr>
                      <w:rFonts w:ascii="Times New Roman" w:hAnsi="Times New Roman" w:eastAsia="Times New Roman" w:cs="Times New Roman"/>
                      <w:spacing w:val="8"/>
                      <w:sz w:val="20"/>
                      <w:szCs w:val="20"/>
                    </w:rPr>
                    <w:t>Ⅱ</w:t>
                  </w:r>
                  <w:r>
                    <w:rPr>
                      <w:spacing w:val="8"/>
                      <w:sz w:val="20"/>
                      <w:szCs w:val="20"/>
                    </w:rPr>
                    <w:t>落叶阔叶林</w:t>
                  </w:r>
                </w:p>
              </w:tc>
            </w:tr>
            <w:tr w14:paraId="5D237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291" w:type="dxa"/>
                  <w:vAlign w:val="top"/>
                </w:tcPr>
                <w:p w14:paraId="422AE912">
                  <w:pPr>
                    <w:pStyle w:val="6"/>
                    <w:spacing w:before="36" w:line="228" w:lineRule="auto"/>
                    <w:ind w:left="659"/>
                    <w:rPr>
                      <w:sz w:val="20"/>
                      <w:szCs w:val="20"/>
                    </w:rPr>
                  </w:pPr>
                  <w:r>
                    <w:rPr>
                      <w:spacing w:val="8"/>
                      <w:sz w:val="20"/>
                      <w:szCs w:val="20"/>
                    </w:rPr>
                    <w:t>（</w:t>
                  </w:r>
                  <w:r>
                    <w:rPr>
                      <w:rFonts w:ascii="Times New Roman" w:hAnsi="Times New Roman" w:eastAsia="Times New Roman" w:cs="Times New Roman"/>
                      <w:sz w:val="20"/>
                      <w:szCs w:val="20"/>
                    </w:rPr>
                    <w:t>III</w:t>
                  </w:r>
                  <w:r>
                    <w:rPr>
                      <w:spacing w:val="8"/>
                      <w:sz w:val="20"/>
                      <w:szCs w:val="20"/>
                    </w:rPr>
                    <w:t>）暖温性落叶阔叶林</w:t>
                  </w:r>
                </w:p>
              </w:tc>
            </w:tr>
          </w:tbl>
          <w:p w14:paraId="42E7DC34">
            <w:pPr>
              <w:spacing w:line="14" w:lineRule="auto"/>
              <w:rPr>
                <w:rFonts w:ascii="Arial"/>
                <w:sz w:val="2"/>
              </w:rPr>
            </w:pPr>
          </w:p>
        </w:tc>
      </w:tr>
    </w:tbl>
    <w:p w14:paraId="0500A85B">
      <w:pPr>
        <w:rPr>
          <w:rFonts w:ascii="Arial"/>
          <w:sz w:val="21"/>
        </w:rPr>
      </w:pPr>
    </w:p>
    <w:p w14:paraId="1209D89C">
      <w:pPr>
        <w:rPr>
          <w:rFonts w:ascii="Arial" w:hAnsi="Arial" w:eastAsia="Arial" w:cs="Arial"/>
          <w:sz w:val="21"/>
          <w:szCs w:val="21"/>
        </w:rPr>
        <w:sectPr>
          <w:footerReference r:id="rId85" w:type="default"/>
          <w:pgSz w:w="11906" w:h="16839"/>
          <w:pgMar w:top="1431" w:right="1413" w:bottom="1278" w:left="1413" w:header="0" w:footer="1116" w:gutter="0"/>
          <w:cols w:space="720" w:num="1"/>
        </w:sectPr>
      </w:pPr>
    </w:p>
    <w:p w14:paraId="7E763B4C">
      <w:pPr>
        <w:spacing w:line="99" w:lineRule="exact"/>
      </w:pPr>
    </w:p>
    <w:tbl>
      <w:tblPr>
        <w:tblStyle w:val="5"/>
        <w:tblW w:w="9064"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58DF5309">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410" w:hRule="atLeast"/>
        </w:trPr>
        <w:tc>
          <w:tcPr>
            <w:tcW w:w="9064" w:type="dxa"/>
            <w:vAlign w:val="top"/>
          </w:tcPr>
          <w:p w14:paraId="7283D533">
            <w:pPr>
              <w:spacing w:line="96" w:lineRule="auto"/>
              <w:rPr>
                <w:rFonts w:ascii="Arial"/>
                <w:sz w:val="2"/>
              </w:rPr>
            </w:pPr>
          </w:p>
          <w:tbl>
            <w:tblPr>
              <w:tblStyle w:val="5"/>
              <w:tblW w:w="8291" w:type="dxa"/>
              <w:tblInd w:w="6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1"/>
            </w:tblGrid>
            <w:tr w14:paraId="1CC43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8291" w:type="dxa"/>
                  <w:tcBorders>
                    <w:top w:val="nil"/>
                  </w:tcBorders>
                  <w:vAlign w:val="top"/>
                </w:tcPr>
                <w:p w14:paraId="7E7BA24C">
                  <w:pPr>
                    <w:pStyle w:val="6"/>
                    <w:spacing w:before="41" w:line="217" w:lineRule="auto"/>
                    <w:ind w:left="644"/>
                    <w:rPr>
                      <w:sz w:val="20"/>
                      <w:szCs w:val="20"/>
                    </w:rPr>
                  </w:pPr>
                  <w:r>
                    <w:rPr>
                      <w:rFonts w:ascii="Times New Roman" w:hAnsi="Times New Roman" w:eastAsia="Times New Roman" w:cs="Times New Roman"/>
                      <w:spacing w:val="7"/>
                      <w:sz w:val="20"/>
                      <w:szCs w:val="20"/>
                    </w:rPr>
                    <w:t>4.</w:t>
                  </w:r>
                  <w:r>
                    <w:rPr>
                      <w:spacing w:val="7"/>
                      <w:sz w:val="20"/>
                      <w:szCs w:val="20"/>
                    </w:rPr>
                    <w:t>栓皮栎群落</w:t>
                  </w:r>
                </w:p>
              </w:tc>
            </w:tr>
            <w:tr w14:paraId="118BA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291" w:type="dxa"/>
                  <w:vAlign w:val="top"/>
                </w:tcPr>
                <w:p w14:paraId="60FE43B7">
                  <w:pPr>
                    <w:pStyle w:val="6"/>
                    <w:spacing w:before="30" w:line="219" w:lineRule="auto"/>
                    <w:ind w:left="646"/>
                    <w:rPr>
                      <w:sz w:val="20"/>
                      <w:szCs w:val="20"/>
                    </w:rPr>
                  </w:pPr>
                  <w:r>
                    <w:rPr>
                      <w:rFonts w:ascii="Times New Roman" w:hAnsi="Times New Roman" w:eastAsia="Times New Roman" w:cs="Times New Roman"/>
                      <w:spacing w:val="5"/>
                      <w:sz w:val="20"/>
                      <w:szCs w:val="20"/>
                    </w:rPr>
                    <w:t>Ⅲ</w:t>
                  </w:r>
                  <w:r>
                    <w:rPr>
                      <w:rFonts w:ascii="Times New Roman" w:hAnsi="Times New Roman" w:eastAsia="Times New Roman" w:cs="Times New Roman"/>
                      <w:spacing w:val="7"/>
                      <w:sz w:val="20"/>
                      <w:szCs w:val="20"/>
                    </w:rPr>
                    <w:t xml:space="preserve">    </w:t>
                  </w:r>
                  <w:r>
                    <w:rPr>
                      <w:spacing w:val="5"/>
                      <w:sz w:val="20"/>
                      <w:szCs w:val="20"/>
                    </w:rPr>
                    <w:t>暖性针叶林</w:t>
                  </w:r>
                </w:p>
              </w:tc>
            </w:tr>
            <w:tr w14:paraId="57944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50E54184">
                  <w:pPr>
                    <w:pStyle w:val="6"/>
                    <w:spacing w:before="30" w:line="218" w:lineRule="auto"/>
                    <w:ind w:left="659"/>
                    <w:rPr>
                      <w:sz w:val="20"/>
                      <w:szCs w:val="20"/>
                    </w:rPr>
                  </w:pPr>
                  <w:r>
                    <w:rPr>
                      <w:spacing w:val="8"/>
                      <w:sz w:val="20"/>
                      <w:szCs w:val="20"/>
                    </w:rPr>
                    <w:t>（</w:t>
                  </w:r>
                  <w:r>
                    <w:rPr>
                      <w:rFonts w:ascii="Times New Roman" w:hAnsi="Times New Roman" w:eastAsia="Times New Roman" w:cs="Times New Roman"/>
                      <w:sz w:val="20"/>
                      <w:szCs w:val="20"/>
                    </w:rPr>
                    <w:t>IV</w:t>
                  </w:r>
                  <w:r>
                    <w:rPr>
                      <w:spacing w:val="8"/>
                      <w:sz w:val="20"/>
                      <w:szCs w:val="20"/>
                    </w:rPr>
                    <w:t>）暖温性针叶林</w:t>
                  </w:r>
                </w:p>
              </w:tc>
            </w:tr>
            <w:tr w14:paraId="0B989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1C4C8D5D">
                  <w:pPr>
                    <w:pStyle w:val="6"/>
                    <w:spacing w:before="31" w:line="217" w:lineRule="auto"/>
                    <w:ind w:left="650"/>
                    <w:rPr>
                      <w:sz w:val="20"/>
                      <w:szCs w:val="20"/>
                    </w:rPr>
                  </w:pPr>
                  <w:r>
                    <w:rPr>
                      <w:rFonts w:ascii="Times New Roman" w:hAnsi="Times New Roman" w:eastAsia="Times New Roman" w:cs="Times New Roman"/>
                      <w:spacing w:val="6"/>
                      <w:sz w:val="20"/>
                      <w:szCs w:val="20"/>
                    </w:rPr>
                    <w:t>5.</w:t>
                  </w:r>
                  <w:r>
                    <w:rPr>
                      <w:spacing w:val="6"/>
                      <w:sz w:val="20"/>
                      <w:szCs w:val="20"/>
                    </w:rPr>
                    <w:t>云南松群落</w:t>
                  </w:r>
                </w:p>
              </w:tc>
            </w:tr>
            <w:tr w14:paraId="6229E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291" w:type="dxa"/>
                  <w:vAlign w:val="top"/>
                </w:tcPr>
                <w:p w14:paraId="0F63087D">
                  <w:pPr>
                    <w:pStyle w:val="6"/>
                    <w:spacing w:before="30" w:line="219" w:lineRule="auto"/>
                    <w:ind w:left="649"/>
                    <w:rPr>
                      <w:sz w:val="20"/>
                      <w:szCs w:val="20"/>
                    </w:rPr>
                  </w:pPr>
                  <w:r>
                    <w:rPr>
                      <w:rFonts w:ascii="Times New Roman" w:hAnsi="Times New Roman" w:eastAsia="Times New Roman" w:cs="Times New Roman"/>
                      <w:spacing w:val="6"/>
                      <w:sz w:val="20"/>
                      <w:szCs w:val="20"/>
                    </w:rPr>
                    <w:t>6.</w:t>
                  </w:r>
                  <w:r>
                    <w:rPr>
                      <w:spacing w:val="6"/>
                      <w:sz w:val="20"/>
                      <w:szCs w:val="20"/>
                    </w:rPr>
                    <w:t>华山松群落</w:t>
                  </w:r>
                </w:p>
              </w:tc>
            </w:tr>
            <w:tr w14:paraId="5BF88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0A1F36FB">
                  <w:pPr>
                    <w:pStyle w:val="6"/>
                    <w:spacing w:before="30" w:line="218" w:lineRule="auto"/>
                    <w:ind w:left="646"/>
                    <w:rPr>
                      <w:sz w:val="20"/>
                      <w:szCs w:val="20"/>
                    </w:rPr>
                  </w:pPr>
                  <w:r>
                    <w:rPr>
                      <w:rFonts w:ascii="Times New Roman" w:hAnsi="Times New Roman" w:eastAsia="Times New Roman" w:cs="Times New Roman"/>
                      <w:sz w:val="20"/>
                      <w:szCs w:val="20"/>
                    </w:rPr>
                    <w:t>IV</w:t>
                  </w:r>
                  <w:r>
                    <w:rPr>
                      <w:rFonts w:ascii="Times New Roman" w:hAnsi="Times New Roman" w:eastAsia="Times New Roman" w:cs="Times New Roman"/>
                      <w:spacing w:val="14"/>
                      <w:sz w:val="20"/>
                      <w:szCs w:val="20"/>
                    </w:rPr>
                    <w:t xml:space="preserve"> </w:t>
                  </w:r>
                  <w:r>
                    <w:rPr>
                      <w:spacing w:val="5"/>
                      <w:sz w:val="20"/>
                      <w:szCs w:val="20"/>
                    </w:rPr>
                    <w:t>灌丛</w:t>
                  </w:r>
                </w:p>
              </w:tc>
            </w:tr>
            <w:tr w14:paraId="194CF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7F13A322">
                  <w:pPr>
                    <w:pStyle w:val="6"/>
                    <w:spacing w:before="31" w:line="217" w:lineRule="auto"/>
                    <w:ind w:left="659"/>
                    <w:rPr>
                      <w:sz w:val="20"/>
                      <w:szCs w:val="20"/>
                    </w:rPr>
                  </w:pPr>
                  <w:r>
                    <w:rPr>
                      <w:spacing w:val="7"/>
                      <w:sz w:val="20"/>
                      <w:szCs w:val="20"/>
                    </w:rPr>
                    <w:t>（</w:t>
                  </w:r>
                  <w:r>
                    <w:rPr>
                      <w:rFonts w:ascii="Times New Roman" w:hAnsi="Times New Roman" w:eastAsia="Times New Roman" w:cs="Times New Roman"/>
                      <w:spacing w:val="7"/>
                      <w:sz w:val="20"/>
                      <w:szCs w:val="20"/>
                    </w:rPr>
                    <w:t>V</w:t>
                  </w:r>
                  <w:r>
                    <w:rPr>
                      <w:spacing w:val="7"/>
                      <w:sz w:val="20"/>
                      <w:szCs w:val="20"/>
                    </w:rPr>
                    <w:t>）暖温性石灰岩灌丛</w:t>
                  </w:r>
                </w:p>
              </w:tc>
            </w:tr>
            <w:tr w14:paraId="16BFB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291" w:type="dxa"/>
                  <w:vAlign w:val="top"/>
                </w:tcPr>
                <w:p w14:paraId="351283C8">
                  <w:pPr>
                    <w:pStyle w:val="6"/>
                    <w:spacing w:before="30" w:line="219" w:lineRule="auto"/>
                    <w:ind w:left="648"/>
                    <w:rPr>
                      <w:sz w:val="20"/>
                      <w:szCs w:val="20"/>
                    </w:rPr>
                  </w:pPr>
                  <w:r>
                    <w:rPr>
                      <w:rFonts w:ascii="Times New Roman" w:hAnsi="Times New Roman" w:eastAsia="Times New Roman" w:cs="Times New Roman"/>
                      <w:spacing w:val="6"/>
                      <w:sz w:val="20"/>
                      <w:szCs w:val="20"/>
                    </w:rPr>
                    <w:t>7.</w:t>
                  </w:r>
                  <w:r>
                    <w:rPr>
                      <w:spacing w:val="6"/>
                      <w:sz w:val="20"/>
                      <w:szCs w:val="20"/>
                    </w:rPr>
                    <w:t>火棘灌丛</w:t>
                  </w:r>
                </w:p>
              </w:tc>
            </w:tr>
            <w:tr w14:paraId="239B4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6ED0FAB5">
                  <w:pPr>
                    <w:pStyle w:val="6"/>
                    <w:spacing w:before="30" w:line="218" w:lineRule="auto"/>
                    <w:ind w:left="653"/>
                    <w:rPr>
                      <w:sz w:val="20"/>
                      <w:szCs w:val="20"/>
                    </w:rPr>
                  </w:pPr>
                  <w:r>
                    <w:rPr>
                      <w:rFonts w:ascii="Times New Roman" w:hAnsi="Times New Roman" w:eastAsia="Times New Roman" w:cs="Times New Roman"/>
                      <w:spacing w:val="6"/>
                      <w:sz w:val="20"/>
                      <w:szCs w:val="20"/>
                    </w:rPr>
                    <w:t>8.</w:t>
                  </w:r>
                  <w:r>
                    <w:rPr>
                      <w:spacing w:val="6"/>
                      <w:sz w:val="20"/>
                      <w:szCs w:val="20"/>
                    </w:rPr>
                    <w:t>西南栒子灌丛</w:t>
                  </w:r>
                </w:p>
              </w:tc>
            </w:tr>
            <w:tr w14:paraId="4672C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48E63FE0">
                  <w:pPr>
                    <w:pStyle w:val="6"/>
                    <w:spacing w:before="31" w:line="217" w:lineRule="auto"/>
                    <w:ind w:left="642"/>
                    <w:rPr>
                      <w:sz w:val="20"/>
                      <w:szCs w:val="20"/>
                    </w:rPr>
                  </w:pPr>
                  <w:r>
                    <w:rPr>
                      <w:rFonts w:ascii="Times New Roman" w:hAnsi="Times New Roman" w:eastAsia="Times New Roman" w:cs="Times New Roman"/>
                      <w:spacing w:val="7"/>
                      <w:sz w:val="20"/>
                      <w:szCs w:val="20"/>
                    </w:rPr>
                    <w:t xml:space="preserve">V  </w:t>
                  </w:r>
                  <w:r>
                    <w:rPr>
                      <w:spacing w:val="7"/>
                      <w:sz w:val="20"/>
                      <w:szCs w:val="20"/>
                    </w:rPr>
                    <w:t>稀树灌木草丛</w:t>
                  </w:r>
                </w:p>
              </w:tc>
            </w:tr>
            <w:tr w14:paraId="1DFAF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291" w:type="dxa"/>
                  <w:vAlign w:val="top"/>
                </w:tcPr>
                <w:p w14:paraId="2044F4C7">
                  <w:pPr>
                    <w:pStyle w:val="6"/>
                    <w:spacing w:before="30" w:line="219" w:lineRule="auto"/>
                    <w:ind w:left="659"/>
                    <w:rPr>
                      <w:sz w:val="20"/>
                      <w:szCs w:val="20"/>
                    </w:rPr>
                  </w:pPr>
                  <w:r>
                    <w:rPr>
                      <w:spacing w:val="9"/>
                      <w:sz w:val="20"/>
                      <w:szCs w:val="20"/>
                    </w:rPr>
                    <w:t>（</w:t>
                  </w:r>
                  <w:r>
                    <w:rPr>
                      <w:rFonts w:ascii="Times New Roman" w:hAnsi="Times New Roman" w:eastAsia="Times New Roman" w:cs="Times New Roman"/>
                      <w:sz w:val="20"/>
                      <w:szCs w:val="20"/>
                    </w:rPr>
                    <w:t>VI</w:t>
                  </w:r>
                  <w:r>
                    <w:rPr>
                      <w:spacing w:val="9"/>
                      <w:sz w:val="20"/>
                      <w:szCs w:val="20"/>
                    </w:rPr>
                    <w:t>）暖温性稀树灌木草丛</w:t>
                  </w:r>
                </w:p>
              </w:tc>
            </w:tr>
            <w:tr w14:paraId="4474B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4C11DA0D">
                  <w:pPr>
                    <w:pStyle w:val="6"/>
                    <w:spacing w:before="30" w:line="218" w:lineRule="auto"/>
                    <w:ind w:left="649"/>
                    <w:rPr>
                      <w:sz w:val="20"/>
                      <w:szCs w:val="20"/>
                    </w:rPr>
                  </w:pPr>
                  <w:r>
                    <w:rPr>
                      <w:rFonts w:ascii="Times New Roman" w:hAnsi="Times New Roman" w:eastAsia="Times New Roman" w:cs="Times New Roman"/>
                      <w:spacing w:val="8"/>
                      <w:sz w:val="20"/>
                      <w:szCs w:val="20"/>
                    </w:rPr>
                    <w:t>9.</w:t>
                  </w:r>
                  <w:r>
                    <w:rPr>
                      <w:spacing w:val="8"/>
                      <w:sz w:val="20"/>
                      <w:szCs w:val="20"/>
                    </w:rPr>
                    <w:t>含云南松、冷杉的中草草丛</w:t>
                  </w:r>
                </w:p>
              </w:tc>
            </w:tr>
            <w:tr w14:paraId="049E6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0BA31C1D">
                  <w:pPr>
                    <w:pStyle w:val="6"/>
                    <w:spacing w:before="31" w:line="217" w:lineRule="auto"/>
                    <w:ind w:left="665"/>
                    <w:rPr>
                      <w:sz w:val="20"/>
                      <w:szCs w:val="20"/>
                    </w:rPr>
                  </w:pPr>
                  <w:r>
                    <w:rPr>
                      <w:rFonts w:ascii="Times New Roman" w:hAnsi="Times New Roman" w:eastAsia="Times New Roman" w:cs="Times New Roman"/>
                      <w:spacing w:val="6"/>
                      <w:sz w:val="20"/>
                      <w:szCs w:val="20"/>
                    </w:rPr>
                    <w:t>10.</w:t>
                  </w:r>
                  <w:r>
                    <w:rPr>
                      <w:spacing w:val="6"/>
                      <w:sz w:val="20"/>
                      <w:szCs w:val="20"/>
                    </w:rPr>
                    <w:t>含栓皮栎、槲栎的中草草丛</w:t>
                  </w:r>
                </w:p>
              </w:tc>
            </w:tr>
            <w:tr w14:paraId="1B48D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28C8BA99">
                  <w:pPr>
                    <w:pStyle w:val="6"/>
                    <w:spacing w:before="29" w:line="219" w:lineRule="auto"/>
                    <w:ind w:left="224"/>
                    <w:rPr>
                      <w:sz w:val="20"/>
                      <w:szCs w:val="20"/>
                    </w:rPr>
                  </w:pPr>
                  <w:r>
                    <w:rPr>
                      <w:rFonts w:ascii="Times New Roman" w:hAnsi="Times New Roman" w:eastAsia="Times New Roman" w:cs="Times New Roman"/>
                      <w:spacing w:val="7"/>
                      <w:sz w:val="20"/>
                      <w:szCs w:val="20"/>
                    </w:rPr>
                    <w:t>B.</w:t>
                  </w:r>
                  <w:r>
                    <w:rPr>
                      <w:spacing w:val="7"/>
                      <w:sz w:val="20"/>
                      <w:szCs w:val="20"/>
                    </w:rPr>
                    <w:t>人工植被</w:t>
                  </w:r>
                </w:p>
              </w:tc>
            </w:tr>
            <w:tr w14:paraId="396F7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6D51F6B3">
                  <w:pPr>
                    <w:pStyle w:val="6"/>
                    <w:spacing w:before="30" w:line="218" w:lineRule="auto"/>
                    <w:ind w:left="659"/>
                    <w:rPr>
                      <w:sz w:val="20"/>
                      <w:szCs w:val="20"/>
                    </w:rPr>
                  </w:pPr>
                  <w:r>
                    <w:rPr>
                      <w:spacing w:val="6"/>
                      <w:sz w:val="20"/>
                      <w:szCs w:val="20"/>
                    </w:rPr>
                    <w:t>（一）人工林</w:t>
                  </w:r>
                </w:p>
              </w:tc>
            </w:tr>
            <w:tr w14:paraId="5DF5E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91" w:type="dxa"/>
                  <w:vAlign w:val="top"/>
                </w:tcPr>
                <w:p w14:paraId="5D2F8844">
                  <w:pPr>
                    <w:pStyle w:val="6"/>
                    <w:spacing w:before="29" w:line="219" w:lineRule="auto"/>
                    <w:ind w:left="659"/>
                    <w:rPr>
                      <w:sz w:val="20"/>
                      <w:szCs w:val="20"/>
                    </w:rPr>
                  </w:pPr>
                  <w:r>
                    <w:rPr>
                      <w:spacing w:val="7"/>
                      <w:sz w:val="20"/>
                      <w:szCs w:val="20"/>
                    </w:rPr>
                    <w:t>（二）人工牧草地</w:t>
                  </w:r>
                </w:p>
              </w:tc>
            </w:tr>
            <w:tr w14:paraId="4FD89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3" w:hRule="atLeast"/>
              </w:trPr>
              <w:tc>
                <w:tcPr>
                  <w:tcW w:w="8291" w:type="dxa"/>
                  <w:tcBorders>
                    <w:bottom w:val="nil"/>
                    <w:right w:val="nil"/>
                  </w:tcBorders>
                  <w:vAlign w:val="top"/>
                </w:tcPr>
                <w:p w14:paraId="2D69A107">
                  <w:pPr>
                    <w:pStyle w:val="6"/>
                    <w:spacing w:before="35" w:line="219" w:lineRule="auto"/>
                    <w:ind w:left="608"/>
                  </w:pPr>
                  <w:r>
                    <w:rPr>
                      <w:spacing w:val="-8"/>
                    </w:rPr>
                    <w:t>（</w:t>
                  </w:r>
                  <w:r>
                    <w:rPr>
                      <w:rFonts w:ascii="Times New Roman" w:hAnsi="Times New Roman" w:eastAsia="Times New Roman" w:cs="Times New Roman"/>
                      <w:spacing w:val="-8"/>
                    </w:rPr>
                    <w:t>2</w:t>
                  </w:r>
                  <w:r>
                    <w:rPr>
                      <w:spacing w:val="-8"/>
                    </w:rPr>
                    <w:t>）</w:t>
                  </w:r>
                  <w:r>
                    <w:rPr>
                      <w:spacing w:val="-70"/>
                    </w:rPr>
                    <w:t xml:space="preserve"> </w:t>
                  </w:r>
                  <w:r>
                    <w:rPr>
                      <w:spacing w:val="-8"/>
                    </w:rPr>
                    <w:t>自然植被特征</w:t>
                  </w:r>
                </w:p>
                <w:p w14:paraId="2C33F432">
                  <w:pPr>
                    <w:pStyle w:val="6"/>
                    <w:spacing w:before="180" w:line="219" w:lineRule="auto"/>
                    <w:ind w:left="608"/>
                  </w:pPr>
                  <w:r>
                    <w:rPr>
                      <w:spacing w:val="-2"/>
                    </w:rPr>
                    <w:t>（一）半湿润常绿阔叶林</w:t>
                  </w:r>
                </w:p>
                <w:p w14:paraId="5716B1B3">
                  <w:pPr>
                    <w:pStyle w:val="6"/>
                    <w:spacing w:before="183" w:line="346" w:lineRule="auto"/>
                    <w:ind w:left="135" w:firstLine="462"/>
                  </w:pPr>
                  <w:r>
                    <w:rPr>
                      <w:spacing w:val="-1"/>
                    </w:rPr>
                    <w:t>根据现场调查，评价区的半湿润常绿阔叶林有滇石栎林</w:t>
                  </w:r>
                  <w:r>
                    <w:rPr>
                      <w:spacing w:val="-17"/>
                    </w:rPr>
                    <w:t xml:space="preserve"> </w:t>
                  </w:r>
                  <w:r>
                    <w:rPr>
                      <w:rFonts w:ascii="Times New Roman" w:hAnsi="Times New Roman" w:eastAsia="Times New Roman" w:cs="Times New Roman"/>
                      <w:spacing w:val="-1"/>
                    </w:rPr>
                    <w:t xml:space="preserve">1 </w:t>
                  </w:r>
                  <w:r>
                    <w:rPr>
                      <w:spacing w:val="-1"/>
                    </w:rPr>
                    <w:t>种群系，在评价</w:t>
                  </w:r>
                  <w:r>
                    <w:t xml:space="preserve"> </w:t>
                  </w:r>
                  <w:r>
                    <w:rPr>
                      <w:spacing w:val="-2"/>
                    </w:rPr>
                    <w:t>区呈零星分布，且分布面积不大。</w:t>
                  </w:r>
                </w:p>
                <w:p w14:paraId="562F18BB">
                  <w:pPr>
                    <w:pStyle w:val="6"/>
                    <w:spacing w:before="33" w:line="217" w:lineRule="auto"/>
                    <w:ind w:left="596"/>
                  </w:pPr>
                  <w:r>
                    <w:rPr>
                      <w:spacing w:val="-1"/>
                    </w:rPr>
                    <w:t>①滇青冈—白柯群落</w:t>
                  </w:r>
                </w:p>
                <w:p w14:paraId="14259444">
                  <w:pPr>
                    <w:pStyle w:val="6"/>
                    <w:spacing w:before="182" w:line="344" w:lineRule="auto"/>
                    <w:ind w:left="117" w:firstLine="479"/>
                  </w:pPr>
                  <w:r>
                    <w:t>根据现场调查，评价区内的滇石栎林成小面积破碎化分布，并长期受到樵</w:t>
                  </w:r>
                  <w:r>
                    <w:rPr>
                      <w:spacing w:val="10"/>
                    </w:rPr>
                    <w:t xml:space="preserve"> </w:t>
                  </w:r>
                  <w:r>
                    <w:rPr>
                      <w:spacing w:val="-3"/>
                    </w:rPr>
                    <w:t>砍影响。</w:t>
                  </w:r>
                </w:p>
                <w:p w14:paraId="3F56C2E7">
                  <w:pPr>
                    <w:pStyle w:val="6"/>
                    <w:spacing w:before="1" w:line="319" w:lineRule="auto"/>
                    <w:ind w:left="152" w:firstLine="439"/>
                  </w:pPr>
                  <w:r>
                    <w:rPr>
                      <w:spacing w:val="-6"/>
                    </w:rPr>
                    <w:t>群落乔木层盖度仅为</w:t>
                  </w:r>
                  <w:r>
                    <w:rPr>
                      <w:spacing w:val="-55"/>
                    </w:rPr>
                    <w:t xml:space="preserve"> </w:t>
                  </w:r>
                  <w:r>
                    <w:rPr>
                      <w:rFonts w:ascii="Times New Roman" w:hAnsi="Times New Roman" w:eastAsia="Times New Roman" w:cs="Times New Roman"/>
                      <w:spacing w:val="-6"/>
                    </w:rPr>
                    <w:t>20%</w:t>
                  </w:r>
                  <w:r>
                    <w:rPr>
                      <w:spacing w:val="-6"/>
                    </w:rPr>
                    <w:t>，群落高</w:t>
                  </w:r>
                  <w:r>
                    <w:rPr>
                      <w:spacing w:val="-46"/>
                    </w:rPr>
                    <w:t xml:space="preserve"> </w:t>
                  </w:r>
                  <w:r>
                    <w:rPr>
                      <w:rFonts w:ascii="Times New Roman" w:hAnsi="Times New Roman" w:eastAsia="Times New Roman" w:cs="Times New Roman"/>
                      <w:spacing w:val="-6"/>
                    </w:rPr>
                    <w:t>8~</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10m</w:t>
                  </w:r>
                  <w:r>
                    <w:rPr>
                      <w:rFonts w:ascii="Times New Roman" w:hAnsi="Times New Roman" w:eastAsia="Times New Roman" w:cs="Times New Roman"/>
                      <w:spacing w:val="-31"/>
                    </w:rPr>
                    <w:t xml:space="preserve"> </w:t>
                  </w:r>
                  <w:r>
                    <w:rPr>
                      <w:spacing w:val="-6"/>
                    </w:rPr>
                    <w:t>，以滇青冈</w:t>
                  </w:r>
                  <w:r>
                    <w:rPr>
                      <w:spacing w:val="-49"/>
                    </w:rPr>
                    <w:t xml:space="preserve"> </w:t>
                  </w:r>
                  <w:r>
                    <w:rPr>
                      <w:rFonts w:ascii="Times New Roman" w:hAnsi="Times New Roman" w:eastAsia="Times New Roman" w:cs="Times New Roman"/>
                      <w:i/>
                      <w:iCs/>
                      <w:spacing w:val="-6"/>
                    </w:rPr>
                    <w:t>Quercus schottkyana</w:t>
                  </w:r>
                  <w:r>
                    <w:rPr>
                      <w:i/>
                      <w:iCs/>
                      <w:spacing w:val="-6"/>
                      <w:sz w:val="25"/>
                      <w:szCs w:val="25"/>
                    </w:rPr>
                    <w:t>、</w:t>
                  </w:r>
                  <w:r>
                    <w:rPr>
                      <w:sz w:val="25"/>
                      <w:szCs w:val="25"/>
                    </w:rPr>
                    <w:t xml:space="preserve"> </w:t>
                  </w:r>
                  <w:r>
                    <w:rPr>
                      <w:spacing w:val="-3"/>
                    </w:rPr>
                    <w:t>白柯</w:t>
                  </w:r>
                  <w:r>
                    <w:rPr>
                      <w:spacing w:val="-59"/>
                    </w:rPr>
                    <w:t xml:space="preserve"> </w:t>
                  </w:r>
                  <w:r>
                    <w:rPr>
                      <w:rFonts w:ascii="Times New Roman" w:hAnsi="Times New Roman" w:eastAsia="Times New Roman" w:cs="Times New Roman"/>
                      <w:i/>
                      <w:iCs/>
                      <w:spacing w:val="-3"/>
                    </w:rPr>
                    <w:t xml:space="preserve">Lithocarpus dealbatus </w:t>
                  </w:r>
                  <w:r>
                    <w:rPr>
                      <w:spacing w:val="-3"/>
                    </w:rPr>
                    <w:t>为主，也见有栓皮栎</w:t>
                  </w:r>
                  <w:r>
                    <w:rPr>
                      <w:spacing w:val="-49"/>
                    </w:rPr>
                    <w:t xml:space="preserve"> </w:t>
                  </w:r>
                  <w:r>
                    <w:rPr>
                      <w:rFonts w:ascii="Times New Roman" w:hAnsi="Times New Roman" w:eastAsia="Times New Roman" w:cs="Times New Roman"/>
                      <w:i/>
                      <w:iCs/>
                      <w:spacing w:val="-3"/>
                    </w:rPr>
                    <w:t xml:space="preserve">Quercus variabilis </w:t>
                  </w:r>
                  <w:r>
                    <w:rPr>
                      <w:spacing w:val="-3"/>
                    </w:rPr>
                    <w:t>伴生。</w:t>
                  </w:r>
                </w:p>
                <w:p w14:paraId="42D3B6E0">
                  <w:pPr>
                    <w:pStyle w:val="6"/>
                    <w:spacing w:before="88" w:line="345" w:lineRule="auto"/>
                    <w:ind w:left="66" w:firstLine="530"/>
                  </w:pPr>
                  <w:r>
                    <w:rPr>
                      <w:spacing w:val="4"/>
                    </w:rPr>
                    <w:t>群落灌木层盖度约为</w:t>
                  </w:r>
                  <w:r>
                    <w:rPr>
                      <w:spacing w:val="-49"/>
                    </w:rPr>
                    <w:t xml:space="preserve"> </w:t>
                  </w:r>
                  <w:r>
                    <w:rPr>
                      <w:rFonts w:ascii="Times New Roman" w:hAnsi="Times New Roman" w:eastAsia="Times New Roman" w:cs="Times New Roman"/>
                      <w:spacing w:val="4"/>
                    </w:rPr>
                    <w:t>40%</w:t>
                  </w:r>
                  <w:r>
                    <w:rPr>
                      <w:rFonts w:ascii="Times New Roman" w:hAnsi="Times New Roman" w:eastAsia="Times New Roman" w:cs="Times New Roman"/>
                      <w:spacing w:val="-22"/>
                    </w:rPr>
                    <w:t xml:space="preserve"> </w:t>
                  </w:r>
                  <w:r>
                    <w:rPr>
                      <w:spacing w:val="4"/>
                    </w:rPr>
                    <w:t>，其中有滇石栎</w:t>
                  </w:r>
                  <w:r>
                    <w:rPr>
                      <w:spacing w:val="-60"/>
                    </w:rPr>
                    <w:t xml:space="preserve"> </w:t>
                  </w:r>
                  <w:r>
                    <w:rPr>
                      <w:rFonts w:ascii="Times New Roman" w:hAnsi="Times New Roman" w:eastAsia="Times New Roman" w:cs="Times New Roman"/>
                      <w:i/>
                      <w:iCs/>
                    </w:rPr>
                    <w:t>Lithocarpus</w:t>
                  </w:r>
                  <w:r>
                    <w:rPr>
                      <w:rFonts w:ascii="Times New Roman" w:hAnsi="Times New Roman" w:eastAsia="Times New Roman" w:cs="Times New Roman"/>
                      <w:i/>
                      <w:iCs/>
                      <w:spacing w:val="4"/>
                    </w:rPr>
                    <w:t xml:space="preserve"> </w:t>
                  </w:r>
                  <w:r>
                    <w:rPr>
                      <w:rFonts w:ascii="Times New Roman" w:hAnsi="Times New Roman" w:eastAsia="Times New Roman" w:cs="Times New Roman"/>
                      <w:i/>
                      <w:iCs/>
                    </w:rPr>
                    <w:t>dealbatus</w:t>
                  </w:r>
                  <w:r>
                    <w:rPr>
                      <w:rFonts w:ascii="Times New Roman" w:hAnsi="Times New Roman" w:eastAsia="Times New Roman" w:cs="Times New Roman"/>
                      <w:i/>
                      <w:iCs/>
                      <w:spacing w:val="-26"/>
                    </w:rPr>
                    <w:t xml:space="preserve"> </w:t>
                  </w:r>
                  <w:r>
                    <w:rPr>
                      <w:spacing w:val="4"/>
                    </w:rPr>
                    <w:t>、滇</w:t>
                  </w:r>
                  <w:r>
                    <w:rPr>
                      <w:spacing w:val="3"/>
                    </w:rPr>
                    <w:t>青冈</w:t>
                  </w:r>
                  <w:r>
                    <w:t xml:space="preserve"> </w:t>
                  </w:r>
                  <w:r>
                    <w:rPr>
                      <w:rFonts w:ascii="Times New Roman" w:hAnsi="Times New Roman" w:eastAsia="Times New Roman" w:cs="Times New Roman"/>
                      <w:i/>
                      <w:iCs/>
                      <w:spacing w:val="-3"/>
                    </w:rPr>
                    <w:t>Quercus schottkyana</w:t>
                  </w:r>
                  <w:r>
                    <w:rPr>
                      <w:spacing w:val="-3"/>
                    </w:rPr>
                    <w:t>、栓皮栎</w:t>
                  </w:r>
                  <w:r>
                    <w:rPr>
                      <w:spacing w:val="-59"/>
                    </w:rPr>
                    <w:t xml:space="preserve"> </w:t>
                  </w:r>
                  <w:r>
                    <w:rPr>
                      <w:rFonts w:ascii="Times New Roman" w:hAnsi="Times New Roman" w:eastAsia="Times New Roman" w:cs="Times New Roman"/>
                      <w:i/>
                      <w:iCs/>
                      <w:spacing w:val="-3"/>
                    </w:rPr>
                    <w:t xml:space="preserve">Quercus </w:t>
                  </w:r>
                  <w:r>
                    <w:rPr>
                      <w:rFonts w:ascii="Times New Roman" w:hAnsi="Times New Roman" w:eastAsia="Times New Roman" w:cs="Times New Roman"/>
                      <w:i/>
                      <w:iCs/>
                      <w:spacing w:val="-4"/>
                    </w:rPr>
                    <w:t>variabilis</w:t>
                  </w:r>
                  <w:r>
                    <w:rPr>
                      <w:rFonts w:ascii="Times New Roman" w:hAnsi="Times New Roman" w:eastAsia="Times New Roman" w:cs="Times New Roman"/>
                      <w:i/>
                      <w:iCs/>
                      <w:spacing w:val="18"/>
                    </w:rPr>
                    <w:t xml:space="preserve"> </w:t>
                  </w:r>
                  <w:r>
                    <w:rPr>
                      <w:spacing w:val="-4"/>
                    </w:rPr>
                    <w:t>的萌生幼树，以及火棘</w:t>
                  </w:r>
                  <w:r>
                    <w:rPr>
                      <w:rFonts w:ascii="Times New Roman" w:hAnsi="Times New Roman" w:eastAsia="Times New Roman" w:cs="Times New Roman"/>
                      <w:i/>
                      <w:iCs/>
                      <w:spacing w:val="-4"/>
                    </w:rPr>
                    <w:t>Pyracantha</w:t>
                  </w:r>
                  <w:r>
                    <w:rPr>
                      <w:rFonts w:ascii="Times New Roman" w:hAnsi="Times New Roman" w:eastAsia="Times New Roman" w:cs="Times New Roman"/>
                      <w:i/>
                      <w:iCs/>
                    </w:rPr>
                    <w:t xml:space="preserve"> fortuneana</w:t>
                  </w:r>
                  <w:r>
                    <w:rPr>
                      <w:rFonts w:ascii="Times New Roman" w:hAnsi="Times New Roman" w:eastAsia="Times New Roman" w:cs="Times New Roman"/>
                      <w:i/>
                      <w:iCs/>
                      <w:spacing w:val="-30"/>
                    </w:rPr>
                    <w:t xml:space="preserve"> </w:t>
                  </w:r>
                  <w:r>
                    <w:t>、西南栒子</w:t>
                  </w:r>
                  <w:r>
                    <w:rPr>
                      <w:spacing w:val="-39"/>
                    </w:rPr>
                    <w:t xml:space="preserve"> </w:t>
                  </w:r>
                  <w:r>
                    <w:rPr>
                      <w:rFonts w:ascii="Times New Roman" w:hAnsi="Times New Roman" w:eastAsia="Times New Roman" w:cs="Times New Roman"/>
                      <w:i/>
                      <w:iCs/>
                    </w:rPr>
                    <w:t>Cotoneaster</w:t>
                  </w:r>
                  <w:r>
                    <w:rPr>
                      <w:rFonts w:ascii="Times New Roman" w:hAnsi="Times New Roman" w:eastAsia="Times New Roman" w:cs="Times New Roman"/>
                      <w:i/>
                      <w:iCs/>
                      <w:spacing w:val="-43"/>
                    </w:rPr>
                    <w:t xml:space="preserve"> </w:t>
                  </w:r>
                  <w:r>
                    <w:rPr>
                      <w:rFonts w:ascii="Times New Roman" w:hAnsi="Times New Roman" w:eastAsia="Times New Roman" w:cs="Times New Roman"/>
                      <w:i/>
                      <w:iCs/>
                    </w:rPr>
                    <w:t>franchetii</w:t>
                  </w:r>
                  <w:r>
                    <w:rPr>
                      <w:rFonts w:ascii="Times New Roman" w:hAnsi="Times New Roman" w:eastAsia="Times New Roman" w:cs="Times New Roman"/>
                      <w:i/>
                      <w:iCs/>
                      <w:spacing w:val="-30"/>
                    </w:rPr>
                    <w:t xml:space="preserve"> </w:t>
                  </w:r>
                  <w:r>
                    <w:t>、云南勾儿茶</w:t>
                  </w:r>
                  <w:r>
                    <w:rPr>
                      <w:spacing w:val="-42"/>
                    </w:rPr>
                    <w:t xml:space="preserve"> </w:t>
                  </w:r>
                  <w:r>
                    <w:rPr>
                      <w:rFonts w:ascii="Times New Roman" w:hAnsi="Times New Roman" w:eastAsia="Times New Roman" w:cs="Times New Roman"/>
                      <w:i/>
                      <w:iCs/>
                    </w:rPr>
                    <w:t>Coriaria nepalensis</w:t>
                  </w:r>
                  <w:r>
                    <w:rPr>
                      <w:rFonts w:ascii="Times New Roman" w:hAnsi="Times New Roman" w:eastAsia="Times New Roman" w:cs="Times New Roman"/>
                      <w:i/>
                      <w:iCs/>
                      <w:spacing w:val="-29"/>
                    </w:rPr>
                    <w:t xml:space="preserve"> </w:t>
                  </w:r>
                  <w:r>
                    <w:t xml:space="preserve">、 </w:t>
                  </w:r>
                  <w:r>
                    <w:rPr>
                      <w:spacing w:val="4"/>
                    </w:rPr>
                    <w:t>粉叶小檗</w:t>
                  </w:r>
                  <w:r>
                    <w:rPr>
                      <w:spacing w:val="-52"/>
                    </w:rPr>
                    <w:t xml:space="preserve"> </w:t>
                  </w:r>
                  <w:r>
                    <w:rPr>
                      <w:rFonts w:ascii="Times New Roman" w:hAnsi="Times New Roman" w:eastAsia="Times New Roman" w:cs="Times New Roman"/>
                      <w:i/>
                      <w:iCs/>
                    </w:rPr>
                    <w:t>Berberris</w:t>
                  </w:r>
                  <w:r>
                    <w:rPr>
                      <w:rFonts w:ascii="Times New Roman" w:hAnsi="Times New Roman" w:eastAsia="Times New Roman" w:cs="Times New Roman"/>
                      <w:i/>
                      <w:iCs/>
                      <w:spacing w:val="4"/>
                    </w:rPr>
                    <w:t xml:space="preserve">   </w:t>
                  </w:r>
                  <w:r>
                    <w:rPr>
                      <w:rFonts w:ascii="Times New Roman" w:hAnsi="Times New Roman" w:eastAsia="Times New Roman" w:cs="Times New Roman"/>
                      <w:i/>
                      <w:iCs/>
                    </w:rPr>
                    <w:t>pruinosa</w:t>
                  </w:r>
                  <w:r>
                    <w:rPr>
                      <w:rFonts w:ascii="Times New Roman" w:hAnsi="Times New Roman" w:eastAsia="Times New Roman" w:cs="Times New Roman"/>
                      <w:i/>
                      <w:iCs/>
                      <w:spacing w:val="-32"/>
                    </w:rPr>
                    <w:t xml:space="preserve"> </w:t>
                  </w:r>
                  <w:r>
                    <w:rPr>
                      <w:i/>
                      <w:iCs/>
                      <w:spacing w:val="4"/>
                      <w:sz w:val="25"/>
                      <w:szCs w:val="25"/>
                    </w:rPr>
                    <w:t>、</w:t>
                  </w:r>
                  <w:r>
                    <w:rPr>
                      <w:spacing w:val="4"/>
                    </w:rPr>
                    <w:t>野拔子</w:t>
                  </w:r>
                  <w:r>
                    <w:rPr>
                      <w:spacing w:val="-60"/>
                    </w:rPr>
                    <w:t xml:space="preserve"> </w:t>
                  </w:r>
                  <w:r>
                    <w:rPr>
                      <w:rFonts w:ascii="Times New Roman" w:hAnsi="Times New Roman" w:eastAsia="Times New Roman" w:cs="Times New Roman"/>
                      <w:i/>
                      <w:iCs/>
                    </w:rPr>
                    <w:t>Elsholtzia</w:t>
                  </w:r>
                  <w:r>
                    <w:rPr>
                      <w:rFonts w:ascii="Times New Roman" w:hAnsi="Times New Roman" w:eastAsia="Times New Roman" w:cs="Times New Roman"/>
                      <w:i/>
                      <w:iCs/>
                      <w:spacing w:val="4"/>
                    </w:rPr>
                    <w:t xml:space="preserve"> </w:t>
                  </w:r>
                  <w:r>
                    <w:rPr>
                      <w:rFonts w:ascii="Times New Roman" w:hAnsi="Times New Roman" w:eastAsia="Times New Roman" w:cs="Times New Roman"/>
                      <w:i/>
                      <w:iCs/>
                    </w:rPr>
                    <w:t>rugulosa</w:t>
                  </w:r>
                  <w:r>
                    <w:rPr>
                      <w:rFonts w:ascii="Times New Roman" w:hAnsi="Times New Roman" w:eastAsia="Times New Roman" w:cs="Times New Roman"/>
                      <w:i/>
                      <w:iCs/>
                      <w:spacing w:val="4"/>
                    </w:rPr>
                    <w:t xml:space="preserve"> </w:t>
                  </w:r>
                  <w:r>
                    <w:rPr>
                      <w:spacing w:val="4"/>
                    </w:rPr>
                    <w:t>等较为常见，其他还</w:t>
                  </w:r>
                  <w:r>
                    <w:t xml:space="preserve"> </w:t>
                  </w:r>
                  <w:r>
                    <w:rPr>
                      <w:spacing w:val="16"/>
                    </w:rPr>
                    <w:t>有</w:t>
                  </w:r>
                  <w:r>
                    <w:rPr>
                      <w:spacing w:val="-62"/>
                    </w:rPr>
                    <w:t xml:space="preserve"> </w:t>
                  </w:r>
                  <w:r>
                    <w:rPr>
                      <w:spacing w:val="16"/>
                    </w:rPr>
                    <w:t>多脉猫乳</w:t>
                  </w:r>
                  <w:r>
                    <w:rPr>
                      <w:spacing w:val="-34"/>
                    </w:rPr>
                    <w:t xml:space="preserve"> </w:t>
                  </w:r>
                  <w:r>
                    <w:rPr>
                      <w:rFonts w:ascii="Times New Roman" w:hAnsi="Times New Roman" w:eastAsia="Times New Roman" w:cs="Times New Roman"/>
                      <w:i/>
                      <w:iCs/>
                    </w:rPr>
                    <w:t>Rhamnella</w:t>
                  </w:r>
                  <w:r>
                    <w:rPr>
                      <w:rFonts w:ascii="Times New Roman" w:hAnsi="Times New Roman" w:eastAsia="Times New Roman" w:cs="Times New Roman"/>
                      <w:i/>
                      <w:iCs/>
                      <w:spacing w:val="38"/>
                    </w:rPr>
                    <w:t xml:space="preserve"> </w:t>
                  </w:r>
                  <w:r>
                    <w:rPr>
                      <w:rFonts w:ascii="Times New Roman" w:hAnsi="Times New Roman" w:eastAsia="Times New Roman" w:cs="Times New Roman"/>
                      <w:i/>
                      <w:iCs/>
                    </w:rPr>
                    <w:t>martinii</w:t>
                  </w:r>
                  <w:r>
                    <w:rPr>
                      <w:rFonts w:ascii="Times New Roman" w:hAnsi="Times New Roman" w:eastAsia="Times New Roman" w:cs="Times New Roman"/>
                      <w:i/>
                      <w:iCs/>
                      <w:spacing w:val="16"/>
                    </w:rPr>
                    <w:t xml:space="preserve"> </w:t>
                  </w:r>
                  <w:r>
                    <w:rPr>
                      <w:spacing w:val="16"/>
                    </w:rPr>
                    <w:t>、</w:t>
                  </w:r>
                  <w:r>
                    <w:rPr>
                      <w:spacing w:val="-71"/>
                    </w:rPr>
                    <w:t xml:space="preserve"> </w:t>
                  </w:r>
                  <w:r>
                    <w:rPr>
                      <w:spacing w:val="16"/>
                    </w:rPr>
                    <w:t>小花清风藤</w:t>
                  </w:r>
                  <w:r>
                    <w:rPr>
                      <w:spacing w:val="-24"/>
                    </w:rPr>
                    <w:t xml:space="preserve"> </w:t>
                  </w:r>
                  <w:r>
                    <w:rPr>
                      <w:rFonts w:ascii="Times New Roman" w:hAnsi="Times New Roman" w:eastAsia="Times New Roman" w:cs="Times New Roman"/>
                      <w:i/>
                      <w:iCs/>
                    </w:rPr>
                    <w:t>Sabia</w:t>
                  </w:r>
                  <w:r>
                    <w:rPr>
                      <w:rFonts w:ascii="Times New Roman" w:hAnsi="Times New Roman" w:eastAsia="Times New Roman" w:cs="Times New Roman"/>
                      <w:i/>
                      <w:iCs/>
                      <w:spacing w:val="16"/>
                    </w:rPr>
                    <w:t xml:space="preserve"> </w:t>
                  </w:r>
                  <w:r>
                    <w:rPr>
                      <w:rFonts w:ascii="Times New Roman" w:hAnsi="Times New Roman" w:eastAsia="Times New Roman" w:cs="Times New Roman"/>
                      <w:i/>
                      <w:iCs/>
                    </w:rPr>
                    <w:t>parviflora</w:t>
                  </w:r>
                  <w:r>
                    <w:rPr>
                      <w:rFonts w:ascii="Times New Roman" w:hAnsi="Times New Roman" w:eastAsia="Times New Roman" w:cs="Times New Roman"/>
                      <w:i/>
                      <w:iCs/>
                      <w:spacing w:val="16"/>
                    </w:rPr>
                    <w:t xml:space="preserve"> </w:t>
                  </w:r>
                  <w:r>
                    <w:rPr>
                      <w:spacing w:val="16"/>
                    </w:rPr>
                    <w:t>、茅莓</w:t>
                  </w:r>
                  <w:r>
                    <w:rPr>
                      <w:spacing w:val="-32"/>
                    </w:rPr>
                    <w:t xml:space="preserve"> </w:t>
                  </w:r>
                  <w:r>
                    <w:rPr>
                      <w:rFonts w:ascii="Times New Roman" w:hAnsi="Times New Roman" w:eastAsia="Times New Roman" w:cs="Times New Roman"/>
                      <w:i/>
                      <w:iCs/>
                    </w:rPr>
                    <w:t>Rubus parvifolius</w:t>
                  </w:r>
                  <w:r>
                    <w:rPr>
                      <w:rFonts w:ascii="Times New Roman" w:hAnsi="Times New Roman" w:eastAsia="Times New Roman" w:cs="Times New Roman"/>
                      <w:i/>
                      <w:iCs/>
                      <w:spacing w:val="-27"/>
                    </w:rPr>
                    <w:t xml:space="preserve"> </w:t>
                  </w:r>
                  <w:r>
                    <w:t>、卵叶悬钩子</w:t>
                  </w:r>
                  <w:r>
                    <w:rPr>
                      <w:spacing w:val="-66"/>
                    </w:rPr>
                    <w:t xml:space="preserve"> </w:t>
                  </w:r>
                  <w:r>
                    <w:rPr>
                      <w:rFonts w:ascii="Times New Roman" w:hAnsi="Times New Roman" w:eastAsia="Times New Roman" w:cs="Times New Roman"/>
                      <w:i/>
                      <w:iCs/>
                    </w:rPr>
                    <w:t xml:space="preserve">Rubus obcordatus </w:t>
                  </w:r>
                  <w:r>
                    <w:t>等灌木。</w:t>
                  </w:r>
                </w:p>
                <w:p w14:paraId="6032677B">
                  <w:pPr>
                    <w:pStyle w:val="6"/>
                    <w:spacing w:before="88" w:line="342" w:lineRule="auto"/>
                    <w:ind w:left="96" w:firstLine="502"/>
                  </w:pPr>
                  <w:r>
                    <w:rPr>
                      <w:spacing w:val="-2"/>
                    </w:rPr>
                    <w:t>草本层盖度约为</w:t>
                  </w:r>
                  <w:r>
                    <w:rPr>
                      <w:spacing w:val="-50"/>
                    </w:rPr>
                    <w:t xml:space="preserve"> </w:t>
                  </w:r>
                  <w:r>
                    <w:rPr>
                      <w:rFonts w:ascii="Times New Roman" w:hAnsi="Times New Roman" w:eastAsia="Times New Roman" w:cs="Times New Roman"/>
                      <w:spacing w:val="-2"/>
                    </w:rPr>
                    <w:t>30%</w:t>
                  </w:r>
                  <w:r>
                    <w:rPr>
                      <w:spacing w:val="-2"/>
                    </w:rPr>
                    <w:t>左右，其中以白茅</w:t>
                  </w:r>
                  <w:r>
                    <w:rPr>
                      <w:spacing w:val="-67"/>
                    </w:rPr>
                    <w:t xml:space="preserve"> </w:t>
                  </w:r>
                  <w:r>
                    <w:rPr>
                      <w:rFonts w:ascii="Times New Roman" w:hAnsi="Times New Roman" w:eastAsia="Times New Roman" w:cs="Times New Roman"/>
                      <w:i/>
                      <w:iCs/>
                      <w:spacing w:val="-2"/>
                    </w:rPr>
                    <w:t>Imperata cy</w:t>
                  </w:r>
                  <w:r>
                    <w:rPr>
                      <w:rFonts w:ascii="Times New Roman" w:hAnsi="Times New Roman" w:eastAsia="Times New Roman" w:cs="Times New Roman"/>
                      <w:i/>
                      <w:iCs/>
                      <w:spacing w:val="-3"/>
                    </w:rPr>
                    <w:t>lindrica var.major</w:t>
                  </w:r>
                  <w:r>
                    <w:rPr>
                      <w:spacing w:val="-3"/>
                    </w:rPr>
                    <w:t>、黄茅</w:t>
                  </w:r>
                  <w:r>
                    <w:t xml:space="preserve"> </w:t>
                  </w:r>
                  <w:r>
                    <w:rPr>
                      <w:rFonts w:ascii="Times New Roman" w:hAnsi="Times New Roman" w:eastAsia="Times New Roman" w:cs="Times New Roman"/>
                      <w:i/>
                      <w:iCs/>
                      <w:spacing w:val="-2"/>
                    </w:rPr>
                    <w:t>Heteropogon</w:t>
                  </w:r>
                  <w:r>
                    <w:rPr>
                      <w:rFonts w:ascii="Times New Roman" w:hAnsi="Times New Roman" w:eastAsia="Times New Roman" w:cs="Times New Roman"/>
                      <w:i/>
                      <w:iCs/>
                      <w:spacing w:val="52"/>
                    </w:rPr>
                    <w:t xml:space="preserve"> </w:t>
                  </w:r>
                  <w:r>
                    <w:rPr>
                      <w:rFonts w:ascii="Times New Roman" w:hAnsi="Times New Roman" w:eastAsia="Times New Roman" w:cs="Times New Roman"/>
                      <w:i/>
                      <w:iCs/>
                      <w:spacing w:val="-2"/>
                    </w:rPr>
                    <w:t>contortus</w:t>
                  </w:r>
                  <w:r>
                    <w:rPr>
                      <w:rFonts w:ascii="Times New Roman" w:hAnsi="Times New Roman" w:eastAsia="Times New Roman" w:cs="Times New Roman"/>
                      <w:i/>
                      <w:iCs/>
                      <w:spacing w:val="14"/>
                    </w:rPr>
                    <w:t xml:space="preserve"> </w:t>
                  </w:r>
                  <w:r>
                    <w:rPr>
                      <w:spacing w:val="-2"/>
                    </w:rPr>
                    <w:t>、</w:t>
                  </w:r>
                  <w:r>
                    <w:rPr>
                      <w:spacing w:val="-65"/>
                    </w:rPr>
                    <w:t xml:space="preserve"> </w:t>
                  </w:r>
                  <w:r>
                    <w:rPr>
                      <w:spacing w:val="-2"/>
                    </w:rPr>
                    <w:t xml:space="preserve">蕨 </w:t>
                  </w:r>
                  <w:r>
                    <w:rPr>
                      <w:rFonts w:ascii="Times New Roman" w:hAnsi="Times New Roman" w:eastAsia="Times New Roman" w:cs="Times New Roman"/>
                      <w:i/>
                      <w:iCs/>
                      <w:spacing w:val="-2"/>
                    </w:rPr>
                    <w:t>Pteri</w:t>
                  </w:r>
                  <w:r>
                    <w:rPr>
                      <w:rFonts w:ascii="Times New Roman" w:hAnsi="Times New Roman" w:eastAsia="Times New Roman" w:cs="Times New Roman"/>
                      <w:i/>
                      <w:iCs/>
                      <w:spacing w:val="-3"/>
                    </w:rPr>
                    <w:t>dium</w:t>
                  </w:r>
                  <w:r>
                    <w:rPr>
                      <w:rFonts w:ascii="Times New Roman" w:hAnsi="Times New Roman" w:eastAsia="Times New Roman" w:cs="Times New Roman"/>
                      <w:i/>
                      <w:iCs/>
                      <w:spacing w:val="51"/>
                    </w:rPr>
                    <w:t xml:space="preserve"> </w:t>
                  </w:r>
                  <w:r>
                    <w:rPr>
                      <w:rFonts w:ascii="Times New Roman" w:hAnsi="Times New Roman" w:eastAsia="Times New Roman" w:cs="Times New Roman"/>
                      <w:i/>
                      <w:iCs/>
                      <w:spacing w:val="-3"/>
                    </w:rPr>
                    <w:t>aquilinum</w:t>
                  </w:r>
                  <w:r>
                    <w:rPr>
                      <w:rFonts w:ascii="Times New Roman" w:hAnsi="Times New Roman" w:eastAsia="Times New Roman" w:cs="Times New Roman"/>
                      <w:i/>
                      <w:iCs/>
                      <w:spacing w:val="53"/>
                    </w:rPr>
                    <w:t xml:space="preserve"> </w:t>
                  </w:r>
                  <w:r>
                    <w:rPr>
                      <w:rFonts w:ascii="Times New Roman" w:hAnsi="Times New Roman" w:eastAsia="Times New Roman" w:cs="Times New Roman"/>
                      <w:i/>
                      <w:iCs/>
                      <w:spacing w:val="-3"/>
                    </w:rPr>
                    <w:t>var.</w:t>
                  </w:r>
                  <w:r>
                    <w:rPr>
                      <w:rFonts w:ascii="Times New Roman" w:hAnsi="Times New Roman" w:eastAsia="Times New Roman" w:cs="Times New Roman"/>
                      <w:i/>
                      <w:iCs/>
                      <w:spacing w:val="35"/>
                      <w:w w:val="101"/>
                    </w:rPr>
                    <w:t xml:space="preserve"> </w:t>
                  </w:r>
                  <w:r>
                    <w:rPr>
                      <w:rFonts w:ascii="Times New Roman" w:hAnsi="Times New Roman" w:eastAsia="Times New Roman" w:cs="Times New Roman"/>
                      <w:i/>
                      <w:iCs/>
                      <w:spacing w:val="-3"/>
                    </w:rPr>
                    <w:t>Latiusculum</w:t>
                  </w:r>
                  <w:r>
                    <w:rPr>
                      <w:rFonts w:ascii="Times New Roman" w:hAnsi="Times New Roman" w:eastAsia="Times New Roman" w:cs="Times New Roman"/>
                      <w:i/>
                      <w:iCs/>
                      <w:spacing w:val="13"/>
                    </w:rPr>
                    <w:t xml:space="preserve"> </w:t>
                  </w:r>
                  <w:r>
                    <w:rPr>
                      <w:spacing w:val="-3"/>
                    </w:rPr>
                    <w:t>、</w:t>
                  </w:r>
                  <w:r>
                    <w:rPr>
                      <w:spacing w:val="-56"/>
                    </w:rPr>
                    <w:t xml:space="preserve"> </w:t>
                  </w:r>
                  <w:r>
                    <w:rPr>
                      <w:spacing w:val="-3"/>
                    </w:rPr>
                    <w:t>西</w:t>
                  </w:r>
                  <w:r>
                    <w:rPr>
                      <w:spacing w:val="-63"/>
                    </w:rPr>
                    <w:t xml:space="preserve"> </w:t>
                  </w:r>
                  <w:r>
                    <w:rPr>
                      <w:spacing w:val="-3"/>
                    </w:rPr>
                    <w:t>南</w:t>
                  </w:r>
                  <w:r>
                    <w:rPr>
                      <w:spacing w:val="-63"/>
                    </w:rPr>
                    <w:t xml:space="preserve"> </w:t>
                  </w:r>
                  <w:r>
                    <w:rPr>
                      <w:spacing w:val="-3"/>
                    </w:rPr>
                    <w:t>牡</w:t>
                  </w:r>
                  <w:r>
                    <w:rPr>
                      <w:spacing w:val="-61"/>
                    </w:rPr>
                    <w:t xml:space="preserve"> </w:t>
                  </w:r>
                  <w:r>
                    <w:rPr>
                      <w:spacing w:val="-3"/>
                    </w:rPr>
                    <w:t>蒿</w:t>
                  </w:r>
                  <w:r>
                    <w:t xml:space="preserve"> </w:t>
                  </w:r>
                  <w:r>
                    <w:rPr>
                      <w:rFonts w:ascii="Times New Roman" w:hAnsi="Times New Roman" w:eastAsia="Times New Roman" w:cs="Times New Roman"/>
                      <w:i/>
                      <w:iCs/>
                    </w:rPr>
                    <w:t>Artemisia</w:t>
                  </w:r>
                  <w:r>
                    <w:rPr>
                      <w:rFonts w:ascii="Times New Roman" w:hAnsi="Times New Roman" w:eastAsia="Times New Roman" w:cs="Times New Roman"/>
                      <w:i/>
                      <w:iCs/>
                      <w:spacing w:val="-25"/>
                    </w:rPr>
                    <w:t xml:space="preserve"> </w:t>
                  </w:r>
                  <w:r>
                    <w:rPr>
                      <w:rFonts w:ascii="Times New Roman" w:hAnsi="Times New Roman" w:eastAsia="Times New Roman" w:cs="Times New Roman"/>
                      <w:i/>
                      <w:iCs/>
                    </w:rPr>
                    <w:t>japonica</w:t>
                  </w:r>
                  <w:r>
                    <w:rPr>
                      <w:rFonts w:ascii="Times New Roman" w:hAnsi="Times New Roman" w:eastAsia="Times New Roman" w:cs="Times New Roman"/>
                      <w:i/>
                      <w:iCs/>
                      <w:spacing w:val="-15"/>
                    </w:rPr>
                    <w:t xml:space="preserve"> </w:t>
                  </w:r>
                  <w:r>
                    <w:rPr>
                      <w:spacing w:val="17"/>
                    </w:rPr>
                    <w:t>、野古草</w:t>
                  </w:r>
                  <w:r>
                    <w:rPr>
                      <w:spacing w:val="-54"/>
                    </w:rPr>
                    <w:t xml:space="preserve"> </w:t>
                  </w:r>
                  <w:r>
                    <w:rPr>
                      <w:rFonts w:ascii="Times New Roman" w:hAnsi="Times New Roman" w:eastAsia="Times New Roman" w:cs="Times New Roman"/>
                      <w:i/>
                      <w:iCs/>
                    </w:rPr>
                    <w:t>Arundinella</w:t>
                  </w:r>
                  <w:r>
                    <w:rPr>
                      <w:rFonts w:ascii="Times New Roman" w:hAnsi="Times New Roman" w:eastAsia="Times New Roman" w:cs="Times New Roman"/>
                      <w:i/>
                      <w:iCs/>
                      <w:spacing w:val="22"/>
                    </w:rPr>
                    <w:t xml:space="preserve"> </w:t>
                  </w:r>
                  <w:r>
                    <w:rPr>
                      <w:rFonts w:ascii="Times New Roman" w:hAnsi="Times New Roman" w:eastAsia="Times New Roman" w:cs="Times New Roman"/>
                      <w:i/>
                      <w:iCs/>
                    </w:rPr>
                    <w:t>anomala</w:t>
                  </w:r>
                  <w:r>
                    <w:rPr>
                      <w:rFonts w:ascii="Times New Roman" w:hAnsi="Times New Roman" w:eastAsia="Times New Roman" w:cs="Times New Roman"/>
                      <w:i/>
                      <w:iCs/>
                      <w:spacing w:val="28"/>
                      <w:w w:val="101"/>
                    </w:rPr>
                    <w:t xml:space="preserve"> </w:t>
                  </w:r>
                  <w:r>
                    <w:rPr>
                      <w:spacing w:val="17"/>
                    </w:rPr>
                    <w:t>较为常见，其它还有积雪草</w:t>
                  </w:r>
                  <w:r>
                    <w:t xml:space="preserve"> </w:t>
                  </w:r>
                  <w:r>
                    <w:rPr>
                      <w:rFonts w:ascii="Times New Roman" w:hAnsi="Times New Roman" w:eastAsia="Times New Roman" w:cs="Times New Roman"/>
                      <w:i/>
                      <w:iCs/>
                    </w:rPr>
                    <w:t>Centella</w:t>
                  </w:r>
                  <w:r>
                    <w:rPr>
                      <w:rFonts w:ascii="Times New Roman" w:hAnsi="Times New Roman" w:eastAsia="Times New Roman" w:cs="Times New Roman"/>
                      <w:i/>
                      <w:iCs/>
                      <w:spacing w:val="1"/>
                    </w:rPr>
                    <w:t xml:space="preserve"> </w:t>
                  </w:r>
                  <w:r>
                    <w:rPr>
                      <w:rFonts w:ascii="Times New Roman" w:hAnsi="Times New Roman" w:eastAsia="Times New Roman" w:cs="Times New Roman"/>
                      <w:i/>
                      <w:iCs/>
                    </w:rPr>
                    <w:t>asiatica</w:t>
                  </w:r>
                  <w:r>
                    <w:rPr>
                      <w:rFonts w:ascii="Times New Roman" w:hAnsi="Times New Roman" w:eastAsia="Times New Roman" w:cs="Times New Roman"/>
                      <w:i/>
                      <w:iCs/>
                      <w:spacing w:val="-22"/>
                    </w:rPr>
                    <w:t xml:space="preserve"> </w:t>
                  </w:r>
                  <w:r>
                    <w:rPr>
                      <w:spacing w:val="1"/>
                    </w:rPr>
                    <w:t>、寸金草</w:t>
                  </w:r>
                  <w:r>
                    <w:rPr>
                      <w:spacing w:val="-35"/>
                    </w:rPr>
                    <w:t xml:space="preserve"> </w:t>
                  </w:r>
                  <w:r>
                    <w:rPr>
                      <w:rFonts w:ascii="Times New Roman" w:hAnsi="Times New Roman" w:eastAsia="Times New Roman" w:cs="Times New Roman"/>
                      <w:i/>
                      <w:iCs/>
                    </w:rPr>
                    <w:t>Clinopodium</w:t>
                  </w:r>
                  <w:r>
                    <w:rPr>
                      <w:rFonts w:ascii="Times New Roman" w:hAnsi="Times New Roman" w:eastAsia="Times New Roman" w:cs="Times New Roman"/>
                      <w:i/>
                      <w:iCs/>
                      <w:spacing w:val="1"/>
                    </w:rPr>
                    <w:t xml:space="preserve"> </w:t>
                  </w:r>
                  <w:r>
                    <w:rPr>
                      <w:rFonts w:ascii="Times New Roman" w:hAnsi="Times New Roman" w:eastAsia="Times New Roman" w:cs="Times New Roman"/>
                      <w:i/>
                      <w:iCs/>
                    </w:rPr>
                    <w:t>megalanthum</w:t>
                  </w:r>
                  <w:r>
                    <w:rPr>
                      <w:rFonts w:ascii="Times New Roman" w:hAnsi="Times New Roman" w:eastAsia="Times New Roman" w:cs="Times New Roman"/>
                      <w:i/>
                      <w:iCs/>
                      <w:spacing w:val="-24"/>
                    </w:rPr>
                    <w:t xml:space="preserve"> </w:t>
                  </w:r>
                  <w:r>
                    <w:rPr>
                      <w:spacing w:val="1"/>
                    </w:rPr>
                    <w:t>、荩草</w:t>
                  </w:r>
                  <w:r>
                    <w:rPr>
                      <w:spacing w:val="-62"/>
                    </w:rPr>
                    <w:t xml:space="preserve"> </w:t>
                  </w:r>
                  <w:r>
                    <w:rPr>
                      <w:rFonts w:ascii="Times New Roman" w:hAnsi="Times New Roman" w:eastAsia="Times New Roman" w:cs="Times New Roman"/>
                      <w:i/>
                      <w:iCs/>
                    </w:rPr>
                    <w:t>Arhraxon</w:t>
                  </w:r>
                  <w:r>
                    <w:rPr>
                      <w:rFonts w:ascii="Times New Roman" w:hAnsi="Times New Roman" w:eastAsia="Times New Roman" w:cs="Times New Roman"/>
                      <w:i/>
                      <w:iCs/>
                      <w:spacing w:val="1"/>
                    </w:rPr>
                    <w:t xml:space="preserve"> </w:t>
                  </w:r>
                  <w:r>
                    <w:rPr>
                      <w:rFonts w:ascii="Times New Roman" w:hAnsi="Times New Roman" w:eastAsia="Times New Roman" w:cs="Times New Roman"/>
                      <w:i/>
                      <w:iCs/>
                    </w:rPr>
                    <w:t>hispidus</w:t>
                  </w:r>
                  <w:r>
                    <w:rPr>
                      <w:spacing w:val="1"/>
                    </w:rPr>
                    <w:t>、</w:t>
                  </w:r>
                </w:p>
              </w:tc>
            </w:tr>
          </w:tbl>
          <w:p w14:paraId="0321EE72">
            <w:pPr>
              <w:spacing w:line="14" w:lineRule="auto"/>
              <w:rPr>
                <w:rFonts w:ascii="Arial"/>
                <w:sz w:val="2"/>
              </w:rPr>
            </w:pPr>
          </w:p>
        </w:tc>
      </w:tr>
    </w:tbl>
    <w:p w14:paraId="7B15815A">
      <w:pPr>
        <w:rPr>
          <w:rFonts w:ascii="Arial"/>
          <w:sz w:val="21"/>
        </w:rPr>
      </w:pPr>
    </w:p>
    <w:p w14:paraId="4346700A">
      <w:pPr>
        <w:rPr>
          <w:rFonts w:ascii="Arial" w:hAnsi="Arial" w:eastAsia="Arial" w:cs="Arial"/>
          <w:sz w:val="21"/>
          <w:szCs w:val="21"/>
        </w:rPr>
        <w:sectPr>
          <w:footerReference r:id="rId86" w:type="default"/>
          <w:pgSz w:w="11906" w:h="16839"/>
          <w:pgMar w:top="1431" w:right="1413" w:bottom="1278" w:left="1413" w:header="0" w:footer="1116" w:gutter="0"/>
          <w:cols w:space="720" w:num="1"/>
        </w:sectPr>
      </w:pPr>
    </w:p>
    <w:p w14:paraId="63E1ED0B">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3A562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668" w:type="dxa"/>
            <w:tcBorders>
              <w:right w:val="single" w:color="000000" w:sz="2" w:space="0"/>
            </w:tcBorders>
            <w:vAlign w:val="top"/>
          </w:tcPr>
          <w:p w14:paraId="5BE56120">
            <w:pPr>
              <w:rPr>
                <w:rFonts w:ascii="Arial"/>
                <w:sz w:val="21"/>
              </w:rPr>
            </w:pPr>
          </w:p>
        </w:tc>
        <w:tc>
          <w:tcPr>
            <w:tcW w:w="8396" w:type="dxa"/>
            <w:tcBorders>
              <w:left w:val="single" w:color="000000" w:sz="2" w:space="0"/>
            </w:tcBorders>
            <w:vAlign w:val="top"/>
          </w:tcPr>
          <w:p w14:paraId="7D7A90BE">
            <w:pPr>
              <w:pStyle w:val="6"/>
              <w:spacing w:before="5" w:line="336" w:lineRule="auto"/>
              <w:ind w:left="92" w:right="74" w:firstLine="20"/>
              <w:jc w:val="both"/>
            </w:pPr>
            <w:r>
              <w:rPr>
                <w:spacing w:val="15"/>
              </w:rPr>
              <w:t>一把伞南星</w:t>
            </w:r>
            <w:r>
              <w:rPr>
                <w:spacing w:val="-35"/>
              </w:rPr>
              <w:t xml:space="preserve"> </w:t>
            </w:r>
            <w:r>
              <w:rPr>
                <w:rFonts w:ascii="Times New Roman" w:hAnsi="Times New Roman" w:eastAsia="Times New Roman" w:cs="Times New Roman"/>
                <w:i/>
                <w:iCs/>
              </w:rPr>
              <w:t>Arisaema</w:t>
            </w:r>
            <w:r>
              <w:rPr>
                <w:rFonts w:ascii="Times New Roman" w:hAnsi="Times New Roman" w:eastAsia="Times New Roman" w:cs="Times New Roman"/>
                <w:i/>
                <w:iCs/>
                <w:spacing w:val="38"/>
                <w:w w:val="101"/>
              </w:rPr>
              <w:t xml:space="preserve"> </w:t>
            </w:r>
            <w:r>
              <w:rPr>
                <w:rFonts w:ascii="Times New Roman" w:hAnsi="Times New Roman" w:eastAsia="Times New Roman" w:cs="Times New Roman"/>
                <w:i/>
                <w:iCs/>
              </w:rPr>
              <w:t>erubescens</w:t>
            </w:r>
            <w:r>
              <w:rPr>
                <w:rFonts w:ascii="Times New Roman" w:hAnsi="Times New Roman" w:eastAsia="Times New Roman" w:cs="Times New Roman"/>
                <w:i/>
                <w:iCs/>
                <w:spacing w:val="15"/>
              </w:rPr>
              <w:t xml:space="preserve"> </w:t>
            </w:r>
            <w:r>
              <w:rPr>
                <w:spacing w:val="15"/>
              </w:rPr>
              <w:t>、</w:t>
            </w:r>
            <w:r>
              <w:rPr>
                <w:spacing w:val="-58"/>
              </w:rPr>
              <w:t xml:space="preserve"> </w:t>
            </w:r>
            <w:r>
              <w:rPr>
                <w:spacing w:val="15"/>
              </w:rPr>
              <w:t>山珠南星</w:t>
            </w:r>
            <w:r>
              <w:rPr>
                <w:spacing w:val="-40"/>
              </w:rPr>
              <w:t xml:space="preserve"> </w:t>
            </w:r>
            <w:r>
              <w:rPr>
                <w:rFonts w:ascii="Times New Roman" w:hAnsi="Times New Roman" w:eastAsia="Times New Roman" w:cs="Times New Roman"/>
                <w:i/>
                <w:iCs/>
              </w:rPr>
              <w:t>Arisaema</w:t>
            </w:r>
            <w:r>
              <w:rPr>
                <w:rFonts w:ascii="Times New Roman" w:hAnsi="Times New Roman" w:eastAsia="Times New Roman" w:cs="Times New Roman"/>
                <w:i/>
                <w:iCs/>
                <w:spacing w:val="15"/>
              </w:rPr>
              <w:t xml:space="preserve"> </w:t>
            </w:r>
            <w:r>
              <w:rPr>
                <w:rFonts w:ascii="Times New Roman" w:hAnsi="Times New Roman" w:eastAsia="Times New Roman" w:cs="Times New Roman"/>
                <w:i/>
                <w:iCs/>
              </w:rPr>
              <w:t>yunnanense</w:t>
            </w:r>
            <w:r>
              <w:rPr>
                <w:rFonts w:ascii="Times New Roman" w:hAnsi="Times New Roman" w:eastAsia="Times New Roman" w:cs="Times New Roman"/>
                <w:i/>
                <w:iCs/>
                <w:spacing w:val="15"/>
              </w:rPr>
              <w:t xml:space="preserve"> </w:t>
            </w:r>
            <w:r>
              <w:rPr>
                <w:i/>
                <w:iCs/>
                <w:spacing w:val="15"/>
                <w:sz w:val="25"/>
                <w:szCs w:val="25"/>
              </w:rPr>
              <w:t>、</w:t>
            </w:r>
            <w:r>
              <w:rPr>
                <w:spacing w:val="15"/>
              </w:rPr>
              <w:t>野青茅</w:t>
            </w:r>
            <w:r>
              <w:t xml:space="preserve"> </w:t>
            </w:r>
            <w:r>
              <w:rPr>
                <w:rFonts w:ascii="Times New Roman" w:hAnsi="Times New Roman" w:eastAsia="Times New Roman" w:cs="Times New Roman"/>
                <w:i/>
                <w:iCs/>
              </w:rPr>
              <w:t>Deyeuxia arundinacea</w:t>
            </w:r>
            <w:r>
              <w:rPr>
                <w:rFonts w:ascii="Times New Roman" w:hAnsi="Times New Roman" w:eastAsia="Times New Roman" w:cs="Times New Roman"/>
                <w:i/>
                <w:iCs/>
                <w:spacing w:val="-32"/>
              </w:rPr>
              <w:t xml:space="preserve"> </w:t>
            </w:r>
            <w:r>
              <w:t>、西南委陵</w:t>
            </w:r>
            <w:r>
              <w:rPr>
                <w:spacing w:val="-1"/>
              </w:rPr>
              <w:t>菜</w:t>
            </w:r>
            <w:r>
              <w:rPr>
                <w:spacing w:val="-65"/>
              </w:rPr>
              <w:t xml:space="preserve"> </w:t>
            </w:r>
            <w:r>
              <w:rPr>
                <w:rFonts w:ascii="Times New Roman" w:hAnsi="Times New Roman" w:eastAsia="Times New Roman" w:cs="Times New Roman"/>
                <w:i/>
                <w:iCs/>
                <w:spacing w:val="-1"/>
              </w:rPr>
              <w:t>Potentillafigens</w:t>
            </w:r>
            <w:r>
              <w:rPr>
                <w:rFonts w:ascii="Times New Roman" w:hAnsi="Times New Roman" w:eastAsia="Times New Roman" w:cs="Times New Roman"/>
                <w:i/>
                <w:iCs/>
                <w:spacing w:val="-34"/>
              </w:rPr>
              <w:t xml:space="preserve"> </w:t>
            </w:r>
            <w:r>
              <w:rPr>
                <w:spacing w:val="-1"/>
              </w:rPr>
              <w:t>、酢浆草</w:t>
            </w:r>
            <w:r>
              <w:rPr>
                <w:spacing w:val="-45"/>
              </w:rPr>
              <w:t xml:space="preserve"> </w:t>
            </w:r>
            <w:r>
              <w:rPr>
                <w:rFonts w:ascii="Times New Roman" w:hAnsi="Times New Roman" w:eastAsia="Times New Roman" w:cs="Times New Roman"/>
                <w:i/>
                <w:iCs/>
                <w:spacing w:val="-1"/>
              </w:rPr>
              <w:t>Oxaliscorniculata</w:t>
            </w:r>
            <w:r>
              <w:rPr>
                <w:spacing w:val="-1"/>
              </w:rPr>
              <w:t>、</w:t>
            </w:r>
            <w:r>
              <w:t xml:space="preserve"> </w:t>
            </w:r>
            <w:r>
              <w:rPr>
                <w:spacing w:val="5"/>
              </w:rPr>
              <w:t>地耳草</w:t>
            </w:r>
            <w:r>
              <w:rPr>
                <w:spacing w:val="-48"/>
              </w:rPr>
              <w:t xml:space="preserve"> </w:t>
            </w:r>
            <w:r>
              <w:rPr>
                <w:rFonts w:ascii="Times New Roman" w:hAnsi="Times New Roman" w:eastAsia="Times New Roman" w:cs="Times New Roman"/>
                <w:i/>
                <w:iCs/>
              </w:rPr>
              <w:t>Hpericum</w:t>
            </w:r>
            <w:r>
              <w:rPr>
                <w:rFonts w:ascii="Times New Roman" w:hAnsi="Times New Roman" w:eastAsia="Times New Roman" w:cs="Times New Roman"/>
                <w:i/>
                <w:iCs/>
                <w:spacing w:val="-29"/>
              </w:rPr>
              <w:t xml:space="preserve"> </w:t>
            </w:r>
            <w:r>
              <w:rPr>
                <w:rFonts w:ascii="Times New Roman" w:hAnsi="Times New Roman" w:eastAsia="Times New Roman" w:cs="Times New Roman"/>
                <w:i/>
                <w:iCs/>
              </w:rPr>
              <w:t>japonicum</w:t>
            </w:r>
            <w:r>
              <w:rPr>
                <w:rFonts w:ascii="Times New Roman" w:hAnsi="Times New Roman" w:eastAsia="Times New Roman" w:cs="Times New Roman"/>
                <w:i/>
                <w:iCs/>
                <w:spacing w:val="-25"/>
              </w:rPr>
              <w:t xml:space="preserve"> </w:t>
            </w:r>
            <w:r>
              <w:rPr>
                <w:spacing w:val="5"/>
              </w:rPr>
              <w:t>、糯米团</w:t>
            </w:r>
            <w:r>
              <w:rPr>
                <w:spacing w:val="-32"/>
              </w:rPr>
              <w:t xml:space="preserve"> </w:t>
            </w:r>
            <w:r>
              <w:rPr>
                <w:rFonts w:ascii="Times New Roman" w:hAnsi="Times New Roman" w:eastAsia="Times New Roman" w:cs="Times New Roman"/>
                <w:i/>
                <w:iCs/>
              </w:rPr>
              <w:t>Gonostegia</w:t>
            </w:r>
            <w:r>
              <w:rPr>
                <w:rFonts w:ascii="Times New Roman" w:hAnsi="Times New Roman" w:eastAsia="Times New Roman" w:cs="Times New Roman"/>
                <w:i/>
                <w:iCs/>
                <w:spacing w:val="5"/>
              </w:rPr>
              <w:t xml:space="preserve"> </w:t>
            </w:r>
            <w:r>
              <w:rPr>
                <w:rFonts w:ascii="Times New Roman" w:hAnsi="Times New Roman" w:eastAsia="Times New Roman" w:cs="Times New Roman"/>
                <w:i/>
                <w:iCs/>
              </w:rPr>
              <w:t>hirta</w:t>
            </w:r>
            <w:r>
              <w:rPr>
                <w:rFonts w:ascii="Times New Roman" w:hAnsi="Times New Roman" w:eastAsia="Times New Roman" w:cs="Times New Roman"/>
                <w:i/>
                <w:iCs/>
                <w:spacing w:val="-24"/>
              </w:rPr>
              <w:t xml:space="preserve"> </w:t>
            </w:r>
            <w:r>
              <w:rPr>
                <w:spacing w:val="5"/>
              </w:rPr>
              <w:t>、具芒碎米莎草</w:t>
            </w:r>
            <w:r>
              <w:rPr>
                <w:spacing w:val="-34"/>
              </w:rPr>
              <w:t xml:space="preserve"> </w:t>
            </w:r>
            <w:r>
              <w:rPr>
                <w:rFonts w:ascii="Times New Roman" w:hAnsi="Times New Roman" w:eastAsia="Times New Roman" w:cs="Times New Roman"/>
                <w:i/>
                <w:iCs/>
              </w:rPr>
              <w:t xml:space="preserve">Cyperus </w:t>
            </w:r>
            <w:r>
              <w:rPr>
                <w:rFonts w:ascii="Times New Roman" w:hAnsi="Times New Roman" w:eastAsia="Times New Roman" w:cs="Times New Roman"/>
                <w:i/>
                <w:iCs/>
                <w:spacing w:val="-1"/>
              </w:rPr>
              <w:t xml:space="preserve">microiria </w:t>
            </w:r>
            <w:r>
              <w:rPr>
                <w:spacing w:val="-1"/>
              </w:rPr>
              <w:t>等。</w:t>
            </w:r>
          </w:p>
          <w:p w14:paraId="36F4B8BB">
            <w:pPr>
              <w:pStyle w:val="6"/>
              <w:spacing w:before="138" w:line="219" w:lineRule="auto"/>
              <w:ind w:left="600"/>
            </w:pPr>
            <w:r>
              <w:rPr>
                <w:spacing w:val="-2"/>
              </w:rPr>
              <w:t>（二）暖温性硬叶常绿阔叶林</w:t>
            </w:r>
          </w:p>
          <w:p w14:paraId="38BC2CBB">
            <w:pPr>
              <w:pStyle w:val="6"/>
              <w:spacing w:before="180" w:line="346" w:lineRule="auto"/>
              <w:ind w:left="110" w:right="102" w:firstLine="479"/>
            </w:pPr>
            <w:r>
              <w:rPr>
                <w:spacing w:val="-1"/>
              </w:rPr>
              <w:t>根据现场调查，评价区内的暖温性硬叶阔叶林有黄背栎林</w:t>
            </w:r>
            <w:r>
              <w:rPr>
                <w:spacing w:val="-14"/>
              </w:rPr>
              <w:t xml:space="preserve"> </w:t>
            </w:r>
            <w:r>
              <w:rPr>
                <w:rFonts w:ascii="Times New Roman" w:hAnsi="Times New Roman" w:eastAsia="Times New Roman" w:cs="Times New Roman"/>
                <w:spacing w:val="-1"/>
              </w:rPr>
              <w:t xml:space="preserve">1 </w:t>
            </w:r>
            <w:r>
              <w:rPr>
                <w:spacing w:val="-1"/>
              </w:rPr>
              <w:t>种群系，在评</w:t>
            </w:r>
            <w:r>
              <w:t xml:space="preserve"> </w:t>
            </w:r>
            <w:r>
              <w:rPr>
                <w:spacing w:val="-1"/>
              </w:rPr>
              <w:t>价区呈零星分布，且分布面积不大。</w:t>
            </w:r>
          </w:p>
          <w:p w14:paraId="0774F814">
            <w:pPr>
              <w:pStyle w:val="6"/>
              <w:spacing w:before="34" w:line="217" w:lineRule="auto"/>
              <w:ind w:left="588"/>
            </w:pPr>
            <w:r>
              <w:rPr>
                <w:spacing w:val="-2"/>
              </w:rPr>
              <w:t>①黄毛青冈群落</w:t>
            </w:r>
          </w:p>
          <w:p w14:paraId="65A13335">
            <w:pPr>
              <w:pStyle w:val="6"/>
              <w:spacing w:before="183" w:line="336" w:lineRule="auto"/>
              <w:ind w:left="104" w:right="102" w:firstLine="483"/>
              <w:rPr>
                <w:sz w:val="25"/>
                <w:szCs w:val="25"/>
              </w:rPr>
            </w:pPr>
            <w:r>
              <w:t>评价区的黄背栎林在项目评价范围内的暖温性稀树灌木草丛边缘或中间零</w:t>
            </w:r>
            <w:r>
              <w:rPr>
                <w:spacing w:val="14"/>
              </w:rPr>
              <w:t xml:space="preserve"> </w:t>
            </w:r>
            <w:r>
              <w:rPr>
                <w:spacing w:val="8"/>
              </w:rPr>
              <w:t>星分布</w:t>
            </w:r>
            <w:r>
              <w:rPr>
                <w:spacing w:val="-60"/>
              </w:rPr>
              <w:t xml:space="preserve"> </w:t>
            </w:r>
            <w:r>
              <w:rPr>
                <w:spacing w:val="8"/>
              </w:rPr>
              <w:t>，群落乔木层盖度</w:t>
            </w:r>
            <w:r>
              <w:rPr>
                <w:spacing w:val="-17"/>
              </w:rPr>
              <w:t xml:space="preserve"> </w:t>
            </w:r>
            <w:r>
              <w:rPr>
                <w:rFonts w:ascii="Times New Roman" w:hAnsi="Times New Roman" w:eastAsia="Times New Roman" w:cs="Times New Roman"/>
                <w:spacing w:val="8"/>
              </w:rPr>
              <w:t xml:space="preserve">50~60% </w:t>
            </w:r>
            <w:r>
              <w:rPr>
                <w:spacing w:val="8"/>
              </w:rPr>
              <w:t>，群落高</w:t>
            </w:r>
            <w:r>
              <w:rPr>
                <w:spacing w:val="-21"/>
              </w:rPr>
              <w:t xml:space="preserve"> </w:t>
            </w:r>
            <w:r>
              <w:rPr>
                <w:rFonts w:ascii="Times New Roman" w:hAnsi="Times New Roman" w:eastAsia="Times New Roman" w:cs="Times New Roman"/>
                <w:spacing w:val="8"/>
              </w:rPr>
              <w:t>6~</w:t>
            </w:r>
            <w:r>
              <w:rPr>
                <w:rFonts w:ascii="Times New Roman" w:hAnsi="Times New Roman" w:eastAsia="Times New Roman" w:cs="Times New Roman"/>
                <w:spacing w:val="-32"/>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7"/>
              </w:rPr>
              <w:t xml:space="preserve">0m </w:t>
            </w:r>
            <w:r>
              <w:rPr>
                <w:spacing w:val="7"/>
              </w:rPr>
              <w:t>，</w:t>
            </w:r>
            <w:r>
              <w:rPr>
                <w:spacing w:val="-55"/>
              </w:rPr>
              <w:t xml:space="preserve"> </w:t>
            </w:r>
            <w:r>
              <w:rPr>
                <w:spacing w:val="7"/>
              </w:rPr>
              <w:t>以黄毛青冈</w:t>
            </w:r>
            <w:r>
              <w:rPr>
                <w:spacing w:val="-20"/>
              </w:rPr>
              <w:t xml:space="preserve"> </w:t>
            </w:r>
            <w:r>
              <w:rPr>
                <w:rFonts w:ascii="Times New Roman" w:hAnsi="Times New Roman" w:eastAsia="Times New Roman" w:cs="Times New Roman"/>
                <w:i/>
                <w:iCs/>
              </w:rPr>
              <w:t xml:space="preserve">Quercus </w:t>
            </w:r>
            <w:r>
              <w:rPr>
                <w:rFonts w:ascii="Times New Roman" w:hAnsi="Times New Roman" w:eastAsia="Times New Roman" w:cs="Times New Roman"/>
                <w:i/>
                <w:iCs/>
                <w:spacing w:val="-3"/>
              </w:rPr>
              <w:t>delavayi Franch.</w:t>
            </w:r>
            <w:r>
              <w:rPr>
                <w:i/>
                <w:iCs/>
                <w:spacing w:val="-3"/>
                <w:sz w:val="25"/>
                <w:szCs w:val="25"/>
              </w:rPr>
              <w:t>、</w:t>
            </w:r>
            <w:r>
              <w:rPr>
                <w:spacing w:val="-3"/>
              </w:rPr>
              <w:t>滇青冈</w:t>
            </w:r>
            <w:r>
              <w:rPr>
                <w:rFonts w:ascii="Times New Roman" w:hAnsi="Times New Roman" w:eastAsia="Times New Roman" w:cs="Times New Roman"/>
                <w:i/>
                <w:iCs/>
                <w:spacing w:val="-3"/>
              </w:rPr>
              <w:t>Quercus schottkyana</w:t>
            </w:r>
            <w:r>
              <w:rPr>
                <w:rFonts w:ascii="Times New Roman" w:hAnsi="Times New Roman" w:eastAsia="Times New Roman" w:cs="Times New Roman"/>
                <w:i/>
                <w:iCs/>
                <w:spacing w:val="-11"/>
              </w:rPr>
              <w:t xml:space="preserve"> </w:t>
            </w:r>
            <w:r>
              <w:rPr>
                <w:spacing w:val="-3"/>
              </w:rPr>
              <w:t>为主，也见栓皮栎</w:t>
            </w:r>
            <w:r>
              <w:rPr>
                <w:rFonts w:ascii="Times New Roman" w:hAnsi="Times New Roman" w:eastAsia="Times New Roman" w:cs="Times New Roman"/>
                <w:i/>
                <w:iCs/>
                <w:spacing w:val="-4"/>
              </w:rPr>
              <w:t>Quercus variabilis</w:t>
            </w:r>
            <w:r>
              <w:rPr>
                <w:rFonts w:ascii="Times New Roman" w:hAnsi="Times New Roman" w:eastAsia="Times New Roman" w:cs="Times New Roman"/>
                <w:i/>
                <w:iCs/>
              </w:rPr>
              <w:t xml:space="preserve"> </w:t>
            </w:r>
            <w:r>
              <w:rPr>
                <w:spacing w:val="-2"/>
              </w:rPr>
              <w:t>伴生</w:t>
            </w:r>
            <w:r>
              <w:rPr>
                <w:i/>
                <w:iCs/>
                <w:spacing w:val="-2"/>
                <w:sz w:val="25"/>
                <w:szCs w:val="25"/>
              </w:rPr>
              <w:t>。</w:t>
            </w:r>
          </w:p>
          <w:p w14:paraId="744BE423">
            <w:pPr>
              <w:pStyle w:val="6"/>
              <w:spacing w:before="45" w:line="347" w:lineRule="auto"/>
              <w:ind w:left="58" w:right="98" w:firstLine="530"/>
              <w:jc w:val="both"/>
            </w:pPr>
            <w:r>
              <w:rPr>
                <w:spacing w:val="-1"/>
              </w:rPr>
              <w:t>群落灌木层盖度</w:t>
            </w:r>
            <w:r>
              <w:rPr>
                <w:spacing w:val="-51"/>
              </w:rPr>
              <w:t xml:space="preserve"> </w:t>
            </w:r>
            <w:r>
              <w:rPr>
                <w:rFonts w:ascii="Times New Roman" w:hAnsi="Times New Roman" w:eastAsia="Times New Roman" w:cs="Times New Roman"/>
                <w:spacing w:val="-1"/>
              </w:rPr>
              <w:t xml:space="preserve">30~40%,  </w:t>
            </w:r>
            <w:r>
              <w:rPr>
                <w:spacing w:val="-1"/>
              </w:rPr>
              <w:t>其中有黄毛青冈</w:t>
            </w:r>
            <w:r>
              <w:rPr>
                <w:spacing w:val="-46"/>
              </w:rPr>
              <w:t xml:space="preserve"> </w:t>
            </w:r>
            <w:r>
              <w:rPr>
                <w:rFonts w:ascii="Times New Roman" w:hAnsi="Times New Roman" w:eastAsia="Times New Roman" w:cs="Times New Roman"/>
                <w:i/>
                <w:iCs/>
                <w:spacing w:val="-1"/>
              </w:rPr>
              <w:t>Quercus delavayi</w:t>
            </w:r>
            <w:r>
              <w:rPr>
                <w:rFonts w:ascii="Times New Roman" w:hAnsi="Times New Roman" w:eastAsia="Times New Roman" w:cs="Times New Roman"/>
                <w:i/>
                <w:iCs/>
                <w:spacing w:val="-2"/>
              </w:rPr>
              <w:t xml:space="preserve"> Franch.</w:t>
            </w:r>
            <w:r>
              <w:rPr>
                <w:rFonts w:ascii="Times New Roman" w:hAnsi="Times New Roman" w:eastAsia="Times New Roman" w:cs="Times New Roman"/>
                <w:i/>
                <w:iCs/>
                <w:spacing w:val="-34"/>
              </w:rPr>
              <w:t xml:space="preserve"> </w:t>
            </w:r>
            <w:r>
              <w:rPr>
                <w:spacing w:val="-2"/>
              </w:rPr>
              <w:t>、滇青</w:t>
            </w:r>
            <w:r>
              <w:t xml:space="preserve"> </w:t>
            </w:r>
            <w:r>
              <w:rPr>
                <w:spacing w:val="6"/>
              </w:rPr>
              <w:t xml:space="preserve">冈 </w:t>
            </w:r>
            <w:r>
              <w:rPr>
                <w:rFonts w:ascii="Times New Roman" w:hAnsi="Times New Roman" w:eastAsia="Times New Roman" w:cs="Times New Roman"/>
              </w:rPr>
              <w:t>Q</w:t>
            </w:r>
            <w:r>
              <w:rPr>
                <w:rFonts w:ascii="Times New Roman" w:hAnsi="Times New Roman" w:eastAsia="Times New Roman" w:cs="Times New Roman"/>
                <w:i/>
                <w:iCs/>
              </w:rPr>
              <w:t>uercus</w:t>
            </w:r>
            <w:r>
              <w:rPr>
                <w:rFonts w:ascii="Times New Roman" w:hAnsi="Times New Roman" w:eastAsia="Times New Roman" w:cs="Times New Roman"/>
                <w:i/>
                <w:iCs/>
                <w:spacing w:val="47"/>
                <w:w w:val="101"/>
              </w:rPr>
              <w:t xml:space="preserve"> </w:t>
            </w:r>
            <w:r>
              <w:rPr>
                <w:rFonts w:ascii="Times New Roman" w:hAnsi="Times New Roman" w:eastAsia="Times New Roman" w:cs="Times New Roman"/>
                <w:i/>
                <w:iCs/>
              </w:rPr>
              <w:t>schottkyana</w:t>
            </w:r>
            <w:r>
              <w:rPr>
                <w:rFonts w:ascii="Times New Roman" w:hAnsi="Times New Roman" w:eastAsia="Times New Roman" w:cs="Times New Roman"/>
                <w:i/>
                <w:iCs/>
                <w:spacing w:val="6"/>
              </w:rPr>
              <w:t xml:space="preserve"> </w:t>
            </w:r>
            <w:r>
              <w:rPr>
                <w:spacing w:val="6"/>
              </w:rPr>
              <w:t xml:space="preserve">、栓皮栎 </w:t>
            </w:r>
            <w:r>
              <w:rPr>
                <w:rFonts w:ascii="Times New Roman" w:hAnsi="Times New Roman" w:eastAsia="Times New Roman" w:cs="Times New Roman"/>
                <w:i/>
                <w:iCs/>
              </w:rPr>
              <w:t>Quercus</w:t>
            </w:r>
            <w:r>
              <w:rPr>
                <w:rFonts w:ascii="Times New Roman" w:hAnsi="Times New Roman" w:eastAsia="Times New Roman" w:cs="Times New Roman"/>
                <w:i/>
                <w:iCs/>
                <w:spacing w:val="36"/>
                <w:w w:val="101"/>
              </w:rPr>
              <w:t xml:space="preserve"> </w:t>
            </w:r>
            <w:r>
              <w:rPr>
                <w:rFonts w:ascii="Times New Roman" w:hAnsi="Times New Roman" w:eastAsia="Times New Roman" w:cs="Times New Roman"/>
                <w:i/>
                <w:iCs/>
              </w:rPr>
              <w:t>variabilis</w:t>
            </w:r>
            <w:r>
              <w:rPr>
                <w:rFonts w:ascii="Times New Roman" w:hAnsi="Times New Roman" w:eastAsia="Times New Roman" w:cs="Times New Roman"/>
                <w:i/>
                <w:iCs/>
                <w:spacing w:val="6"/>
              </w:rPr>
              <w:t xml:space="preserve">  </w:t>
            </w:r>
            <w:r>
              <w:rPr>
                <w:spacing w:val="6"/>
              </w:rPr>
              <w:t>的萌生幼树</w:t>
            </w:r>
            <w:r>
              <w:rPr>
                <w:spacing w:val="-58"/>
              </w:rPr>
              <w:t xml:space="preserve"> </w:t>
            </w:r>
            <w:r>
              <w:rPr>
                <w:spacing w:val="6"/>
              </w:rPr>
              <w:t>，</w:t>
            </w:r>
            <w:r>
              <w:rPr>
                <w:spacing w:val="-47"/>
              </w:rPr>
              <w:t xml:space="preserve"> </w:t>
            </w:r>
            <w:r>
              <w:rPr>
                <w:spacing w:val="6"/>
              </w:rPr>
              <w:t>以及杜</w:t>
            </w:r>
            <w:r>
              <w:rPr>
                <w:spacing w:val="-70"/>
              </w:rPr>
              <w:t xml:space="preserve"> </w:t>
            </w:r>
            <w:r>
              <w:rPr>
                <w:spacing w:val="6"/>
              </w:rPr>
              <w:t>鹃</w:t>
            </w:r>
            <w:r>
              <w:t xml:space="preserve"> </w:t>
            </w:r>
            <w:r>
              <w:rPr>
                <w:rFonts w:ascii="Times New Roman" w:hAnsi="Times New Roman" w:eastAsia="Times New Roman" w:cs="Times New Roman"/>
                <w:i/>
                <w:iCs/>
              </w:rPr>
              <w:t>Rhododendron simsii Planch.</w:t>
            </w:r>
            <w:r>
              <w:t>、火</w:t>
            </w:r>
            <w:r>
              <w:rPr>
                <w:spacing w:val="-1"/>
              </w:rPr>
              <w:t>棘</w:t>
            </w:r>
            <w:r>
              <w:rPr>
                <w:spacing w:val="-65"/>
              </w:rPr>
              <w:t xml:space="preserve"> </w:t>
            </w:r>
            <w:r>
              <w:rPr>
                <w:rFonts w:ascii="Times New Roman" w:hAnsi="Times New Roman" w:eastAsia="Times New Roman" w:cs="Times New Roman"/>
                <w:i/>
                <w:iCs/>
                <w:spacing w:val="-1"/>
              </w:rPr>
              <w:t>Pyracantha</w:t>
            </w:r>
            <w:r>
              <w:rPr>
                <w:rFonts w:ascii="Times New Roman" w:hAnsi="Times New Roman" w:eastAsia="Times New Roman" w:cs="Times New Roman"/>
                <w:i/>
                <w:iCs/>
                <w:spacing w:val="-39"/>
              </w:rPr>
              <w:t xml:space="preserve"> </w:t>
            </w:r>
            <w:r>
              <w:rPr>
                <w:rFonts w:ascii="Times New Roman" w:hAnsi="Times New Roman" w:eastAsia="Times New Roman" w:cs="Times New Roman"/>
                <w:i/>
                <w:iCs/>
                <w:spacing w:val="-1"/>
              </w:rPr>
              <w:t>fortuneana</w:t>
            </w:r>
            <w:r>
              <w:rPr>
                <w:spacing w:val="-1"/>
              </w:rPr>
              <w:t>、西南栒子</w:t>
            </w:r>
            <w:r>
              <w:rPr>
                <w:spacing w:val="-44"/>
              </w:rPr>
              <w:t xml:space="preserve"> </w:t>
            </w:r>
            <w:r>
              <w:rPr>
                <w:rFonts w:ascii="Times New Roman" w:hAnsi="Times New Roman" w:eastAsia="Times New Roman" w:cs="Times New Roman"/>
                <w:i/>
                <w:iCs/>
                <w:spacing w:val="-1"/>
              </w:rPr>
              <w:t>Cotoneaster</w:t>
            </w:r>
            <w:r>
              <w:rPr>
                <w:rFonts w:ascii="Times New Roman" w:hAnsi="Times New Roman" w:eastAsia="Times New Roman" w:cs="Times New Roman"/>
                <w:i/>
                <w:iCs/>
              </w:rPr>
              <w:t xml:space="preserve"> franchetii</w:t>
            </w:r>
            <w:r>
              <w:rPr>
                <w:rFonts w:ascii="Times New Roman" w:hAnsi="Times New Roman" w:eastAsia="Times New Roman" w:cs="Times New Roman"/>
                <w:i/>
                <w:iCs/>
                <w:spacing w:val="-28"/>
              </w:rPr>
              <w:t xml:space="preserve"> </w:t>
            </w:r>
            <w:r>
              <w:rPr>
                <w:spacing w:val="2"/>
              </w:rPr>
              <w:t>、粉叶小檗</w:t>
            </w:r>
            <w:r>
              <w:rPr>
                <w:spacing w:val="-63"/>
              </w:rPr>
              <w:t xml:space="preserve"> </w:t>
            </w:r>
            <w:r>
              <w:rPr>
                <w:rFonts w:ascii="Times New Roman" w:hAnsi="Times New Roman" w:eastAsia="Times New Roman" w:cs="Times New Roman"/>
                <w:i/>
                <w:iCs/>
              </w:rPr>
              <w:t>Berberris</w:t>
            </w:r>
            <w:r>
              <w:rPr>
                <w:rFonts w:ascii="Times New Roman" w:hAnsi="Times New Roman" w:eastAsia="Times New Roman" w:cs="Times New Roman"/>
                <w:i/>
                <w:iCs/>
                <w:spacing w:val="-21"/>
              </w:rPr>
              <w:t xml:space="preserve"> </w:t>
            </w:r>
            <w:r>
              <w:rPr>
                <w:rFonts w:ascii="Times New Roman" w:hAnsi="Times New Roman" w:eastAsia="Times New Roman" w:cs="Times New Roman"/>
                <w:i/>
                <w:iCs/>
              </w:rPr>
              <w:t>pruinosa</w:t>
            </w:r>
            <w:r>
              <w:rPr>
                <w:rFonts w:ascii="Times New Roman" w:hAnsi="Times New Roman" w:eastAsia="Times New Roman" w:cs="Times New Roman"/>
                <w:i/>
                <w:iCs/>
                <w:spacing w:val="-31"/>
              </w:rPr>
              <w:t xml:space="preserve"> </w:t>
            </w:r>
            <w:r>
              <w:rPr>
                <w:spacing w:val="2"/>
              </w:rPr>
              <w:t>、野拔子</w:t>
            </w:r>
            <w:r>
              <w:rPr>
                <w:spacing w:val="-63"/>
              </w:rPr>
              <w:t xml:space="preserve"> </w:t>
            </w:r>
            <w:r>
              <w:rPr>
                <w:rFonts w:ascii="Times New Roman" w:hAnsi="Times New Roman" w:eastAsia="Times New Roman" w:cs="Times New Roman"/>
                <w:i/>
                <w:iCs/>
              </w:rPr>
              <w:t>Elsholtzia</w:t>
            </w:r>
            <w:r>
              <w:rPr>
                <w:rFonts w:ascii="Times New Roman" w:hAnsi="Times New Roman" w:eastAsia="Times New Roman" w:cs="Times New Roman"/>
                <w:i/>
                <w:iCs/>
                <w:spacing w:val="2"/>
              </w:rPr>
              <w:t xml:space="preserve"> </w:t>
            </w:r>
            <w:r>
              <w:rPr>
                <w:rFonts w:ascii="Times New Roman" w:hAnsi="Times New Roman" w:eastAsia="Times New Roman" w:cs="Times New Roman"/>
                <w:i/>
                <w:iCs/>
              </w:rPr>
              <w:t>rugulosa</w:t>
            </w:r>
            <w:r>
              <w:rPr>
                <w:rFonts w:ascii="Times New Roman" w:hAnsi="Times New Roman" w:eastAsia="Times New Roman" w:cs="Times New Roman"/>
                <w:i/>
                <w:iCs/>
                <w:spacing w:val="-33"/>
              </w:rPr>
              <w:t xml:space="preserve"> </w:t>
            </w:r>
            <w:r>
              <w:rPr>
                <w:i/>
                <w:iCs/>
                <w:spacing w:val="2"/>
                <w:sz w:val="25"/>
                <w:szCs w:val="25"/>
              </w:rPr>
              <w:t>、</w:t>
            </w:r>
            <w:r>
              <w:rPr>
                <w:spacing w:val="2"/>
              </w:rPr>
              <w:t>卵叶悬钩</w:t>
            </w:r>
            <w:r>
              <w:t xml:space="preserve"> </w:t>
            </w:r>
            <w:r>
              <w:rPr>
                <w:spacing w:val="5"/>
              </w:rPr>
              <w:t>子</w:t>
            </w:r>
            <w:r>
              <w:rPr>
                <w:spacing w:val="-65"/>
              </w:rPr>
              <w:t xml:space="preserve"> </w:t>
            </w:r>
            <w:r>
              <w:rPr>
                <w:rFonts w:ascii="Times New Roman" w:hAnsi="Times New Roman" w:eastAsia="Times New Roman" w:cs="Times New Roman"/>
                <w:i/>
                <w:iCs/>
              </w:rPr>
              <w:t>Rubus</w:t>
            </w:r>
            <w:r>
              <w:rPr>
                <w:rFonts w:ascii="Times New Roman" w:hAnsi="Times New Roman" w:eastAsia="Times New Roman" w:cs="Times New Roman"/>
                <w:i/>
                <w:iCs/>
                <w:spacing w:val="5"/>
              </w:rPr>
              <w:t xml:space="preserve"> </w:t>
            </w:r>
            <w:r>
              <w:rPr>
                <w:rFonts w:ascii="Times New Roman" w:hAnsi="Times New Roman" w:eastAsia="Times New Roman" w:cs="Times New Roman"/>
                <w:i/>
                <w:iCs/>
              </w:rPr>
              <w:t>obcordatus</w:t>
            </w:r>
            <w:r>
              <w:rPr>
                <w:rFonts w:ascii="Times New Roman" w:hAnsi="Times New Roman" w:eastAsia="Times New Roman" w:cs="Times New Roman"/>
                <w:i/>
                <w:iCs/>
                <w:spacing w:val="5"/>
              </w:rPr>
              <w:t xml:space="preserve"> </w:t>
            </w:r>
            <w:r>
              <w:rPr>
                <w:spacing w:val="5"/>
              </w:rPr>
              <w:t>等灌木。</w:t>
            </w:r>
          </w:p>
          <w:p w14:paraId="1C004100">
            <w:pPr>
              <w:pStyle w:val="6"/>
              <w:spacing w:before="99" w:line="343" w:lineRule="auto"/>
              <w:ind w:left="94" w:right="102" w:firstLine="496"/>
            </w:pPr>
            <w:r>
              <w:rPr>
                <w:spacing w:val="-1"/>
              </w:rPr>
              <w:t>草本层盖度为</w:t>
            </w:r>
            <w:r>
              <w:rPr>
                <w:spacing w:val="-55"/>
              </w:rPr>
              <w:t xml:space="preserve"> </w:t>
            </w:r>
            <w:r>
              <w:rPr>
                <w:rFonts w:ascii="Times New Roman" w:hAnsi="Times New Roman" w:eastAsia="Times New Roman" w:cs="Times New Roman"/>
                <w:spacing w:val="-1"/>
              </w:rPr>
              <w:t>20~30%</w:t>
            </w:r>
            <w:r>
              <w:rPr>
                <w:rFonts w:ascii="Times New Roman" w:hAnsi="Times New Roman" w:eastAsia="Times New Roman" w:cs="Times New Roman"/>
                <w:spacing w:val="-32"/>
              </w:rPr>
              <w:t xml:space="preserve"> </w:t>
            </w:r>
            <w:r>
              <w:rPr>
                <w:spacing w:val="-1"/>
              </w:rPr>
              <w:t>，其中以蕨</w:t>
            </w:r>
            <w:r>
              <w:rPr>
                <w:spacing w:val="-56"/>
              </w:rPr>
              <w:t xml:space="preserve"> </w:t>
            </w:r>
            <w:r>
              <w:rPr>
                <w:rFonts w:ascii="Times New Roman" w:hAnsi="Times New Roman" w:eastAsia="Times New Roman" w:cs="Times New Roman"/>
                <w:spacing w:val="-1"/>
              </w:rPr>
              <w:t>Pt</w:t>
            </w:r>
            <w:r>
              <w:rPr>
                <w:rFonts w:ascii="Times New Roman" w:hAnsi="Times New Roman" w:eastAsia="Times New Roman" w:cs="Times New Roman"/>
                <w:spacing w:val="-2"/>
              </w:rPr>
              <w:t>eridium aquilinum var. Latiusculum</w:t>
            </w:r>
            <w:r>
              <w:rPr>
                <w:rFonts w:ascii="Times New Roman" w:hAnsi="Times New Roman" w:eastAsia="Times New Roman" w:cs="Times New Roman"/>
                <w:spacing w:val="-33"/>
              </w:rPr>
              <w:t xml:space="preserve"> </w:t>
            </w:r>
            <w:r>
              <w:rPr>
                <w:spacing w:val="-2"/>
              </w:rPr>
              <w:t>、白</w:t>
            </w:r>
            <w:r>
              <w:t xml:space="preserve"> 茅</w:t>
            </w:r>
            <w:r>
              <w:rPr>
                <w:spacing w:val="-49"/>
              </w:rPr>
              <w:t xml:space="preserve"> </w:t>
            </w:r>
            <w:r>
              <w:rPr>
                <w:rFonts w:ascii="Times New Roman" w:hAnsi="Times New Roman" w:eastAsia="Times New Roman" w:cs="Times New Roman"/>
              </w:rPr>
              <w:t>Imperata cylindrica var.major</w:t>
            </w:r>
            <w:r>
              <w:rPr>
                <w:rFonts w:ascii="Times New Roman" w:hAnsi="Times New Roman" w:eastAsia="Times New Roman" w:cs="Times New Roman"/>
                <w:spacing w:val="-29"/>
              </w:rPr>
              <w:t xml:space="preserve"> </w:t>
            </w:r>
            <w:r>
              <w:t>、黄茅</w:t>
            </w:r>
            <w:r>
              <w:rPr>
                <w:spacing w:val="-51"/>
              </w:rPr>
              <w:t xml:space="preserve"> </w:t>
            </w:r>
            <w:r>
              <w:rPr>
                <w:rFonts w:ascii="Times New Roman" w:hAnsi="Times New Roman" w:eastAsia="Times New Roman" w:cs="Times New Roman"/>
              </w:rPr>
              <w:t>Heteropogon contortus</w:t>
            </w:r>
            <w:r>
              <w:rPr>
                <w:rFonts w:ascii="Times New Roman" w:hAnsi="Times New Roman" w:eastAsia="Times New Roman" w:cs="Times New Roman"/>
                <w:spacing w:val="17"/>
              </w:rPr>
              <w:t xml:space="preserve"> </w:t>
            </w:r>
            <w:r>
              <w:t>较为常</w:t>
            </w:r>
            <w:r>
              <w:rPr>
                <w:spacing w:val="-1"/>
              </w:rPr>
              <w:t>见，其他还</w:t>
            </w:r>
            <w:r>
              <w:t xml:space="preserve"> </w:t>
            </w:r>
            <w:r>
              <w:rPr>
                <w:spacing w:val="-2"/>
              </w:rPr>
              <w:t>有</w:t>
            </w:r>
            <w:r>
              <w:rPr>
                <w:spacing w:val="-56"/>
              </w:rPr>
              <w:t xml:space="preserve"> </w:t>
            </w:r>
            <w:r>
              <w:rPr>
                <w:spacing w:val="-2"/>
              </w:rPr>
              <w:t>野</w:t>
            </w:r>
            <w:r>
              <w:rPr>
                <w:spacing w:val="-55"/>
              </w:rPr>
              <w:t xml:space="preserve"> </w:t>
            </w:r>
            <w:r>
              <w:rPr>
                <w:spacing w:val="-2"/>
              </w:rPr>
              <w:t>青</w:t>
            </w:r>
            <w:r>
              <w:rPr>
                <w:spacing w:val="-56"/>
              </w:rPr>
              <w:t xml:space="preserve"> </w:t>
            </w:r>
            <w:r>
              <w:rPr>
                <w:spacing w:val="-2"/>
              </w:rPr>
              <w:t xml:space="preserve">茅 </w:t>
            </w:r>
            <w:r>
              <w:rPr>
                <w:rFonts w:ascii="Times New Roman" w:hAnsi="Times New Roman" w:eastAsia="Times New Roman" w:cs="Times New Roman"/>
                <w:i/>
                <w:iCs/>
                <w:spacing w:val="-2"/>
              </w:rPr>
              <w:t>Deyeuxia  arundi</w:t>
            </w:r>
            <w:r>
              <w:rPr>
                <w:rFonts w:ascii="Times New Roman" w:hAnsi="Times New Roman" w:eastAsia="Times New Roman" w:cs="Times New Roman"/>
                <w:i/>
                <w:iCs/>
                <w:spacing w:val="-3"/>
              </w:rPr>
              <w:t>nacea</w:t>
            </w:r>
            <w:r>
              <w:rPr>
                <w:rFonts w:ascii="Times New Roman" w:hAnsi="Times New Roman" w:eastAsia="Times New Roman" w:cs="Times New Roman"/>
                <w:i/>
                <w:iCs/>
                <w:spacing w:val="24"/>
                <w:w w:val="101"/>
              </w:rPr>
              <w:t xml:space="preserve"> </w:t>
            </w:r>
            <w:r>
              <w:rPr>
                <w:spacing w:val="-3"/>
              </w:rPr>
              <w:t>、</w:t>
            </w:r>
            <w:r>
              <w:rPr>
                <w:spacing w:val="-50"/>
              </w:rPr>
              <w:t xml:space="preserve"> </w:t>
            </w:r>
            <w:r>
              <w:rPr>
                <w:spacing w:val="-3"/>
              </w:rPr>
              <w:t>西</w:t>
            </w:r>
            <w:r>
              <w:rPr>
                <w:spacing w:val="-53"/>
              </w:rPr>
              <w:t xml:space="preserve"> </w:t>
            </w:r>
            <w:r>
              <w:rPr>
                <w:spacing w:val="-3"/>
              </w:rPr>
              <w:t>南</w:t>
            </w:r>
            <w:r>
              <w:rPr>
                <w:spacing w:val="-56"/>
              </w:rPr>
              <w:t xml:space="preserve"> </w:t>
            </w:r>
            <w:r>
              <w:rPr>
                <w:spacing w:val="-3"/>
              </w:rPr>
              <w:t>委</w:t>
            </w:r>
            <w:r>
              <w:rPr>
                <w:spacing w:val="-38"/>
              </w:rPr>
              <w:t xml:space="preserve"> </w:t>
            </w:r>
            <w:r>
              <w:rPr>
                <w:spacing w:val="-3"/>
              </w:rPr>
              <w:t>陵</w:t>
            </w:r>
            <w:r>
              <w:rPr>
                <w:spacing w:val="-55"/>
              </w:rPr>
              <w:t xml:space="preserve"> </w:t>
            </w:r>
            <w:r>
              <w:rPr>
                <w:spacing w:val="-3"/>
              </w:rPr>
              <w:t xml:space="preserve">菜 </w:t>
            </w:r>
            <w:r>
              <w:rPr>
                <w:rFonts w:ascii="Times New Roman" w:hAnsi="Times New Roman" w:eastAsia="Times New Roman" w:cs="Times New Roman"/>
                <w:i/>
                <w:iCs/>
                <w:spacing w:val="-3"/>
              </w:rPr>
              <w:t>Potentilla figens</w:t>
            </w:r>
            <w:r>
              <w:rPr>
                <w:rFonts w:ascii="Times New Roman" w:hAnsi="Times New Roman" w:eastAsia="Times New Roman" w:cs="Times New Roman"/>
                <w:i/>
                <w:iCs/>
                <w:spacing w:val="21"/>
                <w:w w:val="101"/>
              </w:rPr>
              <w:t xml:space="preserve"> </w:t>
            </w:r>
            <w:r>
              <w:rPr>
                <w:spacing w:val="-3"/>
              </w:rPr>
              <w:t>、</w:t>
            </w:r>
            <w:r>
              <w:rPr>
                <w:spacing w:val="-51"/>
              </w:rPr>
              <w:t xml:space="preserve"> </w:t>
            </w:r>
            <w:r>
              <w:rPr>
                <w:spacing w:val="-3"/>
              </w:rPr>
              <w:t>酢</w:t>
            </w:r>
            <w:r>
              <w:rPr>
                <w:spacing w:val="-55"/>
              </w:rPr>
              <w:t xml:space="preserve"> </w:t>
            </w:r>
            <w:r>
              <w:rPr>
                <w:spacing w:val="-3"/>
              </w:rPr>
              <w:t>浆</w:t>
            </w:r>
            <w:r>
              <w:rPr>
                <w:spacing w:val="-51"/>
              </w:rPr>
              <w:t xml:space="preserve"> </w:t>
            </w:r>
            <w:r>
              <w:rPr>
                <w:spacing w:val="-3"/>
              </w:rPr>
              <w:t>草</w:t>
            </w:r>
            <w:r>
              <w:t xml:space="preserve"> </w:t>
            </w:r>
            <w:r>
              <w:rPr>
                <w:rFonts w:ascii="Times New Roman" w:hAnsi="Times New Roman" w:eastAsia="Times New Roman" w:cs="Times New Roman"/>
                <w:i/>
                <w:iCs/>
                <w:spacing w:val="-2"/>
              </w:rPr>
              <w:t xml:space="preserve">Oxaliscorniculata  </w:t>
            </w:r>
            <w:r>
              <w:rPr>
                <w:spacing w:val="-2"/>
              </w:rPr>
              <w:t>、 云</w:t>
            </w:r>
            <w:r>
              <w:rPr>
                <w:spacing w:val="10"/>
              </w:rPr>
              <w:t xml:space="preserve"> </w:t>
            </w:r>
            <w:r>
              <w:rPr>
                <w:spacing w:val="-2"/>
              </w:rPr>
              <w:t>南</w:t>
            </w:r>
            <w:r>
              <w:rPr>
                <w:spacing w:val="38"/>
              </w:rPr>
              <w:t xml:space="preserve"> </w:t>
            </w:r>
            <w:r>
              <w:rPr>
                <w:spacing w:val="-2"/>
              </w:rPr>
              <w:t>鼠 尾</w:t>
            </w:r>
            <w:r>
              <w:rPr>
                <w:spacing w:val="11"/>
              </w:rPr>
              <w:t xml:space="preserve"> </w:t>
            </w:r>
            <w:r>
              <w:rPr>
                <w:spacing w:val="-2"/>
              </w:rPr>
              <w:t>草</w:t>
            </w:r>
            <w:r>
              <w:rPr>
                <w:spacing w:val="60"/>
              </w:rPr>
              <w:t xml:space="preserve"> </w:t>
            </w:r>
            <w:r>
              <w:rPr>
                <w:rFonts w:ascii="Times New Roman" w:hAnsi="Times New Roman" w:eastAsia="Times New Roman" w:cs="Times New Roman"/>
                <w:i/>
                <w:iCs/>
                <w:spacing w:val="-2"/>
              </w:rPr>
              <w:t>Salvia   yun</w:t>
            </w:r>
            <w:r>
              <w:rPr>
                <w:rFonts w:ascii="Times New Roman" w:hAnsi="Times New Roman" w:eastAsia="Times New Roman" w:cs="Times New Roman"/>
                <w:i/>
                <w:iCs/>
                <w:spacing w:val="-3"/>
              </w:rPr>
              <w:t>nanensis</w:t>
            </w:r>
            <w:r>
              <w:rPr>
                <w:rFonts w:ascii="Times New Roman" w:hAnsi="Times New Roman" w:eastAsia="Times New Roman" w:cs="Times New Roman"/>
                <w:i/>
                <w:iCs/>
                <w:spacing w:val="12"/>
              </w:rPr>
              <w:t xml:space="preserve">  </w:t>
            </w:r>
            <w:r>
              <w:rPr>
                <w:i/>
                <w:iCs/>
                <w:spacing w:val="-3"/>
                <w:sz w:val="25"/>
                <w:szCs w:val="25"/>
              </w:rPr>
              <w:t>、</w:t>
            </w:r>
            <w:r>
              <w:rPr>
                <w:spacing w:val="-3"/>
                <w:sz w:val="25"/>
                <w:szCs w:val="25"/>
              </w:rPr>
              <w:t xml:space="preserve"> </w:t>
            </w:r>
            <w:r>
              <w:rPr>
                <w:spacing w:val="-3"/>
              </w:rPr>
              <w:t>三 叶 鬼</w:t>
            </w:r>
            <w:r>
              <w:rPr>
                <w:spacing w:val="10"/>
              </w:rPr>
              <w:t xml:space="preserve"> </w:t>
            </w:r>
            <w:r>
              <w:rPr>
                <w:spacing w:val="-3"/>
              </w:rPr>
              <w:t>针</w:t>
            </w:r>
            <w:r>
              <w:rPr>
                <w:spacing w:val="9"/>
              </w:rPr>
              <w:t xml:space="preserve"> </w:t>
            </w:r>
            <w:r>
              <w:rPr>
                <w:spacing w:val="-3"/>
              </w:rPr>
              <w:t>草</w:t>
            </w:r>
            <w:r>
              <w:t xml:space="preserve"> </w:t>
            </w:r>
            <w:r>
              <w:rPr>
                <w:rFonts w:ascii="Times New Roman" w:hAnsi="Times New Roman" w:eastAsia="Times New Roman" w:cs="Times New Roman"/>
                <w:i/>
                <w:iCs/>
              </w:rPr>
              <w:t xml:space="preserve">B.pilosaL.RailwayBeggarticks </w:t>
            </w:r>
            <w:r>
              <w:t>等。</w:t>
            </w:r>
          </w:p>
          <w:p w14:paraId="4239AF19">
            <w:pPr>
              <w:pStyle w:val="6"/>
              <w:spacing w:before="87" w:line="219" w:lineRule="auto"/>
              <w:ind w:left="600"/>
            </w:pPr>
            <w:r>
              <w:rPr>
                <w:spacing w:val="-2"/>
              </w:rPr>
              <w:t>（三）暖温性落叶阔叶林</w:t>
            </w:r>
          </w:p>
          <w:p w14:paraId="733FD99A">
            <w:pPr>
              <w:pStyle w:val="6"/>
              <w:spacing w:before="183" w:line="345" w:lineRule="auto"/>
              <w:ind w:left="109" w:right="102" w:firstLine="479"/>
            </w:pPr>
            <w:r>
              <w:t>评价区的暖温性落叶阔叶林有尼泊尔桤木林、栓皮栎林</w:t>
            </w:r>
            <w:r>
              <w:rPr>
                <w:spacing w:val="-46"/>
              </w:rPr>
              <w:t xml:space="preserve"> </w:t>
            </w:r>
            <w:r>
              <w:rPr>
                <w:rFonts w:ascii="Times New Roman" w:hAnsi="Times New Roman" w:eastAsia="Times New Roman" w:cs="Times New Roman"/>
              </w:rPr>
              <w:t xml:space="preserve">2 </w:t>
            </w:r>
            <w:r>
              <w:t xml:space="preserve">个群系，受人为 </w:t>
            </w:r>
            <w:r>
              <w:rPr>
                <w:spacing w:val="-1"/>
              </w:rPr>
              <w:t>砍伐、种地、放牧等影响较大。</w:t>
            </w:r>
          </w:p>
          <w:p w14:paraId="6EF8C896">
            <w:pPr>
              <w:pStyle w:val="6"/>
              <w:spacing w:before="37" w:line="217" w:lineRule="auto"/>
              <w:ind w:left="588"/>
            </w:pPr>
            <w:r>
              <w:rPr>
                <w:spacing w:val="-2"/>
              </w:rPr>
              <w:t>①尼泊尔桤木群落</w:t>
            </w:r>
          </w:p>
          <w:p w14:paraId="25C0EC80">
            <w:pPr>
              <w:pStyle w:val="6"/>
              <w:spacing w:before="184" w:line="337" w:lineRule="auto"/>
              <w:ind w:left="80" w:right="102" w:firstLine="507"/>
            </w:pPr>
            <w:r>
              <w:rPr>
                <w:spacing w:val="8"/>
              </w:rPr>
              <w:t>评价区的旱冬瓜林在项目评价范围内的暖温性针叶林边缘或中间零星分</w:t>
            </w:r>
            <w:r>
              <w:rPr>
                <w:spacing w:val="6"/>
              </w:rPr>
              <w:t xml:space="preserve"> </w:t>
            </w:r>
            <w:r>
              <w:rPr>
                <w:spacing w:val="13"/>
              </w:rPr>
              <w:t>布</w:t>
            </w:r>
            <w:r>
              <w:rPr>
                <w:spacing w:val="-72"/>
              </w:rPr>
              <w:t xml:space="preserve"> </w:t>
            </w:r>
            <w:r>
              <w:rPr>
                <w:spacing w:val="13"/>
              </w:rPr>
              <w:t>，单独成林</w:t>
            </w:r>
            <w:r>
              <w:rPr>
                <w:spacing w:val="-72"/>
              </w:rPr>
              <w:t xml:space="preserve"> </w:t>
            </w:r>
            <w:r>
              <w:rPr>
                <w:spacing w:val="13"/>
              </w:rPr>
              <w:t>，乔木层优势种有尼泊尔桤木</w:t>
            </w:r>
            <w:r>
              <w:rPr>
                <w:spacing w:val="-54"/>
              </w:rPr>
              <w:t xml:space="preserve"> </w:t>
            </w:r>
            <w:r>
              <w:rPr>
                <w:rFonts w:ascii="Times New Roman" w:hAnsi="Times New Roman" w:eastAsia="Times New Roman" w:cs="Times New Roman"/>
                <w:i/>
                <w:iCs/>
              </w:rPr>
              <w:t>Alnusnepalensis</w:t>
            </w:r>
            <w:r>
              <w:rPr>
                <w:rFonts w:ascii="Times New Roman" w:hAnsi="Times New Roman" w:eastAsia="Times New Roman" w:cs="Times New Roman"/>
                <w:i/>
                <w:iCs/>
                <w:spacing w:val="-15"/>
              </w:rPr>
              <w:t xml:space="preserve"> </w:t>
            </w:r>
            <w:r>
              <w:rPr>
                <w:spacing w:val="13"/>
              </w:rPr>
              <w:t>、</w:t>
            </w:r>
            <w:r>
              <w:rPr>
                <w:spacing w:val="12"/>
              </w:rPr>
              <w:t>云南松</w:t>
            </w:r>
            <w:r>
              <w:rPr>
                <w:spacing w:val="-48"/>
              </w:rPr>
              <w:t xml:space="preserve"> </w:t>
            </w:r>
            <w:r>
              <w:rPr>
                <w:rFonts w:ascii="Times New Roman" w:hAnsi="Times New Roman" w:eastAsia="Times New Roman" w:cs="Times New Roman"/>
                <w:i/>
                <w:iCs/>
              </w:rPr>
              <w:t>Pinus yunnanensis</w:t>
            </w:r>
            <w:r>
              <w:rPr>
                <w:rFonts w:ascii="Times New Roman" w:hAnsi="Times New Roman" w:eastAsia="Times New Roman" w:cs="Times New Roman"/>
                <w:i/>
                <w:iCs/>
                <w:spacing w:val="-18"/>
              </w:rPr>
              <w:t xml:space="preserve"> </w:t>
            </w:r>
            <w:r>
              <w:rPr>
                <w:spacing w:val="2"/>
              </w:rPr>
              <w:t>、华山松</w:t>
            </w:r>
            <w:r>
              <w:rPr>
                <w:spacing w:val="-54"/>
              </w:rPr>
              <w:t xml:space="preserve"> </w:t>
            </w:r>
            <w:r>
              <w:rPr>
                <w:rFonts w:ascii="Times New Roman" w:hAnsi="Times New Roman" w:eastAsia="Times New Roman" w:cs="Times New Roman"/>
                <w:i/>
                <w:iCs/>
              </w:rPr>
              <w:t>Pinusarmandii</w:t>
            </w:r>
            <w:r>
              <w:rPr>
                <w:rFonts w:ascii="Times New Roman" w:hAnsi="Times New Roman" w:eastAsia="Times New Roman" w:cs="Times New Roman"/>
                <w:i/>
                <w:iCs/>
                <w:spacing w:val="-21"/>
              </w:rPr>
              <w:t xml:space="preserve"> </w:t>
            </w:r>
            <w:r>
              <w:rPr>
                <w:spacing w:val="2"/>
              </w:rPr>
              <w:t>，乔木层高</w:t>
            </w:r>
            <w:r>
              <w:rPr>
                <w:spacing w:val="-35"/>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18"/>
              </w:rPr>
              <w:t xml:space="preserve"> </w:t>
            </w:r>
            <w:r>
              <w:rPr>
                <w:spacing w:val="2"/>
              </w:rPr>
              <w:t>，群落灌木层盖度约为</w:t>
            </w:r>
          </w:p>
        </w:tc>
      </w:tr>
    </w:tbl>
    <w:p w14:paraId="12DBFA18">
      <w:pPr>
        <w:rPr>
          <w:rFonts w:ascii="Arial"/>
          <w:sz w:val="21"/>
        </w:rPr>
      </w:pPr>
    </w:p>
    <w:p w14:paraId="4F0CBEEE">
      <w:pPr>
        <w:rPr>
          <w:rFonts w:ascii="Arial" w:hAnsi="Arial" w:eastAsia="Arial" w:cs="Arial"/>
          <w:sz w:val="21"/>
          <w:szCs w:val="21"/>
        </w:rPr>
        <w:sectPr>
          <w:footerReference r:id="rId87" w:type="default"/>
          <w:pgSz w:w="11906" w:h="16839"/>
          <w:pgMar w:top="1431" w:right="1413" w:bottom="1278" w:left="1413" w:header="0" w:footer="1116" w:gutter="0"/>
          <w:cols w:space="720" w:num="1"/>
        </w:sectPr>
      </w:pPr>
    </w:p>
    <w:p w14:paraId="4406086A">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1A334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668" w:type="dxa"/>
            <w:tcBorders>
              <w:right w:val="single" w:color="000000" w:sz="2" w:space="0"/>
            </w:tcBorders>
            <w:vAlign w:val="top"/>
          </w:tcPr>
          <w:p w14:paraId="7251B7D5">
            <w:pPr>
              <w:rPr>
                <w:rFonts w:ascii="Arial"/>
                <w:sz w:val="21"/>
              </w:rPr>
            </w:pPr>
          </w:p>
        </w:tc>
        <w:tc>
          <w:tcPr>
            <w:tcW w:w="8396" w:type="dxa"/>
            <w:tcBorders>
              <w:left w:val="single" w:color="000000" w:sz="2" w:space="0"/>
            </w:tcBorders>
            <w:vAlign w:val="top"/>
          </w:tcPr>
          <w:p w14:paraId="655AB0DB">
            <w:pPr>
              <w:pStyle w:val="6"/>
              <w:spacing w:before="80" w:line="180" w:lineRule="auto"/>
              <w:ind w:left="111"/>
            </w:pPr>
            <w:r>
              <w:rPr>
                <w:rFonts w:ascii="Times New Roman" w:hAnsi="Times New Roman" w:eastAsia="Times New Roman" w:cs="Times New Roman"/>
                <w:spacing w:val="-2"/>
              </w:rPr>
              <w:t>50~70%</w:t>
            </w:r>
            <w:r>
              <w:rPr>
                <w:spacing w:val="-2"/>
              </w:rPr>
              <w:t>。</w:t>
            </w:r>
          </w:p>
          <w:p w14:paraId="0C9BA145">
            <w:pPr>
              <w:pStyle w:val="6"/>
              <w:spacing w:before="151" w:line="337" w:lineRule="auto"/>
              <w:ind w:left="109" w:right="26" w:firstLine="482"/>
              <w:jc w:val="both"/>
            </w:pPr>
            <w:r>
              <w:rPr>
                <w:spacing w:val="-1"/>
              </w:rPr>
              <w:t>灌木层主要有火棘</w:t>
            </w:r>
            <w:r>
              <w:rPr>
                <w:spacing w:val="-56"/>
              </w:rPr>
              <w:t xml:space="preserve"> </w:t>
            </w:r>
            <w:r>
              <w:rPr>
                <w:rFonts w:ascii="Times New Roman" w:hAnsi="Times New Roman" w:eastAsia="Times New Roman" w:cs="Times New Roman"/>
                <w:i/>
                <w:iCs/>
                <w:spacing w:val="-1"/>
              </w:rPr>
              <w:t>Pyracanthafortuneana</w:t>
            </w:r>
            <w:r>
              <w:rPr>
                <w:rFonts w:ascii="Times New Roman" w:hAnsi="Times New Roman" w:eastAsia="Times New Roman" w:cs="Times New Roman"/>
                <w:i/>
                <w:iCs/>
                <w:spacing w:val="-34"/>
              </w:rPr>
              <w:t xml:space="preserve"> </w:t>
            </w:r>
            <w:r>
              <w:rPr>
                <w:spacing w:val="-1"/>
              </w:rPr>
              <w:t>、西南栒子</w:t>
            </w:r>
            <w:r>
              <w:rPr>
                <w:spacing w:val="-44"/>
              </w:rPr>
              <w:t xml:space="preserve"> </w:t>
            </w:r>
            <w:r>
              <w:rPr>
                <w:rFonts w:ascii="Times New Roman" w:hAnsi="Times New Roman" w:eastAsia="Times New Roman" w:cs="Times New Roman"/>
                <w:i/>
                <w:iCs/>
                <w:spacing w:val="-1"/>
              </w:rPr>
              <w:t>Cotoneaster</w:t>
            </w:r>
            <w:r>
              <w:rPr>
                <w:rFonts w:ascii="Times New Roman" w:hAnsi="Times New Roman" w:eastAsia="Times New Roman" w:cs="Times New Roman"/>
                <w:i/>
                <w:iCs/>
                <w:spacing w:val="-45"/>
              </w:rPr>
              <w:t xml:space="preserve"> </w:t>
            </w:r>
            <w:r>
              <w:rPr>
                <w:rFonts w:ascii="Times New Roman" w:hAnsi="Times New Roman" w:eastAsia="Times New Roman" w:cs="Times New Roman"/>
                <w:i/>
                <w:iCs/>
                <w:spacing w:val="-1"/>
              </w:rPr>
              <w:t>franchetii</w:t>
            </w:r>
            <w:r>
              <w:rPr>
                <w:spacing w:val="-1"/>
              </w:rPr>
              <w:t>、</w:t>
            </w:r>
            <w:r>
              <w:t xml:space="preserve"> 野拔子</w:t>
            </w:r>
            <w:r>
              <w:rPr>
                <w:spacing w:val="-65"/>
              </w:rPr>
              <w:t xml:space="preserve"> </w:t>
            </w:r>
            <w:r>
              <w:rPr>
                <w:rFonts w:ascii="Times New Roman" w:hAnsi="Times New Roman" w:eastAsia="Times New Roman" w:cs="Times New Roman"/>
                <w:i/>
                <w:iCs/>
              </w:rPr>
              <w:t>Elsholtzia rugulosa</w:t>
            </w:r>
            <w:r>
              <w:rPr>
                <w:rFonts w:ascii="Times New Roman" w:hAnsi="Times New Roman" w:eastAsia="Times New Roman" w:cs="Times New Roman"/>
                <w:i/>
                <w:iCs/>
                <w:spacing w:val="-34"/>
              </w:rPr>
              <w:t xml:space="preserve"> </w:t>
            </w:r>
            <w:r>
              <w:t>、粉叶小檗</w:t>
            </w:r>
            <w:r>
              <w:rPr>
                <w:spacing w:val="-63"/>
              </w:rPr>
              <w:t xml:space="preserve"> </w:t>
            </w:r>
            <w:r>
              <w:rPr>
                <w:rFonts w:ascii="Times New Roman" w:hAnsi="Times New Roman" w:eastAsia="Times New Roman" w:cs="Times New Roman"/>
                <w:i/>
                <w:iCs/>
              </w:rPr>
              <w:t>Berberis</w:t>
            </w:r>
            <w:r>
              <w:rPr>
                <w:rFonts w:ascii="Times New Roman" w:hAnsi="Times New Roman" w:eastAsia="Times New Roman" w:cs="Times New Roman"/>
                <w:i/>
                <w:iCs/>
                <w:spacing w:val="-23"/>
              </w:rPr>
              <w:t xml:space="preserve"> </w:t>
            </w:r>
            <w:r>
              <w:rPr>
                <w:rFonts w:ascii="Times New Roman" w:hAnsi="Times New Roman" w:eastAsia="Times New Roman" w:cs="Times New Roman"/>
                <w:i/>
                <w:iCs/>
              </w:rPr>
              <w:t>pruinosa</w:t>
            </w:r>
            <w:r>
              <w:rPr>
                <w:rFonts w:ascii="Times New Roman" w:hAnsi="Times New Roman" w:eastAsia="Times New Roman" w:cs="Times New Roman"/>
                <w:i/>
                <w:iCs/>
                <w:spacing w:val="-34"/>
              </w:rPr>
              <w:t xml:space="preserve"> </w:t>
            </w:r>
            <w:r>
              <w:t>、地石榴</w:t>
            </w:r>
            <w:r>
              <w:rPr>
                <w:spacing w:val="-63"/>
              </w:rPr>
              <w:t xml:space="preserve"> </w:t>
            </w:r>
            <w:r>
              <w:rPr>
                <w:rFonts w:ascii="Times New Roman" w:hAnsi="Times New Roman" w:eastAsia="Times New Roman" w:cs="Times New Roman"/>
                <w:i/>
                <w:iCs/>
              </w:rPr>
              <w:t xml:space="preserve">Ficus </w:t>
            </w:r>
            <w:r>
              <w:rPr>
                <w:rFonts w:ascii="Times New Roman" w:hAnsi="Times New Roman" w:eastAsia="Times New Roman" w:cs="Times New Roman"/>
                <w:i/>
                <w:iCs/>
                <w:spacing w:val="-1"/>
              </w:rPr>
              <w:t>tokoua</w:t>
            </w:r>
            <w:r>
              <w:rPr>
                <w:rFonts w:ascii="Times New Roman" w:hAnsi="Times New Roman" w:eastAsia="Times New Roman" w:cs="Times New Roman"/>
                <w:i/>
                <w:iCs/>
                <w:spacing w:val="-32"/>
              </w:rPr>
              <w:t xml:space="preserve"> </w:t>
            </w:r>
            <w:r>
              <w:rPr>
                <w:spacing w:val="-1"/>
              </w:rPr>
              <w:t>、</w:t>
            </w:r>
            <w:r>
              <w:t xml:space="preserve"> 云南勾儿茶</w:t>
            </w:r>
            <w:r>
              <w:rPr>
                <w:spacing w:val="-66"/>
              </w:rPr>
              <w:t xml:space="preserve"> </w:t>
            </w:r>
            <w:r>
              <w:rPr>
                <w:rFonts w:ascii="Times New Roman" w:hAnsi="Times New Roman" w:eastAsia="Times New Roman" w:cs="Times New Roman"/>
                <w:i/>
                <w:iCs/>
              </w:rPr>
              <w:t>Berchemia</w:t>
            </w:r>
            <w:r>
              <w:rPr>
                <w:rFonts w:ascii="Times New Roman" w:hAnsi="Times New Roman" w:eastAsia="Times New Roman" w:cs="Times New Roman"/>
                <w:i/>
                <w:iCs/>
                <w:spacing w:val="-18"/>
              </w:rPr>
              <w:t xml:space="preserve"> </w:t>
            </w:r>
            <w:r>
              <w:rPr>
                <w:rFonts w:ascii="Times New Roman" w:hAnsi="Times New Roman" w:eastAsia="Times New Roman" w:cs="Times New Roman"/>
                <w:i/>
                <w:iCs/>
              </w:rPr>
              <w:t>yunnanensis</w:t>
            </w:r>
            <w:r>
              <w:rPr>
                <w:rFonts w:ascii="Times New Roman" w:hAnsi="Times New Roman" w:eastAsia="Times New Roman" w:cs="Times New Roman"/>
                <w:i/>
                <w:iCs/>
                <w:spacing w:val="-32"/>
              </w:rPr>
              <w:t xml:space="preserve"> </w:t>
            </w:r>
            <w:r>
              <w:t>、西南金丝桃</w:t>
            </w:r>
            <w:r>
              <w:rPr>
                <w:spacing w:val="-66"/>
              </w:rPr>
              <w:t xml:space="preserve"> </w:t>
            </w:r>
            <w:r>
              <w:rPr>
                <w:rFonts w:ascii="Times New Roman" w:hAnsi="Times New Roman" w:eastAsia="Times New Roman" w:cs="Times New Roman"/>
                <w:i/>
                <w:iCs/>
              </w:rPr>
              <w:t>Hype</w:t>
            </w:r>
            <w:r>
              <w:rPr>
                <w:rFonts w:ascii="Times New Roman" w:hAnsi="Times New Roman" w:eastAsia="Times New Roman" w:cs="Times New Roman"/>
                <w:i/>
                <w:iCs/>
                <w:spacing w:val="-1"/>
              </w:rPr>
              <w:t>ricum monogynum L</w:t>
            </w:r>
            <w:r>
              <w:rPr>
                <w:spacing w:val="-1"/>
              </w:rPr>
              <w:t>。</w:t>
            </w:r>
          </w:p>
          <w:p w14:paraId="04FA4F97">
            <w:pPr>
              <w:pStyle w:val="6"/>
              <w:spacing w:before="125" w:line="348" w:lineRule="auto"/>
              <w:ind w:left="92" w:right="22" w:firstLine="498"/>
              <w:jc w:val="both"/>
            </w:pPr>
            <w:r>
              <w:rPr>
                <w:spacing w:val="3"/>
              </w:rPr>
              <w:t>草本层植物种类混杂，层盖度</w:t>
            </w:r>
            <w:r>
              <w:rPr>
                <w:spacing w:val="-27"/>
              </w:rPr>
              <w:t xml:space="preserve"> </w:t>
            </w:r>
            <w:r>
              <w:rPr>
                <w:rFonts w:ascii="Times New Roman" w:hAnsi="Times New Roman" w:eastAsia="Times New Roman" w:cs="Times New Roman"/>
                <w:spacing w:val="3"/>
              </w:rPr>
              <w:t>30%~60%</w:t>
            </w:r>
            <w:r>
              <w:rPr>
                <w:rFonts w:ascii="Times New Roman" w:hAnsi="Times New Roman" w:eastAsia="Times New Roman" w:cs="Times New Roman"/>
                <w:spacing w:val="-20"/>
              </w:rPr>
              <w:t xml:space="preserve"> </w:t>
            </w:r>
            <w:r>
              <w:rPr>
                <w:spacing w:val="3"/>
              </w:rPr>
              <w:t>，高度达</w:t>
            </w:r>
            <w:r>
              <w:rPr>
                <w:spacing w:val="-19"/>
              </w:rPr>
              <w:t xml:space="preserve"> </w:t>
            </w:r>
            <w:r>
              <w:rPr>
                <w:rFonts w:ascii="Times New Roman" w:hAnsi="Times New Roman" w:eastAsia="Times New Roman" w:cs="Times New Roman"/>
                <w:spacing w:val="3"/>
              </w:rPr>
              <w:t>1m</w:t>
            </w:r>
            <w:r>
              <w:rPr>
                <w:rFonts w:ascii="Times New Roman" w:hAnsi="Times New Roman" w:eastAsia="Times New Roman" w:cs="Times New Roman"/>
                <w:spacing w:val="-21"/>
              </w:rPr>
              <w:t xml:space="preserve"> </w:t>
            </w:r>
            <w:r>
              <w:rPr>
                <w:spacing w:val="3"/>
              </w:rPr>
              <w:t>，主要种类有白茅</w:t>
            </w:r>
            <w:r>
              <w:t xml:space="preserve"> </w:t>
            </w:r>
            <w:r>
              <w:rPr>
                <w:rFonts w:ascii="Times New Roman" w:hAnsi="Times New Roman" w:eastAsia="Times New Roman" w:cs="Times New Roman"/>
                <w:i/>
                <w:iCs/>
                <w:spacing w:val="-3"/>
              </w:rPr>
              <w:t>Imperata cylindrica var.majo</w:t>
            </w:r>
            <w:r>
              <w:rPr>
                <w:rFonts w:ascii="Times New Roman" w:hAnsi="Times New Roman" w:eastAsia="Times New Roman" w:cs="Times New Roman"/>
                <w:spacing w:val="-3"/>
              </w:rPr>
              <w:t>r</w:t>
            </w:r>
            <w:r>
              <w:rPr>
                <w:spacing w:val="-3"/>
              </w:rPr>
              <w:t>、黄茅</w:t>
            </w:r>
            <w:r>
              <w:rPr>
                <w:spacing w:val="-66"/>
              </w:rPr>
              <w:t xml:space="preserve"> </w:t>
            </w:r>
            <w:r>
              <w:rPr>
                <w:rFonts w:ascii="Times New Roman" w:hAnsi="Times New Roman" w:eastAsia="Times New Roman" w:cs="Times New Roman"/>
                <w:i/>
                <w:iCs/>
                <w:spacing w:val="-3"/>
              </w:rPr>
              <w:t>Heterop</w:t>
            </w:r>
            <w:r>
              <w:rPr>
                <w:rFonts w:ascii="Times New Roman" w:hAnsi="Times New Roman" w:eastAsia="Times New Roman" w:cs="Times New Roman"/>
                <w:i/>
                <w:iCs/>
                <w:spacing w:val="-4"/>
              </w:rPr>
              <w:t>ogon contortu</w:t>
            </w:r>
            <w:r>
              <w:rPr>
                <w:rFonts w:ascii="Times New Roman" w:hAnsi="Times New Roman" w:eastAsia="Times New Roman" w:cs="Times New Roman"/>
                <w:spacing w:val="-4"/>
              </w:rPr>
              <w:t>s</w:t>
            </w:r>
            <w:r>
              <w:rPr>
                <w:spacing w:val="-4"/>
              </w:rPr>
              <w:t>、蕨</w:t>
            </w:r>
            <w:r>
              <w:rPr>
                <w:spacing w:val="-66"/>
              </w:rPr>
              <w:t xml:space="preserve"> </w:t>
            </w:r>
            <w:r>
              <w:rPr>
                <w:rFonts w:ascii="Times New Roman" w:hAnsi="Times New Roman" w:eastAsia="Times New Roman" w:cs="Times New Roman"/>
                <w:i/>
                <w:iCs/>
                <w:spacing w:val="-4"/>
              </w:rPr>
              <w:t>Pteridium aquilinum</w:t>
            </w:r>
            <w:r>
              <w:rPr>
                <w:rFonts w:ascii="Times New Roman" w:hAnsi="Times New Roman" w:eastAsia="Times New Roman" w:cs="Times New Roman"/>
                <w:i/>
                <w:iCs/>
              </w:rPr>
              <w:t xml:space="preserve">  var</w:t>
            </w:r>
            <w:r>
              <w:rPr>
                <w:rFonts w:ascii="Times New Roman" w:hAnsi="Times New Roman" w:eastAsia="Times New Roman" w:cs="Times New Roman"/>
                <w:i/>
                <w:iCs/>
                <w:spacing w:val="4"/>
              </w:rPr>
              <w:t>.</w:t>
            </w:r>
            <w:r>
              <w:rPr>
                <w:rFonts w:ascii="Times New Roman" w:hAnsi="Times New Roman" w:eastAsia="Times New Roman" w:cs="Times New Roman"/>
                <w:i/>
                <w:iCs/>
                <w:spacing w:val="41"/>
                <w:w w:val="101"/>
              </w:rPr>
              <w:t xml:space="preserve"> </w:t>
            </w:r>
            <w:r>
              <w:rPr>
                <w:rFonts w:ascii="Times New Roman" w:hAnsi="Times New Roman" w:eastAsia="Times New Roman" w:cs="Times New Roman"/>
                <w:i/>
                <w:iCs/>
              </w:rPr>
              <w:t>latiusculum</w:t>
            </w:r>
            <w:r>
              <w:rPr>
                <w:rFonts w:ascii="Times New Roman" w:hAnsi="Times New Roman" w:eastAsia="Times New Roman" w:cs="Times New Roman"/>
                <w:i/>
                <w:iCs/>
                <w:spacing w:val="4"/>
              </w:rPr>
              <w:t xml:space="preserve"> </w:t>
            </w:r>
            <w:r>
              <w:rPr>
                <w:spacing w:val="4"/>
              </w:rPr>
              <w:t>、荩草</w:t>
            </w:r>
            <w:r>
              <w:rPr>
                <w:spacing w:val="-41"/>
              </w:rPr>
              <w:t xml:space="preserve"> </w:t>
            </w:r>
            <w:r>
              <w:rPr>
                <w:rFonts w:ascii="Times New Roman" w:hAnsi="Times New Roman" w:eastAsia="Times New Roman" w:cs="Times New Roman"/>
                <w:i/>
                <w:iCs/>
              </w:rPr>
              <w:t>Arhraxon</w:t>
            </w:r>
            <w:r>
              <w:rPr>
                <w:rFonts w:ascii="Times New Roman" w:hAnsi="Times New Roman" w:eastAsia="Times New Roman" w:cs="Times New Roman"/>
                <w:i/>
                <w:iCs/>
                <w:spacing w:val="34"/>
              </w:rPr>
              <w:t xml:space="preserve"> </w:t>
            </w:r>
            <w:r>
              <w:rPr>
                <w:rFonts w:ascii="Times New Roman" w:hAnsi="Times New Roman" w:eastAsia="Times New Roman" w:cs="Times New Roman"/>
                <w:i/>
                <w:iCs/>
              </w:rPr>
              <w:t>hispidus</w:t>
            </w:r>
            <w:r>
              <w:rPr>
                <w:rFonts w:ascii="Times New Roman" w:hAnsi="Times New Roman" w:eastAsia="Times New Roman" w:cs="Times New Roman"/>
                <w:i/>
                <w:iCs/>
                <w:spacing w:val="4"/>
              </w:rPr>
              <w:t xml:space="preserve"> </w:t>
            </w:r>
            <w:r>
              <w:rPr>
                <w:spacing w:val="4"/>
              </w:rPr>
              <w:t xml:space="preserve">、五叶草 </w:t>
            </w:r>
            <w:r>
              <w:rPr>
                <w:rFonts w:ascii="Times New Roman" w:hAnsi="Times New Roman" w:eastAsia="Times New Roman" w:cs="Times New Roman"/>
                <w:i/>
                <w:iCs/>
              </w:rPr>
              <w:t>Geraniumnepalense</w:t>
            </w:r>
            <w:r>
              <w:rPr>
                <w:rFonts w:ascii="Times New Roman" w:hAnsi="Times New Roman" w:eastAsia="Times New Roman" w:cs="Times New Roman"/>
                <w:i/>
                <w:iCs/>
                <w:spacing w:val="4"/>
              </w:rPr>
              <w:t xml:space="preserve"> </w:t>
            </w:r>
            <w:r>
              <w:rPr>
                <w:spacing w:val="4"/>
              </w:rPr>
              <w:t>、车前</w:t>
            </w:r>
            <w:r>
              <w:t xml:space="preserve"> </w:t>
            </w:r>
            <w:r>
              <w:rPr>
                <w:rFonts w:ascii="Times New Roman" w:hAnsi="Times New Roman" w:eastAsia="Times New Roman" w:cs="Times New Roman"/>
                <w:i/>
                <w:iCs/>
                <w:spacing w:val="-3"/>
              </w:rPr>
              <w:t>Planago asiatica</w:t>
            </w:r>
            <w:r>
              <w:rPr>
                <w:spacing w:val="-3"/>
              </w:rPr>
              <w:t>、野青茅</w:t>
            </w:r>
            <w:r>
              <w:rPr>
                <w:spacing w:val="-67"/>
              </w:rPr>
              <w:t xml:space="preserve"> </w:t>
            </w:r>
            <w:r>
              <w:rPr>
                <w:rFonts w:ascii="Times New Roman" w:hAnsi="Times New Roman" w:eastAsia="Times New Roman" w:cs="Times New Roman"/>
                <w:i/>
                <w:iCs/>
                <w:spacing w:val="-3"/>
              </w:rPr>
              <w:t>Deyeuxia arundinacea</w:t>
            </w:r>
            <w:r>
              <w:rPr>
                <w:spacing w:val="-4"/>
              </w:rPr>
              <w:t>、紫茎泽兰</w:t>
            </w:r>
            <w:r>
              <w:rPr>
                <w:spacing w:val="-71"/>
              </w:rPr>
              <w:t xml:space="preserve"> </w:t>
            </w:r>
            <w:r>
              <w:rPr>
                <w:rFonts w:ascii="Times New Roman" w:hAnsi="Times New Roman" w:eastAsia="Times New Roman" w:cs="Times New Roman"/>
                <w:i/>
                <w:iCs/>
                <w:spacing w:val="-4"/>
              </w:rPr>
              <w:t>Ageralina adenophora</w:t>
            </w:r>
            <w:r>
              <w:rPr>
                <w:spacing w:val="-4"/>
              </w:rPr>
              <w:t>、</w:t>
            </w:r>
            <w:r>
              <w:t xml:space="preserve"> </w:t>
            </w:r>
            <w:r>
              <w:rPr>
                <w:spacing w:val="-2"/>
              </w:rPr>
              <w:t>野</w:t>
            </w:r>
            <w:r>
              <w:rPr>
                <w:spacing w:val="-69"/>
              </w:rPr>
              <w:t xml:space="preserve"> </w:t>
            </w:r>
            <w:r>
              <w:rPr>
                <w:spacing w:val="-2"/>
              </w:rPr>
              <w:t>棉</w:t>
            </w:r>
            <w:r>
              <w:rPr>
                <w:spacing w:val="-69"/>
              </w:rPr>
              <w:t xml:space="preserve"> </w:t>
            </w:r>
            <w:r>
              <w:rPr>
                <w:spacing w:val="-2"/>
              </w:rPr>
              <w:t>花</w:t>
            </w:r>
            <w:r>
              <w:rPr>
                <w:spacing w:val="-31"/>
              </w:rPr>
              <w:t xml:space="preserve"> </w:t>
            </w:r>
            <w:r>
              <w:rPr>
                <w:rFonts w:ascii="Times New Roman" w:hAnsi="Times New Roman" w:eastAsia="Times New Roman" w:cs="Times New Roman"/>
                <w:i/>
                <w:iCs/>
                <w:spacing w:val="-2"/>
              </w:rPr>
              <w:t xml:space="preserve">Anemonevitifolia </w:t>
            </w:r>
            <w:r>
              <w:rPr>
                <w:spacing w:val="-2"/>
              </w:rPr>
              <w:t>、</w:t>
            </w:r>
            <w:r>
              <w:rPr>
                <w:spacing w:val="-69"/>
              </w:rPr>
              <w:t xml:space="preserve"> </w:t>
            </w:r>
            <w:r>
              <w:rPr>
                <w:spacing w:val="-2"/>
              </w:rPr>
              <w:t>臭</w:t>
            </w:r>
            <w:r>
              <w:rPr>
                <w:spacing w:val="-70"/>
              </w:rPr>
              <w:t xml:space="preserve"> </w:t>
            </w:r>
            <w:r>
              <w:rPr>
                <w:spacing w:val="-2"/>
              </w:rPr>
              <w:t>节</w:t>
            </w:r>
            <w:r>
              <w:rPr>
                <w:spacing w:val="-68"/>
              </w:rPr>
              <w:t xml:space="preserve"> </w:t>
            </w:r>
            <w:r>
              <w:rPr>
                <w:spacing w:val="-2"/>
              </w:rPr>
              <w:t>草</w:t>
            </w:r>
            <w:r>
              <w:rPr>
                <w:spacing w:val="-25"/>
              </w:rPr>
              <w:t xml:space="preserve"> </w:t>
            </w:r>
            <w:r>
              <w:rPr>
                <w:rFonts w:ascii="Times New Roman" w:hAnsi="Times New Roman" w:eastAsia="Times New Roman" w:cs="Times New Roman"/>
                <w:i/>
                <w:iCs/>
                <w:spacing w:val="-2"/>
              </w:rPr>
              <w:t>Boenninghause</w:t>
            </w:r>
            <w:r>
              <w:rPr>
                <w:rFonts w:ascii="Times New Roman" w:hAnsi="Times New Roman" w:eastAsia="Times New Roman" w:cs="Times New Roman"/>
                <w:i/>
                <w:iCs/>
                <w:spacing w:val="-3"/>
              </w:rPr>
              <w:t>nia</w:t>
            </w:r>
            <w:r>
              <w:rPr>
                <w:rFonts w:ascii="Times New Roman" w:hAnsi="Times New Roman" w:eastAsia="Times New Roman" w:cs="Times New Roman"/>
                <w:i/>
                <w:iCs/>
                <w:spacing w:val="49"/>
                <w:w w:val="101"/>
              </w:rPr>
              <w:t xml:space="preserve"> </w:t>
            </w:r>
            <w:r>
              <w:rPr>
                <w:rFonts w:ascii="Times New Roman" w:hAnsi="Times New Roman" w:eastAsia="Times New Roman" w:cs="Times New Roman"/>
                <w:i/>
                <w:iCs/>
                <w:spacing w:val="-3"/>
              </w:rPr>
              <w:t xml:space="preserve">albiflora </w:t>
            </w:r>
            <w:r>
              <w:rPr>
                <w:spacing w:val="-3"/>
              </w:rPr>
              <w:t>、</w:t>
            </w:r>
            <w:r>
              <w:rPr>
                <w:spacing w:val="-66"/>
              </w:rPr>
              <w:t xml:space="preserve"> </w:t>
            </w:r>
            <w:r>
              <w:rPr>
                <w:spacing w:val="-3"/>
              </w:rPr>
              <w:t>半</w:t>
            </w:r>
            <w:r>
              <w:rPr>
                <w:spacing w:val="-61"/>
              </w:rPr>
              <w:t xml:space="preserve"> </w:t>
            </w:r>
            <w:r>
              <w:rPr>
                <w:spacing w:val="-3"/>
              </w:rPr>
              <w:t>育</w:t>
            </w:r>
            <w:r>
              <w:rPr>
                <w:spacing w:val="-68"/>
              </w:rPr>
              <w:t xml:space="preserve"> </w:t>
            </w:r>
            <w:r>
              <w:rPr>
                <w:spacing w:val="-3"/>
              </w:rPr>
              <w:t>鳞</w:t>
            </w:r>
            <w:r>
              <w:rPr>
                <w:spacing w:val="-69"/>
              </w:rPr>
              <w:t xml:space="preserve"> </w:t>
            </w:r>
            <w:r>
              <w:rPr>
                <w:spacing w:val="-3"/>
              </w:rPr>
              <w:t>毛</w:t>
            </w:r>
            <w:r>
              <w:rPr>
                <w:spacing w:val="-70"/>
              </w:rPr>
              <w:t xml:space="preserve"> </w:t>
            </w:r>
            <w:r>
              <w:rPr>
                <w:spacing w:val="-3"/>
              </w:rPr>
              <w:t>蕨</w:t>
            </w:r>
            <w:r>
              <w:t xml:space="preserve"> </w:t>
            </w:r>
            <w:r>
              <w:rPr>
                <w:rFonts w:ascii="Times New Roman" w:hAnsi="Times New Roman" w:eastAsia="Times New Roman" w:cs="Times New Roman"/>
                <w:i/>
                <w:iCs/>
              </w:rPr>
              <w:t>Dryopleris sublacera</w:t>
            </w:r>
            <w:r>
              <w:rPr>
                <w:rFonts w:ascii="Times New Roman" w:hAnsi="Times New Roman" w:eastAsia="Times New Roman" w:cs="Times New Roman"/>
                <w:i/>
                <w:iCs/>
                <w:spacing w:val="-34"/>
              </w:rPr>
              <w:t xml:space="preserve"> </w:t>
            </w:r>
            <w:r>
              <w:t>、西南委陵菜</w:t>
            </w:r>
            <w:r>
              <w:rPr>
                <w:spacing w:val="-65"/>
              </w:rPr>
              <w:t xml:space="preserve"> </w:t>
            </w:r>
            <w:r>
              <w:rPr>
                <w:rFonts w:ascii="Times New Roman" w:hAnsi="Times New Roman" w:eastAsia="Times New Roman" w:cs="Times New Roman"/>
                <w:i/>
                <w:iCs/>
              </w:rPr>
              <w:t>Poten</w:t>
            </w:r>
            <w:r>
              <w:rPr>
                <w:rFonts w:ascii="Times New Roman" w:hAnsi="Times New Roman" w:eastAsia="Times New Roman" w:cs="Times New Roman"/>
                <w:i/>
                <w:iCs/>
                <w:spacing w:val="-1"/>
              </w:rPr>
              <w:t>tillafigens</w:t>
            </w:r>
            <w:r>
              <w:rPr>
                <w:spacing w:val="-1"/>
              </w:rPr>
              <w:t>、粘冠草</w:t>
            </w:r>
            <w:r>
              <w:rPr>
                <w:spacing w:val="-68"/>
              </w:rPr>
              <w:t xml:space="preserve"> </w:t>
            </w:r>
            <w:r>
              <w:rPr>
                <w:rFonts w:ascii="Times New Roman" w:hAnsi="Times New Roman" w:eastAsia="Times New Roman" w:cs="Times New Roman"/>
                <w:i/>
                <w:iCs/>
                <w:spacing w:val="-1"/>
              </w:rPr>
              <w:t>Miactis wallichii</w:t>
            </w:r>
            <w:r>
              <w:rPr>
                <w:rFonts w:ascii="Times New Roman" w:hAnsi="Times New Roman" w:eastAsia="Times New Roman" w:cs="Times New Roman"/>
                <w:i/>
                <w:iCs/>
                <w:spacing w:val="-35"/>
              </w:rPr>
              <w:t xml:space="preserve"> </w:t>
            </w:r>
            <w:r>
              <w:rPr>
                <w:spacing w:val="-1"/>
              </w:rPr>
              <w:t>、酢</w:t>
            </w:r>
            <w:r>
              <w:t xml:space="preserve"> </w:t>
            </w:r>
            <w:r>
              <w:rPr>
                <w:spacing w:val="-2"/>
              </w:rPr>
              <w:t>浆</w:t>
            </w:r>
            <w:r>
              <w:rPr>
                <w:spacing w:val="-66"/>
              </w:rPr>
              <w:t xml:space="preserve"> </w:t>
            </w:r>
            <w:r>
              <w:rPr>
                <w:spacing w:val="-2"/>
              </w:rPr>
              <w:t xml:space="preserve">草 </w:t>
            </w:r>
            <w:r>
              <w:rPr>
                <w:rFonts w:ascii="Times New Roman" w:hAnsi="Times New Roman" w:eastAsia="Times New Roman" w:cs="Times New Roman"/>
                <w:i/>
                <w:iCs/>
                <w:spacing w:val="-2"/>
              </w:rPr>
              <w:t xml:space="preserve">Oxaliscorniculata </w:t>
            </w:r>
            <w:r>
              <w:rPr>
                <w:spacing w:val="-2"/>
              </w:rPr>
              <w:t>、</w:t>
            </w:r>
            <w:r>
              <w:rPr>
                <w:spacing w:val="-65"/>
              </w:rPr>
              <w:t xml:space="preserve"> </w:t>
            </w:r>
            <w:r>
              <w:rPr>
                <w:spacing w:val="-2"/>
              </w:rPr>
              <w:t>龙</w:t>
            </w:r>
            <w:r>
              <w:rPr>
                <w:spacing w:val="-65"/>
              </w:rPr>
              <w:t xml:space="preserve"> </w:t>
            </w:r>
            <w:r>
              <w:rPr>
                <w:spacing w:val="-2"/>
              </w:rPr>
              <w:t>芽</w:t>
            </w:r>
            <w:r>
              <w:rPr>
                <w:spacing w:val="-66"/>
              </w:rPr>
              <w:t xml:space="preserve"> </w:t>
            </w:r>
            <w:r>
              <w:rPr>
                <w:spacing w:val="-3"/>
              </w:rPr>
              <w:t>草</w:t>
            </w:r>
            <w:r>
              <w:rPr>
                <w:spacing w:val="-30"/>
              </w:rPr>
              <w:t xml:space="preserve"> </w:t>
            </w:r>
            <w:r>
              <w:rPr>
                <w:rFonts w:ascii="Times New Roman" w:hAnsi="Times New Roman" w:eastAsia="Times New Roman" w:cs="Times New Roman"/>
                <w:i/>
                <w:iCs/>
                <w:spacing w:val="-3"/>
              </w:rPr>
              <w:t>Agrimonia</w:t>
            </w:r>
            <w:r>
              <w:rPr>
                <w:rFonts w:ascii="Times New Roman" w:hAnsi="Times New Roman" w:eastAsia="Times New Roman" w:cs="Times New Roman"/>
                <w:i/>
                <w:iCs/>
                <w:spacing w:val="17"/>
              </w:rPr>
              <w:t xml:space="preserve"> </w:t>
            </w:r>
            <w:r>
              <w:rPr>
                <w:rFonts w:ascii="Times New Roman" w:hAnsi="Times New Roman" w:eastAsia="Times New Roman" w:cs="Times New Roman"/>
                <w:i/>
                <w:iCs/>
                <w:spacing w:val="-3"/>
              </w:rPr>
              <w:t xml:space="preserve">pilosa </w:t>
            </w:r>
            <w:r>
              <w:rPr>
                <w:spacing w:val="-3"/>
              </w:rPr>
              <w:t>、</w:t>
            </w:r>
            <w:r>
              <w:rPr>
                <w:spacing w:val="-63"/>
              </w:rPr>
              <w:t xml:space="preserve"> </w:t>
            </w:r>
            <w:r>
              <w:rPr>
                <w:spacing w:val="-3"/>
              </w:rPr>
              <w:t>具</w:t>
            </w:r>
            <w:r>
              <w:rPr>
                <w:spacing w:val="-67"/>
              </w:rPr>
              <w:t xml:space="preserve"> </w:t>
            </w:r>
            <w:r>
              <w:rPr>
                <w:spacing w:val="-3"/>
              </w:rPr>
              <w:t>芒</w:t>
            </w:r>
            <w:r>
              <w:rPr>
                <w:spacing w:val="-68"/>
              </w:rPr>
              <w:t xml:space="preserve"> </w:t>
            </w:r>
            <w:r>
              <w:rPr>
                <w:spacing w:val="-3"/>
              </w:rPr>
              <w:t>碎</w:t>
            </w:r>
            <w:r>
              <w:rPr>
                <w:spacing w:val="-67"/>
              </w:rPr>
              <w:t xml:space="preserve"> </w:t>
            </w:r>
            <w:r>
              <w:rPr>
                <w:spacing w:val="-3"/>
              </w:rPr>
              <w:t>米</w:t>
            </w:r>
            <w:r>
              <w:rPr>
                <w:spacing w:val="-67"/>
              </w:rPr>
              <w:t xml:space="preserve"> </w:t>
            </w:r>
            <w:r>
              <w:rPr>
                <w:spacing w:val="-3"/>
              </w:rPr>
              <w:t>莎</w:t>
            </w:r>
            <w:r>
              <w:rPr>
                <w:spacing w:val="-66"/>
              </w:rPr>
              <w:t xml:space="preserve"> </w:t>
            </w:r>
            <w:r>
              <w:rPr>
                <w:spacing w:val="-3"/>
              </w:rPr>
              <w:t xml:space="preserve">草 </w:t>
            </w:r>
            <w:r>
              <w:rPr>
                <w:rFonts w:ascii="Times New Roman" w:hAnsi="Times New Roman" w:eastAsia="Times New Roman" w:cs="Times New Roman"/>
                <w:i/>
                <w:iCs/>
                <w:spacing w:val="-3"/>
              </w:rPr>
              <w:t>Cyperus</w:t>
            </w:r>
            <w:r>
              <w:rPr>
                <w:rFonts w:ascii="Times New Roman" w:hAnsi="Times New Roman" w:eastAsia="Times New Roman" w:cs="Times New Roman"/>
                <w:i/>
                <w:iCs/>
              </w:rPr>
              <w:t xml:space="preserve">  </w:t>
            </w:r>
            <w:r>
              <w:rPr>
                <w:rFonts w:ascii="Times New Roman" w:hAnsi="Times New Roman" w:eastAsia="Times New Roman" w:cs="Times New Roman"/>
                <w:i/>
                <w:iCs/>
                <w:spacing w:val="-1"/>
              </w:rPr>
              <w:t>microiria</w:t>
            </w:r>
            <w:r>
              <w:rPr>
                <w:rFonts w:ascii="Times New Roman" w:hAnsi="Times New Roman" w:eastAsia="Times New Roman" w:cs="Times New Roman"/>
                <w:i/>
                <w:iCs/>
                <w:spacing w:val="-34"/>
              </w:rPr>
              <w:t xml:space="preserve"> </w:t>
            </w:r>
            <w:r>
              <w:rPr>
                <w:spacing w:val="-1"/>
              </w:rPr>
              <w:t>、夏枯草</w:t>
            </w:r>
            <w:r>
              <w:rPr>
                <w:spacing w:val="-65"/>
              </w:rPr>
              <w:t xml:space="preserve"> </w:t>
            </w:r>
            <w:r>
              <w:rPr>
                <w:rFonts w:ascii="Times New Roman" w:hAnsi="Times New Roman" w:eastAsia="Times New Roman" w:cs="Times New Roman"/>
                <w:i/>
                <w:iCs/>
                <w:spacing w:val="-1"/>
              </w:rPr>
              <w:t>Prunella vulgaris</w:t>
            </w:r>
            <w:r>
              <w:rPr>
                <w:rFonts w:ascii="Times New Roman" w:hAnsi="Times New Roman" w:eastAsia="Times New Roman" w:cs="Times New Roman"/>
                <w:i/>
                <w:iCs/>
                <w:spacing w:val="-34"/>
              </w:rPr>
              <w:t xml:space="preserve"> </w:t>
            </w:r>
            <w:r>
              <w:rPr>
                <w:spacing w:val="-1"/>
              </w:rPr>
              <w:t>、积雪草</w:t>
            </w:r>
            <w:r>
              <w:rPr>
                <w:spacing w:val="-44"/>
              </w:rPr>
              <w:t xml:space="preserve"> </w:t>
            </w:r>
            <w:r>
              <w:rPr>
                <w:rFonts w:ascii="Times New Roman" w:hAnsi="Times New Roman" w:eastAsia="Times New Roman" w:cs="Times New Roman"/>
                <w:i/>
                <w:iCs/>
                <w:spacing w:val="-1"/>
              </w:rPr>
              <w:t>Centell</w:t>
            </w:r>
            <w:r>
              <w:rPr>
                <w:rFonts w:ascii="Times New Roman" w:hAnsi="Times New Roman" w:eastAsia="Times New Roman" w:cs="Times New Roman"/>
                <w:i/>
                <w:iCs/>
                <w:spacing w:val="-2"/>
              </w:rPr>
              <w:t xml:space="preserve">a asiatica </w:t>
            </w:r>
            <w:r>
              <w:rPr>
                <w:spacing w:val="-2"/>
              </w:rPr>
              <w:t>等。</w:t>
            </w:r>
          </w:p>
          <w:p w14:paraId="4A9D220B">
            <w:pPr>
              <w:pStyle w:val="6"/>
              <w:spacing w:before="117" w:line="217" w:lineRule="auto"/>
              <w:ind w:left="587"/>
            </w:pPr>
            <w:r>
              <w:rPr>
                <w:spacing w:val="-2"/>
              </w:rPr>
              <w:t>②栓皮栎群落</w:t>
            </w:r>
          </w:p>
          <w:p w14:paraId="021ECBE3">
            <w:pPr>
              <w:pStyle w:val="6"/>
              <w:spacing w:before="186" w:line="337" w:lineRule="auto"/>
              <w:ind w:left="94" w:right="102" w:firstLine="495"/>
            </w:pPr>
            <w:r>
              <w:rPr>
                <w:spacing w:val="-5"/>
              </w:rPr>
              <w:t>乔木层盖度约</w:t>
            </w:r>
            <w:r>
              <w:rPr>
                <w:spacing w:val="-35"/>
              </w:rPr>
              <w:t xml:space="preserve"> </w:t>
            </w:r>
            <w:r>
              <w:rPr>
                <w:rFonts w:ascii="Times New Roman" w:hAnsi="Times New Roman" w:eastAsia="Times New Roman" w:cs="Times New Roman"/>
                <w:spacing w:val="-5"/>
              </w:rPr>
              <w:t>30%-45%%</w:t>
            </w:r>
            <w:r>
              <w:rPr>
                <w:spacing w:val="-5"/>
              </w:rPr>
              <w:t>，高度约</w:t>
            </w:r>
            <w:r>
              <w:rPr>
                <w:spacing w:val="-45"/>
              </w:rPr>
              <w:t xml:space="preserve"> </w:t>
            </w:r>
            <w:r>
              <w:rPr>
                <w:rFonts w:ascii="Times New Roman" w:hAnsi="Times New Roman" w:eastAsia="Times New Roman" w:cs="Times New Roman"/>
                <w:spacing w:val="-5"/>
              </w:rPr>
              <w:t>8</w:t>
            </w:r>
            <w:r>
              <w:rPr>
                <w:spacing w:val="-5"/>
              </w:rPr>
              <w:t>～</w:t>
            </w:r>
            <w:r>
              <w:rPr>
                <w:rFonts w:ascii="Times New Roman" w:hAnsi="Times New Roman" w:eastAsia="Times New Roman" w:cs="Times New Roman"/>
                <w:spacing w:val="-5"/>
              </w:rPr>
              <w:t>9m</w:t>
            </w:r>
            <w:r>
              <w:rPr>
                <w:spacing w:val="-5"/>
              </w:rPr>
              <w:t>，胸径</w:t>
            </w:r>
            <w:r>
              <w:rPr>
                <w:spacing w:val="-32"/>
              </w:rPr>
              <w:t xml:space="preserve"> </w:t>
            </w:r>
            <w:r>
              <w:rPr>
                <w:rFonts w:ascii="Times New Roman" w:hAnsi="Times New Roman" w:eastAsia="Times New Roman" w:cs="Times New Roman"/>
                <w:spacing w:val="-5"/>
              </w:rPr>
              <w:t>10</w:t>
            </w:r>
            <w:r>
              <w:rPr>
                <w:spacing w:val="-5"/>
              </w:rPr>
              <w:t>～</w:t>
            </w:r>
            <w:r>
              <w:rPr>
                <w:rFonts w:ascii="Times New Roman" w:hAnsi="Times New Roman" w:eastAsia="Times New Roman" w:cs="Times New Roman"/>
                <w:spacing w:val="-5"/>
              </w:rPr>
              <w:t>15cm</w:t>
            </w:r>
            <w:r>
              <w:rPr>
                <w:spacing w:val="-5"/>
              </w:rPr>
              <w:t>，成分组成栓皮</w:t>
            </w:r>
            <w:r>
              <w:t xml:space="preserve"> </w:t>
            </w:r>
            <w:r>
              <w:rPr>
                <w:spacing w:val="11"/>
              </w:rPr>
              <w:t>栎</w:t>
            </w:r>
            <w:r>
              <w:rPr>
                <w:spacing w:val="-27"/>
              </w:rPr>
              <w:t xml:space="preserve"> </w:t>
            </w:r>
            <w:r>
              <w:rPr>
                <w:rFonts w:ascii="Times New Roman" w:hAnsi="Times New Roman" w:eastAsia="Times New Roman" w:cs="Times New Roman"/>
                <w:i/>
                <w:iCs/>
              </w:rPr>
              <w:t>Quercus</w:t>
            </w:r>
            <w:r>
              <w:rPr>
                <w:rFonts w:ascii="Times New Roman" w:hAnsi="Times New Roman" w:eastAsia="Times New Roman" w:cs="Times New Roman"/>
                <w:i/>
                <w:iCs/>
                <w:spacing w:val="20"/>
              </w:rPr>
              <w:t xml:space="preserve"> </w:t>
            </w:r>
            <w:r>
              <w:rPr>
                <w:rFonts w:ascii="Times New Roman" w:hAnsi="Times New Roman" w:eastAsia="Times New Roman" w:cs="Times New Roman"/>
                <w:i/>
                <w:iCs/>
              </w:rPr>
              <w:t>variabilis</w:t>
            </w:r>
            <w:r>
              <w:rPr>
                <w:rFonts w:ascii="Times New Roman" w:hAnsi="Times New Roman" w:eastAsia="Times New Roman" w:cs="Times New Roman"/>
                <w:i/>
                <w:iCs/>
                <w:spacing w:val="29"/>
              </w:rPr>
              <w:t xml:space="preserve"> </w:t>
            </w:r>
            <w:r>
              <w:rPr>
                <w:spacing w:val="11"/>
              </w:rPr>
              <w:t>为主，此外还伴生有云南松</w:t>
            </w:r>
            <w:r>
              <w:rPr>
                <w:spacing w:val="-46"/>
              </w:rPr>
              <w:t xml:space="preserve"> </w:t>
            </w:r>
            <w:r>
              <w:rPr>
                <w:rFonts w:ascii="Times New Roman" w:hAnsi="Times New Roman" w:eastAsia="Times New Roman" w:cs="Times New Roman"/>
                <w:i/>
                <w:iCs/>
              </w:rPr>
              <w:t>Pinus</w:t>
            </w:r>
            <w:r>
              <w:rPr>
                <w:rFonts w:ascii="Times New Roman" w:hAnsi="Times New Roman" w:eastAsia="Times New Roman" w:cs="Times New Roman"/>
                <w:i/>
                <w:iCs/>
                <w:spacing w:val="11"/>
              </w:rPr>
              <w:t xml:space="preserve"> </w:t>
            </w:r>
            <w:r>
              <w:rPr>
                <w:rFonts w:ascii="Times New Roman" w:hAnsi="Times New Roman" w:eastAsia="Times New Roman" w:cs="Times New Roman"/>
                <w:i/>
                <w:iCs/>
              </w:rPr>
              <w:t>yunnanensis</w:t>
            </w:r>
            <w:r>
              <w:rPr>
                <w:rFonts w:ascii="Times New Roman" w:hAnsi="Times New Roman" w:eastAsia="Times New Roman" w:cs="Times New Roman"/>
                <w:i/>
                <w:iCs/>
                <w:spacing w:val="-15"/>
              </w:rPr>
              <w:t xml:space="preserve"> </w:t>
            </w:r>
            <w:r>
              <w:rPr>
                <w:spacing w:val="11"/>
              </w:rPr>
              <w:t>、华山松</w:t>
            </w:r>
            <w:r>
              <w:t xml:space="preserve"> </w:t>
            </w:r>
            <w:r>
              <w:rPr>
                <w:rFonts w:ascii="Times New Roman" w:hAnsi="Times New Roman" w:eastAsia="Times New Roman" w:cs="Times New Roman"/>
                <w:i/>
                <w:iCs/>
                <w:spacing w:val="-2"/>
              </w:rPr>
              <w:t>Pinus armandi</w:t>
            </w:r>
            <w:r>
              <w:rPr>
                <w:rFonts w:ascii="Times New Roman" w:hAnsi="Times New Roman" w:eastAsia="Times New Roman" w:cs="Times New Roman"/>
                <w:i/>
                <w:iCs/>
                <w:spacing w:val="-10"/>
              </w:rPr>
              <w:t xml:space="preserve"> </w:t>
            </w:r>
            <w:r>
              <w:rPr>
                <w:spacing w:val="-2"/>
              </w:rPr>
              <w:t>，偶见槲栎</w:t>
            </w:r>
            <w:r>
              <w:rPr>
                <w:spacing w:val="-48"/>
              </w:rPr>
              <w:t xml:space="preserve"> </w:t>
            </w:r>
            <w:r>
              <w:rPr>
                <w:rFonts w:ascii="Times New Roman" w:hAnsi="Times New Roman" w:eastAsia="Times New Roman" w:cs="Times New Roman"/>
                <w:i/>
                <w:iCs/>
                <w:spacing w:val="-2"/>
              </w:rPr>
              <w:t>Quercus aliena</w:t>
            </w:r>
            <w:r>
              <w:rPr>
                <w:spacing w:val="-2"/>
              </w:rPr>
              <w:t>。</w:t>
            </w:r>
          </w:p>
          <w:p w14:paraId="2891B8E0">
            <w:pPr>
              <w:pStyle w:val="6"/>
              <w:spacing w:before="43" w:line="346" w:lineRule="auto"/>
              <w:ind w:left="58" w:right="102" w:firstLine="533"/>
              <w:jc w:val="both"/>
            </w:pPr>
            <w:r>
              <w:rPr>
                <w:spacing w:val="6"/>
              </w:rPr>
              <w:t>灌木层种类较少</w:t>
            </w:r>
            <w:r>
              <w:rPr>
                <w:spacing w:val="-72"/>
              </w:rPr>
              <w:t xml:space="preserve"> </w:t>
            </w:r>
            <w:r>
              <w:rPr>
                <w:spacing w:val="6"/>
              </w:rPr>
              <w:t xml:space="preserve">，高约 </w:t>
            </w:r>
            <w:r>
              <w:rPr>
                <w:rFonts w:ascii="Times New Roman" w:hAnsi="Times New Roman" w:eastAsia="Times New Roman" w:cs="Times New Roman"/>
                <w:spacing w:val="6"/>
              </w:rPr>
              <w:t>1.5m</w:t>
            </w:r>
            <w:r>
              <w:rPr>
                <w:rFonts w:ascii="Times New Roman" w:hAnsi="Times New Roman" w:eastAsia="Times New Roman" w:cs="Times New Roman"/>
                <w:spacing w:val="-11"/>
              </w:rPr>
              <w:t xml:space="preserve"> </w:t>
            </w:r>
            <w:r>
              <w:rPr>
                <w:spacing w:val="6"/>
              </w:rPr>
              <w:t>，层盖度约</w:t>
            </w:r>
            <w:r>
              <w:rPr>
                <w:spacing w:val="-33"/>
              </w:rPr>
              <w:t xml:space="preserve"> </w:t>
            </w:r>
            <w:r>
              <w:rPr>
                <w:rFonts w:ascii="Times New Roman" w:hAnsi="Times New Roman" w:eastAsia="Times New Roman" w:cs="Times New Roman"/>
                <w:spacing w:val="6"/>
              </w:rPr>
              <w:t>30%</w:t>
            </w:r>
            <w:r>
              <w:rPr>
                <w:rFonts w:ascii="Times New Roman" w:hAnsi="Times New Roman" w:eastAsia="Times New Roman" w:cs="Times New Roman"/>
                <w:spacing w:val="-10"/>
              </w:rPr>
              <w:t xml:space="preserve"> </w:t>
            </w:r>
            <w:r>
              <w:rPr>
                <w:spacing w:val="6"/>
              </w:rPr>
              <w:t>，主要有火棘</w:t>
            </w:r>
            <w:r>
              <w:rPr>
                <w:spacing w:val="-46"/>
              </w:rPr>
              <w:t xml:space="preserve"> </w:t>
            </w:r>
            <w:r>
              <w:rPr>
                <w:rFonts w:ascii="Times New Roman" w:hAnsi="Times New Roman" w:eastAsia="Times New Roman" w:cs="Times New Roman"/>
                <w:i/>
                <w:iCs/>
              </w:rPr>
              <w:t>Pyracantha fortuneana</w:t>
            </w:r>
            <w:r>
              <w:rPr>
                <w:rFonts w:ascii="Times New Roman" w:hAnsi="Times New Roman" w:eastAsia="Times New Roman" w:cs="Times New Roman"/>
                <w:i/>
                <w:iCs/>
                <w:spacing w:val="-26"/>
              </w:rPr>
              <w:t xml:space="preserve"> </w:t>
            </w:r>
            <w:r>
              <w:t>、西南栒子</w:t>
            </w:r>
            <w:r>
              <w:rPr>
                <w:spacing w:val="-44"/>
              </w:rPr>
              <w:t xml:space="preserve"> </w:t>
            </w:r>
            <w:r>
              <w:rPr>
                <w:rFonts w:ascii="Times New Roman" w:hAnsi="Times New Roman" w:eastAsia="Times New Roman" w:cs="Times New Roman"/>
                <w:i/>
                <w:iCs/>
              </w:rPr>
              <w:t>Cotoneaster</w:t>
            </w:r>
            <w:r>
              <w:rPr>
                <w:rFonts w:ascii="Times New Roman" w:hAnsi="Times New Roman" w:eastAsia="Times New Roman" w:cs="Times New Roman"/>
                <w:i/>
                <w:iCs/>
                <w:spacing w:val="-48"/>
              </w:rPr>
              <w:t xml:space="preserve"> </w:t>
            </w:r>
            <w:r>
              <w:rPr>
                <w:rFonts w:ascii="Times New Roman" w:hAnsi="Times New Roman" w:eastAsia="Times New Roman" w:cs="Times New Roman"/>
                <w:i/>
                <w:iCs/>
              </w:rPr>
              <w:t>franchetii</w:t>
            </w:r>
            <w:r>
              <w:rPr>
                <w:rFonts w:ascii="Times New Roman" w:hAnsi="Times New Roman" w:eastAsia="Times New Roman" w:cs="Times New Roman"/>
                <w:i/>
                <w:iCs/>
                <w:spacing w:val="-33"/>
              </w:rPr>
              <w:t xml:space="preserve"> </w:t>
            </w:r>
            <w:r>
              <w:t>、粉叶小檗</w:t>
            </w:r>
            <w:r>
              <w:rPr>
                <w:spacing w:val="-65"/>
              </w:rPr>
              <w:t xml:space="preserve"> </w:t>
            </w:r>
            <w:r>
              <w:rPr>
                <w:rFonts w:ascii="Times New Roman" w:hAnsi="Times New Roman" w:eastAsia="Times New Roman" w:cs="Times New Roman"/>
                <w:i/>
                <w:iCs/>
              </w:rPr>
              <w:t>Berberis</w:t>
            </w:r>
            <w:r>
              <w:rPr>
                <w:rFonts w:ascii="Times New Roman" w:hAnsi="Times New Roman" w:eastAsia="Times New Roman" w:cs="Times New Roman"/>
                <w:i/>
                <w:iCs/>
                <w:spacing w:val="-26"/>
              </w:rPr>
              <w:t xml:space="preserve"> </w:t>
            </w:r>
            <w:r>
              <w:rPr>
                <w:rFonts w:ascii="Times New Roman" w:hAnsi="Times New Roman" w:eastAsia="Times New Roman" w:cs="Times New Roman"/>
                <w:i/>
                <w:iCs/>
              </w:rPr>
              <w:t>pruinosa</w:t>
            </w:r>
            <w:r>
              <w:rPr>
                <w:rFonts w:ascii="Times New Roman" w:hAnsi="Times New Roman" w:eastAsia="Times New Roman" w:cs="Times New Roman"/>
                <w:i/>
                <w:iCs/>
                <w:spacing w:val="-34"/>
              </w:rPr>
              <w:t xml:space="preserve"> </w:t>
            </w:r>
            <w:r>
              <w:t xml:space="preserve">、地石 </w:t>
            </w:r>
            <w:r>
              <w:rPr>
                <w:spacing w:val="-1"/>
              </w:rPr>
              <w:t>榴</w:t>
            </w:r>
            <w:r>
              <w:rPr>
                <w:spacing w:val="-55"/>
              </w:rPr>
              <w:t xml:space="preserve"> </w:t>
            </w:r>
            <w:r>
              <w:rPr>
                <w:rFonts w:ascii="Times New Roman" w:hAnsi="Times New Roman" w:eastAsia="Times New Roman" w:cs="Times New Roman"/>
                <w:i/>
                <w:iCs/>
                <w:spacing w:val="-1"/>
              </w:rPr>
              <w:t>Ficus tokoua</w:t>
            </w:r>
            <w:r>
              <w:rPr>
                <w:rFonts w:ascii="Times New Roman" w:hAnsi="Times New Roman" w:eastAsia="Times New Roman" w:cs="Times New Roman"/>
                <w:i/>
                <w:iCs/>
                <w:spacing w:val="-34"/>
              </w:rPr>
              <w:t xml:space="preserve"> </w:t>
            </w:r>
            <w:r>
              <w:rPr>
                <w:spacing w:val="-1"/>
              </w:rPr>
              <w:t>、薄叶鼠李</w:t>
            </w:r>
            <w:r>
              <w:rPr>
                <w:spacing w:val="-65"/>
              </w:rPr>
              <w:t xml:space="preserve"> </w:t>
            </w:r>
            <w:r>
              <w:rPr>
                <w:rFonts w:ascii="Times New Roman" w:hAnsi="Times New Roman" w:eastAsia="Times New Roman" w:cs="Times New Roman"/>
                <w:i/>
                <w:iCs/>
                <w:spacing w:val="-1"/>
              </w:rPr>
              <w:t>Rhamnus leptophylla</w:t>
            </w:r>
            <w:r>
              <w:rPr>
                <w:rFonts w:ascii="Times New Roman" w:hAnsi="Times New Roman" w:eastAsia="Times New Roman" w:cs="Times New Roman"/>
                <w:i/>
                <w:iCs/>
                <w:spacing w:val="-34"/>
              </w:rPr>
              <w:t xml:space="preserve"> </w:t>
            </w:r>
            <w:r>
              <w:rPr>
                <w:spacing w:val="-1"/>
              </w:rPr>
              <w:t>、野拔子</w:t>
            </w:r>
            <w:r>
              <w:rPr>
                <w:spacing w:val="-65"/>
              </w:rPr>
              <w:t xml:space="preserve"> </w:t>
            </w:r>
            <w:r>
              <w:rPr>
                <w:rFonts w:ascii="Times New Roman" w:hAnsi="Times New Roman" w:eastAsia="Times New Roman" w:cs="Times New Roman"/>
                <w:i/>
                <w:iCs/>
                <w:spacing w:val="-1"/>
              </w:rPr>
              <w:t>Elsholtzia rugulosa</w:t>
            </w:r>
            <w:r>
              <w:rPr>
                <w:rFonts w:ascii="Times New Roman" w:hAnsi="Times New Roman" w:eastAsia="Times New Roman" w:cs="Times New Roman"/>
                <w:i/>
                <w:iCs/>
                <w:spacing w:val="-34"/>
              </w:rPr>
              <w:t xml:space="preserve"> </w:t>
            </w:r>
            <w:r>
              <w:rPr>
                <w:spacing w:val="-1"/>
              </w:rPr>
              <w:t>、板</w:t>
            </w:r>
            <w:r>
              <w:t xml:space="preserve"> </w:t>
            </w:r>
            <w:r>
              <w:rPr>
                <w:spacing w:val="11"/>
              </w:rPr>
              <w:t>凳果</w:t>
            </w:r>
            <w:r>
              <w:rPr>
                <w:spacing w:val="-50"/>
              </w:rPr>
              <w:t xml:space="preserve"> </w:t>
            </w:r>
            <w:r>
              <w:rPr>
                <w:rFonts w:ascii="Times New Roman" w:hAnsi="Times New Roman" w:eastAsia="Times New Roman" w:cs="Times New Roman"/>
                <w:i/>
                <w:iCs/>
              </w:rPr>
              <w:t>Pachysandra</w:t>
            </w:r>
            <w:r>
              <w:rPr>
                <w:rFonts w:ascii="Times New Roman" w:hAnsi="Times New Roman" w:eastAsia="Times New Roman" w:cs="Times New Roman"/>
                <w:i/>
                <w:iCs/>
                <w:spacing w:val="18"/>
              </w:rPr>
              <w:t xml:space="preserve"> </w:t>
            </w:r>
            <w:r>
              <w:rPr>
                <w:rFonts w:ascii="Times New Roman" w:hAnsi="Times New Roman" w:eastAsia="Times New Roman" w:cs="Times New Roman"/>
                <w:i/>
                <w:iCs/>
              </w:rPr>
              <w:t>axillaris</w:t>
            </w:r>
            <w:r>
              <w:rPr>
                <w:rFonts w:ascii="Times New Roman" w:hAnsi="Times New Roman" w:eastAsia="Times New Roman" w:cs="Times New Roman"/>
                <w:i/>
                <w:iCs/>
                <w:spacing w:val="-21"/>
              </w:rPr>
              <w:t xml:space="preserve"> </w:t>
            </w:r>
            <w:r>
              <w:rPr>
                <w:spacing w:val="11"/>
              </w:rPr>
              <w:t>，其他还有密蒙花</w:t>
            </w:r>
            <w:r>
              <w:rPr>
                <w:spacing w:val="-56"/>
              </w:rPr>
              <w:t xml:space="preserve"> </w:t>
            </w:r>
            <w:r>
              <w:rPr>
                <w:rFonts w:ascii="Times New Roman" w:hAnsi="Times New Roman" w:eastAsia="Times New Roman" w:cs="Times New Roman"/>
                <w:i/>
                <w:iCs/>
              </w:rPr>
              <w:t>Buddleja</w:t>
            </w:r>
            <w:r>
              <w:rPr>
                <w:rFonts w:ascii="Times New Roman" w:hAnsi="Times New Roman" w:eastAsia="Times New Roman" w:cs="Times New Roman"/>
                <w:i/>
                <w:iCs/>
                <w:spacing w:val="19"/>
              </w:rPr>
              <w:t xml:space="preserve"> </w:t>
            </w:r>
            <w:r>
              <w:rPr>
                <w:rFonts w:ascii="Times New Roman" w:hAnsi="Times New Roman" w:eastAsia="Times New Roman" w:cs="Times New Roman"/>
                <w:i/>
                <w:iCs/>
              </w:rPr>
              <w:t>o</w:t>
            </w:r>
            <w:r>
              <w:rPr>
                <w:rFonts w:ascii="Times New Roman" w:hAnsi="Times New Roman" w:eastAsia="Times New Roman" w:cs="Times New Roman"/>
                <w:b/>
                <w:bCs/>
                <w:i/>
                <w:iCs/>
              </w:rPr>
              <w:t>f</w:t>
            </w:r>
            <w:r>
              <w:rPr>
                <w:rFonts w:ascii="Times New Roman" w:hAnsi="Times New Roman" w:eastAsia="Times New Roman" w:cs="Times New Roman"/>
                <w:i/>
                <w:iCs/>
              </w:rPr>
              <w:t>icinalis</w:t>
            </w:r>
            <w:r>
              <w:rPr>
                <w:rFonts w:ascii="Times New Roman" w:hAnsi="Times New Roman" w:eastAsia="Times New Roman" w:cs="Times New Roman"/>
                <w:i/>
                <w:iCs/>
                <w:spacing w:val="-24"/>
              </w:rPr>
              <w:t xml:space="preserve"> </w:t>
            </w:r>
            <w:r>
              <w:rPr>
                <w:spacing w:val="11"/>
              </w:rPr>
              <w:t>、红花悬钩子</w:t>
            </w:r>
            <w:r>
              <w:t xml:space="preserve"> </w:t>
            </w:r>
            <w:r>
              <w:rPr>
                <w:rFonts w:ascii="Times New Roman" w:hAnsi="Times New Roman" w:eastAsia="Times New Roman" w:cs="Times New Roman"/>
                <w:i/>
                <w:iCs/>
              </w:rPr>
              <w:t>Rubus</w:t>
            </w:r>
            <w:r>
              <w:rPr>
                <w:rFonts w:ascii="Times New Roman" w:hAnsi="Times New Roman" w:eastAsia="Times New Roman" w:cs="Times New Roman"/>
                <w:i/>
                <w:iCs/>
                <w:spacing w:val="9"/>
              </w:rPr>
              <w:t xml:space="preserve"> </w:t>
            </w:r>
            <w:r>
              <w:rPr>
                <w:rFonts w:ascii="Times New Roman" w:hAnsi="Times New Roman" w:eastAsia="Times New Roman" w:cs="Times New Roman"/>
                <w:i/>
                <w:iCs/>
              </w:rPr>
              <w:t>inopertus</w:t>
            </w:r>
            <w:r>
              <w:rPr>
                <w:rFonts w:ascii="Times New Roman" w:hAnsi="Times New Roman" w:eastAsia="Times New Roman" w:cs="Times New Roman"/>
                <w:i/>
                <w:iCs/>
                <w:spacing w:val="9"/>
              </w:rPr>
              <w:t xml:space="preserve"> </w:t>
            </w:r>
            <w:r>
              <w:rPr>
                <w:spacing w:val="9"/>
              </w:rPr>
              <w:t>等。</w:t>
            </w:r>
          </w:p>
          <w:p w14:paraId="60CE6248">
            <w:pPr>
              <w:pStyle w:val="6"/>
              <w:spacing w:before="127" w:line="331" w:lineRule="auto"/>
              <w:ind w:left="106" w:right="102" w:firstLine="484"/>
              <w:jc w:val="both"/>
            </w:pPr>
            <w:r>
              <w:rPr>
                <w:spacing w:val="2"/>
              </w:rPr>
              <w:t>草本层丰富，高约</w:t>
            </w:r>
            <w:r>
              <w:rPr>
                <w:spacing w:val="-40"/>
              </w:rPr>
              <w:t xml:space="preserve"> </w:t>
            </w:r>
            <w:r>
              <w:rPr>
                <w:rFonts w:ascii="Times New Roman" w:hAnsi="Times New Roman" w:eastAsia="Times New Roman" w:cs="Times New Roman"/>
                <w:spacing w:val="2"/>
              </w:rPr>
              <w:t>0.3-1m</w:t>
            </w:r>
            <w:r>
              <w:rPr>
                <w:rFonts w:ascii="Times New Roman" w:hAnsi="Times New Roman" w:eastAsia="Times New Roman" w:cs="Times New Roman"/>
                <w:spacing w:val="-21"/>
              </w:rPr>
              <w:t xml:space="preserve"> </w:t>
            </w:r>
            <w:r>
              <w:rPr>
                <w:spacing w:val="2"/>
              </w:rPr>
              <w:t>，盖度达</w:t>
            </w:r>
            <w:r>
              <w:rPr>
                <w:spacing w:val="-39"/>
              </w:rPr>
              <w:t xml:space="preserve"> </w:t>
            </w:r>
            <w:r>
              <w:rPr>
                <w:rFonts w:ascii="Times New Roman" w:hAnsi="Times New Roman" w:eastAsia="Times New Roman" w:cs="Times New Roman"/>
                <w:spacing w:val="2"/>
              </w:rPr>
              <w:t>70~80%</w:t>
            </w:r>
            <w:r>
              <w:rPr>
                <w:rFonts w:ascii="Times New Roman" w:hAnsi="Times New Roman" w:eastAsia="Times New Roman" w:cs="Times New Roman"/>
                <w:spacing w:val="-20"/>
              </w:rPr>
              <w:t xml:space="preserve"> </w:t>
            </w:r>
            <w:r>
              <w:rPr>
                <w:spacing w:val="2"/>
              </w:rPr>
              <w:t>，以主要有黄茅</w:t>
            </w:r>
            <w:r>
              <w:rPr>
                <w:spacing w:val="-54"/>
              </w:rPr>
              <w:t xml:space="preserve"> </w:t>
            </w:r>
            <w:r>
              <w:rPr>
                <w:rFonts w:ascii="Times New Roman" w:hAnsi="Times New Roman" w:eastAsia="Times New Roman" w:cs="Times New Roman"/>
                <w:i/>
                <w:iCs/>
              </w:rPr>
              <w:t xml:space="preserve">Heteropogon </w:t>
            </w:r>
            <w:r>
              <w:rPr>
                <w:rFonts w:ascii="Times New Roman" w:hAnsi="Times New Roman" w:eastAsia="Times New Roman" w:cs="Times New Roman"/>
                <w:i/>
                <w:iCs/>
                <w:spacing w:val="-3"/>
              </w:rPr>
              <w:t>contortus</w:t>
            </w:r>
            <w:r>
              <w:rPr>
                <w:rFonts w:ascii="Times New Roman" w:hAnsi="Times New Roman" w:eastAsia="Times New Roman" w:cs="Times New Roman"/>
                <w:i/>
                <w:iCs/>
                <w:spacing w:val="24"/>
              </w:rPr>
              <w:t xml:space="preserve"> </w:t>
            </w:r>
            <w:r>
              <w:rPr>
                <w:spacing w:val="-3"/>
              </w:rPr>
              <w:t>、 白</w:t>
            </w:r>
            <w:r>
              <w:rPr>
                <w:spacing w:val="-53"/>
              </w:rPr>
              <w:t xml:space="preserve"> </w:t>
            </w:r>
            <w:r>
              <w:rPr>
                <w:spacing w:val="-3"/>
              </w:rPr>
              <w:t xml:space="preserve">茅 </w:t>
            </w:r>
            <w:r>
              <w:rPr>
                <w:rFonts w:ascii="Times New Roman" w:hAnsi="Times New Roman" w:eastAsia="Times New Roman" w:cs="Times New Roman"/>
                <w:i/>
                <w:iCs/>
                <w:spacing w:val="-3"/>
              </w:rPr>
              <w:t>Imperata  cylindrica</w:t>
            </w:r>
            <w:r>
              <w:rPr>
                <w:rFonts w:ascii="Times New Roman" w:hAnsi="Times New Roman" w:eastAsia="Times New Roman" w:cs="Times New Roman"/>
                <w:i/>
                <w:iCs/>
                <w:spacing w:val="23"/>
                <w:w w:val="101"/>
              </w:rPr>
              <w:t xml:space="preserve"> </w:t>
            </w:r>
            <w:r>
              <w:rPr>
                <w:spacing w:val="-3"/>
              </w:rPr>
              <w:t>、</w:t>
            </w:r>
            <w:r>
              <w:rPr>
                <w:spacing w:val="-52"/>
              </w:rPr>
              <w:t xml:space="preserve"> </w:t>
            </w:r>
            <w:r>
              <w:rPr>
                <w:spacing w:val="-3"/>
              </w:rPr>
              <w:t>两</w:t>
            </w:r>
            <w:r>
              <w:rPr>
                <w:spacing w:val="-49"/>
              </w:rPr>
              <w:t xml:space="preserve"> </w:t>
            </w:r>
            <w:r>
              <w:rPr>
                <w:spacing w:val="-3"/>
              </w:rPr>
              <w:t>头</w:t>
            </w:r>
            <w:r>
              <w:rPr>
                <w:spacing w:val="-52"/>
              </w:rPr>
              <w:t xml:space="preserve"> </w:t>
            </w:r>
            <w:r>
              <w:rPr>
                <w:spacing w:val="-3"/>
              </w:rPr>
              <w:t xml:space="preserve">毛 </w:t>
            </w:r>
            <w:r>
              <w:rPr>
                <w:rFonts w:ascii="Times New Roman" w:hAnsi="Times New Roman" w:eastAsia="Times New Roman" w:cs="Times New Roman"/>
                <w:i/>
                <w:iCs/>
                <w:spacing w:val="-3"/>
              </w:rPr>
              <w:t>Incarvillea  argut</w:t>
            </w:r>
            <w:r>
              <w:rPr>
                <w:rFonts w:ascii="Times New Roman" w:hAnsi="Times New Roman" w:eastAsia="Times New Roman" w:cs="Times New Roman"/>
                <w:i/>
                <w:iCs/>
                <w:spacing w:val="-4"/>
              </w:rPr>
              <w:t>a</w:t>
            </w:r>
            <w:r>
              <w:rPr>
                <w:rFonts w:ascii="Times New Roman" w:hAnsi="Times New Roman" w:eastAsia="Times New Roman" w:cs="Times New Roman"/>
                <w:i/>
                <w:iCs/>
                <w:spacing w:val="22"/>
                <w:w w:val="101"/>
              </w:rPr>
              <w:t xml:space="preserve"> </w:t>
            </w:r>
            <w:r>
              <w:rPr>
                <w:i/>
                <w:iCs/>
                <w:spacing w:val="-4"/>
                <w:sz w:val="25"/>
                <w:szCs w:val="25"/>
              </w:rPr>
              <w:t>、</w:t>
            </w:r>
            <w:r>
              <w:rPr>
                <w:spacing w:val="-4"/>
              </w:rPr>
              <w:t>倒</w:t>
            </w:r>
            <w:r>
              <w:rPr>
                <w:spacing w:val="-52"/>
              </w:rPr>
              <w:t xml:space="preserve"> </w:t>
            </w:r>
            <w:r>
              <w:rPr>
                <w:spacing w:val="-4"/>
              </w:rPr>
              <w:t>提</w:t>
            </w:r>
            <w:r>
              <w:rPr>
                <w:spacing w:val="-50"/>
              </w:rPr>
              <w:t xml:space="preserve"> </w:t>
            </w:r>
            <w:r>
              <w:rPr>
                <w:spacing w:val="-4"/>
              </w:rPr>
              <w:t>壶</w:t>
            </w:r>
            <w:r>
              <w:t xml:space="preserve"> </w:t>
            </w:r>
            <w:r>
              <w:rPr>
                <w:rFonts w:ascii="Times New Roman" w:hAnsi="Times New Roman" w:eastAsia="Times New Roman" w:cs="Times New Roman"/>
                <w:i/>
                <w:iCs/>
                <w:spacing w:val="-1"/>
              </w:rPr>
              <w:t>Cynoglossum amabile</w:t>
            </w:r>
            <w:r>
              <w:rPr>
                <w:rFonts w:ascii="Times New Roman" w:hAnsi="Times New Roman" w:eastAsia="Times New Roman" w:cs="Times New Roman"/>
                <w:i/>
                <w:iCs/>
                <w:spacing w:val="-24"/>
              </w:rPr>
              <w:t xml:space="preserve"> </w:t>
            </w:r>
            <w:r>
              <w:rPr>
                <w:i/>
                <w:iCs/>
                <w:spacing w:val="-1"/>
                <w:sz w:val="25"/>
                <w:szCs w:val="25"/>
              </w:rPr>
              <w:t>、</w:t>
            </w:r>
            <w:r>
              <w:rPr>
                <w:spacing w:val="-1"/>
              </w:rPr>
              <w:t>鬼针草</w:t>
            </w:r>
            <w:r>
              <w:rPr>
                <w:spacing w:val="-65"/>
              </w:rPr>
              <w:t xml:space="preserve"> </w:t>
            </w:r>
            <w:r>
              <w:rPr>
                <w:rFonts w:ascii="Times New Roman" w:hAnsi="Times New Roman" w:eastAsia="Times New Roman" w:cs="Times New Roman"/>
                <w:i/>
                <w:iCs/>
                <w:spacing w:val="-1"/>
              </w:rPr>
              <w:t>Bidens</w:t>
            </w:r>
            <w:r>
              <w:rPr>
                <w:rFonts w:ascii="Times New Roman" w:hAnsi="Times New Roman" w:eastAsia="Times New Roman" w:cs="Times New Roman"/>
                <w:i/>
                <w:iCs/>
                <w:spacing w:val="-26"/>
              </w:rPr>
              <w:t xml:space="preserve"> </w:t>
            </w:r>
            <w:r>
              <w:rPr>
                <w:rFonts w:ascii="Times New Roman" w:hAnsi="Times New Roman" w:eastAsia="Times New Roman" w:cs="Times New Roman"/>
                <w:i/>
                <w:iCs/>
                <w:spacing w:val="-1"/>
              </w:rPr>
              <w:t>pilosa</w:t>
            </w:r>
            <w:r>
              <w:rPr>
                <w:spacing w:val="-1"/>
              </w:rPr>
              <w:t>、白莲蒿</w:t>
            </w:r>
            <w:r>
              <w:rPr>
                <w:spacing w:val="-71"/>
              </w:rPr>
              <w:t xml:space="preserve"> </w:t>
            </w:r>
            <w:r>
              <w:rPr>
                <w:rFonts w:ascii="Times New Roman" w:hAnsi="Times New Roman" w:eastAsia="Times New Roman" w:cs="Times New Roman"/>
                <w:i/>
                <w:iCs/>
                <w:spacing w:val="-1"/>
              </w:rPr>
              <w:t>Artemisia gmelinii</w:t>
            </w:r>
            <w:r>
              <w:rPr>
                <w:rFonts w:ascii="Times New Roman" w:hAnsi="Times New Roman" w:eastAsia="Times New Roman" w:cs="Times New Roman"/>
                <w:i/>
                <w:iCs/>
                <w:spacing w:val="-33"/>
              </w:rPr>
              <w:t xml:space="preserve"> </w:t>
            </w:r>
            <w:r>
              <w:rPr>
                <w:spacing w:val="-1"/>
              </w:rPr>
              <w:t>、云南鼠</w:t>
            </w:r>
            <w:r>
              <w:t xml:space="preserve"> 尾草</w:t>
            </w:r>
            <w:r>
              <w:rPr>
                <w:spacing w:val="-58"/>
              </w:rPr>
              <w:t xml:space="preserve"> </w:t>
            </w:r>
            <w:r>
              <w:rPr>
                <w:rFonts w:ascii="Times New Roman" w:hAnsi="Times New Roman" w:eastAsia="Times New Roman" w:cs="Times New Roman"/>
                <w:i/>
                <w:iCs/>
              </w:rPr>
              <w:t>Salvia</w:t>
            </w:r>
            <w:r>
              <w:rPr>
                <w:rFonts w:ascii="Times New Roman" w:hAnsi="Times New Roman" w:eastAsia="Times New Roman" w:cs="Times New Roman"/>
                <w:i/>
                <w:iCs/>
                <w:spacing w:val="-22"/>
              </w:rPr>
              <w:t xml:space="preserve"> </w:t>
            </w:r>
            <w:r>
              <w:rPr>
                <w:rFonts w:ascii="Times New Roman" w:hAnsi="Times New Roman" w:eastAsia="Times New Roman" w:cs="Times New Roman"/>
                <w:i/>
                <w:iCs/>
              </w:rPr>
              <w:t>yunnanensis</w:t>
            </w:r>
            <w:r>
              <w:rPr>
                <w:rFonts w:ascii="Times New Roman" w:hAnsi="Times New Roman" w:eastAsia="Times New Roman" w:cs="Times New Roman"/>
                <w:i/>
                <w:iCs/>
                <w:spacing w:val="-31"/>
              </w:rPr>
              <w:t xml:space="preserve"> </w:t>
            </w:r>
            <w:r>
              <w:rPr>
                <w:spacing w:val="-1"/>
              </w:rPr>
              <w:t>、珊瑚苣苔</w:t>
            </w:r>
            <w:r>
              <w:rPr>
                <w:spacing w:val="-44"/>
              </w:rPr>
              <w:t xml:space="preserve"> </w:t>
            </w:r>
            <w:r>
              <w:rPr>
                <w:rFonts w:ascii="Times New Roman" w:hAnsi="Times New Roman" w:eastAsia="Times New Roman" w:cs="Times New Roman"/>
                <w:i/>
                <w:iCs/>
                <w:spacing w:val="-1"/>
              </w:rPr>
              <w:t xml:space="preserve">Corallodiscus lanuginosus </w:t>
            </w:r>
            <w:r>
              <w:rPr>
                <w:spacing w:val="-1"/>
              </w:rPr>
              <w:t>等。</w:t>
            </w:r>
          </w:p>
          <w:p w14:paraId="436A5FBE">
            <w:pPr>
              <w:pStyle w:val="6"/>
              <w:spacing w:before="69" w:line="345" w:lineRule="auto"/>
              <w:ind w:left="106" w:right="22" w:firstLine="482"/>
              <w:jc w:val="both"/>
              <w:rPr>
                <w:sz w:val="25"/>
                <w:szCs w:val="25"/>
              </w:rPr>
            </w:pPr>
            <w:r>
              <w:rPr>
                <w:spacing w:val="-2"/>
              </w:rPr>
              <w:t>群落中层间植物少，盖度不大，主要有毛茛铁线莲</w:t>
            </w:r>
            <w:r>
              <w:rPr>
                <w:spacing w:val="-44"/>
              </w:rPr>
              <w:t xml:space="preserve"> </w:t>
            </w:r>
            <w:r>
              <w:rPr>
                <w:rFonts w:ascii="Times New Roman" w:hAnsi="Times New Roman" w:eastAsia="Times New Roman" w:cs="Times New Roman"/>
                <w:i/>
                <w:iCs/>
                <w:spacing w:val="-2"/>
              </w:rPr>
              <w:t>Clem</w:t>
            </w:r>
            <w:r>
              <w:rPr>
                <w:rFonts w:ascii="Times New Roman" w:hAnsi="Times New Roman" w:eastAsia="Times New Roman" w:cs="Times New Roman"/>
                <w:i/>
                <w:iCs/>
                <w:spacing w:val="-3"/>
              </w:rPr>
              <w:t>atis ranunculoides</w:t>
            </w:r>
            <w:r>
              <w:rPr>
                <w:spacing w:val="-3"/>
              </w:rPr>
              <w:t>、</w:t>
            </w:r>
            <w:r>
              <w:t xml:space="preserve"> </w:t>
            </w:r>
            <w:r>
              <w:rPr>
                <w:spacing w:val="9"/>
              </w:rPr>
              <w:t>山土瓜</w:t>
            </w:r>
            <w:r>
              <w:rPr>
                <w:spacing w:val="-39"/>
              </w:rPr>
              <w:t xml:space="preserve"> </w:t>
            </w:r>
            <w:r>
              <w:rPr>
                <w:rFonts w:ascii="Times New Roman" w:hAnsi="Times New Roman" w:eastAsia="Times New Roman" w:cs="Times New Roman"/>
                <w:i/>
                <w:iCs/>
              </w:rPr>
              <w:t>Merremia</w:t>
            </w:r>
            <w:r>
              <w:rPr>
                <w:rFonts w:ascii="Times New Roman" w:hAnsi="Times New Roman" w:eastAsia="Times New Roman" w:cs="Times New Roman"/>
                <w:i/>
                <w:iCs/>
                <w:spacing w:val="21"/>
                <w:w w:val="101"/>
              </w:rPr>
              <w:t xml:space="preserve"> </w:t>
            </w:r>
            <w:r>
              <w:rPr>
                <w:rFonts w:ascii="Times New Roman" w:hAnsi="Times New Roman" w:eastAsia="Times New Roman" w:cs="Times New Roman"/>
                <w:i/>
                <w:iCs/>
              </w:rPr>
              <w:t>hungaiensis</w:t>
            </w:r>
            <w:r>
              <w:rPr>
                <w:rFonts w:ascii="Times New Roman" w:hAnsi="Times New Roman" w:eastAsia="Times New Roman" w:cs="Times New Roman"/>
                <w:i/>
                <w:iCs/>
                <w:spacing w:val="-15"/>
              </w:rPr>
              <w:t xml:space="preserve"> </w:t>
            </w:r>
            <w:r>
              <w:rPr>
                <w:spacing w:val="9"/>
              </w:rPr>
              <w:t>、旋花豆</w:t>
            </w:r>
            <w:r>
              <w:rPr>
                <w:spacing w:val="-24"/>
              </w:rPr>
              <w:t xml:space="preserve"> </w:t>
            </w:r>
            <w:r>
              <w:rPr>
                <w:rFonts w:ascii="Times New Roman" w:hAnsi="Times New Roman" w:eastAsia="Times New Roman" w:cs="Times New Roman"/>
                <w:i/>
                <w:iCs/>
              </w:rPr>
              <w:t>Cochlianthus</w:t>
            </w:r>
            <w:r>
              <w:rPr>
                <w:rFonts w:ascii="Times New Roman" w:hAnsi="Times New Roman" w:eastAsia="Times New Roman" w:cs="Times New Roman"/>
                <w:i/>
                <w:iCs/>
                <w:spacing w:val="9"/>
              </w:rPr>
              <w:t xml:space="preserve"> </w:t>
            </w:r>
            <w:r>
              <w:rPr>
                <w:rFonts w:ascii="Times New Roman" w:hAnsi="Times New Roman" w:eastAsia="Times New Roman" w:cs="Times New Roman"/>
                <w:i/>
                <w:iCs/>
              </w:rPr>
              <w:t>gracilis</w:t>
            </w:r>
            <w:r>
              <w:rPr>
                <w:rFonts w:ascii="Times New Roman" w:hAnsi="Times New Roman" w:eastAsia="Times New Roman" w:cs="Times New Roman"/>
                <w:i/>
                <w:iCs/>
                <w:spacing w:val="-15"/>
              </w:rPr>
              <w:t xml:space="preserve"> </w:t>
            </w:r>
            <w:r>
              <w:rPr>
                <w:spacing w:val="9"/>
              </w:rPr>
              <w:t>、钩毛茜草</w:t>
            </w:r>
            <w:r>
              <w:rPr>
                <w:spacing w:val="-43"/>
              </w:rPr>
              <w:t xml:space="preserve"> </w:t>
            </w:r>
            <w:r>
              <w:rPr>
                <w:rFonts w:ascii="Times New Roman" w:hAnsi="Times New Roman" w:eastAsia="Times New Roman" w:cs="Times New Roman"/>
                <w:i/>
                <w:iCs/>
              </w:rPr>
              <w:t xml:space="preserve">Rubia  </w:t>
            </w:r>
            <w:r>
              <w:rPr>
                <w:rFonts w:ascii="Times New Roman" w:hAnsi="Times New Roman" w:eastAsia="Times New Roman" w:cs="Times New Roman"/>
                <w:i/>
                <w:iCs/>
                <w:spacing w:val="-1"/>
              </w:rPr>
              <w:t>oncotricha</w:t>
            </w:r>
            <w:r>
              <w:rPr>
                <w:i/>
                <w:iCs/>
                <w:spacing w:val="-1"/>
                <w:sz w:val="25"/>
                <w:szCs w:val="25"/>
              </w:rPr>
              <w:t>。</w:t>
            </w:r>
          </w:p>
          <w:p w14:paraId="7A4293E0">
            <w:pPr>
              <w:pStyle w:val="6"/>
              <w:spacing w:before="78" w:line="219" w:lineRule="auto"/>
              <w:ind w:left="600"/>
            </w:pPr>
            <w:r>
              <w:rPr>
                <w:spacing w:val="-3"/>
              </w:rPr>
              <w:t>（四）暖温性针叶林</w:t>
            </w:r>
          </w:p>
        </w:tc>
      </w:tr>
    </w:tbl>
    <w:p w14:paraId="73839E4C">
      <w:pPr>
        <w:rPr>
          <w:rFonts w:ascii="Arial"/>
          <w:sz w:val="21"/>
        </w:rPr>
      </w:pPr>
    </w:p>
    <w:p w14:paraId="0311733B">
      <w:pPr>
        <w:rPr>
          <w:rFonts w:ascii="Arial" w:hAnsi="Arial" w:eastAsia="Arial" w:cs="Arial"/>
          <w:sz w:val="21"/>
          <w:szCs w:val="21"/>
        </w:rPr>
        <w:sectPr>
          <w:footerReference r:id="rId88" w:type="default"/>
          <w:pgSz w:w="11906" w:h="16839"/>
          <w:pgMar w:top="1431" w:right="1413" w:bottom="1278" w:left="1413" w:header="0" w:footer="1116" w:gutter="0"/>
          <w:cols w:space="720" w:num="1"/>
        </w:sectPr>
      </w:pPr>
    </w:p>
    <w:p w14:paraId="34D6163C">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7E53C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668" w:type="dxa"/>
            <w:tcBorders>
              <w:right w:val="single" w:color="000000" w:sz="2" w:space="0"/>
            </w:tcBorders>
            <w:vAlign w:val="top"/>
          </w:tcPr>
          <w:p w14:paraId="6C07823E">
            <w:pPr>
              <w:rPr>
                <w:rFonts w:ascii="Arial"/>
                <w:sz w:val="21"/>
              </w:rPr>
            </w:pPr>
          </w:p>
        </w:tc>
        <w:tc>
          <w:tcPr>
            <w:tcW w:w="8396" w:type="dxa"/>
            <w:tcBorders>
              <w:left w:val="single" w:color="000000" w:sz="2" w:space="0"/>
            </w:tcBorders>
            <w:vAlign w:val="top"/>
          </w:tcPr>
          <w:p w14:paraId="65C3A37F">
            <w:pPr>
              <w:pStyle w:val="6"/>
              <w:spacing w:before="41" w:line="217" w:lineRule="auto"/>
              <w:ind w:left="588"/>
            </w:pPr>
            <w:r>
              <w:rPr>
                <w:spacing w:val="-2"/>
              </w:rPr>
              <w:t>①云南松群落</w:t>
            </w:r>
          </w:p>
          <w:p w14:paraId="1EBD723F">
            <w:pPr>
              <w:pStyle w:val="6"/>
              <w:spacing w:before="181" w:line="345" w:lineRule="auto"/>
              <w:ind w:left="109" w:right="109" w:firstLine="502"/>
            </w:pPr>
            <w:r>
              <w:rPr>
                <w:spacing w:val="-11"/>
              </w:rPr>
              <w:t>云</w:t>
            </w:r>
            <w:r>
              <w:rPr>
                <w:spacing w:val="-48"/>
              </w:rPr>
              <w:t xml:space="preserve"> </w:t>
            </w:r>
            <w:r>
              <w:rPr>
                <w:spacing w:val="-11"/>
              </w:rPr>
              <w:t>南</w:t>
            </w:r>
            <w:r>
              <w:rPr>
                <w:spacing w:val="-67"/>
              </w:rPr>
              <w:t xml:space="preserve"> </w:t>
            </w:r>
            <w:r>
              <w:rPr>
                <w:spacing w:val="-11"/>
              </w:rPr>
              <w:t>松</w:t>
            </w:r>
            <w:r>
              <w:rPr>
                <w:spacing w:val="-70"/>
              </w:rPr>
              <w:t xml:space="preserve"> </w:t>
            </w:r>
            <w:r>
              <w:rPr>
                <w:spacing w:val="-11"/>
              </w:rPr>
              <w:t>群</w:t>
            </w:r>
            <w:r>
              <w:rPr>
                <w:spacing w:val="-68"/>
              </w:rPr>
              <w:t xml:space="preserve"> </w:t>
            </w:r>
            <w:r>
              <w:rPr>
                <w:spacing w:val="-11"/>
              </w:rPr>
              <w:t>落</w:t>
            </w:r>
            <w:r>
              <w:rPr>
                <w:spacing w:val="-71"/>
              </w:rPr>
              <w:t xml:space="preserve"> </w:t>
            </w:r>
            <w:r>
              <w:rPr>
                <w:spacing w:val="-11"/>
              </w:rPr>
              <w:t>在</w:t>
            </w:r>
            <w:r>
              <w:rPr>
                <w:spacing w:val="-70"/>
              </w:rPr>
              <w:t xml:space="preserve"> </w:t>
            </w:r>
            <w:r>
              <w:rPr>
                <w:spacing w:val="-11"/>
              </w:rPr>
              <w:t>评</w:t>
            </w:r>
            <w:r>
              <w:rPr>
                <w:spacing w:val="-67"/>
              </w:rPr>
              <w:t xml:space="preserve"> </w:t>
            </w:r>
            <w:r>
              <w:rPr>
                <w:spacing w:val="-11"/>
              </w:rPr>
              <w:t>价</w:t>
            </w:r>
            <w:r>
              <w:rPr>
                <w:spacing w:val="-52"/>
              </w:rPr>
              <w:t xml:space="preserve"> </w:t>
            </w:r>
            <w:r>
              <w:rPr>
                <w:spacing w:val="-11"/>
              </w:rPr>
              <w:t>区</w:t>
            </w:r>
            <w:r>
              <w:rPr>
                <w:spacing w:val="-67"/>
              </w:rPr>
              <w:t xml:space="preserve"> </w:t>
            </w:r>
            <w:r>
              <w:rPr>
                <w:spacing w:val="-11"/>
              </w:rPr>
              <w:t>各</w:t>
            </w:r>
            <w:r>
              <w:rPr>
                <w:spacing w:val="-67"/>
              </w:rPr>
              <w:t xml:space="preserve"> </w:t>
            </w:r>
            <w:r>
              <w:rPr>
                <w:spacing w:val="-11"/>
              </w:rPr>
              <w:t>地</w:t>
            </w:r>
            <w:r>
              <w:rPr>
                <w:spacing w:val="-70"/>
              </w:rPr>
              <w:t xml:space="preserve"> </w:t>
            </w:r>
            <w:r>
              <w:rPr>
                <w:spacing w:val="-11"/>
              </w:rPr>
              <w:t>广</w:t>
            </w:r>
            <w:r>
              <w:rPr>
                <w:spacing w:val="-70"/>
              </w:rPr>
              <w:t xml:space="preserve"> </w:t>
            </w:r>
            <w:r>
              <w:rPr>
                <w:spacing w:val="-11"/>
              </w:rPr>
              <w:t>泛</w:t>
            </w:r>
            <w:r>
              <w:rPr>
                <w:spacing w:val="-65"/>
              </w:rPr>
              <w:t xml:space="preserve"> </w:t>
            </w:r>
            <w:r>
              <w:rPr>
                <w:spacing w:val="-11"/>
              </w:rPr>
              <w:t>分</w:t>
            </w:r>
            <w:r>
              <w:rPr>
                <w:spacing w:val="-69"/>
              </w:rPr>
              <w:t xml:space="preserve"> </w:t>
            </w:r>
            <w:r>
              <w:rPr>
                <w:spacing w:val="-11"/>
              </w:rPr>
              <w:t>布</w:t>
            </w:r>
            <w:r>
              <w:rPr>
                <w:spacing w:val="-48"/>
              </w:rPr>
              <w:t xml:space="preserve"> </w:t>
            </w:r>
            <w:r>
              <w:rPr>
                <w:spacing w:val="-11"/>
              </w:rPr>
              <w:t>，</w:t>
            </w:r>
            <w:r>
              <w:rPr>
                <w:spacing w:val="-70"/>
              </w:rPr>
              <w:t xml:space="preserve"> </w:t>
            </w:r>
            <w:r>
              <w:rPr>
                <w:spacing w:val="-11"/>
              </w:rPr>
              <w:t>群</w:t>
            </w:r>
            <w:r>
              <w:rPr>
                <w:spacing w:val="-68"/>
              </w:rPr>
              <w:t xml:space="preserve"> </w:t>
            </w:r>
            <w:r>
              <w:rPr>
                <w:spacing w:val="-11"/>
              </w:rPr>
              <w:t>落</w:t>
            </w:r>
            <w:r>
              <w:rPr>
                <w:spacing w:val="-61"/>
              </w:rPr>
              <w:t xml:space="preserve"> </w:t>
            </w:r>
            <w:r>
              <w:rPr>
                <w:spacing w:val="-11"/>
              </w:rPr>
              <w:t>高</w:t>
            </w:r>
            <w:r>
              <w:rPr>
                <w:spacing w:val="-71"/>
              </w:rPr>
              <w:t xml:space="preserve"> </w:t>
            </w:r>
            <w:r>
              <w:rPr>
                <w:spacing w:val="-11"/>
              </w:rPr>
              <w:t>度</w:t>
            </w:r>
            <w:r>
              <w:rPr>
                <w:spacing w:val="-64"/>
              </w:rPr>
              <w:t xml:space="preserve"> </w:t>
            </w:r>
            <w:r>
              <w:rPr>
                <w:spacing w:val="-11"/>
              </w:rPr>
              <w:t>约</w:t>
            </w:r>
            <w:r>
              <w:rPr>
                <w:spacing w:val="-62"/>
              </w:rPr>
              <w:t xml:space="preserve"> </w:t>
            </w:r>
            <w:r>
              <w:rPr>
                <w:rFonts w:ascii="Times New Roman" w:hAnsi="Times New Roman" w:eastAsia="Times New Roman" w:cs="Times New Roman"/>
                <w:spacing w:val="-11"/>
              </w:rPr>
              <w:t xml:space="preserve">8-14m </w:t>
            </w:r>
            <w:r>
              <w:rPr>
                <w:spacing w:val="-11"/>
              </w:rPr>
              <w:t>，</w:t>
            </w:r>
            <w:r>
              <w:rPr>
                <w:spacing w:val="-61"/>
              </w:rPr>
              <w:t xml:space="preserve"> </w:t>
            </w:r>
            <w:r>
              <w:rPr>
                <w:spacing w:val="-11"/>
              </w:rPr>
              <w:t>总</w:t>
            </w:r>
            <w:r>
              <w:rPr>
                <w:spacing w:val="-69"/>
              </w:rPr>
              <w:t xml:space="preserve"> </w:t>
            </w:r>
            <w:r>
              <w:rPr>
                <w:spacing w:val="-11"/>
              </w:rPr>
              <w:t>盖</w:t>
            </w:r>
            <w:r>
              <w:rPr>
                <w:spacing w:val="-68"/>
              </w:rPr>
              <w:t xml:space="preserve"> </w:t>
            </w:r>
            <w:r>
              <w:rPr>
                <w:spacing w:val="-11"/>
              </w:rPr>
              <w:t>度</w:t>
            </w:r>
            <w:r>
              <w:t xml:space="preserve"> </w:t>
            </w:r>
            <w:r>
              <w:rPr>
                <w:rFonts w:ascii="Times New Roman" w:hAnsi="Times New Roman" w:eastAsia="Times New Roman" w:cs="Times New Roman"/>
                <w:spacing w:val="3"/>
              </w:rPr>
              <w:t>30%~70%</w:t>
            </w:r>
            <w:r>
              <w:rPr>
                <w:rFonts w:ascii="Times New Roman" w:hAnsi="Times New Roman" w:eastAsia="Times New Roman" w:cs="Times New Roman"/>
                <w:spacing w:val="-7"/>
              </w:rPr>
              <w:t xml:space="preserve"> </w:t>
            </w:r>
            <w:r>
              <w:rPr>
                <w:spacing w:val="3"/>
              </w:rPr>
              <w:t>，分为乔木层、灌木层和草本层。</w:t>
            </w:r>
          </w:p>
          <w:p w14:paraId="341F2244">
            <w:pPr>
              <w:pStyle w:val="6"/>
              <w:spacing w:before="37" w:line="218" w:lineRule="auto"/>
              <w:ind w:left="595"/>
            </w:pPr>
            <w:r>
              <w:rPr>
                <w:spacing w:val="-1"/>
              </w:rPr>
              <w:t>云南松林属评价区分布面积最大且最广的一个群系类型。</w:t>
            </w:r>
          </w:p>
          <w:p w14:paraId="7FC8B204">
            <w:pPr>
              <w:pStyle w:val="6"/>
              <w:spacing w:before="184" w:line="328" w:lineRule="auto"/>
              <w:ind w:left="110" w:right="22" w:firstLine="480"/>
            </w:pPr>
            <w:r>
              <w:rPr>
                <w:spacing w:val="1"/>
              </w:rPr>
              <w:t>乔木层盖度</w:t>
            </w:r>
            <w:r>
              <w:rPr>
                <w:spacing w:val="-31"/>
              </w:rPr>
              <w:t xml:space="preserve"> </w:t>
            </w:r>
            <w:r>
              <w:rPr>
                <w:rFonts w:ascii="Times New Roman" w:hAnsi="Times New Roman" w:eastAsia="Times New Roman" w:cs="Times New Roman"/>
                <w:spacing w:val="1"/>
              </w:rPr>
              <w:t>30%~55%</w:t>
            </w:r>
            <w:r>
              <w:rPr>
                <w:rFonts w:ascii="Times New Roman" w:hAnsi="Times New Roman" w:eastAsia="Times New Roman" w:cs="Times New Roman"/>
                <w:spacing w:val="-24"/>
              </w:rPr>
              <w:t xml:space="preserve"> </w:t>
            </w:r>
            <w:r>
              <w:rPr>
                <w:spacing w:val="1"/>
              </w:rPr>
              <w:t>，主要以云南松</w:t>
            </w:r>
            <w:r>
              <w:rPr>
                <w:spacing w:val="-61"/>
              </w:rPr>
              <w:t xml:space="preserve"> </w:t>
            </w:r>
            <w:r>
              <w:rPr>
                <w:rFonts w:ascii="Times New Roman" w:hAnsi="Times New Roman" w:eastAsia="Times New Roman" w:cs="Times New Roman"/>
                <w:i/>
                <w:iCs/>
              </w:rPr>
              <w:t>Pinus</w:t>
            </w:r>
            <w:r>
              <w:rPr>
                <w:rFonts w:ascii="Times New Roman" w:hAnsi="Times New Roman" w:eastAsia="Times New Roman" w:cs="Times New Roman"/>
                <w:i/>
                <w:iCs/>
                <w:spacing w:val="-14"/>
              </w:rPr>
              <w:t xml:space="preserve"> </w:t>
            </w:r>
            <w:r>
              <w:rPr>
                <w:rFonts w:ascii="Times New Roman" w:hAnsi="Times New Roman" w:eastAsia="Times New Roman" w:cs="Times New Roman"/>
                <w:i/>
                <w:iCs/>
              </w:rPr>
              <w:t>ymnnanensis</w:t>
            </w:r>
            <w:r>
              <w:rPr>
                <w:rFonts w:ascii="Times New Roman" w:hAnsi="Times New Roman" w:eastAsia="Times New Roman" w:cs="Times New Roman"/>
                <w:i/>
                <w:iCs/>
                <w:spacing w:val="20"/>
              </w:rPr>
              <w:t xml:space="preserve"> </w:t>
            </w:r>
            <w:r>
              <w:rPr>
                <w:spacing w:val="1"/>
              </w:rPr>
              <w:t>为主，另外还有</w:t>
            </w:r>
            <w:r>
              <w:t xml:space="preserve"> 少量的华山松</w:t>
            </w:r>
            <w:r>
              <w:rPr>
                <w:spacing w:val="-44"/>
              </w:rPr>
              <w:t xml:space="preserve"> </w:t>
            </w:r>
            <w:r>
              <w:rPr>
                <w:rFonts w:ascii="Times New Roman" w:hAnsi="Times New Roman" w:eastAsia="Times New Roman" w:cs="Times New Roman"/>
                <w:i/>
                <w:iCs/>
              </w:rPr>
              <w:t>Pinusarmandii</w:t>
            </w:r>
            <w:r>
              <w:rPr>
                <w:i/>
                <w:iCs/>
                <w:sz w:val="25"/>
                <w:szCs w:val="25"/>
              </w:rPr>
              <w:t>、</w:t>
            </w:r>
            <w:r>
              <w:t>栓皮栎</w:t>
            </w:r>
            <w:r>
              <w:rPr>
                <w:spacing w:val="-52"/>
              </w:rPr>
              <w:t xml:space="preserve"> </w:t>
            </w:r>
            <w:r>
              <w:rPr>
                <w:rFonts w:ascii="Times New Roman" w:hAnsi="Times New Roman" w:eastAsia="Times New Roman" w:cs="Times New Roman"/>
              </w:rPr>
              <w:t>Q</w:t>
            </w:r>
            <w:r>
              <w:rPr>
                <w:rFonts w:ascii="Times New Roman" w:hAnsi="Times New Roman" w:eastAsia="Times New Roman" w:cs="Times New Roman"/>
                <w:i/>
                <w:iCs/>
              </w:rPr>
              <w:t>uercus va</w:t>
            </w:r>
            <w:r>
              <w:rPr>
                <w:rFonts w:ascii="Times New Roman" w:hAnsi="Times New Roman" w:eastAsia="Times New Roman" w:cs="Times New Roman"/>
                <w:i/>
                <w:iCs/>
                <w:spacing w:val="-1"/>
              </w:rPr>
              <w:t>riabilis</w:t>
            </w:r>
            <w:r>
              <w:rPr>
                <w:spacing w:val="-1"/>
              </w:rPr>
              <w:t>、槲栎</w:t>
            </w:r>
            <w:r>
              <w:rPr>
                <w:spacing w:val="-49"/>
              </w:rPr>
              <w:t xml:space="preserve"> </w:t>
            </w:r>
            <w:r>
              <w:rPr>
                <w:rFonts w:ascii="Times New Roman" w:hAnsi="Times New Roman" w:eastAsia="Times New Roman" w:cs="Times New Roman"/>
                <w:i/>
                <w:iCs/>
                <w:spacing w:val="-1"/>
              </w:rPr>
              <w:t>Quercus aliena</w:t>
            </w:r>
            <w:r>
              <w:rPr>
                <w:spacing w:val="-1"/>
              </w:rPr>
              <w:t>、</w:t>
            </w:r>
            <w:r>
              <w:t xml:space="preserve"> 尼泊尔桤木</w:t>
            </w:r>
            <w:r>
              <w:rPr>
                <w:spacing w:val="-71"/>
              </w:rPr>
              <w:t xml:space="preserve"> </w:t>
            </w:r>
            <w:r>
              <w:rPr>
                <w:rFonts w:ascii="Times New Roman" w:hAnsi="Times New Roman" w:eastAsia="Times New Roman" w:cs="Times New Roman"/>
                <w:i/>
                <w:iCs/>
              </w:rPr>
              <w:t xml:space="preserve">Alnusnepalensis </w:t>
            </w:r>
            <w:r>
              <w:t>等</w:t>
            </w:r>
            <w:r>
              <w:rPr>
                <w:spacing w:val="-1"/>
              </w:rPr>
              <w:t>伴生。</w:t>
            </w:r>
          </w:p>
          <w:p w14:paraId="57DEA838">
            <w:pPr>
              <w:pStyle w:val="6"/>
              <w:spacing w:before="105" w:line="341" w:lineRule="auto"/>
              <w:ind w:left="92" w:right="22" w:firstLine="499"/>
              <w:jc w:val="both"/>
            </w:pPr>
            <w:r>
              <w:rPr>
                <w:spacing w:val="-1"/>
              </w:rPr>
              <w:t>灌木层盖度</w:t>
            </w:r>
            <w:r>
              <w:rPr>
                <w:spacing w:val="-27"/>
              </w:rPr>
              <w:t xml:space="preserve"> </w:t>
            </w:r>
            <w:r>
              <w:rPr>
                <w:rFonts w:ascii="Times New Roman" w:hAnsi="Times New Roman" w:eastAsia="Times New Roman" w:cs="Times New Roman"/>
                <w:spacing w:val="-1"/>
              </w:rPr>
              <w:t>15%~40%</w:t>
            </w:r>
            <w:r>
              <w:rPr>
                <w:rFonts w:ascii="Times New Roman" w:hAnsi="Times New Roman" w:eastAsia="Times New Roman" w:cs="Times New Roman"/>
                <w:spacing w:val="-26"/>
              </w:rPr>
              <w:t xml:space="preserve"> </w:t>
            </w:r>
            <w:r>
              <w:rPr>
                <w:spacing w:val="-1"/>
              </w:rPr>
              <w:t>，乔木幼树较多，有云南松</w:t>
            </w:r>
            <w:r>
              <w:rPr>
                <w:spacing w:val="-63"/>
              </w:rPr>
              <w:t xml:space="preserve"> </w:t>
            </w:r>
            <w:r>
              <w:rPr>
                <w:rFonts w:ascii="Times New Roman" w:hAnsi="Times New Roman" w:eastAsia="Times New Roman" w:cs="Times New Roman"/>
                <w:i/>
                <w:iCs/>
                <w:spacing w:val="-1"/>
              </w:rPr>
              <w:t>Pinus</w:t>
            </w:r>
            <w:r>
              <w:rPr>
                <w:rFonts w:ascii="Times New Roman" w:hAnsi="Times New Roman" w:eastAsia="Times New Roman" w:cs="Times New Roman"/>
                <w:i/>
                <w:iCs/>
                <w:spacing w:val="-19"/>
              </w:rPr>
              <w:t xml:space="preserve"> </w:t>
            </w:r>
            <w:r>
              <w:rPr>
                <w:rFonts w:ascii="Times New Roman" w:hAnsi="Times New Roman" w:eastAsia="Times New Roman" w:cs="Times New Roman"/>
                <w:i/>
                <w:iCs/>
                <w:spacing w:val="-1"/>
              </w:rPr>
              <w:t>ymnanensis</w:t>
            </w:r>
            <w:r>
              <w:rPr>
                <w:rFonts w:ascii="Times New Roman" w:hAnsi="Times New Roman" w:eastAsia="Times New Roman" w:cs="Times New Roman"/>
                <w:i/>
                <w:iCs/>
                <w:spacing w:val="-29"/>
              </w:rPr>
              <w:t xml:space="preserve"> </w:t>
            </w:r>
            <w:r>
              <w:rPr>
                <w:spacing w:val="-1"/>
              </w:rPr>
              <w:t>、栓皮</w:t>
            </w:r>
            <w:r>
              <w:t xml:space="preserve"> </w:t>
            </w:r>
            <w:r>
              <w:rPr>
                <w:spacing w:val="9"/>
              </w:rPr>
              <w:t>栎</w:t>
            </w:r>
            <w:r>
              <w:rPr>
                <w:spacing w:val="-30"/>
              </w:rPr>
              <w:t xml:space="preserve"> </w:t>
            </w:r>
            <w:r>
              <w:rPr>
                <w:rFonts w:ascii="Times New Roman" w:hAnsi="Times New Roman" w:eastAsia="Times New Roman" w:cs="Times New Roman"/>
                <w:i/>
                <w:iCs/>
              </w:rPr>
              <w:t>Quercus</w:t>
            </w:r>
            <w:r>
              <w:rPr>
                <w:rFonts w:ascii="Times New Roman" w:hAnsi="Times New Roman" w:eastAsia="Times New Roman" w:cs="Times New Roman"/>
                <w:i/>
                <w:iCs/>
                <w:spacing w:val="20"/>
                <w:w w:val="101"/>
              </w:rPr>
              <w:t xml:space="preserve"> </w:t>
            </w:r>
            <w:r>
              <w:rPr>
                <w:rFonts w:ascii="Times New Roman" w:hAnsi="Times New Roman" w:eastAsia="Times New Roman" w:cs="Times New Roman"/>
                <w:i/>
                <w:iCs/>
              </w:rPr>
              <w:t>variabilis</w:t>
            </w:r>
            <w:r>
              <w:rPr>
                <w:rFonts w:ascii="Times New Roman" w:hAnsi="Times New Roman" w:eastAsia="Times New Roman" w:cs="Times New Roman"/>
                <w:i/>
                <w:iCs/>
                <w:spacing w:val="-20"/>
              </w:rPr>
              <w:t xml:space="preserve"> </w:t>
            </w:r>
            <w:r>
              <w:rPr>
                <w:spacing w:val="9"/>
              </w:rPr>
              <w:t>、尼泊尔桤木</w:t>
            </w:r>
            <w:r>
              <w:rPr>
                <w:spacing w:val="-54"/>
              </w:rPr>
              <w:t xml:space="preserve"> </w:t>
            </w:r>
            <w:r>
              <w:rPr>
                <w:rFonts w:ascii="Times New Roman" w:hAnsi="Times New Roman" w:eastAsia="Times New Roman" w:cs="Times New Roman"/>
                <w:i/>
                <w:iCs/>
              </w:rPr>
              <w:t>Alnusnepalensis</w:t>
            </w:r>
            <w:r>
              <w:rPr>
                <w:rFonts w:ascii="Times New Roman" w:hAnsi="Times New Roman" w:eastAsia="Times New Roman" w:cs="Times New Roman"/>
                <w:i/>
                <w:iCs/>
                <w:spacing w:val="28"/>
              </w:rPr>
              <w:t xml:space="preserve"> </w:t>
            </w:r>
            <w:r>
              <w:rPr>
                <w:spacing w:val="9"/>
              </w:rPr>
              <w:t>等</w:t>
            </w:r>
            <w:r>
              <w:rPr>
                <w:spacing w:val="-70"/>
              </w:rPr>
              <w:t xml:space="preserve"> </w:t>
            </w:r>
            <w:r>
              <w:rPr>
                <w:spacing w:val="9"/>
              </w:rPr>
              <w:t>。真正的灌木有乌鸦果</w:t>
            </w:r>
            <w:r>
              <w:t xml:space="preserve"> </w:t>
            </w:r>
            <w:r>
              <w:rPr>
                <w:rFonts w:ascii="Times New Roman" w:hAnsi="Times New Roman" w:eastAsia="Times New Roman" w:cs="Times New Roman"/>
                <w:i/>
                <w:iCs/>
              </w:rPr>
              <w:t>Vaccinium</w:t>
            </w:r>
            <w:r>
              <w:rPr>
                <w:rFonts w:ascii="Times New Roman" w:hAnsi="Times New Roman" w:eastAsia="Times New Roman" w:cs="Times New Roman"/>
                <w:i/>
                <w:iCs/>
                <w:spacing w:val="-6"/>
              </w:rPr>
              <w:t xml:space="preserve"> </w:t>
            </w:r>
            <w:r>
              <w:rPr>
                <w:rFonts w:ascii="Times New Roman" w:hAnsi="Times New Roman" w:eastAsia="Times New Roman" w:cs="Times New Roman"/>
                <w:i/>
                <w:iCs/>
              </w:rPr>
              <w:t>fagile</w:t>
            </w:r>
            <w:r>
              <w:rPr>
                <w:rFonts w:ascii="Times New Roman" w:hAnsi="Times New Roman" w:eastAsia="Times New Roman" w:cs="Times New Roman"/>
                <w:i/>
                <w:iCs/>
                <w:spacing w:val="-10"/>
              </w:rPr>
              <w:t xml:space="preserve"> </w:t>
            </w:r>
            <w:r>
              <w:rPr>
                <w:spacing w:val="12"/>
              </w:rPr>
              <w:t>、矮杨梅</w:t>
            </w:r>
            <w:r>
              <w:rPr>
                <w:spacing w:val="-44"/>
              </w:rPr>
              <w:t xml:space="preserve"> </w:t>
            </w:r>
            <w:r>
              <w:rPr>
                <w:rFonts w:ascii="Times New Roman" w:hAnsi="Times New Roman" w:eastAsia="Times New Roman" w:cs="Times New Roman"/>
                <w:i/>
                <w:iCs/>
              </w:rPr>
              <w:t>Myica</w:t>
            </w:r>
            <w:r>
              <w:rPr>
                <w:rFonts w:ascii="Times New Roman" w:hAnsi="Times New Roman" w:eastAsia="Times New Roman" w:cs="Times New Roman"/>
                <w:i/>
                <w:iCs/>
                <w:spacing w:val="31"/>
              </w:rPr>
              <w:t xml:space="preserve"> </w:t>
            </w:r>
            <w:r>
              <w:rPr>
                <w:rFonts w:ascii="Times New Roman" w:hAnsi="Times New Roman" w:eastAsia="Times New Roman" w:cs="Times New Roman"/>
                <w:i/>
                <w:iCs/>
              </w:rPr>
              <w:t>nanta</w:t>
            </w:r>
            <w:r>
              <w:rPr>
                <w:rFonts w:ascii="Times New Roman" w:hAnsi="Times New Roman" w:eastAsia="Times New Roman" w:cs="Times New Roman"/>
                <w:i/>
                <w:iCs/>
                <w:spacing w:val="-10"/>
              </w:rPr>
              <w:t xml:space="preserve"> </w:t>
            </w:r>
            <w:r>
              <w:rPr>
                <w:spacing w:val="12"/>
              </w:rPr>
              <w:t>、小</w:t>
            </w:r>
            <w:r>
              <w:rPr>
                <w:spacing w:val="-71"/>
              </w:rPr>
              <w:t xml:space="preserve"> </w:t>
            </w:r>
            <w:r>
              <w:rPr>
                <w:spacing w:val="12"/>
              </w:rPr>
              <w:t>铁</w:t>
            </w:r>
            <w:r>
              <w:rPr>
                <w:spacing w:val="-70"/>
              </w:rPr>
              <w:t xml:space="preserve"> </w:t>
            </w:r>
            <w:r>
              <w:rPr>
                <w:spacing w:val="12"/>
              </w:rPr>
              <w:t>仔</w:t>
            </w:r>
            <w:r>
              <w:rPr>
                <w:spacing w:val="-26"/>
              </w:rPr>
              <w:t xml:space="preserve"> </w:t>
            </w:r>
            <w:r>
              <w:rPr>
                <w:rFonts w:ascii="Times New Roman" w:hAnsi="Times New Roman" w:eastAsia="Times New Roman" w:cs="Times New Roman"/>
                <w:i/>
                <w:iCs/>
              </w:rPr>
              <w:t>Msineaficana</w:t>
            </w:r>
            <w:r>
              <w:rPr>
                <w:rFonts w:ascii="Times New Roman" w:hAnsi="Times New Roman" w:eastAsia="Times New Roman" w:cs="Times New Roman"/>
                <w:i/>
                <w:iCs/>
                <w:spacing w:val="12"/>
              </w:rPr>
              <w:t xml:space="preserve"> </w:t>
            </w:r>
            <w:r>
              <w:rPr>
                <w:spacing w:val="12"/>
              </w:rPr>
              <w:t>、</w:t>
            </w:r>
            <w:r>
              <w:rPr>
                <w:spacing w:val="-70"/>
              </w:rPr>
              <w:t xml:space="preserve"> </w:t>
            </w:r>
            <w:r>
              <w:rPr>
                <w:spacing w:val="12"/>
              </w:rPr>
              <w:t>凹叶山蚂蝗</w:t>
            </w:r>
            <w:r>
              <w:t xml:space="preserve"> </w:t>
            </w:r>
            <w:r>
              <w:rPr>
                <w:rFonts w:ascii="Times New Roman" w:hAnsi="Times New Roman" w:eastAsia="Times New Roman" w:cs="Times New Roman"/>
                <w:i/>
                <w:iCs/>
                <w:spacing w:val="-1"/>
              </w:rPr>
              <w:t>Desmodium concinnum</w:t>
            </w:r>
            <w:r>
              <w:rPr>
                <w:rFonts w:ascii="Times New Roman" w:hAnsi="Times New Roman" w:eastAsia="Times New Roman" w:cs="Times New Roman"/>
                <w:i/>
                <w:iCs/>
                <w:spacing w:val="-32"/>
              </w:rPr>
              <w:t xml:space="preserve"> </w:t>
            </w:r>
            <w:r>
              <w:rPr>
                <w:spacing w:val="-1"/>
              </w:rPr>
              <w:t>、西南栒子</w:t>
            </w:r>
            <w:r>
              <w:rPr>
                <w:spacing w:val="-44"/>
              </w:rPr>
              <w:t xml:space="preserve"> </w:t>
            </w:r>
            <w:r>
              <w:rPr>
                <w:rFonts w:ascii="Times New Roman" w:hAnsi="Times New Roman" w:eastAsia="Times New Roman" w:cs="Times New Roman"/>
                <w:i/>
                <w:iCs/>
                <w:spacing w:val="-1"/>
              </w:rPr>
              <w:t>Cotoneaster</w:t>
            </w:r>
            <w:r>
              <w:rPr>
                <w:rFonts w:ascii="Times New Roman" w:hAnsi="Times New Roman" w:eastAsia="Times New Roman" w:cs="Times New Roman"/>
                <w:i/>
                <w:iCs/>
                <w:spacing w:val="-45"/>
              </w:rPr>
              <w:t xml:space="preserve"> </w:t>
            </w:r>
            <w:r>
              <w:rPr>
                <w:rFonts w:ascii="Times New Roman" w:hAnsi="Times New Roman" w:eastAsia="Times New Roman" w:cs="Times New Roman"/>
                <w:i/>
                <w:iCs/>
                <w:spacing w:val="-1"/>
              </w:rPr>
              <w:t>franchetii</w:t>
            </w:r>
            <w:r>
              <w:rPr>
                <w:spacing w:val="-1"/>
              </w:rPr>
              <w:t>、茅莓</w:t>
            </w:r>
            <w:r>
              <w:rPr>
                <w:spacing w:val="-65"/>
              </w:rPr>
              <w:t xml:space="preserve"> </w:t>
            </w:r>
            <w:r>
              <w:rPr>
                <w:rFonts w:ascii="Times New Roman" w:hAnsi="Times New Roman" w:eastAsia="Times New Roman" w:cs="Times New Roman"/>
                <w:i/>
                <w:iCs/>
                <w:spacing w:val="-1"/>
              </w:rPr>
              <w:t>Rubusparvifo</w:t>
            </w:r>
            <w:r>
              <w:rPr>
                <w:rFonts w:ascii="Times New Roman" w:hAnsi="Times New Roman" w:eastAsia="Times New Roman" w:cs="Times New Roman"/>
                <w:i/>
                <w:iCs/>
                <w:spacing w:val="-2"/>
              </w:rPr>
              <w:t>lius</w:t>
            </w:r>
            <w:r>
              <w:rPr>
                <w:spacing w:val="-2"/>
              </w:rPr>
              <w:t>、</w:t>
            </w:r>
            <w:r>
              <w:t xml:space="preserve"> </w:t>
            </w:r>
            <w:r>
              <w:rPr>
                <w:spacing w:val="5"/>
              </w:rPr>
              <w:t>火棘</w:t>
            </w:r>
            <w:r>
              <w:rPr>
                <w:spacing w:val="-56"/>
              </w:rPr>
              <w:t xml:space="preserve"> </w:t>
            </w:r>
            <w:r>
              <w:rPr>
                <w:rFonts w:ascii="Times New Roman" w:hAnsi="Times New Roman" w:eastAsia="Times New Roman" w:cs="Times New Roman"/>
                <w:i/>
                <w:iCs/>
              </w:rPr>
              <w:t>Pracantha</w:t>
            </w:r>
            <w:r>
              <w:rPr>
                <w:rFonts w:ascii="Times New Roman" w:hAnsi="Times New Roman" w:eastAsia="Times New Roman" w:cs="Times New Roman"/>
                <w:i/>
                <w:iCs/>
                <w:spacing w:val="-42"/>
              </w:rPr>
              <w:t xml:space="preserve"> </w:t>
            </w:r>
            <w:r>
              <w:rPr>
                <w:rFonts w:ascii="Times New Roman" w:hAnsi="Times New Roman" w:eastAsia="Times New Roman" w:cs="Times New Roman"/>
                <w:i/>
                <w:iCs/>
              </w:rPr>
              <w:t>foruneana</w:t>
            </w:r>
            <w:r>
              <w:rPr>
                <w:spacing w:val="5"/>
              </w:rPr>
              <w:t>、野丁香</w:t>
            </w:r>
            <w:r>
              <w:rPr>
                <w:spacing w:val="-67"/>
              </w:rPr>
              <w:t xml:space="preserve"> </w:t>
            </w:r>
            <w:r>
              <w:rPr>
                <w:rFonts w:ascii="Times New Roman" w:hAnsi="Times New Roman" w:eastAsia="Times New Roman" w:cs="Times New Roman"/>
                <w:i/>
                <w:iCs/>
              </w:rPr>
              <w:t>Leptodermispotanini</w:t>
            </w:r>
            <w:r>
              <w:rPr>
                <w:spacing w:val="5"/>
              </w:rPr>
              <w:t>、地石榴</w:t>
            </w:r>
            <w:r>
              <w:rPr>
                <w:spacing w:val="-66"/>
              </w:rPr>
              <w:t xml:space="preserve"> </w:t>
            </w:r>
            <w:r>
              <w:rPr>
                <w:rFonts w:ascii="Times New Roman" w:hAnsi="Times New Roman" w:eastAsia="Times New Roman" w:cs="Times New Roman"/>
                <w:i/>
                <w:iCs/>
              </w:rPr>
              <w:t>Ficus</w:t>
            </w:r>
            <w:r>
              <w:rPr>
                <w:rFonts w:ascii="Times New Roman" w:hAnsi="Times New Roman" w:eastAsia="Times New Roman" w:cs="Times New Roman"/>
                <w:i/>
                <w:iCs/>
                <w:spacing w:val="5"/>
              </w:rPr>
              <w:t xml:space="preserve"> </w:t>
            </w:r>
            <w:r>
              <w:rPr>
                <w:rFonts w:ascii="Times New Roman" w:hAnsi="Times New Roman" w:eastAsia="Times New Roman" w:cs="Times New Roman"/>
                <w:i/>
                <w:iCs/>
              </w:rPr>
              <w:t>tokoua</w:t>
            </w:r>
            <w:r>
              <w:rPr>
                <w:rFonts w:ascii="Times New Roman" w:hAnsi="Times New Roman" w:eastAsia="Times New Roman" w:cs="Times New Roman"/>
                <w:i/>
                <w:iCs/>
                <w:spacing w:val="5"/>
              </w:rPr>
              <w:t xml:space="preserve"> </w:t>
            </w:r>
            <w:r>
              <w:rPr>
                <w:spacing w:val="5"/>
              </w:rPr>
              <w:t>等</w:t>
            </w:r>
          </w:p>
          <w:p w14:paraId="6443FD4B">
            <w:pPr>
              <w:pStyle w:val="6"/>
              <w:spacing w:before="77" w:line="345" w:lineRule="auto"/>
              <w:ind w:left="93" w:right="22" w:firstLine="497"/>
              <w:jc w:val="both"/>
              <w:rPr>
                <w:rFonts w:ascii="Times New Roman" w:hAnsi="Times New Roman" w:eastAsia="Times New Roman" w:cs="Times New Roman"/>
              </w:rPr>
            </w:pPr>
            <w:r>
              <w:rPr>
                <w:spacing w:val="4"/>
              </w:rPr>
              <w:t>草本层盖度</w:t>
            </w:r>
            <w:r>
              <w:rPr>
                <w:spacing w:val="-24"/>
              </w:rPr>
              <w:t xml:space="preserve"> </w:t>
            </w:r>
            <w:r>
              <w:rPr>
                <w:rFonts w:ascii="Times New Roman" w:hAnsi="Times New Roman" w:eastAsia="Times New Roman" w:cs="Times New Roman"/>
                <w:spacing w:val="4"/>
              </w:rPr>
              <w:t>20%~30%</w:t>
            </w:r>
            <w:r>
              <w:rPr>
                <w:rFonts w:ascii="Times New Roman" w:hAnsi="Times New Roman" w:eastAsia="Times New Roman" w:cs="Times New Roman"/>
                <w:spacing w:val="-10"/>
              </w:rPr>
              <w:t xml:space="preserve"> </w:t>
            </w:r>
            <w:r>
              <w:rPr>
                <w:spacing w:val="4"/>
              </w:rPr>
              <w:t>，主要有白茅</w:t>
            </w:r>
            <w:r>
              <w:rPr>
                <w:spacing w:val="-48"/>
              </w:rPr>
              <w:t xml:space="preserve"> </w:t>
            </w:r>
            <w:r>
              <w:rPr>
                <w:rFonts w:ascii="Times New Roman" w:hAnsi="Times New Roman" w:eastAsia="Times New Roman" w:cs="Times New Roman"/>
                <w:i/>
                <w:iCs/>
              </w:rPr>
              <w:t>Imperata</w:t>
            </w:r>
            <w:r>
              <w:rPr>
                <w:rFonts w:ascii="Times New Roman" w:hAnsi="Times New Roman" w:eastAsia="Times New Roman" w:cs="Times New Roman"/>
                <w:i/>
                <w:iCs/>
                <w:spacing w:val="26"/>
              </w:rPr>
              <w:t xml:space="preserve"> </w:t>
            </w:r>
            <w:r>
              <w:rPr>
                <w:rFonts w:ascii="Times New Roman" w:hAnsi="Times New Roman" w:eastAsia="Times New Roman" w:cs="Times New Roman"/>
                <w:i/>
                <w:iCs/>
              </w:rPr>
              <w:t>cylindrica</w:t>
            </w:r>
            <w:r>
              <w:rPr>
                <w:rFonts w:ascii="Times New Roman" w:hAnsi="Times New Roman" w:eastAsia="Times New Roman" w:cs="Times New Roman"/>
                <w:i/>
                <w:iCs/>
                <w:spacing w:val="24"/>
              </w:rPr>
              <w:t xml:space="preserve"> </w:t>
            </w:r>
            <w:r>
              <w:rPr>
                <w:rFonts w:ascii="Times New Roman" w:hAnsi="Times New Roman" w:eastAsia="Times New Roman" w:cs="Times New Roman"/>
                <w:i/>
                <w:iCs/>
              </w:rPr>
              <w:t>var</w:t>
            </w:r>
            <w:r>
              <w:rPr>
                <w:rFonts w:ascii="Times New Roman" w:hAnsi="Times New Roman" w:eastAsia="Times New Roman" w:cs="Times New Roman"/>
                <w:i/>
                <w:iCs/>
                <w:spacing w:val="4"/>
              </w:rPr>
              <w:t>.</w:t>
            </w:r>
            <w:r>
              <w:rPr>
                <w:rFonts w:ascii="Times New Roman" w:hAnsi="Times New Roman" w:eastAsia="Times New Roman" w:cs="Times New Roman"/>
                <w:i/>
                <w:iCs/>
              </w:rPr>
              <w:t>major</w:t>
            </w:r>
            <w:r>
              <w:rPr>
                <w:rFonts w:ascii="Times New Roman" w:hAnsi="Times New Roman" w:eastAsia="Times New Roman" w:cs="Times New Roman"/>
                <w:i/>
                <w:iCs/>
                <w:spacing w:val="-21"/>
              </w:rPr>
              <w:t xml:space="preserve"> </w:t>
            </w:r>
            <w:r>
              <w:rPr>
                <w:spacing w:val="4"/>
              </w:rPr>
              <w:t>、黄茅</w:t>
            </w:r>
            <w:r>
              <w:t xml:space="preserve"> </w:t>
            </w:r>
            <w:r>
              <w:rPr>
                <w:rFonts w:ascii="Times New Roman" w:hAnsi="Times New Roman" w:eastAsia="Times New Roman" w:cs="Times New Roman"/>
                <w:i/>
                <w:iCs/>
              </w:rPr>
              <w:t>Heteropogon</w:t>
            </w:r>
            <w:r>
              <w:rPr>
                <w:rFonts w:ascii="Times New Roman" w:hAnsi="Times New Roman" w:eastAsia="Times New Roman" w:cs="Times New Roman"/>
                <w:i/>
                <w:iCs/>
                <w:spacing w:val="38"/>
              </w:rPr>
              <w:t xml:space="preserve"> </w:t>
            </w:r>
            <w:r>
              <w:rPr>
                <w:rFonts w:ascii="Times New Roman" w:hAnsi="Times New Roman" w:eastAsia="Times New Roman" w:cs="Times New Roman"/>
                <w:i/>
                <w:iCs/>
              </w:rPr>
              <w:t>contortus</w:t>
            </w:r>
            <w:r>
              <w:rPr>
                <w:rFonts w:ascii="Times New Roman" w:hAnsi="Times New Roman" w:eastAsia="Times New Roman" w:cs="Times New Roman"/>
                <w:i/>
                <w:iCs/>
                <w:spacing w:val="1"/>
              </w:rPr>
              <w:t xml:space="preserve"> </w:t>
            </w:r>
            <w:r>
              <w:rPr>
                <w:spacing w:val="1"/>
              </w:rPr>
              <w:t>、蕨</w:t>
            </w:r>
            <w:r>
              <w:rPr>
                <w:spacing w:val="-42"/>
              </w:rPr>
              <w:t xml:space="preserve"> </w:t>
            </w:r>
            <w:r>
              <w:rPr>
                <w:rFonts w:ascii="Times New Roman" w:hAnsi="Times New Roman" w:eastAsia="Times New Roman" w:cs="Times New Roman"/>
                <w:i/>
                <w:iCs/>
              </w:rPr>
              <w:t>Pteridium</w:t>
            </w:r>
            <w:r>
              <w:rPr>
                <w:rFonts w:ascii="Times New Roman" w:hAnsi="Times New Roman" w:eastAsia="Times New Roman" w:cs="Times New Roman"/>
                <w:i/>
                <w:iCs/>
                <w:spacing w:val="32"/>
              </w:rPr>
              <w:t xml:space="preserve"> </w:t>
            </w:r>
            <w:r>
              <w:rPr>
                <w:rFonts w:ascii="Times New Roman" w:hAnsi="Times New Roman" w:eastAsia="Times New Roman" w:cs="Times New Roman"/>
                <w:i/>
                <w:iCs/>
              </w:rPr>
              <w:t>aquilinum</w:t>
            </w:r>
            <w:r>
              <w:rPr>
                <w:rFonts w:ascii="Times New Roman" w:hAnsi="Times New Roman" w:eastAsia="Times New Roman" w:cs="Times New Roman"/>
                <w:i/>
                <w:iCs/>
                <w:spacing w:val="26"/>
              </w:rPr>
              <w:t xml:space="preserve"> </w:t>
            </w:r>
            <w:r>
              <w:rPr>
                <w:rFonts w:ascii="Times New Roman" w:hAnsi="Times New Roman" w:eastAsia="Times New Roman" w:cs="Times New Roman"/>
                <w:i/>
                <w:iCs/>
              </w:rPr>
              <w:t>var</w:t>
            </w:r>
            <w:r>
              <w:rPr>
                <w:rFonts w:ascii="Times New Roman" w:hAnsi="Times New Roman" w:eastAsia="Times New Roman" w:cs="Times New Roman"/>
                <w:i/>
                <w:iCs/>
                <w:spacing w:val="1"/>
              </w:rPr>
              <w:t xml:space="preserve">. </w:t>
            </w:r>
            <w:r>
              <w:rPr>
                <w:rFonts w:ascii="Times New Roman" w:hAnsi="Times New Roman" w:eastAsia="Times New Roman" w:cs="Times New Roman"/>
                <w:i/>
                <w:iCs/>
              </w:rPr>
              <w:t>Latiusculum</w:t>
            </w:r>
            <w:r>
              <w:rPr>
                <w:rFonts w:ascii="Times New Roman" w:hAnsi="Times New Roman" w:eastAsia="Times New Roman" w:cs="Times New Roman"/>
                <w:i/>
                <w:iCs/>
                <w:spacing w:val="-10"/>
              </w:rPr>
              <w:t xml:space="preserve"> </w:t>
            </w:r>
            <w:r>
              <w:rPr>
                <w:spacing w:val="1"/>
              </w:rPr>
              <w:t>、</w:t>
            </w:r>
            <w:r>
              <w:rPr>
                <w:spacing w:val="-62"/>
              </w:rPr>
              <w:t xml:space="preserve"> </w:t>
            </w:r>
            <w:r>
              <w:rPr>
                <w:spacing w:val="1"/>
              </w:rPr>
              <w:t>中华草沙蚕</w:t>
            </w:r>
            <w:r>
              <w:t xml:space="preserve"> </w:t>
            </w:r>
            <w:r>
              <w:rPr>
                <w:rFonts w:ascii="Times New Roman" w:hAnsi="Times New Roman" w:eastAsia="Times New Roman" w:cs="Times New Roman"/>
                <w:i/>
                <w:iCs/>
                <w:spacing w:val="-2"/>
              </w:rPr>
              <w:t>Tripogon chinensis</w:t>
            </w:r>
            <w:r>
              <w:rPr>
                <w:i/>
                <w:iCs/>
                <w:spacing w:val="-2"/>
                <w:sz w:val="25"/>
                <w:szCs w:val="25"/>
              </w:rPr>
              <w:t>、</w:t>
            </w:r>
            <w:r>
              <w:rPr>
                <w:spacing w:val="-2"/>
              </w:rPr>
              <w:t>西南牡蒿</w:t>
            </w:r>
            <w:r>
              <w:rPr>
                <w:spacing w:val="-72"/>
              </w:rPr>
              <w:t xml:space="preserve"> </w:t>
            </w:r>
            <w:r>
              <w:rPr>
                <w:rFonts w:ascii="Times New Roman" w:hAnsi="Times New Roman" w:eastAsia="Times New Roman" w:cs="Times New Roman"/>
                <w:i/>
                <w:iCs/>
                <w:spacing w:val="-2"/>
              </w:rPr>
              <w:t>Artemisia</w:t>
            </w:r>
            <w:r>
              <w:rPr>
                <w:rFonts w:ascii="Times New Roman" w:hAnsi="Times New Roman" w:eastAsia="Times New Roman" w:cs="Times New Roman"/>
                <w:i/>
                <w:iCs/>
                <w:spacing w:val="-26"/>
              </w:rPr>
              <w:t xml:space="preserve"> </w:t>
            </w:r>
            <w:r>
              <w:rPr>
                <w:rFonts w:ascii="Times New Roman" w:hAnsi="Times New Roman" w:eastAsia="Times New Roman" w:cs="Times New Roman"/>
                <w:i/>
                <w:iCs/>
                <w:spacing w:val="-2"/>
              </w:rPr>
              <w:t>parvi/lora</w:t>
            </w:r>
            <w:r>
              <w:rPr>
                <w:spacing w:val="-2"/>
              </w:rPr>
              <w:t>、风轮菜</w:t>
            </w:r>
            <w:r>
              <w:rPr>
                <w:spacing w:val="-44"/>
              </w:rPr>
              <w:t xml:space="preserve"> </w:t>
            </w:r>
            <w:r>
              <w:rPr>
                <w:rFonts w:ascii="Times New Roman" w:hAnsi="Times New Roman" w:eastAsia="Times New Roman" w:cs="Times New Roman"/>
                <w:i/>
                <w:iCs/>
                <w:spacing w:val="-2"/>
              </w:rPr>
              <w:t>Clinop</w:t>
            </w:r>
            <w:r>
              <w:rPr>
                <w:rFonts w:ascii="Times New Roman" w:hAnsi="Times New Roman" w:eastAsia="Times New Roman" w:cs="Times New Roman"/>
                <w:i/>
                <w:iCs/>
                <w:spacing w:val="-3"/>
              </w:rPr>
              <w:t>odiumchinense</w:t>
            </w:r>
            <w:r>
              <w:rPr>
                <w:spacing w:val="-3"/>
              </w:rPr>
              <w:t>、</w:t>
            </w:r>
            <w:r>
              <w:t xml:space="preserve"> </w:t>
            </w:r>
            <w:r>
              <w:rPr>
                <w:spacing w:val="-1"/>
              </w:rPr>
              <w:t>青绿薹草</w:t>
            </w:r>
            <w:r>
              <w:rPr>
                <w:spacing w:val="-44"/>
              </w:rPr>
              <w:t xml:space="preserve"> </w:t>
            </w:r>
            <w:r>
              <w:rPr>
                <w:rFonts w:ascii="Times New Roman" w:hAnsi="Times New Roman" w:eastAsia="Times New Roman" w:cs="Times New Roman"/>
                <w:i/>
                <w:iCs/>
                <w:spacing w:val="-1"/>
              </w:rPr>
              <w:t>Carex breviculmis</w:t>
            </w:r>
            <w:r>
              <w:rPr>
                <w:rFonts w:ascii="Times New Roman" w:hAnsi="Times New Roman" w:eastAsia="Times New Roman" w:cs="Times New Roman"/>
                <w:i/>
                <w:iCs/>
                <w:spacing w:val="-33"/>
              </w:rPr>
              <w:t xml:space="preserve"> </w:t>
            </w:r>
            <w:r>
              <w:rPr>
                <w:spacing w:val="-1"/>
              </w:rPr>
              <w:t>、香青</w:t>
            </w:r>
            <w:r>
              <w:rPr>
                <w:spacing w:val="-72"/>
              </w:rPr>
              <w:t xml:space="preserve"> </w:t>
            </w:r>
            <w:r>
              <w:rPr>
                <w:rFonts w:ascii="Times New Roman" w:hAnsi="Times New Roman" w:eastAsia="Times New Roman" w:cs="Times New Roman"/>
                <w:i/>
                <w:iCs/>
                <w:spacing w:val="-1"/>
              </w:rPr>
              <w:t>Ana</w:t>
            </w:r>
            <w:r>
              <w:rPr>
                <w:rFonts w:ascii="Times New Roman" w:hAnsi="Times New Roman" w:eastAsia="Times New Roman" w:cs="Times New Roman"/>
                <w:i/>
                <w:iCs/>
                <w:spacing w:val="-2"/>
              </w:rPr>
              <w:t>phalis sinica</w:t>
            </w:r>
            <w:r>
              <w:rPr>
                <w:rFonts w:ascii="Times New Roman" w:hAnsi="Times New Roman" w:eastAsia="Times New Roman" w:cs="Times New Roman"/>
                <w:i/>
                <w:iCs/>
                <w:spacing w:val="-33"/>
              </w:rPr>
              <w:t xml:space="preserve"> </w:t>
            </w:r>
            <w:r>
              <w:rPr>
                <w:spacing w:val="-2"/>
              </w:rPr>
              <w:t>、荩草</w:t>
            </w:r>
            <w:r>
              <w:rPr>
                <w:spacing w:val="-72"/>
              </w:rPr>
              <w:t xml:space="preserve"> </w:t>
            </w:r>
            <w:r>
              <w:rPr>
                <w:rFonts w:ascii="Times New Roman" w:hAnsi="Times New Roman" w:eastAsia="Times New Roman" w:cs="Times New Roman"/>
                <w:i/>
                <w:iCs/>
                <w:spacing w:val="-2"/>
              </w:rPr>
              <w:t>Arhraxon hispidus</w:t>
            </w:r>
            <w:r>
              <w:rPr>
                <w:rFonts w:ascii="Times New Roman" w:hAnsi="Times New Roman" w:eastAsia="Times New Roman" w:cs="Times New Roman"/>
                <w:i/>
                <w:iCs/>
                <w:spacing w:val="-33"/>
              </w:rPr>
              <w:t xml:space="preserve"> </w:t>
            </w:r>
            <w:r>
              <w:rPr>
                <w:spacing w:val="-2"/>
              </w:rPr>
              <w:t>、沿</w:t>
            </w:r>
            <w:r>
              <w:t xml:space="preserve"> </w:t>
            </w:r>
            <w:r>
              <w:rPr>
                <w:spacing w:val="-3"/>
              </w:rPr>
              <w:t>阶 草</w:t>
            </w:r>
            <w:r>
              <w:rPr>
                <w:spacing w:val="44"/>
              </w:rPr>
              <w:t xml:space="preserve"> </w:t>
            </w:r>
            <w:r>
              <w:rPr>
                <w:rFonts w:ascii="Times New Roman" w:hAnsi="Times New Roman" w:eastAsia="Times New Roman" w:cs="Times New Roman"/>
                <w:i/>
                <w:iCs/>
                <w:spacing w:val="-3"/>
              </w:rPr>
              <w:t>Ophiopogon</w:t>
            </w:r>
            <w:r>
              <w:rPr>
                <w:rFonts w:ascii="Times New Roman" w:hAnsi="Times New Roman" w:eastAsia="Times New Roman" w:cs="Times New Roman"/>
                <w:i/>
                <w:iCs/>
                <w:spacing w:val="18"/>
                <w:w w:val="101"/>
              </w:rPr>
              <w:t xml:space="preserve">  </w:t>
            </w:r>
            <w:r>
              <w:rPr>
                <w:rFonts w:ascii="Times New Roman" w:hAnsi="Times New Roman" w:eastAsia="Times New Roman" w:cs="Times New Roman"/>
                <w:i/>
                <w:iCs/>
                <w:spacing w:val="-3"/>
              </w:rPr>
              <w:t>bodinieri</w:t>
            </w:r>
            <w:r>
              <w:rPr>
                <w:rFonts w:ascii="Times New Roman" w:hAnsi="Times New Roman" w:eastAsia="Times New Roman" w:cs="Times New Roman"/>
                <w:i/>
                <w:iCs/>
                <w:spacing w:val="56"/>
              </w:rPr>
              <w:t xml:space="preserve"> </w:t>
            </w:r>
            <w:r>
              <w:rPr>
                <w:spacing w:val="-3"/>
              </w:rPr>
              <w:t>、 西 南</w:t>
            </w:r>
            <w:r>
              <w:rPr>
                <w:spacing w:val="-23"/>
              </w:rPr>
              <w:t xml:space="preserve"> </w:t>
            </w:r>
            <w:r>
              <w:rPr>
                <w:spacing w:val="-4"/>
              </w:rPr>
              <w:t>委 陵</w:t>
            </w:r>
            <w:r>
              <w:rPr>
                <w:spacing w:val="-20"/>
              </w:rPr>
              <w:t xml:space="preserve"> </w:t>
            </w:r>
            <w:r>
              <w:rPr>
                <w:spacing w:val="-4"/>
              </w:rPr>
              <w:t xml:space="preserve">菜 </w:t>
            </w:r>
            <w:r>
              <w:rPr>
                <w:rFonts w:ascii="Times New Roman" w:hAnsi="Times New Roman" w:eastAsia="Times New Roman" w:cs="Times New Roman"/>
                <w:i/>
                <w:iCs/>
                <w:spacing w:val="-4"/>
              </w:rPr>
              <w:t>Potentilla</w:t>
            </w:r>
            <w:r>
              <w:rPr>
                <w:rFonts w:ascii="Times New Roman" w:hAnsi="Times New Roman" w:eastAsia="Times New Roman" w:cs="Times New Roman"/>
                <w:i/>
                <w:iCs/>
                <w:spacing w:val="50"/>
              </w:rPr>
              <w:t xml:space="preserve"> </w:t>
            </w:r>
            <w:r>
              <w:rPr>
                <w:rFonts w:ascii="Times New Roman" w:hAnsi="Times New Roman" w:eastAsia="Times New Roman" w:cs="Times New Roman"/>
                <w:i/>
                <w:iCs/>
                <w:spacing w:val="-4"/>
              </w:rPr>
              <w:t>fidgens</w:t>
            </w:r>
            <w:r>
              <w:rPr>
                <w:rFonts w:ascii="Times New Roman" w:hAnsi="Times New Roman" w:eastAsia="Times New Roman" w:cs="Times New Roman"/>
                <w:i/>
                <w:iCs/>
                <w:spacing w:val="53"/>
              </w:rPr>
              <w:t xml:space="preserve"> </w:t>
            </w:r>
            <w:r>
              <w:rPr>
                <w:spacing w:val="-4"/>
              </w:rPr>
              <w:t>、 细</w:t>
            </w:r>
            <w:r>
              <w:rPr>
                <w:spacing w:val="-22"/>
              </w:rPr>
              <w:t xml:space="preserve"> </w:t>
            </w:r>
            <w:r>
              <w:rPr>
                <w:spacing w:val="-4"/>
              </w:rPr>
              <w:t>柄</w:t>
            </w:r>
            <w:r>
              <w:rPr>
                <w:spacing w:val="-20"/>
              </w:rPr>
              <w:t xml:space="preserve"> </w:t>
            </w:r>
            <w:r>
              <w:rPr>
                <w:spacing w:val="-4"/>
              </w:rPr>
              <w:t>草</w:t>
            </w:r>
            <w:r>
              <w:t xml:space="preserve"> </w:t>
            </w:r>
            <w:r>
              <w:rPr>
                <w:rFonts w:ascii="Times New Roman" w:hAnsi="Times New Roman" w:eastAsia="Times New Roman" w:cs="Times New Roman"/>
                <w:i/>
                <w:iCs/>
                <w:spacing w:val="-3"/>
              </w:rPr>
              <w:t>Capillipediumparviflorum</w:t>
            </w:r>
            <w:r>
              <w:rPr>
                <w:i/>
                <w:iCs/>
                <w:spacing w:val="-3"/>
                <w:sz w:val="25"/>
                <w:szCs w:val="25"/>
              </w:rPr>
              <w:t>、</w:t>
            </w:r>
            <w:r>
              <w:rPr>
                <w:spacing w:val="-3"/>
              </w:rPr>
              <w:t>狗牙根</w:t>
            </w:r>
            <w:r>
              <w:rPr>
                <w:spacing w:val="-70"/>
              </w:rPr>
              <w:t xml:space="preserve"> </w:t>
            </w:r>
            <w:r>
              <w:rPr>
                <w:rFonts w:ascii="Times New Roman" w:hAnsi="Times New Roman" w:eastAsia="Times New Roman" w:cs="Times New Roman"/>
                <w:i/>
                <w:iCs/>
                <w:spacing w:val="-3"/>
              </w:rPr>
              <w:t>Cynodon dacty</w:t>
            </w:r>
            <w:r>
              <w:rPr>
                <w:rFonts w:ascii="Times New Roman" w:hAnsi="Times New Roman" w:eastAsia="Times New Roman" w:cs="Times New Roman"/>
                <w:i/>
                <w:iCs/>
                <w:spacing w:val="-4"/>
              </w:rPr>
              <w:t>lon</w:t>
            </w:r>
            <w:r>
              <w:rPr>
                <w:i/>
                <w:iCs/>
                <w:spacing w:val="-4"/>
                <w:sz w:val="25"/>
                <w:szCs w:val="25"/>
              </w:rPr>
              <w:t>、</w:t>
            </w:r>
            <w:r>
              <w:rPr>
                <w:spacing w:val="-4"/>
              </w:rPr>
              <w:t>滇龙胆草</w:t>
            </w:r>
            <w:r>
              <w:rPr>
                <w:spacing w:val="-67"/>
              </w:rPr>
              <w:t xml:space="preserve"> </w:t>
            </w:r>
            <w:r>
              <w:rPr>
                <w:rFonts w:ascii="Times New Roman" w:hAnsi="Times New Roman" w:eastAsia="Times New Roman" w:cs="Times New Roman"/>
                <w:i/>
                <w:iCs/>
                <w:spacing w:val="-4"/>
              </w:rPr>
              <w:t>Gentiana rigescens</w:t>
            </w:r>
            <w:r>
              <w:rPr>
                <w:rFonts w:ascii="Times New Roman" w:hAnsi="Times New Roman" w:eastAsia="Times New Roman" w:cs="Times New Roman"/>
                <w:i/>
                <w:iCs/>
              </w:rPr>
              <w:t xml:space="preserve">  </w:t>
            </w:r>
            <w:r>
              <w:rPr>
                <w:spacing w:val="1"/>
              </w:rPr>
              <w:t>等，还有入侵植物紫茎泽兰</w:t>
            </w:r>
            <w:r>
              <w:rPr>
                <w:spacing w:val="-69"/>
              </w:rPr>
              <w:t xml:space="preserve"> </w:t>
            </w:r>
            <w:r>
              <w:rPr>
                <w:rFonts w:ascii="Times New Roman" w:hAnsi="Times New Roman" w:eastAsia="Times New Roman" w:cs="Times New Roman"/>
                <w:i/>
                <w:iCs/>
              </w:rPr>
              <w:t>Ageralinaadenophora</w:t>
            </w:r>
            <w:r>
              <w:rPr>
                <w:rFonts w:ascii="Times New Roman" w:hAnsi="Times New Roman" w:eastAsia="Times New Roman" w:cs="Times New Roman"/>
                <w:i/>
                <w:iCs/>
                <w:spacing w:val="1"/>
              </w:rPr>
              <w:t>.</w:t>
            </w:r>
          </w:p>
          <w:p w14:paraId="0ED9D0CB">
            <w:pPr>
              <w:pStyle w:val="6"/>
              <w:spacing w:before="92" w:line="336" w:lineRule="auto"/>
              <w:ind w:left="108" w:right="102" w:firstLine="480"/>
              <w:jc w:val="both"/>
            </w:pPr>
            <w:r>
              <w:t>群落中层间植物少，盖度不大，主要有旋花豆</w:t>
            </w:r>
            <w:r>
              <w:rPr>
                <w:spacing w:val="-44"/>
              </w:rPr>
              <w:t xml:space="preserve"> </w:t>
            </w:r>
            <w:r>
              <w:rPr>
                <w:rFonts w:ascii="Times New Roman" w:hAnsi="Times New Roman" w:eastAsia="Times New Roman" w:cs="Times New Roman"/>
                <w:i/>
                <w:iCs/>
              </w:rPr>
              <w:t>Cochlianthus gracilis</w:t>
            </w:r>
            <w:r>
              <w:rPr>
                <w:rFonts w:ascii="Times New Roman" w:hAnsi="Times New Roman" w:eastAsia="Times New Roman" w:cs="Times New Roman"/>
                <w:i/>
                <w:iCs/>
                <w:spacing w:val="-33"/>
              </w:rPr>
              <w:t xml:space="preserve"> </w:t>
            </w:r>
            <w:r>
              <w:rPr>
                <w:spacing w:val="-1"/>
              </w:rPr>
              <w:t>、千里</w:t>
            </w:r>
            <w:r>
              <w:t xml:space="preserve"> 光</w:t>
            </w:r>
            <w:r>
              <w:rPr>
                <w:spacing w:val="-56"/>
              </w:rPr>
              <w:t xml:space="preserve"> </w:t>
            </w:r>
            <w:r>
              <w:rPr>
                <w:rFonts w:ascii="Times New Roman" w:hAnsi="Times New Roman" w:eastAsia="Times New Roman" w:cs="Times New Roman"/>
                <w:i/>
                <w:iCs/>
              </w:rPr>
              <w:t>Senecio scandens</w:t>
            </w:r>
            <w:r>
              <w:rPr>
                <w:rFonts w:ascii="Times New Roman" w:hAnsi="Times New Roman" w:eastAsia="Times New Roman" w:cs="Times New Roman"/>
                <w:i/>
                <w:iCs/>
                <w:spacing w:val="-29"/>
              </w:rPr>
              <w:t xml:space="preserve"> </w:t>
            </w:r>
            <w:r>
              <w:t>、忍冬</w:t>
            </w:r>
            <w:r>
              <w:rPr>
                <w:spacing w:val="-62"/>
              </w:rPr>
              <w:t xml:space="preserve"> </w:t>
            </w:r>
            <w:r>
              <w:rPr>
                <w:rFonts w:ascii="Times New Roman" w:hAnsi="Times New Roman" w:eastAsia="Times New Roman" w:cs="Times New Roman"/>
                <w:i/>
                <w:iCs/>
              </w:rPr>
              <w:t>Lonicera</w:t>
            </w:r>
            <w:r>
              <w:rPr>
                <w:rFonts w:ascii="Times New Roman" w:hAnsi="Times New Roman" w:eastAsia="Times New Roman" w:cs="Times New Roman"/>
                <w:i/>
                <w:iCs/>
                <w:spacing w:val="-39"/>
              </w:rPr>
              <w:t xml:space="preserve"> </w:t>
            </w:r>
            <w:r>
              <w:rPr>
                <w:rFonts w:ascii="Times New Roman" w:hAnsi="Times New Roman" w:eastAsia="Times New Roman" w:cs="Times New Roman"/>
                <w:i/>
                <w:iCs/>
              </w:rPr>
              <w:t>japonica</w:t>
            </w:r>
            <w:r>
              <w:rPr>
                <w:rFonts w:ascii="Times New Roman" w:hAnsi="Times New Roman" w:eastAsia="Times New Roman" w:cs="Times New Roman"/>
                <w:i/>
                <w:iCs/>
                <w:spacing w:val="-29"/>
              </w:rPr>
              <w:t xml:space="preserve"> </w:t>
            </w:r>
            <w:r>
              <w:t>、山土瓜</w:t>
            </w:r>
            <w:r>
              <w:rPr>
                <w:spacing w:val="-65"/>
              </w:rPr>
              <w:t xml:space="preserve"> </w:t>
            </w:r>
            <w:r>
              <w:rPr>
                <w:rFonts w:ascii="Times New Roman" w:hAnsi="Times New Roman" w:eastAsia="Times New Roman" w:cs="Times New Roman"/>
                <w:i/>
                <w:iCs/>
              </w:rPr>
              <w:t>Merre</w:t>
            </w:r>
            <w:r>
              <w:rPr>
                <w:rFonts w:ascii="Times New Roman" w:hAnsi="Times New Roman" w:eastAsia="Times New Roman" w:cs="Times New Roman"/>
                <w:i/>
                <w:iCs/>
                <w:spacing w:val="-1"/>
              </w:rPr>
              <w:t>miahungaiensis</w:t>
            </w:r>
            <w:r>
              <w:rPr>
                <w:rFonts w:ascii="Times New Roman" w:hAnsi="Times New Roman" w:eastAsia="Times New Roman" w:cs="Times New Roman"/>
                <w:i/>
                <w:iCs/>
                <w:spacing w:val="-29"/>
              </w:rPr>
              <w:t xml:space="preserve"> </w:t>
            </w:r>
            <w:r>
              <w:rPr>
                <w:spacing w:val="-1"/>
              </w:rPr>
              <w:t>、打</w:t>
            </w:r>
            <w:r>
              <w:t xml:space="preserve"> </w:t>
            </w:r>
            <w:r>
              <w:rPr>
                <w:spacing w:val="-1"/>
              </w:rPr>
              <w:t>碗花</w:t>
            </w:r>
            <w:r>
              <w:rPr>
                <w:spacing w:val="-44"/>
              </w:rPr>
              <w:t xml:space="preserve"> </w:t>
            </w:r>
            <w:r>
              <w:rPr>
                <w:rFonts w:ascii="Times New Roman" w:hAnsi="Times New Roman" w:eastAsia="Times New Roman" w:cs="Times New Roman"/>
                <w:i/>
                <w:iCs/>
                <w:spacing w:val="-1"/>
              </w:rPr>
              <w:t xml:space="preserve">Calystegia hederacea </w:t>
            </w:r>
            <w:r>
              <w:rPr>
                <w:spacing w:val="-1"/>
              </w:rPr>
              <w:t>等。</w:t>
            </w:r>
          </w:p>
          <w:p w14:paraId="66049F2F">
            <w:pPr>
              <w:pStyle w:val="6"/>
              <w:spacing w:before="129" w:line="217" w:lineRule="auto"/>
              <w:ind w:left="587"/>
            </w:pPr>
            <w:r>
              <w:rPr>
                <w:spacing w:val="-2"/>
              </w:rPr>
              <w:t>②华山松群落</w:t>
            </w:r>
          </w:p>
          <w:p w14:paraId="2B9B9F11">
            <w:pPr>
              <w:pStyle w:val="6"/>
              <w:spacing w:before="185" w:line="343" w:lineRule="auto"/>
              <w:ind w:left="112" w:right="119" w:firstLine="509"/>
            </w:pPr>
            <w:r>
              <w:rPr>
                <w:spacing w:val="15"/>
              </w:rPr>
              <w:t>华山松为常绿阔叶林被破坏后出现的次生植被类型，该</w:t>
            </w:r>
            <w:r>
              <w:rPr>
                <w:spacing w:val="14"/>
              </w:rPr>
              <w:t>群系结构层次</w:t>
            </w:r>
            <w:r>
              <w:t xml:space="preserve"> </w:t>
            </w:r>
            <w:r>
              <w:rPr>
                <w:spacing w:val="12"/>
              </w:rPr>
              <w:t>分明，分乔木层、灌木层、草本层三层，群落盖度</w:t>
            </w:r>
            <w:r>
              <w:rPr>
                <w:spacing w:val="-26"/>
              </w:rPr>
              <w:t xml:space="preserve"> </w:t>
            </w:r>
            <w:r>
              <w:rPr>
                <w:rFonts w:ascii="Times New Roman" w:hAnsi="Times New Roman" w:eastAsia="Times New Roman" w:cs="Times New Roman"/>
                <w:spacing w:val="12"/>
              </w:rPr>
              <w:t>85</w:t>
            </w:r>
            <w:r>
              <w:rPr>
                <w:rFonts w:ascii="Times New Roman" w:hAnsi="Times New Roman" w:eastAsia="Times New Roman" w:cs="Times New Roman"/>
                <w:spacing w:val="11"/>
              </w:rPr>
              <w:t>~90%</w:t>
            </w:r>
            <w:r>
              <w:rPr>
                <w:spacing w:val="11"/>
              </w:rPr>
              <w:t>。</w:t>
            </w:r>
          </w:p>
          <w:p w14:paraId="648DD69B">
            <w:pPr>
              <w:pStyle w:val="6"/>
              <w:spacing w:line="334" w:lineRule="auto"/>
              <w:ind w:left="111" w:right="119" w:firstLine="510"/>
            </w:pPr>
            <w:r>
              <w:rPr>
                <w:spacing w:val="6"/>
              </w:rPr>
              <w:t>乔木层高</w:t>
            </w:r>
            <w:r>
              <w:rPr>
                <w:spacing w:val="-21"/>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15m</w:t>
            </w:r>
            <w:r>
              <w:rPr>
                <w:rFonts w:ascii="Times New Roman" w:hAnsi="Times New Roman" w:eastAsia="Times New Roman" w:cs="Times New Roman"/>
                <w:spacing w:val="-16"/>
              </w:rPr>
              <w:t xml:space="preserve"> </w:t>
            </w:r>
            <w:r>
              <w:rPr>
                <w:spacing w:val="6"/>
              </w:rPr>
              <w:t xml:space="preserve">，胸径 </w:t>
            </w:r>
            <w:r>
              <w:rPr>
                <w:rFonts w:ascii="Times New Roman" w:hAnsi="Times New Roman" w:eastAsia="Times New Roman" w:cs="Times New Roman"/>
                <w:spacing w:val="6"/>
              </w:rPr>
              <w:t>10~20</w:t>
            </w:r>
            <w:r>
              <w:rPr>
                <w:rFonts w:ascii="Times New Roman" w:hAnsi="Times New Roman" w:eastAsia="Times New Roman" w:cs="Times New Roman"/>
              </w:rPr>
              <w:t>cm</w:t>
            </w:r>
            <w:r>
              <w:rPr>
                <w:rFonts w:ascii="Times New Roman" w:hAnsi="Times New Roman" w:eastAsia="Times New Roman" w:cs="Times New Roman"/>
                <w:spacing w:val="-16"/>
              </w:rPr>
              <w:t xml:space="preserve"> </w:t>
            </w:r>
            <w:r>
              <w:rPr>
                <w:spacing w:val="6"/>
              </w:rPr>
              <w:t>，</w:t>
            </w:r>
            <w:r>
              <w:rPr>
                <w:spacing w:val="-64"/>
              </w:rPr>
              <w:t xml:space="preserve"> </w:t>
            </w:r>
            <w:r>
              <w:rPr>
                <w:spacing w:val="6"/>
              </w:rPr>
              <w:t>以华山松</w:t>
            </w:r>
            <w:r>
              <w:rPr>
                <w:spacing w:val="-44"/>
              </w:rPr>
              <w:t xml:space="preserve"> </w:t>
            </w:r>
            <w:r>
              <w:rPr>
                <w:rFonts w:ascii="Times New Roman" w:hAnsi="Times New Roman" w:eastAsia="Times New Roman" w:cs="Times New Roman"/>
                <w:i/>
                <w:iCs/>
              </w:rPr>
              <w:t>Pinusarmandii</w:t>
            </w:r>
            <w:r>
              <w:rPr>
                <w:rFonts w:ascii="Times New Roman" w:hAnsi="Times New Roman" w:eastAsia="Times New Roman" w:cs="Times New Roman"/>
                <w:i/>
                <w:iCs/>
                <w:spacing w:val="21"/>
              </w:rPr>
              <w:t xml:space="preserve">  </w:t>
            </w:r>
            <w:r>
              <w:rPr>
                <w:spacing w:val="6"/>
              </w:rPr>
              <w:t>为主，混</w:t>
            </w:r>
            <w:r>
              <w:t xml:space="preserve"> </w:t>
            </w:r>
            <w:r>
              <w:rPr>
                <w:spacing w:val="6"/>
              </w:rPr>
              <w:t>生</w:t>
            </w:r>
            <w:r>
              <w:rPr>
                <w:spacing w:val="-54"/>
              </w:rPr>
              <w:t xml:space="preserve"> </w:t>
            </w:r>
            <w:r>
              <w:rPr>
                <w:spacing w:val="6"/>
              </w:rPr>
              <w:t>少</w:t>
            </w:r>
            <w:r>
              <w:rPr>
                <w:spacing w:val="-70"/>
              </w:rPr>
              <w:t xml:space="preserve"> </w:t>
            </w:r>
            <w:r>
              <w:rPr>
                <w:spacing w:val="6"/>
              </w:rPr>
              <w:t>量</w:t>
            </w:r>
            <w:r>
              <w:rPr>
                <w:spacing w:val="-61"/>
              </w:rPr>
              <w:t xml:space="preserve"> </w:t>
            </w:r>
            <w:r>
              <w:rPr>
                <w:spacing w:val="6"/>
              </w:rPr>
              <w:t>云</w:t>
            </w:r>
            <w:r>
              <w:rPr>
                <w:spacing w:val="-65"/>
              </w:rPr>
              <w:t xml:space="preserve"> </w:t>
            </w:r>
            <w:r>
              <w:rPr>
                <w:spacing w:val="6"/>
              </w:rPr>
              <w:t>南</w:t>
            </w:r>
            <w:r>
              <w:rPr>
                <w:spacing w:val="-66"/>
              </w:rPr>
              <w:t xml:space="preserve"> </w:t>
            </w:r>
            <w:r>
              <w:rPr>
                <w:spacing w:val="6"/>
              </w:rPr>
              <w:t>松</w:t>
            </w:r>
            <w:r>
              <w:rPr>
                <w:spacing w:val="-20"/>
              </w:rPr>
              <w:t xml:space="preserve"> </w:t>
            </w:r>
            <w:r>
              <w:rPr>
                <w:rFonts w:ascii="Times New Roman" w:hAnsi="Times New Roman" w:eastAsia="Times New Roman" w:cs="Times New Roman"/>
                <w:i/>
                <w:iCs/>
              </w:rPr>
              <w:t>Pinus</w:t>
            </w:r>
            <w:r>
              <w:rPr>
                <w:rFonts w:ascii="Times New Roman" w:hAnsi="Times New Roman" w:eastAsia="Times New Roman" w:cs="Times New Roman"/>
                <w:i/>
                <w:iCs/>
                <w:spacing w:val="27"/>
              </w:rPr>
              <w:t xml:space="preserve"> </w:t>
            </w:r>
            <w:r>
              <w:rPr>
                <w:rFonts w:ascii="Times New Roman" w:hAnsi="Times New Roman" w:eastAsia="Times New Roman" w:cs="Times New Roman"/>
                <w:i/>
                <w:iCs/>
              </w:rPr>
              <w:t>yumnanensis</w:t>
            </w:r>
            <w:r>
              <w:rPr>
                <w:rFonts w:ascii="Times New Roman" w:hAnsi="Times New Roman" w:eastAsia="Times New Roman" w:cs="Times New Roman"/>
                <w:i/>
                <w:iCs/>
                <w:spacing w:val="6"/>
              </w:rPr>
              <w:t xml:space="preserve"> </w:t>
            </w:r>
            <w:r>
              <w:rPr>
                <w:spacing w:val="6"/>
              </w:rPr>
              <w:t>、</w:t>
            </w:r>
            <w:r>
              <w:rPr>
                <w:spacing w:val="-67"/>
              </w:rPr>
              <w:t xml:space="preserve"> </w:t>
            </w:r>
            <w:r>
              <w:rPr>
                <w:spacing w:val="6"/>
              </w:rPr>
              <w:t>滇</w:t>
            </w:r>
            <w:r>
              <w:rPr>
                <w:spacing w:val="-69"/>
              </w:rPr>
              <w:t xml:space="preserve"> </w:t>
            </w:r>
            <w:r>
              <w:rPr>
                <w:spacing w:val="6"/>
              </w:rPr>
              <w:t>石</w:t>
            </w:r>
            <w:r>
              <w:rPr>
                <w:spacing w:val="-68"/>
              </w:rPr>
              <w:t xml:space="preserve"> </w:t>
            </w:r>
            <w:r>
              <w:rPr>
                <w:spacing w:val="6"/>
              </w:rPr>
              <w:t>栎</w:t>
            </w:r>
            <w:r>
              <w:rPr>
                <w:spacing w:val="-22"/>
              </w:rPr>
              <w:t xml:space="preserve"> </w:t>
            </w:r>
            <w:r>
              <w:rPr>
                <w:rFonts w:ascii="Times New Roman" w:hAnsi="Times New Roman" w:eastAsia="Times New Roman" w:cs="Times New Roman"/>
                <w:i/>
                <w:iCs/>
              </w:rPr>
              <w:t>Lithocarpus</w:t>
            </w:r>
            <w:r>
              <w:rPr>
                <w:rFonts w:ascii="Times New Roman" w:hAnsi="Times New Roman" w:eastAsia="Times New Roman" w:cs="Times New Roman"/>
                <w:i/>
                <w:iCs/>
                <w:spacing w:val="53"/>
                <w:w w:val="101"/>
              </w:rPr>
              <w:t xml:space="preserve"> </w:t>
            </w:r>
            <w:r>
              <w:rPr>
                <w:rFonts w:ascii="Times New Roman" w:hAnsi="Times New Roman" w:eastAsia="Times New Roman" w:cs="Times New Roman"/>
                <w:i/>
                <w:iCs/>
              </w:rPr>
              <w:t>dealbatus</w:t>
            </w:r>
            <w:r>
              <w:rPr>
                <w:rFonts w:ascii="Times New Roman" w:hAnsi="Times New Roman" w:eastAsia="Times New Roman" w:cs="Times New Roman"/>
                <w:i/>
                <w:iCs/>
                <w:spacing w:val="6"/>
              </w:rPr>
              <w:t xml:space="preserve"> </w:t>
            </w:r>
            <w:r>
              <w:rPr>
                <w:spacing w:val="6"/>
              </w:rPr>
              <w:t>、</w:t>
            </w:r>
            <w:r>
              <w:rPr>
                <w:spacing w:val="-67"/>
              </w:rPr>
              <w:t xml:space="preserve"> </w:t>
            </w:r>
            <w:r>
              <w:rPr>
                <w:spacing w:val="6"/>
              </w:rPr>
              <w:t>麻</w:t>
            </w:r>
            <w:r>
              <w:rPr>
                <w:spacing w:val="-67"/>
              </w:rPr>
              <w:t xml:space="preserve"> </w:t>
            </w:r>
            <w:r>
              <w:rPr>
                <w:spacing w:val="6"/>
              </w:rPr>
              <w:t>栎</w:t>
            </w:r>
            <w:r>
              <w:t xml:space="preserve"> </w:t>
            </w:r>
            <w:r>
              <w:rPr>
                <w:rFonts w:ascii="Times New Roman" w:hAnsi="Times New Roman" w:eastAsia="Times New Roman" w:cs="Times New Roman"/>
                <w:i/>
                <w:iCs/>
              </w:rPr>
              <w:t>Quercus</w:t>
            </w:r>
            <w:r>
              <w:rPr>
                <w:rFonts w:ascii="Times New Roman" w:hAnsi="Times New Roman" w:eastAsia="Times New Roman" w:cs="Times New Roman"/>
                <w:i/>
                <w:iCs/>
                <w:spacing w:val="26"/>
                <w:w w:val="101"/>
              </w:rPr>
              <w:t xml:space="preserve"> </w:t>
            </w:r>
            <w:r>
              <w:rPr>
                <w:rFonts w:ascii="Times New Roman" w:hAnsi="Times New Roman" w:eastAsia="Times New Roman" w:cs="Times New Roman"/>
                <w:i/>
                <w:iCs/>
              </w:rPr>
              <w:t>acutissima</w:t>
            </w:r>
            <w:r>
              <w:rPr>
                <w:rFonts w:ascii="Times New Roman" w:hAnsi="Times New Roman" w:eastAsia="Times New Roman" w:cs="Times New Roman"/>
                <w:i/>
                <w:iCs/>
                <w:spacing w:val="26"/>
              </w:rPr>
              <w:t xml:space="preserve"> </w:t>
            </w:r>
            <w:r>
              <w:rPr>
                <w:spacing w:val="26"/>
              </w:rPr>
              <w:t>等树种。</w:t>
            </w:r>
          </w:p>
          <w:p w14:paraId="7532A249">
            <w:pPr>
              <w:pStyle w:val="6"/>
              <w:spacing w:before="139" w:line="219" w:lineRule="auto"/>
              <w:ind w:left="623"/>
            </w:pPr>
            <w:r>
              <w:rPr>
                <w:spacing w:val="13"/>
              </w:rPr>
              <w:t>灌木层盖度多在</w:t>
            </w:r>
            <w:r>
              <w:rPr>
                <w:spacing w:val="-29"/>
              </w:rPr>
              <w:t xml:space="preserve"> </w:t>
            </w:r>
            <w:r>
              <w:rPr>
                <w:rFonts w:ascii="Times New Roman" w:hAnsi="Times New Roman" w:eastAsia="Times New Roman" w:cs="Times New Roman"/>
                <w:spacing w:val="13"/>
              </w:rPr>
              <w:t>30%</w:t>
            </w:r>
            <w:r>
              <w:rPr>
                <w:spacing w:val="13"/>
              </w:rPr>
              <w:t>左右，除了华山松和</w:t>
            </w:r>
            <w:r>
              <w:rPr>
                <w:spacing w:val="12"/>
              </w:rPr>
              <w:t>滇石栎等乔木树种的幼株以</w:t>
            </w:r>
          </w:p>
        </w:tc>
      </w:tr>
    </w:tbl>
    <w:p w14:paraId="505D3D59">
      <w:pPr>
        <w:rPr>
          <w:rFonts w:ascii="Arial"/>
          <w:sz w:val="21"/>
        </w:rPr>
      </w:pPr>
    </w:p>
    <w:p w14:paraId="53C63B34">
      <w:pPr>
        <w:rPr>
          <w:rFonts w:ascii="Arial" w:hAnsi="Arial" w:eastAsia="Arial" w:cs="Arial"/>
          <w:sz w:val="21"/>
          <w:szCs w:val="21"/>
        </w:rPr>
        <w:sectPr>
          <w:footerReference r:id="rId89" w:type="default"/>
          <w:pgSz w:w="11906" w:h="16839"/>
          <w:pgMar w:top="1431" w:right="1413" w:bottom="1278" w:left="1413" w:header="0" w:footer="1116" w:gutter="0"/>
          <w:cols w:space="720" w:num="1"/>
        </w:sectPr>
      </w:pPr>
    </w:p>
    <w:p w14:paraId="6BA01FF4">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121F9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668" w:type="dxa"/>
            <w:tcBorders>
              <w:right w:val="single" w:color="000000" w:sz="2" w:space="0"/>
            </w:tcBorders>
            <w:vAlign w:val="top"/>
          </w:tcPr>
          <w:p w14:paraId="6275FA58">
            <w:pPr>
              <w:rPr>
                <w:rFonts w:ascii="Arial"/>
                <w:sz w:val="21"/>
              </w:rPr>
            </w:pPr>
          </w:p>
        </w:tc>
        <w:tc>
          <w:tcPr>
            <w:tcW w:w="8396" w:type="dxa"/>
            <w:tcBorders>
              <w:left w:val="single" w:color="000000" w:sz="2" w:space="0"/>
            </w:tcBorders>
            <w:vAlign w:val="top"/>
          </w:tcPr>
          <w:p w14:paraId="7F35E27A">
            <w:pPr>
              <w:pStyle w:val="6"/>
              <w:spacing w:before="4" w:line="345" w:lineRule="auto"/>
              <w:ind w:left="73" w:right="29" w:firstLine="40"/>
              <w:jc w:val="both"/>
            </w:pPr>
            <w:r>
              <w:rPr>
                <w:spacing w:val="15"/>
              </w:rPr>
              <w:t>外，常见有小铁仔</w:t>
            </w:r>
            <w:r>
              <w:rPr>
                <w:spacing w:val="-44"/>
              </w:rPr>
              <w:t xml:space="preserve"> </w:t>
            </w:r>
            <w:r>
              <w:rPr>
                <w:rFonts w:ascii="Times New Roman" w:hAnsi="Times New Roman" w:eastAsia="Times New Roman" w:cs="Times New Roman"/>
                <w:i/>
                <w:iCs/>
              </w:rPr>
              <w:t>Msineaficana</w:t>
            </w:r>
            <w:r>
              <w:rPr>
                <w:rFonts w:ascii="Times New Roman" w:hAnsi="Times New Roman" w:eastAsia="Times New Roman" w:cs="Times New Roman"/>
                <w:i/>
                <w:iCs/>
                <w:spacing w:val="-22"/>
              </w:rPr>
              <w:t xml:space="preserve"> </w:t>
            </w:r>
            <w:r>
              <w:rPr>
                <w:spacing w:val="15"/>
              </w:rPr>
              <w:t>、小叶枸子</w:t>
            </w:r>
            <w:r>
              <w:rPr>
                <w:spacing w:val="-25"/>
              </w:rPr>
              <w:t xml:space="preserve"> </w:t>
            </w:r>
            <w:r>
              <w:rPr>
                <w:rFonts w:ascii="Times New Roman" w:hAnsi="Times New Roman" w:eastAsia="Times New Roman" w:cs="Times New Roman"/>
                <w:i/>
                <w:iCs/>
              </w:rPr>
              <w:t>Cotoneaster</w:t>
            </w:r>
            <w:r>
              <w:rPr>
                <w:rFonts w:ascii="Times New Roman" w:hAnsi="Times New Roman" w:eastAsia="Times New Roman" w:cs="Times New Roman"/>
                <w:i/>
                <w:iCs/>
                <w:spacing w:val="15"/>
              </w:rPr>
              <w:t xml:space="preserve"> </w:t>
            </w:r>
            <w:r>
              <w:rPr>
                <w:rFonts w:ascii="Times New Roman" w:hAnsi="Times New Roman" w:eastAsia="Times New Roman" w:cs="Times New Roman"/>
                <w:i/>
                <w:iCs/>
              </w:rPr>
              <w:t>microphy</w:t>
            </w:r>
            <w:r>
              <w:rPr>
                <w:rFonts w:ascii="Times New Roman" w:hAnsi="Times New Roman" w:eastAsia="Times New Roman" w:cs="Times New Roman"/>
                <w:i/>
                <w:iCs/>
                <w:spacing w:val="-41"/>
              </w:rPr>
              <w:t xml:space="preserve"> </w:t>
            </w:r>
            <w:r>
              <w:rPr>
                <w:rFonts w:ascii="Times New Roman" w:hAnsi="Times New Roman" w:eastAsia="Times New Roman" w:cs="Times New Roman"/>
                <w:i/>
                <w:iCs/>
              </w:rPr>
              <w:t>llus</w:t>
            </w:r>
            <w:r>
              <w:rPr>
                <w:rFonts w:ascii="Times New Roman" w:hAnsi="Times New Roman" w:eastAsia="Times New Roman" w:cs="Times New Roman"/>
                <w:i/>
                <w:iCs/>
                <w:spacing w:val="-24"/>
              </w:rPr>
              <w:t xml:space="preserve"> </w:t>
            </w:r>
            <w:r>
              <w:rPr>
                <w:spacing w:val="15"/>
              </w:rPr>
              <w:t>、马桑</w:t>
            </w:r>
            <w:r>
              <w:t xml:space="preserve"> </w:t>
            </w:r>
            <w:r>
              <w:rPr>
                <w:rFonts w:ascii="Times New Roman" w:hAnsi="Times New Roman" w:eastAsia="Times New Roman" w:cs="Times New Roman"/>
                <w:i/>
                <w:iCs/>
              </w:rPr>
              <w:t>Coriaria</w:t>
            </w:r>
            <w:r>
              <w:rPr>
                <w:rFonts w:ascii="Times New Roman" w:hAnsi="Times New Roman" w:eastAsia="Times New Roman" w:cs="Times New Roman"/>
                <w:i/>
                <w:iCs/>
                <w:spacing w:val="57"/>
              </w:rPr>
              <w:t xml:space="preserve"> </w:t>
            </w:r>
            <w:r>
              <w:rPr>
                <w:rFonts w:ascii="Times New Roman" w:hAnsi="Times New Roman" w:eastAsia="Times New Roman" w:cs="Times New Roman"/>
                <w:i/>
                <w:iCs/>
              </w:rPr>
              <w:t>napalensis</w:t>
            </w:r>
            <w:r>
              <w:rPr>
                <w:rFonts w:ascii="Times New Roman" w:hAnsi="Times New Roman" w:eastAsia="Times New Roman" w:cs="Times New Roman"/>
                <w:i/>
                <w:iCs/>
                <w:spacing w:val="4"/>
              </w:rPr>
              <w:t xml:space="preserve"> </w:t>
            </w:r>
            <w:r>
              <w:rPr>
                <w:spacing w:val="4"/>
              </w:rPr>
              <w:t>、</w:t>
            </w:r>
            <w:r>
              <w:rPr>
                <w:spacing w:val="-57"/>
              </w:rPr>
              <w:t xml:space="preserve"> </w:t>
            </w:r>
            <w:r>
              <w:rPr>
                <w:spacing w:val="4"/>
              </w:rPr>
              <w:t>西</w:t>
            </w:r>
            <w:r>
              <w:rPr>
                <w:spacing w:val="-62"/>
              </w:rPr>
              <w:t xml:space="preserve"> </w:t>
            </w:r>
            <w:r>
              <w:rPr>
                <w:spacing w:val="4"/>
              </w:rPr>
              <w:t>南</w:t>
            </w:r>
            <w:r>
              <w:rPr>
                <w:spacing w:val="-61"/>
              </w:rPr>
              <w:t xml:space="preserve"> </w:t>
            </w:r>
            <w:r>
              <w:rPr>
                <w:spacing w:val="4"/>
              </w:rPr>
              <w:t>金</w:t>
            </w:r>
            <w:r>
              <w:rPr>
                <w:spacing w:val="-63"/>
              </w:rPr>
              <w:t xml:space="preserve"> </w:t>
            </w:r>
            <w:r>
              <w:rPr>
                <w:spacing w:val="4"/>
              </w:rPr>
              <w:t>丝</w:t>
            </w:r>
            <w:r>
              <w:rPr>
                <w:spacing w:val="-65"/>
              </w:rPr>
              <w:t xml:space="preserve"> </w:t>
            </w:r>
            <w:r>
              <w:rPr>
                <w:spacing w:val="4"/>
              </w:rPr>
              <w:t xml:space="preserve">桃 </w:t>
            </w:r>
            <w:r>
              <w:rPr>
                <w:rFonts w:ascii="Times New Roman" w:hAnsi="Times New Roman" w:eastAsia="Times New Roman" w:cs="Times New Roman"/>
                <w:i/>
                <w:iCs/>
              </w:rPr>
              <w:t>Hpericum</w:t>
            </w:r>
            <w:r>
              <w:rPr>
                <w:rFonts w:ascii="Times New Roman" w:hAnsi="Times New Roman" w:eastAsia="Times New Roman" w:cs="Times New Roman"/>
                <w:i/>
                <w:iCs/>
                <w:spacing w:val="57"/>
                <w:w w:val="101"/>
              </w:rPr>
              <w:t xml:space="preserve"> </w:t>
            </w:r>
            <w:r>
              <w:rPr>
                <w:rFonts w:ascii="Times New Roman" w:hAnsi="Times New Roman" w:eastAsia="Times New Roman" w:cs="Times New Roman"/>
                <w:i/>
                <w:iCs/>
              </w:rPr>
              <w:t>hennyi</w:t>
            </w:r>
            <w:r>
              <w:rPr>
                <w:rFonts w:ascii="Times New Roman" w:hAnsi="Times New Roman" w:eastAsia="Times New Roman" w:cs="Times New Roman"/>
                <w:i/>
                <w:iCs/>
                <w:spacing w:val="4"/>
              </w:rPr>
              <w:t xml:space="preserve"> </w:t>
            </w:r>
            <w:r>
              <w:rPr>
                <w:spacing w:val="4"/>
              </w:rPr>
              <w:t>、</w:t>
            </w:r>
            <w:r>
              <w:rPr>
                <w:spacing w:val="-64"/>
              </w:rPr>
              <w:t xml:space="preserve"> </w:t>
            </w:r>
            <w:r>
              <w:rPr>
                <w:spacing w:val="4"/>
              </w:rPr>
              <w:t>毛</w:t>
            </w:r>
            <w:r>
              <w:rPr>
                <w:spacing w:val="-48"/>
              </w:rPr>
              <w:t xml:space="preserve"> </w:t>
            </w:r>
            <w:r>
              <w:rPr>
                <w:spacing w:val="4"/>
              </w:rPr>
              <w:t>叶</w:t>
            </w:r>
            <w:r>
              <w:rPr>
                <w:spacing w:val="-62"/>
              </w:rPr>
              <w:t xml:space="preserve"> </w:t>
            </w:r>
            <w:r>
              <w:rPr>
                <w:spacing w:val="4"/>
              </w:rPr>
              <w:t>悬</w:t>
            </w:r>
            <w:r>
              <w:rPr>
                <w:spacing w:val="-65"/>
              </w:rPr>
              <w:t xml:space="preserve"> </w:t>
            </w:r>
            <w:r>
              <w:rPr>
                <w:spacing w:val="4"/>
              </w:rPr>
              <w:t>钩</w:t>
            </w:r>
            <w:r>
              <w:rPr>
                <w:spacing w:val="-62"/>
              </w:rPr>
              <w:t xml:space="preserve"> </w:t>
            </w:r>
            <w:r>
              <w:rPr>
                <w:spacing w:val="4"/>
              </w:rPr>
              <w:t xml:space="preserve">子 </w:t>
            </w:r>
            <w:r>
              <w:rPr>
                <w:rFonts w:ascii="Times New Roman" w:hAnsi="Times New Roman" w:eastAsia="Times New Roman" w:cs="Times New Roman"/>
                <w:i/>
                <w:iCs/>
              </w:rPr>
              <w:t>Rubus  poliophy</w:t>
            </w:r>
            <w:r>
              <w:rPr>
                <w:rFonts w:ascii="Times New Roman" w:hAnsi="Times New Roman" w:eastAsia="Times New Roman" w:cs="Times New Roman"/>
                <w:i/>
                <w:iCs/>
                <w:spacing w:val="-29"/>
              </w:rPr>
              <w:t xml:space="preserve"> </w:t>
            </w:r>
            <w:r>
              <w:rPr>
                <w:rFonts w:ascii="Times New Roman" w:hAnsi="Times New Roman" w:eastAsia="Times New Roman" w:cs="Times New Roman"/>
                <w:i/>
                <w:iCs/>
              </w:rPr>
              <w:t>lls</w:t>
            </w:r>
            <w:r>
              <w:rPr>
                <w:rFonts w:ascii="Times New Roman" w:hAnsi="Times New Roman" w:eastAsia="Times New Roman" w:cs="Times New Roman"/>
                <w:i/>
                <w:iCs/>
                <w:spacing w:val="-9"/>
              </w:rPr>
              <w:t xml:space="preserve"> </w:t>
            </w:r>
            <w:r>
              <w:rPr>
                <w:spacing w:val="29"/>
              </w:rPr>
              <w:t xml:space="preserve">、有时也伴有沙针 </w:t>
            </w:r>
            <w:r>
              <w:rPr>
                <w:rFonts w:ascii="Times New Roman" w:hAnsi="Times New Roman" w:eastAsia="Times New Roman" w:cs="Times New Roman"/>
                <w:i/>
                <w:iCs/>
              </w:rPr>
              <w:t>Osyris</w:t>
            </w:r>
            <w:r>
              <w:rPr>
                <w:rFonts w:ascii="Times New Roman" w:hAnsi="Times New Roman" w:eastAsia="Times New Roman" w:cs="Times New Roman"/>
                <w:i/>
                <w:iCs/>
                <w:spacing w:val="38"/>
              </w:rPr>
              <w:t xml:space="preserve"> </w:t>
            </w:r>
            <w:r>
              <w:rPr>
                <w:rFonts w:ascii="Times New Roman" w:hAnsi="Times New Roman" w:eastAsia="Times New Roman" w:cs="Times New Roman"/>
                <w:i/>
                <w:iCs/>
              </w:rPr>
              <w:t>wightiana</w:t>
            </w:r>
            <w:r>
              <w:rPr>
                <w:rFonts w:ascii="Times New Roman" w:hAnsi="Times New Roman" w:eastAsia="Times New Roman" w:cs="Times New Roman"/>
                <w:i/>
                <w:iCs/>
                <w:spacing w:val="-7"/>
              </w:rPr>
              <w:t xml:space="preserve"> </w:t>
            </w:r>
            <w:r>
              <w:rPr>
                <w:spacing w:val="29"/>
              </w:rPr>
              <w:t>、含羞草</w:t>
            </w:r>
            <w:r>
              <w:rPr>
                <w:spacing w:val="-65"/>
              </w:rPr>
              <w:t xml:space="preserve"> </w:t>
            </w:r>
            <w:r>
              <w:rPr>
                <w:spacing w:val="29"/>
              </w:rPr>
              <w:t>叶黄檀</w:t>
            </w:r>
            <w:r>
              <w:rPr>
                <w:spacing w:val="-35"/>
              </w:rPr>
              <w:t xml:space="preserve"> </w:t>
            </w:r>
            <w:r>
              <w:rPr>
                <w:rFonts w:ascii="Times New Roman" w:hAnsi="Times New Roman" w:eastAsia="Times New Roman" w:cs="Times New Roman"/>
                <w:i/>
                <w:iCs/>
              </w:rPr>
              <w:t>Dalbergia  mimosoides</w:t>
            </w:r>
            <w:r>
              <w:rPr>
                <w:rFonts w:ascii="Times New Roman" w:hAnsi="Times New Roman" w:eastAsia="Times New Roman" w:cs="Times New Roman"/>
                <w:i/>
                <w:iCs/>
                <w:spacing w:val="-23"/>
              </w:rPr>
              <w:t xml:space="preserve"> </w:t>
            </w:r>
            <w:r>
              <w:rPr>
                <w:spacing w:val="26"/>
              </w:rPr>
              <w:t>、盐肤木</w:t>
            </w:r>
            <w:r>
              <w:rPr>
                <w:spacing w:val="-44"/>
              </w:rPr>
              <w:t xml:space="preserve"> </w:t>
            </w:r>
            <w:r>
              <w:rPr>
                <w:rFonts w:ascii="Times New Roman" w:hAnsi="Times New Roman" w:eastAsia="Times New Roman" w:cs="Times New Roman"/>
                <w:i/>
                <w:iCs/>
              </w:rPr>
              <w:t>Rhus</w:t>
            </w:r>
            <w:r>
              <w:rPr>
                <w:rFonts w:ascii="Times New Roman" w:hAnsi="Times New Roman" w:eastAsia="Times New Roman" w:cs="Times New Roman"/>
                <w:i/>
                <w:iCs/>
                <w:spacing w:val="21"/>
                <w:w w:val="101"/>
              </w:rPr>
              <w:t xml:space="preserve"> </w:t>
            </w:r>
            <w:r>
              <w:rPr>
                <w:rFonts w:ascii="Times New Roman" w:hAnsi="Times New Roman" w:eastAsia="Times New Roman" w:cs="Times New Roman"/>
                <w:i/>
                <w:iCs/>
              </w:rPr>
              <w:t>chinensis</w:t>
            </w:r>
            <w:r>
              <w:rPr>
                <w:rFonts w:ascii="Times New Roman" w:hAnsi="Times New Roman" w:eastAsia="Times New Roman" w:cs="Times New Roman"/>
                <w:i/>
                <w:iCs/>
                <w:spacing w:val="-22"/>
              </w:rPr>
              <w:t xml:space="preserve"> </w:t>
            </w:r>
            <w:r>
              <w:rPr>
                <w:spacing w:val="26"/>
              </w:rPr>
              <w:t>、厚壳树</w:t>
            </w:r>
            <w:r>
              <w:rPr>
                <w:spacing w:val="-46"/>
              </w:rPr>
              <w:t xml:space="preserve"> </w:t>
            </w:r>
            <w:r>
              <w:rPr>
                <w:rFonts w:ascii="Times New Roman" w:hAnsi="Times New Roman" w:eastAsia="Times New Roman" w:cs="Times New Roman"/>
                <w:i/>
                <w:iCs/>
              </w:rPr>
              <w:t>Ehretia</w:t>
            </w:r>
            <w:r>
              <w:rPr>
                <w:rFonts w:ascii="Times New Roman" w:hAnsi="Times New Roman" w:eastAsia="Times New Roman" w:cs="Times New Roman"/>
                <w:i/>
                <w:iCs/>
                <w:spacing w:val="23"/>
              </w:rPr>
              <w:t xml:space="preserve"> </w:t>
            </w:r>
            <w:r>
              <w:rPr>
                <w:rFonts w:ascii="Times New Roman" w:hAnsi="Times New Roman" w:eastAsia="Times New Roman" w:cs="Times New Roman"/>
                <w:i/>
                <w:iCs/>
              </w:rPr>
              <w:t>acuminata</w:t>
            </w:r>
            <w:r>
              <w:rPr>
                <w:rFonts w:ascii="Times New Roman" w:hAnsi="Times New Roman" w:eastAsia="Times New Roman" w:cs="Times New Roman"/>
                <w:i/>
                <w:iCs/>
                <w:spacing w:val="19"/>
                <w:w w:val="101"/>
              </w:rPr>
              <w:t xml:space="preserve"> </w:t>
            </w:r>
            <w:r>
              <w:rPr>
                <w:rFonts w:ascii="Times New Roman" w:hAnsi="Times New Roman" w:eastAsia="Times New Roman" w:cs="Times New Roman"/>
                <w:i/>
                <w:iCs/>
              </w:rPr>
              <w:t>var</w:t>
            </w:r>
            <w:r>
              <w:rPr>
                <w:rFonts w:ascii="Times New Roman" w:hAnsi="Times New Roman" w:eastAsia="Times New Roman" w:cs="Times New Roman"/>
                <w:i/>
                <w:iCs/>
                <w:spacing w:val="26"/>
              </w:rPr>
              <w:t>.</w:t>
            </w:r>
            <w:r>
              <w:rPr>
                <w:rFonts w:ascii="Times New Roman" w:hAnsi="Times New Roman" w:eastAsia="Times New Roman" w:cs="Times New Roman"/>
                <w:i/>
                <w:iCs/>
              </w:rPr>
              <w:t>obovata</w:t>
            </w:r>
            <w:r>
              <w:rPr>
                <w:spacing w:val="26"/>
              </w:rPr>
              <w:t>、</w:t>
            </w:r>
            <w:r>
              <w:t xml:space="preserve"> </w:t>
            </w:r>
            <w:r>
              <w:rPr>
                <w:spacing w:val="7"/>
              </w:rPr>
              <w:t>马</w:t>
            </w:r>
            <w:r>
              <w:rPr>
                <w:spacing w:val="-53"/>
              </w:rPr>
              <w:t xml:space="preserve"> </w:t>
            </w:r>
            <w:r>
              <w:rPr>
                <w:spacing w:val="7"/>
              </w:rPr>
              <w:t xml:space="preserve">桑 </w:t>
            </w:r>
            <w:r>
              <w:rPr>
                <w:rFonts w:ascii="Times New Roman" w:hAnsi="Times New Roman" w:eastAsia="Times New Roman" w:cs="Times New Roman"/>
                <w:i/>
                <w:iCs/>
              </w:rPr>
              <w:t>Coriaria</w:t>
            </w:r>
            <w:r>
              <w:rPr>
                <w:rFonts w:ascii="Times New Roman" w:hAnsi="Times New Roman" w:eastAsia="Times New Roman" w:cs="Times New Roman"/>
                <w:i/>
                <w:iCs/>
                <w:spacing w:val="52"/>
                <w:w w:val="101"/>
              </w:rPr>
              <w:t xml:space="preserve"> </w:t>
            </w:r>
            <w:r>
              <w:rPr>
                <w:rFonts w:ascii="Times New Roman" w:hAnsi="Times New Roman" w:eastAsia="Times New Roman" w:cs="Times New Roman"/>
                <w:i/>
                <w:iCs/>
              </w:rPr>
              <w:t>nepalensis</w:t>
            </w:r>
            <w:r>
              <w:rPr>
                <w:rFonts w:ascii="Times New Roman" w:hAnsi="Times New Roman" w:eastAsia="Times New Roman" w:cs="Times New Roman"/>
                <w:i/>
                <w:iCs/>
                <w:spacing w:val="7"/>
              </w:rPr>
              <w:t xml:space="preserve"> </w:t>
            </w:r>
            <w:r>
              <w:rPr>
                <w:spacing w:val="7"/>
              </w:rPr>
              <w:t>、</w:t>
            </w:r>
            <w:r>
              <w:rPr>
                <w:spacing w:val="-69"/>
              </w:rPr>
              <w:t xml:space="preserve"> </w:t>
            </w:r>
            <w:r>
              <w:rPr>
                <w:spacing w:val="7"/>
              </w:rPr>
              <w:t>粉叶小檗</w:t>
            </w:r>
            <w:r>
              <w:rPr>
                <w:spacing w:val="-38"/>
              </w:rPr>
              <w:t xml:space="preserve"> </w:t>
            </w:r>
            <w:r>
              <w:rPr>
                <w:rFonts w:ascii="Times New Roman" w:hAnsi="Times New Roman" w:eastAsia="Times New Roman" w:cs="Times New Roman"/>
                <w:i/>
                <w:iCs/>
              </w:rPr>
              <w:t>Berberis</w:t>
            </w:r>
            <w:r>
              <w:rPr>
                <w:rFonts w:ascii="Times New Roman" w:hAnsi="Times New Roman" w:eastAsia="Times New Roman" w:cs="Times New Roman"/>
                <w:i/>
                <w:iCs/>
                <w:spacing w:val="7"/>
              </w:rPr>
              <w:t xml:space="preserve"> </w:t>
            </w:r>
            <w:r>
              <w:rPr>
                <w:rFonts w:ascii="Times New Roman" w:hAnsi="Times New Roman" w:eastAsia="Times New Roman" w:cs="Times New Roman"/>
                <w:i/>
                <w:iCs/>
              </w:rPr>
              <w:t>pruinosa</w:t>
            </w:r>
            <w:r>
              <w:rPr>
                <w:rFonts w:ascii="Times New Roman" w:hAnsi="Times New Roman" w:eastAsia="Times New Roman" w:cs="Times New Roman"/>
                <w:i/>
                <w:iCs/>
                <w:spacing w:val="20"/>
                <w:w w:val="101"/>
              </w:rPr>
              <w:t xml:space="preserve"> </w:t>
            </w:r>
            <w:r>
              <w:rPr>
                <w:rFonts w:ascii="Times New Roman" w:hAnsi="Times New Roman" w:eastAsia="Times New Roman" w:cs="Times New Roman"/>
                <w:i/>
                <w:iCs/>
              </w:rPr>
              <w:t>Franch</w:t>
            </w:r>
            <w:r>
              <w:rPr>
                <w:rFonts w:ascii="Times New Roman" w:hAnsi="Times New Roman" w:eastAsia="Times New Roman" w:cs="Times New Roman"/>
                <w:i/>
                <w:iCs/>
                <w:spacing w:val="7"/>
              </w:rPr>
              <w:t xml:space="preserve">. </w:t>
            </w:r>
            <w:r>
              <w:rPr>
                <w:i/>
                <w:iCs/>
                <w:spacing w:val="7"/>
                <w:sz w:val="25"/>
                <w:szCs w:val="25"/>
              </w:rPr>
              <w:t>、</w:t>
            </w:r>
            <w:r>
              <w:rPr>
                <w:spacing w:val="7"/>
              </w:rPr>
              <w:t>亮</w:t>
            </w:r>
            <w:r>
              <w:rPr>
                <w:spacing w:val="-52"/>
              </w:rPr>
              <w:t xml:space="preserve"> </w:t>
            </w:r>
            <w:r>
              <w:rPr>
                <w:spacing w:val="7"/>
              </w:rPr>
              <w:t>叶</w:t>
            </w:r>
            <w:r>
              <w:rPr>
                <w:spacing w:val="-57"/>
              </w:rPr>
              <w:t xml:space="preserve"> </w:t>
            </w:r>
            <w:r>
              <w:rPr>
                <w:spacing w:val="7"/>
              </w:rPr>
              <w:t>忍</w:t>
            </w:r>
            <w:r>
              <w:rPr>
                <w:spacing w:val="-61"/>
              </w:rPr>
              <w:t xml:space="preserve"> </w:t>
            </w:r>
            <w:r>
              <w:rPr>
                <w:spacing w:val="7"/>
              </w:rPr>
              <w:t>冬</w:t>
            </w:r>
            <w:r>
              <w:t xml:space="preserve"> </w:t>
            </w:r>
            <w:r>
              <w:rPr>
                <w:rFonts w:ascii="Times New Roman" w:hAnsi="Times New Roman" w:eastAsia="Times New Roman" w:cs="Times New Roman"/>
                <w:i/>
                <w:iCs/>
                <w:spacing w:val="6"/>
              </w:rPr>
              <w:t>Lonicera</w:t>
            </w:r>
            <w:r>
              <w:rPr>
                <w:rFonts w:ascii="Times New Roman" w:hAnsi="Times New Roman" w:eastAsia="Times New Roman" w:cs="Times New Roman"/>
                <w:i/>
                <w:iCs/>
                <w:spacing w:val="42"/>
                <w:w w:val="101"/>
              </w:rPr>
              <w:t xml:space="preserve"> </w:t>
            </w:r>
            <w:r>
              <w:rPr>
                <w:rFonts w:ascii="Times New Roman" w:hAnsi="Times New Roman" w:eastAsia="Times New Roman" w:cs="Times New Roman"/>
                <w:i/>
                <w:iCs/>
                <w:spacing w:val="6"/>
              </w:rPr>
              <w:t>ligustrina</w:t>
            </w:r>
            <w:r>
              <w:rPr>
                <w:rFonts w:ascii="Times New Roman" w:hAnsi="Times New Roman" w:eastAsia="Times New Roman" w:cs="Times New Roman"/>
                <w:i/>
                <w:iCs/>
                <w:spacing w:val="26"/>
                <w:w w:val="101"/>
              </w:rPr>
              <w:t xml:space="preserve"> </w:t>
            </w:r>
            <w:r>
              <w:rPr>
                <w:rFonts w:ascii="Times New Roman" w:hAnsi="Times New Roman" w:eastAsia="Times New Roman" w:cs="Times New Roman"/>
                <w:i/>
                <w:iCs/>
                <w:spacing w:val="6"/>
              </w:rPr>
              <w:t>var: ymnanensis</w:t>
            </w:r>
            <w:r>
              <w:rPr>
                <w:rFonts w:ascii="Times New Roman" w:hAnsi="Times New Roman" w:eastAsia="Times New Roman" w:cs="Times New Roman"/>
                <w:i/>
                <w:iCs/>
                <w:spacing w:val="20"/>
              </w:rPr>
              <w:t xml:space="preserve">  </w:t>
            </w:r>
            <w:r>
              <w:rPr>
                <w:spacing w:val="6"/>
              </w:rPr>
              <w:t>等。</w:t>
            </w:r>
          </w:p>
          <w:p w14:paraId="21046426">
            <w:pPr>
              <w:pStyle w:val="6"/>
              <w:spacing w:before="85" w:line="346" w:lineRule="auto"/>
              <w:ind w:left="88" w:right="102" w:firstLine="534"/>
              <w:jc w:val="both"/>
            </w:pPr>
            <w:r>
              <w:rPr>
                <w:spacing w:val="3"/>
              </w:rPr>
              <w:t>草本层盖度约</w:t>
            </w:r>
            <w:r>
              <w:rPr>
                <w:spacing w:val="-28"/>
              </w:rPr>
              <w:t xml:space="preserve"> </w:t>
            </w:r>
            <w:r>
              <w:rPr>
                <w:rFonts w:ascii="Times New Roman" w:hAnsi="Times New Roman" w:eastAsia="Times New Roman" w:cs="Times New Roman"/>
                <w:spacing w:val="3"/>
              </w:rPr>
              <w:t>60%</w:t>
            </w:r>
            <w:r>
              <w:rPr>
                <w:spacing w:val="3"/>
              </w:rPr>
              <w:t>，主要种类有白茅</w:t>
            </w:r>
            <w:r>
              <w:rPr>
                <w:spacing w:val="-67"/>
              </w:rPr>
              <w:t xml:space="preserve"> </w:t>
            </w:r>
            <w:r>
              <w:rPr>
                <w:rFonts w:ascii="Times New Roman" w:hAnsi="Times New Roman" w:eastAsia="Times New Roman" w:cs="Times New Roman"/>
                <w:i/>
                <w:iCs/>
              </w:rPr>
              <w:t>Imperata</w:t>
            </w:r>
            <w:r>
              <w:rPr>
                <w:rFonts w:ascii="Times New Roman" w:hAnsi="Times New Roman" w:eastAsia="Times New Roman" w:cs="Times New Roman"/>
                <w:i/>
                <w:iCs/>
                <w:spacing w:val="3"/>
              </w:rPr>
              <w:t xml:space="preserve"> </w:t>
            </w:r>
            <w:r>
              <w:rPr>
                <w:rFonts w:ascii="Times New Roman" w:hAnsi="Times New Roman" w:eastAsia="Times New Roman" w:cs="Times New Roman"/>
                <w:i/>
                <w:iCs/>
              </w:rPr>
              <w:t>cylindrica</w:t>
            </w:r>
            <w:r>
              <w:rPr>
                <w:rFonts w:ascii="Times New Roman" w:hAnsi="Times New Roman" w:eastAsia="Times New Roman" w:cs="Times New Roman"/>
                <w:i/>
                <w:iCs/>
                <w:spacing w:val="3"/>
              </w:rPr>
              <w:t xml:space="preserve"> </w:t>
            </w:r>
            <w:r>
              <w:rPr>
                <w:rFonts w:ascii="Times New Roman" w:hAnsi="Times New Roman" w:eastAsia="Times New Roman" w:cs="Times New Roman"/>
                <w:i/>
                <w:iCs/>
              </w:rPr>
              <w:t>var</w:t>
            </w:r>
            <w:r>
              <w:rPr>
                <w:rFonts w:ascii="Times New Roman" w:hAnsi="Times New Roman" w:eastAsia="Times New Roman" w:cs="Times New Roman"/>
                <w:i/>
                <w:iCs/>
                <w:spacing w:val="3"/>
              </w:rPr>
              <w:t>.</w:t>
            </w:r>
            <w:r>
              <w:rPr>
                <w:rFonts w:ascii="Times New Roman" w:hAnsi="Times New Roman" w:eastAsia="Times New Roman" w:cs="Times New Roman"/>
                <w:i/>
                <w:iCs/>
              </w:rPr>
              <w:t>major</w:t>
            </w:r>
            <w:r>
              <w:rPr>
                <w:spacing w:val="3"/>
              </w:rPr>
              <w:t>、黄茅</w:t>
            </w:r>
            <w:r>
              <w:t xml:space="preserve"> </w:t>
            </w:r>
            <w:r>
              <w:rPr>
                <w:rFonts w:ascii="Times New Roman" w:hAnsi="Times New Roman" w:eastAsia="Times New Roman" w:cs="Times New Roman"/>
                <w:i/>
                <w:iCs/>
              </w:rPr>
              <w:t>Heteropogon</w:t>
            </w:r>
            <w:r>
              <w:rPr>
                <w:rFonts w:ascii="Times New Roman" w:hAnsi="Times New Roman" w:eastAsia="Times New Roman" w:cs="Times New Roman"/>
                <w:i/>
                <w:iCs/>
                <w:spacing w:val="27"/>
                <w:w w:val="101"/>
              </w:rPr>
              <w:t xml:space="preserve"> </w:t>
            </w:r>
            <w:r>
              <w:rPr>
                <w:rFonts w:ascii="Times New Roman" w:hAnsi="Times New Roman" w:eastAsia="Times New Roman" w:cs="Times New Roman"/>
                <w:i/>
                <w:iCs/>
              </w:rPr>
              <w:t>contortus</w:t>
            </w:r>
            <w:r>
              <w:rPr>
                <w:rFonts w:ascii="Times New Roman" w:hAnsi="Times New Roman" w:eastAsia="Times New Roman" w:cs="Times New Roman"/>
                <w:i/>
                <w:iCs/>
                <w:spacing w:val="-17"/>
              </w:rPr>
              <w:t xml:space="preserve"> </w:t>
            </w:r>
            <w:r>
              <w:rPr>
                <w:spacing w:val="1"/>
              </w:rPr>
              <w:t>、蕨</w:t>
            </w:r>
            <w:r>
              <w:rPr>
                <w:spacing w:val="-46"/>
              </w:rPr>
              <w:t xml:space="preserve"> </w:t>
            </w:r>
            <w:r>
              <w:rPr>
                <w:rFonts w:ascii="Times New Roman" w:hAnsi="Times New Roman" w:eastAsia="Times New Roman" w:cs="Times New Roman"/>
                <w:i/>
                <w:iCs/>
              </w:rPr>
              <w:t>Pteridium</w:t>
            </w:r>
            <w:r>
              <w:rPr>
                <w:rFonts w:ascii="Times New Roman" w:hAnsi="Times New Roman" w:eastAsia="Times New Roman" w:cs="Times New Roman"/>
                <w:i/>
                <w:iCs/>
                <w:spacing w:val="24"/>
              </w:rPr>
              <w:t xml:space="preserve"> </w:t>
            </w:r>
            <w:r>
              <w:rPr>
                <w:rFonts w:ascii="Times New Roman" w:hAnsi="Times New Roman" w:eastAsia="Times New Roman" w:cs="Times New Roman"/>
                <w:i/>
                <w:iCs/>
              </w:rPr>
              <w:t>aquilinum</w:t>
            </w:r>
            <w:r>
              <w:rPr>
                <w:rFonts w:ascii="Times New Roman" w:hAnsi="Times New Roman" w:eastAsia="Times New Roman" w:cs="Times New Roman"/>
                <w:i/>
                <w:iCs/>
                <w:spacing w:val="21"/>
                <w:w w:val="101"/>
              </w:rPr>
              <w:t xml:space="preserve"> </w:t>
            </w:r>
            <w:r>
              <w:rPr>
                <w:rFonts w:ascii="Times New Roman" w:hAnsi="Times New Roman" w:eastAsia="Times New Roman" w:cs="Times New Roman"/>
                <w:i/>
                <w:iCs/>
              </w:rPr>
              <w:t>var</w:t>
            </w:r>
            <w:r>
              <w:rPr>
                <w:rFonts w:ascii="Times New Roman" w:hAnsi="Times New Roman" w:eastAsia="Times New Roman" w:cs="Times New Roman"/>
                <w:i/>
                <w:iCs/>
                <w:spacing w:val="1"/>
              </w:rPr>
              <w:t xml:space="preserve">. </w:t>
            </w:r>
            <w:r>
              <w:rPr>
                <w:rFonts w:ascii="Times New Roman" w:hAnsi="Times New Roman" w:eastAsia="Times New Roman" w:cs="Times New Roman"/>
                <w:i/>
                <w:iCs/>
              </w:rPr>
              <w:t>Latiusculum</w:t>
            </w:r>
            <w:r>
              <w:rPr>
                <w:rFonts w:ascii="Times New Roman" w:hAnsi="Times New Roman" w:eastAsia="Times New Roman" w:cs="Times New Roman"/>
                <w:i/>
                <w:iCs/>
                <w:spacing w:val="-15"/>
              </w:rPr>
              <w:t xml:space="preserve"> </w:t>
            </w:r>
            <w:r>
              <w:rPr>
                <w:spacing w:val="1"/>
              </w:rPr>
              <w:t>、刺</w:t>
            </w:r>
            <w:r>
              <w:rPr>
                <w:spacing w:val="-72"/>
              </w:rPr>
              <w:t xml:space="preserve"> </w:t>
            </w:r>
            <w:r>
              <w:rPr>
                <w:spacing w:val="1"/>
              </w:rPr>
              <w:t>芒野</w:t>
            </w:r>
            <w:r>
              <w:rPr>
                <w:spacing w:val="-69"/>
              </w:rPr>
              <w:t xml:space="preserve"> </w:t>
            </w:r>
            <w:r>
              <w:rPr>
                <w:spacing w:val="1"/>
              </w:rPr>
              <w:t>古草</w:t>
            </w:r>
            <w:r>
              <w:t xml:space="preserve"> </w:t>
            </w:r>
            <w:r>
              <w:rPr>
                <w:rFonts w:ascii="Times New Roman" w:hAnsi="Times New Roman" w:eastAsia="Times New Roman" w:cs="Times New Roman"/>
                <w:i/>
                <w:iCs/>
              </w:rPr>
              <w:t>Arundinella</w:t>
            </w:r>
            <w:r>
              <w:rPr>
                <w:rFonts w:ascii="Times New Roman" w:hAnsi="Times New Roman" w:eastAsia="Times New Roman" w:cs="Times New Roman"/>
                <w:i/>
                <w:iCs/>
                <w:spacing w:val="43"/>
              </w:rPr>
              <w:t xml:space="preserve"> </w:t>
            </w:r>
            <w:r>
              <w:rPr>
                <w:rFonts w:ascii="Times New Roman" w:hAnsi="Times New Roman" w:eastAsia="Times New Roman" w:cs="Times New Roman"/>
                <w:i/>
                <w:iCs/>
              </w:rPr>
              <w:t>setosa</w:t>
            </w:r>
            <w:r>
              <w:rPr>
                <w:rFonts w:ascii="Times New Roman" w:hAnsi="Times New Roman" w:eastAsia="Times New Roman" w:cs="Times New Roman"/>
                <w:i/>
                <w:iCs/>
                <w:spacing w:val="-10"/>
              </w:rPr>
              <w:t xml:space="preserve"> </w:t>
            </w:r>
            <w:r>
              <w:rPr>
                <w:spacing w:val="27"/>
              </w:rPr>
              <w:t>、荩草</w:t>
            </w:r>
            <w:r>
              <w:rPr>
                <w:spacing w:val="-40"/>
              </w:rPr>
              <w:t xml:space="preserve"> </w:t>
            </w:r>
            <w:r>
              <w:rPr>
                <w:rFonts w:ascii="Times New Roman" w:hAnsi="Times New Roman" w:eastAsia="Times New Roman" w:cs="Times New Roman"/>
                <w:i/>
                <w:iCs/>
              </w:rPr>
              <w:t>Arthraxonhispidus</w:t>
            </w:r>
            <w:r>
              <w:rPr>
                <w:rFonts w:ascii="Times New Roman" w:hAnsi="Times New Roman" w:eastAsia="Times New Roman" w:cs="Times New Roman"/>
                <w:i/>
                <w:iCs/>
                <w:spacing w:val="27"/>
              </w:rPr>
              <w:t xml:space="preserve"> </w:t>
            </w:r>
            <w:r>
              <w:rPr>
                <w:spacing w:val="27"/>
              </w:rPr>
              <w:t>、凤尾蕨</w:t>
            </w:r>
            <w:r>
              <w:rPr>
                <w:spacing w:val="-54"/>
              </w:rPr>
              <w:t xml:space="preserve"> </w:t>
            </w:r>
            <w:r>
              <w:rPr>
                <w:rFonts w:ascii="Times New Roman" w:hAnsi="Times New Roman" w:eastAsia="Times New Roman" w:cs="Times New Roman"/>
                <w:i/>
                <w:iCs/>
              </w:rPr>
              <w:t>Pteris</w:t>
            </w:r>
            <w:r>
              <w:rPr>
                <w:rFonts w:ascii="Times New Roman" w:hAnsi="Times New Roman" w:eastAsia="Times New Roman" w:cs="Times New Roman"/>
                <w:i/>
                <w:iCs/>
                <w:spacing w:val="27"/>
              </w:rPr>
              <w:t xml:space="preserve"> </w:t>
            </w:r>
            <w:r>
              <w:rPr>
                <w:rFonts w:ascii="Times New Roman" w:hAnsi="Times New Roman" w:eastAsia="Times New Roman" w:cs="Times New Roman"/>
                <w:i/>
                <w:iCs/>
              </w:rPr>
              <w:t>vittata</w:t>
            </w:r>
            <w:r>
              <w:rPr>
                <w:rFonts w:ascii="Times New Roman" w:hAnsi="Times New Roman" w:eastAsia="Times New Roman" w:cs="Times New Roman"/>
                <w:i/>
                <w:iCs/>
                <w:spacing w:val="-23"/>
              </w:rPr>
              <w:t xml:space="preserve"> </w:t>
            </w:r>
            <w:r>
              <w:rPr>
                <w:i/>
                <w:iCs/>
                <w:spacing w:val="27"/>
                <w:sz w:val="25"/>
                <w:szCs w:val="25"/>
              </w:rPr>
              <w:t>、</w:t>
            </w:r>
            <w:r>
              <w:rPr>
                <w:spacing w:val="27"/>
              </w:rPr>
              <w:t>鬼针草</w:t>
            </w:r>
            <w:r>
              <w:t xml:space="preserve"> </w:t>
            </w:r>
            <w:r>
              <w:rPr>
                <w:rFonts w:ascii="Times New Roman" w:hAnsi="Times New Roman" w:eastAsia="Times New Roman" w:cs="Times New Roman"/>
                <w:i/>
                <w:iCs/>
              </w:rPr>
              <w:t>Bidens</w:t>
            </w:r>
            <w:r>
              <w:rPr>
                <w:rFonts w:ascii="Times New Roman" w:hAnsi="Times New Roman" w:eastAsia="Times New Roman" w:cs="Times New Roman"/>
                <w:i/>
                <w:iCs/>
                <w:spacing w:val="13"/>
              </w:rPr>
              <w:t xml:space="preserve">   </w:t>
            </w:r>
            <w:r>
              <w:rPr>
                <w:rFonts w:ascii="Times New Roman" w:hAnsi="Times New Roman" w:eastAsia="Times New Roman" w:cs="Times New Roman"/>
                <w:i/>
                <w:iCs/>
              </w:rPr>
              <w:t>bipinnata</w:t>
            </w:r>
            <w:r>
              <w:rPr>
                <w:rFonts w:ascii="Times New Roman" w:hAnsi="Times New Roman" w:eastAsia="Times New Roman" w:cs="Times New Roman"/>
                <w:i/>
                <w:iCs/>
                <w:spacing w:val="13"/>
              </w:rPr>
              <w:t xml:space="preserve">  </w:t>
            </w:r>
            <w:r>
              <w:rPr>
                <w:spacing w:val="13"/>
              </w:rPr>
              <w:t>、 千 里</w:t>
            </w:r>
            <w:r>
              <w:rPr>
                <w:spacing w:val="17"/>
              </w:rPr>
              <w:t xml:space="preserve"> </w:t>
            </w:r>
            <w:r>
              <w:rPr>
                <w:spacing w:val="13"/>
              </w:rPr>
              <w:t>光</w:t>
            </w:r>
            <w:r>
              <w:rPr>
                <w:spacing w:val="82"/>
              </w:rPr>
              <w:t xml:space="preserve"> </w:t>
            </w:r>
            <w:r>
              <w:rPr>
                <w:rFonts w:ascii="Times New Roman" w:hAnsi="Times New Roman" w:eastAsia="Times New Roman" w:cs="Times New Roman"/>
              </w:rPr>
              <w:t>Senecioscandens</w:t>
            </w:r>
            <w:r>
              <w:rPr>
                <w:rFonts w:ascii="Times New Roman" w:hAnsi="Times New Roman" w:eastAsia="Times New Roman" w:cs="Times New Roman"/>
                <w:spacing w:val="13"/>
              </w:rPr>
              <w:t xml:space="preserve">  </w:t>
            </w:r>
            <w:r>
              <w:rPr>
                <w:spacing w:val="13"/>
              </w:rPr>
              <w:t>、</w:t>
            </w:r>
            <w:r>
              <w:rPr>
                <w:spacing w:val="16"/>
              </w:rPr>
              <w:t xml:space="preserve"> </w:t>
            </w:r>
            <w:r>
              <w:rPr>
                <w:spacing w:val="13"/>
              </w:rPr>
              <w:t>土</w:t>
            </w:r>
            <w:r>
              <w:rPr>
                <w:spacing w:val="18"/>
              </w:rPr>
              <w:t xml:space="preserve"> </w:t>
            </w:r>
            <w:r>
              <w:rPr>
                <w:spacing w:val="13"/>
              </w:rPr>
              <w:t>荆</w:t>
            </w:r>
            <w:r>
              <w:rPr>
                <w:spacing w:val="17"/>
              </w:rPr>
              <w:t xml:space="preserve"> </w:t>
            </w:r>
            <w:r>
              <w:rPr>
                <w:spacing w:val="13"/>
              </w:rPr>
              <w:t>芥</w:t>
            </w:r>
            <w:r>
              <w:rPr>
                <w:spacing w:val="83"/>
              </w:rPr>
              <w:t xml:space="preserve"> </w:t>
            </w:r>
            <w:r>
              <w:rPr>
                <w:rFonts w:ascii="Times New Roman" w:hAnsi="Times New Roman" w:eastAsia="Times New Roman" w:cs="Times New Roman"/>
                <w:i/>
                <w:iCs/>
              </w:rPr>
              <w:t>Chenopdium ambrosioides</w:t>
            </w:r>
            <w:r>
              <w:rPr>
                <w:rFonts w:ascii="Times New Roman" w:hAnsi="Times New Roman" w:eastAsia="Times New Roman" w:cs="Times New Roman"/>
                <w:i/>
                <w:iCs/>
                <w:spacing w:val="-19"/>
              </w:rPr>
              <w:t xml:space="preserve"> </w:t>
            </w:r>
            <w:r>
              <w:rPr>
                <w:spacing w:val="32"/>
              </w:rPr>
              <w:t>、云南唐松草</w:t>
            </w:r>
            <w:r>
              <w:rPr>
                <w:spacing w:val="-19"/>
              </w:rPr>
              <w:t xml:space="preserve"> </w:t>
            </w:r>
            <w:r>
              <w:rPr>
                <w:rFonts w:ascii="Times New Roman" w:hAnsi="Times New Roman" w:eastAsia="Times New Roman" w:cs="Times New Roman"/>
                <w:i/>
                <w:iCs/>
              </w:rPr>
              <w:t>Thalictrum</w:t>
            </w:r>
            <w:r>
              <w:rPr>
                <w:rFonts w:ascii="Times New Roman" w:hAnsi="Times New Roman" w:eastAsia="Times New Roman" w:cs="Times New Roman"/>
                <w:i/>
                <w:iCs/>
                <w:spacing w:val="32"/>
              </w:rPr>
              <w:t xml:space="preserve"> </w:t>
            </w:r>
            <w:r>
              <w:rPr>
                <w:rFonts w:ascii="Times New Roman" w:hAnsi="Times New Roman" w:eastAsia="Times New Roman" w:cs="Times New Roman"/>
                <w:i/>
                <w:iCs/>
              </w:rPr>
              <w:t>yumnanensevar</w:t>
            </w:r>
            <w:r>
              <w:rPr>
                <w:rFonts w:ascii="Times New Roman" w:hAnsi="Times New Roman" w:eastAsia="Times New Roman" w:cs="Times New Roman"/>
                <w:i/>
                <w:iCs/>
                <w:spacing w:val="32"/>
              </w:rPr>
              <w:t xml:space="preserve">. </w:t>
            </w:r>
            <w:r>
              <w:rPr>
                <w:rFonts w:ascii="Times New Roman" w:hAnsi="Times New Roman" w:eastAsia="Times New Roman" w:cs="Times New Roman"/>
                <w:i/>
                <w:iCs/>
              </w:rPr>
              <w:t>yunnanense</w:t>
            </w:r>
            <w:r>
              <w:rPr>
                <w:rFonts w:ascii="Times New Roman" w:hAnsi="Times New Roman" w:eastAsia="Times New Roman" w:cs="Times New Roman"/>
                <w:i/>
                <w:iCs/>
                <w:spacing w:val="-20"/>
              </w:rPr>
              <w:t xml:space="preserve"> </w:t>
            </w:r>
            <w:r>
              <w:rPr>
                <w:spacing w:val="32"/>
              </w:rPr>
              <w:t>、皱叶狗</w:t>
            </w:r>
            <w:r>
              <w:t xml:space="preserve"> </w:t>
            </w:r>
            <w:r>
              <w:rPr>
                <w:spacing w:val="27"/>
              </w:rPr>
              <w:t>尾草</w:t>
            </w:r>
            <w:r>
              <w:rPr>
                <w:spacing w:val="-39"/>
              </w:rPr>
              <w:t xml:space="preserve"> </w:t>
            </w:r>
            <w:r>
              <w:rPr>
                <w:rFonts w:ascii="Times New Roman" w:hAnsi="Times New Roman" w:eastAsia="Times New Roman" w:cs="Times New Roman"/>
                <w:i/>
                <w:iCs/>
              </w:rPr>
              <w:t>Setaria</w:t>
            </w:r>
            <w:r>
              <w:rPr>
                <w:rFonts w:ascii="Times New Roman" w:hAnsi="Times New Roman" w:eastAsia="Times New Roman" w:cs="Times New Roman"/>
                <w:i/>
                <w:iCs/>
                <w:spacing w:val="-9"/>
              </w:rPr>
              <w:t xml:space="preserve"> </w:t>
            </w:r>
            <w:r>
              <w:rPr>
                <w:rFonts w:ascii="Times New Roman" w:hAnsi="Times New Roman" w:eastAsia="Times New Roman" w:cs="Times New Roman"/>
                <w:i/>
                <w:iCs/>
              </w:rPr>
              <w:t>plicata</w:t>
            </w:r>
            <w:r>
              <w:rPr>
                <w:spacing w:val="27"/>
              </w:rPr>
              <w:t>、香青</w:t>
            </w:r>
            <w:r>
              <w:rPr>
                <w:spacing w:val="-52"/>
              </w:rPr>
              <w:t xml:space="preserve"> </w:t>
            </w:r>
            <w:r>
              <w:rPr>
                <w:rFonts w:ascii="Times New Roman" w:hAnsi="Times New Roman" w:eastAsia="Times New Roman" w:cs="Times New Roman"/>
                <w:i/>
                <w:iCs/>
              </w:rPr>
              <w:t>Anaphalis</w:t>
            </w:r>
            <w:r>
              <w:rPr>
                <w:rFonts w:ascii="Times New Roman" w:hAnsi="Times New Roman" w:eastAsia="Times New Roman" w:cs="Times New Roman"/>
                <w:i/>
                <w:iCs/>
                <w:spacing w:val="27"/>
              </w:rPr>
              <w:t xml:space="preserve"> </w:t>
            </w:r>
            <w:r>
              <w:rPr>
                <w:rFonts w:ascii="Times New Roman" w:hAnsi="Times New Roman" w:eastAsia="Times New Roman" w:cs="Times New Roman"/>
                <w:i/>
                <w:iCs/>
              </w:rPr>
              <w:t>sinica</w:t>
            </w:r>
            <w:r>
              <w:rPr>
                <w:spacing w:val="27"/>
              </w:rPr>
              <w:t>、细柄草</w:t>
            </w:r>
            <w:r>
              <w:rPr>
                <w:spacing w:val="-44"/>
              </w:rPr>
              <w:t xml:space="preserve"> </w:t>
            </w:r>
            <w:r>
              <w:rPr>
                <w:rFonts w:ascii="Times New Roman" w:hAnsi="Times New Roman" w:eastAsia="Times New Roman" w:cs="Times New Roman"/>
                <w:i/>
                <w:iCs/>
              </w:rPr>
              <w:t xml:space="preserve">Capillipediumparviflorum </w:t>
            </w:r>
            <w:r>
              <w:rPr>
                <w:spacing w:val="10"/>
              </w:rPr>
              <w:t>等种类。</w:t>
            </w:r>
          </w:p>
          <w:p w14:paraId="5EE4DA61">
            <w:pPr>
              <w:pStyle w:val="6"/>
              <w:spacing w:before="103" w:line="319" w:lineRule="auto"/>
              <w:ind w:left="110" w:right="158" w:firstLine="512"/>
            </w:pPr>
            <w:r>
              <w:rPr>
                <w:spacing w:val="20"/>
              </w:rPr>
              <w:t>藤本植物偶有拉拉藤</w:t>
            </w:r>
            <w:r>
              <w:rPr>
                <w:spacing w:val="-14"/>
              </w:rPr>
              <w:t xml:space="preserve"> </w:t>
            </w:r>
            <w:r>
              <w:rPr>
                <w:rFonts w:ascii="Times New Roman" w:hAnsi="Times New Roman" w:eastAsia="Times New Roman" w:cs="Times New Roman"/>
                <w:i/>
                <w:iCs/>
              </w:rPr>
              <w:t>Galium</w:t>
            </w:r>
            <w:r>
              <w:rPr>
                <w:rFonts w:ascii="Times New Roman" w:hAnsi="Times New Roman" w:eastAsia="Times New Roman" w:cs="Times New Roman"/>
                <w:i/>
                <w:iCs/>
                <w:spacing w:val="19"/>
              </w:rPr>
              <w:t xml:space="preserve"> </w:t>
            </w:r>
            <w:r>
              <w:rPr>
                <w:rFonts w:ascii="Times New Roman" w:hAnsi="Times New Roman" w:eastAsia="Times New Roman" w:cs="Times New Roman"/>
                <w:i/>
                <w:iCs/>
              </w:rPr>
              <w:t>spurium</w:t>
            </w:r>
            <w:r>
              <w:rPr>
                <w:rFonts w:ascii="Times New Roman" w:hAnsi="Times New Roman" w:eastAsia="Times New Roman" w:cs="Times New Roman"/>
                <w:i/>
                <w:iCs/>
                <w:spacing w:val="-23"/>
              </w:rPr>
              <w:t xml:space="preserve"> </w:t>
            </w:r>
            <w:r>
              <w:rPr>
                <w:i/>
                <w:iCs/>
                <w:spacing w:val="20"/>
                <w:sz w:val="25"/>
                <w:szCs w:val="25"/>
              </w:rPr>
              <w:t>、</w:t>
            </w:r>
            <w:r>
              <w:rPr>
                <w:spacing w:val="20"/>
              </w:rPr>
              <w:t>云南忍冬</w:t>
            </w:r>
            <w:r>
              <w:rPr>
                <w:spacing w:val="-49"/>
              </w:rPr>
              <w:t xml:space="preserve"> </w:t>
            </w:r>
            <w:r>
              <w:rPr>
                <w:rFonts w:ascii="Times New Roman" w:hAnsi="Times New Roman" w:eastAsia="Times New Roman" w:cs="Times New Roman"/>
                <w:i/>
                <w:iCs/>
              </w:rPr>
              <w:t>Lonicera</w:t>
            </w:r>
            <w:r>
              <w:rPr>
                <w:rFonts w:ascii="Times New Roman" w:hAnsi="Times New Roman" w:eastAsia="Times New Roman" w:cs="Times New Roman"/>
                <w:i/>
                <w:iCs/>
                <w:spacing w:val="20"/>
              </w:rPr>
              <w:t xml:space="preserve"> </w:t>
            </w:r>
            <w:r>
              <w:rPr>
                <w:rFonts w:ascii="Times New Roman" w:hAnsi="Times New Roman" w:eastAsia="Times New Roman" w:cs="Times New Roman"/>
                <w:i/>
                <w:iCs/>
              </w:rPr>
              <w:t>ynanensis</w:t>
            </w:r>
            <w:r>
              <w:rPr>
                <w:spacing w:val="20"/>
              </w:rPr>
              <w:t>、</w:t>
            </w:r>
            <w:r>
              <w:t xml:space="preserve"> </w:t>
            </w:r>
            <w:r>
              <w:rPr>
                <w:spacing w:val="29"/>
              </w:rPr>
              <w:t>土茯苓</w:t>
            </w:r>
            <w:r>
              <w:rPr>
                <w:spacing w:val="-31"/>
              </w:rPr>
              <w:t xml:space="preserve"> </w:t>
            </w:r>
            <w:r>
              <w:rPr>
                <w:rFonts w:ascii="Times New Roman" w:hAnsi="Times New Roman" w:eastAsia="Times New Roman" w:cs="Times New Roman"/>
                <w:i/>
                <w:iCs/>
              </w:rPr>
              <w:t>Smilax</w:t>
            </w:r>
            <w:r>
              <w:rPr>
                <w:rFonts w:ascii="Times New Roman" w:hAnsi="Times New Roman" w:eastAsia="Times New Roman" w:cs="Times New Roman"/>
                <w:i/>
                <w:iCs/>
                <w:spacing w:val="29"/>
              </w:rPr>
              <w:t xml:space="preserve"> </w:t>
            </w:r>
            <w:r>
              <w:rPr>
                <w:rFonts w:ascii="Times New Roman" w:hAnsi="Times New Roman" w:eastAsia="Times New Roman" w:cs="Times New Roman"/>
                <w:i/>
                <w:iCs/>
              </w:rPr>
              <w:t>glabra</w:t>
            </w:r>
            <w:r>
              <w:rPr>
                <w:rFonts w:ascii="Times New Roman" w:hAnsi="Times New Roman" w:eastAsia="Times New Roman" w:cs="Times New Roman"/>
                <w:i/>
                <w:iCs/>
                <w:spacing w:val="-21"/>
              </w:rPr>
              <w:t xml:space="preserve"> </w:t>
            </w:r>
            <w:r>
              <w:rPr>
                <w:spacing w:val="29"/>
              </w:rPr>
              <w:t>、黄泡</w:t>
            </w:r>
            <w:r>
              <w:rPr>
                <w:spacing w:val="-46"/>
              </w:rPr>
              <w:t xml:space="preserve"> </w:t>
            </w:r>
            <w:r>
              <w:rPr>
                <w:rFonts w:ascii="Times New Roman" w:hAnsi="Times New Roman" w:eastAsia="Times New Roman" w:cs="Times New Roman"/>
                <w:i/>
                <w:iCs/>
              </w:rPr>
              <w:t>Rubus</w:t>
            </w:r>
            <w:r>
              <w:rPr>
                <w:rFonts w:ascii="Times New Roman" w:hAnsi="Times New Roman" w:eastAsia="Times New Roman" w:cs="Times New Roman"/>
                <w:i/>
                <w:iCs/>
                <w:spacing w:val="26"/>
                <w:w w:val="101"/>
              </w:rPr>
              <w:t xml:space="preserve"> </w:t>
            </w:r>
            <w:r>
              <w:rPr>
                <w:rFonts w:ascii="Times New Roman" w:hAnsi="Times New Roman" w:eastAsia="Times New Roman" w:cs="Times New Roman"/>
                <w:i/>
                <w:iCs/>
              </w:rPr>
              <w:t>ellipticus</w:t>
            </w:r>
            <w:r>
              <w:rPr>
                <w:rFonts w:ascii="Times New Roman" w:hAnsi="Times New Roman" w:eastAsia="Times New Roman" w:cs="Times New Roman"/>
                <w:i/>
                <w:iCs/>
                <w:spacing w:val="27"/>
              </w:rPr>
              <w:t xml:space="preserve"> </w:t>
            </w:r>
            <w:r>
              <w:rPr>
                <w:rFonts w:ascii="Times New Roman" w:hAnsi="Times New Roman" w:eastAsia="Times New Roman" w:cs="Times New Roman"/>
                <w:i/>
                <w:iCs/>
              </w:rPr>
              <w:t>var</w:t>
            </w:r>
            <w:r>
              <w:rPr>
                <w:rFonts w:ascii="Times New Roman" w:hAnsi="Times New Roman" w:eastAsia="Times New Roman" w:cs="Times New Roman"/>
                <w:i/>
                <w:iCs/>
                <w:spacing w:val="29"/>
              </w:rPr>
              <w:t>.</w:t>
            </w:r>
            <w:r>
              <w:rPr>
                <w:rFonts w:ascii="Times New Roman" w:hAnsi="Times New Roman" w:eastAsia="Times New Roman" w:cs="Times New Roman"/>
                <w:i/>
                <w:iCs/>
              </w:rPr>
              <w:t>obcordatus</w:t>
            </w:r>
            <w:r>
              <w:rPr>
                <w:spacing w:val="29"/>
              </w:rPr>
              <w:t>。</w:t>
            </w:r>
          </w:p>
          <w:p w14:paraId="18BBB69D">
            <w:pPr>
              <w:pStyle w:val="6"/>
              <w:spacing w:before="128" w:line="219" w:lineRule="auto"/>
              <w:ind w:left="600"/>
            </w:pPr>
            <w:r>
              <w:rPr>
                <w:spacing w:val="-3"/>
              </w:rPr>
              <w:t>（五）暖性石灰岩灌丛</w:t>
            </w:r>
          </w:p>
          <w:p w14:paraId="40221E53">
            <w:pPr>
              <w:pStyle w:val="6"/>
              <w:spacing w:before="180" w:line="217" w:lineRule="auto"/>
              <w:ind w:left="588"/>
            </w:pPr>
            <w:r>
              <w:rPr>
                <w:spacing w:val="-2"/>
              </w:rPr>
              <w:t>①火棘灌丛</w:t>
            </w:r>
          </w:p>
          <w:p w14:paraId="6EDEFA93">
            <w:pPr>
              <w:pStyle w:val="6"/>
              <w:spacing w:before="178" w:line="351" w:lineRule="auto"/>
              <w:ind w:left="94" w:right="102" w:firstLine="496"/>
            </w:pPr>
            <w:r>
              <w:t>火棘灌丛是区域内森林植被受长期人为活动破坏后形成的次生植被，常呈</w:t>
            </w:r>
            <w:r>
              <w:rPr>
                <w:spacing w:val="11"/>
              </w:rPr>
              <w:t xml:space="preserve"> </w:t>
            </w:r>
            <w:r>
              <w:rPr>
                <w:spacing w:val="1"/>
              </w:rPr>
              <w:t>片状分布于林缘和干燥的向阳山坡，相对而言群落分布地段</w:t>
            </w:r>
            <w:r>
              <w:t xml:space="preserve">生境较为恶劣，一 </w:t>
            </w:r>
            <w:r>
              <w:rPr>
                <w:spacing w:val="1"/>
              </w:rPr>
              <w:t>般在土层十分浅薄和地表有岩石露头。其植物种类以火棘为常见</w:t>
            </w:r>
            <w:r>
              <w:t>种和优势种， 基无乔木层。灌木层高</w:t>
            </w:r>
            <w:r>
              <w:rPr>
                <w:spacing w:val="-32"/>
              </w:rPr>
              <w:t xml:space="preserve"> </w:t>
            </w:r>
            <w:r>
              <w:rPr>
                <w:rFonts w:ascii="Times New Roman" w:hAnsi="Times New Roman" w:eastAsia="Times New Roman" w:cs="Times New Roman"/>
              </w:rPr>
              <w:t>1~2m</w:t>
            </w:r>
            <w:r>
              <w:rPr>
                <w:rFonts w:ascii="Times New Roman" w:hAnsi="Times New Roman" w:eastAsia="Times New Roman" w:cs="Times New Roman"/>
                <w:spacing w:val="-30"/>
              </w:rPr>
              <w:t xml:space="preserve"> </w:t>
            </w:r>
            <w:r>
              <w:t>，有主要有火棘</w:t>
            </w:r>
            <w:r>
              <w:rPr>
                <w:spacing w:val="-65"/>
              </w:rPr>
              <w:t xml:space="preserve"> </w:t>
            </w:r>
            <w:r>
              <w:rPr>
                <w:rFonts w:ascii="Times New Roman" w:hAnsi="Times New Roman" w:eastAsia="Times New Roman" w:cs="Times New Roman"/>
                <w:i/>
                <w:iCs/>
              </w:rPr>
              <w:t>Pyracantha</w:t>
            </w:r>
            <w:r>
              <w:rPr>
                <w:rFonts w:ascii="Times New Roman" w:hAnsi="Times New Roman" w:eastAsia="Times New Roman" w:cs="Times New Roman"/>
                <w:i/>
                <w:iCs/>
                <w:spacing w:val="-40"/>
              </w:rPr>
              <w:t xml:space="preserve"> </w:t>
            </w:r>
            <w:r>
              <w:rPr>
                <w:rFonts w:ascii="Times New Roman" w:hAnsi="Times New Roman" w:eastAsia="Times New Roman" w:cs="Times New Roman"/>
                <w:i/>
                <w:iCs/>
                <w:spacing w:val="-1"/>
              </w:rPr>
              <w:t>fortuneana</w:t>
            </w:r>
            <w:r>
              <w:rPr>
                <w:spacing w:val="-1"/>
              </w:rPr>
              <w:t>、西南栒子</w:t>
            </w:r>
            <w:r>
              <w:t xml:space="preserve"> </w:t>
            </w:r>
            <w:r>
              <w:rPr>
                <w:rFonts w:ascii="Times New Roman" w:hAnsi="Times New Roman" w:eastAsia="Times New Roman" w:cs="Times New Roman"/>
                <w:i/>
                <w:iCs/>
              </w:rPr>
              <w:t>Cotoneaster</w:t>
            </w:r>
            <w:r>
              <w:rPr>
                <w:rFonts w:ascii="Times New Roman" w:hAnsi="Times New Roman" w:eastAsia="Times New Roman" w:cs="Times New Roman"/>
                <w:i/>
                <w:iCs/>
                <w:spacing w:val="-45"/>
              </w:rPr>
              <w:t xml:space="preserve"> </w:t>
            </w:r>
            <w:r>
              <w:rPr>
                <w:rFonts w:ascii="Times New Roman" w:hAnsi="Times New Roman" w:eastAsia="Times New Roman" w:cs="Times New Roman"/>
                <w:i/>
                <w:iCs/>
              </w:rPr>
              <w:t>franchetii</w:t>
            </w:r>
            <w:r>
              <w:rPr>
                <w:rFonts w:ascii="Times New Roman" w:hAnsi="Times New Roman" w:eastAsia="Times New Roman" w:cs="Times New Roman"/>
                <w:i/>
                <w:iCs/>
                <w:spacing w:val="-33"/>
              </w:rPr>
              <w:t xml:space="preserve"> </w:t>
            </w:r>
            <w:r>
              <w:t>、西南金丝桃</w:t>
            </w:r>
            <w:r>
              <w:rPr>
                <w:spacing w:val="-66"/>
              </w:rPr>
              <w:t xml:space="preserve"> </w:t>
            </w:r>
            <w:r>
              <w:rPr>
                <w:rFonts w:ascii="Times New Roman" w:hAnsi="Times New Roman" w:eastAsia="Times New Roman" w:cs="Times New Roman"/>
                <w:i/>
                <w:iCs/>
              </w:rPr>
              <w:t>Hper</w:t>
            </w:r>
            <w:r>
              <w:rPr>
                <w:rFonts w:ascii="Times New Roman" w:hAnsi="Times New Roman" w:eastAsia="Times New Roman" w:cs="Times New Roman"/>
                <w:i/>
                <w:iCs/>
                <w:spacing w:val="-1"/>
              </w:rPr>
              <w:t>icumhenryi</w:t>
            </w:r>
            <w:r>
              <w:rPr>
                <w:rFonts w:ascii="Times New Roman" w:hAnsi="Times New Roman" w:eastAsia="Times New Roman" w:cs="Times New Roman"/>
                <w:i/>
                <w:iCs/>
                <w:spacing w:val="-30"/>
              </w:rPr>
              <w:t xml:space="preserve"> </w:t>
            </w:r>
            <w:r>
              <w:rPr>
                <w:spacing w:val="-1"/>
              </w:rPr>
              <w:t>、马桑</w:t>
            </w:r>
            <w:r>
              <w:rPr>
                <w:spacing w:val="-44"/>
              </w:rPr>
              <w:t xml:space="preserve"> </w:t>
            </w:r>
            <w:r>
              <w:rPr>
                <w:rFonts w:ascii="Times New Roman" w:hAnsi="Times New Roman" w:eastAsia="Times New Roman" w:cs="Times New Roman"/>
                <w:i/>
                <w:iCs/>
                <w:spacing w:val="-1"/>
              </w:rPr>
              <w:t>Coriaria nepalensis</w:t>
            </w:r>
            <w:r>
              <w:rPr>
                <w:rFonts w:ascii="Times New Roman" w:hAnsi="Times New Roman" w:eastAsia="Times New Roman" w:cs="Times New Roman"/>
                <w:i/>
                <w:iCs/>
                <w:spacing w:val="-34"/>
              </w:rPr>
              <w:t xml:space="preserve"> </w:t>
            </w:r>
            <w:r>
              <w:rPr>
                <w:spacing w:val="-1"/>
              </w:rPr>
              <w:t>、</w:t>
            </w:r>
            <w:r>
              <w:t xml:space="preserve"> </w:t>
            </w:r>
            <w:r>
              <w:rPr>
                <w:spacing w:val="-1"/>
              </w:rPr>
              <w:t>野</w:t>
            </w:r>
            <w:r>
              <w:rPr>
                <w:spacing w:val="-58"/>
              </w:rPr>
              <w:t xml:space="preserve"> </w:t>
            </w:r>
            <w:r>
              <w:rPr>
                <w:spacing w:val="-1"/>
              </w:rPr>
              <w:t>拔</w:t>
            </w:r>
            <w:r>
              <w:rPr>
                <w:spacing w:val="-54"/>
              </w:rPr>
              <w:t xml:space="preserve"> </w:t>
            </w:r>
            <w:r>
              <w:rPr>
                <w:spacing w:val="-1"/>
              </w:rPr>
              <w:t xml:space="preserve">子 </w:t>
            </w:r>
            <w:r>
              <w:rPr>
                <w:rFonts w:ascii="Times New Roman" w:hAnsi="Times New Roman" w:eastAsia="Times New Roman" w:cs="Times New Roman"/>
                <w:i/>
                <w:iCs/>
                <w:spacing w:val="-1"/>
              </w:rPr>
              <w:t xml:space="preserve">Elsholtziarugulosd </w:t>
            </w:r>
            <w:r>
              <w:rPr>
                <w:spacing w:val="-1"/>
              </w:rPr>
              <w:t>、</w:t>
            </w:r>
            <w:r>
              <w:rPr>
                <w:spacing w:val="-59"/>
              </w:rPr>
              <w:t xml:space="preserve"> </w:t>
            </w:r>
            <w:r>
              <w:rPr>
                <w:spacing w:val="-1"/>
              </w:rPr>
              <w:t>粉</w:t>
            </w:r>
            <w:r>
              <w:rPr>
                <w:spacing w:val="-40"/>
              </w:rPr>
              <w:t xml:space="preserve"> </w:t>
            </w:r>
            <w:r>
              <w:rPr>
                <w:spacing w:val="-1"/>
              </w:rPr>
              <w:t>叶</w:t>
            </w:r>
            <w:r>
              <w:rPr>
                <w:spacing w:val="-52"/>
              </w:rPr>
              <w:t xml:space="preserve"> </w:t>
            </w:r>
            <w:r>
              <w:rPr>
                <w:spacing w:val="-1"/>
              </w:rPr>
              <w:t>小</w:t>
            </w:r>
            <w:r>
              <w:rPr>
                <w:spacing w:val="-58"/>
              </w:rPr>
              <w:t xml:space="preserve"> </w:t>
            </w:r>
            <w:r>
              <w:rPr>
                <w:spacing w:val="-1"/>
              </w:rPr>
              <w:t xml:space="preserve">檗 </w:t>
            </w:r>
            <w:r>
              <w:rPr>
                <w:rFonts w:ascii="Times New Roman" w:hAnsi="Times New Roman" w:eastAsia="Times New Roman" w:cs="Times New Roman"/>
                <w:i/>
                <w:iCs/>
                <w:spacing w:val="-1"/>
              </w:rPr>
              <w:t>Berberis</w:t>
            </w:r>
            <w:r>
              <w:rPr>
                <w:rFonts w:ascii="Times New Roman" w:hAnsi="Times New Roman" w:eastAsia="Times New Roman" w:cs="Times New Roman"/>
                <w:i/>
                <w:iCs/>
                <w:spacing w:val="30"/>
              </w:rPr>
              <w:t xml:space="preserve"> </w:t>
            </w:r>
            <w:r>
              <w:rPr>
                <w:rFonts w:ascii="Times New Roman" w:hAnsi="Times New Roman" w:eastAsia="Times New Roman" w:cs="Times New Roman"/>
                <w:i/>
                <w:iCs/>
                <w:spacing w:val="-1"/>
              </w:rPr>
              <w:t>pruino</w:t>
            </w:r>
            <w:r>
              <w:rPr>
                <w:rFonts w:ascii="Times New Roman" w:hAnsi="Times New Roman" w:eastAsia="Times New Roman" w:cs="Times New Roman"/>
                <w:i/>
                <w:iCs/>
                <w:spacing w:val="-2"/>
              </w:rPr>
              <w:t>sa</w:t>
            </w:r>
            <w:r>
              <w:rPr>
                <w:rFonts w:ascii="Times New Roman" w:hAnsi="Times New Roman" w:eastAsia="Times New Roman" w:cs="Times New Roman"/>
                <w:i/>
                <w:iCs/>
                <w:spacing w:val="47"/>
                <w:w w:val="101"/>
              </w:rPr>
              <w:t xml:space="preserve"> </w:t>
            </w:r>
            <w:r>
              <w:rPr>
                <w:rFonts w:ascii="Times New Roman" w:hAnsi="Times New Roman" w:eastAsia="Times New Roman" w:cs="Times New Roman"/>
                <w:i/>
                <w:iCs/>
                <w:spacing w:val="-2"/>
              </w:rPr>
              <w:t>Franch.</w:t>
            </w:r>
            <w:r>
              <w:rPr>
                <w:rFonts w:ascii="Times New Roman" w:hAnsi="Times New Roman" w:eastAsia="Times New Roman" w:cs="Times New Roman"/>
                <w:i/>
                <w:iCs/>
                <w:spacing w:val="20"/>
              </w:rPr>
              <w:t xml:space="preserve"> </w:t>
            </w:r>
            <w:r>
              <w:rPr>
                <w:i/>
                <w:iCs/>
                <w:spacing w:val="-2"/>
                <w:sz w:val="25"/>
                <w:szCs w:val="25"/>
              </w:rPr>
              <w:t>、</w:t>
            </w:r>
            <w:r>
              <w:rPr>
                <w:spacing w:val="-2"/>
              </w:rPr>
              <w:t>小</w:t>
            </w:r>
            <w:r>
              <w:rPr>
                <w:spacing w:val="-55"/>
              </w:rPr>
              <w:t xml:space="preserve"> </w:t>
            </w:r>
            <w:r>
              <w:rPr>
                <w:spacing w:val="-2"/>
              </w:rPr>
              <w:t>雀</w:t>
            </w:r>
            <w:r>
              <w:rPr>
                <w:spacing w:val="-55"/>
              </w:rPr>
              <w:t xml:space="preserve"> </w:t>
            </w:r>
            <w:r>
              <w:rPr>
                <w:spacing w:val="-2"/>
              </w:rPr>
              <w:t>花</w:t>
            </w:r>
            <w:r>
              <w:t xml:space="preserve"> </w:t>
            </w:r>
            <w:r>
              <w:rPr>
                <w:rFonts w:ascii="Times New Roman" w:hAnsi="Times New Roman" w:eastAsia="Times New Roman" w:cs="Times New Roman"/>
                <w:i/>
                <w:iCs/>
                <w:spacing w:val="-2"/>
              </w:rPr>
              <w:t>Campylotropispobyantha</w:t>
            </w:r>
            <w:r>
              <w:rPr>
                <w:rFonts w:ascii="Times New Roman" w:hAnsi="Times New Roman" w:eastAsia="Times New Roman" w:cs="Times New Roman"/>
                <w:i/>
                <w:iCs/>
                <w:spacing w:val="26"/>
              </w:rPr>
              <w:t xml:space="preserve"> </w:t>
            </w:r>
            <w:r>
              <w:rPr>
                <w:spacing w:val="-2"/>
              </w:rPr>
              <w:t>、</w:t>
            </w:r>
            <w:r>
              <w:rPr>
                <w:spacing w:val="-44"/>
              </w:rPr>
              <w:t xml:space="preserve"> </w:t>
            </w:r>
            <w:r>
              <w:rPr>
                <w:spacing w:val="-2"/>
              </w:rPr>
              <w:t>老</w:t>
            </w:r>
            <w:r>
              <w:rPr>
                <w:spacing w:val="-49"/>
              </w:rPr>
              <w:t xml:space="preserve"> </w:t>
            </w:r>
            <w:r>
              <w:rPr>
                <w:spacing w:val="-2"/>
              </w:rPr>
              <w:t xml:space="preserve">泡 </w:t>
            </w:r>
            <w:r>
              <w:rPr>
                <w:rFonts w:ascii="Times New Roman" w:hAnsi="Times New Roman" w:eastAsia="Times New Roman" w:cs="Times New Roman"/>
                <w:i/>
                <w:iCs/>
                <w:spacing w:val="-2"/>
              </w:rPr>
              <w:t>Gaultherialeucocarpa  var.c</w:t>
            </w:r>
            <w:r>
              <w:rPr>
                <w:rFonts w:ascii="Times New Roman" w:hAnsi="Times New Roman" w:eastAsia="Times New Roman" w:cs="Times New Roman"/>
                <w:i/>
                <w:iCs/>
                <w:spacing w:val="-3"/>
              </w:rPr>
              <w:t>renulata</w:t>
            </w:r>
            <w:r>
              <w:rPr>
                <w:rFonts w:ascii="Times New Roman" w:hAnsi="Times New Roman" w:eastAsia="Times New Roman" w:cs="Times New Roman"/>
                <w:i/>
                <w:iCs/>
                <w:spacing w:val="26"/>
                <w:w w:val="101"/>
              </w:rPr>
              <w:t xml:space="preserve"> </w:t>
            </w:r>
            <w:r>
              <w:rPr>
                <w:spacing w:val="-3"/>
              </w:rPr>
              <w:t>、</w:t>
            </w:r>
            <w:r>
              <w:rPr>
                <w:spacing w:val="-49"/>
              </w:rPr>
              <w:t xml:space="preserve"> </w:t>
            </w:r>
            <w:r>
              <w:rPr>
                <w:spacing w:val="-3"/>
              </w:rPr>
              <w:t>清</w:t>
            </w:r>
            <w:r>
              <w:rPr>
                <w:spacing w:val="-48"/>
              </w:rPr>
              <w:t xml:space="preserve"> </w:t>
            </w:r>
            <w:r>
              <w:rPr>
                <w:spacing w:val="-3"/>
              </w:rPr>
              <w:t>香</w:t>
            </w:r>
            <w:r>
              <w:rPr>
                <w:spacing w:val="-45"/>
              </w:rPr>
              <w:t xml:space="preserve"> </w:t>
            </w:r>
            <w:r>
              <w:rPr>
                <w:spacing w:val="-3"/>
              </w:rPr>
              <w:t>木</w:t>
            </w:r>
            <w:r>
              <w:t xml:space="preserve"> </w:t>
            </w:r>
            <w:r>
              <w:rPr>
                <w:rFonts w:ascii="Times New Roman" w:hAnsi="Times New Roman" w:eastAsia="Times New Roman" w:cs="Times New Roman"/>
                <w:i/>
                <w:iCs/>
              </w:rPr>
              <w:t>Pistaciaweinmannifoli</w:t>
            </w:r>
            <w:r>
              <w:rPr>
                <w:rFonts w:ascii="Times New Roman" w:hAnsi="Times New Roman" w:eastAsia="Times New Roman" w:cs="Times New Roman"/>
                <w:i/>
                <w:iCs/>
                <w:spacing w:val="1"/>
              </w:rPr>
              <w:t xml:space="preserve"> </w:t>
            </w:r>
            <w:r>
              <w:rPr>
                <w:spacing w:val="1"/>
              </w:rPr>
              <w:t>等。</w:t>
            </w:r>
          </w:p>
          <w:p w14:paraId="011C821A">
            <w:pPr>
              <w:pStyle w:val="6"/>
              <w:spacing w:before="33" w:line="342" w:lineRule="auto"/>
              <w:ind w:left="97" w:right="101" w:firstLine="493"/>
              <w:jc w:val="both"/>
              <w:rPr>
                <w:rFonts w:ascii="Times New Roman" w:hAnsi="Times New Roman" w:eastAsia="Times New Roman" w:cs="Times New Roman"/>
              </w:rPr>
            </w:pPr>
            <w:r>
              <w:rPr>
                <w:spacing w:val="-5"/>
              </w:rPr>
              <w:t>草本层盖度</w:t>
            </w:r>
            <w:r>
              <w:rPr>
                <w:spacing w:val="-50"/>
              </w:rPr>
              <w:t xml:space="preserve"> </w:t>
            </w:r>
            <w:r>
              <w:rPr>
                <w:rFonts w:ascii="Times New Roman" w:hAnsi="Times New Roman" w:eastAsia="Times New Roman" w:cs="Times New Roman"/>
                <w:spacing w:val="-5"/>
              </w:rPr>
              <w:t>60%</w:t>
            </w:r>
            <w:r>
              <w:rPr>
                <w:spacing w:val="-5"/>
              </w:rPr>
              <w:t>～</w:t>
            </w:r>
            <w:r>
              <w:rPr>
                <w:rFonts w:ascii="Times New Roman" w:hAnsi="Times New Roman" w:eastAsia="Times New Roman" w:cs="Times New Roman"/>
                <w:spacing w:val="-5"/>
              </w:rPr>
              <w:t>80%</w:t>
            </w:r>
            <w:r>
              <w:rPr>
                <w:spacing w:val="-5"/>
              </w:rPr>
              <w:t>，高</w:t>
            </w:r>
            <w:r>
              <w:rPr>
                <w:spacing w:val="-51"/>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w:t>
            </w:r>
            <w:r>
              <w:rPr>
                <w:spacing w:val="-5"/>
              </w:rPr>
              <w:t>～</w:t>
            </w:r>
            <w:r>
              <w:rPr>
                <w:rFonts w:ascii="Times New Roman" w:hAnsi="Times New Roman" w:eastAsia="Times New Roman" w:cs="Times New Roman"/>
                <w:spacing w:val="-5"/>
              </w:rPr>
              <w:t>1.2</w:t>
            </w:r>
            <w:r>
              <w:rPr>
                <w:rFonts w:ascii="Times New Roman" w:hAnsi="Times New Roman" w:eastAsia="Times New Roman" w:cs="Times New Roman"/>
                <w:i/>
                <w:iCs/>
                <w:spacing w:val="-5"/>
              </w:rPr>
              <w:t>m</w:t>
            </w:r>
            <w:r>
              <w:rPr>
                <w:spacing w:val="-5"/>
              </w:rPr>
              <w:t>，草本层主要以蕨</w:t>
            </w:r>
            <w:r>
              <w:rPr>
                <w:spacing w:val="-66"/>
              </w:rPr>
              <w:t xml:space="preserve"> </w:t>
            </w:r>
            <w:r>
              <w:rPr>
                <w:rFonts w:ascii="Times New Roman" w:hAnsi="Times New Roman" w:eastAsia="Times New Roman" w:cs="Times New Roman"/>
                <w:i/>
                <w:iCs/>
                <w:spacing w:val="-5"/>
              </w:rPr>
              <w:t>Pteridiu</w:t>
            </w:r>
            <w:r>
              <w:rPr>
                <w:rFonts w:ascii="Times New Roman" w:hAnsi="Times New Roman" w:eastAsia="Times New Roman" w:cs="Times New Roman"/>
                <w:i/>
                <w:iCs/>
                <w:spacing w:val="-6"/>
              </w:rPr>
              <w:t>m aquilinum</w:t>
            </w:r>
            <w:r>
              <w:rPr>
                <w:rFonts w:ascii="Times New Roman" w:hAnsi="Times New Roman" w:eastAsia="Times New Roman" w:cs="Times New Roman"/>
                <w:i/>
                <w:iCs/>
              </w:rPr>
              <w:t xml:space="preserve"> </w:t>
            </w:r>
            <w:r>
              <w:rPr>
                <w:rFonts w:ascii="Times New Roman" w:hAnsi="Times New Roman" w:eastAsia="Times New Roman" w:cs="Times New Roman"/>
                <w:i/>
                <w:iCs/>
                <w:spacing w:val="-1"/>
              </w:rPr>
              <w:t>var. Latiusculum</w:t>
            </w:r>
            <w:r>
              <w:rPr>
                <w:rFonts w:ascii="Times New Roman" w:hAnsi="Times New Roman" w:eastAsia="Times New Roman" w:cs="Times New Roman"/>
                <w:i/>
                <w:iCs/>
                <w:spacing w:val="-29"/>
              </w:rPr>
              <w:t xml:space="preserve"> </w:t>
            </w:r>
            <w:r>
              <w:rPr>
                <w:spacing w:val="-1"/>
              </w:rPr>
              <w:t>、扭黄茅</w:t>
            </w:r>
            <w:r>
              <w:rPr>
                <w:spacing w:val="-62"/>
              </w:rPr>
              <w:t xml:space="preserve"> </w:t>
            </w:r>
            <w:r>
              <w:rPr>
                <w:rFonts w:ascii="Times New Roman" w:hAnsi="Times New Roman" w:eastAsia="Times New Roman" w:cs="Times New Roman"/>
                <w:i/>
                <w:iCs/>
                <w:spacing w:val="-1"/>
              </w:rPr>
              <w:t>Heteropogon contort</w:t>
            </w:r>
            <w:r>
              <w:rPr>
                <w:rFonts w:ascii="Times New Roman" w:hAnsi="Times New Roman" w:eastAsia="Times New Roman" w:cs="Times New Roman"/>
                <w:i/>
                <w:iCs/>
                <w:spacing w:val="-2"/>
              </w:rPr>
              <w:t>us</w:t>
            </w:r>
            <w:r>
              <w:rPr>
                <w:rFonts w:ascii="Times New Roman" w:hAnsi="Times New Roman" w:eastAsia="Times New Roman" w:cs="Times New Roman"/>
                <w:i/>
                <w:iCs/>
                <w:spacing w:val="-31"/>
              </w:rPr>
              <w:t xml:space="preserve"> </w:t>
            </w:r>
            <w:r>
              <w:rPr>
                <w:spacing w:val="-2"/>
              </w:rPr>
              <w:t>、旱茅</w:t>
            </w:r>
            <w:r>
              <w:rPr>
                <w:spacing w:val="-56"/>
              </w:rPr>
              <w:t xml:space="preserve"> </w:t>
            </w:r>
            <w:r>
              <w:rPr>
                <w:rFonts w:ascii="Times New Roman" w:hAnsi="Times New Roman" w:eastAsia="Times New Roman" w:cs="Times New Roman"/>
                <w:i/>
                <w:iCs/>
                <w:spacing w:val="-2"/>
              </w:rPr>
              <w:t>Schizachyrium delavayi</w:t>
            </w:r>
            <w:r>
              <w:rPr>
                <w:rFonts w:ascii="Times New Roman" w:hAnsi="Times New Roman" w:eastAsia="Times New Roman" w:cs="Times New Roman"/>
                <w:i/>
                <w:iCs/>
                <w:spacing w:val="-28"/>
              </w:rPr>
              <w:t xml:space="preserve"> </w:t>
            </w:r>
            <w:r>
              <w:rPr>
                <w:spacing w:val="-2"/>
              </w:rPr>
              <w:t>、</w:t>
            </w:r>
            <w:r>
              <w:t xml:space="preserve"> </w:t>
            </w:r>
            <w:r>
              <w:rPr>
                <w:spacing w:val="1"/>
              </w:rPr>
              <w:t>荩草</w:t>
            </w:r>
            <w:r>
              <w:rPr>
                <w:spacing w:val="-31"/>
              </w:rPr>
              <w:t xml:space="preserve"> </w:t>
            </w:r>
            <w:r>
              <w:rPr>
                <w:rFonts w:ascii="Times New Roman" w:hAnsi="Times New Roman" w:eastAsia="Times New Roman" w:cs="Times New Roman"/>
                <w:i/>
                <w:iCs/>
              </w:rPr>
              <w:t>Arthraxon</w:t>
            </w:r>
            <w:r>
              <w:rPr>
                <w:rFonts w:ascii="Times New Roman" w:hAnsi="Times New Roman" w:eastAsia="Times New Roman" w:cs="Times New Roman"/>
                <w:i/>
                <w:iCs/>
                <w:spacing w:val="43"/>
              </w:rPr>
              <w:t xml:space="preserve"> </w:t>
            </w:r>
            <w:r>
              <w:rPr>
                <w:rFonts w:ascii="Times New Roman" w:hAnsi="Times New Roman" w:eastAsia="Times New Roman" w:cs="Times New Roman"/>
                <w:i/>
                <w:iCs/>
              </w:rPr>
              <w:t>hispidus</w:t>
            </w:r>
            <w:r>
              <w:rPr>
                <w:rFonts w:ascii="Times New Roman" w:hAnsi="Times New Roman" w:eastAsia="Times New Roman" w:cs="Times New Roman"/>
                <w:i/>
                <w:iCs/>
                <w:spacing w:val="1"/>
              </w:rPr>
              <w:t xml:space="preserve"> </w:t>
            </w:r>
            <w:r>
              <w:rPr>
                <w:spacing w:val="1"/>
              </w:rPr>
              <w:t>、野</w:t>
            </w:r>
            <w:r>
              <w:rPr>
                <w:spacing w:val="-72"/>
              </w:rPr>
              <w:t xml:space="preserve"> </w:t>
            </w:r>
            <w:r>
              <w:rPr>
                <w:spacing w:val="1"/>
              </w:rPr>
              <w:t>艾</w:t>
            </w:r>
            <w:r>
              <w:rPr>
                <w:spacing w:val="-68"/>
              </w:rPr>
              <w:t xml:space="preserve"> </w:t>
            </w:r>
            <w:r>
              <w:rPr>
                <w:spacing w:val="1"/>
              </w:rPr>
              <w:t>蒿</w:t>
            </w:r>
            <w:r>
              <w:rPr>
                <w:spacing w:val="-36"/>
              </w:rPr>
              <w:t xml:space="preserve"> </w:t>
            </w:r>
            <w:r>
              <w:rPr>
                <w:rFonts w:ascii="Times New Roman" w:hAnsi="Times New Roman" w:eastAsia="Times New Roman" w:cs="Times New Roman"/>
                <w:i/>
                <w:iCs/>
              </w:rPr>
              <w:t>Artemisia</w:t>
            </w:r>
            <w:r>
              <w:rPr>
                <w:rFonts w:ascii="Times New Roman" w:hAnsi="Times New Roman" w:eastAsia="Times New Roman" w:cs="Times New Roman"/>
                <w:i/>
                <w:iCs/>
                <w:spacing w:val="46"/>
              </w:rPr>
              <w:t xml:space="preserve"> </w:t>
            </w:r>
            <w:r>
              <w:rPr>
                <w:rFonts w:ascii="Times New Roman" w:hAnsi="Times New Roman" w:eastAsia="Times New Roman" w:cs="Times New Roman"/>
                <w:i/>
                <w:iCs/>
              </w:rPr>
              <w:t>lavandulaefolia</w:t>
            </w:r>
            <w:r>
              <w:rPr>
                <w:rFonts w:ascii="Times New Roman" w:hAnsi="Times New Roman" w:eastAsia="Times New Roman" w:cs="Times New Roman"/>
                <w:i/>
                <w:iCs/>
                <w:spacing w:val="1"/>
              </w:rPr>
              <w:t xml:space="preserve"> </w:t>
            </w:r>
            <w:r>
              <w:rPr>
                <w:spacing w:val="1"/>
              </w:rPr>
              <w:t>、千</w:t>
            </w:r>
            <w:r>
              <w:rPr>
                <w:spacing w:val="-72"/>
              </w:rPr>
              <w:t xml:space="preserve"> </w:t>
            </w:r>
            <w:r>
              <w:rPr>
                <w:spacing w:val="1"/>
              </w:rPr>
              <w:t>里</w:t>
            </w:r>
            <w:r>
              <w:rPr>
                <w:spacing w:val="-70"/>
              </w:rPr>
              <w:t xml:space="preserve"> </w:t>
            </w:r>
            <w:r>
              <w:rPr>
                <w:spacing w:val="1"/>
              </w:rPr>
              <w:t>光</w:t>
            </w:r>
            <w:r>
              <w:rPr>
                <w:spacing w:val="-23"/>
              </w:rPr>
              <w:t xml:space="preserve"> </w:t>
            </w:r>
            <w:r>
              <w:rPr>
                <w:rFonts w:ascii="Times New Roman" w:hAnsi="Times New Roman" w:eastAsia="Times New Roman" w:cs="Times New Roman"/>
                <w:i/>
                <w:iCs/>
              </w:rPr>
              <w:t xml:space="preserve">Senecio </w:t>
            </w:r>
            <w:r>
              <w:rPr>
                <w:rFonts w:ascii="Times New Roman" w:hAnsi="Times New Roman" w:eastAsia="Times New Roman" w:cs="Times New Roman"/>
                <w:i/>
                <w:iCs/>
                <w:spacing w:val="-1"/>
              </w:rPr>
              <w:t>scandens</w:t>
            </w:r>
            <w:r>
              <w:rPr>
                <w:spacing w:val="-1"/>
              </w:rPr>
              <w:t>、青蒿</w:t>
            </w:r>
            <w:r>
              <w:rPr>
                <w:spacing w:val="-56"/>
              </w:rPr>
              <w:t xml:space="preserve"> </w:t>
            </w:r>
            <w:r>
              <w:rPr>
                <w:rFonts w:ascii="Times New Roman" w:hAnsi="Times New Roman" w:eastAsia="Times New Roman" w:cs="Times New Roman"/>
                <w:i/>
                <w:iCs/>
                <w:spacing w:val="-1"/>
              </w:rPr>
              <w:t>Artemisia carvifolia</w:t>
            </w:r>
            <w:r>
              <w:rPr>
                <w:spacing w:val="-1"/>
              </w:rPr>
              <w:t>、五节芒</w:t>
            </w:r>
            <w:r>
              <w:rPr>
                <w:spacing w:val="-68"/>
              </w:rPr>
              <w:t xml:space="preserve"> </w:t>
            </w:r>
            <w:r>
              <w:rPr>
                <w:rFonts w:ascii="Times New Roman" w:hAnsi="Times New Roman" w:eastAsia="Times New Roman" w:cs="Times New Roman"/>
                <w:i/>
                <w:iCs/>
                <w:spacing w:val="-1"/>
              </w:rPr>
              <w:t>Miscanthus</w:t>
            </w:r>
            <w:r>
              <w:rPr>
                <w:rFonts w:ascii="Times New Roman" w:hAnsi="Times New Roman" w:eastAsia="Times New Roman" w:cs="Times New Roman"/>
                <w:i/>
                <w:iCs/>
                <w:spacing w:val="-41"/>
              </w:rPr>
              <w:t xml:space="preserve"> </w:t>
            </w:r>
            <w:r>
              <w:rPr>
                <w:rFonts w:ascii="Times New Roman" w:hAnsi="Times New Roman" w:eastAsia="Times New Roman" w:cs="Times New Roman"/>
                <w:i/>
                <w:iCs/>
                <w:spacing w:val="-1"/>
              </w:rPr>
              <w:t>floridulus</w:t>
            </w:r>
            <w:r>
              <w:rPr>
                <w:spacing w:val="-1"/>
              </w:rPr>
              <w:t>、凤尾蕨</w:t>
            </w:r>
            <w:r>
              <w:rPr>
                <w:spacing w:val="-66"/>
              </w:rPr>
              <w:t xml:space="preserve"> </w:t>
            </w:r>
            <w:r>
              <w:rPr>
                <w:rFonts w:ascii="Times New Roman" w:hAnsi="Times New Roman" w:eastAsia="Times New Roman" w:cs="Times New Roman"/>
                <w:i/>
                <w:iCs/>
                <w:spacing w:val="-1"/>
              </w:rPr>
              <w:t>Pteris</w:t>
            </w:r>
          </w:p>
        </w:tc>
      </w:tr>
    </w:tbl>
    <w:p w14:paraId="621173FF">
      <w:pPr>
        <w:rPr>
          <w:rFonts w:ascii="Arial"/>
          <w:sz w:val="21"/>
        </w:rPr>
      </w:pPr>
    </w:p>
    <w:p w14:paraId="0F1335D5">
      <w:pPr>
        <w:rPr>
          <w:rFonts w:ascii="Arial" w:hAnsi="Arial" w:eastAsia="Arial" w:cs="Arial"/>
          <w:sz w:val="21"/>
          <w:szCs w:val="21"/>
        </w:rPr>
        <w:sectPr>
          <w:footerReference r:id="rId90" w:type="default"/>
          <w:pgSz w:w="11906" w:h="16839"/>
          <w:pgMar w:top="1431" w:right="1413" w:bottom="1278" w:left="1413" w:header="0" w:footer="1116" w:gutter="0"/>
          <w:cols w:space="720" w:num="1"/>
        </w:sectPr>
      </w:pPr>
    </w:p>
    <w:p w14:paraId="527A9859">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5810F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668" w:type="dxa"/>
            <w:tcBorders>
              <w:right w:val="single" w:color="000000" w:sz="2" w:space="0"/>
            </w:tcBorders>
            <w:vAlign w:val="top"/>
          </w:tcPr>
          <w:p w14:paraId="709637F9">
            <w:pPr>
              <w:rPr>
                <w:rFonts w:ascii="Arial"/>
                <w:sz w:val="21"/>
              </w:rPr>
            </w:pPr>
          </w:p>
        </w:tc>
        <w:tc>
          <w:tcPr>
            <w:tcW w:w="8396" w:type="dxa"/>
            <w:tcBorders>
              <w:left w:val="single" w:color="000000" w:sz="2" w:space="0"/>
            </w:tcBorders>
            <w:vAlign w:val="top"/>
          </w:tcPr>
          <w:p w14:paraId="16626045">
            <w:pPr>
              <w:pStyle w:val="6"/>
              <w:spacing w:before="4" w:line="345" w:lineRule="auto"/>
              <w:ind w:left="88" w:right="102" w:firstLine="16"/>
              <w:jc w:val="both"/>
            </w:pPr>
            <w:r>
              <w:rPr>
                <w:rFonts w:ascii="Times New Roman" w:hAnsi="Times New Roman" w:eastAsia="Times New Roman" w:cs="Times New Roman"/>
                <w:i/>
                <w:iCs/>
                <w:spacing w:val="-1"/>
              </w:rPr>
              <w:t>vittata</w:t>
            </w:r>
            <w:r>
              <w:rPr>
                <w:rFonts w:ascii="Times New Roman" w:hAnsi="Times New Roman" w:eastAsia="Times New Roman" w:cs="Times New Roman"/>
                <w:i/>
                <w:iCs/>
                <w:spacing w:val="-31"/>
              </w:rPr>
              <w:t xml:space="preserve"> </w:t>
            </w:r>
            <w:r>
              <w:rPr>
                <w:spacing w:val="-1"/>
              </w:rPr>
              <w:t>、金粉蕨</w:t>
            </w:r>
            <w:r>
              <w:rPr>
                <w:spacing w:val="-43"/>
              </w:rPr>
              <w:t xml:space="preserve"> </w:t>
            </w:r>
            <w:r>
              <w:rPr>
                <w:rFonts w:ascii="Times New Roman" w:hAnsi="Times New Roman" w:eastAsia="Times New Roman" w:cs="Times New Roman"/>
                <w:i/>
                <w:iCs/>
                <w:spacing w:val="-1"/>
              </w:rPr>
              <w:t>Onychiumsiliculosum</w:t>
            </w:r>
            <w:r>
              <w:rPr>
                <w:rFonts w:ascii="Times New Roman" w:hAnsi="Times New Roman" w:eastAsia="Times New Roman" w:cs="Times New Roman"/>
                <w:i/>
                <w:iCs/>
                <w:spacing w:val="-30"/>
              </w:rPr>
              <w:t xml:space="preserve"> </w:t>
            </w:r>
            <w:r>
              <w:rPr>
                <w:spacing w:val="-1"/>
              </w:rPr>
              <w:t>、昆明小</w:t>
            </w:r>
            <w:r>
              <w:rPr>
                <w:spacing w:val="-2"/>
              </w:rPr>
              <w:t>龙胆</w:t>
            </w:r>
            <w:r>
              <w:rPr>
                <w:spacing w:val="-39"/>
              </w:rPr>
              <w:t xml:space="preserve"> </w:t>
            </w:r>
            <w:r>
              <w:rPr>
                <w:rFonts w:ascii="Times New Roman" w:hAnsi="Times New Roman" w:eastAsia="Times New Roman" w:cs="Times New Roman"/>
                <w:i/>
                <w:iCs/>
                <w:spacing w:val="-2"/>
              </w:rPr>
              <w:t>Gentianakunmingensis</w:t>
            </w:r>
            <w:r>
              <w:rPr>
                <w:rFonts w:ascii="Times New Roman" w:hAnsi="Times New Roman" w:eastAsia="Times New Roman" w:cs="Times New Roman"/>
                <w:i/>
                <w:iCs/>
                <w:spacing w:val="-28"/>
              </w:rPr>
              <w:t xml:space="preserve"> </w:t>
            </w:r>
            <w:r>
              <w:rPr>
                <w:spacing w:val="-2"/>
              </w:rPr>
              <w:t>、尼泊</w:t>
            </w:r>
            <w:r>
              <w:t xml:space="preserve"> </w:t>
            </w:r>
            <w:r>
              <w:rPr>
                <w:spacing w:val="-3"/>
              </w:rPr>
              <w:t>尔</w:t>
            </w:r>
            <w:r>
              <w:rPr>
                <w:spacing w:val="-7"/>
              </w:rPr>
              <w:t xml:space="preserve"> </w:t>
            </w:r>
            <w:r>
              <w:rPr>
                <w:spacing w:val="-3"/>
              </w:rPr>
              <w:t>老</w:t>
            </w:r>
            <w:r>
              <w:rPr>
                <w:spacing w:val="-30"/>
              </w:rPr>
              <w:t xml:space="preserve"> </w:t>
            </w:r>
            <w:r>
              <w:rPr>
                <w:spacing w:val="-3"/>
              </w:rPr>
              <w:t>鹳</w:t>
            </w:r>
            <w:r>
              <w:rPr>
                <w:spacing w:val="-25"/>
              </w:rPr>
              <w:t xml:space="preserve"> </w:t>
            </w:r>
            <w:r>
              <w:rPr>
                <w:spacing w:val="-3"/>
              </w:rPr>
              <w:t>草</w:t>
            </w:r>
            <w:r>
              <w:rPr>
                <w:spacing w:val="38"/>
              </w:rPr>
              <w:t xml:space="preserve"> </w:t>
            </w:r>
            <w:r>
              <w:rPr>
                <w:rFonts w:ascii="Times New Roman" w:hAnsi="Times New Roman" w:eastAsia="Times New Roman" w:cs="Times New Roman"/>
                <w:i/>
                <w:iCs/>
                <w:spacing w:val="-3"/>
              </w:rPr>
              <w:t>Geraniumnepalens</w:t>
            </w:r>
            <w:r>
              <w:rPr>
                <w:rFonts w:ascii="Times New Roman" w:hAnsi="Times New Roman" w:eastAsia="Times New Roman" w:cs="Times New Roman"/>
                <w:i/>
                <w:iCs/>
                <w:spacing w:val="51"/>
              </w:rPr>
              <w:t xml:space="preserve"> </w:t>
            </w:r>
            <w:r>
              <w:rPr>
                <w:spacing w:val="-3"/>
              </w:rPr>
              <w:t>、</w:t>
            </w:r>
            <w:r>
              <w:rPr>
                <w:spacing w:val="-29"/>
              </w:rPr>
              <w:t xml:space="preserve"> </w:t>
            </w:r>
            <w:r>
              <w:rPr>
                <w:spacing w:val="-3"/>
              </w:rPr>
              <w:t>滇</w:t>
            </w:r>
            <w:r>
              <w:rPr>
                <w:spacing w:val="-24"/>
              </w:rPr>
              <w:t xml:space="preserve"> </w:t>
            </w:r>
            <w:r>
              <w:rPr>
                <w:spacing w:val="-3"/>
              </w:rPr>
              <w:t>紫</w:t>
            </w:r>
            <w:r>
              <w:rPr>
                <w:spacing w:val="-24"/>
              </w:rPr>
              <w:t xml:space="preserve"> </w:t>
            </w:r>
            <w:r>
              <w:rPr>
                <w:spacing w:val="-3"/>
              </w:rPr>
              <w:t xml:space="preserve">草 </w:t>
            </w:r>
            <w:r>
              <w:rPr>
                <w:rFonts w:ascii="Times New Roman" w:hAnsi="Times New Roman" w:eastAsia="Times New Roman" w:cs="Times New Roman"/>
                <w:i/>
                <w:iCs/>
                <w:spacing w:val="-3"/>
              </w:rPr>
              <w:t xml:space="preserve">Lithospermumhancockiana  </w:t>
            </w:r>
            <w:r>
              <w:rPr>
                <w:spacing w:val="-3"/>
              </w:rPr>
              <w:t>、</w:t>
            </w:r>
            <w:r>
              <w:rPr>
                <w:spacing w:val="-29"/>
              </w:rPr>
              <w:t xml:space="preserve"> </w:t>
            </w:r>
            <w:r>
              <w:rPr>
                <w:spacing w:val="-3"/>
              </w:rPr>
              <w:t>荩</w:t>
            </w:r>
            <w:r>
              <w:rPr>
                <w:spacing w:val="-27"/>
              </w:rPr>
              <w:t xml:space="preserve"> </w:t>
            </w:r>
            <w:r>
              <w:rPr>
                <w:spacing w:val="-3"/>
              </w:rPr>
              <w:t>草</w:t>
            </w:r>
            <w:r>
              <w:t xml:space="preserve"> </w:t>
            </w:r>
            <w:r>
              <w:rPr>
                <w:rFonts w:ascii="Times New Roman" w:hAnsi="Times New Roman" w:eastAsia="Times New Roman" w:cs="Times New Roman"/>
                <w:i/>
                <w:iCs/>
                <w:spacing w:val="-1"/>
              </w:rPr>
              <w:t>Arthraxonhispidus</w:t>
            </w:r>
            <w:r>
              <w:rPr>
                <w:rFonts w:ascii="Times New Roman" w:hAnsi="Times New Roman" w:eastAsia="Times New Roman" w:cs="Times New Roman"/>
                <w:i/>
                <w:iCs/>
                <w:spacing w:val="-33"/>
              </w:rPr>
              <w:t xml:space="preserve"> </w:t>
            </w:r>
            <w:r>
              <w:rPr>
                <w:spacing w:val="-1"/>
              </w:rPr>
              <w:t>、鬼针草</w:t>
            </w:r>
            <w:r>
              <w:rPr>
                <w:spacing w:val="-65"/>
              </w:rPr>
              <w:t xml:space="preserve"> </w:t>
            </w:r>
            <w:r>
              <w:rPr>
                <w:rFonts w:ascii="Times New Roman" w:hAnsi="Times New Roman" w:eastAsia="Times New Roman" w:cs="Times New Roman"/>
                <w:i/>
                <w:iCs/>
                <w:spacing w:val="-1"/>
              </w:rPr>
              <w:t>Bidensbipinnata</w:t>
            </w:r>
            <w:r>
              <w:rPr>
                <w:spacing w:val="-1"/>
              </w:rPr>
              <w:t>、土荆芥</w:t>
            </w:r>
            <w:r>
              <w:rPr>
                <w:spacing w:val="-44"/>
              </w:rPr>
              <w:t xml:space="preserve"> </w:t>
            </w:r>
            <w:r>
              <w:rPr>
                <w:rFonts w:ascii="Times New Roman" w:hAnsi="Times New Roman" w:eastAsia="Times New Roman" w:cs="Times New Roman"/>
                <w:i/>
                <w:iCs/>
                <w:spacing w:val="-1"/>
              </w:rPr>
              <w:t xml:space="preserve">Chenopdiumambrosioides </w:t>
            </w:r>
            <w:r>
              <w:rPr>
                <w:spacing w:val="-1"/>
              </w:rPr>
              <w:t>和</w:t>
            </w:r>
            <w:r>
              <w:t xml:space="preserve"> 茅</w:t>
            </w:r>
            <w:r>
              <w:rPr>
                <w:spacing w:val="-58"/>
              </w:rPr>
              <w:t xml:space="preserve"> </w:t>
            </w:r>
            <w:r>
              <w:rPr>
                <w:rFonts w:ascii="Times New Roman" w:hAnsi="Times New Roman" w:eastAsia="Times New Roman" w:cs="Times New Roman"/>
                <w:i/>
                <w:iCs/>
              </w:rPr>
              <w:t>Imperatacylindrica</w:t>
            </w:r>
            <w:r>
              <w:rPr>
                <w:rFonts w:ascii="Times New Roman" w:hAnsi="Times New Roman" w:eastAsia="Times New Roman" w:cs="Times New Roman"/>
                <w:i/>
                <w:iCs/>
                <w:spacing w:val="-28"/>
              </w:rPr>
              <w:t xml:space="preserve"> </w:t>
            </w:r>
            <w:r>
              <w:rPr>
                <w:i/>
                <w:iCs/>
                <w:sz w:val="25"/>
                <w:szCs w:val="25"/>
              </w:rPr>
              <w:t>、</w:t>
            </w:r>
            <w:r>
              <w:t>两头毛</w:t>
            </w:r>
            <w:r>
              <w:rPr>
                <w:spacing w:val="-57"/>
              </w:rPr>
              <w:t xml:space="preserve"> </w:t>
            </w:r>
            <w:r>
              <w:rPr>
                <w:rFonts w:ascii="Times New Roman" w:hAnsi="Times New Roman" w:eastAsia="Times New Roman" w:cs="Times New Roman"/>
                <w:i/>
                <w:iCs/>
              </w:rPr>
              <w:t>Incarvillea</w:t>
            </w:r>
            <w:r>
              <w:rPr>
                <w:rFonts w:ascii="Times New Roman" w:hAnsi="Times New Roman" w:eastAsia="Times New Roman" w:cs="Times New Roman"/>
                <w:i/>
                <w:iCs/>
                <w:spacing w:val="15"/>
              </w:rPr>
              <w:t xml:space="preserve"> </w:t>
            </w:r>
            <w:r>
              <w:rPr>
                <w:rFonts w:ascii="Times New Roman" w:hAnsi="Times New Roman" w:eastAsia="Times New Roman" w:cs="Times New Roman"/>
                <w:i/>
                <w:iCs/>
              </w:rPr>
              <w:t>arguta</w:t>
            </w:r>
            <w:r>
              <w:rPr>
                <w:rFonts w:ascii="Times New Roman" w:hAnsi="Times New Roman" w:eastAsia="Times New Roman" w:cs="Times New Roman"/>
                <w:i/>
                <w:iCs/>
                <w:spacing w:val="-25"/>
              </w:rPr>
              <w:t xml:space="preserve"> </w:t>
            </w:r>
            <w:r>
              <w:rPr>
                <w:i/>
                <w:iCs/>
                <w:sz w:val="25"/>
                <w:szCs w:val="25"/>
              </w:rPr>
              <w:t>、</w:t>
            </w:r>
            <w:r>
              <w:t>倒提壶</w:t>
            </w:r>
            <w:r>
              <w:rPr>
                <w:spacing w:val="-37"/>
              </w:rPr>
              <w:t xml:space="preserve"> </w:t>
            </w:r>
            <w:r>
              <w:rPr>
                <w:rFonts w:ascii="Times New Roman" w:hAnsi="Times New Roman" w:eastAsia="Times New Roman" w:cs="Times New Roman"/>
                <w:i/>
                <w:iCs/>
              </w:rPr>
              <w:t>Cynogloss</w:t>
            </w:r>
            <w:r>
              <w:rPr>
                <w:rFonts w:ascii="Times New Roman" w:hAnsi="Times New Roman" w:eastAsia="Times New Roman" w:cs="Times New Roman"/>
                <w:i/>
                <w:iCs/>
                <w:spacing w:val="-1"/>
              </w:rPr>
              <w:t>um amabile</w:t>
            </w:r>
            <w:r>
              <w:rPr>
                <w:rFonts w:ascii="Times New Roman" w:hAnsi="Times New Roman" w:eastAsia="Times New Roman" w:cs="Times New Roman"/>
                <w:i/>
                <w:iCs/>
              </w:rPr>
              <w:t xml:space="preserve"> </w:t>
            </w:r>
            <w:r>
              <w:t>等为主。藤本植物有毛茛铁线莲</w:t>
            </w:r>
            <w:r>
              <w:rPr>
                <w:spacing w:val="-40"/>
              </w:rPr>
              <w:t xml:space="preserve"> </w:t>
            </w:r>
            <w:r>
              <w:rPr>
                <w:rFonts w:ascii="Times New Roman" w:hAnsi="Times New Roman" w:eastAsia="Times New Roman" w:cs="Times New Roman"/>
              </w:rPr>
              <w:t>Clematis ranunculoides Franch.</w:t>
            </w:r>
            <w:r>
              <w:rPr>
                <w:rFonts w:ascii="Times New Roman" w:hAnsi="Times New Roman" w:eastAsia="Times New Roman" w:cs="Times New Roman"/>
                <w:spacing w:val="-29"/>
              </w:rPr>
              <w:t xml:space="preserve"> </w:t>
            </w:r>
            <w:r>
              <w:t>、土茯苓</w:t>
            </w:r>
            <w:r>
              <w:rPr>
                <w:spacing w:val="-58"/>
              </w:rPr>
              <w:t xml:space="preserve"> </w:t>
            </w:r>
            <w:r>
              <w:rPr>
                <w:rFonts w:ascii="Times New Roman" w:hAnsi="Times New Roman" w:eastAsia="Times New Roman" w:cs="Times New Roman"/>
                <w:i/>
                <w:iCs/>
              </w:rPr>
              <w:t>Smilax glabra</w:t>
            </w:r>
            <w:r>
              <w:rPr>
                <w:rFonts w:ascii="Times New Roman" w:hAnsi="Times New Roman" w:eastAsia="Times New Roman" w:cs="Times New Roman"/>
                <w:i/>
                <w:iCs/>
                <w:spacing w:val="5"/>
              </w:rPr>
              <w:t xml:space="preserve">  </w:t>
            </w:r>
            <w:r>
              <w:t>等。</w:t>
            </w:r>
          </w:p>
          <w:p w14:paraId="3C78B290">
            <w:pPr>
              <w:pStyle w:val="6"/>
              <w:spacing w:before="128" w:line="217" w:lineRule="auto"/>
              <w:ind w:left="587"/>
            </w:pPr>
            <w:r>
              <w:rPr>
                <w:spacing w:val="-2"/>
              </w:rPr>
              <w:t>②西南栒子灌丛</w:t>
            </w:r>
          </w:p>
          <w:p w14:paraId="14F64CD3">
            <w:pPr>
              <w:pStyle w:val="6"/>
              <w:spacing w:before="180" w:line="352" w:lineRule="auto"/>
              <w:ind w:left="109" w:right="22" w:firstLine="485"/>
            </w:pPr>
            <w:r>
              <w:t>西南栒子灌丛生境及群落组成基本与火棘灌丛一致，是区域内森林植被受</w:t>
            </w:r>
            <w:r>
              <w:rPr>
                <w:spacing w:val="7"/>
              </w:rPr>
              <w:t xml:space="preserve"> </w:t>
            </w:r>
            <w:r>
              <w:rPr>
                <w:spacing w:val="-4"/>
              </w:rPr>
              <w:t>长期人为活动破坏后形成的次生植被，常呈片状分布于林缘和干</w:t>
            </w:r>
            <w:r>
              <w:rPr>
                <w:spacing w:val="-5"/>
              </w:rPr>
              <w:t>燥的向阳山坡，</w:t>
            </w:r>
            <w:r>
              <w:t xml:space="preserve"> </w:t>
            </w:r>
            <w:r>
              <w:rPr>
                <w:spacing w:val="-4"/>
              </w:rPr>
              <w:t>相对而言群落分布地段生境较为恶劣，一般在土层十分浅薄和地</w:t>
            </w:r>
            <w:r>
              <w:rPr>
                <w:spacing w:val="-5"/>
              </w:rPr>
              <w:t>表有岩石露头。</w:t>
            </w:r>
            <w:r>
              <w:t xml:space="preserve"> </w:t>
            </w:r>
            <w:r>
              <w:rPr>
                <w:spacing w:val="-1"/>
              </w:rPr>
              <w:t>其植物种类以火棘为常见种和优势种，基无乔木层。</w:t>
            </w:r>
          </w:p>
          <w:p w14:paraId="76909212">
            <w:pPr>
              <w:pStyle w:val="6"/>
              <w:spacing w:line="337" w:lineRule="auto"/>
              <w:ind w:left="58" w:right="102" w:firstLine="533"/>
            </w:pPr>
            <w:r>
              <w:rPr>
                <w:spacing w:val="-3"/>
              </w:rPr>
              <w:t>灌木层高</w:t>
            </w:r>
            <w:r>
              <w:rPr>
                <w:spacing w:val="-32"/>
              </w:rPr>
              <w:t xml:space="preserve"> </w:t>
            </w:r>
            <w:r>
              <w:rPr>
                <w:rFonts w:ascii="Times New Roman" w:hAnsi="Times New Roman" w:eastAsia="Times New Roman" w:cs="Times New Roman"/>
                <w:spacing w:val="-3"/>
              </w:rPr>
              <w:t>1~2m</w:t>
            </w:r>
            <w:r>
              <w:rPr>
                <w:spacing w:val="-3"/>
              </w:rPr>
              <w:t>，有主要有西南栒子</w:t>
            </w:r>
            <w:r>
              <w:rPr>
                <w:spacing w:val="-44"/>
              </w:rPr>
              <w:t xml:space="preserve"> </w:t>
            </w:r>
            <w:r>
              <w:rPr>
                <w:rFonts w:ascii="Times New Roman" w:hAnsi="Times New Roman" w:eastAsia="Times New Roman" w:cs="Times New Roman"/>
                <w:i/>
                <w:iCs/>
                <w:spacing w:val="-3"/>
              </w:rPr>
              <w:t>Cotoneaster</w:t>
            </w:r>
            <w:r>
              <w:rPr>
                <w:rFonts w:ascii="Times New Roman" w:hAnsi="Times New Roman" w:eastAsia="Times New Roman" w:cs="Times New Roman"/>
                <w:i/>
                <w:iCs/>
                <w:spacing w:val="-47"/>
              </w:rPr>
              <w:t xml:space="preserve"> </w:t>
            </w:r>
            <w:r>
              <w:rPr>
                <w:rFonts w:ascii="Times New Roman" w:hAnsi="Times New Roman" w:eastAsia="Times New Roman" w:cs="Times New Roman"/>
                <w:i/>
                <w:iCs/>
                <w:spacing w:val="-4"/>
              </w:rPr>
              <w:t>franchetii</w:t>
            </w:r>
            <w:r>
              <w:rPr>
                <w:i/>
                <w:iCs/>
                <w:spacing w:val="-4"/>
                <w:sz w:val="25"/>
                <w:szCs w:val="25"/>
              </w:rPr>
              <w:t>，</w:t>
            </w:r>
            <w:r>
              <w:rPr>
                <w:spacing w:val="-4"/>
              </w:rPr>
              <w:t>火棘</w:t>
            </w:r>
            <w:r>
              <w:rPr>
                <w:spacing w:val="-66"/>
              </w:rPr>
              <w:t xml:space="preserve"> </w:t>
            </w:r>
            <w:r>
              <w:rPr>
                <w:rFonts w:ascii="Times New Roman" w:hAnsi="Times New Roman" w:eastAsia="Times New Roman" w:cs="Times New Roman"/>
                <w:i/>
                <w:iCs/>
                <w:spacing w:val="-4"/>
              </w:rPr>
              <w:t>Pyracantha</w:t>
            </w:r>
            <w:r>
              <w:rPr>
                <w:rFonts w:ascii="Times New Roman" w:hAnsi="Times New Roman" w:eastAsia="Times New Roman" w:cs="Times New Roman"/>
                <w:i/>
                <w:iCs/>
              </w:rPr>
              <w:t xml:space="preserve"> fortuneana</w:t>
            </w:r>
            <w:r>
              <w:rPr>
                <w:rFonts w:ascii="Times New Roman" w:hAnsi="Times New Roman" w:eastAsia="Times New Roman" w:cs="Times New Roman"/>
                <w:i/>
                <w:iCs/>
                <w:spacing w:val="-34"/>
              </w:rPr>
              <w:t xml:space="preserve"> </w:t>
            </w:r>
            <w:r>
              <w:t>、野拔子</w:t>
            </w:r>
            <w:r>
              <w:rPr>
                <w:spacing w:val="-55"/>
              </w:rPr>
              <w:t xml:space="preserve"> </w:t>
            </w:r>
            <w:r>
              <w:rPr>
                <w:rFonts w:ascii="Times New Roman" w:hAnsi="Times New Roman" w:eastAsia="Times New Roman" w:cs="Times New Roman"/>
              </w:rPr>
              <w:t>Elsholtziarugulosd</w:t>
            </w:r>
            <w:r>
              <w:rPr>
                <w:rFonts w:ascii="Times New Roman" w:hAnsi="Times New Roman" w:eastAsia="Times New Roman" w:cs="Times New Roman"/>
                <w:spacing w:val="-34"/>
              </w:rPr>
              <w:t xml:space="preserve"> </w:t>
            </w:r>
            <w:r>
              <w:t>、粉叶小檗</w:t>
            </w:r>
            <w:r>
              <w:rPr>
                <w:spacing w:val="-66"/>
              </w:rPr>
              <w:t xml:space="preserve"> </w:t>
            </w:r>
            <w:r>
              <w:rPr>
                <w:rFonts w:ascii="Times New Roman" w:hAnsi="Times New Roman" w:eastAsia="Times New Roman" w:cs="Times New Roman"/>
                <w:i/>
                <w:iCs/>
              </w:rPr>
              <w:t>Berberis</w:t>
            </w:r>
            <w:r>
              <w:rPr>
                <w:rFonts w:ascii="Times New Roman" w:hAnsi="Times New Roman" w:eastAsia="Times New Roman" w:cs="Times New Roman"/>
                <w:i/>
                <w:iCs/>
                <w:spacing w:val="-23"/>
              </w:rPr>
              <w:t xml:space="preserve"> </w:t>
            </w:r>
            <w:r>
              <w:rPr>
                <w:rFonts w:ascii="Times New Roman" w:hAnsi="Times New Roman" w:eastAsia="Times New Roman" w:cs="Times New Roman"/>
                <w:i/>
                <w:iCs/>
              </w:rPr>
              <w:t>pruino</w:t>
            </w:r>
            <w:r>
              <w:rPr>
                <w:rFonts w:ascii="Times New Roman" w:hAnsi="Times New Roman" w:eastAsia="Times New Roman" w:cs="Times New Roman"/>
                <w:i/>
                <w:iCs/>
                <w:spacing w:val="-1"/>
              </w:rPr>
              <w:t>sa Franch.</w:t>
            </w:r>
            <w:r>
              <w:rPr>
                <w:rFonts w:ascii="Times New Roman" w:hAnsi="Times New Roman" w:eastAsia="Times New Roman" w:cs="Times New Roman"/>
                <w:i/>
                <w:iCs/>
                <w:spacing w:val="-34"/>
              </w:rPr>
              <w:t xml:space="preserve"> </w:t>
            </w:r>
            <w:r>
              <w:rPr>
                <w:spacing w:val="-1"/>
              </w:rPr>
              <w:t>、马</w:t>
            </w:r>
            <w:r>
              <w:t xml:space="preserve"> </w:t>
            </w:r>
            <w:r>
              <w:rPr>
                <w:spacing w:val="-1"/>
              </w:rPr>
              <w:t>桑</w:t>
            </w:r>
            <w:r>
              <w:rPr>
                <w:spacing w:val="79"/>
              </w:rPr>
              <w:t xml:space="preserve"> </w:t>
            </w:r>
            <w:r>
              <w:rPr>
                <w:rFonts w:ascii="Times New Roman" w:hAnsi="Times New Roman" w:eastAsia="Times New Roman" w:cs="Times New Roman"/>
                <w:i/>
                <w:iCs/>
                <w:spacing w:val="-1"/>
              </w:rPr>
              <w:t xml:space="preserve">Coriarianepalensis  </w:t>
            </w:r>
            <w:r>
              <w:rPr>
                <w:spacing w:val="-1"/>
              </w:rPr>
              <w:t>、 老 泡</w:t>
            </w:r>
            <w:r>
              <w:rPr>
                <w:spacing w:val="62"/>
              </w:rPr>
              <w:t xml:space="preserve"> </w:t>
            </w:r>
            <w:r>
              <w:rPr>
                <w:rFonts w:ascii="Times New Roman" w:hAnsi="Times New Roman" w:eastAsia="Times New Roman" w:cs="Times New Roman"/>
                <w:spacing w:val="-1"/>
              </w:rPr>
              <w:t xml:space="preserve">Gaultherialeucocarpavar.crenulata  </w:t>
            </w:r>
            <w:r>
              <w:rPr>
                <w:spacing w:val="-1"/>
              </w:rPr>
              <w:t>、 清 香 木</w:t>
            </w:r>
            <w:r>
              <w:t xml:space="preserve"> </w:t>
            </w:r>
            <w:r>
              <w:rPr>
                <w:rFonts w:ascii="Times New Roman" w:hAnsi="Times New Roman" w:eastAsia="Times New Roman" w:cs="Times New Roman"/>
              </w:rPr>
              <w:t>Pistaciaweinmannifoli</w:t>
            </w:r>
            <w:r>
              <w:rPr>
                <w:rFonts w:ascii="Times New Roman" w:hAnsi="Times New Roman" w:eastAsia="Times New Roman" w:cs="Times New Roman"/>
                <w:spacing w:val="13"/>
              </w:rPr>
              <w:t xml:space="preserve"> </w:t>
            </w:r>
            <w:r>
              <w:rPr>
                <w:spacing w:val="13"/>
              </w:rPr>
              <w:t>等。</w:t>
            </w:r>
          </w:p>
          <w:p w14:paraId="7E820B46">
            <w:pPr>
              <w:pStyle w:val="6"/>
              <w:spacing w:before="99" w:line="348" w:lineRule="auto"/>
              <w:ind w:left="93" w:right="101" w:firstLine="497"/>
              <w:jc w:val="both"/>
            </w:pPr>
            <w:r>
              <w:rPr>
                <w:spacing w:val="-5"/>
              </w:rPr>
              <w:t>草本层盖度</w:t>
            </w:r>
            <w:r>
              <w:rPr>
                <w:spacing w:val="-50"/>
              </w:rPr>
              <w:t xml:space="preserve"> </w:t>
            </w:r>
            <w:r>
              <w:rPr>
                <w:rFonts w:ascii="Times New Roman" w:hAnsi="Times New Roman" w:eastAsia="Times New Roman" w:cs="Times New Roman"/>
                <w:spacing w:val="-5"/>
              </w:rPr>
              <w:t>60%</w:t>
            </w:r>
            <w:r>
              <w:rPr>
                <w:spacing w:val="-5"/>
              </w:rPr>
              <w:t>～</w:t>
            </w:r>
            <w:r>
              <w:rPr>
                <w:rFonts w:ascii="Times New Roman" w:hAnsi="Times New Roman" w:eastAsia="Times New Roman" w:cs="Times New Roman"/>
                <w:spacing w:val="-5"/>
              </w:rPr>
              <w:t>80%</w:t>
            </w:r>
            <w:r>
              <w:rPr>
                <w:spacing w:val="-5"/>
              </w:rPr>
              <w:t>，高</w:t>
            </w:r>
            <w:r>
              <w:rPr>
                <w:spacing w:val="-51"/>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w:t>
            </w:r>
            <w:r>
              <w:rPr>
                <w:spacing w:val="-5"/>
              </w:rPr>
              <w:t>～</w:t>
            </w:r>
            <w:r>
              <w:rPr>
                <w:rFonts w:ascii="Times New Roman" w:hAnsi="Times New Roman" w:eastAsia="Times New Roman" w:cs="Times New Roman"/>
                <w:spacing w:val="-5"/>
              </w:rPr>
              <w:t>1.2</w:t>
            </w:r>
            <w:r>
              <w:rPr>
                <w:rFonts w:ascii="Times New Roman" w:hAnsi="Times New Roman" w:eastAsia="Times New Roman" w:cs="Times New Roman"/>
                <w:i/>
                <w:iCs/>
                <w:spacing w:val="-5"/>
              </w:rPr>
              <w:t>m</w:t>
            </w:r>
            <w:r>
              <w:rPr>
                <w:spacing w:val="-5"/>
              </w:rPr>
              <w:t>，草本层主要以蕨</w:t>
            </w:r>
            <w:r>
              <w:rPr>
                <w:spacing w:val="-66"/>
              </w:rPr>
              <w:t xml:space="preserve"> </w:t>
            </w:r>
            <w:r>
              <w:rPr>
                <w:rFonts w:ascii="Times New Roman" w:hAnsi="Times New Roman" w:eastAsia="Times New Roman" w:cs="Times New Roman"/>
                <w:i/>
                <w:iCs/>
                <w:spacing w:val="-5"/>
              </w:rPr>
              <w:t>Pteridiu</w:t>
            </w:r>
            <w:r>
              <w:rPr>
                <w:rFonts w:ascii="Times New Roman" w:hAnsi="Times New Roman" w:eastAsia="Times New Roman" w:cs="Times New Roman"/>
                <w:i/>
                <w:iCs/>
                <w:spacing w:val="-6"/>
              </w:rPr>
              <w:t>m aquilinum</w:t>
            </w:r>
            <w:r>
              <w:rPr>
                <w:rFonts w:ascii="Times New Roman" w:hAnsi="Times New Roman" w:eastAsia="Times New Roman" w:cs="Times New Roman"/>
                <w:i/>
                <w:iCs/>
              </w:rPr>
              <w:t xml:space="preserve"> </w:t>
            </w:r>
            <w:r>
              <w:rPr>
                <w:rFonts w:ascii="Times New Roman" w:hAnsi="Times New Roman" w:eastAsia="Times New Roman" w:cs="Times New Roman"/>
                <w:i/>
                <w:iCs/>
                <w:spacing w:val="-1"/>
              </w:rPr>
              <w:t>var. Latiusculum</w:t>
            </w:r>
            <w:r>
              <w:rPr>
                <w:rFonts w:ascii="Times New Roman" w:hAnsi="Times New Roman" w:eastAsia="Times New Roman" w:cs="Times New Roman"/>
                <w:i/>
                <w:iCs/>
                <w:spacing w:val="-29"/>
              </w:rPr>
              <w:t xml:space="preserve"> </w:t>
            </w:r>
            <w:r>
              <w:rPr>
                <w:spacing w:val="-1"/>
              </w:rPr>
              <w:t>、扭黄茅</w:t>
            </w:r>
            <w:r>
              <w:rPr>
                <w:spacing w:val="-61"/>
              </w:rPr>
              <w:t xml:space="preserve"> </w:t>
            </w:r>
            <w:r>
              <w:rPr>
                <w:rFonts w:ascii="Times New Roman" w:hAnsi="Times New Roman" w:eastAsia="Times New Roman" w:cs="Times New Roman"/>
                <w:i/>
                <w:iCs/>
                <w:spacing w:val="-1"/>
              </w:rPr>
              <w:t>Heteropogon contortus</w:t>
            </w:r>
            <w:r>
              <w:rPr>
                <w:rFonts w:ascii="Times New Roman" w:hAnsi="Times New Roman" w:eastAsia="Times New Roman" w:cs="Times New Roman"/>
                <w:i/>
                <w:iCs/>
                <w:spacing w:val="-31"/>
              </w:rPr>
              <w:t xml:space="preserve"> </w:t>
            </w:r>
            <w:r>
              <w:rPr>
                <w:spacing w:val="-1"/>
              </w:rPr>
              <w:t>、旱</w:t>
            </w:r>
            <w:r>
              <w:rPr>
                <w:spacing w:val="-2"/>
              </w:rPr>
              <w:t>茅</w:t>
            </w:r>
            <w:r>
              <w:rPr>
                <w:spacing w:val="-56"/>
              </w:rPr>
              <w:t xml:space="preserve"> </w:t>
            </w:r>
            <w:r>
              <w:rPr>
                <w:rFonts w:ascii="Times New Roman" w:hAnsi="Times New Roman" w:eastAsia="Times New Roman" w:cs="Times New Roman"/>
                <w:i/>
                <w:iCs/>
                <w:spacing w:val="-2"/>
              </w:rPr>
              <w:t>Schizachyrium delavayi</w:t>
            </w:r>
            <w:r>
              <w:rPr>
                <w:rFonts w:ascii="Times New Roman" w:hAnsi="Times New Roman" w:eastAsia="Times New Roman" w:cs="Times New Roman"/>
                <w:i/>
                <w:iCs/>
                <w:spacing w:val="-29"/>
              </w:rPr>
              <w:t xml:space="preserve"> </w:t>
            </w:r>
            <w:r>
              <w:rPr>
                <w:spacing w:val="-2"/>
              </w:rPr>
              <w:t>、</w:t>
            </w:r>
            <w:r>
              <w:t xml:space="preserve"> </w:t>
            </w:r>
            <w:r>
              <w:rPr>
                <w:spacing w:val="1"/>
              </w:rPr>
              <w:t>荩草</w:t>
            </w:r>
            <w:r>
              <w:rPr>
                <w:spacing w:val="-27"/>
              </w:rPr>
              <w:t xml:space="preserve"> </w:t>
            </w:r>
            <w:r>
              <w:rPr>
                <w:rFonts w:ascii="Times New Roman" w:hAnsi="Times New Roman" w:eastAsia="Times New Roman" w:cs="Times New Roman"/>
                <w:i/>
                <w:iCs/>
              </w:rPr>
              <w:t>Arthraxon</w:t>
            </w:r>
            <w:r>
              <w:rPr>
                <w:rFonts w:ascii="Times New Roman" w:hAnsi="Times New Roman" w:eastAsia="Times New Roman" w:cs="Times New Roman"/>
                <w:i/>
                <w:iCs/>
                <w:spacing w:val="43"/>
                <w:w w:val="101"/>
              </w:rPr>
              <w:t xml:space="preserve"> </w:t>
            </w:r>
            <w:r>
              <w:rPr>
                <w:rFonts w:ascii="Times New Roman" w:hAnsi="Times New Roman" w:eastAsia="Times New Roman" w:cs="Times New Roman"/>
                <w:i/>
                <w:iCs/>
              </w:rPr>
              <w:t>hispidus</w:t>
            </w:r>
            <w:r>
              <w:rPr>
                <w:rFonts w:ascii="Times New Roman" w:hAnsi="Times New Roman" w:eastAsia="Times New Roman" w:cs="Times New Roman"/>
                <w:i/>
                <w:iCs/>
                <w:spacing w:val="1"/>
              </w:rPr>
              <w:t xml:space="preserve"> </w:t>
            </w:r>
            <w:r>
              <w:rPr>
                <w:spacing w:val="1"/>
              </w:rPr>
              <w:t>、野</w:t>
            </w:r>
            <w:r>
              <w:rPr>
                <w:spacing w:val="-72"/>
              </w:rPr>
              <w:t xml:space="preserve"> </w:t>
            </w:r>
            <w:r>
              <w:rPr>
                <w:spacing w:val="1"/>
              </w:rPr>
              <w:t>艾</w:t>
            </w:r>
            <w:r>
              <w:rPr>
                <w:spacing w:val="-69"/>
              </w:rPr>
              <w:t xml:space="preserve"> </w:t>
            </w:r>
            <w:r>
              <w:rPr>
                <w:spacing w:val="1"/>
              </w:rPr>
              <w:t>蒿</w:t>
            </w:r>
            <w:r>
              <w:rPr>
                <w:spacing w:val="-35"/>
              </w:rPr>
              <w:t xml:space="preserve"> </w:t>
            </w:r>
            <w:r>
              <w:rPr>
                <w:rFonts w:ascii="Times New Roman" w:hAnsi="Times New Roman" w:eastAsia="Times New Roman" w:cs="Times New Roman"/>
                <w:i/>
                <w:iCs/>
              </w:rPr>
              <w:t>Artemisia</w:t>
            </w:r>
            <w:r>
              <w:rPr>
                <w:rFonts w:ascii="Times New Roman" w:hAnsi="Times New Roman" w:eastAsia="Times New Roman" w:cs="Times New Roman"/>
                <w:i/>
                <w:iCs/>
                <w:spacing w:val="45"/>
                <w:w w:val="101"/>
              </w:rPr>
              <w:t xml:space="preserve"> </w:t>
            </w:r>
            <w:r>
              <w:rPr>
                <w:rFonts w:ascii="Times New Roman" w:hAnsi="Times New Roman" w:eastAsia="Times New Roman" w:cs="Times New Roman"/>
                <w:i/>
                <w:iCs/>
              </w:rPr>
              <w:t>lavandulaefolia</w:t>
            </w:r>
            <w:r>
              <w:rPr>
                <w:rFonts w:ascii="Times New Roman" w:hAnsi="Times New Roman" w:eastAsia="Times New Roman" w:cs="Times New Roman"/>
                <w:i/>
                <w:iCs/>
                <w:spacing w:val="1"/>
              </w:rPr>
              <w:t xml:space="preserve"> </w:t>
            </w:r>
            <w:r>
              <w:rPr>
                <w:spacing w:val="1"/>
              </w:rPr>
              <w:t>、千</w:t>
            </w:r>
            <w:r>
              <w:rPr>
                <w:spacing w:val="-72"/>
              </w:rPr>
              <w:t xml:space="preserve"> </w:t>
            </w:r>
            <w:r>
              <w:rPr>
                <w:spacing w:val="1"/>
              </w:rPr>
              <w:t>里</w:t>
            </w:r>
            <w:r>
              <w:rPr>
                <w:spacing w:val="-70"/>
              </w:rPr>
              <w:t xml:space="preserve"> </w:t>
            </w:r>
            <w:r>
              <w:rPr>
                <w:spacing w:val="1"/>
              </w:rPr>
              <w:t>光</w:t>
            </w:r>
            <w:r>
              <w:rPr>
                <w:spacing w:val="-23"/>
              </w:rPr>
              <w:t xml:space="preserve"> </w:t>
            </w:r>
            <w:r>
              <w:rPr>
                <w:rFonts w:ascii="Times New Roman" w:hAnsi="Times New Roman" w:eastAsia="Times New Roman" w:cs="Times New Roman"/>
                <w:i/>
                <w:iCs/>
              </w:rPr>
              <w:t>Senecio scandens</w:t>
            </w:r>
            <w:r>
              <w:t>、青蒿</w:t>
            </w:r>
            <w:r>
              <w:rPr>
                <w:spacing w:val="-72"/>
              </w:rPr>
              <w:t xml:space="preserve"> </w:t>
            </w:r>
            <w:r>
              <w:rPr>
                <w:rFonts w:ascii="Times New Roman" w:hAnsi="Times New Roman" w:eastAsia="Times New Roman" w:cs="Times New Roman"/>
                <w:i/>
                <w:iCs/>
              </w:rPr>
              <w:t>Artemisia</w:t>
            </w:r>
            <w:r>
              <w:rPr>
                <w:rFonts w:ascii="Times New Roman" w:hAnsi="Times New Roman" w:eastAsia="Times New Roman" w:cs="Times New Roman"/>
                <w:i/>
                <w:iCs/>
                <w:spacing w:val="-1"/>
              </w:rPr>
              <w:t xml:space="preserve"> carvifolia</w:t>
            </w:r>
            <w:r>
              <w:rPr>
                <w:spacing w:val="-1"/>
              </w:rPr>
              <w:t>、五节芒</w:t>
            </w:r>
            <w:r>
              <w:rPr>
                <w:spacing w:val="-67"/>
              </w:rPr>
              <w:t xml:space="preserve"> </w:t>
            </w:r>
            <w:r>
              <w:rPr>
                <w:rFonts w:ascii="Times New Roman" w:hAnsi="Times New Roman" w:eastAsia="Times New Roman" w:cs="Times New Roman"/>
                <w:i/>
                <w:iCs/>
                <w:spacing w:val="-1"/>
              </w:rPr>
              <w:t>Miscanthus</w:t>
            </w:r>
            <w:r>
              <w:rPr>
                <w:rFonts w:ascii="Times New Roman" w:hAnsi="Times New Roman" w:eastAsia="Times New Roman" w:cs="Times New Roman"/>
                <w:i/>
                <w:iCs/>
                <w:spacing w:val="-42"/>
              </w:rPr>
              <w:t xml:space="preserve"> </w:t>
            </w:r>
            <w:r>
              <w:rPr>
                <w:rFonts w:ascii="Times New Roman" w:hAnsi="Times New Roman" w:eastAsia="Times New Roman" w:cs="Times New Roman"/>
                <w:i/>
                <w:iCs/>
                <w:spacing w:val="-1"/>
              </w:rPr>
              <w:t>floridulus</w:t>
            </w:r>
            <w:r>
              <w:rPr>
                <w:spacing w:val="-1"/>
              </w:rPr>
              <w:t>、凤尾蕨</w:t>
            </w:r>
            <w:r>
              <w:rPr>
                <w:spacing w:val="-65"/>
              </w:rPr>
              <w:t xml:space="preserve"> </w:t>
            </w:r>
            <w:r>
              <w:rPr>
                <w:rFonts w:ascii="Times New Roman" w:hAnsi="Times New Roman" w:eastAsia="Times New Roman" w:cs="Times New Roman"/>
                <w:i/>
                <w:iCs/>
                <w:spacing w:val="-1"/>
              </w:rPr>
              <w:t>Pteris</w:t>
            </w:r>
            <w:r>
              <w:rPr>
                <w:rFonts w:ascii="Times New Roman" w:hAnsi="Times New Roman" w:eastAsia="Times New Roman" w:cs="Times New Roman"/>
                <w:i/>
                <w:iCs/>
              </w:rPr>
              <w:t xml:space="preserve"> </w:t>
            </w:r>
            <w:r>
              <w:rPr>
                <w:rFonts w:ascii="Times New Roman" w:hAnsi="Times New Roman" w:eastAsia="Times New Roman" w:cs="Times New Roman"/>
                <w:i/>
                <w:iCs/>
                <w:spacing w:val="-1"/>
              </w:rPr>
              <w:t>vittata</w:t>
            </w:r>
            <w:r>
              <w:rPr>
                <w:spacing w:val="-1"/>
              </w:rPr>
              <w:t>、金粉蕨</w:t>
            </w:r>
            <w:r>
              <w:rPr>
                <w:spacing w:val="-46"/>
              </w:rPr>
              <w:t xml:space="preserve"> </w:t>
            </w:r>
            <w:r>
              <w:rPr>
                <w:rFonts w:ascii="Times New Roman" w:hAnsi="Times New Roman" w:eastAsia="Times New Roman" w:cs="Times New Roman"/>
                <w:i/>
                <w:iCs/>
                <w:spacing w:val="-1"/>
              </w:rPr>
              <w:t>Onychiumsiliculosum</w:t>
            </w:r>
            <w:r>
              <w:rPr>
                <w:rFonts w:ascii="Times New Roman" w:hAnsi="Times New Roman" w:eastAsia="Times New Roman" w:cs="Times New Roman"/>
                <w:i/>
                <w:iCs/>
                <w:spacing w:val="-32"/>
              </w:rPr>
              <w:t xml:space="preserve"> </w:t>
            </w:r>
            <w:r>
              <w:rPr>
                <w:spacing w:val="-1"/>
              </w:rPr>
              <w:t xml:space="preserve">、昆明小龙胆 </w:t>
            </w:r>
            <w:r>
              <w:rPr>
                <w:rFonts w:ascii="Times New Roman" w:hAnsi="Times New Roman" w:eastAsia="Times New Roman" w:cs="Times New Roman"/>
                <w:i/>
                <w:iCs/>
                <w:spacing w:val="-1"/>
              </w:rPr>
              <w:t>Gentiana</w:t>
            </w:r>
            <w:r>
              <w:rPr>
                <w:rFonts w:ascii="Times New Roman" w:hAnsi="Times New Roman" w:eastAsia="Times New Roman" w:cs="Times New Roman"/>
                <w:i/>
                <w:iCs/>
                <w:spacing w:val="-2"/>
              </w:rPr>
              <w:t>kunmingensis</w:t>
            </w:r>
            <w:r>
              <w:rPr>
                <w:rFonts w:ascii="Times New Roman" w:hAnsi="Times New Roman" w:eastAsia="Times New Roman" w:cs="Times New Roman"/>
                <w:i/>
                <w:iCs/>
                <w:spacing w:val="-31"/>
              </w:rPr>
              <w:t xml:space="preserve"> </w:t>
            </w:r>
            <w:r>
              <w:rPr>
                <w:spacing w:val="-2"/>
              </w:rPr>
              <w:t>、尼泊</w:t>
            </w:r>
            <w:r>
              <w:t xml:space="preserve"> </w:t>
            </w:r>
            <w:r>
              <w:rPr>
                <w:spacing w:val="4"/>
              </w:rPr>
              <w:t>尔老鹳草</w:t>
            </w:r>
            <w:r>
              <w:rPr>
                <w:spacing w:val="-21"/>
              </w:rPr>
              <w:t xml:space="preserve"> </w:t>
            </w:r>
            <w:r>
              <w:rPr>
                <w:rFonts w:ascii="Times New Roman" w:hAnsi="Times New Roman" w:eastAsia="Times New Roman" w:cs="Times New Roman"/>
                <w:i/>
                <w:iCs/>
              </w:rPr>
              <w:t>Geraniumnepalens</w:t>
            </w:r>
            <w:r>
              <w:rPr>
                <w:rFonts w:ascii="Times New Roman" w:hAnsi="Times New Roman" w:eastAsia="Times New Roman" w:cs="Times New Roman"/>
                <w:i/>
                <w:iCs/>
                <w:spacing w:val="-14"/>
              </w:rPr>
              <w:t xml:space="preserve"> </w:t>
            </w:r>
            <w:r>
              <w:rPr>
                <w:spacing w:val="4"/>
              </w:rPr>
              <w:t>、两头毛</w:t>
            </w:r>
            <w:r>
              <w:rPr>
                <w:spacing w:val="-48"/>
              </w:rPr>
              <w:t xml:space="preserve"> </w:t>
            </w:r>
            <w:r>
              <w:rPr>
                <w:rFonts w:ascii="Times New Roman" w:hAnsi="Times New Roman" w:eastAsia="Times New Roman" w:cs="Times New Roman"/>
                <w:i/>
                <w:iCs/>
              </w:rPr>
              <w:t>Incarvillea</w:t>
            </w:r>
            <w:r>
              <w:rPr>
                <w:rFonts w:ascii="Times New Roman" w:hAnsi="Times New Roman" w:eastAsia="Times New Roman" w:cs="Times New Roman"/>
                <w:i/>
                <w:iCs/>
                <w:spacing w:val="24"/>
                <w:w w:val="101"/>
              </w:rPr>
              <w:t xml:space="preserve"> </w:t>
            </w:r>
            <w:r>
              <w:rPr>
                <w:rFonts w:ascii="Times New Roman" w:hAnsi="Times New Roman" w:eastAsia="Times New Roman" w:cs="Times New Roman"/>
                <w:i/>
                <w:iCs/>
              </w:rPr>
              <w:t>arguta</w:t>
            </w:r>
            <w:r>
              <w:rPr>
                <w:rFonts w:ascii="Times New Roman" w:hAnsi="Times New Roman" w:eastAsia="Times New Roman" w:cs="Times New Roman"/>
                <w:i/>
                <w:iCs/>
                <w:spacing w:val="-18"/>
              </w:rPr>
              <w:t xml:space="preserve"> </w:t>
            </w:r>
            <w:r>
              <w:rPr>
                <w:i/>
                <w:iCs/>
                <w:spacing w:val="4"/>
                <w:sz w:val="25"/>
                <w:szCs w:val="25"/>
              </w:rPr>
              <w:t>、</w:t>
            </w:r>
            <w:r>
              <w:rPr>
                <w:spacing w:val="4"/>
              </w:rPr>
              <w:t>倒提壶</w:t>
            </w:r>
            <w:r>
              <w:rPr>
                <w:spacing w:val="-25"/>
              </w:rPr>
              <w:t xml:space="preserve"> </w:t>
            </w:r>
            <w:r>
              <w:rPr>
                <w:rFonts w:ascii="Times New Roman" w:hAnsi="Times New Roman" w:eastAsia="Times New Roman" w:cs="Times New Roman"/>
                <w:i/>
                <w:iCs/>
              </w:rPr>
              <w:t xml:space="preserve">Cynoglossum </w:t>
            </w:r>
            <w:r>
              <w:rPr>
                <w:rFonts w:ascii="Times New Roman" w:hAnsi="Times New Roman" w:eastAsia="Times New Roman" w:cs="Times New Roman"/>
                <w:i/>
                <w:iCs/>
                <w:spacing w:val="-1"/>
              </w:rPr>
              <w:t>amabile</w:t>
            </w:r>
            <w:r>
              <w:rPr>
                <w:rFonts w:ascii="Times New Roman" w:hAnsi="Times New Roman" w:eastAsia="Times New Roman" w:cs="Times New Roman"/>
                <w:i/>
                <w:iCs/>
                <w:spacing w:val="-25"/>
              </w:rPr>
              <w:t xml:space="preserve"> </w:t>
            </w:r>
            <w:r>
              <w:rPr>
                <w:i/>
                <w:iCs/>
                <w:spacing w:val="-1"/>
                <w:sz w:val="25"/>
                <w:szCs w:val="25"/>
              </w:rPr>
              <w:t>、</w:t>
            </w:r>
            <w:r>
              <w:rPr>
                <w:spacing w:val="-1"/>
              </w:rPr>
              <w:t>一把伞南星</w:t>
            </w:r>
            <w:r>
              <w:rPr>
                <w:spacing w:val="-69"/>
              </w:rPr>
              <w:t xml:space="preserve"> </w:t>
            </w:r>
            <w:r>
              <w:rPr>
                <w:rFonts w:ascii="Times New Roman" w:hAnsi="Times New Roman" w:eastAsia="Times New Roman" w:cs="Times New Roman"/>
                <w:i/>
                <w:iCs/>
                <w:spacing w:val="-1"/>
              </w:rPr>
              <w:t>Arisaema erubescens</w:t>
            </w:r>
            <w:r>
              <w:rPr>
                <w:rFonts w:ascii="Times New Roman" w:hAnsi="Times New Roman" w:eastAsia="Times New Roman" w:cs="Times New Roman"/>
                <w:i/>
                <w:iCs/>
                <w:spacing w:val="-31"/>
              </w:rPr>
              <w:t xml:space="preserve"> </w:t>
            </w:r>
            <w:r>
              <w:rPr>
                <w:spacing w:val="-1"/>
              </w:rPr>
              <w:t>、山珠南星</w:t>
            </w:r>
            <w:r>
              <w:rPr>
                <w:spacing w:val="-69"/>
              </w:rPr>
              <w:t xml:space="preserve"> </w:t>
            </w:r>
            <w:r>
              <w:rPr>
                <w:rFonts w:ascii="Times New Roman" w:hAnsi="Times New Roman" w:eastAsia="Times New Roman" w:cs="Times New Roman"/>
                <w:i/>
                <w:iCs/>
                <w:spacing w:val="-1"/>
              </w:rPr>
              <w:t>Arisaema</w:t>
            </w:r>
            <w:r>
              <w:rPr>
                <w:rFonts w:ascii="Times New Roman" w:hAnsi="Times New Roman" w:eastAsia="Times New Roman" w:cs="Times New Roman"/>
                <w:i/>
                <w:iCs/>
                <w:spacing w:val="-19"/>
              </w:rPr>
              <w:t xml:space="preserve"> </w:t>
            </w:r>
            <w:r>
              <w:rPr>
                <w:rFonts w:ascii="Times New Roman" w:hAnsi="Times New Roman" w:eastAsia="Times New Roman" w:cs="Times New Roman"/>
                <w:i/>
                <w:iCs/>
                <w:spacing w:val="-1"/>
              </w:rPr>
              <w:t>yunnanense</w:t>
            </w:r>
            <w:r>
              <w:rPr>
                <w:rFonts w:ascii="Times New Roman" w:hAnsi="Times New Roman" w:eastAsia="Times New Roman" w:cs="Times New Roman"/>
                <w:i/>
                <w:iCs/>
                <w:spacing w:val="-34"/>
              </w:rPr>
              <w:t xml:space="preserve"> </w:t>
            </w:r>
            <w:r>
              <w:rPr>
                <w:i/>
                <w:iCs/>
                <w:spacing w:val="-1"/>
                <w:sz w:val="25"/>
                <w:szCs w:val="25"/>
              </w:rPr>
              <w:t>、</w:t>
            </w:r>
            <w:r>
              <w:rPr>
                <w:spacing w:val="-1"/>
              </w:rPr>
              <w:t>鬼</w:t>
            </w:r>
            <w:r>
              <w:t xml:space="preserve"> 针草</w:t>
            </w:r>
            <w:r>
              <w:rPr>
                <w:spacing w:val="-57"/>
              </w:rPr>
              <w:t xml:space="preserve"> </w:t>
            </w:r>
            <w:r>
              <w:rPr>
                <w:rFonts w:ascii="Times New Roman" w:hAnsi="Times New Roman" w:eastAsia="Times New Roman" w:cs="Times New Roman"/>
                <w:i/>
                <w:iCs/>
              </w:rPr>
              <w:t>Bidensbipinnata</w:t>
            </w:r>
            <w:r>
              <w:rPr>
                <w:rFonts w:ascii="Times New Roman" w:hAnsi="Times New Roman" w:eastAsia="Times New Roman" w:cs="Times New Roman"/>
                <w:i/>
                <w:iCs/>
                <w:spacing w:val="-26"/>
              </w:rPr>
              <w:t xml:space="preserve"> </w:t>
            </w:r>
            <w:r>
              <w:t>、土荆芥</w:t>
            </w:r>
            <w:r>
              <w:rPr>
                <w:spacing w:val="-35"/>
              </w:rPr>
              <w:t xml:space="preserve"> </w:t>
            </w:r>
            <w:r>
              <w:rPr>
                <w:rFonts w:ascii="Times New Roman" w:hAnsi="Times New Roman" w:eastAsia="Times New Roman" w:cs="Times New Roman"/>
                <w:i/>
                <w:iCs/>
              </w:rPr>
              <w:t>Chenopdiumambrosioides</w:t>
            </w:r>
            <w:r>
              <w:rPr>
                <w:rFonts w:ascii="Times New Roman" w:hAnsi="Times New Roman" w:eastAsia="Times New Roman" w:cs="Times New Roman"/>
                <w:i/>
                <w:iCs/>
                <w:spacing w:val="18"/>
                <w:w w:val="101"/>
              </w:rPr>
              <w:t xml:space="preserve"> </w:t>
            </w:r>
            <w:r>
              <w:t>和茅</w:t>
            </w:r>
            <w:r>
              <w:rPr>
                <w:spacing w:val="-58"/>
              </w:rPr>
              <w:t xml:space="preserve"> </w:t>
            </w:r>
            <w:r>
              <w:rPr>
                <w:rFonts w:ascii="Times New Roman" w:hAnsi="Times New Roman" w:eastAsia="Times New Roman" w:cs="Times New Roman"/>
                <w:i/>
                <w:iCs/>
              </w:rPr>
              <w:t xml:space="preserve">Imperatacylindrica </w:t>
            </w:r>
            <w:r>
              <w:rPr>
                <w:spacing w:val="-1"/>
              </w:rPr>
              <w:t>等为主。藤本植物有毛茛铁线莲</w:t>
            </w:r>
            <w:r>
              <w:rPr>
                <w:spacing w:val="-44"/>
              </w:rPr>
              <w:t xml:space="preserve"> </w:t>
            </w:r>
            <w:r>
              <w:rPr>
                <w:rFonts w:ascii="Times New Roman" w:hAnsi="Times New Roman" w:eastAsia="Times New Roman" w:cs="Times New Roman"/>
                <w:i/>
                <w:iCs/>
                <w:spacing w:val="-1"/>
              </w:rPr>
              <w:t>Clematis ranunculoides Franch.</w:t>
            </w:r>
            <w:r>
              <w:rPr>
                <w:rFonts w:ascii="Times New Roman" w:hAnsi="Times New Roman" w:eastAsia="Times New Roman" w:cs="Times New Roman"/>
                <w:i/>
                <w:iCs/>
                <w:spacing w:val="-34"/>
              </w:rPr>
              <w:t xml:space="preserve"> </w:t>
            </w:r>
            <w:r>
              <w:rPr>
                <w:spacing w:val="-1"/>
              </w:rPr>
              <w:t>、</w:t>
            </w:r>
            <w:r>
              <w:rPr>
                <w:spacing w:val="-2"/>
              </w:rPr>
              <w:t>土茯苓</w:t>
            </w:r>
            <w:r>
              <w:rPr>
                <w:spacing w:val="-58"/>
              </w:rPr>
              <w:t xml:space="preserve"> </w:t>
            </w:r>
            <w:r>
              <w:rPr>
                <w:rFonts w:ascii="Times New Roman" w:hAnsi="Times New Roman" w:eastAsia="Times New Roman" w:cs="Times New Roman"/>
                <w:i/>
                <w:iCs/>
                <w:spacing w:val="-2"/>
              </w:rPr>
              <w:t>Smilax</w:t>
            </w:r>
            <w:r>
              <w:rPr>
                <w:rFonts w:ascii="Times New Roman" w:hAnsi="Times New Roman" w:eastAsia="Times New Roman" w:cs="Times New Roman"/>
                <w:i/>
                <w:iCs/>
              </w:rPr>
              <w:t xml:space="preserve"> </w:t>
            </w:r>
            <w:r>
              <w:rPr>
                <w:rFonts w:ascii="Times New Roman" w:hAnsi="Times New Roman" w:eastAsia="Times New Roman" w:cs="Times New Roman"/>
                <w:i/>
                <w:iCs/>
                <w:spacing w:val="-4"/>
              </w:rPr>
              <w:t>glabra</w:t>
            </w:r>
            <w:r>
              <w:rPr>
                <w:rFonts w:ascii="Times New Roman" w:hAnsi="Times New Roman" w:eastAsia="Times New Roman" w:cs="Times New Roman"/>
                <w:i/>
                <w:iCs/>
                <w:spacing w:val="-29"/>
              </w:rPr>
              <w:t xml:space="preserve"> </w:t>
            </w:r>
            <w:r>
              <w:rPr>
                <w:i/>
                <w:iCs/>
                <w:spacing w:val="-4"/>
                <w:sz w:val="25"/>
                <w:szCs w:val="25"/>
              </w:rPr>
              <w:t>、</w:t>
            </w:r>
            <w:r>
              <w:rPr>
                <w:spacing w:val="-4"/>
              </w:rPr>
              <w:t>等。</w:t>
            </w:r>
          </w:p>
          <w:p w14:paraId="35985D48">
            <w:pPr>
              <w:pStyle w:val="6"/>
              <w:spacing w:before="126" w:line="219" w:lineRule="auto"/>
              <w:ind w:left="600"/>
            </w:pPr>
            <w:r>
              <w:rPr>
                <w:spacing w:val="-2"/>
              </w:rPr>
              <w:t>（五）暖温性稀树灌木草丛</w:t>
            </w:r>
          </w:p>
          <w:p w14:paraId="3C96CFA2">
            <w:pPr>
              <w:pStyle w:val="6"/>
              <w:spacing w:before="181" w:line="217" w:lineRule="auto"/>
              <w:ind w:left="588"/>
            </w:pPr>
            <w:r>
              <w:rPr>
                <w:spacing w:val="-1"/>
              </w:rPr>
              <w:t>①含云南松、华山松、蕨的中草草丛</w:t>
            </w:r>
          </w:p>
          <w:p w14:paraId="344C0205">
            <w:pPr>
              <w:pStyle w:val="6"/>
              <w:spacing w:before="186" w:line="342" w:lineRule="auto"/>
              <w:ind w:left="112" w:right="102" w:firstLine="480"/>
            </w:pPr>
            <w:r>
              <w:t>该类稀树灌木草丛一般为原生植被常绿阔叶林被反复破坏后的产物，因此</w:t>
            </w:r>
            <w:r>
              <w:rPr>
                <w:spacing w:val="9"/>
              </w:rPr>
              <w:t xml:space="preserve"> </w:t>
            </w:r>
            <w:r>
              <w:t>该类群落的演替速度比较快速，该群落在项目区及周边向阳坡面广泛分布。群</w:t>
            </w:r>
          </w:p>
        </w:tc>
      </w:tr>
    </w:tbl>
    <w:p w14:paraId="0543AB83">
      <w:pPr>
        <w:rPr>
          <w:rFonts w:ascii="Arial"/>
          <w:sz w:val="21"/>
        </w:rPr>
      </w:pPr>
    </w:p>
    <w:p w14:paraId="3711371F">
      <w:pPr>
        <w:rPr>
          <w:rFonts w:ascii="Arial" w:hAnsi="Arial" w:eastAsia="Arial" w:cs="Arial"/>
          <w:sz w:val="21"/>
          <w:szCs w:val="21"/>
        </w:rPr>
        <w:sectPr>
          <w:footerReference r:id="rId91" w:type="default"/>
          <w:pgSz w:w="11906" w:h="16839"/>
          <w:pgMar w:top="1431" w:right="1413" w:bottom="1278" w:left="1413" w:header="0" w:footer="1116" w:gutter="0"/>
          <w:cols w:space="720" w:num="1"/>
        </w:sectPr>
      </w:pPr>
    </w:p>
    <w:p w14:paraId="537575FE">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55912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668" w:type="dxa"/>
            <w:tcBorders>
              <w:right w:val="single" w:color="000000" w:sz="2" w:space="0"/>
            </w:tcBorders>
            <w:vAlign w:val="top"/>
          </w:tcPr>
          <w:p w14:paraId="1A50CF17">
            <w:pPr>
              <w:rPr>
                <w:rFonts w:ascii="Arial"/>
                <w:sz w:val="21"/>
              </w:rPr>
            </w:pPr>
          </w:p>
        </w:tc>
        <w:tc>
          <w:tcPr>
            <w:tcW w:w="8396" w:type="dxa"/>
            <w:tcBorders>
              <w:left w:val="single" w:color="000000" w:sz="2" w:space="0"/>
            </w:tcBorders>
            <w:vAlign w:val="top"/>
          </w:tcPr>
          <w:p w14:paraId="399B8779">
            <w:pPr>
              <w:pStyle w:val="6"/>
              <w:spacing w:before="42" w:line="333" w:lineRule="auto"/>
              <w:ind w:left="73" w:right="12" w:firstLine="37"/>
              <w:jc w:val="both"/>
            </w:pPr>
            <w:r>
              <w:t>落结构简单，以草丛占优势，总盖度</w:t>
            </w:r>
            <w:r>
              <w:rPr>
                <w:spacing w:val="-43"/>
              </w:rPr>
              <w:t xml:space="preserve"> </w:t>
            </w:r>
            <w:r>
              <w:rPr>
                <w:rFonts w:ascii="Times New Roman" w:hAnsi="Times New Roman" w:eastAsia="Times New Roman" w:cs="Times New Roman"/>
              </w:rPr>
              <w:t>80%</w:t>
            </w:r>
            <w:r>
              <w:rPr>
                <w:rFonts w:ascii="Times New Roman" w:hAnsi="Times New Roman" w:eastAsia="Times New Roman" w:cs="Times New Roman"/>
                <w:spacing w:val="-23"/>
              </w:rPr>
              <w:t xml:space="preserve"> </w:t>
            </w:r>
            <w:r>
              <w:t>。乔木层</w:t>
            </w:r>
            <w:r>
              <w:rPr>
                <w:spacing w:val="-1"/>
              </w:rPr>
              <w:t>盖度约</w:t>
            </w:r>
            <w:r>
              <w:rPr>
                <w:spacing w:val="-44"/>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29"/>
              </w:rPr>
              <w:t xml:space="preserve"> </w:t>
            </w:r>
            <w:r>
              <w:rPr>
                <w:spacing w:val="-1"/>
              </w:rPr>
              <w:t>，仅零星分布少</w:t>
            </w:r>
            <w:r>
              <w:t xml:space="preserve"> </w:t>
            </w:r>
            <w:r>
              <w:rPr>
                <w:spacing w:val="-3"/>
              </w:rPr>
              <w:t>量云南松、华山松及尼泊尔桤木；灌木层主要有西南栒子</w:t>
            </w:r>
            <w:r>
              <w:rPr>
                <w:spacing w:val="-44"/>
              </w:rPr>
              <w:t xml:space="preserve"> </w:t>
            </w:r>
            <w:r>
              <w:rPr>
                <w:rFonts w:ascii="Times New Roman" w:hAnsi="Times New Roman" w:eastAsia="Times New Roman" w:cs="Times New Roman"/>
                <w:i/>
                <w:iCs/>
                <w:spacing w:val="-3"/>
              </w:rPr>
              <w:t>Cotoneaster</w:t>
            </w:r>
            <w:r>
              <w:rPr>
                <w:rFonts w:ascii="Times New Roman" w:hAnsi="Times New Roman" w:eastAsia="Times New Roman" w:cs="Times New Roman"/>
                <w:i/>
                <w:iCs/>
                <w:spacing w:val="-45"/>
              </w:rPr>
              <w:t xml:space="preserve"> </w:t>
            </w:r>
            <w:r>
              <w:rPr>
                <w:rFonts w:ascii="Times New Roman" w:hAnsi="Times New Roman" w:eastAsia="Times New Roman" w:cs="Times New Roman"/>
                <w:i/>
                <w:iCs/>
                <w:spacing w:val="-3"/>
              </w:rPr>
              <w:t>fra</w:t>
            </w:r>
            <w:r>
              <w:rPr>
                <w:rFonts w:ascii="Times New Roman" w:hAnsi="Times New Roman" w:eastAsia="Times New Roman" w:cs="Times New Roman"/>
                <w:i/>
                <w:iCs/>
                <w:spacing w:val="-4"/>
              </w:rPr>
              <w:t>nchetii</w:t>
            </w:r>
            <w:r>
              <w:rPr>
                <w:i/>
                <w:iCs/>
                <w:spacing w:val="-4"/>
                <w:sz w:val="25"/>
                <w:szCs w:val="25"/>
              </w:rPr>
              <w:t>，</w:t>
            </w:r>
            <w:r>
              <w:rPr>
                <w:sz w:val="25"/>
                <w:szCs w:val="25"/>
              </w:rPr>
              <w:t xml:space="preserve"> </w:t>
            </w:r>
            <w:r>
              <w:rPr>
                <w:spacing w:val="13"/>
              </w:rPr>
              <w:t>火棘</w:t>
            </w:r>
            <w:r>
              <w:rPr>
                <w:spacing w:val="-19"/>
              </w:rPr>
              <w:t xml:space="preserve"> </w:t>
            </w:r>
            <w:r>
              <w:rPr>
                <w:rFonts w:ascii="Times New Roman" w:hAnsi="Times New Roman" w:eastAsia="Times New Roman" w:cs="Times New Roman"/>
                <w:i/>
                <w:iCs/>
              </w:rPr>
              <w:t>Pyracantha</w:t>
            </w:r>
            <w:r>
              <w:rPr>
                <w:rFonts w:ascii="Times New Roman" w:hAnsi="Times New Roman" w:eastAsia="Times New Roman" w:cs="Times New Roman"/>
                <w:i/>
                <w:iCs/>
                <w:spacing w:val="13"/>
              </w:rPr>
              <w:t xml:space="preserve"> </w:t>
            </w:r>
            <w:r>
              <w:rPr>
                <w:rFonts w:ascii="Times New Roman" w:hAnsi="Times New Roman" w:eastAsia="Times New Roman" w:cs="Times New Roman"/>
                <w:i/>
                <w:iCs/>
              </w:rPr>
              <w:t>fortuneana</w:t>
            </w:r>
            <w:r>
              <w:rPr>
                <w:rFonts w:ascii="Times New Roman" w:hAnsi="Times New Roman" w:eastAsia="Times New Roman" w:cs="Times New Roman"/>
                <w:i/>
                <w:iCs/>
                <w:spacing w:val="13"/>
              </w:rPr>
              <w:t xml:space="preserve"> </w:t>
            </w:r>
            <w:r>
              <w:rPr>
                <w:spacing w:val="13"/>
              </w:rPr>
              <w:t>、野拔子</w:t>
            </w:r>
            <w:r>
              <w:rPr>
                <w:spacing w:val="-19"/>
              </w:rPr>
              <w:t xml:space="preserve"> </w:t>
            </w:r>
            <w:r>
              <w:rPr>
                <w:rFonts w:ascii="Times New Roman" w:hAnsi="Times New Roman" w:eastAsia="Times New Roman" w:cs="Times New Roman"/>
              </w:rPr>
              <w:t>Elsholtziarugulosd</w:t>
            </w:r>
            <w:r>
              <w:rPr>
                <w:rFonts w:ascii="Times New Roman" w:hAnsi="Times New Roman" w:eastAsia="Times New Roman" w:cs="Times New Roman"/>
                <w:spacing w:val="13"/>
              </w:rPr>
              <w:t xml:space="preserve"> </w:t>
            </w:r>
            <w:r>
              <w:rPr>
                <w:spacing w:val="13"/>
              </w:rPr>
              <w:t>、粉</w:t>
            </w:r>
            <w:r>
              <w:rPr>
                <w:spacing w:val="-60"/>
              </w:rPr>
              <w:t xml:space="preserve"> </w:t>
            </w:r>
            <w:r>
              <w:rPr>
                <w:spacing w:val="13"/>
              </w:rPr>
              <w:t>叶</w:t>
            </w:r>
            <w:r>
              <w:rPr>
                <w:spacing w:val="-68"/>
              </w:rPr>
              <w:t xml:space="preserve"> </w:t>
            </w:r>
            <w:r>
              <w:rPr>
                <w:spacing w:val="13"/>
              </w:rPr>
              <w:t>小檗</w:t>
            </w:r>
            <w:r>
              <w:rPr>
                <w:spacing w:val="-29"/>
              </w:rPr>
              <w:t xml:space="preserve"> </w:t>
            </w:r>
            <w:r>
              <w:rPr>
                <w:rFonts w:ascii="Times New Roman" w:hAnsi="Times New Roman" w:eastAsia="Times New Roman" w:cs="Times New Roman"/>
                <w:i/>
                <w:iCs/>
              </w:rPr>
              <w:t>Berberis  pruinosa Franch.</w:t>
            </w:r>
            <w:r>
              <w:rPr>
                <w:rFonts w:ascii="Times New Roman" w:hAnsi="Times New Roman" w:eastAsia="Times New Roman" w:cs="Times New Roman"/>
                <w:i/>
                <w:iCs/>
                <w:spacing w:val="-30"/>
              </w:rPr>
              <w:t xml:space="preserve"> </w:t>
            </w:r>
            <w:r>
              <w:rPr>
                <w:i/>
                <w:iCs/>
                <w:sz w:val="25"/>
                <w:szCs w:val="25"/>
              </w:rPr>
              <w:t>、</w:t>
            </w:r>
            <w:r>
              <w:t>乌鸦果</w:t>
            </w:r>
            <w:r>
              <w:rPr>
                <w:spacing w:val="-30"/>
              </w:rPr>
              <w:t xml:space="preserve"> </w:t>
            </w:r>
            <w:r>
              <w:rPr>
                <w:rFonts w:ascii="Times New Roman" w:hAnsi="Times New Roman" w:eastAsia="Times New Roman" w:cs="Times New Roman"/>
                <w:i/>
                <w:iCs/>
              </w:rPr>
              <w:t>Vacciniumfragile</w:t>
            </w:r>
            <w:r>
              <w:rPr>
                <w:rFonts w:ascii="Times New Roman" w:hAnsi="Times New Roman" w:eastAsia="Times New Roman" w:cs="Times New Roman"/>
                <w:i/>
                <w:iCs/>
                <w:spacing w:val="-36"/>
              </w:rPr>
              <w:t xml:space="preserve"> </w:t>
            </w:r>
            <w:r>
              <w:rPr>
                <w:i/>
                <w:iCs/>
                <w:sz w:val="25"/>
                <w:szCs w:val="25"/>
              </w:rPr>
              <w:t>、</w:t>
            </w:r>
            <w:r>
              <w:t>凉山悬钩子</w:t>
            </w:r>
            <w:r>
              <w:rPr>
                <w:spacing w:val="-65"/>
              </w:rPr>
              <w:t xml:space="preserve"> </w:t>
            </w:r>
            <w:r>
              <w:rPr>
                <w:rFonts w:ascii="Times New Roman" w:hAnsi="Times New Roman" w:eastAsia="Times New Roman" w:cs="Times New Roman"/>
                <w:i/>
                <w:iCs/>
              </w:rPr>
              <w:t>Rubus</w:t>
            </w:r>
            <w:r>
              <w:rPr>
                <w:rFonts w:ascii="Times New Roman" w:hAnsi="Times New Roman" w:eastAsia="Times New Roman" w:cs="Times New Roman"/>
                <w:i/>
                <w:iCs/>
                <w:spacing w:val="-41"/>
              </w:rPr>
              <w:t xml:space="preserve"> </w:t>
            </w:r>
            <w:r>
              <w:rPr>
                <w:rFonts w:ascii="Times New Roman" w:hAnsi="Times New Roman" w:eastAsia="Times New Roman" w:cs="Times New Roman"/>
                <w:i/>
                <w:iCs/>
              </w:rPr>
              <w:t xml:space="preserve">fockeanus </w:t>
            </w:r>
            <w:r>
              <w:t>等。</w:t>
            </w:r>
          </w:p>
          <w:p w14:paraId="24869E5F">
            <w:pPr>
              <w:pStyle w:val="6"/>
              <w:spacing w:before="93" w:line="343" w:lineRule="auto"/>
              <w:ind w:left="58" w:right="48" w:firstLine="532"/>
            </w:pPr>
            <w:r>
              <w:rPr>
                <w:spacing w:val="-8"/>
              </w:rPr>
              <w:t>草</w:t>
            </w:r>
            <w:r>
              <w:rPr>
                <w:spacing w:val="47"/>
              </w:rPr>
              <w:t xml:space="preserve"> </w:t>
            </w:r>
            <w:r>
              <w:rPr>
                <w:spacing w:val="-8"/>
              </w:rPr>
              <w:t>本</w:t>
            </w:r>
            <w:r>
              <w:rPr>
                <w:spacing w:val="41"/>
              </w:rPr>
              <w:t xml:space="preserve"> </w:t>
            </w:r>
            <w:r>
              <w:rPr>
                <w:spacing w:val="-8"/>
              </w:rPr>
              <w:t>层</w:t>
            </w:r>
            <w:r>
              <w:rPr>
                <w:spacing w:val="43"/>
              </w:rPr>
              <w:t xml:space="preserve"> </w:t>
            </w:r>
            <w:r>
              <w:rPr>
                <w:spacing w:val="-8"/>
              </w:rPr>
              <w:t>群</w:t>
            </w:r>
            <w:r>
              <w:rPr>
                <w:spacing w:val="42"/>
              </w:rPr>
              <w:t xml:space="preserve"> </w:t>
            </w:r>
            <w:r>
              <w:rPr>
                <w:spacing w:val="-8"/>
              </w:rPr>
              <w:t>落</w:t>
            </w:r>
            <w:r>
              <w:rPr>
                <w:spacing w:val="50"/>
              </w:rPr>
              <w:t xml:space="preserve"> </w:t>
            </w:r>
            <w:r>
              <w:rPr>
                <w:spacing w:val="-8"/>
              </w:rPr>
              <w:t>高</w:t>
            </w:r>
            <w:r>
              <w:rPr>
                <w:spacing w:val="46"/>
              </w:rPr>
              <w:t xml:space="preserve"> </w:t>
            </w:r>
            <w:r>
              <w:rPr>
                <w:spacing w:val="-8"/>
              </w:rPr>
              <w:t>约</w:t>
            </w:r>
            <w:r>
              <w:rPr>
                <w:spacing w:val="106"/>
              </w:rPr>
              <w:t xml:space="preserve"> </w:t>
            </w:r>
            <w:r>
              <w:rPr>
                <w:rFonts w:ascii="Times New Roman" w:hAnsi="Times New Roman" w:eastAsia="Times New Roman" w:cs="Times New Roman"/>
                <w:spacing w:val="-8"/>
              </w:rPr>
              <w:t xml:space="preserve">80cm   </w:t>
            </w:r>
            <w:r>
              <w:rPr>
                <w:spacing w:val="-8"/>
              </w:rPr>
              <w:t>，</w:t>
            </w:r>
            <w:r>
              <w:rPr>
                <w:spacing w:val="43"/>
              </w:rPr>
              <w:t xml:space="preserve"> </w:t>
            </w:r>
            <w:r>
              <w:rPr>
                <w:spacing w:val="-8"/>
              </w:rPr>
              <w:t>层</w:t>
            </w:r>
            <w:r>
              <w:rPr>
                <w:spacing w:val="42"/>
              </w:rPr>
              <w:t xml:space="preserve"> </w:t>
            </w:r>
            <w:r>
              <w:rPr>
                <w:spacing w:val="-8"/>
              </w:rPr>
              <w:t>盖</w:t>
            </w:r>
            <w:r>
              <w:rPr>
                <w:spacing w:val="42"/>
              </w:rPr>
              <w:t xml:space="preserve"> </w:t>
            </w:r>
            <w:r>
              <w:rPr>
                <w:spacing w:val="-8"/>
              </w:rPr>
              <w:t xml:space="preserve">度  </w:t>
            </w:r>
            <w:r>
              <w:rPr>
                <w:rFonts w:ascii="Times New Roman" w:hAnsi="Times New Roman" w:eastAsia="Times New Roman" w:cs="Times New Roman"/>
                <w:spacing w:val="-8"/>
              </w:rPr>
              <w:t>75%~80%</w:t>
            </w:r>
            <w:r>
              <w:rPr>
                <w:rFonts w:ascii="Times New Roman" w:hAnsi="Times New Roman" w:eastAsia="Times New Roman" w:cs="Times New Roman"/>
                <w:spacing w:val="23"/>
              </w:rPr>
              <w:t xml:space="preserve">  </w:t>
            </w:r>
            <w:r>
              <w:rPr>
                <w:spacing w:val="-8"/>
              </w:rPr>
              <w:t>左</w:t>
            </w:r>
            <w:r>
              <w:rPr>
                <w:spacing w:val="45"/>
              </w:rPr>
              <w:t xml:space="preserve"> </w:t>
            </w:r>
            <w:r>
              <w:rPr>
                <w:spacing w:val="-8"/>
              </w:rPr>
              <w:t>右</w:t>
            </w:r>
            <w:r>
              <w:rPr>
                <w:spacing w:val="60"/>
              </w:rPr>
              <w:t xml:space="preserve"> </w:t>
            </w:r>
            <w:r>
              <w:rPr>
                <w:spacing w:val="-8"/>
              </w:rPr>
              <w:t>，</w:t>
            </w:r>
            <w:r>
              <w:rPr>
                <w:spacing w:val="41"/>
              </w:rPr>
              <w:t xml:space="preserve"> </w:t>
            </w:r>
            <w:r>
              <w:rPr>
                <w:spacing w:val="-8"/>
              </w:rPr>
              <w:t>蕨</w:t>
            </w:r>
            <w:r>
              <w:t xml:space="preserve"> </w:t>
            </w:r>
            <w:r>
              <w:rPr>
                <w:rFonts w:ascii="Times New Roman" w:hAnsi="Times New Roman" w:eastAsia="Times New Roman" w:cs="Times New Roman"/>
                <w:i/>
                <w:iCs/>
              </w:rPr>
              <w:t>Pteridiumlatiusculu</w:t>
            </w:r>
            <w:r>
              <w:rPr>
                <w:rFonts w:ascii="Times New Roman" w:hAnsi="Times New Roman" w:eastAsia="Times New Roman" w:cs="Times New Roman"/>
                <w:i/>
                <w:iCs/>
                <w:spacing w:val="-1"/>
              </w:rPr>
              <w:t xml:space="preserve">m (Desv.) Hieron.  </w:t>
            </w:r>
            <w:r>
              <w:rPr>
                <w:i/>
                <w:iCs/>
                <w:spacing w:val="-1"/>
                <w:sz w:val="25"/>
                <w:szCs w:val="25"/>
              </w:rPr>
              <w:t>、</w:t>
            </w:r>
            <w:r>
              <w:rPr>
                <w:spacing w:val="-1"/>
              </w:rPr>
              <w:t>欧洲蕨</w:t>
            </w:r>
            <w:r>
              <w:rPr>
                <w:spacing w:val="-65"/>
              </w:rPr>
              <w:t xml:space="preserve"> </w:t>
            </w:r>
            <w:r>
              <w:rPr>
                <w:rFonts w:ascii="Times New Roman" w:hAnsi="Times New Roman" w:eastAsia="Times New Roman" w:cs="Times New Roman"/>
                <w:i/>
                <w:iCs/>
                <w:spacing w:val="-1"/>
              </w:rPr>
              <w:t>Pteridium aquilinum</w:t>
            </w:r>
            <w:r>
              <w:rPr>
                <w:rFonts w:ascii="Times New Roman" w:hAnsi="Times New Roman" w:eastAsia="Times New Roman" w:cs="Times New Roman"/>
                <w:i/>
                <w:iCs/>
                <w:spacing w:val="16"/>
              </w:rPr>
              <w:t xml:space="preserve"> </w:t>
            </w:r>
            <w:r>
              <w:rPr>
                <w:rFonts w:ascii="Times New Roman" w:hAnsi="Times New Roman" w:eastAsia="Times New Roman" w:cs="Times New Roman"/>
                <w:i/>
                <w:iCs/>
                <w:spacing w:val="-1"/>
              </w:rPr>
              <w:t>(L.) Kuhn</w:t>
            </w:r>
            <w:r>
              <w:rPr>
                <w:i/>
                <w:iCs/>
                <w:spacing w:val="-1"/>
                <w:sz w:val="25"/>
                <w:szCs w:val="25"/>
              </w:rPr>
              <w:t>、</w:t>
            </w:r>
            <w:r>
              <w:rPr>
                <w:spacing w:val="-1"/>
              </w:rPr>
              <w:t>扭</w:t>
            </w:r>
            <w:r>
              <w:t xml:space="preserve"> </w:t>
            </w:r>
            <w:r>
              <w:rPr>
                <w:spacing w:val="-1"/>
              </w:rPr>
              <w:t>黄茅</w:t>
            </w:r>
            <w:r>
              <w:rPr>
                <w:spacing w:val="-66"/>
              </w:rPr>
              <w:t xml:space="preserve"> </w:t>
            </w:r>
            <w:r>
              <w:rPr>
                <w:rFonts w:ascii="Times New Roman" w:hAnsi="Times New Roman" w:eastAsia="Times New Roman" w:cs="Times New Roman"/>
                <w:i/>
                <w:iCs/>
                <w:spacing w:val="-1"/>
              </w:rPr>
              <w:t>Heteropogon contortus</w:t>
            </w:r>
            <w:r>
              <w:rPr>
                <w:spacing w:val="-1"/>
              </w:rPr>
              <w:t>、旱茅</w:t>
            </w:r>
            <w:r>
              <w:rPr>
                <w:spacing w:val="-58"/>
              </w:rPr>
              <w:t xml:space="preserve"> </w:t>
            </w:r>
            <w:r>
              <w:rPr>
                <w:rFonts w:ascii="Times New Roman" w:hAnsi="Times New Roman" w:eastAsia="Times New Roman" w:cs="Times New Roman"/>
                <w:i/>
                <w:iCs/>
                <w:spacing w:val="-1"/>
              </w:rPr>
              <w:t>Sch</w:t>
            </w:r>
            <w:r>
              <w:rPr>
                <w:rFonts w:ascii="Times New Roman" w:hAnsi="Times New Roman" w:eastAsia="Times New Roman" w:cs="Times New Roman"/>
                <w:i/>
                <w:iCs/>
                <w:spacing w:val="-2"/>
              </w:rPr>
              <w:t>izachyrium delavayi</w:t>
            </w:r>
            <w:r>
              <w:rPr>
                <w:rFonts w:ascii="Times New Roman" w:hAnsi="Times New Roman" w:eastAsia="Times New Roman" w:cs="Times New Roman"/>
                <w:i/>
                <w:iCs/>
                <w:spacing w:val="15"/>
                <w:w w:val="101"/>
              </w:rPr>
              <w:t xml:space="preserve"> </w:t>
            </w:r>
            <w:r>
              <w:rPr>
                <w:spacing w:val="-2"/>
              </w:rPr>
              <w:t>为主，其他还分布有细</w:t>
            </w:r>
            <w:r>
              <w:t xml:space="preserve"> </w:t>
            </w:r>
            <w:r>
              <w:rPr>
                <w:spacing w:val="6"/>
              </w:rPr>
              <w:t>柄草</w:t>
            </w:r>
            <w:r>
              <w:rPr>
                <w:spacing w:val="-23"/>
              </w:rPr>
              <w:t xml:space="preserve"> </w:t>
            </w:r>
            <w:r>
              <w:rPr>
                <w:rFonts w:ascii="Times New Roman" w:hAnsi="Times New Roman" w:eastAsia="Times New Roman" w:cs="Times New Roman"/>
                <w:i/>
                <w:iCs/>
              </w:rPr>
              <w:t>Capillipedium</w:t>
            </w:r>
            <w:r>
              <w:rPr>
                <w:rFonts w:ascii="Times New Roman" w:hAnsi="Times New Roman" w:eastAsia="Times New Roman" w:cs="Times New Roman"/>
                <w:i/>
                <w:iCs/>
                <w:spacing w:val="-12"/>
              </w:rPr>
              <w:t xml:space="preserve"> </w:t>
            </w:r>
            <w:r>
              <w:rPr>
                <w:rFonts w:ascii="Times New Roman" w:hAnsi="Times New Roman" w:eastAsia="Times New Roman" w:cs="Times New Roman"/>
                <w:i/>
                <w:iCs/>
              </w:rPr>
              <w:t>parviflorum</w:t>
            </w:r>
            <w:r>
              <w:rPr>
                <w:rFonts w:ascii="Times New Roman" w:hAnsi="Times New Roman" w:eastAsia="Times New Roman" w:cs="Times New Roman"/>
                <w:i/>
                <w:iCs/>
                <w:spacing w:val="-21"/>
              </w:rPr>
              <w:t xml:space="preserve"> </w:t>
            </w:r>
            <w:r>
              <w:rPr>
                <w:i/>
                <w:iCs/>
                <w:spacing w:val="6"/>
                <w:sz w:val="25"/>
                <w:szCs w:val="25"/>
              </w:rPr>
              <w:t>、</w:t>
            </w:r>
            <w:r>
              <w:rPr>
                <w:spacing w:val="6"/>
              </w:rPr>
              <w:t>狗牙根</w:t>
            </w:r>
            <w:r>
              <w:rPr>
                <w:spacing w:val="-30"/>
              </w:rPr>
              <w:t xml:space="preserve"> </w:t>
            </w:r>
            <w:r>
              <w:rPr>
                <w:rFonts w:ascii="Times New Roman" w:hAnsi="Times New Roman" w:eastAsia="Times New Roman" w:cs="Times New Roman"/>
                <w:i/>
                <w:iCs/>
              </w:rPr>
              <w:t>Cynodon</w:t>
            </w:r>
            <w:r>
              <w:rPr>
                <w:rFonts w:ascii="Times New Roman" w:hAnsi="Times New Roman" w:eastAsia="Times New Roman" w:cs="Times New Roman"/>
                <w:i/>
                <w:iCs/>
                <w:spacing w:val="19"/>
              </w:rPr>
              <w:t xml:space="preserve"> </w:t>
            </w:r>
            <w:r>
              <w:rPr>
                <w:rFonts w:ascii="Times New Roman" w:hAnsi="Times New Roman" w:eastAsia="Times New Roman" w:cs="Times New Roman"/>
                <w:i/>
                <w:iCs/>
              </w:rPr>
              <w:t>dactylon</w:t>
            </w:r>
            <w:r>
              <w:rPr>
                <w:rFonts w:ascii="Times New Roman" w:hAnsi="Times New Roman" w:eastAsia="Times New Roman" w:cs="Times New Roman"/>
                <w:i/>
                <w:iCs/>
                <w:spacing w:val="-18"/>
              </w:rPr>
              <w:t xml:space="preserve"> </w:t>
            </w:r>
            <w:r>
              <w:rPr>
                <w:i/>
                <w:iCs/>
                <w:spacing w:val="6"/>
                <w:sz w:val="25"/>
                <w:szCs w:val="25"/>
              </w:rPr>
              <w:t>、</w:t>
            </w:r>
            <w:r>
              <w:rPr>
                <w:spacing w:val="6"/>
              </w:rPr>
              <w:t>辽藁本</w:t>
            </w:r>
            <w:r>
              <w:rPr>
                <w:spacing w:val="-53"/>
              </w:rPr>
              <w:t xml:space="preserve"> </w:t>
            </w:r>
            <w:r>
              <w:rPr>
                <w:rFonts w:ascii="Times New Roman" w:hAnsi="Times New Roman" w:eastAsia="Times New Roman" w:cs="Times New Roman"/>
                <w:i/>
                <w:iCs/>
              </w:rPr>
              <w:t>Ligusticum  jeholens</w:t>
            </w:r>
            <w:r>
              <w:rPr>
                <w:rFonts w:ascii="Times New Roman" w:hAnsi="Times New Roman" w:eastAsia="Times New Roman" w:cs="Times New Roman"/>
              </w:rPr>
              <w:t>e</w:t>
            </w:r>
            <w:r>
              <w:rPr>
                <w:rFonts w:ascii="Times New Roman" w:hAnsi="Times New Roman" w:eastAsia="Times New Roman" w:cs="Times New Roman"/>
                <w:spacing w:val="-22"/>
              </w:rPr>
              <w:t xml:space="preserve"> </w:t>
            </w:r>
            <w:r>
              <w:rPr>
                <w:spacing w:val="6"/>
              </w:rPr>
              <w:t>、皱叶狗尾草</w:t>
            </w:r>
            <w:r>
              <w:rPr>
                <w:spacing w:val="-39"/>
              </w:rPr>
              <w:t xml:space="preserve"> </w:t>
            </w:r>
            <w:r>
              <w:rPr>
                <w:rFonts w:ascii="Times New Roman" w:hAnsi="Times New Roman" w:eastAsia="Times New Roman" w:cs="Times New Roman"/>
                <w:i/>
                <w:iCs/>
              </w:rPr>
              <w:t>Setaria</w:t>
            </w:r>
            <w:r>
              <w:rPr>
                <w:rFonts w:ascii="Times New Roman" w:hAnsi="Times New Roman" w:eastAsia="Times New Roman" w:cs="Times New Roman"/>
                <w:i/>
                <w:iCs/>
                <w:spacing w:val="6"/>
              </w:rPr>
              <w:t xml:space="preserve"> </w:t>
            </w:r>
            <w:r>
              <w:rPr>
                <w:rFonts w:ascii="Times New Roman" w:hAnsi="Times New Roman" w:eastAsia="Times New Roman" w:cs="Times New Roman"/>
                <w:i/>
                <w:iCs/>
              </w:rPr>
              <w:t>plicata</w:t>
            </w:r>
            <w:r>
              <w:rPr>
                <w:rFonts w:ascii="Times New Roman" w:hAnsi="Times New Roman" w:eastAsia="Times New Roman" w:cs="Times New Roman"/>
                <w:i/>
                <w:iCs/>
                <w:spacing w:val="-23"/>
              </w:rPr>
              <w:t xml:space="preserve"> </w:t>
            </w:r>
            <w:r>
              <w:rPr>
                <w:i/>
                <w:iCs/>
                <w:spacing w:val="6"/>
                <w:sz w:val="25"/>
                <w:szCs w:val="25"/>
              </w:rPr>
              <w:t>、</w:t>
            </w:r>
            <w:r>
              <w:rPr>
                <w:spacing w:val="6"/>
              </w:rPr>
              <w:t>臭节草</w:t>
            </w:r>
            <w:r>
              <w:rPr>
                <w:spacing w:val="-65"/>
              </w:rPr>
              <w:t xml:space="preserve"> </w:t>
            </w:r>
            <w:r>
              <w:rPr>
                <w:rFonts w:ascii="Times New Roman" w:hAnsi="Times New Roman" w:eastAsia="Times New Roman" w:cs="Times New Roman"/>
                <w:i/>
                <w:iCs/>
              </w:rPr>
              <w:t>Boenninghausenia</w:t>
            </w:r>
            <w:r>
              <w:rPr>
                <w:rFonts w:ascii="Times New Roman" w:hAnsi="Times New Roman" w:eastAsia="Times New Roman" w:cs="Times New Roman"/>
                <w:i/>
                <w:iCs/>
                <w:spacing w:val="6"/>
              </w:rPr>
              <w:t xml:space="preserve"> </w:t>
            </w:r>
            <w:r>
              <w:rPr>
                <w:rFonts w:ascii="Times New Roman" w:hAnsi="Times New Roman" w:eastAsia="Times New Roman" w:cs="Times New Roman"/>
                <w:i/>
                <w:iCs/>
              </w:rPr>
              <w:t>albiflora</w:t>
            </w:r>
            <w:r>
              <w:rPr>
                <w:rFonts w:ascii="Times New Roman" w:hAnsi="Times New Roman" w:eastAsia="Times New Roman" w:cs="Times New Roman"/>
                <w:i/>
                <w:iCs/>
                <w:spacing w:val="-34"/>
              </w:rPr>
              <w:t xml:space="preserve"> </w:t>
            </w:r>
            <w:r>
              <w:rPr>
                <w:spacing w:val="6"/>
              </w:rPr>
              <w:t>、荩</w:t>
            </w:r>
            <w:r>
              <w:t xml:space="preserve"> </w:t>
            </w:r>
            <w:r>
              <w:rPr>
                <w:spacing w:val="2"/>
              </w:rPr>
              <w:t>草</w:t>
            </w:r>
            <w:r>
              <w:rPr>
                <w:spacing w:val="-66"/>
              </w:rPr>
              <w:t xml:space="preserve"> </w:t>
            </w:r>
            <w:r>
              <w:rPr>
                <w:rFonts w:ascii="Times New Roman" w:hAnsi="Times New Roman" w:eastAsia="Times New Roman" w:cs="Times New Roman"/>
                <w:i/>
                <w:iCs/>
              </w:rPr>
              <w:t>Arthraxon</w:t>
            </w:r>
            <w:r>
              <w:rPr>
                <w:rFonts w:ascii="Times New Roman" w:hAnsi="Times New Roman" w:eastAsia="Times New Roman" w:cs="Times New Roman"/>
                <w:i/>
                <w:iCs/>
                <w:spacing w:val="2"/>
              </w:rPr>
              <w:t xml:space="preserve"> </w:t>
            </w:r>
            <w:r>
              <w:rPr>
                <w:rFonts w:ascii="Times New Roman" w:hAnsi="Times New Roman" w:eastAsia="Times New Roman" w:cs="Times New Roman"/>
                <w:i/>
                <w:iCs/>
              </w:rPr>
              <w:t>hispidus</w:t>
            </w:r>
            <w:r>
              <w:rPr>
                <w:spacing w:val="2"/>
              </w:rPr>
              <w:t>、五节芒</w:t>
            </w:r>
            <w:r>
              <w:rPr>
                <w:spacing w:val="-68"/>
              </w:rPr>
              <w:t xml:space="preserve"> </w:t>
            </w:r>
            <w:r>
              <w:rPr>
                <w:rFonts w:ascii="Times New Roman" w:hAnsi="Times New Roman" w:eastAsia="Times New Roman" w:cs="Times New Roman"/>
                <w:i/>
                <w:iCs/>
              </w:rPr>
              <w:t>Miscanthus</w:t>
            </w:r>
            <w:r>
              <w:rPr>
                <w:rFonts w:ascii="Times New Roman" w:hAnsi="Times New Roman" w:eastAsia="Times New Roman" w:cs="Times New Roman"/>
                <w:i/>
                <w:iCs/>
                <w:spacing w:val="-38"/>
              </w:rPr>
              <w:t xml:space="preserve"> </w:t>
            </w:r>
            <w:r>
              <w:rPr>
                <w:rFonts w:ascii="Times New Roman" w:hAnsi="Times New Roman" w:eastAsia="Times New Roman" w:cs="Times New Roman"/>
                <w:i/>
                <w:iCs/>
              </w:rPr>
              <w:t>floridulus</w:t>
            </w:r>
            <w:r>
              <w:rPr>
                <w:spacing w:val="2"/>
              </w:rPr>
              <w:t>、凤尾蕨</w:t>
            </w:r>
            <w:r>
              <w:rPr>
                <w:spacing w:val="-66"/>
              </w:rPr>
              <w:t xml:space="preserve"> </w:t>
            </w:r>
            <w:r>
              <w:rPr>
                <w:rFonts w:ascii="Times New Roman" w:hAnsi="Times New Roman" w:eastAsia="Times New Roman" w:cs="Times New Roman"/>
                <w:i/>
                <w:iCs/>
              </w:rPr>
              <w:t>Pteris</w:t>
            </w:r>
            <w:r>
              <w:rPr>
                <w:rFonts w:ascii="Times New Roman" w:hAnsi="Times New Roman" w:eastAsia="Times New Roman" w:cs="Times New Roman"/>
                <w:i/>
                <w:iCs/>
                <w:spacing w:val="2"/>
              </w:rPr>
              <w:t xml:space="preserve"> </w:t>
            </w:r>
            <w:r>
              <w:rPr>
                <w:rFonts w:ascii="Times New Roman" w:hAnsi="Times New Roman" w:eastAsia="Times New Roman" w:cs="Times New Roman"/>
                <w:i/>
                <w:iCs/>
              </w:rPr>
              <w:t>vittata</w:t>
            </w:r>
            <w:r>
              <w:rPr>
                <w:spacing w:val="2"/>
              </w:rPr>
              <w:t>、金粉</w:t>
            </w:r>
            <w:r>
              <w:t xml:space="preserve"> </w:t>
            </w:r>
            <w:r>
              <w:rPr>
                <w:spacing w:val="-1"/>
              </w:rPr>
              <w:t>蕨</w:t>
            </w:r>
            <w:r>
              <w:rPr>
                <w:spacing w:val="-46"/>
              </w:rPr>
              <w:t xml:space="preserve"> </w:t>
            </w:r>
            <w:r>
              <w:rPr>
                <w:rFonts w:ascii="Times New Roman" w:hAnsi="Times New Roman" w:eastAsia="Times New Roman" w:cs="Times New Roman"/>
                <w:i/>
                <w:iCs/>
                <w:spacing w:val="-1"/>
              </w:rPr>
              <w:t>Onychiumsiliculosum</w:t>
            </w:r>
            <w:r>
              <w:rPr>
                <w:rFonts w:ascii="Times New Roman" w:hAnsi="Times New Roman" w:eastAsia="Times New Roman" w:cs="Times New Roman"/>
                <w:i/>
                <w:iCs/>
                <w:spacing w:val="-34"/>
              </w:rPr>
              <w:t xml:space="preserve"> </w:t>
            </w:r>
            <w:r>
              <w:rPr>
                <w:spacing w:val="-1"/>
              </w:rPr>
              <w:t>、鬼针草</w:t>
            </w:r>
            <w:r>
              <w:rPr>
                <w:spacing w:val="-65"/>
              </w:rPr>
              <w:t xml:space="preserve"> </w:t>
            </w:r>
            <w:r>
              <w:rPr>
                <w:rFonts w:ascii="Times New Roman" w:hAnsi="Times New Roman" w:eastAsia="Times New Roman" w:cs="Times New Roman"/>
                <w:i/>
                <w:iCs/>
                <w:spacing w:val="-1"/>
              </w:rPr>
              <w:t>Bidensbipinnata</w:t>
            </w:r>
            <w:r>
              <w:rPr>
                <w:rFonts w:ascii="Times New Roman" w:hAnsi="Times New Roman" w:eastAsia="Times New Roman" w:cs="Times New Roman"/>
                <w:i/>
                <w:iCs/>
                <w:spacing w:val="-35"/>
              </w:rPr>
              <w:t xml:space="preserve"> </w:t>
            </w:r>
            <w:r>
              <w:rPr>
                <w:i/>
                <w:iCs/>
                <w:spacing w:val="-1"/>
                <w:sz w:val="25"/>
                <w:szCs w:val="25"/>
              </w:rPr>
              <w:t>、</w:t>
            </w:r>
            <w:r>
              <w:rPr>
                <w:spacing w:val="-1"/>
              </w:rPr>
              <w:t>两头毛</w:t>
            </w:r>
            <w:r>
              <w:rPr>
                <w:spacing w:val="-68"/>
              </w:rPr>
              <w:t xml:space="preserve"> </w:t>
            </w:r>
            <w:r>
              <w:rPr>
                <w:rFonts w:ascii="Times New Roman" w:hAnsi="Times New Roman" w:eastAsia="Times New Roman" w:cs="Times New Roman"/>
                <w:i/>
                <w:iCs/>
                <w:spacing w:val="-1"/>
              </w:rPr>
              <w:t>Incarvillea ar</w:t>
            </w:r>
            <w:r>
              <w:rPr>
                <w:rFonts w:ascii="Times New Roman" w:hAnsi="Times New Roman" w:eastAsia="Times New Roman" w:cs="Times New Roman"/>
                <w:i/>
                <w:iCs/>
                <w:spacing w:val="-2"/>
              </w:rPr>
              <w:t xml:space="preserve">guta </w:t>
            </w:r>
            <w:r>
              <w:rPr>
                <w:spacing w:val="-2"/>
              </w:rPr>
              <w:t>等。</w:t>
            </w:r>
            <w:r>
              <w:t xml:space="preserve"> 藤本植物有毛茛铁线莲</w:t>
            </w:r>
            <w:r>
              <w:rPr>
                <w:spacing w:val="-44"/>
              </w:rPr>
              <w:t xml:space="preserve"> </w:t>
            </w:r>
            <w:r>
              <w:rPr>
                <w:rFonts w:ascii="Times New Roman" w:hAnsi="Times New Roman" w:eastAsia="Times New Roman" w:cs="Times New Roman"/>
                <w:i/>
                <w:iCs/>
              </w:rPr>
              <w:t>Clematis ranunculoides Franch.</w:t>
            </w:r>
            <w:r>
              <w:rPr>
                <w:rFonts w:ascii="Times New Roman" w:hAnsi="Times New Roman" w:eastAsia="Times New Roman" w:cs="Times New Roman"/>
                <w:i/>
                <w:iCs/>
                <w:spacing w:val="-31"/>
              </w:rPr>
              <w:t xml:space="preserve"> </w:t>
            </w:r>
            <w:r>
              <w:t>、土茯苓</w:t>
            </w:r>
            <w:r>
              <w:rPr>
                <w:spacing w:val="-58"/>
              </w:rPr>
              <w:t xml:space="preserve"> </w:t>
            </w:r>
            <w:r>
              <w:rPr>
                <w:rFonts w:ascii="Times New Roman" w:hAnsi="Times New Roman" w:eastAsia="Times New Roman" w:cs="Times New Roman"/>
                <w:i/>
                <w:iCs/>
              </w:rPr>
              <w:t xml:space="preserve">Smilax </w:t>
            </w:r>
            <w:r>
              <w:rPr>
                <w:rFonts w:ascii="Times New Roman" w:hAnsi="Times New Roman" w:eastAsia="Times New Roman" w:cs="Times New Roman"/>
                <w:i/>
                <w:iCs/>
                <w:spacing w:val="-1"/>
              </w:rPr>
              <w:t>glabra</w:t>
            </w:r>
            <w:r>
              <w:rPr>
                <w:rFonts w:ascii="Times New Roman" w:hAnsi="Times New Roman" w:eastAsia="Times New Roman" w:cs="Times New Roman"/>
                <w:i/>
                <w:iCs/>
                <w:spacing w:val="-34"/>
              </w:rPr>
              <w:t xml:space="preserve"> </w:t>
            </w:r>
            <w:r>
              <w:rPr>
                <w:spacing w:val="-1"/>
              </w:rPr>
              <w:t>、</w:t>
            </w:r>
            <w:r>
              <w:t xml:space="preserve"> </w:t>
            </w:r>
            <w:r>
              <w:rPr>
                <w:spacing w:val="35"/>
              </w:rPr>
              <w:t>拉拉藤</w:t>
            </w:r>
            <w:r>
              <w:rPr>
                <w:spacing w:val="-22"/>
              </w:rPr>
              <w:t xml:space="preserve"> </w:t>
            </w:r>
            <w:r>
              <w:rPr>
                <w:rFonts w:ascii="Times New Roman" w:hAnsi="Times New Roman" w:eastAsia="Times New Roman" w:cs="Times New Roman"/>
                <w:i/>
                <w:iCs/>
              </w:rPr>
              <w:t>Galium</w:t>
            </w:r>
            <w:r>
              <w:rPr>
                <w:rFonts w:ascii="Times New Roman" w:hAnsi="Times New Roman" w:eastAsia="Times New Roman" w:cs="Times New Roman"/>
                <w:i/>
                <w:iCs/>
                <w:spacing w:val="24"/>
                <w:w w:val="101"/>
              </w:rPr>
              <w:t xml:space="preserve"> </w:t>
            </w:r>
            <w:r>
              <w:rPr>
                <w:rFonts w:ascii="Times New Roman" w:hAnsi="Times New Roman" w:eastAsia="Times New Roman" w:cs="Times New Roman"/>
                <w:i/>
                <w:iCs/>
              </w:rPr>
              <w:t>aparine</w:t>
            </w:r>
            <w:r>
              <w:rPr>
                <w:rFonts w:ascii="Times New Roman" w:hAnsi="Times New Roman" w:eastAsia="Times New Roman" w:cs="Times New Roman"/>
                <w:i/>
                <w:iCs/>
                <w:spacing w:val="23"/>
                <w:w w:val="101"/>
              </w:rPr>
              <w:t xml:space="preserve"> </w:t>
            </w:r>
            <w:r>
              <w:rPr>
                <w:rFonts w:ascii="Times New Roman" w:hAnsi="Times New Roman" w:eastAsia="Times New Roman" w:cs="Times New Roman"/>
                <w:i/>
                <w:iCs/>
              </w:rPr>
              <w:t>var</w:t>
            </w:r>
            <w:r>
              <w:rPr>
                <w:rFonts w:ascii="Times New Roman" w:hAnsi="Times New Roman" w:eastAsia="Times New Roman" w:cs="Times New Roman"/>
                <w:i/>
                <w:iCs/>
                <w:spacing w:val="35"/>
              </w:rPr>
              <w:t>.</w:t>
            </w:r>
            <w:r>
              <w:rPr>
                <w:rFonts w:ascii="Times New Roman" w:hAnsi="Times New Roman" w:eastAsia="Times New Roman" w:cs="Times New Roman"/>
                <w:i/>
                <w:iCs/>
              </w:rPr>
              <w:t>echinospermum</w:t>
            </w:r>
            <w:r>
              <w:rPr>
                <w:rFonts w:ascii="Times New Roman" w:hAnsi="Times New Roman" w:eastAsia="Times New Roman" w:cs="Times New Roman"/>
                <w:i/>
                <w:iCs/>
                <w:spacing w:val="28"/>
              </w:rPr>
              <w:t xml:space="preserve"> </w:t>
            </w:r>
            <w:r>
              <w:rPr>
                <w:spacing w:val="35"/>
              </w:rPr>
              <w:t>等。</w:t>
            </w:r>
          </w:p>
          <w:p w14:paraId="7F7D1B80">
            <w:pPr>
              <w:pStyle w:val="6"/>
              <w:spacing w:before="118" w:line="217" w:lineRule="auto"/>
              <w:ind w:left="587"/>
            </w:pPr>
            <w:r>
              <w:rPr>
                <w:spacing w:val="-1"/>
              </w:rPr>
              <w:t>②含栓皮栎、槲栎、蕨的中草草丛</w:t>
            </w:r>
          </w:p>
          <w:p w14:paraId="01421487">
            <w:pPr>
              <w:pStyle w:val="6"/>
              <w:spacing w:before="183" w:line="346" w:lineRule="auto"/>
              <w:ind w:left="104" w:firstLine="487"/>
            </w:pPr>
            <w:r>
              <w:t>该类稀树灌木草丛一般为原生植被落叶阔叶林被反复破坏后的产物，因此</w:t>
            </w:r>
            <w:r>
              <w:rPr>
                <w:spacing w:val="2"/>
              </w:rPr>
              <w:t xml:space="preserve">  </w:t>
            </w:r>
            <w:r>
              <w:t>该类群落的演替速度比较快速，该群落在项目区及周边向阳坡面广泛分布。群</w:t>
            </w:r>
            <w:r>
              <w:rPr>
                <w:spacing w:val="5"/>
              </w:rPr>
              <w:t xml:space="preserve">  </w:t>
            </w:r>
            <w:r>
              <w:t>落结构简单，以草丛占优势，总盖度</w:t>
            </w:r>
            <w:r>
              <w:rPr>
                <w:spacing w:val="-48"/>
              </w:rPr>
              <w:t xml:space="preserve"> </w:t>
            </w:r>
            <w:r>
              <w:rPr>
                <w:rFonts w:ascii="Times New Roman" w:hAnsi="Times New Roman" w:eastAsia="Times New Roman" w:cs="Times New Roman"/>
              </w:rPr>
              <w:t>90%</w:t>
            </w:r>
            <w:r>
              <w:rPr>
                <w:rFonts w:ascii="Times New Roman" w:hAnsi="Times New Roman" w:eastAsia="Times New Roman" w:cs="Times New Roman"/>
                <w:spacing w:val="-23"/>
              </w:rPr>
              <w:t xml:space="preserve"> </w:t>
            </w:r>
            <w:r>
              <w:t>。乔木层盖度约</w:t>
            </w:r>
            <w:r>
              <w:rPr>
                <w:spacing w:val="-45"/>
              </w:rPr>
              <w:t xml:space="preserve"> </w:t>
            </w:r>
            <w:r>
              <w:rPr>
                <w:rFonts w:ascii="Times New Roman" w:hAnsi="Times New Roman" w:eastAsia="Times New Roman" w:cs="Times New Roman"/>
              </w:rPr>
              <w:t>3%</w:t>
            </w:r>
            <w:r>
              <w:rPr>
                <w:rFonts w:ascii="Times New Roman" w:hAnsi="Times New Roman" w:eastAsia="Times New Roman" w:cs="Times New Roman"/>
                <w:spacing w:val="-29"/>
              </w:rPr>
              <w:t xml:space="preserve"> </w:t>
            </w:r>
            <w:r>
              <w:t>，仅零</w:t>
            </w:r>
            <w:r>
              <w:rPr>
                <w:spacing w:val="-1"/>
              </w:rPr>
              <w:t>星分布少</w:t>
            </w:r>
            <w:r>
              <w:t xml:space="preserve">  </w:t>
            </w:r>
            <w:r>
              <w:rPr>
                <w:spacing w:val="-2"/>
              </w:rPr>
              <w:t>量栓皮栎、槲栎、黄毛青冈；灌木层主要有粉叶小檗</w:t>
            </w:r>
            <w:r>
              <w:rPr>
                <w:spacing w:val="-57"/>
              </w:rPr>
              <w:t xml:space="preserve"> </w:t>
            </w:r>
            <w:r>
              <w:rPr>
                <w:rFonts w:ascii="Times New Roman" w:hAnsi="Times New Roman" w:eastAsia="Times New Roman" w:cs="Times New Roman"/>
                <w:i/>
                <w:iCs/>
                <w:spacing w:val="-2"/>
              </w:rPr>
              <w:t>Berberis</w:t>
            </w:r>
            <w:r>
              <w:rPr>
                <w:rFonts w:ascii="Times New Roman" w:hAnsi="Times New Roman" w:eastAsia="Times New Roman" w:cs="Times New Roman"/>
                <w:i/>
                <w:iCs/>
                <w:spacing w:val="-24"/>
              </w:rPr>
              <w:t xml:space="preserve"> </w:t>
            </w:r>
            <w:r>
              <w:rPr>
                <w:rFonts w:ascii="Times New Roman" w:hAnsi="Times New Roman" w:eastAsia="Times New Roman" w:cs="Times New Roman"/>
                <w:i/>
                <w:iCs/>
                <w:spacing w:val="-2"/>
              </w:rPr>
              <w:t>pruinosa Franch.</w:t>
            </w:r>
            <w:r>
              <w:rPr>
                <w:i/>
                <w:iCs/>
                <w:spacing w:val="-2"/>
                <w:sz w:val="25"/>
                <w:szCs w:val="25"/>
              </w:rPr>
              <w:t>、</w:t>
            </w:r>
            <w:r>
              <w:rPr>
                <w:sz w:val="25"/>
                <w:szCs w:val="25"/>
              </w:rPr>
              <w:t xml:space="preserve"> </w:t>
            </w:r>
            <w:r>
              <w:t>西南栒子</w:t>
            </w:r>
            <w:r>
              <w:rPr>
                <w:spacing w:val="-35"/>
              </w:rPr>
              <w:t xml:space="preserve"> </w:t>
            </w:r>
            <w:r>
              <w:rPr>
                <w:rFonts w:ascii="Times New Roman" w:hAnsi="Times New Roman" w:eastAsia="Times New Roman" w:cs="Times New Roman"/>
                <w:i/>
                <w:iCs/>
              </w:rPr>
              <w:t>Cotoneaster</w:t>
            </w:r>
            <w:r>
              <w:rPr>
                <w:rFonts w:ascii="Times New Roman" w:hAnsi="Times New Roman" w:eastAsia="Times New Roman" w:cs="Times New Roman"/>
                <w:i/>
                <w:iCs/>
                <w:spacing w:val="-45"/>
              </w:rPr>
              <w:t xml:space="preserve"> </w:t>
            </w:r>
            <w:r>
              <w:rPr>
                <w:rFonts w:ascii="Times New Roman" w:hAnsi="Times New Roman" w:eastAsia="Times New Roman" w:cs="Times New Roman"/>
                <w:i/>
                <w:iCs/>
              </w:rPr>
              <w:t>franchetii</w:t>
            </w:r>
            <w:r>
              <w:rPr>
                <w:rFonts w:ascii="Times New Roman" w:hAnsi="Times New Roman" w:eastAsia="Times New Roman" w:cs="Times New Roman"/>
                <w:i/>
                <w:iCs/>
                <w:spacing w:val="-33"/>
              </w:rPr>
              <w:t xml:space="preserve"> </w:t>
            </w:r>
            <w:r>
              <w:rPr>
                <w:i/>
                <w:iCs/>
                <w:sz w:val="25"/>
                <w:szCs w:val="25"/>
              </w:rPr>
              <w:t>，</w:t>
            </w:r>
            <w:r>
              <w:t>火棘</w:t>
            </w:r>
            <w:r>
              <w:rPr>
                <w:spacing w:val="-66"/>
              </w:rPr>
              <w:t xml:space="preserve"> </w:t>
            </w:r>
            <w:r>
              <w:rPr>
                <w:rFonts w:ascii="Times New Roman" w:hAnsi="Times New Roman" w:eastAsia="Times New Roman" w:cs="Times New Roman"/>
                <w:i/>
                <w:iCs/>
              </w:rPr>
              <w:t>Pyracantha</w:t>
            </w:r>
            <w:r>
              <w:rPr>
                <w:rFonts w:ascii="Times New Roman" w:hAnsi="Times New Roman" w:eastAsia="Times New Roman" w:cs="Times New Roman"/>
                <w:i/>
                <w:iCs/>
                <w:spacing w:val="-39"/>
              </w:rPr>
              <w:t xml:space="preserve"> </w:t>
            </w:r>
            <w:r>
              <w:rPr>
                <w:rFonts w:ascii="Times New Roman" w:hAnsi="Times New Roman" w:eastAsia="Times New Roman" w:cs="Times New Roman"/>
                <w:i/>
                <w:iCs/>
              </w:rPr>
              <w:t>fortuneana</w:t>
            </w:r>
            <w:r>
              <w:rPr>
                <w:rFonts w:ascii="Times New Roman" w:hAnsi="Times New Roman" w:eastAsia="Times New Roman" w:cs="Times New Roman"/>
                <w:i/>
                <w:iCs/>
                <w:spacing w:val="-34"/>
              </w:rPr>
              <w:t xml:space="preserve"> </w:t>
            </w:r>
            <w:r>
              <w:t>、野拔子</w:t>
            </w:r>
            <w:r>
              <w:rPr>
                <w:spacing w:val="-65"/>
              </w:rPr>
              <w:t xml:space="preserve"> </w:t>
            </w:r>
            <w:r>
              <w:rPr>
                <w:rFonts w:ascii="Times New Roman" w:hAnsi="Times New Roman" w:eastAsia="Times New Roman" w:cs="Times New Roman"/>
                <w:i/>
                <w:iCs/>
              </w:rPr>
              <w:t xml:space="preserve">Elsholtzia   </w:t>
            </w:r>
            <w:r>
              <w:rPr>
                <w:rFonts w:ascii="Times New Roman" w:hAnsi="Times New Roman" w:eastAsia="Times New Roman" w:cs="Times New Roman"/>
                <w:i/>
                <w:iCs/>
                <w:spacing w:val="-1"/>
              </w:rPr>
              <w:t>rugulosa Hemsl.</w:t>
            </w:r>
            <w:r>
              <w:rPr>
                <w:rFonts w:ascii="Times New Roman" w:hAnsi="Times New Roman" w:eastAsia="Times New Roman" w:cs="Times New Roman"/>
                <w:i/>
                <w:iCs/>
                <w:spacing w:val="-33"/>
              </w:rPr>
              <w:t xml:space="preserve"> </w:t>
            </w:r>
            <w:r>
              <w:rPr>
                <w:i/>
                <w:iCs/>
                <w:spacing w:val="-1"/>
                <w:sz w:val="25"/>
                <w:szCs w:val="25"/>
              </w:rPr>
              <w:t>、</w:t>
            </w:r>
            <w:r>
              <w:rPr>
                <w:spacing w:val="-1"/>
              </w:rPr>
              <w:t>乌鸦果</w:t>
            </w:r>
            <w:r>
              <w:rPr>
                <w:spacing w:val="-30"/>
              </w:rPr>
              <w:t xml:space="preserve"> </w:t>
            </w:r>
            <w:r>
              <w:rPr>
                <w:rFonts w:ascii="Times New Roman" w:hAnsi="Times New Roman" w:eastAsia="Times New Roman" w:cs="Times New Roman"/>
                <w:i/>
                <w:iCs/>
                <w:spacing w:val="-1"/>
              </w:rPr>
              <w:t>Vacc</w:t>
            </w:r>
            <w:r>
              <w:rPr>
                <w:rFonts w:ascii="Times New Roman" w:hAnsi="Times New Roman" w:eastAsia="Times New Roman" w:cs="Times New Roman"/>
                <w:i/>
                <w:iCs/>
                <w:spacing w:val="-2"/>
              </w:rPr>
              <w:t>iniumfragile</w:t>
            </w:r>
            <w:r>
              <w:rPr>
                <w:rFonts w:ascii="Times New Roman" w:hAnsi="Times New Roman" w:eastAsia="Times New Roman" w:cs="Times New Roman"/>
                <w:i/>
                <w:iCs/>
                <w:spacing w:val="-36"/>
              </w:rPr>
              <w:t xml:space="preserve"> </w:t>
            </w:r>
            <w:r>
              <w:rPr>
                <w:i/>
                <w:iCs/>
                <w:spacing w:val="-2"/>
                <w:sz w:val="25"/>
                <w:szCs w:val="25"/>
              </w:rPr>
              <w:t>、</w:t>
            </w:r>
            <w:r>
              <w:rPr>
                <w:spacing w:val="-2"/>
              </w:rPr>
              <w:t>悬钩子</w:t>
            </w:r>
            <w:r>
              <w:rPr>
                <w:spacing w:val="-65"/>
              </w:rPr>
              <w:t xml:space="preserve"> </w:t>
            </w:r>
            <w:r>
              <w:rPr>
                <w:rFonts w:ascii="Times New Roman" w:hAnsi="Times New Roman" w:eastAsia="Times New Roman" w:cs="Times New Roman"/>
                <w:i/>
                <w:iCs/>
                <w:spacing w:val="-2"/>
              </w:rPr>
              <w:t>Rubus L.</w:t>
            </w:r>
            <w:r>
              <w:rPr>
                <w:spacing w:val="-2"/>
              </w:rPr>
              <w:t>等。</w:t>
            </w:r>
          </w:p>
          <w:p w14:paraId="0ECEA81D">
            <w:pPr>
              <w:pStyle w:val="6"/>
              <w:spacing w:before="14" w:line="340" w:lineRule="auto"/>
              <w:ind w:left="73" w:firstLine="517"/>
              <w:jc w:val="both"/>
            </w:pPr>
            <w:r>
              <w:t>草本层群落高约</w:t>
            </w:r>
            <w:r>
              <w:rPr>
                <w:spacing w:val="-38"/>
              </w:rPr>
              <w:t xml:space="preserve"> </w:t>
            </w:r>
            <w:r>
              <w:rPr>
                <w:rFonts w:ascii="Times New Roman" w:hAnsi="Times New Roman" w:eastAsia="Times New Roman" w:cs="Times New Roman"/>
              </w:rPr>
              <w:t>80cm</w:t>
            </w:r>
            <w:r>
              <w:rPr>
                <w:rFonts w:ascii="Times New Roman" w:hAnsi="Times New Roman" w:eastAsia="Times New Roman" w:cs="Times New Roman"/>
                <w:spacing w:val="-23"/>
              </w:rPr>
              <w:t xml:space="preserve"> </w:t>
            </w:r>
            <w:r>
              <w:t>，层盖度</w:t>
            </w:r>
            <w:r>
              <w:rPr>
                <w:spacing w:val="-43"/>
              </w:rPr>
              <w:t xml:space="preserve"> </w:t>
            </w:r>
            <w:r>
              <w:rPr>
                <w:rFonts w:ascii="Times New Roman" w:hAnsi="Times New Roman" w:eastAsia="Times New Roman" w:cs="Times New Roman"/>
              </w:rPr>
              <w:t>90%</w:t>
            </w:r>
            <w:r>
              <w:t>左右，蕨</w:t>
            </w:r>
            <w:r>
              <w:rPr>
                <w:spacing w:val="-59"/>
              </w:rPr>
              <w:t xml:space="preserve"> </w:t>
            </w:r>
            <w:r>
              <w:rPr>
                <w:rFonts w:ascii="Times New Roman" w:hAnsi="Times New Roman" w:eastAsia="Times New Roman" w:cs="Times New Roman"/>
                <w:i/>
                <w:iCs/>
              </w:rPr>
              <w:t>Pteridiumlatiusculu</w:t>
            </w:r>
            <w:r>
              <w:rPr>
                <w:rFonts w:ascii="Times New Roman" w:hAnsi="Times New Roman" w:eastAsia="Times New Roman" w:cs="Times New Roman"/>
                <w:i/>
                <w:iCs/>
                <w:spacing w:val="-1"/>
              </w:rPr>
              <w:t>m</w:t>
            </w:r>
            <w:r>
              <w:rPr>
                <w:rFonts w:ascii="Times New Roman" w:hAnsi="Times New Roman" w:eastAsia="Times New Roman" w:cs="Times New Roman"/>
                <w:i/>
                <w:iCs/>
                <w:spacing w:val="24"/>
              </w:rPr>
              <w:t xml:space="preserve"> </w:t>
            </w:r>
            <w:r>
              <w:rPr>
                <w:rFonts w:ascii="Times New Roman" w:hAnsi="Times New Roman" w:eastAsia="Times New Roman" w:cs="Times New Roman"/>
                <w:i/>
                <w:iCs/>
                <w:spacing w:val="-1"/>
              </w:rPr>
              <w:t>(Desv.)</w:t>
            </w:r>
            <w:r>
              <w:rPr>
                <w:rFonts w:ascii="Times New Roman" w:hAnsi="Times New Roman" w:eastAsia="Times New Roman" w:cs="Times New Roman"/>
                <w:i/>
                <w:iCs/>
              </w:rPr>
              <w:t xml:space="preserve">   </w:t>
            </w:r>
            <w:r>
              <w:rPr>
                <w:rFonts w:ascii="Times New Roman" w:hAnsi="Times New Roman" w:eastAsia="Times New Roman" w:cs="Times New Roman"/>
                <w:i/>
                <w:iCs/>
                <w:spacing w:val="-1"/>
              </w:rPr>
              <w:t xml:space="preserve">Hieron.    </w:t>
            </w:r>
            <w:r>
              <w:rPr>
                <w:i/>
                <w:iCs/>
                <w:spacing w:val="-1"/>
                <w:sz w:val="25"/>
                <w:szCs w:val="25"/>
              </w:rPr>
              <w:t>、</w:t>
            </w:r>
            <w:r>
              <w:rPr>
                <w:spacing w:val="-1"/>
                <w:sz w:val="25"/>
                <w:szCs w:val="25"/>
              </w:rPr>
              <w:t xml:space="preserve"> </w:t>
            </w:r>
            <w:r>
              <w:rPr>
                <w:spacing w:val="-1"/>
              </w:rPr>
              <w:t>欧 洲 蕨</w:t>
            </w:r>
            <w:r>
              <w:rPr>
                <w:spacing w:val="60"/>
              </w:rPr>
              <w:t xml:space="preserve"> </w:t>
            </w:r>
            <w:r>
              <w:rPr>
                <w:rFonts w:ascii="Times New Roman" w:hAnsi="Times New Roman" w:eastAsia="Times New Roman" w:cs="Times New Roman"/>
                <w:i/>
                <w:iCs/>
                <w:spacing w:val="-1"/>
              </w:rPr>
              <w:t>Pteridium   aquilinum</w:t>
            </w:r>
            <w:r>
              <w:rPr>
                <w:rFonts w:ascii="Times New Roman" w:hAnsi="Times New Roman" w:eastAsia="Times New Roman" w:cs="Times New Roman"/>
                <w:i/>
                <w:iCs/>
                <w:spacing w:val="5"/>
              </w:rPr>
              <w:t xml:space="preserve">   </w:t>
            </w:r>
            <w:r>
              <w:rPr>
                <w:rFonts w:ascii="Times New Roman" w:hAnsi="Times New Roman" w:eastAsia="Times New Roman" w:cs="Times New Roman"/>
                <w:i/>
                <w:iCs/>
                <w:spacing w:val="-1"/>
              </w:rPr>
              <w:t>(L.)   Kuhn</w:t>
            </w:r>
            <w:r>
              <w:rPr>
                <w:rFonts w:ascii="Times New Roman" w:hAnsi="Times New Roman" w:eastAsia="Times New Roman" w:cs="Times New Roman"/>
                <w:i/>
                <w:iCs/>
                <w:spacing w:val="12"/>
              </w:rPr>
              <w:t xml:space="preserve">  </w:t>
            </w:r>
            <w:r>
              <w:rPr>
                <w:i/>
                <w:iCs/>
                <w:spacing w:val="-1"/>
                <w:sz w:val="25"/>
                <w:szCs w:val="25"/>
              </w:rPr>
              <w:t>、</w:t>
            </w:r>
            <w:r>
              <w:rPr>
                <w:spacing w:val="-1"/>
                <w:sz w:val="25"/>
                <w:szCs w:val="25"/>
              </w:rPr>
              <w:t xml:space="preserve"> </w:t>
            </w:r>
            <w:r>
              <w:rPr>
                <w:spacing w:val="-1"/>
              </w:rPr>
              <w:t>象 草</w:t>
            </w:r>
            <w:r>
              <w:rPr>
                <w:spacing w:val="52"/>
              </w:rPr>
              <w:t xml:space="preserve"> </w:t>
            </w:r>
            <w:r>
              <w:rPr>
                <w:rFonts w:ascii="Times New Roman" w:hAnsi="Times New Roman" w:eastAsia="Times New Roman" w:cs="Times New Roman"/>
                <w:i/>
                <w:iCs/>
                <w:spacing w:val="-1"/>
              </w:rPr>
              <w:t>Pennisetum</w:t>
            </w:r>
            <w:r>
              <w:rPr>
                <w:rFonts w:ascii="Times New Roman" w:hAnsi="Times New Roman" w:eastAsia="Times New Roman" w:cs="Times New Roman"/>
                <w:i/>
                <w:iCs/>
              </w:rPr>
              <w:t xml:space="preserve">   purpureum</w:t>
            </w:r>
            <w:r>
              <w:rPr>
                <w:rFonts w:ascii="Times New Roman" w:hAnsi="Times New Roman" w:eastAsia="Times New Roman" w:cs="Times New Roman"/>
                <w:i/>
                <w:iCs/>
                <w:spacing w:val="50"/>
              </w:rPr>
              <w:t xml:space="preserve"> </w:t>
            </w:r>
            <w:r>
              <w:rPr>
                <w:rFonts w:ascii="Times New Roman" w:hAnsi="Times New Roman" w:eastAsia="Times New Roman" w:cs="Times New Roman"/>
                <w:i/>
                <w:iCs/>
              </w:rPr>
              <w:t>Schumach.</w:t>
            </w:r>
            <w:r>
              <w:rPr>
                <w:rFonts w:ascii="Times New Roman" w:hAnsi="Times New Roman" w:eastAsia="Times New Roman" w:cs="Times New Roman"/>
                <w:i/>
                <w:iCs/>
                <w:spacing w:val="17"/>
                <w:w w:val="101"/>
              </w:rPr>
              <w:t xml:space="preserve"> </w:t>
            </w:r>
            <w:r>
              <w:rPr>
                <w:i/>
                <w:iCs/>
                <w:sz w:val="25"/>
                <w:szCs w:val="25"/>
              </w:rPr>
              <w:t>、</w:t>
            </w:r>
            <w:r>
              <w:t>鸭</w:t>
            </w:r>
            <w:r>
              <w:rPr>
                <w:spacing w:val="-60"/>
              </w:rPr>
              <w:t xml:space="preserve"> </w:t>
            </w:r>
            <w:r>
              <w:t xml:space="preserve">茅 </w:t>
            </w:r>
            <w:r>
              <w:rPr>
                <w:rFonts w:ascii="Times New Roman" w:hAnsi="Times New Roman" w:eastAsia="Times New Roman" w:cs="Times New Roman"/>
                <w:i/>
                <w:iCs/>
              </w:rPr>
              <w:t>D.glomerata</w:t>
            </w:r>
            <w:r>
              <w:rPr>
                <w:rFonts w:ascii="Times New Roman" w:hAnsi="Times New Roman" w:eastAsia="Times New Roman" w:cs="Times New Roman"/>
                <w:i/>
                <w:iCs/>
                <w:spacing w:val="42"/>
                <w:w w:val="101"/>
              </w:rPr>
              <w:t xml:space="preserve"> </w:t>
            </w:r>
            <w:r>
              <w:rPr>
                <w:rFonts w:ascii="Times New Roman" w:hAnsi="Times New Roman" w:eastAsia="Times New Roman" w:cs="Times New Roman"/>
                <w:i/>
                <w:iCs/>
              </w:rPr>
              <w:t>L.C</w:t>
            </w:r>
            <w:r>
              <w:rPr>
                <w:rFonts w:ascii="Times New Roman" w:hAnsi="Times New Roman" w:eastAsia="Times New Roman" w:cs="Times New Roman"/>
                <w:i/>
                <w:iCs/>
                <w:spacing w:val="-1"/>
              </w:rPr>
              <w:t>ommon  Orchardgrass</w:t>
            </w:r>
            <w:r>
              <w:rPr>
                <w:rFonts w:ascii="Times New Roman" w:hAnsi="Times New Roman" w:eastAsia="Times New Roman" w:cs="Times New Roman"/>
                <w:i/>
                <w:iCs/>
                <w:spacing w:val="15"/>
                <w:w w:val="101"/>
              </w:rPr>
              <w:t xml:space="preserve"> </w:t>
            </w:r>
            <w:r>
              <w:rPr>
                <w:i/>
                <w:iCs/>
                <w:spacing w:val="-1"/>
                <w:sz w:val="25"/>
                <w:szCs w:val="25"/>
              </w:rPr>
              <w:t>、</w:t>
            </w:r>
            <w:r>
              <w:rPr>
                <w:spacing w:val="-1"/>
              </w:rPr>
              <w:t>狗</w:t>
            </w:r>
            <w:r>
              <w:rPr>
                <w:spacing w:val="-60"/>
              </w:rPr>
              <w:t xml:space="preserve"> </w:t>
            </w:r>
            <w:r>
              <w:rPr>
                <w:spacing w:val="-1"/>
              </w:rPr>
              <w:t>尾</w:t>
            </w:r>
            <w:r>
              <w:rPr>
                <w:spacing w:val="-59"/>
              </w:rPr>
              <w:t xml:space="preserve"> </w:t>
            </w:r>
            <w:r>
              <w:rPr>
                <w:spacing w:val="-1"/>
              </w:rPr>
              <w:t>草</w:t>
            </w:r>
            <w:r>
              <w:t xml:space="preserve">  </w:t>
            </w:r>
            <w:r>
              <w:rPr>
                <w:rFonts w:ascii="Times New Roman" w:hAnsi="Times New Roman" w:eastAsia="Times New Roman" w:cs="Times New Roman"/>
                <w:i/>
                <w:iCs/>
                <w:spacing w:val="-1"/>
              </w:rPr>
              <w:t>S.viridis(L.)</w:t>
            </w:r>
            <w:r>
              <w:rPr>
                <w:rFonts w:ascii="Times New Roman" w:hAnsi="Times New Roman" w:eastAsia="Times New Roman" w:cs="Times New Roman"/>
                <w:i/>
                <w:iCs/>
                <w:spacing w:val="38"/>
              </w:rPr>
              <w:t xml:space="preserve"> </w:t>
            </w:r>
            <w:r>
              <w:rPr>
                <w:rFonts w:ascii="Times New Roman" w:hAnsi="Times New Roman" w:eastAsia="Times New Roman" w:cs="Times New Roman"/>
                <w:i/>
                <w:iCs/>
                <w:spacing w:val="-1"/>
              </w:rPr>
              <w:t>Beauv.</w:t>
            </w:r>
            <w:r>
              <w:rPr>
                <w:rFonts w:ascii="Times New Roman" w:hAnsi="Times New Roman" w:eastAsia="Times New Roman" w:cs="Times New Roman"/>
                <w:i/>
                <w:iCs/>
                <w:spacing w:val="52"/>
              </w:rPr>
              <w:t xml:space="preserve"> </w:t>
            </w:r>
            <w:r>
              <w:rPr>
                <w:rFonts w:ascii="Times New Roman" w:hAnsi="Times New Roman" w:eastAsia="Times New Roman" w:cs="Times New Roman"/>
                <w:i/>
                <w:iCs/>
                <w:spacing w:val="-1"/>
              </w:rPr>
              <w:t>Green</w:t>
            </w:r>
            <w:r>
              <w:rPr>
                <w:rFonts w:ascii="Times New Roman" w:hAnsi="Times New Roman" w:eastAsia="Times New Roman" w:cs="Times New Roman"/>
                <w:i/>
                <w:iCs/>
                <w:spacing w:val="38"/>
              </w:rPr>
              <w:t xml:space="preserve"> </w:t>
            </w:r>
            <w:r>
              <w:rPr>
                <w:rFonts w:ascii="Times New Roman" w:hAnsi="Times New Roman" w:eastAsia="Times New Roman" w:cs="Times New Roman"/>
                <w:i/>
                <w:iCs/>
                <w:spacing w:val="-1"/>
              </w:rPr>
              <w:t xml:space="preserve">Bristlegrass </w:t>
            </w:r>
            <w:r>
              <w:rPr>
                <w:i/>
                <w:iCs/>
                <w:spacing w:val="-1"/>
                <w:sz w:val="25"/>
                <w:szCs w:val="25"/>
              </w:rPr>
              <w:t>、</w:t>
            </w:r>
            <w:r>
              <w:rPr>
                <w:spacing w:val="-1"/>
              </w:rPr>
              <w:t>扭</w:t>
            </w:r>
            <w:r>
              <w:rPr>
                <w:spacing w:val="-71"/>
              </w:rPr>
              <w:t xml:space="preserve"> </w:t>
            </w:r>
            <w:r>
              <w:rPr>
                <w:spacing w:val="-1"/>
              </w:rPr>
              <w:t>黄</w:t>
            </w:r>
            <w:r>
              <w:rPr>
                <w:spacing w:val="-67"/>
              </w:rPr>
              <w:t xml:space="preserve"> </w:t>
            </w:r>
            <w:r>
              <w:rPr>
                <w:spacing w:val="-1"/>
              </w:rPr>
              <w:t>茅</w:t>
            </w:r>
            <w:r>
              <w:rPr>
                <w:spacing w:val="-26"/>
              </w:rPr>
              <w:t xml:space="preserve"> </w:t>
            </w:r>
            <w:r>
              <w:rPr>
                <w:rFonts w:ascii="Times New Roman" w:hAnsi="Times New Roman" w:eastAsia="Times New Roman" w:cs="Times New Roman"/>
                <w:i/>
                <w:iCs/>
                <w:spacing w:val="-1"/>
              </w:rPr>
              <w:t>Heteropogon</w:t>
            </w:r>
            <w:r>
              <w:rPr>
                <w:rFonts w:ascii="Times New Roman" w:hAnsi="Times New Roman" w:eastAsia="Times New Roman" w:cs="Times New Roman"/>
                <w:i/>
                <w:iCs/>
                <w:spacing w:val="50"/>
              </w:rPr>
              <w:t xml:space="preserve"> </w:t>
            </w:r>
            <w:r>
              <w:rPr>
                <w:rFonts w:ascii="Times New Roman" w:hAnsi="Times New Roman" w:eastAsia="Times New Roman" w:cs="Times New Roman"/>
                <w:i/>
                <w:iCs/>
                <w:spacing w:val="-1"/>
              </w:rPr>
              <w:t xml:space="preserve">contortus </w:t>
            </w:r>
            <w:r>
              <w:rPr>
                <w:spacing w:val="-1"/>
              </w:rPr>
              <w:t>、</w:t>
            </w:r>
            <w:r>
              <w:rPr>
                <w:spacing w:val="-67"/>
              </w:rPr>
              <w:t xml:space="preserve"> </w:t>
            </w:r>
            <w:r>
              <w:rPr>
                <w:spacing w:val="-1"/>
              </w:rPr>
              <w:t>旱</w:t>
            </w:r>
            <w:r>
              <w:rPr>
                <w:spacing w:val="-70"/>
              </w:rPr>
              <w:t xml:space="preserve"> </w:t>
            </w:r>
            <w:r>
              <w:rPr>
                <w:spacing w:val="-1"/>
              </w:rPr>
              <w:t>茅</w:t>
            </w:r>
            <w:r>
              <w:t xml:space="preserve">  </w:t>
            </w:r>
            <w:r>
              <w:rPr>
                <w:rFonts w:ascii="Times New Roman" w:hAnsi="Times New Roman" w:eastAsia="Times New Roman" w:cs="Times New Roman"/>
                <w:i/>
                <w:iCs/>
              </w:rPr>
              <w:t>Schizachyrium</w:t>
            </w:r>
            <w:r>
              <w:rPr>
                <w:rFonts w:ascii="Times New Roman" w:hAnsi="Times New Roman" w:eastAsia="Times New Roman" w:cs="Times New Roman"/>
                <w:i/>
                <w:iCs/>
                <w:spacing w:val="7"/>
              </w:rPr>
              <w:t xml:space="preserve"> </w:t>
            </w:r>
            <w:r>
              <w:rPr>
                <w:rFonts w:ascii="Times New Roman" w:hAnsi="Times New Roman" w:eastAsia="Times New Roman" w:cs="Times New Roman"/>
                <w:i/>
                <w:iCs/>
              </w:rPr>
              <w:t>delavayi</w:t>
            </w:r>
            <w:r>
              <w:rPr>
                <w:rFonts w:ascii="Times New Roman" w:hAnsi="Times New Roman" w:eastAsia="Times New Roman" w:cs="Times New Roman"/>
                <w:i/>
                <w:iCs/>
                <w:spacing w:val="33"/>
              </w:rPr>
              <w:t xml:space="preserve"> </w:t>
            </w:r>
            <w:r>
              <w:rPr>
                <w:spacing w:val="7"/>
              </w:rPr>
              <w:t>为主，其他还分布有细柄草</w:t>
            </w:r>
            <w:r>
              <w:rPr>
                <w:spacing w:val="-37"/>
              </w:rPr>
              <w:t xml:space="preserve"> </w:t>
            </w:r>
            <w:r>
              <w:rPr>
                <w:rFonts w:ascii="Times New Roman" w:hAnsi="Times New Roman" w:eastAsia="Times New Roman" w:cs="Times New Roman"/>
                <w:i/>
                <w:iCs/>
              </w:rPr>
              <w:t>Capillipediumparviflorum</w:t>
            </w:r>
            <w:r>
              <w:rPr>
                <w:rFonts w:ascii="Times New Roman" w:hAnsi="Times New Roman" w:eastAsia="Times New Roman" w:cs="Times New Roman"/>
                <w:i/>
                <w:iCs/>
                <w:spacing w:val="-33"/>
              </w:rPr>
              <w:t xml:space="preserve"> </w:t>
            </w:r>
            <w:r>
              <w:rPr>
                <w:i/>
                <w:iCs/>
                <w:spacing w:val="7"/>
                <w:sz w:val="25"/>
                <w:szCs w:val="25"/>
              </w:rPr>
              <w:t>、</w:t>
            </w:r>
            <w:r>
              <w:rPr>
                <w:sz w:val="25"/>
                <w:szCs w:val="25"/>
              </w:rPr>
              <w:t xml:space="preserve"> </w:t>
            </w:r>
            <w:r>
              <w:rPr>
                <w:spacing w:val="15"/>
              </w:rPr>
              <w:t>狗牙根</w:t>
            </w:r>
            <w:r>
              <w:rPr>
                <w:spacing w:val="-30"/>
              </w:rPr>
              <w:t xml:space="preserve"> </w:t>
            </w:r>
            <w:r>
              <w:rPr>
                <w:rFonts w:ascii="Times New Roman" w:hAnsi="Times New Roman" w:eastAsia="Times New Roman" w:cs="Times New Roman"/>
                <w:i/>
                <w:iCs/>
              </w:rPr>
              <w:t>Cynodon</w:t>
            </w:r>
            <w:r>
              <w:rPr>
                <w:rFonts w:ascii="Times New Roman" w:hAnsi="Times New Roman" w:eastAsia="Times New Roman" w:cs="Times New Roman"/>
                <w:i/>
                <w:iCs/>
                <w:spacing w:val="21"/>
              </w:rPr>
              <w:t xml:space="preserve"> </w:t>
            </w:r>
            <w:r>
              <w:rPr>
                <w:rFonts w:ascii="Times New Roman" w:hAnsi="Times New Roman" w:eastAsia="Times New Roman" w:cs="Times New Roman"/>
                <w:i/>
                <w:iCs/>
              </w:rPr>
              <w:t>dactylon</w:t>
            </w:r>
            <w:r>
              <w:rPr>
                <w:rFonts w:ascii="Times New Roman" w:hAnsi="Times New Roman" w:eastAsia="Times New Roman" w:cs="Times New Roman"/>
                <w:i/>
                <w:iCs/>
                <w:spacing w:val="-21"/>
              </w:rPr>
              <w:t xml:space="preserve"> </w:t>
            </w:r>
            <w:r>
              <w:rPr>
                <w:i/>
                <w:iCs/>
                <w:spacing w:val="15"/>
                <w:sz w:val="25"/>
                <w:szCs w:val="25"/>
              </w:rPr>
              <w:t>、</w:t>
            </w:r>
            <w:r>
              <w:rPr>
                <w:spacing w:val="15"/>
              </w:rPr>
              <w:t>辽藁本</w:t>
            </w:r>
            <w:r>
              <w:rPr>
                <w:spacing w:val="-51"/>
              </w:rPr>
              <w:t xml:space="preserve"> </w:t>
            </w:r>
            <w:r>
              <w:rPr>
                <w:rFonts w:ascii="Times New Roman" w:hAnsi="Times New Roman" w:eastAsia="Times New Roman" w:cs="Times New Roman"/>
                <w:i/>
                <w:iCs/>
              </w:rPr>
              <w:t>Ligusticum</w:t>
            </w:r>
            <w:r>
              <w:rPr>
                <w:rFonts w:ascii="Times New Roman" w:hAnsi="Times New Roman" w:eastAsia="Times New Roman" w:cs="Times New Roman"/>
                <w:i/>
                <w:iCs/>
                <w:spacing w:val="-27"/>
              </w:rPr>
              <w:t xml:space="preserve"> </w:t>
            </w:r>
            <w:r>
              <w:rPr>
                <w:rFonts w:ascii="Times New Roman" w:hAnsi="Times New Roman" w:eastAsia="Times New Roman" w:cs="Times New Roman"/>
                <w:i/>
                <w:iCs/>
              </w:rPr>
              <w:t>jeholens</w:t>
            </w:r>
            <w:r>
              <w:rPr>
                <w:rFonts w:ascii="Times New Roman" w:hAnsi="Times New Roman" w:eastAsia="Times New Roman" w:cs="Times New Roman"/>
              </w:rPr>
              <w:t>e</w:t>
            </w:r>
            <w:r>
              <w:rPr>
                <w:rFonts w:ascii="Times New Roman" w:hAnsi="Times New Roman" w:eastAsia="Times New Roman" w:cs="Times New Roman"/>
                <w:spacing w:val="-18"/>
              </w:rPr>
              <w:t xml:space="preserve"> </w:t>
            </w:r>
            <w:r>
              <w:rPr>
                <w:spacing w:val="15"/>
              </w:rPr>
              <w:t>、皱</w:t>
            </w:r>
            <w:r>
              <w:rPr>
                <w:spacing w:val="-64"/>
              </w:rPr>
              <w:t xml:space="preserve"> </w:t>
            </w:r>
            <w:r>
              <w:rPr>
                <w:spacing w:val="15"/>
              </w:rPr>
              <w:t>叶狗尾草</w:t>
            </w:r>
            <w:r>
              <w:rPr>
                <w:spacing w:val="-22"/>
              </w:rPr>
              <w:t xml:space="preserve"> </w:t>
            </w:r>
            <w:r>
              <w:rPr>
                <w:rFonts w:ascii="Times New Roman" w:hAnsi="Times New Roman" w:eastAsia="Times New Roman" w:cs="Times New Roman"/>
                <w:i/>
                <w:iCs/>
              </w:rPr>
              <w:t>Setaria   plicata</w:t>
            </w:r>
            <w:r>
              <w:rPr>
                <w:rFonts w:ascii="Times New Roman" w:hAnsi="Times New Roman" w:eastAsia="Times New Roman" w:cs="Times New Roman"/>
                <w:i/>
                <w:iCs/>
                <w:spacing w:val="-23"/>
              </w:rPr>
              <w:t xml:space="preserve"> </w:t>
            </w:r>
            <w:r>
              <w:rPr>
                <w:i/>
                <w:iCs/>
                <w:sz w:val="25"/>
                <w:szCs w:val="25"/>
              </w:rPr>
              <w:t>、</w:t>
            </w:r>
            <w:r>
              <w:t>臭节草</w:t>
            </w:r>
            <w:r>
              <w:rPr>
                <w:spacing w:val="-65"/>
              </w:rPr>
              <w:t xml:space="preserve"> </w:t>
            </w:r>
            <w:r>
              <w:rPr>
                <w:rFonts w:ascii="Times New Roman" w:hAnsi="Times New Roman" w:eastAsia="Times New Roman" w:cs="Times New Roman"/>
                <w:i/>
                <w:iCs/>
              </w:rPr>
              <w:t>Boenninghausenia albiflora</w:t>
            </w:r>
            <w:r>
              <w:rPr>
                <w:rFonts w:ascii="Times New Roman" w:hAnsi="Times New Roman" w:eastAsia="Times New Roman" w:cs="Times New Roman"/>
                <w:i/>
                <w:iCs/>
                <w:spacing w:val="-34"/>
              </w:rPr>
              <w:t xml:space="preserve"> </w:t>
            </w:r>
            <w:r>
              <w:t>、野拔子</w:t>
            </w:r>
            <w:r>
              <w:rPr>
                <w:spacing w:val="-65"/>
              </w:rPr>
              <w:t xml:space="preserve"> </w:t>
            </w:r>
            <w:r>
              <w:rPr>
                <w:rFonts w:ascii="Times New Roman" w:hAnsi="Times New Roman" w:eastAsia="Times New Roman" w:cs="Times New Roman"/>
                <w:i/>
                <w:iCs/>
              </w:rPr>
              <w:t>Elsholtzia rugulosa Hemsl</w:t>
            </w:r>
            <w:r>
              <w:rPr>
                <w:rFonts w:ascii="Times New Roman" w:hAnsi="Times New Roman" w:eastAsia="Times New Roman" w:cs="Times New Roman"/>
                <w:i/>
                <w:iCs/>
                <w:spacing w:val="-1"/>
              </w:rPr>
              <w:t>.</w:t>
            </w:r>
            <w:r>
              <w:rPr>
                <w:i/>
                <w:iCs/>
                <w:spacing w:val="-1"/>
                <w:sz w:val="25"/>
                <w:szCs w:val="25"/>
              </w:rPr>
              <w:t>、</w:t>
            </w:r>
            <w:r>
              <w:rPr>
                <w:sz w:val="25"/>
                <w:szCs w:val="25"/>
              </w:rPr>
              <w:t xml:space="preserve"> </w:t>
            </w:r>
            <w:r>
              <w:rPr>
                <w:spacing w:val="-1"/>
              </w:rPr>
              <w:t>黄背草</w:t>
            </w:r>
            <w:r>
              <w:rPr>
                <w:spacing w:val="-43"/>
              </w:rPr>
              <w:t xml:space="preserve"> </w:t>
            </w:r>
            <w:r>
              <w:rPr>
                <w:rFonts w:ascii="Times New Roman" w:hAnsi="Times New Roman" w:eastAsia="Times New Roman" w:cs="Times New Roman"/>
                <w:i/>
                <w:iCs/>
                <w:spacing w:val="-1"/>
              </w:rPr>
              <w:t>T.triandravar. Japonica</w:t>
            </w:r>
            <w:r>
              <w:rPr>
                <w:rFonts w:ascii="Times New Roman" w:hAnsi="Times New Roman" w:eastAsia="Times New Roman" w:cs="Times New Roman"/>
                <w:i/>
                <w:iCs/>
                <w:spacing w:val="19"/>
              </w:rPr>
              <w:t xml:space="preserve"> </w:t>
            </w:r>
            <w:r>
              <w:rPr>
                <w:rFonts w:ascii="Times New Roman" w:hAnsi="Times New Roman" w:eastAsia="Times New Roman" w:cs="Times New Roman"/>
                <w:i/>
                <w:iCs/>
                <w:spacing w:val="-1"/>
              </w:rPr>
              <w:t>(Wild) M</w:t>
            </w:r>
            <w:r>
              <w:rPr>
                <w:rFonts w:ascii="Times New Roman" w:hAnsi="Times New Roman" w:eastAsia="Times New Roman" w:cs="Times New Roman"/>
                <w:i/>
                <w:iCs/>
                <w:spacing w:val="-2"/>
              </w:rPr>
              <w:t>akino Japanese</w:t>
            </w:r>
            <w:r>
              <w:rPr>
                <w:rFonts w:ascii="Times New Roman" w:hAnsi="Times New Roman" w:eastAsia="Times New Roman" w:cs="Times New Roman"/>
                <w:i/>
                <w:iCs/>
                <w:spacing w:val="21"/>
              </w:rPr>
              <w:t xml:space="preserve"> </w:t>
            </w:r>
            <w:r>
              <w:rPr>
                <w:rFonts w:ascii="Times New Roman" w:hAnsi="Times New Roman" w:eastAsia="Times New Roman" w:cs="Times New Roman"/>
                <w:i/>
                <w:iCs/>
                <w:spacing w:val="-2"/>
              </w:rPr>
              <w:t>Themeda</w:t>
            </w:r>
            <w:r>
              <w:rPr>
                <w:rFonts w:ascii="Times New Roman" w:hAnsi="Times New Roman" w:eastAsia="Times New Roman" w:cs="Times New Roman"/>
                <w:i/>
                <w:iCs/>
                <w:spacing w:val="-33"/>
              </w:rPr>
              <w:t xml:space="preserve"> </w:t>
            </w:r>
            <w:r>
              <w:rPr>
                <w:i/>
                <w:iCs/>
                <w:spacing w:val="-2"/>
                <w:sz w:val="25"/>
                <w:szCs w:val="25"/>
              </w:rPr>
              <w:t>、</w:t>
            </w:r>
            <w:r>
              <w:rPr>
                <w:spacing w:val="-2"/>
              </w:rPr>
              <w:t>荩草</w:t>
            </w:r>
            <w:r>
              <w:rPr>
                <w:spacing w:val="-69"/>
              </w:rPr>
              <w:t xml:space="preserve"> </w:t>
            </w:r>
            <w:r>
              <w:rPr>
                <w:rFonts w:ascii="Times New Roman" w:hAnsi="Times New Roman" w:eastAsia="Times New Roman" w:cs="Times New Roman"/>
                <w:i/>
                <w:iCs/>
                <w:spacing w:val="-2"/>
              </w:rPr>
              <w:t>Arthraxon</w:t>
            </w:r>
            <w:r>
              <w:rPr>
                <w:rFonts w:ascii="Times New Roman" w:hAnsi="Times New Roman" w:eastAsia="Times New Roman" w:cs="Times New Roman"/>
                <w:i/>
                <w:iCs/>
              </w:rPr>
              <w:t xml:space="preserve">   </w:t>
            </w:r>
            <w:r>
              <w:rPr>
                <w:rFonts w:ascii="Times New Roman" w:hAnsi="Times New Roman" w:eastAsia="Times New Roman" w:cs="Times New Roman"/>
                <w:i/>
                <w:iCs/>
                <w:spacing w:val="-1"/>
              </w:rPr>
              <w:t>hispidus</w:t>
            </w:r>
            <w:r>
              <w:rPr>
                <w:rFonts w:ascii="Times New Roman" w:hAnsi="Times New Roman" w:eastAsia="Times New Roman" w:cs="Times New Roman"/>
                <w:i/>
                <w:iCs/>
                <w:spacing w:val="29"/>
              </w:rPr>
              <w:t xml:space="preserve"> </w:t>
            </w:r>
            <w:r>
              <w:rPr>
                <w:spacing w:val="-1"/>
              </w:rPr>
              <w:t>、</w:t>
            </w:r>
            <w:r>
              <w:rPr>
                <w:spacing w:val="-42"/>
              </w:rPr>
              <w:t xml:space="preserve"> </w:t>
            </w:r>
            <w:r>
              <w:rPr>
                <w:spacing w:val="-1"/>
              </w:rPr>
              <w:t>五</w:t>
            </w:r>
            <w:r>
              <w:rPr>
                <w:spacing w:val="-46"/>
              </w:rPr>
              <w:t xml:space="preserve"> </w:t>
            </w:r>
            <w:r>
              <w:rPr>
                <w:spacing w:val="-1"/>
              </w:rPr>
              <w:t>节</w:t>
            </w:r>
            <w:r>
              <w:rPr>
                <w:spacing w:val="-43"/>
              </w:rPr>
              <w:t xml:space="preserve"> </w:t>
            </w:r>
            <w:r>
              <w:rPr>
                <w:spacing w:val="-1"/>
              </w:rPr>
              <w:t xml:space="preserve">芒 </w:t>
            </w:r>
            <w:r>
              <w:rPr>
                <w:rFonts w:ascii="Times New Roman" w:hAnsi="Times New Roman" w:eastAsia="Times New Roman" w:cs="Times New Roman"/>
                <w:i/>
                <w:iCs/>
                <w:spacing w:val="-1"/>
              </w:rPr>
              <w:t>Miscanthus</w:t>
            </w:r>
            <w:r>
              <w:rPr>
                <w:rFonts w:ascii="Times New Roman" w:hAnsi="Times New Roman" w:eastAsia="Times New Roman" w:cs="Times New Roman"/>
                <w:i/>
                <w:iCs/>
                <w:spacing w:val="23"/>
                <w:w w:val="101"/>
              </w:rPr>
              <w:t xml:space="preserve"> </w:t>
            </w:r>
            <w:r>
              <w:rPr>
                <w:rFonts w:ascii="Times New Roman" w:hAnsi="Times New Roman" w:eastAsia="Times New Roman" w:cs="Times New Roman"/>
                <w:i/>
                <w:iCs/>
                <w:spacing w:val="-1"/>
              </w:rPr>
              <w:t>floridulus</w:t>
            </w:r>
            <w:r>
              <w:rPr>
                <w:rFonts w:ascii="Times New Roman" w:hAnsi="Times New Roman" w:eastAsia="Times New Roman" w:cs="Times New Roman"/>
                <w:i/>
                <w:iCs/>
                <w:spacing w:val="28"/>
                <w:w w:val="101"/>
              </w:rPr>
              <w:t xml:space="preserve"> </w:t>
            </w:r>
            <w:r>
              <w:rPr>
                <w:spacing w:val="-2"/>
              </w:rPr>
              <w:t>、</w:t>
            </w:r>
            <w:r>
              <w:rPr>
                <w:spacing w:val="-45"/>
              </w:rPr>
              <w:t xml:space="preserve"> </w:t>
            </w:r>
            <w:r>
              <w:rPr>
                <w:spacing w:val="-2"/>
              </w:rPr>
              <w:t>凤</w:t>
            </w:r>
            <w:r>
              <w:rPr>
                <w:spacing w:val="-46"/>
              </w:rPr>
              <w:t xml:space="preserve"> </w:t>
            </w:r>
            <w:r>
              <w:rPr>
                <w:spacing w:val="-2"/>
              </w:rPr>
              <w:t>尾</w:t>
            </w:r>
            <w:r>
              <w:rPr>
                <w:spacing w:val="-46"/>
              </w:rPr>
              <w:t xml:space="preserve"> </w:t>
            </w:r>
            <w:r>
              <w:rPr>
                <w:spacing w:val="-2"/>
              </w:rPr>
              <w:t xml:space="preserve">蕨 </w:t>
            </w:r>
            <w:r>
              <w:rPr>
                <w:rFonts w:ascii="Times New Roman" w:hAnsi="Times New Roman" w:eastAsia="Times New Roman" w:cs="Times New Roman"/>
                <w:i/>
                <w:iCs/>
                <w:spacing w:val="-2"/>
              </w:rPr>
              <w:t>Pteris  vittata</w:t>
            </w:r>
            <w:r>
              <w:rPr>
                <w:rFonts w:ascii="Times New Roman" w:hAnsi="Times New Roman" w:eastAsia="Times New Roman" w:cs="Times New Roman"/>
                <w:i/>
                <w:iCs/>
                <w:spacing w:val="31"/>
                <w:w w:val="101"/>
              </w:rPr>
              <w:t xml:space="preserve"> </w:t>
            </w:r>
            <w:r>
              <w:rPr>
                <w:spacing w:val="-2"/>
              </w:rPr>
              <w:t>、</w:t>
            </w:r>
            <w:r>
              <w:rPr>
                <w:spacing w:val="-44"/>
              </w:rPr>
              <w:t xml:space="preserve"> </w:t>
            </w:r>
            <w:r>
              <w:rPr>
                <w:spacing w:val="-2"/>
              </w:rPr>
              <w:t>金</w:t>
            </w:r>
            <w:r>
              <w:rPr>
                <w:spacing w:val="-47"/>
              </w:rPr>
              <w:t xml:space="preserve"> </w:t>
            </w:r>
            <w:r>
              <w:rPr>
                <w:spacing w:val="-2"/>
              </w:rPr>
              <w:t>粉</w:t>
            </w:r>
            <w:r>
              <w:rPr>
                <w:spacing w:val="-48"/>
              </w:rPr>
              <w:t xml:space="preserve"> </w:t>
            </w:r>
            <w:r>
              <w:rPr>
                <w:spacing w:val="-2"/>
              </w:rPr>
              <w:t>蕨</w:t>
            </w:r>
          </w:p>
        </w:tc>
      </w:tr>
    </w:tbl>
    <w:p w14:paraId="55D76467">
      <w:pPr>
        <w:rPr>
          <w:rFonts w:ascii="Arial"/>
          <w:sz w:val="21"/>
        </w:rPr>
      </w:pPr>
    </w:p>
    <w:p w14:paraId="4817351C">
      <w:pPr>
        <w:rPr>
          <w:rFonts w:ascii="Arial" w:hAnsi="Arial" w:eastAsia="Arial" w:cs="Arial"/>
          <w:sz w:val="21"/>
          <w:szCs w:val="21"/>
        </w:rPr>
        <w:sectPr>
          <w:footerReference r:id="rId92" w:type="default"/>
          <w:pgSz w:w="11906" w:h="16839"/>
          <w:pgMar w:top="1431" w:right="1413" w:bottom="1278" w:left="1413" w:header="0" w:footer="1116" w:gutter="0"/>
          <w:cols w:space="720" w:num="1"/>
        </w:sectPr>
      </w:pPr>
    </w:p>
    <w:p w14:paraId="572CF5A7">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2435C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668" w:type="dxa"/>
            <w:tcBorders>
              <w:right w:val="single" w:color="000000" w:sz="2" w:space="0"/>
            </w:tcBorders>
            <w:vAlign w:val="top"/>
          </w:tcPr>
          <w:p w14:paraId="1B995D3A">
            <w:pPr>
              <w:rPr>
                <w:rFonts w:ascii="Arial"/>
                <w:sz w:val="21"/>
              </w:rPr>
            </w:pPr>
          </w:p>
        </w:tc>
        <w:tc>
          <w:tcPr>
            <w:tcW w:w="8396" w:type="dxa"/>
            <w:tcBorders>
              <w:left w:val="single" w:color="000000" w:sz="2" w:space="0"/>
            </w:tcBorders>
            <w:vAlign w:val="top"/>
          </w:tcPr>
          <w:p w14:paraId="543D6E44">
            <w:pPr>
              <w:pStyle w:val="6"/>
              <w:spacing w:before="1" w:line="317" w:lineRule="auto"/>
              <w:ind w:left="124" w:right="102" w:hanging="10"/>
            </w:pPr>
            <w:r>
              <w:rPr>
                <w:rFonts w:ascii="Times New Roman" w:hAnsi="Times New Roman" w:eastAsia="Times New Roman" w:cs="Times New Roman"/>
                <w:i/>
                <w:iCs/>
                <w:spacing w:val="-1"/>
              </w:rPr>
              <w:t>Onychiumsiliculosum</w:t>
            </w:r>
            <w:r>
              <w:rPr>
                <w:rFonts w:ascii="Times New Roman" w:hAnsi="Times New Roman" w:eastAsia="Times New Roman" w:cs="Times New Roman"/>
                <w:i/>
                <w:iCs/>
                <w:spacing w:val="-32"/>
              </w:rPr>
              <w:t xml:space="preserve"> </w:t>
            </w:r>
            <w:r>
              <w:rPr>
                <w:spacing w:val="-1"/>
              </w:rPr>
              <w:t>、鬼针草</w:t>
            </w:r>
            <w:r>
              <w:rPr>
                <w:spacing w:val="-63"/>
              </w:rPr>
              <w:t xml:space="preserve"> </w:t>
            </w:r>
            <w:r>
              <w:rPr>
                <w:rFonts w:ascii="Times New Roman" w:hAnsi="Times New Roman" w:eastAsia="Times New Roman" w:cs="Times New Roman"/>
                <w:i/>
                <w:iCs/>
                <w:spacing w:val="-1"/>
              </w:rPr>
              <w:t>Bidensbipi</w:t>
            </w:r>
            <w:r>
              <w:rPr>
                <w:rFonts w:ascii="Times New Roman" w:hAnsi="Times New Roman" w:eastAsia="Times New Roman" w:cs="Times New Roman"/>
                <w:i/>
                <w:iCs/>
                <w:spacing w:val="-2"/>
              </w:rPr>
              <w:t>nnata</w:t>
            </w:r>
            <w:r>
              <w:rPr>
                <w:rFonts w:ascii="Times New Roman" w:hAnsi="Times New Roman" w:eastAsia="Times New Roman" w:cs="Times New Roman"/>
                <w:i/>
                <w:iCs/>
                <w:spacing w:val="-32"/>
              </w:rPr>
              <w:t xml:space="preserve"> </w:t>
            </w:r>
            <w:r>
              <w:rPr>
                <w:i/>
                <w:iCs/>
                <w:spacing w:val="-2"/>
                <w:sz w:val="25"/>
                <w:szCs w:val="25"/>
              </w:rPr>
              <w:t>、</w:t>
            </w:r>
            <w:r>
              <w:rPr>
                <w:spacing w:val="-2"/>
              </w:rPr>
              <w:t>两头毛</w:t>
            </w:r>
            <w:r>
              <w:rPr>
                <w:spacing w:val="-65"/>
              </w:rPr>
              <w:t xml:space="preserve"> </w:t>
            </w:r>
            <w:r>
              <w:rPr>
                <w:rFonts w:ascii="Times New Roman" w:hAnsi="Times New Roman" w:eastAsia="Times New Roman" w:cs="Times New Roman"/>
                <w:i/>
                <w:iCs/>
                <w:spacing w:val="-2"/>
              </w:rPr>
              <w:t>Incarvillea arguta</w:t>
            </w:r>
            <w:r>
              <w:rPr>
                <w:rFonts w:ascii="Times New Roman" w:hAnsi="Times New Roman" w:eastAsia="Times New Roman" w:cs="Times New Roman"/>
                <w:i/>
                <w:iCs/>
                <w:spacing w:val="-33"/>
              </w:rPr>
              <w:t xml:space="preserve"> </w:t>
            </w:r>
            <w:r>
              <w:rPr>
                <w:i/>
                <w:iCs/>
                <w:spacing w:val="-2"/>
                <w:sz w:val="25"/>
                <w:szCs w:val="25"/>
              </w:rPr>
              <w:t>、</w:t>
            </w:r>
            <w:r>
              <w:rPr>
                <w:spacing w:val="-2"/>
              </w:rPr>
              <w:t>白三</w:t>
            </w:r>
            <w:r>
              <w:t xml:space="preserve"> </w:t>
            </w:r>
            <w:r>
              <w:rPr>
                <w:spacing w:val="-5"/>
              </w:rPr>
              <w:t>叶</w:t>
            </w:r>
            <w:r>
              <w:rPr>
                <w:spacing w:val="-28"/>
              </w:rPr>
              <w:t xml:space="preserve"> </w:t>
            </w:r>
            <w:r>
              <w:rPr>
                <w:rFonts w:ascii="Times New Roman" w:hAnsi="Times New Roman" w:eastAsia="Times New Roman" w:cs="Times New Roman"/>
                <w:i/>
                <w:iCs/>
                <w:spacing w:val="-5"/>
              </w:rPr>
              <w:t>T.repens L.</w:t>
            </w:r>
            <w:r>
              <w:rPr>
                <w:rFonts w:ascii="Times New Roman" w:hAnsi="Times New Roman" w:eastAsia="Times New Roman" w:cs="Times New Roman"/>
                <w:i/>
                <w:iCs/>
                <w:spacing w:val="30"/>
              </w:rPr>
              <w:t xml:space="preserve"> </w:t>
            </w:r>
            <w:r>
              <w:rPr>
                <w:rFonts w:ascii="Times New Roman" w:hAnsi="Times New Roman" w:eastAsia="Times New Roman" w:cs="Times New Roman"/>
                <w:i/>
                <w:iCs/>
                <w:spacing w:val="-5"/>
              </w:rPr>
              <w:t>White</w:t>
            </w:r>
            <w:r>
              <w:rPr>
                <w:rFonts w:ascii="Times New Roman" w:hAnsi="Times New Roman" w:eastAsia="Times New Roman" w:cs="Times New Roman"/>
                <w:i/>
                <w:iCs/>
                <w:spacing w:val="15"/>
              </w:rPr>
              <w:t xml:space="preserve"> </w:t>
            </w:r>
            <w:r>
              <w:rPr>
                <w:rFonts w:ascii="Times New Roman" w:hAnsi="Times New Roman" w:eastAsia="Times New Roman" w:cs="Times New Roman"/>
                <w:i/>
                <w:iCs/>
                <w:spacing w:val="-5"/>
              </w:rPr>
              <w:t xml:space="preserve">Clover </w:t>
            </w:r>
            <w:r>
              <w:rPr>
                <w:spacing w:val="-5"/>
              </w:rPr>
              <w:t>等。</w:t>
            </w:r>
          </w:p>
          <w:p w14:paraId="0BDB6608">
            <w:pPr>
              <w:pStyle w:val="6"/>
              <w:spacing w:before="130" w:line="219" w:lineRule="auto"/>
              <w:ind w:left="600"/>
            </w:pPr>
            <w:r>
              <w:rPr>
                <w:spacing w:val="-3"/>
              </w:rPr>
              <w:t>（</w:t>
            </w:r>
            <w:r>
              <w:rPr>
                <w:rFonts w:ascii="Times New Roman" w:hAnsi="Times New Roman" w:eastAsia="Times New Roman" w:cs="Times New Roman"/>
                <w:spacing w:val="-3"/>
              </w:rPr>
              <w:t>3</w:t>
            </w:r>
            <w:r>
              <w:rPr>
                <w:spacing w:val="-3"/>
              </w:rPr>
              <w:t>）人工植被</w:t>
            </w:r>
          </w:p>
          <w:p w14:paraId="50E3FE7F">
            <w:pPr>
              <w:pStyle w:val="6"/>
              <w:spacing w:before="183" w:line="350" w:lineRule="auto"/>
              <w:ind w:left="111" w:right="22" w:firstLine="477"/>
            </w:pPr>
            <w:r>
              <w:rPr>
                <w:spacing w:val="-4"/>
              </w:rPr>
              <w:t>评价区内的人工植被分为人工林、人工牧草</w:t>
            </w:r>
            <w:r>
              <w:rPr>
                <w:spacing w:val="-5"/>
              </w:rPr>
              <w:t>地</w:t>
            </w:r>
            <w:r>
              <w:rPr>
                <w:spacing w:val="-55"/>
              </w:rPr>
              <w:t xml:space="preserve"> </w:t>
            </w:r>
            <w:r>
              <w:rPr>
                <w:rFonts w:ascii="Times New Roman" w:hAnsi="Times New Roman" w:eastAsia="Times New Roman" w:cs="Times New Roman"/>
                <w:spacing w:val="-5"/>
              </w:rPr>
              <w:t xml:space="preserve">2 </w:t>
            </w:r>
            <w:r>
              <w:rPr>
                <w:spacing w:val="-5"/>
              </w:rPr>
              <w:t>类。人工林主要为公益林、</w:t>
            </w:r>
            <w:r>
              <w:t xml:space="preserve"> 人工用材林，主要种植松木、柏木、桉树等用材树种。人工牧草地主要种植象</w:t>
            </w:r>
            <w:r>
              <w:rPr>
                <w:spacing w:val="11"/>
              </w:rPr>
              <w:t xml:space="preserve"> </w:t>
            </w:r>
            <w:r>
              <w:rPr>
                <w:spacing w:val="-2"/>
              </w:rPr>
              <w:t>草作为牛羊饲草。</w:t>
            </w:r>
          </w:p>
          <w:p w14:paraId="24E9D27D">
            <w:pPr>
              <w:pStyle w:val="6"/>
              <w:spacing w:before="36" w:line="219" w:lineRule="auto"/>
              <w:ind w:left="600"/>
            </w:pPr>
            <w:r>
              <w:rPr>
                <w:spacing w:val="-3"/>
              </w:rPr>
              <w:t>（</w:t>
            </w:r>
            <w:r>
              <w:rPr>
                <w:rFonts w:ascii="Times New Roman" w:hAnsi="Times New Roman" w:eastAsia="Times New Roman" w:cs="Times New Roman"/>
                <w:spacing w:val="-3"/>
              </w:rPr>
              <w:t>4</w:t>
            </w:r>
            <w:r>
              <w:rPr>
                <w:spacing w:val="-3"/>
              </w:rPr>
              <w:t>）植物资源现状</w:t>
            </w:r>
          </w:p>
          <w:p w14:paraId="76F4C903">
            <w:pPr>
              <w:pStyle w:val="6"/>
              <w:spacing w:before="172" w:line="356" w:lineRule="auto"/>
              <w:ind w:left="56" w:right="2" w:firstLine="531"/>
            </w:pPr>
            <w:r>
              <w:rPr>
                <w:spacing w:val="-2"/>
              </w:rPr>
              <w:t>评价区植物区系属东亚植物区（</w:t>
            </w:r>
            <w:r>
              <w:rPr>
                <w:rFonts w:ascii="Times New Roman" w:hAnsi="Times New Roman" w:eastAsia="Times New Roman" w:cs="Times New Roman"/>
                <w:spacing w:val="-2"/>
              </w:rPr>
              <w:t>East Asiatic king</w:t>
            </w:r>
            <w:r>
              <w:rPr>
                <w:rFonts w:ascii="Times New Roman" w:hAnsi="Times New Roman" w:eastAsia="Times New Roman" w:cs="Times New Roman"/>
                <w:spacing w:val="-3"/>
              </w:rPr>
              <w:t>dom</w:t>
            </w:r>
            <w:r>
              <w:rPr>
                <w:spacing w:val="-19"/>
              </w:rPr>
              <w:t>），</w:t>
            </w:r>
            <w:r>
              <w:rPr>
                <w:spacing w:val="-3"/>
              </w:rPr>
              <w:t>中国</w:t>
            </w:r>
            <w:r>
              <w:rPr>
                <w:rFonts w:ascii="Times New Roman" w:hAnsi="Times New Roman" w:eastAsia="Times New Roman" w:cs="Times New Roman"/>
                <w:spacing w:val="-3"/>
              </w:rPr>
              <w:t>—</w:t>
            </w:r>
            <w:r>
              <w:rPr>
                <w:spacing w:val="-3"/>
              </w:rPr>
              <w:t>喜马拉雅森</w:t>
            </w:r>
            <w:r>
              <w:rPr>
                <w:spacing w:val="1"/>
              </w:rPr>
              <w:t xml:space="preserve"> </w:t>
            </w:r>
            <w:r>
              <w:t>林植物亚区（</w:t>
            </w:r>
            <w:r>
              <w:rPr>
                <w:rFonts w:ascii="Times New Roman" w:hAnsi="Times New Roman" w:eastAsia="Times New Roman" w:cs="Times New Roman"/>
              </w:rPr>
              <w:t>Sino-Himalayan forest subkingdom</w:t>
            </w:r>
            <w:r>
              <w:t>）。根据《云南种子名录</w:t>
            </w:r>
            <w:r>
              <w:rPr>
                <w:spacing w:val="-1"/>
              </w:rPr>
              <w:t>》中的</w:t>
            </w:r>
            <w:r>
              <w:t xml:space="preserve">  </w:t>
            </w:r>
            <w:r>
              <w:rPr>
                <w:rFonts w:ascii="Times New Roman" w:hAnsi="Times New Roman" w:eastAsia="Times New Roman" w:cs="Times New Roman"/>
                <w:spacing w:val="-1"/>
              </w:rPr>
              <w:t>“</w:t>
            </w:r>
            <w:r>
              <w:rPr>
                <w:spacing w:val="-1"/>
              </w:rPr>
              <w:t>云南植物分布区图</w:t>
            </w:r>
            <w:r>
              <w:rPr>
                <w:rFonts w:ascii="Times New Roman" w:hAnsi="Times New Roman" w:eastAsia="Times New Roman" w:cs="Times New Roman"/>
                <w:spacing w:val="-1"/>
              </w:rPr>
              <w:t>”</w:t>
            </w:r>
            <w:r>
              <w:rPr>
                <w:spacing w:val="-1"/>
              </w:rPr>
              <w:t>，评价区植物属于云南高原</w:t>
            </w:r>
            <w:r>
              <w:rPr>
                <w:spacing w:val="-2"/>
              </w:rPr>
              <w:t>地区（</w:t>
            </w:r>
            <w:r>
              <w:rPr>
                <w:rFonts w:ascii="Times New Roman" w:hAnsi="Times New Roman" w:eastAsia="Times New Roman" w:cs="Times New Roman"/>
                <w:spacing w:val="-2"/>
              </w:rPr>
              <w:t>Yunnan plateau region</w:t>
            </w:r>
            <w:r>
              <w:rPr>
                <w:spacing w:val="-2"/>
              </w:rPr>
              <w:t>）。</w:t>
            </w:r>
            <w:r>
              <w:t xml:space="preserve"> 评价区环境条件相对单一，</w:t>
            </w:r>
            <w:r>
              <w:rPr>
                <w:spacing w:val="-54"/>
              </w:rPr>
              <w:t xml:space="preserve"> </w:t>
            </w:r>
            <w:r>
              <w:t xml:space="preserve">自然植被受人为影响严重，根据实地调查情况，植 </w:t>
            </w:r>
            <w:r>
              <w:rPr>
                <w:spacing w:val="2"/>
              </w:rPr>
              <w:t>物资源的种类和数量相对不多，植物种类以温带为主，现存植物中乔木主</w:t>
            </w:r>
            <w:r>
              <w:rPr>
                <w:spacing w:val="1"/>
              </w:rPr>
              <w:t>要以</w:t>
            </w:r>
            <w:r>
              <w:t xml:space="preserve"> </w:t>
            </w:r>
            <w:r>
              <w:rPr>
                <w:spacing w:val="4"/>
              </w:rPr>
              <w:t>松科、壳斗科栎属和桦木科为主，常见种类为云南松</w:t>
            </w:r>
            <w:r>
              <w:rPr>
                <w:spacing w:val="-49"/>
              </w:rPr>
              <w:t xml:space="preserve"> </w:t>
            </w:r>
            <w:r>
              <w:rPr>
                <w:rFonts w:ascii="Times New Roman" w:hAnsi="Times New Roman" w:eastAsia="Times New Roman" w:cs="Times New Roman"/>
                <w:i/>
                <w:iCs/>
              </w:rPr>
              <w:t>Pinus</w:t>
            </w:r>
            <w:r>
              <w:rPr>
                <w:rFonts w:ascii="Times New Roman" w:hAnsi="Times New Roman" w:eastAsia="Times New Roman" w:cs="Times New Roman"/>
                <w:i/>
                <w:iCs/>
                <w:spacing w:val="-16"/>
              </w:rPr>
              <w:t xml:space="preserve"> </w:t>
            </w:r>
            <w:r>
              <w:rPr>
                <w:rFonts w:ascii="Times New Roman" w:hAnsi="Times New Roman" w:eastAsia="Times New Roman" w:cs="Times New Roman"/>
                <w:i/>
                <w:iCs/>
              </w:rPr>
              <w:t>yunnanensis</w:t>
            </w:r>
            <w:r>
              <w:rPr>
                <w:rFonts w:ascii="Times New Roman" w:hAnsi="Times New Roman" w:eastAsia="Times New Roman" w:cs="Times New Roman"/>
                <w:i/>
                <w:iCs/>
                <w:spacing w:val="-29"/>
              </w:rPr>
              <w:t xml:space="preserve"> </w:t>
            </w:r>
            <w:r>
              <w:rPr>
                <w:spacing w:val="4"/>
              </w:rPr>
              <w:t>、华山</w:t>
            </w:r>
            <w:r>
              <w:t xml:space="preserve">  </w:t>
            </w:r>
            <w:r>
              <w:rPr>
                <w:spacing w:val="7"/>
              </w:rPr>
              <w:t>松</w:t>
            </w:r>
            <w:r>
              <w:rPr>
                <w:spacing w:val="-66"/>
              </w:rPr>
              <w:t xml:space="preserve"> </w:t>
            </w:r>
            <w:r>
              <w:rPr>
                <w:rFonts w:ascii="Times New Roman" w:hAnsi="Times New Roman" w:eastAsia="Times New Roman" w:cs="Times New Roman"/>
                <w:i/>
                <w:iCs/>
              </w:rPr>
              <w:t>Pinus</w:t>
            </w:r>
            <w:r>
              <w:rPr>
                <w:rFonts w:ascii="Times New Roman" w:hAnsi="Times New Roman" w:eastAsia="Times New Roman" w:cs="Times New Roman"/>
                <w:i/>
                <w:iCs/>
                <w:spacing w:val="7"/>
              </w:rPr>
              <w:t xml:space="preserve"> </w:t>
            </w:r>
            <w:r>
              <w:rPr>
                <w:rFonts w:ascii="Times New Roman" w:hAnsi="Times New Roman" w:eastAsia="Times New Roman" w:cs="Times New Roman"/>
                <w:i/>
                <w:iCs/>
              </w:rPr>
              <w:t>armandi</w:t>
            </w:r>
            <w:r>
              <w:rPr>
                <w:i/>
                <w:iCs/>
                <w:spacing w:val="7"/>
                <w:sz w:val="25"/>
                <w:szCs w:val="25"/>
              </w:rPr>
              <w:t>、</w:t>
            </w:r>
            <w:r>
              <w:rPr>
                <w:spacing w:val="7"/>
              </w:rPr>
              <w:t>滇青冈</w:t>
            </w:r>
            <w:r>
              <w:rPr>
                <w:spacing w:val="-49"/>
              </w:rPr>
              <w:t xml:space="preserve"> </w:t>
            </w:r>
            <w:r>
              <w:rPr>
                <w:rFonts w:ascii="Times New Roman" w:hAnsi="Times New Roman" w:eastAsia="Times New Roman" w:cs="Times New Roman"/>
                <w:i/>
                <w:iCs/>
              </w:rPr>
              <w:t>Quercus</w:t>
            </w:r>
            <w:r>
              <w:rPr>
                <w:rFonts w:ascii="Times New Roman" w:hAnsi="Times New Roman" w:eastAsia="Times New Roman" w:cs="Times New Roman"/>
                <w:i/>
                <w:iCs/>
                <w:spacing w:val="7"/>
              </w:rPr>
              <w:t xml:space="preserve"> </w:t>
            </w:r>
            <w:r>
              <w:rPr>
                <w:rFonts w:ascii="Times New Roman" w:hAnsi="Times New Roman" w:eastAsia="Times New Roman" w:cs="Times New Roman"/>
                <w:i/>
                <w:iCs/>
              </w:rPr>
              <w:t>schottkyana</w:t>
            </w:r>
            <w:r>
              <w:rPr>
                <w:i/>
                <w:iCs/>
                <w:spacing w:val="7"/>
                <w:sz w:val="25"/>
                <w:szCs w:val="25"/>
              </w:rPr>
              <w:t>、</w:t>
            </w:r>
            <w:r>
              <w:rPr>
                <w:spacing w:val="7"/>
              </w:rPr>
              <w:t>滇石栎</w:t>
            </w:r>
            <w:r>
              <w:rPr>
                <w:spacing w:val="-46"/>
              </w:rPr>
              <w:t xml:space="preserve"> </w:t>
            </w:r>
            <w:r>
              <w:rPr>
                <w:rFonts w:ascii="Times New Roman" w:hAnsi="Times New Roman" w:eastAsia="Times New Roman" w:cs="Times New Roman"/>
                <w:i/>
                <w:iCs/>
              </w:rPr>
              <w:t>Lithocarpus</w:t>
            </w:r>
            <w:r>
              <w:rPr>
                <w:rFonts w:ascii="Times New Roman" w:hAnsi="Times New Roman" w:eastAsia="Times New Roman" w:cs="Times New Roman"/>
                <w:i/>
                <w:iCs/>
                <w:spacing w:val="19"/>
                <w:w w:val="101"/>
              </w:rPr>
              <w:t xml:space="preserve"> </w:t>
            </w:r>
            <w:r>
              <w:rPr>
                <w:rFonts w:ascii="Times New Roman" w:hAnsi="Times New Roman" w:eastAsia="Times New Roman" w:cs="Times New Roman"/>
                <w:i/>
                <w:iCs/>
              </w:rPr>
              <w:t>dealbatus</w:t>
            </w:r>
            <w:r>
              <w:rPr>
                <w:i/>
                <w:iCs/>
                <w:spacing w:val="7"/>
                <w:sz w:val="25"/>
                <w:szCs w:val="25"/>
              </w:rPr>
              <w:t>、</w:t>
            </w:r>
            <w:r>
              <w:rPr>
                <w:sz w:val="25"/>
                <w:szCs w:val="25"/>
              </w:rPr>
              <w:t xml:space="preserve"> </w:t>
            </w:r>
            <w:r>
              <w:rPr>
                <w:spacing w:val="1"/>
              </w:rPr>
              <w:t>栓皮栎</w:t>
            </w:r>
            <w:r>
              <w:rPr>
                <w:spacing w:val="-50"/>
              </w:rPr>
              <w:t xml:space="preserve"> </w:t>
            </w:r>
            <w:r>
              <w:rPr>
                <w:rFonts w:ascii="Times New Roman" w:hAnsi="Times New Roman" w:eastAsia="Times New Roman" w:cs="Times New Roman"/>
              </w:rPr>
              <w:t>Q</w:t>
            </w:r>
            <w:r>
              <w:rPr>
                <w:rFonts w:ascii="Times New Roman" w:hAnsi="Times New Roman" w:eastAsia="Times New Roman" w:cs="Times New Roman"/>
                <w:i/>
                <w:iCs/>
              </w:rPr>
              <w:t>uercus</w:t>
            </w:r>
            <w:r>
              <w:rPr>
                <w:rFonts w:ascii="Times New Roman" w:hAnsi="Times New Roman" w:eastAsia="Times New Roman" w:cs="Times New Roman"/>
                <w:i/>
                <w:iCs/>
                <w:spacing w:val="1"/>
              </w:rPr>
              <w:t xml:space="preserve"> </w:t>
            </w:r>
            <w:r>
              <w:rPr>
                <w:rFonts w:ascii="Times New Roman" w:hAnsi="Times New Roman" w:eastAsia="Times New Roman" w:cs="Times New Roman"/>
                <w:i/>
                <w:iCs/>
              </w:rPr>
              <w:t>variabilis</w:t>
            </w:r>
            <w:r>
              <w:rPr>
                <w:rFonts w:ascii="Times New Roman" w:hAnsi="Times New Roman" w:eastAsia="Times New Roman" w:cs="Times New Roman"/>
                <w:i/>
                <w:iCs/>
                <w:spacing w:val="-31"/>
              </w:rPr>
              <w:t xml:space="preserve"> </w:t>
            </w:r>
            <w:r>
              <w:rPr>
                <w:spacing w:val="1"/>
              </w:rPr>
              <w:t>、槲栎</w:t>
            </w:r>
            <w:r>
              <w:rPr>
                <w:spacing w:val="-44"/>
              </w:rPr>
              <w:t xml:space="preserve"> </w:t>
            </w:r>
            <w:r>
              <w:rPr>
                <w:rFonts w:ascii="Times New Roman" w:hAnsi="Times New Roman" w:eastAsia="Times New Roman" w:cs="Times New Roman"/>
                <w:i/>
                <w:iCs/>
              </w:rPr>
              <w:t>Quercus</w:t>
            </w:r>
            <w:r>
              <w:rPr>
                <w:rFonts w:ascii="Times New Roman" w:hAnsi="Times New Roman" w:eastAsia="Times New Roman" w:cs="Times New Roman"/>
                <w:i/>
                <w:iCs/>
                <w:spacing w:val="1"/>
              </w:rPr>
              <w:t xml:space="preserve"> </w:t>
            </w:r>
            <w:r>
              <w:rPr>
                <w:rFonts w:ascii="Times New Roman" w:hAnsi="Times New Roman" w:eastAsia="Times New Roman" w:cs="Times New Roman"/>
                <w:i/>
                <w:iCs/>
              </w:rPr>
              <w:t>aliena</w:t>
            </w:r>
            <w:r>
              <w:rPr>
                <w:rFonts w:ascii="Times New Roman" w:hAnsi="Times New Roman" w:eastAsia="Times New Roman" w:cs="Times New Roman"/>
                <w:i/>
                <w:iCs/>
                <w:spacing w:val="-29"/>
              </w:rPr>
              <w:t xml:space="preserve"> </w:t>
            </w:r>
            <w:r>
              <w:rPr>
                <w:spacing w:val="1"/>
              </w:rPr>
              <w:t>、尼泊尔桤木</w:t>
            </w:r>
            <w:r>
              <w:rPr>
                <w:spacing w:val="-67"/>
              </w:rPr>
              <w:t xml:space="preserve"> </w:t>
            </w:r>
            <w:r>
              <w:rPr>
                <w:rFonts w:ascii="Times New Roman" w:hAnsi="Times New Roman" w:eastAsia="Times New Roman" w:cs="Times New Roman"/>
                <w:i/>
                <w:iCs/>
              </w:rPr>
              <w:t>Alnusnepalensis</w:t>
            </w:r>
            <w:r>
              <w:rPr>
                <w:spacing w:val="1"/>
              </w:rPr>
              <w:t>；</w:t>
            </w:r>
            <w:r>
              <w:t xml:space="preserve">  </w:t>
            </w:r>
            <w:r>
              <w:rPr>
                <w:spacing w:val="16"/>
              </w:rPr>
              <w:t>灌木以蔷薇科种类为主</w:t>
            </w:r>
            <w:r>
              <w:rPr>
                <w:spacing w:val="-60"/>
              </w:rPr>
              <w:t xml:space="preserve"> </w:t>
            </w:r>
            <w:r>
              <w:rPr>
                <w:spacing w:val="16"/>
              </w:rPr>
              <w:t>，常见种类为西南栒子</w:t>
            </w:r>
            <w:r>
              <w:rPr>
                <w:spacing w:val="-24"/>
              </w:rPr>
              <w:t xml:space="preserve"> </w:t>
            </w:r>
            <w:r>
              <w:rPr>
                <w:rFonts w:ascii="Times New Roman" w:hAnsi="Times New Roman" w:eastAsia="Times New Roman" w:cs="Times New Roman"/>
                <w:i/>
                <w:iCs/>
              </w:rPr>
              <w:t>Cotoneaster</w:t>
            </w:r>
            <w:r>
              <w:rPr>
                <w:rFonts w:ascii="Times New Roman" w:hAnsi="Times New Roman" w:eastAsia="Times New Roman" w:cs="Times New Roman"/>
                <w:i/>
                <w:iCs/>
                <w:spacing w:val="-29"/>
              </w:rPr>
              <w:t xml:space="preserve"> </w:t>
            </w:r>
            <w:r>
              <w:rPr>
                <w:rFonts w:ascii="Times New Roman" w:hAnsi="Times New Roman" w:eastAsia="Times New Roman" w:cs="Times New Roman"/>
                <w:i/>
                <w:iCs/>
              </w:rPr>
              <w:t>franchetii</w:t>
            </w:r>
            <w:r>
              <w:rPr>
                <w:rFonts w:ascii="Times New Roman" w:hAnsi="Times New Roman" w:eastAsia="Times New Roman" w:cs="Times New Roman"/>
                <w:i/>
                <w:iCs/>
                <w:spacing w:val="-16"/>
              </w:rPr>
              <w:t xml:space="preserve"> </w:t>
            </w:r>
            <w:r>
              <w:rPr>
                <w:spacing w:val="16"/>
              </w:rPr>
              <w:t>、火棘</w:t>
            </w:r>
            <w:r>
              <w:t xml:space="preserve"> </w:t>
            </w:r>
            <w:r>
              <w:rPr>
                <w:rFonts w:ascii="Times New Roman" w:hAnsi="Times New Roman" w:eastAsia="Times New Roman" w:cs="Times New Roman"/>
                <w:i/>
                <w:iCs/>
              </w:rPr>
              <w:t>Pyracantha</w:t>
            </w:r>
            <w:r>
              <w:rPr>
                <w:rFonts w:ascii="Times New Roman" w:hAnsi="Times New Roman" w:eastAsia="Times New Roman" w:cs="Times New Roman"/>
                <w:i/>
                <w:iCs/>
                <w:spacing w:val="-30"/>
              </w:rPr>
              <w:t xml:space="preserve"> </w:t>
            </w:r>
            <w:r>
              <w:rPr>
                <w:rFonts w:ascii="Times New Roman" w:hAnsi="Times New Roman" w:eastAsia="Times New Roman" w:cs="Times New Roman"/>
                <w:i/>
                <w:iCs/>
              </w:rPr>
              <w:t>fortuneana</w:t>
            </w:r>
            <w:r>
              <w:rPr>
                <w:rFonts w:ascii="Times New Roman" w:hAnsi="Times New Roman" w:eastAsia="Times New Roman" w:cs="Times New Roman"/>
                <w:i/>
                <w:iCs/>
                <w:spacing w:val="-29"/>
              </w:rPr>
              <w:t xml:space="preserve"> </w:t>
            </w:r>
            <w:r>
              <w:rPr>
                <w:spacing w:val="5"/>
              </w:rPr>
              <w:t>、乌鸦果</w:t>
            </w:r>
            <w:r>
              <w:rPr>
                <w:spacing w:val="-25"/>
              </w:rPr>
              <w:t xml:space="preserve"> </w:t>
            </w:r>
            <w:r>
              <w:rPr>
                <w:rFonts w:ascii="Times New Roman" w:hAnsi="Times New Roman" w:eastAsia="Times New Roman" w:cs="Times New Roman"/>
                <w:i/>
                <w:iCs/>
              </w:rPr>
              <w:t>Vacciniumfragile</w:t>
            </w:r>
            <w:r>
              <w:rPr>
                <w:rFonts w:ascii="Times New Roman" w:hAnsi="Times New Roman" w:eastAsia="Times New Roman" w:cs="Times New Roman"/>
                <w:i/>
                <w:iCs/>
                <w:spacing w:val="-33"/>
              </w:rPr>
              <w:t xml:space="preserve"> </w:t>
            </w:r>
            <w:r>
              <w:rPr>
                <w:spacing w:val="5"/>
              </w:rPr>
              <w:t>、小铁仔</w:t>
            </w:r>
            <w:r>
              <w:rPr>
                <w:spacing w:val="-62"/>
              </w:rPr>
              <w:t xml:space="preserve"> </w:t>
            </w:r>
            <w:r>
              <w:rPr>
                <w:rFonts w:ascii="Times New Roman" w:hAnsi="Times New Roman" w:eastAsia="Times New Roman" w:cs="Times New Roman"/>
                <w:i/>
                <w:iCs/>
              </w:rPr>
              <w:t>Myrsine</w:t>
            </w:r>
            <w:r>
              <w:rPr>
                <w:rFonts w:ascii="Times New Roman" w:hAnsi="Times New Roman" w:eastAsia="Times New Roman" w:cs="Times New Roman"/>
                <w:i/>
                <w:iCs/>
                <w:spacing w:val="5"/>
              </w:rPr>
              <w:t xml:space="preserve"> </w:t>
            </w:r>
            <w:r>
              <w:rPr>
                <w:rFonts w:ascii="Times New Roman" w:hAnsi="Times New Roman" w:eastAsia="Times New Roman" w:cs="Times New Roman"/>
                <w:i/>
                <w:iCs/>
              </w:rPr>
              <w:t>africana</w:t>
            </w:r>
            <w:r>
              <w:rPr>
                <w:rFonts w:ascii="Times New Roman" w:hAnsi="Times New Roman" w:eastAsia="Times New Roman" w:cs="Times New Roman"/>
                <w:i/>
                <w:iCs/>
                <w:spacing w:val="-29"/>
              </w:rPr>
              <w:t xml:space="preserve"> </w:t>
            </w:r>
            <w:r>
              <w:rPr>
                <w:spacing w:val="5"/>
              </w:rPr>
              <w:t>、沙</w:t>
            </w:r>
            <w:r>
              <w:t xml:space="preserve"> </w:t>
            </w:r>
            <w:r>
              <w:rPr>
                <w:spacing w:val="-1"/>
              </w:rPr>
              <w:t>针</w:t>
            </w:r>
            <w:r>
              <w:rPr>
                <w:spacing w:val="-40"/>
              </w:rPr>
              <w:t xml:space="preserve"> </w:t>
            </w:r>
            <w:r>
              <w:rPr>
                <w:rFonts w:ascii="Times New Roman" w:hAnsi="Times New Roman" w:eastAsia="Times New Roman" w:cs="Times New Roman"/>
                <w:i/>
                <w:iCs/>
                <w:spacing w:val="-1"/>
              </w:rPr>
              <w:t xml:space="preserve">Osyris wightiana </w:t>
            </w:r>
            <w:r>
              <w:rPr>
                <w:spacing w:val="-1"/>
              </w:rPr>
              <w:t>等；草本以禾本科、蔷薇科、菊科、蕨科种类为主，常见种</w:t>
            </w:r>
            <w:r>
              <w:t xml:space="preserve">  </w:t>
            </w:r>
            <w:r>
              <w:rPr>
                <w:spacing w:val="18"/>
              </w:rPr>
              <w:t>类为野古草</w:t>
            </w:r>
            <w:r>
              <w:rPr>
                <w:spacing w:val="-32"/>
              </w:rPr>
              <w:t xml:space="preserve"> </w:t>
            </w:r>
            <w:r>
              <w:rPr>
                <w:rFonts w:ascii="Times New Roman" w:hAnsi="Times New Roman" w:eastAsia="Times New Roman" w:cs="Times New Roman"/>
                <w:i/>
                <w:iCs/>
              </w:rPr>
              <w:t>Arundinella</w:t>
            </w:r>
            <w:r>
              <w:rPr>
                <w:rFonts w:ascii="Times New Roman" w:hAnsi="Times New Roman" w:eastAsia="Times New Roman" w:cs="Times New Roman"/>
                <w:i/>
                <w:iCs/>
                <w:spacing w:val="34"/>
              </w:rPr>
              <w:t xml:space="preserve"> </w:t>
            </w:r>
            <w:r>
              <w:rPr>
                <w:rFonts w:ascii="Times New Roman" w:hAnsi="Times New Roman" w:eastAsia="Times New Roman" w:cs="Times New Roman"/>
                <w:i/>
                <w:iCs/>
              </w:rPr>
              <w:t>anomala</w:t>
            </w:r>
            <w:r>
              <w:rPr>
                <w:rFonts w:ascii="Times New Roman" w:hAnsi="Times New Roman" w:eastAsia="Times New Roman" w:cs="Times New Roman"/>
                <w:i/>
                <w:iCs/>
                <w:spacing w:val="18"/>
              </w:rPr>
              <w:t xml:space="preserve"> </w:t>
            </w:r>
            <w:r>
              <w:rPr>
                <w:spacing w:val="18"/>
              </w:rPr>
              <w:t>、紫茎泽兰</w:t>
            </w:r>
            <w:r>
              <w:rPr>
                <w:spacing w:val="-43"/>
              </w:rPr>
              <w:t xml:space="preserve"> </w:t>
            </w:r>
            <w:r>
              <w:rPr>
                <w:rFonts w:ascii="Times New Roman" w:hAnsi="Times New Roman" w:eastAsia="Times New Roman" w:cs="Times New Roman"/>
                <w:i/>
                <w:iCs/>
              </w:rPr>
              <w:t>Ageratina</w:t>
            </w:r>
            <w:r>
              <w:rPr>
                <w:rFonts w:ascii="Times New Roman" w:hAnsi="Times New Roman" w:eastAsia="Times New Roman" w:cs="Times New Roman"/>
                <w:i/>
                <w:iCs/>
                <w:spacing w:val="32"/>
                <w:w w:val="101"/>
              </w:rPr>
              <w:t xml:space="preserve"> </w:t>
            </w:r>
            <w:r>
              <w:rPr>
                <w:rFonts w:ascii="Times New Roman" w:hAnsi="Times New Roman" w:eastAsia="Times New Roman" w:cs="Times New Roman"/>
                <w:i/>
                <w:iCs/>
              </w:rPr>
              <w:t>adenophora</w:t>
            </w:r>
            <w:r>
              <w:rPr>
                <w:rFonts w:ascii="Times New Roman" w:hAnsi="Times New Roman" w:eastAsia="Times New Roman" w:cs="Times New Roman"/>
                <w:i/>
                <w:iCs/>
                <w:spacing w:val="18"/>
              </w:rPr>
              <w:t xml:space="preserve"> </w:t>
            </w:r>
            <w:r>
              <w:rPr>
                <w:spacing w:val="18"/>
              </w:rPr>
              <w:t>、扭黄茅</w:t>
            </w:r>
            <w:r>
              <w:t xml:space="preserve"> </w:t>
            </w:r>
            <w:r>
              <w:rPr>
                <w:rFonts w:ascii="Times New Roman" w:hAnsi="Times New Roman" w:eastAsia="Times New Roman" w:cs="Times New Roman"/>
                <w:i/>
                <w:iCs/>
                <w:spacing w:val="-2"/>
              </w:rPr>
              <w:t>Heteropogon contortus</w:t>
            </w:r>
            <w:r>
              <w:rPr>
                <w:spacing w:val="-2"/>
              </w:rPr>
              <w:t>、蕨</w:t>
            </w:r>
            <w:r>
              <w:rPr>
                <w:rFonts w:ascii="Times New Roman" w:hAnsi="Times New Roman" w:eastAsia="Times New Roman" w:cs="Times New Roman"/>
                <w:i/>
                <w:iCs/>
                <w:spacing w:val="-2"/>
              </w:rPr>
              <w:t>Pteridiumlatiu</w:t>
            </w:r>
            <w:r>
              <w:rPr>
                <w:rFonts w:ascii="Times New Roman" w:hAnsi="Times New Roman" w:eastAsia="Times New Roman" w:cs="Times New Roman"/>
                <w:i/>
                <w:iCs/>
                <w:spacing w:val="-3"/>
              </w:rPr>
              <w:t>sculum</w:t>
            </w:r>
            <w:r>
              <w:rPr>
                <w:rFonts w:ascii="Times New Roman" w:hAnsi="Times New Roman" w:eastAsia="Times New Roman" w:cs="Times New Roman"/>
                <w:i/>
                <w:iCs/>
                <w:spacing w:val="16"/>
              </w:rPr>
              <w:t xml:space="preserve"> </w:t>
            </w:r>
            <w:r>
              <w:rPr>
                <w:rFonts w:ascii="Times New Roman" w:hAnsi="Times New Roman" w:eastAsia="Times New Roman" w:cs="Times New Roman"/>
                <w:i/>
                <w:iCs/>
                <w:spacing w:val="-3"/>
              </w:rPr>
              <w:t xml:space="preserve">(Desv.) Hieron.  </w:t>
            </w:r>
            <w:r>
              <w:rPr>
                <w:spacing w:val="-3"/>
              </w:rPr>
              <w:t>、欧洲蕨</w:t>
            </w:r>
            <w:r>
              <w:rPr>
                <w:rFonts w:ascii="Times New Roman" w:hAnsi="Times New Roman" w:eastAsia="Times New Roman" w:cs="Times New Roman"/>
                <w:i/>
                <w:iCs/>
                <w:spacing w:val="-3"/>
              </w:rPr>
              <w:t>Pteridium</w:t>
            </w:r>
            <w:r>
              <w:rPr>
                <w:rFonts w:ascii="Times New Roman" w:hAnsi="Times New Roman" w:eastAsia="Times New Roman" w:cs="Times New Roman"/>
                <w:i/>
                <w:iCs/>
              </w:rPr>
              <w:t xml:space="preserve">  </w:t>
            </w:r>
            <w:r>
              <w:rPr>
                <w:rFonts w:ascii="Times New Roman" w:hAnsi="Times New Roman" w:eastAsia="Times New Roman" w:cs="Times New Roman"/>
                <w:i/>
                <w:iCs/>
                <w:spacing w:val="-2"/>
              </w:rPr>
              <w:t>aquilinum  (L.)  Ku</w:t>
            </w:r>
            <w:r>
              <w:rPr>
                <w:rFonts w:ascii="Times New Roman" w:hAnsi="Times New Roman" w:eastAsia="Times New Roman" w:cs="Times New Roman"/>
                <w:i/>
                <w:iCs/>
                <w:spacing w:val="-3"/>
              </w:rPr>
              <w:t>hn</w:t>
            </w:r>
            <w:r>
              <w:rPr>
                <w:rFonts w:ascii="Times New Roman" w:hAnsi="Times New Roman" w:eastAsia="Times New Roman" w:cs="Times New Roman"/>
                <w:i/>
                <w:iCs/>
                <w:spacing w:val="24"/>
              </w:rPr>
              <w:t xml:space="preserve"> </w:t>
            </w:r>
            <w:r>
              <w:rPr>
                <w:spacing w:val="-3"/>
              </w:rPr>
              <w:t>、</w:t>
            </w:r>
            <w:r>
              <w:rPr>
                <w:spacing w:val="-44"/>
              </w:rPr>
              <w:t xml:space="preserve"> </w:t>
            </w:r>
            <w:r>
              <w:rPr>
                <w:spacing w:val="-3"/>
              </w:rPr>
              <w:t>小 白</w:t>
            </w:r>
            <w:r>
              <w:rPr>
                <w:spacing w:val="-46"/>
              </w:rPr>
              <w:t xml:space="preserve"> </w:t>
            </w:r>
            <w:r>
              <w:rPr>
                <w:spacing w:val="-3"/>
              </w:rPr>
              <w:t>酒</w:t>
            </w:r>
            <w:r>
              <w:rPr>
                <w:spacing w:val="-51"/>
              </w:rPr>
              <w:t xml:space="preserve"> </w:t>
            </w:r>
            <w:r>
              <w:rPr>
                <w:spacing w:val="-3"/>
              </w:rPr>
              <w:t xml:space="preserve">草 </w:t>
            </w:r>
            <w:r>
              <w:rPr>
                <w:rFonts w:ascii="Times New Roman" w:hAnsi="Times New Roman" w:eastAsia="Times New Roman" w:cs="Times New Roman"/>
                <w:i/>
                <w:iCs/>
                <w:spacing w:val="-3"/>
              </w:rPr>
              <w:t>Conyza  canadensis</w:t>
            </w:r>
            <w:r>
              <w:rPr>
                <w:rFonts w:ascii="Times New Roman" w:hAnsi="Times New Roman" w:eastAsia="Times New Roman" w:cs="Times New Roman"/>
                <w:i/>
                <w:iCs/>
                <w:spacing w:val="27"/>
              </w:rPr>
              <w:t xml:space="preserve"> </w:t>
            </w:r>
            <w:r>
              <w:rPr>
                <w:spacing w:val="-3"/>
              </w:rPr>
              <w:t>、</w:t>
            </w:r>
            <w:r>
              <w:rPr>
                <w:spacing w:val="-54"/>
              </w:rPr>
              <w:t xml:space="preserve"> </w:t>
            </w:r>
            <w:r>
              <w:rPr>
                <w:spacing w:val="-3"/>
              </w:rPr>
              <w:t>黄</w:t>
            </w:r>
            <w:r>
              <w:rPr>
                <w:spacing w:val="-49"/>
              </w:rPr>
              <w:t xml:space="preserve"> </w:t>
            </w:r>
            <w:r>
              <w:rPr>
                <w:spacing w:val="-3"/>
              </w:rPr>
              <w:t>腺</w:t>
            </w:r>
            <w:r>
              <w:rPr>
                <w:spacing w:val="-51"/>
              </w:rPr>
              <w:t xml:space="preserve"> </w:t>
            </w:r>
            <w:r>
              <w:rPr>
                <w:spacing w:val="-3"/>
              </w:rPr>
              <w:t>香</w:t>
            </w:r>
            <w:r>
              <w:rPr>
                <w:spacing w:val="-53"/>
              </w:rPr>
              <w:t xml:space="preserve"> </w:t>
            </w:r>
            <w:r>
              <w:rPr>
                <w:spacing w:val="-3"/>
              </w:rPr>
              <w:t xml:space="preserve">青 </w:t>
            </w:r>
            <w:r>
              <w:rPr>
                <w:rFonts w:ascii="Times New Roman" w:hAnsi="Times New Roman" w:eastAsia="Times New Roman" w:cs="Times New Roman"/>
                <w:i/>
                <w:iCs/>
                <w:spacing w:val="-3"/>
              </w:rPr>
              <w:t>Anaphalis</w:t>
            </w:r>
            <w:r>
              <w:rPr>
                <w:rFonts w:ascii="Times New Roman" w:hAnsi="Times New Roman" w:eastAsia="Times New Roman" w:cs="Times New Roman"/>
                <w:i/>
                <w:iCs/>
              </w:rPr>
              <w:t xml:space="preserve">   </w:t>
            </w:r>
            <w:r>
              <w:rPr>
                <w:rFonts w:ascii="Times New Roman" w:hAnsi="Times New Roman" w:eastAsia="Times New Roman" w:cs="Times New Roman"/>
                <w:i/>
                <w:iCs/>
                <w:spacing w:val="-1"/>
              </w:rPr>
              <w:t>aureopunctata</w:t>
            </w:r>
            <w:r>
              <w:rPr>
                <w:rFonts w:ascii="Times New Roman" w:hAnsi="Times New Roman" w:eastAsia="Times New Roman" w:cs="Times New Roman"/>
                <w:i/>
                <w:iCs/>
                <w:spacing w:val="-13"/>
              </w:rPr>
              <w:t xml:space="preserve"> </w:t>
            </w:r>
            <w:r>
              <w:rPr>
                <w:spacing w:val="-1"/>
              </w:rPr>
              <w:t>、砖子苗</w:t>
            </w:r>
            <w:r>
              <w:rPr>
                <w:spacing w:val="-60"/>
              </w:rPr>
              <w:t xml:space="preserve"> </w:t>
            </w:r>
            <w:r>
              <w:rPr>
                <w:rFonts w:ascii="Times New Roman" w:hAnsi="Times New Roman" w:eastAsia="Times New Roman" w:cs="Times New Roman"/>
                <w:i/>
                <w:iCs/>
                <w:spacing w:val="-1"/>
              </w:rPr>
              <w:t>Mariscus umbellatus</w:t>
            </w:r>
            <w:r>
              <w:rPr>
                <w:rFonts w:ascii="Times New Roman" w:hAnsi="Times New Roman" w:eastAsia="Times New Roman" w:cs="Times New Roman"/>
                <w:i/>
                <w:iCs/>
                <w:spacing w:val="40"/>
              </w:rPr>
              <w:t xml:space="preserve"> </w:t>
            </w:r>
            <w:r>
              <w:rPr>
                <w:rFonts w:ascii="Times New Roman" w:hAnsi="Times New Roman" w:eastAsia="Times New Roman" w:cs="Times New Roman"/>
                <w:i/>
                <w:iCs/>
                <w:spacing w:val="-1"/>
              </w:rPr>
              <w:t>Vahl</w:t>
            </w:r>
            <w:r>
              <w:rPr>
                <w:rFonts w:ascii="Times New Roman" w:hAnsi="Times New Roman" w:eastAsia="Times New Roman" w:cs="Times New Roman"/>
                <w:i/>
                <w:iCs/>
                <w:spacing w:val="-33"/>
              </w:rPr>
              <w:t xml:space="preserve"> </w:t>
            </w:r>
            <w:r>
              <w:rPr>
                <w:spacing w:val="-1"/>
              </w:rPr>
              <w:t>、浆果薹草</w:t>
            </w:r>
            <w:r>
              <w:rPr>
                <w:spacing w:val="-37"/>
              </w:rPr>
              <w:t xml:space="preserve"> </w:t>
            </w:r>
            <w:r>
              <w:rPr>
                <w:rFonts w:ascii="Times New Roman" w:hAnsi="Times New Roman" w:eastAsia="Times New Roman" w:cs="Times New Roman"/>
                <w:i/>
                <w:iCs/>
                <w:spacing w:val="-1"/>
              </w:rPr>
              <w:t>Carex baccans</w:t>
            </w:r>
            <w:r>
              <w:rPr>
                <w:rFonts w:ascii="Times New Roman" w:hAnsi="Times New Roman" w:eastAsia="Times New Roman" w:cs="Times New Roman"/>
                <w:i/>
                <w:iCs/>
                <w:spacing w:val="-24"/>
              </w:rPr>
              <w:t xml:space="preserve"> </w:t>
            </w:r>
            <w:r>
              <w:rPr>
                <w:spacing w:val="-1"/>
              </w:rPr>
              <w:t>、千</w:t>
            </w:r>
            <w:r>
              <w:t xml:space="preserve"> </w:t>
            </w:r>
            <w:r>
              <w:rPr>
                <w:spacing w:val="6"/>
              </w:rPr>
              <w:t>里光</w:t>
            </w:r>
            <w:r>
              <w:rPr>
                <w:spacing w:val="-56"/>
              </w:rPr>
              <w:t xml:space="preserve"> </w:t>
            </w:r>
            <w:r>
              <w:rPr>
                <w:rFonts w:ascii="Times New Roman" w:hAnsi="Times New Roman" w:eastAsia="Times New Roman" w:cs="Times New Roman"/>
                <w:i/>
                <w:iCs/>
              </w:rPr>
              <w:t>Senecio</w:t>
            </w:r>
            <w:r>
              <w:rPr>
                <w:rFonts w:ascii="Times New Roman" w:hAnsi="Times New Roman" w:eastAsia="Times New Roman" w:cs="Times New Roman"/>
                <w:i/>
                <w:iCs/>
                <w:spacing w:val="6"/>
              </w:rPr>
              <w:t xml:space="preserve"> </w:t>
            </w:r>
            <w:r>
              <w:rPr>
                <w:rFonts w:ascii="Times New Roman" w:hAnsi="Times New Roman" w:eastAsia="Times New Roman" w:cs="Times New Roman"/>
                <w:i/>
                <w:iCs/>
              </w:rPr>
              <w:t>scandens</w:t>
            </w:r>
            <w:r>
              <w:rPr>
                <w:rFonts w:ascii="Times New Roman" w:hAnsi="Times New Roman" w:eastAsia="Times New Roman" w:cs="Times New Roman"/>
                <w:i/>
                <w:iCs/>
                <w:spacing w:val="6"/>
              </w:rPr>
              <w:t xml:space="preserve"> </w:t>
            </w:r>
            <w:r>
              <w:rPr>
                <w:spacing w:val="6"/>
              </w:rPr>
              <w:t>等。</w:t>
            </w:r>
          </w:p>
          <w:p w14:paraId="4B291F91">
            <w:pPr>
              <w:pStyle w:val="6"/>
              <w:spacing w:before="55" w:line="219" w:lineRule="auto"/>
              <w:ind w:left="617"/>
            </w:pPr>
            <w:r>
              <w:rPr>
                <w:spacing w:val="5"/>
              </w:rPr>
              <w:t>（</w:t>
            </w:r>
            <w:r>
              <w:rPr>
                <w:rFonts w:ascii="Times New Roman" w:hAnsi="Times New Roman" w:eastAsia="Times New Roman" w:cs="Times New Roman"/>
                <w:spacing w:val="5"/>
              </w:rPr>
              <w:t>5</w:t>
            </w:r>
            <w:r>
              <w:rPr>
                <w:spacing w:val="5"/>
              </w:rPr>
              <w:t>）保护植物与特有物种</w:t>
            </w:r>
          </w:p>
          <w:p w14:paraId="301F95B4">
            <w:pPr>
              <w:pStyle w:val="6"/>
              <w:spacing w:before="183" w:line="352" w:lineRule="auto"/>
              <w:ind w:left="109" w:right="109" w:firstLine="496"/>
            </w:pPr>
            <w:r>
              <w:rPr>
                <w:spacing w:val="7"/>
              </w:rPr>
              <w:t>根据相关资料记录和野外考察结果，并查阅《国家重点保护野生植物名</w:t>
            </w:r>
            <w:r>
              <w:rPr>
                <w:spacing w:val="12"/>
              </w:rPr>
              <w:t xml:space="preserve"> </w:t>
            </w:r>
            <w:r>
              <w:rPr>
                <w:spacing w:val="7"/>
              </w:rPr>
              <w:t>录》（</w:t>
            </w:r>
            <w:r>
              <w:rPr>
                <w:rFonts w:ascii="Times New Roman" w:hAnsi="Times New Roman" w:eastAsia="Times New Roman" w:cs="Times New Roman"/>
                <w:spacing w:val="7"/>
              </w:rPr>
              <w:t>2021</w:t>
            </w:r>
            <w:r>
              <w:rPr>
                <w:spacing w:val="7"/>
              </w:rPr>
              <w:t>年</w:t>
            </w:r>
            <w:r>
              <w:rPr>
                <w:spacing w:val="8"/>
              </w:rPr>
              <w:t>），</w:t>
            </w:r>
            <w:r>
              <w:rPr>
                <w:spacing w:val="7"/>
              </w:rPr>
              <w:t>《中国生物多样性红色名录》中列为极危、濒危和易</w:t>
            </w:r>
            <w:r>
              <w:rPr>
                <w:spacing w:val="6"/>
              </w:rPr>
              <w:t>危的</w:t>
            </w:r>
            <w:r>
              <w:rPr>
                <w:spacing w:val="1"/>
              </w:rPr>
              <w:t xml:space="preserve"> </w:t>
            </w:r>
            <w:r>
              <w:rPr>
                <w:spacing w:val="7"/>
              </w:rPr>
              <w:t>物种，国家和地方政府列入拯救保护的极小种群物种、特有种等资料，在评</w:t>
            </w:r>
            <w:r>
              <w:rPr>
                <w:spacing w:val="15"/>
              </w:rPr>
              <w:t xml:space="preserve"> </w:t>
            </w:r>
            <w:r>
              <w:rPr>
                <w:spacing w:val="7"/>
              </w:rPr>
              <w:t>价区范围内没有国家重点保护植物、云南省级保护植物。</w:t>
            </w:r>
          </w:p>
          <w:p w14:paraId="00EF17E3">
            <w:pPr>
              <w:pStyle w:val="6"/>
              <w:spacing w:before="35" w:line="219" w:lineRule="auto"/>
              <w:ind w:left="617"/>
            </w:pPr>
            <w:r>
              <w:rPr>
                <w:spacing w:val="3"/>
              </w:rPr>
              <w:t>（</w:t>
            </w:r>
            <w:r>
              <w:rPr>
                <w:rFonts w:ascii="Times New Roman" w:hAnsi="Times New Roman" w:eastAsia="Times New Roman" w:cs="Times New Roman"/>
                <w:spacing w:val="3"/>
              </w:rPr>
              <w:t>6</w:t>
            </w:r>
            <w:r>
              <w:rPr>
                <w:spacing w:val="3"/>
              </w:rPr>
              <w:t>）名木古树</w:t>
            </w:r>
          </w:p>
        </w:tc>
      </w:tr>
    </w:tbl>
    <w:p w14:paraId="46ED8482">
      <w:pPr>
        <w:rPr>
          <w:rFonts w:ascii="Arial"/>
          <w:sz w:val="21"/>
        </w:rPr>
      </w:pPr>
    </w:p>
    <w:p w14:paraId="0FA103AA">
      <w:pPr>
        <w:rPr>
          <w:rFonts w:ascii="Arial" w:hAnsi="Arial" w:eastAsia="Arial" w:cs="Arial"/>
          <w:sz w:val="21"/>
          <w:szCs w:val="21"/>
        </w:rPr>
        <w:sectPr>
          <w:footerReference r:id="rId93" w:type="default"/>
          <w:pgSz w:w="11906" w:h="16839"/>
          <w:pgMar w:top="1431" w:right="1413" w:bottom="1278" w:left="1413" w:header="0" w:footer="1116" w:gutter="0"/>
          <w:cols w:space="720" w:num="1"/>
        </w:sectPr>
      </w:pPr>
    </w:p>
    <w:p w14:paraId="05699D47">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7F1EA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668" w:type="dxa"/>
            <w:tcBorders>
              <w:right w:val="single" w:color="000000" w:sz="2" w:space="0"/>
            </w:tcBorders>
            <w:vAlign w:val="top"/>
          </w:tcPr>
          <w:p w14:paraId="7FA41582">
            <w:pPr>
              <w:rPr>
                <w:rFonts w:ascii="Arial"/>
                <w:sz w:val="21"/>
              </w:rPr>
            </w:pPr>
          </w:p>
        </w:tc>
        <w:tc>
          <w:tcPr>
            <w:tcW w:w="8396" w:type="dxa"/>
            <w:tcBorders>
              <w:left w:val="single" w:color="000000" w:sz="2" w:space="0"/>
            </w:tcBorders>
            <w:vAlign w:val="top"/>
          </w:tcPr>
          <w:p w14:paraId="6E4A7307">
            <w:pPr>
              <w:pStyle w:val="6"/>
              <w:spacing w:before="42" w:line="344" w:lineRule="auto"/>
              <w:ind w:left="112" w:right="102" w:firstLine="477"/>
            </w:pPr>
            <w:r>
              <w:rPr>
                <w:spacing w:val="-4"/>
              </w:rPr>
              <w:t>根据云南省林业厅文件云林保护字（</w:t>
            </w:r>
            <w:r>
              <w:rPr>
                <w:rFonts w:ascii="Times New Roman" w:hAnsi="Times New Roman" w:eastAsia="Times New Roman" w:cs="Times New Roman"/>
                <w:spacing w:val="-4"/>
              </w:rPr>
              <w:t>1996</w:t>
            </w:r>
            <w:r>
              <w:rPr>
                <w:spacing w:val="-4"/>
              </w:rPr>
              <w:t>）第</w:t>
            </w:r>
            <w:r>
              <w:rPr>
                <w:spacing w:val="-42"/>
              </w:rPr>
              <w:t xml:space="preserve"> </w:t>
            </w:r>
            <w:r>
              <w:rPr>
                <w:rFonts w:ascii="Times New Roman" w:hAnsi="Times New Roman" w:eastAsia="Times New Roman" w:cs="Times New Roman"/>
                <w:spacing w:val="-4"/>
              </w:rPr>
              <w:t>65</w:t>
            </w:r>
            <w:r>
              <w:rPr>
                <w:rFonts w:ascii="Times New Roman" w:hAnsi="Times New Roman" w:eastAsia="Times New Roman" w:cs="Times New Roman"/>
                <w:spacing w:val="15"/>
                <w:w w:val="101"/>
              </w:rPr>
              <w:t xml:space="preserve"> </w:t>
            </w:r>
            <w:r>
              <w:rPr>
                <w:spacing w:val="-4"/>
              </w:rPr>
              <w:t>号《关于印发云南省古树</w:t>
            </w:r>
            <w:r>
              <w:t xml:space="preserve"> </w:t>
            </w:r>
            <w:r>
              <w:rPr>
                <w:spacing w:val="-1"/>
              </w:rPr>
              <w:t>名木名录的通知》和实地走访，在评价区范围内未发现有名木古树分布。</w:t>
            </w:r>
          </w:p>
          <w:p w14:paraId="2296C759">
            <w:pPr>
              <w:pStyle w:val="6"/>
              <w:spacing w:before="37" w:line="346" w:lineRule="auto"/>
              <w:ind w:left="112" w:right="22" w:firstLine="479"/>
            </w:pPr>
            <w:r>
              <w:rPr>
                <w:spacing w:val="-1"/>
              </w:rPr>
              <w:t>综上，根据现场调查和查阅相关资料，项目评价区内，未发现国家级和省</w:t>
            </w:r>
            <w:r>
              <w:rPr>
                <w:spacing w:val="9"/>
              </w:rPr>
              <w:t xml:space="preserve">  </w:t>
            </w:r>
            <w:r>
              <w:rPr>
                <w:spacing w:val="-4"/>
              </w:rPr>
              <w:t>级重点保护野生植物，也未发现珍稀濒危植物、古树名</w:t>
            </w:r>
            <w:r>
              <w:rPr>
                <w:spacing w:val="-5"/>
              </w:rPr>
              <w:t>木、地方狭隘物种分布。</w:t>
            </w:r>
          </w:p>
          <w:p w14:paraId="3402628A">
            <w:pPr>
              <w:pStyle w:val="6"/>
              <w:spacing w:before="35" w:line="218" w:lineRule="auto"/>
              <w:ind w:left="583"/>
            </w:pPr>
            <w:r>
              <w:rPr>
                <w:rFonts w:ascii="Times New Roman" w:hAnsi="Times New Roman" w:eastAsia="Times New Roman" w:cs="Times New Roman"/>
                <w:b/>
                <w:bCs/>
                <w:spacing w:val="-2"/>
              </w:rPr>
              <w:t xml:space="preserve">3.5 </w:t>
            </w:r>
            <w:r>
              <w:rPr>
                <w:b/>
                <w:bCs/>
                <w:spacing w:val="-2"/>
              </w:rPr>
              <w:t>动物调查及评价</w:t>
            </w:r>
          </w:p>
          <w:p w14:paraId="5E795C02">
            <w:pPr>
              <w:pStyle w:val="6"/>
              <w:spacing w:before="182" w:line="219" w:lineRule="auto"/>
              <w:ind w:left="600"/>
            </w:pPr>
            <w:r>
              <w:rPr>
                <w:spacing w:val="-4"/>
              </w:rPr>
              <w:t>（</w:t>
            </w:r>
            <w:r>
              <w:rPr>
                <w:rFonts w:ascii="Times New Roman" w:hAnsi="Times New Roman" w:eastAsia="Times New Roman" w:cs="Times New Roman"/>
                <w:spacing w:val="-4"/>
              </w:rPr>
              <w:t>1</w:t>
            </w:r>
            <w:r>
              <w:rPr>
                <w:spacing w:val="-4"/>
              </w:rPr>
              <w:t>）两栖类</w:t>
            </w:r>
          </w:p>
          <w:p w14:paraId="3983EE01">
            <w:pPr>
              <w:pStyle w:val="6"/>
              <w:spacing w:before="180" w:line="350" w:lineRule="auto"/>
              <w:ind w:left="73" w:right="102" w:firstLine="516"/>
            </w:pPr>
            <w:r>
              <w:t>本项目生态环境影响评价区内的生境主要是草地、人工林、灌草丛、水域</w:t>
            </w:r>
            <w:r>
              <w:rPr>
                <w:spacing w:val="12"/>
              </w:rPr>
              <w:t xml:space="preserve"> </w:t>
            </w:r>
            <w:r>
              <w:rPr>
                <w:spacing w:val="1"/>
              </w:rPr>
              <w:t>等，区域受人类干扰破坏严重，两栖动物种类数量不多，主要记录到</w:t>
            </w:r>
            <w:r>
              <w:rPr>
                <w:spacing w:val="-46"/>
              </w:rPr>
              <w:t xml:space="preserve"> </w:t>
            </w:r>
            <w:r>
              <w:rPr>
                <w:rFonts w:ascii="Times New Roman" w:hAnsi="Times New Roman" w:eastAsia="Times New Roman" w:cs="Times New Roman"/>
                <w:spacing w:val="1"/>
              </w:rPr>
              <w:t xml:space="preserve">4 </w:t>
            </w:r>
            <w:r>
              <w:rPr>
                <w:spacing w:val="1"/>
              </w:rPr>
              <w:t>种两栖</w:t>
            </w:r>
            <w:r>
              <w:t xml:space="preserve"> </w:t>
            </w:r>
            <w:r>
              <w:rPr>
                <w:spacing w:val="14"/>
              </w:rPr>
              <w:t>动物分别是华西蟾蜍</w:t>
            </w:r>
            <w:r>
              <w:rPr>
                <w:spacing w:val="-31"/>
              </w:rPr>
              <w:t xml:space="preserve"> </w:t>
            </w:r>
            <w:r>
              <w:rPr>
                <w:rFonts w:ascii="Times New Roman" w:hAnsi="Times New Roman" w:eastAsia="Times New Roman" w:cs="Times New Roman"/>
                <w:i/>
                <w:iCs/>
              </w:rPr>
              <w:t>Bufo</w:t>
            </w:r>
            <w:r>
              <w:rPr>
                <w:rFonts w:ascii="Times New Roman" w:hAnsi="Times New Roman" w:eastAsia="Times New Roman" w:cs="Times New Roman"/>
                <w:i/>
                <w:iCs/>
                <w:spacing w:val="25"/>
              </w:rPr>
              <w:t xml:space="preserve"> </w:t>
            </w:r>
            <w:r>
              <w:rPr>
                <w:rFonts w:ascii="Times New Roman" w:hAnsi="Times New Roman" w:eastAsia="Times New Roman" w:cs="Times New Roman"/>
                <w:i/>
                <w:iCs/>
              </w:rPr>
              <w:t>anderewsi</w:t>
            </w:r>
            <w:r>
              <w:rPr>
                <w:rFonts w:ascii="Times New Roman" w:hAnsi="Times New Roman" w:eastAsia="Times New Roman" w:cs="Times New Roman"/>
                <w:i/>
                <w:iCs/>
                <w:spacing w:val="-14"/>
              </w:rPr>
              <w:t xml:space="preserve"> </w:t>
            </w:r>
            <w:r>
              <w:rPr>
                <w:spacing w:val="14"/>
              </w:rPr>
              <w:t>、华西雨蛙</w:t>
            </w:r>
            <w:r>
              <w:rPr>
                <w:spacing w:val="-45"/>
              </w:rPr>
              <w:t xml:space="preserve"> </w:t>
            </w:r>
            <w:r>
              <w:rPr>
                <w:rFonts w:ascii="Times New Roman" w:hAnsi="Times New Roman" w:eastAsia="Times New Roman" w:cs="Times New Roman"/>
                <w:i/>
                <w:iCs/>
              </w:rPr>
              <w:t>Hyla</w:t>
            </w:r>
            <w:r>
              <w:rPr>
                <w:rFonts w:ascii="Times New Roman" w:hAnsi="Times New Roman" w:eastAsia="Times New Roman" w:cs="Times New Roman"/>
                <w:i/>
                <w:iCs/>
                <w:spacing w:val="25"/>
                <w:w w:val="101"/>
              </w:rPr>
              <w:t xml:space="preserve"> </w:t>
            </w:r>
            <w:r>
              <w:rPr>
                <w:rFonts w:ascii="Times New Roman" w:hAnsi="Times New Roman" w:eastAsia="Times New Roman" w:cs="Times New Roman"/>
                <w:i/>
                <w:iCs/>
              </w:rPr>
              <w:t>annectans</w:t>
            </w:r>
            <w:r>
              <w:rPr>
                <w:rFonts w:ascii="Times New Roman" w:hAnsi="Times New Roman" w:eastAsia="Times New Roman" w:cs="Times New Roman"/>
                <w:i/>
                <w:iCs/>
                <w:spacing w:val="-12"/>
              </w:rPr>
              <w:t xml:space="preserve"> </w:t>
            </w:r>
            <w:r>
              <w:rPr>
                <w:spacing w:val="14"/>
              </w:rPr>
              <w:t>、滇蛙</w:t>
            </w:r>
            <w:r>
              <w:rPr>
                <w:spacing w:val="-44"/>
              </w:rPr>
              <w:t xml:space="preserve"> </w:t>
            </w:r>
            <w:r>
              <w:rPr>
                <w:rFonts w:ascii="Times New Roman" w:hAnsi="Times New Roman" w:eastAsia="Times New Roman" w:cs="Times New Roman"/>
                <w:i/>
                <w:iCs/>
              </w:rPr>
              <w:t>Rana pleuraden</w:t>
            </w:r>
            <w:r>
              <w:rPr>
                <w:rFonts w:ascii="Times New Roman" w:hAnsi="Times New Roman" w:eastAsia="Times New Roman" w:cs="Times New Roman"/>
                <w:i/>
                <w:iCs/>
                <w:spacing w:val="-31"/>
              </w:rPr>
              <w:t xml:space="preserve"> </w:t>
            </w:r>
            <w:r>
              <w:t>、泽蛙</w:t>
            </w:r>
            <w:r>
              <w:rPr>
                <w:spacing w:val="-65"/>
              </w:rPr>
              <w:t xml:space="preserve"> </w:t>
            </w:r>
            <w:r>
              <w:rPr>
                <w:rFonts w:ascii="Times New Roman" w:hAnsi="Times New Roman" w:eastAsia="Times New Roman" w:cs="Times New Roman"/>
                <w:i/>
                <w:iCs/>
              </w:rPr>
              <w:t>Rana limnocharis</w:t>
            </w:r>
            <w:r>
              <w:t>。</w:t>
            </w:r>
          </w:p>
          <w:p w14:paraId="0D55238B">
            <w:pPr>
              <w:pStyle w:val="6"/>
              <w:spacing w:before="50" w:line="219" w:lineRule="auto"/>
              <w:ind w:left="600"/>
            </w:pPr>
            <w:r>
              <w:rPr>
                <w:spacing w:val="-4"/>
              </w:rPr>
              <w:t>（</w:t>
            </w:r>
            <w:r>
              <w:rPr>
                <w:rFonts w:ascii="Times New Roman" w:hAnsi="Times New Roman" w:eastAsia="Times New Roman" w:cs="Times New Roman"/>
                <w:spacing w:val="-4"/>
              </w:rPr>
              <w:t>2</w:t>
            </w:r>
            <w:r>
              <w:rPr>
                <w:spacing w:val="-4"/>
              </w:rPr>
              <w:t>）爬行类</w:t>
            </w:r>
          </w:p>
          <w:p w14:paraId="290C77F1">
            <w:pPr>
              <w:pStyle w:val="6"/>
              <w:spacing w:before="181" w:line="350" w:lineRule="auto"/>
              <w:ind w:left="109" w:right="102" w:firstLine="480"/>
            </w:pPr>
            <w:r>
              <w:t>本工程生态环境影响评价区内的生境主要是草地、人工林、灌草丛等，区</w:t>
            </w:r>
            <w:r>
              <w:rPr>
                <w:spacing w:val="12"/>
              </w:rPr>
              <w:t xml:space="preserve"> </w:t>
            </w:r>
            <w:r>
              <w:t>域受人类干扰破坏严重，爬行动物种类数量较少，共记录到</w:t>
            </w:r>
            <w:r>
              <w:rPr>
                <w:spacing w:val="-47"/>
              </w:rPr>
              <w:t xml:space="preserve"> </w:t>
            </w:r>
            <w:r>
              <w:rPr>
                <w:rFonts w:ascii="Times New Roman" w:hAnsi="Times New Roman" w:eastAsia="Times New Roman" w:cs="Times New Roman"/>
              </w:rPr>
              <w:t xml:space="preserve">4 </w:t>
            </w:r>
            <w:r>
              <w:t xml:space="preserve">种爬行动物分别 </w:t>
            </w:r>
            <w:r>
              <w:rPr>
                <w:spacing w:val="-1"/>
              </w:rPr>
              <w:t>是、云南攀蜥</w:t>
            </w:r>
            <w:r>
              <w:rPr>
                <w:spacing w:val="-68"/>
              </w:rPr>
              <w:t xml:space="preserve"> </w:t>
            </w:r>
            <w:r>
              <w:rPr>
                <w:rFonts w:ascii="Times New Roman" w:hAnsi="Times New Roman" w:eastAsia="Times New Roman" w:cs="Times New Roman"/>
                <w:i/>
                <w:iCs/>
                <w:spacing w:val="-1"/>
              </w:rPr>
              <w:t>Japalura</w:t>
            </w:r>
            <w:r>
              <w:rPr>
                <w:rFonts w:ascii="Times New Roman" w:hAnsi="Times New Roman" w:eastAsia="Times New Roman" w:cs="Times New Roman"/>
                <w:i/>
                <w:iCs/>
                <w:spacing w:val="-19"/>
              </w:rPr>
              <w:t xml:space="preserve"> </w:t>
            </w:r>
            <w:r>
              <w:rPr>
                <w:rFonts w:ascii="Times New Roman" w:hAnsi="Times New Roman" w:eastAsia="Times New Roman" w:cs="Times New Roman"/>
                <w:i/>
                <w:iCs/>
                <w:spacing w:val="-1"/>
              </w:rPr>
              <w:t>yunnane</w:t>
            </w:r>
            <w:r>
              <w:rPr>
                <w:rFonts w:ascii="Times New Roman" w:hAnsi="Times New Roman" w:eastAsia="Times New Roman" w:cs="Times New Roman"/>
                <w:i/>
                <w:iCs/>
                <w:spacing w:val="-2"/>
              </w:rPr>
              <w:t>nsis</w:t>
            </w:r>
            <w:r>
              <w:rPr>
                <w:rFonts w:ascii="Times New Roman" w:hAnsi="Times New Roman" w:eastAsia="Times New Roman" w:cs="Times New Roman"/>
                <w:i/>
                <w:iCs/>
                <w:spacing w:val="-31"/>
              </w:rPr>
              <w:t xml:space="preserve"> </w:t>
            </w:r>
            <w:r>
              <w:rPr>
                <w:spacing w:val="-2"/>
              </w:rPr>
              <w:t>、斜鳞蛇</w:t>
            </w:r>
            <w:r>
              <w:rPr>
                <w:spacing w:val="-66"/>
              </w:rPr>
              <w:t xml:space="preserve"> </w:t>
            </w:r>
            <w:r>
              <w:rPr>
                <w:rFonts w:ascii="Times New Roman" w:hAnsi="Times New Roman" w:eastAsia="Times New Roman" w:cs="Times New Roman"/>
                <w:i/>
                <w:iCs/>
                <w:spacing w:val="-2"/>
              </w:rPr>
              <w:t>Pseudoxenodon macrops</w:t>
            </w:r>
            <w:r>
              <w:rPr>
                <w:rFonts w:ascii="Times New Roman" w:hAnsi="Times New Roman" w:eastAsia="Times New Roman" w:cs="Times New Roman"/>
                <w:i/>
                <w:iCs/>
                <w:spacing w:val="-33"/>
              </w:rPr>
              <w:t xml:space="preserve"> </w:t>
            </w:r>
            <w:r>
              <w:rPr>
                <w:spacing w:val="-2"/>
              </w:rPr>
              <w:t>、红脖颈槽</w:t>
            </w:r>
            <w:r>
              <w:t xml:space="preserve"> </w:t>
            </w:r>
            <w:r>
              <w:rPr>
                <w:spacing w:val="-1"/>
              </w:rPr>
              <w:t>蛇</w:t>
            </w:r>
            <w:r>
              <w:rPr>
                <w:spacing w:val="-48"/>
              </w:rPr>
              <w:t xml:space="preserve"> </w:t>
            </w:r>
            <w:r>
              <w:rPr>
                <w:rFonts w:ascii="Times New Roman" w:hAnsi="Times New Roman" w:eastAsia="Times New Roman" w:cs="Times New Roman"/>
                <w:i/>
                <w:iCs/>
                <w:spacing w:val="-1"/>
              </w:rPr>
              <w:t>Rhabdophis subminiatus</w:t>
            </w:r>
            <w:r>
              <w:rPr>
                <w:spacing w:val="-1"/>
              </w:rPr>
              <w:t>。</w:t>
            </w:r>
          </w:p>
          <w:p w14:paraId="3299EE64">
            <w:pPr>
              <w:pStyle w:val="6"/>
              <w:spacing w:before="49" w:line="219" w:lineRule="auto"/>
              <w:ind w:left="600"/>
            </w:pPr>
            <w:r>
              <w:rPr>
                <w:spacing w:val="-5"/>
              </w:rPr>
              <w:t>（</w:t>
            </w:r>
            <w:r>
              <w:rPr>
                <w:rFonts w:ascii="Times New Roman" w:hAnsi="Times New Roman" w:eastAsia="Times New Roman" w:cs="Times New Roman"/>
                <w:spacing w:val="-5"/>
              </w:rPr>
              <w:t>3</w:t>
            </w:r>
            <w:r>
              <w:rPr>
                <w:spacing w:val="-5"/>
              </w:rPr>
              <w:t>）鸟类</w:t>
            </w:r>
          </w:p>
          <w:p w14:paraId="0C080A09">
            <w:pPr>
              <w:pStyle w:val="6"/>
              <w:spacing w:before="182" w:line="342" w:lineRule="auto"/>
              <w:ind w:left="103" w:right="101" w:firstLine="484"/>
            </w:pPr>
            <w:r>
              <w:t>评价区受人类干扰破坏严重，生境主要是草地、人工林、灌草丛等，范围</w:t>
            </w:r>
            <w:r>
              <w:rPr>
                <w:spacing w:val="14"/>
              </w:rPr>
              <w:t xml:space="preserve"> </w:t>
            </w:r>
            <w:r>
              <w:t>有限。由于鸟类活动范围较广，评价区内的鸟类种类比其他动物较多。调查中</w:t>
            </w:r>
            <w:r>
              <w:rPr>
                <w:spacing w:val="18"/>
              </w:rPr>
              <w:t xml:space="preserve"> </w:t>
            </w:r>
            <w:r>
              <w:rPr>
                <w:spacing w:val="7"/>
              </w:rPr>
              <w:t>发现白鹡鸰</w:t>
            </w:r>
            <w:r>
              <w:rPr>
                <w:spacing w:val="-45"/>
              </w:rPr>
              <w:t xml:space="preserve"> </w:t>
            </w:r>
            <w:r>
              <w:rPr>
                <w:rFonts w:ascii="Times New Roman" w:hAnsi="Times New Roman" w:eastAsia="Times New Roman" w:cs="Times New Roman"/>
                <w:i/>
                <w:iCs/>
              </w:rPr>
              <w:t>Motacilla</w:t>
            </w:r>
            <w:r>
              <w:rPr>
                <w:rFonts w:ascii="Times New Roman" w:hAnsi="Times New Roman" w:eastAsia="Times New Roman" w:cs="Times New Roman"/>
                <w:i/>
                <w:iCs/>
                <w:spacing w:val="20"/>
              </w:rPr>
              <w:t xml:space="preserve"> </w:t>
            </w:r>
            <w:r>
              <w:rPr>
                <w:rFonts w:ascii="Times New Roman" w:hAnsi="Times New Roman" w:eastAsia="Times New Roman" w:cs="Times New Roman"/>
                <w:i/>
                <w:iCs/>
              </w:rPr>
              <w:t>alba</w:t>
            </w:r>
            <w:r>
              <w:rPr>
                <w:rFonts w:ascii="Times New Roman" w:hAnsi="Times New Roman" w:eastAsia="Times New Roman" w:cs="Times New Roman"/>
                <w:i/>
                <w:iCs/>
                <w:spacing w:val="-20"/>
              </w:rPr>
              <w:t xml:space="preserve"> </w:t>
            </w:r>
            <w:r>
              <w:rPr>
                <w:spacing w:val="7"/>
              </w:rPr>
              <w:t>、黄臀鹎</w:t>
            </w:r>
            <w:r>
              <w:rPr>
                <w:spacing w:val="-48"/>
              </w:rPr>
              <w:t xml:space="preserve"> </w:t>
            </w:r>
            <w:r>
              <w:rPr>
                <w:rFonts w:ascii="Times New Roman" w:hAnsi="Times New Roman" w:eastAsia="Times New Roman" w:cs="Times New Roman"/>
                <w:i/>
                <w:iCs/>
              </w:rPr>
              <w:t>Pycnonotus</w:t>
            </w:r>
            <w:r>
              <w:rPr>
                <w:rFonts w:ascii="Times New Roman" w:hAnsi="Times New Roman" w:eastAsia="Times New Roman" w:cs="Times New Roman"/>
                <w:i/>
                <w:iCs/>
                <w:spacing w:val="7"/>
              </w:rPr>
              <w:t xml:space="preserve"> </w:t>
            </w:r>
            <w:r>
              <w:rPr>
                <w:rFonts w:ascii="Times New Roman" w:hAnsi="Times New Roman" w:eastAsia="Times New Roman" w:cs="Times New Roman"/>
                <w:i/>
                <w:iCs/>
              </w:rPr>
              <w:t>xanthorrhous</w:t>
            </w:r>
            <w:r>
              <w:rPr>
                <w:rFonts w:ascii="Times New Roman" w:hAnsi="Times New Roman" w:eastAsia="Times New Roman" w:cs="Times New Roman"/>
                <w:i/>
                <w:iCs/>
                <w:spacing w:val="-22"/>
              </w:rPr>
              <w:t xml:space="preserve"> </w:t>
            </w:r>
            <w:r>
              <w:rPr>
                <w:spacing w:val="7"/>
              </w:rPr>
              <w:t>、雉鸡</w:t>
            </w:r>
            <w:r>
              <w:rPr>
                <w:spacing w:val="-51"/>
              </w:rPr>
              <w:t xml:space="preserve"> </w:t>
            </w:r>
            <w:r>
              <w:rPr>
                <w:rFonts w:ascii="Times New Roman" w:hAnsi="Times New Roman" w:eastAsia="Times New Roman" w:cs="Times New Roman"/>
                <w:i/>
                <w:iCs/>
              </w:rPr>
              <w:t xml:space="preserve">Phasianus </w:t>
            </w:r>
            <w:r>
              <w:rPr>
                <w:rFonts w:ascii="Times New Roman" w:hAnsi="Times New Roman" w:eastAsia="Times New Roman" w:cs="Times New Roman"/>
                <w:i/>
                <w:iCs/>
                <w:spacing w:val="-3"/>
              </w:rPr>
              <w:t>colchicus</w:t>
            </w:r>
            <w:r>
              <w:rPr>
                <w:i/>
                <w:iCs/>
                <w:spacing w:val="-3"/>
                <w:sz w:val="25"/>
                <w:szCs w:val="25"/>
              </w:rPr>
              <w:t>、</w:t>
            </w:r>
            <w:r>
              <w:rPr>
                <w:spacing w:val="-3"/>
              </w:rPr>
              <w:t>珠颈斑鸠</w:t>
            </w:r>
            <w:r>
              <w:rPr>
                <w:spacing w:val="-58"/>
              </w:rPr>
              <w:t xml:space="preserve"> </w:t>
            </w:r>
            <w:r>
              <w:rPr>
                <w:rFonts w:ascii="Times New Roman" w:hAnsi="Times New Roman" w:eastAsia="Times New Roman" w:cs="Times New Roman"/>
                <w:i/>
                <w:iCs/>
                <w:spacing w:val="-3"/>
              </w:rPr>
              <w:t>Streptopelia c</w:t>
            </w:r>
            <w:r>
              <w:rPr>
                <w:rFonts w:ascii="Times New Roman" w:hAnsi="Times New Roman" w:eastAsia="Times New Roman" w:cs="Times New Roman"/>
                <w:i/>
                <w:iCs/>
                <w:spacing w:val="-4"/>
              </w:rPr>
              <w:t>hinensis</w:t>
            </w:r>
            <w:r>
              <w:rPr>
                <w:spacing w:val="-4"/>
              </w:rPr>
              <w:t>、棕背伯劳</w:t>
            </w:r>
            <w:r>
              <w:rPr>
                <w:spacing w:val="-67"/>
              </w:rPr>
              <w:t xml:space="preserve"> </w:t>
            </w:r>
            <w:r>
              <w:rPr>
                <w:rFonts w:ascii="Times New Roman" w:hAnsi="Times New Roman" w:eastAsia="Times New Roman" w:cs="Times New Roman"/>
                <w:i/>
                <w:iCs/>
                <w:spacing w:val="-4"/>
              </w:rPr>
              <w:t>Lanius schach</w:t>
            </w:r>
            <w:r>
              <w:rPr>
                <w:spacing w:val="-4"/>
              </w:rPr>
              <w:t>、戴胜</w:t>
            </w:r>
            <w:r>
              <w:rPr>
                <w:spacing w:val="-35"/>
              </w:rPr>
              <w:t xml:space="preserve"> </w:t>
            </w:r>
            <w:r>
              <w:rPr>
                <w:rFonts w:ascii="Times New Roman" w:hAnsi="Times New Roman" w:eastAsia="Times New Roman" w:cs="Times New Roman"/>
                <w:i/>
                <w:iCs/>
                <w:spacing w:val="-4"/>
              </w:rPr>
              <w:t>Upupa</w:t>
            </w:r>
            <w:r>
              <w:rPr>
                <w:rFonts w:ascii="Times New Roman" w:hAnsi="Times New Roman" w:eastAsia="Times New Roman" w:cs="Times New Roman"/>
                <w:i/>
                <w:iCs/>
              </w:rPr>
              <w:t xml:space="preserve"> </w:t>
            </w:r>
            <w:r>
              <w:rPr>
                <w:rFonts w:ascii="Times New Roman" w:hAnsi="Times New Roman" w:eastAsia="Times New Roman" w:cs="Times New Roman"/>
                <w:i/>
                <w:iCs/>
                <w:spacing w:val="-1"/>
              </w:rPr>
              <w:t>epops</w:t>
            </w:r>
            <w:r>
              <w:rPr>
                <w:rFonts w:ascii="Times New Roman" w:hAnsi="Times New Roman" w:eastAsia="Times New Roman" w:cs="Times New Roman"/>
                <w:i/>
                <w:iCs/>
                <w:spacing w:val="-28"/>
              </w:rPr>
              <w:t xml:space="preserve"> </w:t>
            </w:r>
            <w:r>
              <w:rPr>
                <w:spacing w:val="-1"/>
              </w:rPr>
              <w:t>、鹊鸲</w:t>
            </w:r>
            <w:r>
              <w:rPr>
                <w:spacing w:val="-37"/>
              </w:rPr>
              <w:t xml:space="preserve"> </w:t>
            </w:r>
            <w:r>
              <w:rPr>
                <w:rFonts w:ascii="Times New Roman" w:hAnsi="Times New Roman" w:eastAsia="Times New Roman" w:cs="Times New Roman"/>
                <w:i/>
                <w:iCs/>
                <w:spacing w:val="-1"/>
              </w:rPr>
              <w:t>Copsychus saularis</w:t>
            </w:r>
            <w:r>
              <w:rPr>
                <w:rFonts w:ascii="Times New Roman" w:hAnsi="Times New Roman" w:eastAsia="Times New Roman" w:cs="Times New Roman"/>
                <w:i/>
                <w:iCs/>
                <w:spacing w:val="-29"/>
              </w:rPr>
              <w:t xml:space="preserve"> </w:t>
            </w:r>
            <w:r>
              <w:rPr>
                <w:spacing w:val="-1"/>
              </w:rPr>
              <w:t>、黑喉石即鸟</w:t>
            </w:r>
            <w:r>
              <w:rPr>
                <w:spacing w:val="-56"/>
              </w:rPr>
              <w:t xml:space="preserve"> </w:t>
            </w:r>
            <w:r>
              <w:rPr>
                <w:rFonts w:ascii="Times New Roman" w:hAnsi="Times New Roman" w:eastAsia="Times New Roman" w:cs="Times New Roman"/>
                <w:i/>
                <w:iCs/>
                <w:spacing w:val="-1"/>
              </w:rPr>
              <w:t>Saxicola</w:t>
            </w:r>
            <w:r>
              <w:rPr>
                <w:rFonts w:ascii="Times New Roman" w:hAnsi="Times New Roman" w:eastAsia="Times New Roman" w:cs="Times New Roman"/>
                <w:i/>
                <w:iCs/>
                <w:spacing w:val="17"/>
                <w:w w:val="101"/>
              </w:rPr>
              <w:t xml:space="preserve"> </w:t>
            </w:r>
            <w:r>
              <w:rPr>
                <w:rFonts w:ascii="Times New Roman" w:hAnsi="Times New Roman" w:eastAsia="Times New Roman" w:cs="Times New Roman"/>
                <w:i/>
                <w:iCs/>
                <w:spacing w:val="-1"/>
              </w:rPr>
              <w:t>torquata</w:t>
            </w:r>
            <w:r>
              <w:rPr>
                <w:rFonts w:ascii="Times New Roman" w:hAnsi="Times New Roman" w:eastAsia="Times New Roman" w:cs="Times New Roman"/>
                <w:i/>
                <w:iCs/>
                <w:spacing w:val="-29"/>
              </w:rPr>
              <w:t xml:space="preserve"> </w:t>
            </w:r>
            <w:r>
              <w:rPr>
                <w:spacing w:val="-1"/>
              </w:rPr>
              <w:t>、树麻雀</w:t>
            </w:r>
            <w:r>
              <w:rPr>
                <w:spacing w:val="-61"/>
              </w:rPr>
              <w:t xml:space="preserve"> </w:t>
            </w:r>
            <w:r>
              <w:rPr>
                <w:rFonts w:ascii="Times New Roman" w:hAnsi="Times New Roman" w:eastAsia="Times New Roman" w:cs="Times New Roman"/>
                <w:i/>
                <w:iCs/>
                <w:spacing w:val="-1"/>
              </w:rPr>
              <w:t>Passer</w:t>
            </w:r>
            <w:r>
              <w:rPr>
                <w:rFonts w:ascii="Times New Roman" w:hAnsi="Times New Roman" w:eastAsia="Times New Roman" w:cs="Times New Roman"/>
                <w:i/>
                <w:iCs/>
              </w:rPr>
              <w:t xml:space="preserve"> montanus</w:t>
            </w:r>
            <w:r>
              <w:rPr>
                <w:rFonts w:ascii="Times New Roman" w:hAnsi="Times New Roman" w:eastAsia="Times New Roman" w:cs="Times New Roman"/>
                <w:i/>
                <w:iCs/>
                <w:spacing w:val="-34"/>
              </w:rPr>
              <w:t xml:space="preserve"> </w:t>
            </w:r>
            <w:r>
              <w:t>、喜鹊</w:t>
            </w:r>
            <w:r>
              <w:rPr>
                <w:spacing w:val="-66"/>
              </w:rPr>
              <w:t xml:space="preserve"> </w:t>
            </w:r>
            <w:r>
              <w:rPr>
                <w:rFonts w:ascii="Times New Roman" w:hAnsi="Times New Roman" w:eastAsia="Times New Roman" w:cs="Times New Roman"/>
                <w:i/>
                <w:iCs/>
              </w:rPr>
              <w:t>Pica</w:t>
            </w:r>
            <w:r>
              <w:rPr>
                <w:rFonts w:ascii="Times New Roman" w:hAnsi="Times New Roman" w:eastAsia="Times New Roman" w:cs="Times New Roman"/>
                <w:i/>
                <w:iCs/>
                <w:spacing w:val="-26"/>
              </w:rPr>
              <w:t xml:space="preserve"> </w:t>
            </w:r>
            <w:r>
              <w:rPr>
                <w:rFonts w:ascii="Times New Roman" w:hAnsi="Times New Roman" w:eastAsia="Times New Roman" w:cs="Times New Roman"/>
                <w:i/>
                <w:iCs/>
              </w:rPr>
              <w:t xml:space="preserve">pica </w:t>
            </w:r>
            <w:r>
              <w:t>等鸟类相对较为常见。</w:t>
            </w:r>
          </w:p>
          <w:p w14:paraId="7E84DE6D">
            <w:pPr>
              <w:pStyle w:val="6"/>
              <w:spacing w:before="114" w:line="219" w:lineRule="auto"/>
              <w:ind w:left="600"/>
            </w:pPr>
            <w:r>
              <w:rPr>
                <w:spacing w:val="-4"/>
              </w:rPr>
              <w:t>（</w:t>
            </w:r>
            <w:r>
              <w:rPr>
                <w:rFonts w:ascii="Times New Roman" w:hAnsi="Times New Roman" w:eastAsia="Times New Roman" w:cs="Times New Roman"/>
                <w:spacing w:val="-4"/>
              </w:rPr>
              <w:t>4</w:t>
            </w:r>
            <w:r>
              <w:rPr>
                <w:spacing w:val="-4"/>
              </w:rPr>
              <w:t>）哺乳类</w:t>
            </w:r>
          </w:p>
          <w:p w14:paraId="2BF18BA5">
            <w:pPr>
              <w:pStyle w:val="6"/>
              <w:spacing w:before="181" w:line="343" w:lineRule="auto"/>
              <w:ind w:left="58" w:right="101" w:firstLine="531"/>
            </w:pPr>
            <w:r>
              <w:t>本工程生态环境影响评价区内的生境主要是草地、人工林、灌草丛等，区</w:t>
            </w:r>
            <w:r>
              <w:rPr>
                <w:spacing w:val="12"/>
              </w:rPr>
              <w:t xml:space="preserve"> </w:t>
            </w:r>
            <w:r>
              <w:rPr>
                <w:spacing w:val="1"/>
              </w:rPr>
              <w:t>域受人类干扰破坏严重，哺乳动物种类数量不多，共记录到</w:t>
            </w:r>
            <w:r>
              <w:rPr>
                <w:spacing w:val="-31"/>
              </w:rPr>
              <w:t xml:space="preserve"> </w:t>
            </w:r>
            <w:r>
              <w:rPr>
                <w:rFonts w:ascii="Times New Roman" w:hAnsi="Times New Roman" w:eastAsia="Times New Roman" w:cs="Times New Roman"/>
                <w:spacing w:val="1"/>
              </w:rPr>
              <w:t xml:space="preserve">8 </w:t>
            </w:r>
            <w:r>
              <w:rPr>
                <w:spacing w:val="1"/>
              </w:rPr>
              <w:t>种哺乳动物分别</w:t>
            </w:r>
            <w:r>
              <w:t xml:space="preserve"> </w:t>
            </w:r>
            <w:r>
              <w:rPr>
                <w:spacing w:val="-1"/>
              </w:rPr>
              <w:t>是</w:t>
            </w:r>
            <w:r>
              <w:rPr>
                <w:spacing w:val="-52"/>
              </w:rPr>
              <w:t xml:space="preserve"> </w:t>
            </w:r>
            <w:r>
              <w:rPr>
                <w:spacing w:val="-1"/>
              </w:rPr>
              <w:t>赤腹松</w:t>
            </w:r>
            <w:r>
              <w:rPr>
                <w:spacing w:val="-48"/>
              </w:rPr>
              <w:t xml:space="preserve"> </w:t>
            </w:r>
            <w:r>
              <w:rPr>
                <w:spacing w:val="-1"/>
              </w:rPr>
              <w:t xml:space="preserve">鼠 </w:t>
            </w:r>
            <w:r>
              <w:rPr>
                <w:rFonts w:ascii="Times New Roman" w:hAnsi="Times New Roman" w:eastAsia="Times New Roman" w:cs="Times New Roman"/>
                <w:i/>
                <w:iCs/>
                <w:spacing w:val="-1"/>
              </w:rPr>
              <w:t>Callosciurus</w:t>
            </w:r>
            <w:r>
              <w:rPr>
                <w:rFonts w:ascii="Times New Roman" w:hAnsi="Times New Roman" w:eastAsia="Times New Roman" w:cs="Times New Roman"/>
                <w:i/>
                <w:iCs/>
                <w:spacing w:val="42"/>
              </w:rPr>
              <w:t xml:space="preserve"> </w:t>
            </w:r>
            <w:r>
              <w:rPr>
                <w:rFonts w:ascii="Times New Roman" w:hAnsi="Times New Roman" w:eastAsia="Times New Roman" w:cs="Times New Roman"/>
                <w:i/>
                <w:iCs/>
                <w:spacing w:val="-1"/>
              </w:rPr>
              <w:t xml:space="preserve">erythraeus </w:t>
            </w:r>
            <w:r>
              <w:rPr>
                <w:spacing w:val="-1"/>
              </w:rPr>
              <w:t>、树</w:t>
            </w:r>
            <w:r>
              <w:rPr>
                <w:spacing w:val="-71"/>
              </w:rPr>
              <w:t xml:space="preserve"> </w:t>
            </w:r>
            <w:r>
              <w:rPr>
                <w:spacing w:val="-1"/>
              </w:rPr>
              <w:t xml:space="preserve">鼩 </w:t>
            </w:r>
            <w:r>
              <w:rPr>
                <w:rFonts w:ascii="Times New Roman" w:hAnsi="Times New Roman" w:eastAsia="Times New Roman" w:cs="Times New Roman"/>
                <w:i/>
                <w:iCs/>
                <w:spacing w:val="-1"/>
              </w:rPr>
              <w:t>Tupai</w:t>
            </w:r>
            <w:r>
              <w:rPr>
                <w:rFonts w:ascii="Times New Roman" w:hAnsi="Times New Roman" w:eastAsia="Times New Roman" w:cs="Times New Roman"/>
                <w:i/>
                <w:iCs/>
                <w:spacing w:val="41"/>
              </w:rPr>
              <w:t xml:space="preserve"> </w:t>
            </w:r>
            <w:r>
              <w:rPr>
                <w:rFonts w:ascii="Times New Roman" w:hAnsi="Times New Roman" w:eastAsia="Times New Roman" w:cs="Times New Roman"/>
                <w:i/>
                <w:iCs/>
                <w:spacing w:val="-1"/>
              </w:rPr>
              <w:t xml:space="preserve">belangeri </w:t>
            </w:r>
            <w:r>
              <w:rPr>
                <w:spacing w:val="-1"/>
              </w:rPr>
              <w:t>、社</w:t>
            </w:r>
            <w:r>
              <w:rPr>
                <w:spacing w:val="-48"/>
              </w:rPr>
              <w:t xml:space="preserve"> </w:t>
            </w:r>
            <w:r>
              <w:rPr>
                <w:spacing w:val="-1"/>
              </w:rPr>
              <w:t>鼠</w:t>
            </w:r>
            <w:r>
              <w:rPr>
                <w:spacing w:val="-31"/>
              </w:rPr>
              <w:t xml:space="preserve"> </w:t>
            </w:r>
            <w:r>
              <w:rPr>
                <w:rFonts w:ascii="Times New Roman" w:hAnsi="Times New Roman" w:eastAsia="Times New Roman" w:cs="Times New Roman"/>
                <w:i/>
                <w:iCs/>
                <w:spacing w:val="-1"/>
              </w:rPr>
              <w:t>Niviventer</w:t>
            </w:r>
            <w:r>
              <w:rPr>
                <w:rFonts w:ascii="Times New Roman" w:hAnsi="Times New Roman" w:eastAsia="Times New Roman" w:cs="Times New Roman"/>
                <w:i/>
                <w:iCs/>
              </w:rPr>
              <w:t xml:space="preserve"> </w:t>
            </w:r>
            <w:r>
              <w:rPr>
                <w:rFonts w:ascii="Times New Roman" w:hAnsi="Times New Roman" w:eastAsia="Times New Roman" w:cs="Times New Roman"/>
                <w:i/>
                <w:iCs/>
                <w:spacing w:val="-4"/>
              </w:rPr>
              <w:t>confucianus</w:t>
            </w:r>
            <w:r>
              <w:rPr>
                <w:spacing w:val="-4"/>
              </w:rPr>
              <w:t>、褐家鼠</w:t>
            </w:r>
            <w:r>
              <w:rPr>
                <w:spacing w:val="-47"/>
              </w:rPr>
              <w:t xml:space="preserve"> </w:t>
            </w:r>
            <w:r>
              <w:rPr>
                <w:rFonts w:ascii="Times New Roman" w:hAnsi="Times New Roman" w:eastAsia="Times New Roman" w:cs="Times New Roman"/>
                <w:i/>
                <w:iCs/>
                <w:spacing w:val="-4"/>
              </w:rPr>
              <w:t>Rattus norvegicus</w:t>
            </w:r>
            <w:r>
              <w:rPr>
                <w:spacing w:val="-4"/>
              </w:rPr>
              <w:t>、小家鼠</w:t>
            </w:r>
            <w:r>
              <w:rPr>
                <w:spacing w:val="-68"/>
              </w:rPr>
              <w:t xml:space="preserve"> </w:t>
            </w:r>
            <w:r>
              <w:rPr>
                <w:rFonts w:ascii="Times New Roman" w:hAnsi="Times New Roman" w:eastAsia="Times New Roman" w:cs="Times New Roman"/>
                <w:i/>
                <w:iCs/>
                <w:spacing w:val="-4"/>
              </w:rPr>
              <w:t>Mus musculus</w:t>
            </w:r>
            <w:r>
              <w:rPr>
                <w:spacing w:val="-4"/>
              </w:rPr>
              <w:t>、黄胸鼠</w:t>
            </w:r>
            <w:r>
              <w:rPr>
                <w:spacing w:val="-65"/>
              </w:rPr>
              <w:t xml:space="preserve"> </w:t>
            </w:r>
            <w:r>
              <w:rPr>
                <w:rFonts w:ascii="Times New Roman" w:hAnsi="Times New Roman" w:eastAsia="Times New Roman" w:cs="Times New Roman"/>
                <w:i/>
                <w:iCs/>
                <w:spacing w:val="-4"/>
              </w:rPr>
              <w:t>Rattus ratus</w:t>
            </w:r>
            <w:r>
              <w:rPr>
                <w:rFonts w:ascii="Times New Roman" w:hAnsi="Times New Roman" w:eastAsia="Times New Roman" w:cs="Times New Roman"/>
                <w:i/>
                <w:iCs/>
              </w:rPr>
              <w:t xml:space="preserve"> </w:t>
            </w:r>
            <w:r>
              <w:rPr>
                <w:rFonts w:ascii="Times New Roman" w:hAnsi="Times New Roman" w:eastAsia="Times New Roman" w:cs="Times New Roman"/>
                <w:i/>
                <w:iCs/>
                <w:spacing w:val="-2"/>
              </w:rPr>
              <w:t>flavipectus</w:t>
            </w:r>
            <w:r>
              <w:rPr>
                <w:rFonts w:ascii="Times New Roman" w:hAnsi="Times New Roman" w:eastAsia="Times New Roman" w:cs="Times New Roman"/>
                <w:i/>
                <w:iCs/>
                <w:spacing w:val="-35"/>
              </w:rPr>
              <w:t xml:space="preserve"> </w:t>
            </w:r>
            <w:r>
              <w:rPr>
                <w:i/>
                <w:iCs/>
                <w:spacing w:val="-2"/>
                <w:sz w:val="25"/>
                <w:szCs w:val="25"/>
              </w:rPr>
              <w:t>、</w:t>
            </w:r>
            <w:r>
              <w:rPr>
                <w:spacing w:val="-2"/>
              </w:rPr>
              <w:t>牛族</w:t>
            </w:r>
            <w:r>
              <w:rPr>
                <w:spacing w:val="-66"/>
              </w:rPr>
              <w:t xml:space="preserve"> </w:t>
            </w:r>
            <w:r>
              <w:rPr>
                <w:rFonts w:ascii="Times New Roman" w:hAnsi="Times New Roman" w:eastAsia="Times New Roman" w:cs="Times New Roman"/>
                <w:i/>
                <w:iCs/>
                <w:spacing w:val="-2"/>
              </w:rPr>
              <w:t>Bovini</w:t>
            </w:r>
            <w:r>
              <w:rPr>
                <w:rFonts w:ascii="Times New Roman" w:hAnsi="Times New Roman" w:eastAsia="Times New Roman" w:cs="Times New Roman"/>
                <w:i/>
                <w:iCs/>
                <w:spacing w:val="-33"/>
              </w:rPr>
              <w:t xml:space="preserve"> </w:t>
            </w:r>
            <w:r>
              <w:rPr>
                <w:spacing w:val="-2"/>
              </w:rPr>
              <w:t>、羊</w:t>
            </w:r>
            <w:r>
              <w:rPr>
                <w:spacing w:val="-44"/>
              </w:rPr>
              <w:t xml:space="preserve"> </w:t>
            </w:r>
            <w:r>
              <w:rPr>
                <w:rFonts w:ascii="Times New Roman" w:hAnsi="Times New Roman" w:eastAsia="Times New Roman" w:cs="Times New Roman"/>
                <w:i/>
                <w:iCs/>
                <w:spacing w:val="-2"/>
              </w:rPr>
              <w:t>Caprinae</w:t>
            </w:r>
            <w:r>
              <w:rPr>
                <w:rFonts w:ascii="Times New Roman" w:hAnsi="Times New Roman" w:eastAsia="Times New Roman" w:cs="Times New Roman"/>
                <w:i/>
                <w:iCs/>
                <w:spacing w:val="-35"/>
              </w:rPr>
              <w:t xml:space="preserve"> </w:t>
            </w:r>
            <w:r>
              <w:rPr>
                <w:i/>
                <w:iCs/>
                <w:spacing w:val="-2"/>
                <w:sz w:val="25"/>
                <w:szCs w:val="25"/>
              </w:rPr>
              <w:t>，</w:t>
            </w:r>
            <w:r>
              <w:rPr>
                <w:spacing w:val="-2"/>
              </w:rPr>
              <w:t>其中牛和羊为人工养殖。区域内只有啮</w:t>
            </w:r>
            <w:r>
              <w:t xml:space="preserve"> </w:t>
            </w:r>
            <w:r>
              <w:rPr>
                <w:spacing w:val="1"/>
              </w:rPr>
              <w:t>齿类有一定的种群数量，其它种类种群数量较少。</w:t>
            </w:r>
          </w:p>
        </w:tc>
      </w:tr>
    </w:tbl>
    <w:p w14:paraId="39981851">
      <w:pPr>
        <w:rPr>
          <w:rFonts w:ascii="Arial"/>
          <w:sz w:val="21"/>
        </w:rPr>
      </w:pPr>
    </w:p>
    <w:p w14:paraId="0E8E6432">
      <w:pPr>
        <w:rPr>
          <w:rFonts w:ascii="Arial" w:hAnsi="Arial" w:eastAsia="Arial" w:cs="Arial"/>
          <w:sz w:val="21"/>
          <w:szCs w:val="21"/>
        </w:rPr>
        <w:sectPr>
          <w:footerReference r:id="rId94" w:type="default"/>
          <w:pgSz w:w="11906" w:h="16839"/>
          <w:pgMar w:top="1431" w:right="1413" w:bottom="1278" w:left="1413" w:header="0" w:footer="1116" w:gutter="0"/>
          <w:cols w:space="720" w:num="1"/>
        </w:sectPr>
      </w:pPr>
    </w:p>
    <w:p w14:paraId="00753C85">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4A3BC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9" w:hRule="atLeast"/>
        </w:trPr>
        <w:tc>
          <w:tcPr>
            <w:tcW w:w="668" w:type="dxa"/>
            <w:tcBorders>
              <w:right w:val="single" w:color="000000" w:sz="2" w:space="0"/>
            </w:tcBorders>
            <w:vAlign w:val="top"/>
          </w:tcPr>
          <w:p w14:paraId="27F46D7C">
            <w:pPr>
              <w:rPr>
                <w:rFonts w:ascii="Arial"/>
                <w:sz w:val="21"/>
              </w:rPr>
            </w:pPr>
          </w:p>
        </w:tc>
        <w:tc>
          <w:tcPr>
            <w:tcW w:w="8396" w:type="dxa"/>
            <w:tcBorders>
              <w:left w:val="single" w:color="000000" w:sz="2" w:space="0"/>
            </w:tcBorders>
            <w:vAlign w:val="top"/>
          </w:tcPr>
          <w:p w14:paraId="7617B4E0">
            <w:pPr>
              <w:pStyle w:val="6"/>
              <w:spacing w:before="42" w:line="219" w:lineRule="auto"/>
              <w:ind w:left="600"/>
            </w:pPr>
            <w:r>
              <w:rPr>
                <w:spacing w:val="-4"/>
              </w:rPr>
              <w:t>（</w:t>
            </w:r>
            <w:r>
              <w:rPr>
                <w:rFonts w:ascii="Times New Roman" w:hAnsi="Times New Roman" w:eastAsia="Times New Roman" w:cs="Times New Roman"/>
                <w:spacing w:val="-4"/>
              </w:rPr>
              <w:t>5</w:t>
            </w:r>
            <w:r>
              <w:rPr>
                <w:spacing w:val="-4"/>
              </w:rPr>
              <w:t>）昆虫类</w:t>
            </w:r>
          </w:p>
          <w:p w14:paraId="0860455C">
            <w:pPr>
              <w:pStyle w:val="6"/>
              <w:spacing w:before="180" w:line="343" w:lineRule="auto"/>
              <w:ind w:left="101" w:right="102" w:firstLine="488"/>
            </w:pPr>
            <w:r>
              <w:t>本工程生态环境影响评价区内的生境主要是草地、人工林、灌草丛等，区</w:t>
            </w:r>
            <w:r>
              <w:rPr>
                <w:spacing w:val="12"/>
              </w:rPr>
              <w:t xml:space="preserve"> </w:t>
            </w:r>
            <w:r>
              <w:rPr>
                <w:spacing w:val="1"/>
              </w:rPr>
              <w:t>域受人类干扰破坏严重且受季节影响，调查发现</w:t>
            </w:r>
            <w:r>
              <w:t xml:space="preserve">的昆虫数量不多主要有黄角羚 </w:t>
            </w:r>
            <w:r>
              <w:rPr>
                <w:spacing w:val="1"/>
              </w:rPr>
              <w:t>蝽</w:t>
            </w:r>
            <w:r>
              <w:rPr>
                <w:spacing w:val="-35"/>
              </w:rPr>
              <w:t xml:space="preserve"> </w:t>
            </w:r>
            <w:r>
              <w:rPr>
                <w:rFonts w:ascii="Times New Roman" w:hAnsi="Times New Roman" w:eastAsia="Times New Roman" w:cs="Times New Roman"/>
                <w:i/>
                <w:iCs/>
                <w:spacing w:val="1"/>
              </w:rPr>
              <w:t>A.</w:t>
            </w:r>
            <w:r>
              <w:rPr>
                <w:rFonts w:ascii="Times New Roman" w:hAnsi="Times New Roman" w:eastAsia="Times New Roman" w:cs="Times New Roman"/>
                <w:i/>
                <w:iCs/>
              </w:rPr>
              <w:t>flavicomis</w:t>
            </w:r>
            <w:r>
              <w:rPr>
                <w:rFonts w:ascii="Times New Roman" w:hAnsi="Times New Roman" w:eastAsia="Times New Roman" w:cs="Times New Roman"/>
                <w:i/>
                <w:iCs/>
                <w:spacing w:val="1"/>
              </w:rPr>
              <w:t xml:space="preserve"> </w:t>
            </w:r>
            <w:r>
              <w:rPr>
                <w:i/>
                <w:iCs/>
                <w:spacing w:val="1"/>
                <w:sz w:val="25"/>
                <w:szCs w:val="25"/>
              </w:rPr>
              <w:t>、</w:t>
            </w:r>
            <w:r>
              <w:rPr>
                <w:spacing w:val="1"/>
              </w:rPr>
              <w:t>黄</w:t>
            </w:r>
            <w:r>
              <w:rPr>
                <w:spacing w:val="-71"/>
              </w:rPr>
              <w:t xml:space="preserve"> </w:t>
            </w:r>
            <w:r>
              <w:rPr>
                <w:spacing w:val="1"/>
              </w:rPr>
              <w:t>毛</w:t>
            </w:r>
            <w:r>
              <w:rPr>
                <w:spacing w:val="-69"/>
              </w:rPr>
              <w:t xml:space="preserve"> </w:t>
            </w:r>
            <w:r>
              <w:rPr>
                <w:spacing w:val="1"/>
              </w:rPr>
              <w:t>原</w:t>
            </w:r>
            <w:r>
              <w:rPr>
                <w:spacing w:val="-68"/>
              </w:rPr>
              <w:t xml:space="preserve"> </w:t>
            </w:r>
            <w:r>
              <w:rPr>
                <w:spacing w:val="1"/>
              </w:rPr>
              <w:t>蚁</w:t>
            </w:r>
            <w:r>
              <w:rPr>
                <w:spacing w:val="-29"/>
              </w:rPr>
              <w:t xml:space="preserve"> </w:t>
            </w:r>
            <w:r>
              <w:rPr>
                <w:rFonts w:ascii="Times New Roman" w:hAnsi="Times New Roman" w:eastAsia="Times New Roman" w:cs="Times New Roman"/>
                <w:i/>
                <w:iCs/>
              </w:rPr>
              <w:t>Proformica</w:t>
            </w:r>
            <w:r>
              <w:rPr>
                <w:rFonts w:ascii="Times New Roman" w:hAnsi="Times New Roman" w:eastAsia="Times New Roman" w:cs="Times New Roman"/>
                <w:i/>
                <w:iCs/>
                <w:spacing w:val="36"/>
                <w:w w:val="101"/>
              </w:rPr>
              <w:t xml:space="preserve"> </w:t>
            </w:r>
            <w:r>
              <w:rPr>
                <w:rFonts w:ascii="Times New Roman" w:hAnsi="Times New Roman" w:eastAsia="Times New Roman" w:cs="Times New Roman"/>
                <w:i/>
                <w:iCs/>
              </w:rPr>
              <w:t>sp</w:t>
            </w:r>
            <w:r>
              <w:rPr>
                <w:rFonts w:ascii="Times New Roman" w:hAnsi="Times New Roman" w:eastAsia="Times New Roman" w:cs="Times New Roman"/>
                <w:i/>
                <w:iCs/>
                <w:spacing w:val="1"/>
              </w:rPr>
              <w:t xml:space="preserve">. </w:t>
            </w:r>
            <w:r>
              <w:rPr>
                <w:i/>
                <w:iCs/>
                <w:spacing w:val="1"/>
                <w:sz w:val="25"/>
                <w:szCs w:val="25"/>
              </w:rPr>
              <w:t>、</w:t>
            </w:r>
            <w:r>
              <w:rPr>
                <w:spacing w:val="1"/>
              </w:rPr>
              <w:t>嗡</w:t>
            </w:r>
            <w:r>
              <w:rPr>
                <w:spacing w:val="-71"/>
              </w:rPr>
              <w:t xml:space="preserve"> </w:t>
            </w:r>
            <w:r>
              <w:rPr>
                <w:spacing w:val="1"/>
              </w:rPr>
              <w:t xml:space="preserve">蜣螂 </w:t>
            </w:r>
            <w:r>
              <w:rPr>
                <w:rFonts w:ascii="Times New Roman" w:hAnsi="Times New Roman" w:eastAsia="Times New Roman" w:cs="Times New Roman"/>
                <w:i/>
                <w:iCs/>
              </w:rPr>
              <w:t>Onthophagus</w:t>
            </w:r>
            <w:r>
              <w:rPr>
                <w:rFonts w:ascii="Times New Roman" w:hAnsi="Times New Roman" w:eastAsia="Times New Roman" w:cs="Times New Roman"/>
                <w:i/>
                <w:iCs/>
                <w:spacing w:val="34"/>
              </w:rPr>
              <w:t xml:space="preserve"> </w:t>
            </w:r>
            <w:r>
              <w:rPr>
                <w:rFonts w:ascii="Times New Roman" w:hAnsi="Times New Roman" w:eastAsia="Times New Roman" w:cs="Times New Roman"/>
                <w:i/>
                <w:iCs/>
              </w:rPr>
              <w:t>sp</w:t>
            </w:r>
            <w:r>
              <w:rPr>
                <w:rFonts w:ascii="Times New Roman" w:hAnsi="Times New Roman" w:eastAsia="Times New Roman" w:cs="Times New Roman"/>
                <w:i/>
                <w:iCs/>
                <w:spacing w:val="1"/>
              </w:rPr>
              <w:t xml:space="preserve">. </w:t>
            </w:r>
            <w:r>
              <w:rPr>
                <w:i/>
                <w:iCs/>
                <w:spacing w:val="1"/>
                <w:sz w:val="25"/>
                <w:szCs w:val="25"/>
              </w:rPr>
              <w:t>、</w:t>
            </w:r>
            <w:r>
              <w:rPr>
                <w:spacing w:val="1"/>
              </w:rPr>
              <w:t>蹦蝗</w:t>
            </w:r>
            <w:r>
              <w:t xml:space="preserve"> </w:t>
            </w:r>
            <w:r>
              <w:rPr>
                <w:rFonts w:ascii="Times New Roman" w:hAnsi="Times New Roman" w:eastAsia="Times New Roman" w:cs="Times New Roman"/>
                <w:i/>
                <w:iCs/>
                <w:spacing w:val="-1"/>
              </w:rPr>
              <w:t>Sinopodisma sp.</w:t>
            </w:r>
            <w:r>
              <w:rPr>
                <w:i/>
                <w:iCs/>
                <w:spacing w:val="-1"/>
                <w:sz w:val="25"/>
                <w:szCs w:val="25"/>
              </w:rPr>
              <w:t>、</w:t>
            </w:r>
            <w:r>
              <w:rPr>
                <w:spacing w:val="-1"/>
              </w:rPr>
              <w:t>台蚱</w:t>
            </w:r>
            <w:r>
              <w:rPr>
                <w:spacing w:val="-56"/>
              </w:rPr>
              <w:t xml:space="preserve"> </w:t>
            </w:r>
            <w:r>
              <w:rPr>
                <w:rFonts w:ascii="Times New Roman" w:hAnsi="Times New Roman" w:eastAsia="Times New Roman" w:cs="Times New Roman"/>
                <w:i/>
                <w:iCs/>
                <w:spacing w:val="-1"/>
              </w:rPr>
              <w:t>Formosatettix sp.</w:t>
            </w:r>
            <w:r>
              <w:rPr>
                <w:rFonts w:ascii="Times New Roman" w:hAnsi="Times New Roman" w:eastAsia="Times New Roman" w:cs="Times New Roman"/>
                <w:i/>
                <w:iCs/>
                <w:spacing w:val="-35"/>
              </w:rPr>
              <w:t xml:space="preserve"> </w:t>
            </w:r>
            <w:r>
              <w:rPr>
                <w:i/>
                <w:iCs/>
                <w:spacing w:val="-1"/>
                <w:sz w:val="25"/>
                <w:szCs w:val="25"/>
              </w:rPr>
              <w:t>、</w:t>
            </w:r>
            <w:r>
              <w:rPr>
                <w:spacing w:val="-1"/>
              </w:rPr>
              <w:t>短柄大蚊</w:t>
            </w:r>
            <w:r>
              <w:rPr>
                <w:spacing w:val="-67"/>
              </w:rPr>
              <w:t xml:space="preserve"> </w:t>
            </w:r>
            <w:r>
              <w:rPr>
                <w:rFonts w:ascii="Times New Roman" w:hAnsi="Times New Roman" w:eastAsia="Times New Roman" w:cs="Times New Roman"/>
                <w:i/>
                <w:iCs/>
                <w:spacing w:val="-1"/>
              </w:rPr>
              <w:t>Nephrotoma sp.</w:t>
            </w:r>
            <w:r>
              <w:rPr>
                <w:spacing w:val="-1"/>
              </w:rPr>
              <w:t>等。</w:t>
            </w:r>
          </w:p>
          <w:p w14:paraId="4EA44F0A">
            <w:pPr>
              <w:pStyle w:val="6"/>
              <w:spacing w:before="47" w:line="350" w:lineRule="auto"/>
              <w:ind w:left="109" w:right="104" w:firstLine="480"/>
            </w:pPr>
            <w:r>
              <w:t>根据调查情况，评价区范围内未发现国家和省级重点保护野生动物分布，</w:t>
            </w:r>
            <w:r>
              <w:rPr>
                <w:spacing w:val="11"/>
              </w:rPr>
              <w:t xml:space="preserve"> </w:t>
            </w:r>
            <w:r>
              <w:t>也不是野生生物物种主要栖息地，无国家和地方政府列入拯救保护的极小种群</w:t>
            </w:r>
            <w:r>
              <w:rPr>
                <w:spacing w:val="11"/>
              </w:rPr>
              <w:t xml:space="preserve"> </w:t>
            </w:r>
            <w:r>
              <w:rPr>
                <w:spacing w:val="-1"/>
              </w:rPr>
              <w:t>物种、特有种，也不涉及鸟类迁徙通道。</w:t>
            </w:r>
          </w:p>
          <w:p w14:paraId="0376B636">
            <w:pPr>
              <w:pStyle w:val="6"/>
              <w:spacing w:before="36" w:line="219" w:lineRule="auto"/>
              <w:ind w:left="583"/>
            </w:pPr>
            <w:r>
              <w:rPr>
                <w:rFonts w:ascii="Times New Roman" w:hAnsi="Times New Roman" w:eastAsia="Times New Roman" w:cs="Times New Roman"/>
                <w:b/>
                <w:bCs/>
                <w:spacing w:val="-2"/>
              </w:rPr>
              <w:t xml:space="preserve">3.6 </w:t>
            </w:r>
            <w:r>
              <w:rPr>
                <w:b/>
                <w:bCs/>
                <w:spacing w:val="-2"/>
              </w:rPr>
              <w:t>环境敏感区</w:t>
            </w:r>
          </w:p>
          <w:p w14:paraId="74D3F199">
            <w:pPr>
              <w:pStyle w:val="6"/>
              <w:spacing w:before="180" w:line="350" w:lineRule="auto"/>
              <w:ind w:left="110" w:right="126" w:firstLine="482"/>
              <w:jc w:val="both"/>
            </w:pPr>
            <w:r>
              <w:rPr>
                <w:spacing w:val="-4"/>
              </w:rPr>
              <w:t>项目评价区不涉及国家公园、</w:t>
            </w:r>
            <w:r>
              <w:rPr>
                <w:spacing w:val="-56"/>
              </w:rPr>
              <w:t xml:space="preserve"> </w:t>
            </w:r>
            <w:r>
              <w:rPr>
                <w:spacing w:val="-4"/>
              </w:rPr>
              <w:t>自然保护区、</w:t>
            </w:r>
            <w:r>
              <w:rPr>
                <w:spacing w:val="-71"/>
              </w:rPr>
              <w:t xml:space="preserve"> </w:t>
            </w:r>
            <w:r>
              <w:rPr>
                <w:spacing w:val="-4"/>
              </w:rPr>
              <w:t>自然公园、风景名胜区等自然</w:t>
            </w:r>
            <w:r>
              <w:t xml:space="preserve"> 保护地、世界自然遗产等区域，不涉及占用特有种</w:t>
            </w:r>
            <w:r>
              <w:rPr>
                <w:spacing w:val="-1"/>
              </w:rPr>
              <w:t>、极小种群动植物。经叠图</w:t>
            </w:r>
            <w:r>
              <w:t xml:space="preserve"> </w:t>
            </w:r>
            <w:r>
              <w:rPr>
                <w:spacing w:val="-5"/>
              </w:rPr>
              <w:t>分析（详见附图</w:t>
            </w:r>
            <w:r>
              <w:rPr>
                <w:spacing w:val="-26"/>
              </w:rPr>
              <w:t xml:space="preserve"> </w:t>
            </w:r>
            <w:r>
              <w:rPr>
                <w:rFonts w:ascii="Times New Roman" w:hAnsi="Times New Roman" w:eastAsia="Times New Roman" w:cs="Times New Roman"/>
                <w:spacing w:val="-5"/>
              </w:rPr>
              <w:t>11</w:t>
            </w:r>
            <w:r>
              <w:rPr>
                <w:spacing w:val="-5"/>
              </w:rPr>
              <w:t>）。</w:t>
            </w:r>
          </w:p>
          <w:p w14:paraId="23705F8E">
            <w:pPr>
              <w:pStyle w:val="6"/>
              <w:spacing w:before="37" w:line="219" w:lineRule="auto"/>
              <w:ind w:left="589"/>
            </w:pPr>
            <w:r>
              <w:rPr>
                <w:spacing w:val="-1"/>
              </w:rPr>
              <w:t>根据叠图分析，项目与环境敏感区的位置关系如下：</w:t>
            </w:r>
          </w:p>
          <w:p w14:paraId="521CBB27">
            <w:pPr>
              <w:pStyle w:val="6"/>
              <w:spacing w:before="175" w:line="224" w:lineRule="auto"/>
              <w:ind w:left="2451"/>
              <w:rPr>
                <w:sz w:val="20"/>
                <w:szCs w:val="20"/>
              </w:rPr>
            </w:pPr>
            <w:r>
              <w:rPr>
                <w:b/>
                <w:bCs/>
                <w:spacing w:val="6"/>
                <w:sz w:val="20"/>
                <w:szCs w:val="20"/>
              </w:rPr>
              <w:t>表</w:t>
            </w:r>
            <w:r>
              <w:rPr>
                <w:spacing w:val="-39"/>
                <w:sz w:val="20"/>
                <w:szCs w:val="20"/>
              </w:rPr>
              <w:t xml:space="preserve"> </w:t>
            </w:r>
            <w:r>
              <w:rPr>
                <w:rFonts w:ascii="Times New Roman" w:hAnsi="Times New Roman" w:eastAsia="Times New Roman" w:cs="Times New Roman"/>
                <w:b/>
                <w:bCs/>
                <w:spacing w:val="6"/>
                <w:sz w:val="20"/>
                <w:szCs w:val="20"/>
              </w:rPr>
              <w:t xml:space="preserve">3-4    </w:t>
            </w:r>
            <w:r>
              <w:rPr>
                <w:b/>
                <w:bCs/>
                <w:spacing w:val="6"/>
                <w:sz w:val="20"/>
                <w:szCs w:val="20"/>
              </w:rPr>
              <w:t>项目与环境敏感区的位置关系</w:t>
            </w:r>
          </w:p>
          <w:tbl>
            <w:tblPr>
              <w:tblStyle w:val="5"/>
              <w:tblW w:w="817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9"/>
              <w:gridCol w:w="3546"/>
            </w:tblGrid>
            <w:tr w14:paraId="4AAE7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629" w:type="dxa"/>
                  <w:vAlign w:val="top"/>
                </w:tcPr>
                <w:p w14:paraId="5AC51E2F">
                  <w:pPr>
                    <w:pStyle w:val="6"/>
                    <w:spacing w:before="169" w:line="228" w:lineRule="auto"/>
                    <w:ind w:left="2005"/>
                    <w:rPr>
                      <w:sz w:val="20"/>
                      <w:szCs w:val="20"/>
                    </w:rPr>
                  </w:pPr>
                  <w:r>
                    <w:rPr>
                      <w:b/>
                      <w:bCs/>
                      <w:spacing w:val="5"/>
                      <w:sz w:val="20"/>
                      <w:szCs w:val="20"/>
                    </w:rPr>
                    <w:t>敏感区</w:t>
                  </w:r>
                </w:p>
              </w:tc>
              <w:tc>
                <w:tcPr>
                  <w:tcW w:w="3546" w:type="dxa"/>
                  <w:vAlign w:val="top"/>
                </w:tcPr>
                <w:p w14:paraId="3C8AED27">
                  <w:pPr>
                    <w:pStyle w:val="6"/>
                    <w:spacing w:before="35" w:line="234" w:lineRule="auto"/>
                    <w:ind w:left="1569" w:right="192" w:hanging="1370"/>
                    <w:rPr>
                      <w:sz w:val="20"/>
                      <w:szCs w:val="20"/>
                    </w:rPr>
                  </w:pPr>
                  <w:r>
                    <w:rPr>
                      <w:b/>
                      <w:bCs/>
                      <w:spacing w:val="7"/>
                      <w:sz w:val="20"/>
                      <w:szCs w:val="20"/>
                    </w:rPr>
                    <w:t>项目与敏感区的位置关系（最近距</w:t>
                  </w:r>
                  <w:r>
                    <w:rPr>
                      <w:spacing w:val="11"/>
                      <w:sz w:val="20"/>
                      <w:szCs w:val="20"/>
                    </w:rPr>
                    <w:t xml:space="preserve"> </w:t>
                  </w:r>
                  <w:r>
                    <w:rPr>
                      <w:b/>
                      <w:bCs/>
                      <w:spacing w:val="-4"/>
                      <w:sz w:val="20"/>
                      <w:szCs w:val="20"/>
                    </w:rPr>
                    <w:t>离）</w:t>
                  </w:r>
                </w:p>
              </w:tc>
            </w:tr>
            <w:tr w14:paraId="3FE96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29" w:type="dxa"/>
                  <w:vAlign w:val="top"/>
                </w:tcPr>
                <w:p w14:paraId="252D519B">
                  <w:pPr>
                    <w:pStyle w:val="6"/>
                    <w:spacing w:before="32" w:line="234" w:lineRule="auto"/>
                    <w:ind w:left="1585" w:right="107" w:hanging="1468"/>
                    <w:rPr>
                      <w:sz w:val="20"/>
                      <w:szCs w:val="20"/>
                    </w:rPr>
                  </w:pPr>
                  <w:r>
                    <w:rPr>
                      <w:spacing w:val="9"/>
                      <w:sz w:val="20"/>
                      <w:szCs w:val="20"/>
                    </w:rPr>
                    <w:t xml:space="preserve">生态保护红线（高原湖泊及牛栏江上游水源涵养 </w:t>
                  </w:r>
                  <w:r>
                    <w:rPr>
                      <w:spacing w:val="6"/>
                      <w:sz w:val="20"/>
                      <w:szCs w:val="20"/>
                    </w:rPr>
                    <w:t>生态保护红线）</w:t>
                  </w:r>
                </w:p>
              </w:tc>
              <w:tc>
                <w:tcPr>
                  <w:tcW w:w="3546" w:type="dxa"/>
                  <w:vAlign w:val="top"/>
                </w:tcPr>
                <w:p w14:paraId="7674A073">
                  <w:pPr>
                    <w:pStyle w:val="6"/>
                    <w:spacing w:before="166" w:line="228" w:lineRule="auto"/>
                    <w:ind w:left="1058"/>
                    <w:rPr>
                      <w:sz w:val="20"/>
                      <w:szCs w:val="20"/>
                    </w:rPr>
                  </w:pPr>
                  <w:r>
                    <w:rPr>
                      <w:spacing w:val="1"/>
                      <w:sz w:val="20"/>
                      <w:szCs w:val="20"/>
                    </w:rPr>
                    <w:t>区块</w:t>
                  </w:r>
                  <w:r>
                    <w:rPr>
                      <w:spacing w:val="-37"/>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21"/>
                      <w:w w:val="101"/>
                      <w:sz w:val="20"/>
                      <w:szCs w:val="20"/>
                    </w:rPr>
                    <w:t xml:space="preserve"> </w:t>
                  </w:r>
                  <w:r>
                    <w:rPr>
                      <w:spacing w:val="1"/>
                      <w:sz w:val="20"/>
                      <w:szCs w:val="20"/>
                    </w:rPr>
                    <w:t>阵列南侧</w:t>
                  </w:r>
                </w:p>
              </w:tc>
            </w:tr>
            <w:tr w14:paraId="4B730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629" w:type="dxa"/>
                  <w:vAlign w:val="top"/>
                </w:tcPr>
                <w:p w14:paraId="37EDD41F">
                  <w:pPr>
                    <w:pStyle w:val="6"/>
                    <w:spacing w:before="66" w:line="227" w:lineRule="auto"/>
                    <w:ind w:left="1692"/>
                    <w:rPr>
                      <w:sz w:val="20"/>
                      <w:szCs w:val="20"/>
                    </w:rPr>
                  </w:pPr>
                  <w:r>
                    <w:rPr>
                      <w:spacing w:val="7"/>
                      <w:sz w:val="20"/>
                      <w:szCs w:val="20"/>
                    </w:rPr>
                    <w:t>永久基本农田</w:t>
                  </w:r>
                </w:p>
              </w:tc>
              <w:tc>
                <w:tcPr>
                  <w:tcW w:w="3546" w:type="dxa"/>
                  <w:vAlign w:val="top"/>
                </w:tcPr>
                <w:p w14:paraId="39A45153">
                  <w:pPr>
                    <w:pStyle w:val="6"/>
                    <w:spacing w:before="66" w:line="228" w:lineRule="auto"/>
                    <w:ind w:left="1005"/>
                    <w:rPr>
                      <w:sz w:val="20"/>
                      <w:szCs w:val="20"/>
                    </w:rPr>
                  </w:pPr>
                  <w:r>
                    <w:rPr>
                      <w:sz w:val="20"/>
                      <w:szCs w:val="20"/>
                    </w:rPr>
                    <w:t>区块</w:t>
                  </w:r>
                  <w:r>
                    <w:rPr>
                      <w:spacing w:val="-20"/>
                      <w:sz w:val="20"/>
                      <w:szCs w:val="20"/>
                    </w:rPr>
                    <w:t xml:space="preserve"> </w:t>
                  </w:r>
                  <w:r>
                    <w:rPr>
                      <w:rFonts w:ascii="Times New Roman" w:hAnsi="Times New Roman" w:eastAsia="Times New Roman" w:cs="Times New Roman"/>
                      <w:sz w:val="20"/>
                      <w:szCs w:val="20"/>
                    </w:rPr>
                    <w:t>13</w:t>
                  </w:r>
                  <w:r>
                    <w:rPr>
                      <w:rFonts w:ascii="Times New Roman" w:hAnsi="Times New Roman" w:eastAsia="Times New Roman" w:cs="Times New Roman"/>
                      <w:spacing w:val="17"/>
                      <w:w w:val="101"/>
                      <w:sz w:val="20"/>
                      <w:szCs w:val="20"/>
                    </w:rPr>
                    <w:t xml:space="preserve"> </w:t>
                  </w:r>
                  <w:r>
                    <w:rPr>
                      <w:sz w:val="20"/>
                      <w:szCs w:val="20"/>
                    </w:rPr>
                    <w:t>东侧紧邻</w:t>
                  </w:r>
                </w:p>
              </w:tc>
            </w:tr>
            <w:tr w14:paraId="1DEC1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629" w:type="dxa"/>
                  <w:vAlign w:val="top"/>
                </w:tcPr>
                <w:p w14:paraId="0FE6E2C0">
                  <w:pPr>
                    <w:pStyle w:val="6"/>
                    <w:spacing w:before="33" w:line="235" w:lineRule="auto"/>
                    <w:ind w:left="2231" w:right="107" w:hanging="2090"/>
                    <w:rPr>
                      <w:sz w:val="20"/>
                      <w:szCs w:val="20"/>
                    </w:rPr>
                  </w:pPr>
                  <w:r>
                    <w:rPr>
                      <w:spacing w:val="8"/>
                      <w:sz w:val="20"/>
                      <w:szCs w:val="20"/>
                    </w:rPr>
                    <w:t>昆明市寻甸县河口镇化桃箐水库饮用水水源保护</w:t>
                  </w:r>
                  <w:r>
                    <w:rPr>
                      <w:spacing w:val="6"/>
                      <w:sz w:val="20"/>
                      <w:szCs w:val="20"/>
                    </w:rPr>
                    <w:t xml:space="preserve"> </w:t>
                  </w:r>
                  <w:r>
                    <w:rPr>
                      <w:sz w:val="20"/>
                      <w:szCs w:val="20"/>
                    </w:rPr>
                    <w:t>区</w:t>
                  </w:r>
                </w:p>
              </w:tc>
              <w:tc>
                <w:tcPr>
                  <w:tcW w:w="3546" w:type="dxa"/>
                  <w:vAlign w:val="top"/>
                </w:tcPr>
                <w:p w14:paraId="670AFB0F">
                  <w:pPr>
                    <w:pStyle w:val="6"/>
                    <w:spacing w:before="171" w:line="228" w:lineRule="auto"/>
                    <w:ind w:left="686"/>
                    <w:rPr>
                      <w:sz w:val="20"/>
                      <w:szCs w:val="20"/>
                    </w:rPr>
                  </w:pPr>
                  <w:r>
                    <w:rPr>
                      <w:spacing w:val="2"/>
                      <w:sz w:val="20"/>
                      <w:szCs w:val="20"/>
                    </w:rPr>
                    <w:t>区块</w:t>
                  </w:r>
                  <w:r>
                    <w:rPr>
                      <w:spacing w:val="-29"/>
                      <w:sz w:val="20"/>
                      <w:szCs w:val="20"/>
                    </w:rPr>
                    <w:t xml:space="preserve"> </w:t>
                  </w:r>
                  <w:r>
                    <w:rPr>
                      <w:rFonts w:ascii="Times New Roman" w:hAnsi="Times New Roman" w:eastAsia="Times New Roman" w:cs="Times New Roman"/>
                      <w:spacing w:val="2"/>
                      <w:sz w:val="20"/>
                      <w:szCs w:val="20"/>
                    </w:rPr>
                    <w:t>8</w:t>
                  </w:r>
                  <w:r>
                    <w:rPr>
                      <w:rFonts w:ascii="Times New Roman" w:hAnsi="Times New Roman" w:eastAsia="Times New Roman" w:cs="Times New Roman"/>
                      <w:spacing w:val="17"/>
                      <w:w w:val="101"/>
                      <w:sz w:val="20"/>
                      <w:szCs w:val="20"/>
                    </w:rPr>
                    <w:t xml:space="preserve"> </w:t>
                  </w:r>
                  <w:r>
                    <w:rPr>
                      <w:spacing w:val="2"/>
                      <w:sz w:val="20"/>
                      <w:szCs w:val="20"/>
                    </w:rPr>
                    <w:t>西北侧</w:t>
                  </w:r>
                  <w:r>
                    <w:rPr>
                      <w:spacing w:val="-43"/>
                      <w:sz w:val="20"/>
                      <w:szCs w:val="20"/>
                    </w:rPr>
                    <w:t xml:space="preserve"> </w:t>
                  </w:r>
                  <w:r>
                    <w:rPr>
                      <w:rFonts w:ascii="Times New Roman" w:hAnsi="Times New Roman" w:eastAsia="Times New Roman" w:cs="Times New Roman"/>
                      <w:spacing w:val="2"/>
                      <w:sz w:val="20"/>
                      <w:szCs w:val="20"/>
                    </w:rPr>
                    <w:t>2.38</w:t>
                  </w:r>
                  <w:r>
                    <w:rPr>
                      <w:rFonts w:ascii="Times New Roman" w:hAnsi="Times New Roman" w:eastAsia="Times New Roman" w:cs="Times New Roman"/>
                      <w:sz w:val="20"/>
                      <w:szCs w:val="20"/>
                    </w:rPr>
                    <w:t>km</w:t>
                  </w:r>
                  <w:r>
                    <w:rPr>
                      <w:rFonts w:ascii="Times New Roman" w:hAnsi="Times New Roman" w:eastAsia="Times New Roman" w:cs="Times New Roman"/>
                      <w:spacing w:val="16"/>
                      <w:sz w:val="20"/>
                      <w:szCs w:val="20"/>
                    </w:rPr>
                    <w:t xml:space="preserve"> </w:t>
                  </w:r>
                  <w:r>
                    <w:rPr>
                      <w:spacing w:val="2"/>
                      <w:sz w:val="20"/>
                      <w:szCs w:val="20"/>
                    </w:rPr>
                    <w:t>处</w:t>
                  </w:r>
                </w:p>
              </w:tc>
            </w:tr>
          </w:tbl>
          <w:p w14:paraId="668F5CA6">
            <w:pPr>
              <w:pStyle w:val="6"/>
              <w:spacing w:before="34" w:line="347" w:lineRule="auto"/>
              <w:ind w:left="110" w:right="102" w:firstLine="479"/>
            </w:pPr>
            <w:r>
              <w:t>根据上表分析，项目选址不涉及自然保护区、生态保护红线、饮用水水源</w:t>
            </w:r>
            <w:r>
              <w:rPr>
                <w:spacing w:val="13"/>
              </w:rPr>
              <w:t xml:space="preserve"> </w:t>
            </w:r>
            <w:r>
              <w:rPr>
                <w:spacing w:val="-1"/>
              </w:rPr>
              <w:t>保护区、森林公园等环境敏感区。</w:t>
            </w:r>
          </w:p>
          <w:p w14:paraId="4459B577">
            <w:pPr>
              <w:pStyle w:val="6"/>
              <w:spacing w:before="32" w:line="216" w:lineRule="auto"/>
              <w:ind w:left="585"/>
            </w:pPr>
            <w:r>
              <w:rPr>
                <w:rFonts w:ascii="Times New Roman" w:hAnsi="Times New Roman" w:eastAsia="Times New Roman" w:cs="Times New Roman"/>
                <w:b/>
                <w:bCs/>
                <w:spacing w:val="-5"/>
              </w:rPr>
              <w:t>4</w:t>
            </w:r>
            <w:r>
              <w:rPr>
                <w:rFonts w:ascii="Times New Roman" w:hAnsi="Times New Roman" w:eastAsia="Times New Roman" w:cs="Times New Roman"/>
                <w:b/>
                <w:bCs/>
                <w:spacing w:val="-30"/>
              </w:rPr>
              <w:t xml:space="preserve"> </w:t>
            </w:r>
            <w:r>
              <w:rPr>
                <w:rFonts w:ascii="等线" w:hAnsi="等线" w:eastAsia="等线" w:cs="等线"/>
                <w:b/>
                <w:bCs/>
                <w:spacing w:val="-5"/>
              </w:rPr>
              <w:t>、</w:t>
            </w:r>
            <w:r>
              <w:rPr>
                <w:b/>
                <w:bCs/>
                <w:spacing w:val="-5"/>
              </w:rPr>
              <w:t>环境空气质量现状</w:t>
            </w:r>
          </w:p>
          <w:p w14:paraId="76E6C89F">
            <w:pPr>
              <w:pStyle w:val="6"/>
              <w:spacing w:before="198" w:line="352" w:lineRule="auto"/>
              <w:ind w:left="110" w:right="102" w:firstLine="478"/>
              <w:jc w:val="both"/>
            </w:pPr>
            <w:r>
              <w:t>据现场调查，项目区为农村区域，环境空气质量功能区划属于二类区，区</w:t>
            </w:r>
            <w:r>
              <w:rPr>
                <w:spacing w:val="12"/>
              </w:rPr>
              <w:t xml:space="preserve"> </w:t>
            </w:r>
            <w:r>
              <w:rPr>
                <w:spacing w:val="2"/>
              </w:rPr>
              <w:t>域环境空气质量执行《环境空气质量标准》（</w:t>
            </w:r>
            <w:r>
              <w:rPr>
                <w:rFonts w:ascii="Times New Roman" w:hAnsi="Times New Roman" w:eastAsia="Times New Roman" w:cs="Times New Roman"/>
              </w:rPr>
              <w:t>GB</w:t>
            </w:r>
            <w:r>
              <w:rPr>
                <w:rFonts w:ascii="Times New Roman" w:hAnsi="Times New Roman" w:eastAsia="Times New Roman" w:cs="Times New Roman"/>
                <w:spacing w:val="2"/>
              </w:rPr>
              <w:t>3095-2012</w:t>
            </w:r>
            <w:r>
              <w:rPr>
                <w:spacing w:val="2"/>
              </w:rPr>
              <w:t>）及修改单二级标</w:t>
            </w:r>
            <w:r>
              <w:rPr>
                <w:spacing w:val="5"/>
              </w:rPr>
              <w:t xml:space="preserve"> </w:t>
            </w:r>
            <w:r>
              <w:rPr>
                <w:spacing w:val="-1"/>
              </w:rPr>
              <w:t>准。根据《环境影响评价技术导则 大气环境》（</w:t>
            </w:r>
            <w:r>
              <w:rPr>
                <w:rFonts w:ascii="Times New Roman" w:hAnsi="Times New Roman" w:eastAsia="Times New Roman" w:cs="Times New Roman"/>
                <w:spacing w:val="-1"/>
              </w:rPr>
              <w:t>HJ2.2-2018</w:t>
            </w:r>
            <w:r>
              <w:rPr>
                <w:spacing w:val="2"/>
              </w:rPr>
              <w:t>），</w:t>
            </w:r>
            <w:r>
              <w:rPr>
                <w:spacing w:val="-1"/>
              </w:rPr>
              <w:t>应调查所在区</w:t>
            </w:r>
            <w:r>
              <w:t xml:space="preserve"> </w:t>
            </w:r>
            <w:r>
              <w:rPr>
                <w:spacing w:val="-2"/>
              </w:rPr>
              <w:t>域环境质量达标情况。</w:t>
            </w:r>
          </w:p>
          <w:p w14:paraId="677A25AF">
            <w:pPr>
              <w:pStyle w:val="6"/>
              <w:spacing w:before="34" w:line="351" w:lineRule="auto"/>
              <w:ind w:left="108" w:right="102" w:firstLine="480"/>
              <w:jc w:val="both"/>
            </w:pPr>
            <w:r>
              <w:rPr>
                <w:spacing w:val="-3"/>
              </w:rPr>
              <w:t>根据《寻甸县</w:t>
            </w:r>
            <w:r>
              <w:rPr>
                <w:spacing w:val="-55"/>
              </w:rPr>
              <w:t xml:space="preserve"> </w:t>
            </w:r>
            <w:r>
              <w:rPr>
                <w:rFonts w:ascii="Times New Roman" w:hAnsi="Times New Roman" w:eastAsia="Times New Roman" w:cs="Times New Roman"/>
                <w:spacing w:val="-3"/>
              </w:rPr>
              <w:t xml:space="preserve">2024 </w:t>
            </w:r>
            <w:r>
              <w:rPr>
                <w:spacing w:val="-3"/>
              </w:rPr>
              <w:t>年第四季度环境质量公报》，寻甸县第</w:t>
            </w:r>
            <w:r>
              <w:rPr>
                <w:spacing w:val="-4"/>
              </w:rPr>
              <w:t>四季度环境空气</w:t>
            </w:r>
            <w:r>
              <w:t xml:space="preserve"> </w:t>
            </w:r>
            <w:r>
              <w:rPr>
                <w:spacing w:val="-5"/>
              </w:rPr>
              <w:t>优良率</w:t>
            </w:r>
            <w:r>
              <w:rPr>
                <w:spacing w:val="-32"/>
              </w:rPr>
              <w:t xml:space="preserve"> </w:t>
            </w:r>
            <w:r>
              <w:rPr>
                <w:rFonts w:ascii="Times New Roman" w:hAnsi="Times New Roman" w:eastAsia="Times New Roman" w:cs="Times New Roman"/>
                <w:spacing w:val="-5"/>
              </w:rPr>
              <w:t>100%</w:t>
            </w:r>
            <w:r>
              <w:rPr>
                <w:rFonts w:ascii="Times New Roman" w:hAnsi="Times New Roman" w:eastAsia="Times New Roman" w:cs="Times New Roman"/>
                <w:spacing w:val="-31"/>
              </w:rPr>
              <w:t xml:space="preserve"> </w:t>
            </w:r>
            <w:r>
              <w:rPr>
                <w:spacing w:val="-5"/>
              </w:rPr>
              <w:t>，其中优</w:t>
            </w:r>
            <w:r>
              <w:rPr>
                <w:spacing w:val="-51"/>
              </w:rPr>
              <w:t xml:space="preserve"> </w:t>
            </w:r>
            <w:r>
              <w:rPr>
                <w:rFonts w:ascii="Times New Roman" w:hAnsi="Times New Roman" w:eastAsia="Times New Roman" w:cs="Times New Roman"/>
                <w:spacing w:val="-5"/>
              </w:rPr>
              <w:t>73</w:t>
            </w:r>
            <w:r>
              <w:rPr>
                <w:rFonts w:ascii="Times New Roman" w:hAnsi="Times New Roman" w:eastAsia="Times New Roman" w:cs="Times New Roman"/>
                <w:spacing w:val="14"/>
              </w:rPr>
              <w:t xml:space="preserve"> </w:t>
            </w:r>
            <w:r>
              <w:rPr>
                <w:spacing w:val="-5"/>
              </w:rPr>
              <w:t>天、良</w:t>
            </w:r>
            <w:r>
              <w:rPr>
                <w:spacing w:val="-32"/>
              </w:rPr>
              <w:t xml:space="preserve"> </w:t>
            </w:r>
            <w:r>
              <w:rPr>
                <w:rFonts w:ascii="Times New Roman" w:hAnsi="Times New Roman" w:eastAsia="Times New Roman" w:cs="Times New Roman"/>
                <w:spacing w:val="-5"/>
              </w:rPr>
              <w:t>17</w:t>
            </w:r>
            <w:r>
              <w:rPr>
                <w:rFonts w:ascii="Times New Roman" w:hAnsi="Times New Roman" w:eastAsia="Times New Roman" w:cs="Times New Roman"/>
                <w:spacing w:val="14"/>
              </w:rPr>
              <w:t xml:space="preserve"> </w:t>
            </w:r>
            <w:r>
              <w:rPr>
                <w:spacing w:val="-5"/>
              </w:rPr>
              <w:t>天</w:t>
            </w:r>
            <w:r>
              <w:rPr>
                <w:spacing w:val="-6"/>
              </w:rPr>
              <w:t>。与</w:t>
            </w:r>
            <w:r>
              <w:rPr>
                <w:spacing w:val="-55"/>
              </w:rPr>
              <w:t xml:space="preserve"> </w:t>
            </w:r>
            <w:r>
              <w:rPr>
                <w:rFonts w:ascii="Times New Roman" w:hAnsi="Times New Roman" w:eastAsia="Times New Roman" w:cs="Times New Roman"/>
                <w:spacing w:val="-6"/>
              </w:rPr>
              <w:t xml:space="preserve">2023 </w:t>
            </w:r>
            <w:r>
              <w:rPr>
                <w:spacing w:val="-6"/>
              </w:rPr>
              <w:t>年同期相比，优级天数减少</w:t>
            </w:r>
            <w:r>
              <w:rPr>
                <w:spacing w:val="-32"/>
              </w:rPr>
              <w:t xml:space="preserve"> </w:t>
            </w:r>
            <w:r>
              <w:rPr>
                <w:rFonts w:ascii="Times New Roman" w:hAnsi="Times New Roman" w:eastAsia="Times New Roman" w:cs="Times New Roman"/>
                <w:spacing w:val="-6"/>
              </w:rPr>
              <w:t>10</w:t>
            </w:r>
            <w:r>
              <w:rPr>
                <w:rFonts w:ascii="Times New Roman" w:hAnsi="Times New Roman" w:eastAsia="Times New Roman" w:cs="Times New Roman"/>
              </w:rPr>
              <w:t xml:space="preserve"> </w:t>
            </w:r>
            <w:r>
              <w:t>天，环境空气质量总体保持良好，各项污染物平均浓度均达到二级空气质量标</w:t>
            </w:r>
            <w:r>
              <w:rPr>
                <w:spacing w:val="14"/>
              </w:rPr>
              <w:t xml:space="preserve"> </w:t>
            </w:r>
            <w:r>
              <w:rPr>
                <w:spacing w:val="-1"/>
              </w:rPr>
              <w:t>准。与</w:t>
            </w:r>
            <w:r>
              <w:rPr>
                <w:spacing w:val="-42"/>
              </w:rPr>
              <w:t xml:space="preserve"> </w:t>
            </w:r>
            <w:r>
              <w:rPr>
                <w:rFonts w:ascii="Times New Roman" w:hAnsi="Times New Roman" w:eastAsia="Times New Roman" w:cs="Times New Roman"/>
                <w:spacing w:val="-1"/>
              </w:rPr>
              <w:t xml:space="preserve">2023 </w:t>
            </w:r>
            <w:r>
              <w:rPr>
                <w:spacing w:val="-1"/>
              </w:rPr>
              <w:t>年同期相比，环境空气综合污染指数均上升。</w:t>
            </w:r>
          </w:p>
        </w:tc>
      </w:tr>
    </w:tbl>
    <w:p w14:paraId="2AB6C330">
      <w:pPr>
        <w:rPr>
          <w:rFonts w:ascii="Arial"/>
          <w:sz w:val="21"/>
        </w:rPr>
      </w:pPr>
    </w:p>
    <w:p w14:paraId="4DAAEC2C">
      <w:pPr>
        <w:rPr>
          <w:rFonts w:ascii="Arial" w:hAnsi="Arial" w:eastAsia="Arial" w:cs="Arial"/>
          <w:sz w:val="21"/>
          <w:szCs w:val="21"/>
        </w:rPr>
        <w:sectPr>
          <w:footerReference r:id="rId95" w:type="default"/>
          <w:pgSz w:w="11906" w:h="16839"/>
          <w:pgMar w:top="1431" w:right="1413" w:bottom="1278" w:left="1413" w:header="0" w:footer="1116" w:gutter="0"/>
          <w:cols w:space="720" w:num="1"/>
        </w:sectPr>
      </w:pPr>
    </w:p>
    <w:p w14:paraId="2359A8ED">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51A2B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12" w:hRule="atLeast"/>
        </w:trPr>
        <w:tc>
          <w:tcPr>
            <w:tcW w:w="668" w:type="dxa"/>
            <w:tcBorders>
              <w:right w:val="single" w:color="000000" w:sz="2" w:space="0"/>
            </w:tcBorders>
            <w:vAlign w:val="top"/>
          </w:tcPr>
          <w:p w14:paraId="04C6D139">
            <w:pPr>
              <w:rPr>
                <w:rFonts w:ascii="Arial"/>
                <w:sz w:val="21"/>
              </w:rPr>
            </w:pPr>
          </w:p>
        </w:tc>
        <w:tc>
          <w:tcPr>
            <w:tcW w:w="8396" w:type="dxa"/>
            <w:tcBorders>
              <w:left w:val="single" w:color="000000" w:sz="2" w:space="0"/>
            </w:tcBorders>
            <w:vAlign w:val="top"/>
          </w:tcPr>
          <w:p w14:paraId="707B55B2">
            <w:pPr>
              <w:pStyle w:val="6"/>
              <w:spacing w:before="40" w:line="345" w:lineRule="auto"/>
              <w:ind w:left="107" w:right="22" w:firstLine="482"/>
            </w:pPr>
            <w:r>
              <w:t>本项目位于农村地区，所在区域无大型工业污染源，环境空气质量优于公</w:t>
            </w:r>
            <w:r>
              <w:rPr>
                <w:spacing w:val="12"/>
              </w:rPr>
              <w:t xml:space="preserve"> </w:t>
            </w:r>
            <w:r>
              <w:rPr>
                <w:spacing w:val="-4"/>
              </w:rPr>
              <w:t>报中寻甸县城监测点的空气质量，因此，判定本区域为环境空气质量</w:t>
            </w:r>
            <w:r>
              <w:rPr>
                <w:spacing w:val="-5"/>
              </w:rPr>
              <w:t>达标区域。</w:t>
            </w:r>
          </w:p>
          <w:p w14:paraId="52F4FAE2">
            <w:pPr>
              <w:pStyle w:val="6"/>
              <w:spacing w:before="35" w:line="219" w:lineRule="auto"/>
              <w:ind w:left="587"/>
            </w:pPr>
            <w:r>
              <w:rPr>
                <w:rFonts w:ascii="Times New Roman" w:hAnsi="Times New Roman" w:eastAsia="Times New Roman" w:cs="Times New Roman"/>
                <w:b/>
                <w:bCs/>
                <w:spacing w:val="-6"/>
              </w:rPr>
              <w:t>5</w:t>
            </w:r>
            <w:r>
              <w:rPr>
                <w:rFonts w:ascii="Times New Roman" w:hAnsi="Times New Roman" w:eastAsia="Times New Roman" w:cs="Times New Roman"/>
                <w:b/>
                <w:bCs/>
                <w:spacing w:val="-29"/>
              </w:rPr>
              <w:t xml:space="preserve"> </w:t>
            </w:r>
            <w:r>
              <w:rPr>
                <w:b/>
                <w:bCs/>
                <w:spacing w:val="-6"/>
              </w:rPr>
              <w:t>、地表水环境现状</w:t>
            </w:r>
          </w:p>
          <w:p w14:paraId="575C8C97">
            <w:pPr>
              <w:pStyle w:val="6"/>
              <w:spacing w:before="183" w:line="219" w:lineRule="auto"/>
              <w:ind w:left="600"/>
            </w:pPr>
            <w:r>
              <w:rPr>
                <w:spacing w:val="-2"/>
              </w:rPr>
              <w:t>（</w:t>
            </w:r>
            <w:r>
              <w:rPr>
                <w:rFonts w:ascii="Times New Roman" w:hAnsi="Times New Roman" w:eastAsia="Times New Roman" w:cs="Times New Roman"/>
                <w:spacing w:val="-2"/>
              </w:rPr>
              <w:t>1</w:t>
            </w:r>
            <w:r>
              <w:rPr>
                <w:spacing w:val="-2"/>
              </w:rPr>
              <w:t>）地表水环境功能区划</w:t>
            </w:r>
          </w:p>
          <w:p w14:paraId="511C9151">
            <w:pPr>
              <w:pStyle w:val="6"/>
              <w:spacing w:before="183" w:line="352" w:lineRule="auto"/>
              <w:ind w:left="109" w:right="102" w:firstLine="483"/>
              <w:jc w:val="both"/>
            </w:pPr>
            <w:r>
              <w:rPr>
                <w:spacing w:val="-1"/>
              </w:rPr>
              <w:t>项目涉及的地表水体为化桃箐，汇入牛栏江，属于长江流域金沙江水系牛</w:t>
            </w:r>
            <w:r>
              <w:rPr>
                <w:spacing w:val="17"/>
              </w:rPr>
              <w:t xml:space="preserve"> </w:t>
            </w:r>
            <w:r>
              <w:t>栏江左岸一级支流。化桃箐上游为化桃箐水库。化桃</w:t>
            </w:r>
            <w:r>
              <w:rPr>
                <w:spacing w:val="-1"/>
              </w:rPr>
              <w:t>箐水库位于项目区东北侧</w:t>
            </w:r>
            <w:r>
              <w:t xml:space="preserve"> </w:t>
            </w:r>
            <w:r>
              <w:rPr>
                <w:spacing w:val="-1"/>
              </w:rPr>
              <w:t>约</w:t>
            </w:r>
            <w:r>
              <w:rPr>
                <w:spacing w:val="-53"/>
              </w:rPr>
              <w:t xml:space="preserve"> </w:t>
            </w:r>
            <w:r>
              <w:rPr>
                <w:rFonts w:ascii="Arial" w:hAnsi="Arial" w:eastAsia="Arial" w:cs="Arial"/>
                <w:spacing w:val="-1"/>
              </w:rPr>
              <w:t xml:space="preserve">2.3km </w:t>
            </w:r>
            <w:r>
              <w:rPr>
                <w:spacing w:val="-1"/>
              </w:rPr>
              <w:t>处，项目区地表水自北向南流</w:t>
            </w:r>
            <w:r>
              <w:rPr>
                <w:spacing w:val="-2"/>
              </w:rPr>
              <w:t>，项目不在化桃箐水库汇流区，位于化</w:t>
            </w:r>
            <w:r>
              <w:t xml:space="preserve"> </w:t>
            </w:r>
            <w:r>
              <w:rPr>
                <w:spacing w:val="-2"/>
              </w:rPr>
              <w:t>桃箐水库下游。</w:t>
            </w:r>
          </w:p>
          <w:p w14:paraId="5978B78E">
            <w:pPr>
              <w:pStyle w:val="6"/>
              <w:spacing w:before="37" w:line="350" w:lineRule="auto"/>
              <w:ind w:left="105" w:right="102" w:firstLine="483"/>
            </w:pPr>
            <w:r>
              <w:t>根据《昆明市寻甸县河口镇化桃箐水库饮用水水源保护区划定方案》，化</w:t>
            </w:r>
            <w:r>
              <w:rPr>
                <w:spacing w:val="13"/>
              </w:rPr>
              <w:t xml:space="preserve"> </w:t>
            </w:r>
            <w:r>
              <w:rPr>
                <w:spacing w:val="2"/>
              </w:rPr>
              <w:t>桃箐水库按照</w:t>
            </w:r>
            <w:r>
              <w:rPr>
                <w:rFonts w:ascii="Times New Roman" w:hAnsi="Times New Roman" w:eastAsia="Times New Roman" w:cs="Times New Roman"/>
                <w:spacing w:val="2"/>
              </w:rPr>
              <w:t>Ⅲ</w:t>
            </w:r>
            <w:r>
              <w:rPr>
                <w:spacing w:val="2"/>
              </w:rPr>
              <w:t>类水体保护，执行《地表水环境质量标准》（</w:t>
            </w:r>
            <w:r>
              <w:rPr>
                <w:rFonts w:ascii="Times New Roman" w:hAnsi="Times New Roman" w:eastAsia="Times New Roman" w:cs="Times New Roman"/>
              </w:rPr>
              <w:t>GB</w:t>
            </w:r>
            <w:r>
              <w:rPr>
                <w:rFonts w:ascii="Times New Roman" w:hAnsi="Times New Roman" w:eastAsia="Times New Roman" w:cs="Times New Roman"/>
                <w:spacing w:val="2"/>
              </w:rPr>
              <w:t>3838-2002</w:t>
            </w:r>
            <w:r>
              <w:rPr>
                <w:spacing w:val="2"/>
              </w:rPr>
              <w:t>）</w:t>
            </w:r>
            <w:r>
              <w:rPr>
                <w:spacing w:val="12"/>
              </w:rPr>
              <w:t xml:space="preserve"> </w:t>
            </w:r>
            <w:r>
              <w:rPr>
                <w:rFonts w:ascii="Times New Roman" w:hAnsi="Times New Roman" w:eastAsia="Times New Roman" w:cs="Times New Roman"/>
                <w:spacing w:val="-2"/>
              </w:rPr>
              <w:t>Ⅲ</w:t>
            </w:r>
            <w:r>
              <w:rPr>
                <w:spacing w:val="-2"/>
              </w:rPr>
              <w:t>类标准。</w:t>
            </w:r>
          </w:p>
          <w:p w14:paraId="19DE3D30">
            <w:pPr>
              <w:pStyle w:val="6"/>
              <w:spacing w:before="33" w:line="350" w:lineRule="auto"/>
              <w:ind w:left="110" w:right="102" w:firstLine="479"/>
            </w:pPr>
            <w:r>
              <w:rPr>
                <w:spacing w:val="-3"/>
              </w:rPr>
              <w:t>根据《牛栏江流域（云南部分）水环境保护规划报告（</w:t>
            </w:r>
            <w:r>
              <w:rPr>
                <w:rFonts w:ascii="Times New Roman" w:hAnsi="Times New Roman" w:eastAsia="Times New Roman" w:cs="Times New Roman"/>
                <w:spacing w:val="-3"/>
              </w:rPr>
              <w:t>2</w:t>
            </w:r>
            <w:r>
              <w:rPr>
                <w:rFonts w:ascii="Times New Roman" w:hAnsi="Times New Roman" w:eastAsia="Times New Roman" w:cs="Times New Roman"/>
                <w:spacing w:val="-4"/>
              </w:rPr>
              <w:t xml:space="preserve">009-2030 </w:t>
            </w:r>
            <w:r>
              <w:rPr>
                <w:spacing w:val="-4"/>
              </w:rPr>
              <w:t>年）》和</w:t>
            </w:r>
            <w:r>
              <w:t xml:space="preserve"> 《云南省牛栏江保护条例》（云南省第十一届人民</w:t>
            </w:r>
            <w:r>
              <w:rPr>
                <w:spacing w:val="-1"/>
              </w:rPr>
              <w:t>代表大会常务委员会公告第</w:t>
            </w:r>
            <w:r>
              <w:t xml:space="preserve"> </w:t>
            </w:r>
            <w:r>
              <w:rPr>
                <w:rFonts w:ascii="Times New Roman" w:hAnsi="Times New Roman" w:eastAsia="Times New Roman" w:cs="Times New Roman"/>
                <w:spacing w:val="-1"/>
              </w:rPr>
              <w:t>68</w:t>
            </w:r>
            <w:r>
              <w:rPr>
                <w:rFonts w:ascii="Times New Roman" w:hAnsi="Times New Roman" w:eastAsia="Times New Roman" w:cs="Times New Roman"/>
                <w:spacing w:val="22"/>
                <w:w w:val="101"/>
              </w:rPr>
              <w:t xml:space="preserve"> </w:t>
            </w:r>
            <w:r>
              <w:rPr>
                <w:spacing w:val="-1"/>
              </w:rPr>
              <w:t>号公布）总则第八条，牛栏江流域水体水质执行《地表水环境质量标准》</w:t>
            </w:r>
          </w:p>
          <w:p w14:paraId="1DD03579">
            <w:pPr>
              <w:pStyle w:val="6"/>
              <w:spacing w:before="37" w:line="219" w:lineRule="auto"/>
              <w:ind w:left="120"/>
            </w:pPr>
            <w:r>
              <w:rPr>
                <w:spacing w:val="-2"/>
              </w:rPr>
              <w:t>（</w:t>
            </w:r>
            <w:r>
              <w:rPr>
                <w:rFonts w:ascii="Times New Roman" w:hAnsi="Times New Roman" w:eastAsia="Times New Roman" w:cs="Times New Roman"/>
                <w:spacing w:val="-2"/>
              </w:rPr>
              <w:t>GB3838-2002</w:t>
            </w:r>
            <w:r>
              <w:rPr>
                <w:spacing w:val="-2"/>
              </w:rPr>
              <w:t>）Ⅲ类水标准。</w:t>
            </w:r>
          </w:p>
          <w:p w14:paraId="25B687E9">
            <w:pPr>
              <w:pStyle w:val="6"/>
              <w:spacing w:before="184" w:line="349" w:lineRule="auto"/>
              <w:ind w:left="108" w:right="102" w:firstLine="480"/>
              <w:jc w:val="both"/>
            </w:pPr>
            <w:r>
              <w:t>根据《云南省牛栏江保护条例》（云南省第十一届人民代表大会常务委员</w:t>
            </w:r>
            <w:r>
              <w:rPr>
                <w:spacing w:val="13"/>
              </w:rPr>
              <w:t xml:space="preserve"> </w:t>
            </w:r>
            <w:r>
              <w:rPr>
                <w:spacing w:val="-4"/>
              </w:rPr>
              <w:t>会公告第</w:t>
            </w:r>
            <w:r>
              <w:rPr>
                <w:spacing w:val="-41"/>
              </w:rPr>
              <w:t xml:space="preserve"> </w:t>
            </w:r>
            <w:r>
              <w:rPr>
                <w:rFonts w:ascii="Times New Roman" w:hAnsi="Times New Roman" w:eastAsia="Times New Roman" w:cs="Times New Roman"/>
                <w:spacing w:val="-4"/>
              </w:rPr>
              <w:t>68</w:t>
            </w:r>
            <w:r>
              <w:rPr>
                <w:rFonts w:ascii="Times New Roman" w:hAnsi="Times New Roman" w:eastAsia="Times New Roman" w:cs="Times New Roman"/>
                <w:spacing w:val="15"/>
              </w:rPr>
              <w:t xml:space="preserve"> </w:t>
            </w:r>
            <w:r>
              <w:rPr>
                <w:spacing w:val="-4"/>
              </w:rPr>
              <w:t>号公布）总则第八条，牛栏江流域水体水质按照《地表水环境质量</w:t>
            </w:r>
            <w:r>
              <w:t xml:space="preserve"> </w:t>
            </w:r>
            <w:r>
              <w:rPr>
                <w:spacing w:val="-1"/>
              </w:rPr>
              <w:t>标准》</w:t>
            </w:r>
            <w:r>
              <w:rPr>
                <w:rFonts w:ascii="Times New Roman" w:hAnsi="Times New Roman" w:eastAsia="Times New Roman" w:cs="Times New Roman"/>
                <w:spacing w:val="-1"/>
              </w:rPr>
              <w:t>Ⅲ</w:t>
            </w:r>
            <w:r>
              <w:rPr>
                <w:spacing w:val="-1"/>
              </w:rPr>
              <w:t>类水质标准进行保护。</w:t>
            </w:r>
          </w:p>
          <w:p w14:paraId="0387D9EA">
            <w:pPr>
              <w:pStyle w:val="6"/>
              <w:spacing w:before="37" w:line="345" w:lineRule="auto"/>
              <w:ind w:left="105" w:right="3" w:firstLine="486"/>
            </w:pPr>
            <w:r>
              <w:rPr>
                <w:spacing w:val="-2"/>
              </w:rPr>
              <w:t>综上，该段河道地表水水质执行《地表水环境质量标准》（</w:t>
            </w:r>
            <w:r>
              <w:rPr>
                <w:rFonts w:ascii="Times New Roman" w:hAnsi="Times New Roman" w:eastAsia="Times New Roman" w:cs="Times New Roman"/>
                <w:spacing w:val="-2"/>
              </w:rPr>
              <w:t>GB3838-2002</w:t>
            </w:r>
            <w:r>
              <w:rPr>
                <w:spacing w:val="-2"/>
              </w:rPr>
              <w:t>）</w:t>
            </w:r>
            <w:r>
              <w:rPr>
                <w:spacing w:val="12"/>
              </w:rPr>
              <w:t xml:space="preserve"> </w:t>
            </w:r>
            <w:r>
              <w:rPr>
                <w:rFonts w:ascii="Times New Roman" w:hAnsi="Times New Roman" w:eastAsia="Times New Roman" w:cs="Times New Roman"/>
                <w:spacing w:val="-2"/>
              </w:rPr>
              <w:t>Ⅲ</w:t>
            </w:r>
            <w:r>
              <w:rPr>
                <w:spacing w:val="-2"/>
              </w:rPr>
              <w:t>类标准。</w:t>
            </w:r>
          </w:p>
          <w:p w14:paraId="6F25E765">
            <w:pPr>
              <w:pStyle w:val="6"/>
              <w:spacing w:before="37" w:line="219" w:lineRule="auto"/>
              <w:ind w:left="600"/>
            </w:pPr>
            <w:r>
              <w:rPr>
                <w:spacing w:val="-3"/>
              </w:rPr>
              <w:t>（</w:t>
            </w:r>
            <w:r>
              <w:rPr>
                <w:rFonts w:ascii="Times New Roman" w:hAnsi="Times New Roman" w:eastAsia="Times New Roman" w:cs="Times New Roman"/>
                <w:spacing w:val="-3"/>
              </w:rPr>
              <w:t>2</w:t>
            </w:r>
            <w:r>
              <w:rPr>
                <w:spacing w:val="-3"/>
              </w:rPr>
              <w:t>）牛栏江水质情况</w:t>
            </w:r>
          </w:p>
          <w:p w14:paraId="14629AE6">
            <w:pPr>
              <w:pStyle w:val="6"/>
              <w:spacing w:before="182" w:line="348" w:lineRule="auto"/>
              <w:ind w:left="110" w:right="102" w:firstLine="479"/>
            </w:pPr>
            <w:r>
              <w:t>根据</w:t>
            </w:r>
            <w:r>
              <w:rPr>
                <w:spacing w:val="-30"/>
              </w:rPr>
              <w:t xml:space="preserve"> </w:t>
            </w:r>
            <w:r>
              <w:rPr>
                <w:rFonts w:ascii="Times New Roman" w:hAnsi="Times New Roman" w:eastAsia="Times New Roman" w:cs="Times New Roman"/>
              </w:rPr>
              <w:t>2025</w:t>
            </w:r>
            <w:r>
              <w:rPr>
                <w:rFonts w:ascii="Times New Roman" w:hAnsi="Times New Roman" w:eastAsia="Times New Roman" w:cs="Times New Roman"/>
                <w:spacing w:val="17"/>
              </w:rPr>
              <w:t xml:space="preserve"> </w:t>
            </w:r>
            <w:r>
              <w:t>年</w:t>
            </w:r>
            <w:r>
              <w:rPr>
                <w:spacing w:val="-25"/>
              </w:rPr>
              <w:t xml:space="preserve"> </w:t>
            </w:r>
            <w:r>
              <w:rPr>
                <w:rFonts w:ascii="Times New Roman" w:hAnsi="Times New Roman" w:eastAsia="Times New Roman" w:cs="Times New Roman"/>
              </w:rPr>
              <w:t>1</w:t>
            </w:r>
            <w:r>
              <w:rPr>
                <w:rFonts w:ascii="Times New Roman" w:hAnsi="Times New Roman" w:eastAsia="Times New Roman" w:cs="Times New Roman"/>
                <w:spacing w:val="23"/>
              </w:rPr>
              <w:t xml:space="preserve"> </w:t>
            </w:r>
            <w:r>
              <w:t>月</w:t>
            </w:r>
            <w:r>
              <w:rPr>
                <w:spacing w:val="-42"/>
              </w:rPr>
              <w:t xml:space="preserve"> </w:t>
            </w:r>
            <w:r>
              <w:rPr>
                <w:rFonts w:ascii="Times New Roman" w:hAnsi="Times New Roman" w:eastAsia="Times New Roman" w:cs="Times New Roman"/>
              </w:rPr>
              <w:t>06</w:t>
            </w:r>
            <w:r>
              <w:rPr>
                <w:rFonts w:ascii="Times New Roman" w:hAnsi="Times New Roman" w:eastAsia="Times New Roman" w:cs="Times New Roman"/>
                <w:spacing w:val="58"/>
              </w:rPr>
              <w:t xml:space="preserve"> </w:t>
            </w:r>
            <w:r>
              <w:t>日寻甸县人民政府生态环境信息公开《寻甸县</w:t>
            </w:r>
            <w:r>
              <w:rPr>
                <w:spacing w:val="-48"/>
              </w:rPr>
              <w:t xml:space="preserve"> </w:t>
            </w:r>
            <w:r>
              <w:rPr>
                <w:rFonts w:ascii="Times New Roman" w:hAnsi="Times New Roman" w:eastAsia="Times New Roman" w:cs="Times New Roman"/>
              </w:rPr>
              <w:t xml:space="preserve">2024 </w:t>
            </w:r>
            <w:r>
              <w:rPr>
                <w:spacing w:val="1"/>
              </w:rPr>
              <w:t>年第四季度环境质量公报》显示，牛栏江河口糯基</w:t>
            </w:r>
            <w:r>
              <w:t>桥断面水质类别为</w:t>
            </w:r>
            <w:r>
              <w:rPr>
                <w:rFonts w:ascii="Times New Roman" w:hAnsi="Times New Roman" w:eastAsia="Times New Roman" w:cs="Times New Roman"/>
              </w:rPr>
              <w:t>Ⅲ</w:t>
            </w:r>
            <w:r>
              <w:t xml:space="preserve">类水， </w:t>
            </w:r>
            <w:r>
              <w:rPr>
                <w:spacing w:val="-3"/>
              </w:rPr>
              <w:t>具体情况见图</w:t>
            </w:r>
            <w:r>
              <w:rPr>
                <w:spacing w:val="-43"/>
              </w:rPr>
              <w:t xml:space="preserve"> </w:t>
            </w:r>
            <w:r>
              <w:rPr>
                <w:rFonts w:ascii="Times New Roman" w:hAnsi="Times New Roman" w:eastAsia="Times New Roman" w:cs="Times New Roman"/>
                <w:spacing w:val="-3"/>
              </w:rPr>
              <w:t>3-1</w:t>
            </w:r>
            <w:r>
              <w:rPr>
                <w:spacing w:val="-3"/>
              </w:rPr>
              <w:t>。</w:t>
            </w:r>
          </w:p>
        </w:tc>
      </w:tr>
    </w:tbl>
    <w:p w14:paraId="3387AAE4">
      <w:pPr>
        <w:rPr>
          <w:rFonts w:ascii="Arial"/>
          <w:sz w:val="21"/>
        </w:rPr>
      </w:pPr>
    </w:p>
    <w:p w14:paraId="7C718E93">
      <w:pPr>
        <w:rPr>
          <w:rFonts w:ascii="Arial" w:hAnsi="Arial" w:eastAsia="Arial" w:cs="Arial"/>
          <w:sz w:val="21"/>
          <w:szCs w:val="21"/>
        </w:rPr>
        <w:sectPr>
          <w:footerReference r:id="rId96" w:type="default"/>
          <w:pgSz w:w="11906" w:h="16839"/>
          <w:pgMar w:top="1431" w:right="1413" w:bottom="1278" w:left="1413" w:header="0" w:footer="1116" w:gutter="0"/>
          <w:cols w:space="720" w:num="1"/>
        </w:sectPr>
      </w:pPr>
    </w:p>
    <w:p w14:paraId="3E3F7E05">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30CB4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09" w:hRule="atLeast"/>
        </w:trPr>
        <w:tc>
          <w:tcPr>
            <w:tcW w:w="668" w:type="dxa"/>
            <w:tcBorders>
              <w:right w:val="single" w:color="000000" w:sz="2" w:space="0"/>
            </w:tcBorders>
            <w:vAlign w:val="top"/>
          </w:tcPr>
          <w:p w14:paraId="7C7FDA43">
            <w:pPr>
              <w:rPr>
                <w:rFonts w:ascii="Arial"/>
                <w:sz w:val="21"/>
              </w:rPr>
            </w:pPr>
          </w:p>
        </w:tc>
        <w:tc>
          <w:tcPr>
            <w:tcW w:w="8396" w:type="dxa"/>
            <w:tcBorders>
              <w:left w:val="single" w:color="000000" w:sz="2" w:space="0"/>
            </w:tcBorders>
            <w:vAlign w:val="top"/>
          </w:tcPr>
          <w:p w14:paraId="6C6E9BD4">
            <w:pPr>
              <w:spacing w:before="4" w:line="5208" w:lineRule="exact"/>
              <w:ind w:firstLine="1340"/>
            </w:pPr>
            <w:r>
              <w:rPr>
                <w:position w:val="-104"/>
              </w:rPr>
              <w:drawing>
                <wp:inline distT="0" distB="0" distL="0" distR="0">
                  <wp:extent cx="3980180" cy="33064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1"/>
                          <a:stretch>
                            <a:fillRect/>
                          </a:stretch>
                        </pic:blipFill>
                        <pic:spPr>
                          <a:xfrm>
                            <a:off x="0" y="0"/>
                            <a:ext cx="3980688" cy="3307079"/>
                          </a:xfrm>
                          <a:prstGeom prst="rect">
                            <a:avLst/>
                          </a:prstGeom>
                        </pic:spPr>
                      </pic:pic>
                    </a:graphicData>
                  </a:graphic>
                </wp:inline>
              </w:drawing>
            </w:r>
          </w:p>
          <w:p w14:paraId="7B6DE53E">
            <w:pPr>
              <w:pStyle w:val="6"/>
              <w:spacing w:before="178" w:line="228" w:lineRule="auto"/>
              <w:ind w:left="1702"/>
              <w:outlineLvl w:val="1"/>
              <w:rPr>
                <w:sz w:val="20"/>
                <w:szCs w:val="20"/>
              </w:rPr>
            </w:pPr>
            <w:r>
              <w:rPr>
                <w:b/>
                <w:bCs/>
                <w:spacing w:val="11"/>
                <w:sz w:val="20"/>
                <w:szCs w:val="20"/>
              </w:rPr>
              <w:t>图</w:t>
            </w:r>
            <w:r>
              <w:rPr>
                <w:rFonts w:ascii="Times New Roman" w:hAnsi="Times New Roman" w:eastAsia="Times New Roman" w:cs="Times New Roman"/>
                <w:b/>
                <w:bCs/>
                <w:spacing w:val="11"/>
                <w:sz w:val="20"/>
                <w:szCs w:val="20"/>
              </w:rPr>
              <w:t xml:space="preserve">3-1   </w:t>
            </w:r>
            <w:r>
              <w:rPr>
                <w:b/>
                <w:bCs/>
                <w:spacing w:val="11"/>
                <w:sz w:val="20"/>
                <w:szCs w:val="20"/>
              </w:rPr>
              <w:t>寻</w:t>
            </w:r>
            <w:r>
              <w:rPr>
                <w:spacing w:val="-56"/>
                <w:sz w:val="20"/>
                <w:szCs w:val="20"/>
              </w:rPr>
              <w:t xml:space="preserve"> </w:t>
            </w:r>
            <w:r>
              <w:rPr>
                <w:b/>
                <w:bCs/>
                <w:spacing w:val="11"/>
                <w:sz w:val="20"/>
                <w:szCs w:val="20"/>
              </w:rPr>
              <w:t>甸</w:t>
            </w:r>
            <w:r>
              <w:rPr>
                <w:spacing w:val="-58"/>
                <w:sz w:val="20"/>
                <w:szCs w:val="20"/>
              </w:rPr>
              <w:t xml:space="preserve"> </w:t>
            </w:r>
            <w:r>
              <w:rPr>
                <w:b/>
                <w:bCs/>
                <w:spacing w:val="11"/>
                <w:sz w:val="20"/>
                <w:szCs w:val="20"/>
              </w:rPr>
              <w:t>县</w:t>
            </w:r>
            <w:r>
              <w:rPr>
                <w:rFonts w:ascii="Times New Roman" w:hAnsi="Times New Roman" w:eastAsia="Times New Roman" w:cs="Times New Roman"/>
                <w:b/>
                <w:bCs/>
                <w:spacing w:val="11"/>
                <w:sz w:val="20"/>
                <w:szCs w:val="20"/>
              </w:rPr>
              <w:t>2024</w:t>
            </w:r>
            <w:r>
              <w:rPr>
                <w:rFonts w:ascii="Times New Roman" w:hAnsi="Times New Roman" w:eastAsia="Times New Roman" w:cs="Times New Roman"/>
                <w:b/>
                <w:bCs/>
                <w:spacing w:val="-20"/>
                <w:sz w:val="20"/>
                <w:szCs w:val="20"/>
              </w:rPr>
              <w:t xml:space="preserve"> </w:t>
            </w:r>
            <w:r>
              <w:rPr>
                <w:b/>
                <w:bCs/>
                <w:spacing w:val="11"/>
                <w:sz w:val="20"/>
                <w:szCs w:val="20"/>
              </w:rPr>
              <w:t>年第</w:t>
            </w:r>
            <w:r>
              <w:rPr>
                <w:spacing w:val="-41"/>
                <w:sz w:val="20"/>
                <w:szCs w:val="20"/>
              </w:rPr>
              <w:t xml:space="preserve"> </w:t>
            </w:r>
            <w:r>
              <w:rPr>
                <w:b/>
                <w:bCs/>
                <w:spacing w:val="11"/>
                <w:sz w:val="20"/>
                <w:szCs w:val="20"/>
              </w:rPr>
              <w:t>四</w:t>
            </w:r>
            <w:r>
              <w:rPr>
                <w:spacing w:val="-58"/>
                <w:sz w:val="20"/>
                <w:szCs w:val="20"/>
              </w:rPr>
              <w:t xml:space="preserve"> </w:t>
            </w:r>
            <w:r>
              <w:rPr>
                <w:b/>
                <w:bCs/>
                <w:spacing w:val="11"/>
                <w:sz w:val="20"/>
                <w:szCs w:val="20"/>
              </w:rPr>
              <w:t>季度</w:t>
            </w:r>
            <w:r>
              <w:rPr>
                <w:spacing w:val="-59"/>
                <w:sz w:val="20"/>
                <w:szCs w:val="20"/>
              </w:rPr>
              <w:t xml:space="preserve"> </w:t>
            </w:r>
            <w:r>
              <w:rPr>
                <w:b/>
                <w:bCs/>
                <w:spacing w:val="11"/>
                <w:sz w:val="20"/>
                <w:szCs w:val="20"/>
              </w:rPr>
              <w:t>环境质</w:t>
            </w:r>
            <w:r>
              <w:rPr>
                <w:spacing w:val="-58"/>
                <w:sz w:val="20"/>
                <w:szCs w:val="20"/>
              </w:rPr>
              <w:t xml:space="preserve"> </w:t>
            </w:r>
            <w:r>
              <w:rPr>
                <w:b/>
                <w:bCs/>
                <w:spacing w:val="11"/>
                <w:sz w:val="20"/>
                <w:szCs w:val="20"/>
              </w:rPr>
              <w:t>量</w:t>
            </w:r>
            <w:r>
              <w:rPr>
                <w:spacing w:val="-54"/>
                <w:sz w:val="20"/>
                <w:szCs w:val="20"/>
              </w:rPr>
              <w:t xml:space="preserve"> </w:t>
            </w:r>
            <w:r>
              <w:rPr>
                <w:b/>
                <w:bCs/>
                <w:spacing w:val="10"/>
                <w:sz w:val="20"/>
                <w:szCs w:val="20"/>
              </w:rPr>
              <w:t>公报</w:t>
            </w:r>
            <w:r>
              <w:rPr>
                <w:spacing w:val="-60"/>
                <w:sz w:val="20"/>
                <w:szCs w:val="20"/>
              </w:rPr>
              <w:t xml:space="preserve"> </w:t>
            </w:r>
            <w:r>
              <w:rPr>
                <w:b/>
                <w:bCs/>
                <w:spacing w:val="10"/>
                <w:sz w:val="20"/>
                <w:szCs w:val="20"/>
              </w:rPr>
              <w:t>截</w:t>
            </w:r>
            <w:r>
              <w:rPr>
                <w:spacing w:val="-40"/>
                <w:sz w:val="20"/>
                <w:szCs w:val="20"/>
              </w:rPr>
              <w:t xml:space="preserve"> </w:t>
            </w:r>
            <w:r>
              <w:rPr>
                <w:b/>
                <w:bCs/>
                <w:spacing w:val="10"/>
                <w:sz w:val="20"/>
                <w:szCs w:val="20"/>
              </w:rPr>
              <w:t>图</w:t>
            </w:r>
          </w:p>
          <w:p w14:paraId="528839EE">
            <w:pPr>
              <w:pStyle w:val="6"/>
              <w:spacing w:before="166" w:line="219" w:lineRule="auto"/>
              <w:ind w:left="678"/>
              <w:outlineLvl w:val="1"/>
            </w:pPr>
            <w:r>
              <w:rPr>
                <w:spacing w:val="-2"/>
              </w:rPr>
              <w:t>综上，牛栏江河口糯基桥断面水质类别为</w:t>
            </w:r>
            <w:r>
              <w:rPr>
                <w:rFonts w:ascii="Times New Roman" w:hAnsi="Times New Roman" w:eastAsia="Times New Roman" w:cs="Times New Roman"/>
                <w:spacing w:val="-2"/>
              </w:rPr>
              <w:t>Ⅲ</w:t>
            </w:r>
            <w:r>
              <w:rPr>
                <w:spacing w:val="-2"/>
              </w:rPr>
              <w:t>类水，能满足《地表水环</w:t>
            </w:r>
            <w:r>
              <w:rPr>
                <w:spacing w:val="-3"/>
              </w:rPr>
              <w:t>境质</w:t>
            </w:r>
          </w:p>
          <w:p w14:paraId="20D247EE">
            <w:pPr>
              <w:pStyle w:val="6"/>
              <w:spacing w:before="183" w:line="219" w:lineRule="auto"/>
              <w:ind w:left="109"/>
            </w:pPr>
            <w:r>
              <w:rPr>
                <w:spacing w:val="-1"/>
              </w:rPr>
              <w:t>量标准》（</w:t>
            </w:r>
            <w:r>
              <w:rPr>
                <w:rFonts w:ascii="Times New Roman" w:hAnsi="Times New Roman" w:eastAsia="Times New Roman" w:cs="Times New Roman"/>
                <w:spacing w:val="-1"/>
              </w:rPr>
              <w:t>GB3838-2002</w:t>
            </w:r>
            <w:r>
              <w:rPr>
                <w:spacing w:val="-1"/>
              </w:rPr>
              <w:t>）</w:t>
            </w:r>
            <w:r>
              <w:rPr>
                <w:rFonts w:ascii="Times New Roman" w:hAnsi="Times New Roman" w:eastAsia="Times New Roman" w:cs="Times New Roman"/>
                <w:spacing w:val="-1"/>
              </w:rPr>
              <w:t>Ⅲ</w:t>
            </w:r>
            <w:r>
              <w:rPr>
                <w:spacing w:val="-1"/>
              </w:rPr>
              <w:t>类水体标准。</w:t>
            </w:r>
          </w:p>
          <w:p w14:paraId="2753ECB5">
            <w:pPr>
              <w:pStyle w:val="6"/>
              <w:spacing w:before="180" w:line="219" w:lineRule="auto"/>
              <w:ind w:left="588"/>
            </w:pPr>
            <w:r>
              <w:rPr>
                <w:rFonts w:ascii="Times New Roman" w:hAnsi="Times New Roman" w:eastAsia="Times New Roman" w:cs="Times New Roman"/>
                <w:b/>
                <w:bCs/>
                <w:spacing w:val="-7"/>
              </w:rPr>
              <w:t>6</w:t>
            </w:r>
            <w:r>
              <w:rPr>
                <w:rFonts w:ascii="Times New Roman" w:hAnsi="Times New Roman" w:eastAsia="Times New Roman" w:cs="Times New Roman"/>
                <w:b/>
                <w:bCs/>
                <w:spacing w:val="-32"/>
              </w:rPr>
              <w:t xml:space="preserve"> </w:t>
            </w:r>
            <w:r>
              <w:rPr>
                <w:b/>
                <w:bCs/>
                <w:spacing w:val="-7"/>
              </w:rPr>
              <w:t>、声环境现状</w:t>
            </w:r>
          </w:p>
          <w:p w14:paraId="1A231940">
            <w:pPr>
              <w:pStyle w:val="6"/>
              <w:spacing w:before="184" w:line="346" w:lineRule="auto"/>
              <w:ind w:left="114" w:right="3" w:firstLine="478"/>
            </w:pPr>
            <w:r>
              <w:rPr>
                <w:spacing w:val="1"/>
              </w:rPr>
              <w:t>项目位于云南省昆明市寻甸回族彝族自治县河口镇境内，属于农村地区，</w:t>
            </w:r>
            <w:r>
              <w:rPr>
                <w:spacing w:val="4"/>
              </w:rPr>
              <w:t xml:space="preserve"> </w:t>
            </w:r>
            <w:r>
              <w:rPr>
                <w:spacing w:val="-7"/>
              </w:rPr>
              <w:t>结合项目特点，光伏发电区声环境质量执行《声</w:t>
            </w:r>
            <w:r>
              <w:rPr>
                <w:spacing w:val="-8"/>
              </w:rPr>
              <w:t>环境质量标准》（</w:t>
            </w:r>
            <w:r>
              <w:rPr>
                <w:rFonts w:ascii="Times New Roman" w:hAnsi="Times New Roman" w:eastAsia="Times New Roman" w:cs="Times New Roman"/>
                <w:spacing w:val="-8"/>
              </w:rPr>
              <w:t>GB3096-2008</w:t>
            </w:r>
            <w:r>
              <w:rPr>
                <w:spacing w:val="-8"/>
              </w:rPr>
              <w:t>）</w:t>
            </w:r>
          </w:p>
          <w:p w14:paraId="4E8AEF65">
            <w:pPr>
              <w:pStyle w:val="6"/>
              <w:spacing w:before="33" w:line="219" w:lineRule="auto"/>
              <w:jc w:val="right"/>
            </w:pPr>
            <w:r>
              <w:rPr>
                <w:rFonts w:ascii="Times New Roman" w:hAnsi="Times New Roman" w:eastAsia="Times New Roman" w:cs="Times New Roman"/>
                <w:spacing w:val="-12"/>
              </w:rPr>
              <w:t xml:space="preserve">1 </w:t>
            </w:r>
            <w:r>
              <w:rPr>
                <w:spacing w:val="-12"/>
              </w:rPr>
              <w:t>类标准，升压站和储能场区声环境质量执行《声环境质量标准》（</w:t>
            </w:r>
            <w:r>
              <w:rPr>
                <w:rFonts w:ascii="Times New Roman" w:hAnsi="Times New Roman" w:eastAsia="Times New Roman" w:cs="Times New Roman"/>
                <w:spacing w:val="-12"/>
              </w:rPr>
              <w:t>GB3096-2008</w:t>
            </w:r>
            <w:r>
              <w:rPr>
                <w:spacing w:val="-12"/>
              </w:rPr>
              <w:t>）</w:t>
            </w:r>
          </w:p>
          <w:p w14:paraId="02F75292">
            <w:pPr>
              <w:pStyle w:val="6"/>
              <w:spacing w:before="181" w:line="219" w:lineRule="auto"/>
              <w:ind w:left="104"/>
            </w:pPr>
            <w:r>
              <w:rPr>
                <w:rFonts w:ascii="Times New Roman" w:hAnsi="Times New Roman" w:eastAsia="Times New Roman" w:cs="Times New Roman"/>
                <w:spacing w:val="-1"/>
              </w:rPr>
              <w:t xml:space="preserve">2 </w:t>
            </w:r>
            <w:r>
              <w:rPr>
                <w:spacing w:val="-1"/>
              </w:rPr>
              <w:t>类标准。</w:t>
            </w:r>
          </w:p>
          <w:p w14:paraId="6104EDE0">
            <w:pPr>
              <w:pStyle w:val="6"/>
              <w:spacing w:before="183" w:line="350" w:lineRule="auto"/>
              <w:ind w:left="109" w:right="104" w:firstLine="482"/>
              <w:jc w:val="both"/>
            </w:pPr>
            <w:r>
              <w:t>为了解区域声环境质量，建设单位委托云南绿宸中检联环境检测有限公司</w:t>
            </w:r>
            <w:r>
              <w:rPr>
                <w:spacing w:val="8"/>
              </w:rPr>
              <w:t xml:space="preserve"> </w:t>
            </w:r>
            <w:r>
              <w:rPr>
                <w:spacing w:val="-5"/>
              </w:rPr>
              <w:t>于</w:t>
            </w:r>
            <w:r>
              <w:rPr>
                <w:spacing w:val="-51"/>
              </w:rPr>
              <w:t xml:space="preserve"> </w:t>
            </w:r>
            <w:r>
              <w:rPr>
                <w:rFonts w:ascii="Times New Roman" w:hAnsi="Times New Roman" w:eastAsia="Times New Roman" w:cs="Times New Roman"/>
                <w:spacing w:val="-5"/>
              </w:rPr>
              <w:t xml:space="preserve">2025 </w:t>
            </w:r>
            <w:r>
              <w:rPr>
                <w:spacing w:val="-5"/>
              </w:rPr>
              <w:t>年</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5"/>
              </w:rPr>
              <w:t xml:space="preserve"> </w:t>
            </w:r>
            <w:r>
              <w:rPr>
                <w:spacing w:val="-5"/>
              </w:rPr>
              <w:t>月</w:t>
            </w:r>
            <w:r>
              <w:rPr>
                <w:spacing w:val="-55"/>
              </w:rPr>
              <w:t xml:space="preserve"> </w:t>
            </w:r>
            <w:r>
              <w:rPr>
                <w:rFonts w:ascii="Times New Roman" w:hAnsi="Times New Roman" w:eastAsia="Times New Roman" w:cs="Times New Roman"/>
                <w:spacing w:val="-5"/>
              </w:rPr>
              <w:t xml:space="preserve">28  </w:t>
            </w:r>
            <w:r>
              <w:rPr>
                <w:spacing w:val="-5"/>
              </w:rPr>
              <w:t>日</w:t>
            </w:r>
            <w:r>
              <w:rPr>
                <w:rFonts w:ascii="Times New Roman" w:hAnsi="Times New Roman" w:eastAsia="Times New Roman" w:cs="Times New Roman"/>
                <w:spacing w:val="-5"/>
              </w:rPr>
              <w:t>-3</w:t>
            </w:r>
            <w:r>
              <w:rPr>
                <w:rFonts w:ascii="Times New Roman" w:hAnsi="Times New Roman" w:eastAsia="Times New Roman" w:cs="Times New Roman"/>
                <w:spacing w:val="15"/>
                <w:w w:val="101"/>
              </w:rPr>
              <w:t xml:space="preserve"> </w:t>
            </w:r>
            <w:r>
              <w:rPr>
                <w:spacing w:val="-5"/>
              </w:rPr>
              <w:t>月</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50"/>
                <w:w w:val="101"/>
              </w:rPr>
              <w:t xml:space="preserve"> </w:t>
            </w:r>
            <w:r>
              <w:rPr>
                <w:spacing w:val="-5"/>
              </w:rPr>
              <w:t>日对项目区域进行了噪声监测，噪声监测结果见表</w:t>
            </w:r>
            <w:r>
              <w:t xml:space="preserve"> </w:t>
            </w:r>
            <w:r>
              <w:rPr>
                <w:rFonts w:ascii="Times New Roman" w:hAnsi="Times New Roman" w:eastAsia="Times New Roman" w:cs="Times New Roman"/>
                <w:spacing w:val="-4"/>
              </w:rPr>
              <w:t>3-6</w:t>
            </w:r>
            <w:r>
              <w:rPr>
                <w:rFonts w:ascii="Times New Roman" w:hAnsi="Times New Roman" w:eastAsia="Times New Roman" w:cs="Times New Roman"/>
                <w:spacing w:val="-25"/>
              </w:rPr>
              <w:t xml:space="preserve"> </w:t>
            </w:r>
            <w:r>
              <w:rPr>
                <w:spacing w:val="-4"/>
              </w:rPr>
              <w:t>。现状监测点位见附图</w:t>
            </w:r>
            <w:r>
              <w:rPr>
                <w:spacing w:val="-51"/>
              </w:rPr>
              <w:t xml:space="preserve"> </w:t>
            </w:r>
            <w:r>
              <w:rPr>
                <w:rFonts w:ascii="Times New Roman" w:hAnsi="Times New Roman" w:eastAsia="Times New Roman" w:cs="Times New Roman"/>
                <w:spacing w:val="-4"/>
              </w:rPr>
              <w:t>7-1</w:t>
            </w:r>
            <w:r>
              <w:rPr>
                <w:rFonts w:ascii="Times New Roman" w:hAnsi="Times New Roman" w:eastAsia="Times New Roman" w:cs="Times New Roman"/>
                <w:spacing w:val="-33"/>
              </w:rPr>
              <w:t xml:space="preserve"> </w:t>
            </w:r>
            <w:r>
              <w:rPr>
                <w:spacing w:val="-4"/>
              </w:rPr>
              <w:t>、</w:t>
            </w:r>
            <w:r>
              <w:rPr>
                <w:rFonts w:ascii="Times New Roman" w:hAnsi="Times New Roman" w:eastAsia="Times New Roman" w:cs="Times New Roman"/>
                <w:spacing w:val="-4"/>
              </w:rPr>
              <w:t>7-2</w:t>
            </w:r>
            <w:r>
              <w:rPr>
                <w:spacing w:val="-4"/>
              </w:rPr>
              <w:t>。</w:t>
            </w:r>
          </w:p>
          <w:p w14:paraId="3A65D4C8">
            <w:pPr>
              <w:pStyle w:val="6"/>
              <w:spacing w:before="37" w:line="285" w:lineRule="auto"/>
              <w:ind w:left="584" w:right="6246" w:firstLine="16"/>
            </w:pPr>
            <w:r>
              <w:rPr>
                <w:spacing w:val="-3"/>
              </w:rPr>
              <w:t>（</w:t>
            </w:r>
            <w:r>
              <w:rPr>
                <w:rFonts w:ascii="Times New Roman" w:hAnsi="Times New Roman" w:eastAsia="Times New Roman" w:cs="Times New Roman"/>
                <w:spacing w:val="-3"/>
              </w:rPr>
              <w:t>1</w:t>
            </w:r>
            <w:r>
              <w:rPr>
                <w:spacing w:val="-3"/>
              </w:rPr>
              <w:t>）监测因子</w:t>
            </w:r>
            <w:r>
              <w:t xml:space="preserve"> </w:t>
            </w:r>
            <w:r>
              <w:rPr>
                <w:rFonts w:ascii="Times New Roman" w:hAnsi="Times New Roman" w:eastAsia="Times New Roman" w:cs="Times New Roman"/>
                <w:spacing w:val="-1"/>
              </w:rPr>
              <w:t>Leq</w:t>
            </w:r>
            <w:r>
              <w:rPr>
                <w:spacing w:val="-1"/>
              </w:rPr>
              <w:t>（</w:t>
            </w:r>
            <w:r>
              <w:rPr>
                <w:rFonts w:ascii="Times New Roman" w:hAnsi="Times New Roman" w:eastAsia="Times New Roman" w:cs="Times New Roman"/>
                <w:spacing w:val="-1"/>
              </w:rPr>
              <w:t>A</w:t>
            </w:r>
            <w:r>
              <w:rPr>
                <w:spacing w:val="-1"/>
              </w:rPr>
              <w:t>）</w:t>
            </w:r>
          </w:p>
          <w:p w14:paraId="5570BB76">
            <w:pPr>
              <w:pStyle w:val="6"/>
              <w:spacing w:before="192" w:line="221" w:lineRule="auto"/>
              <w:ind w:left="600"/>
            </w:pPr>
            <w:r>
              <w:rPr>
                <w:spacing w:val="-3"/>
              </w:rPr>
              <w:t>（</w:t>
            </w:r>
            <w:r>
              <w:rPr>
                <w:rFonts w:ascii="Times New Roman" w:hAnsi="Times New Roman" w:eastAsia="Times New Roman" w:cs="Times New Roman"/>
                <w:spacing w:val="-3"/>
              </w:rPr>
              <w:t>2</w:t>
            </w:r>
            <w:r>
              <w:rPr>
                <w:spacing w:val="-3"/>
              </w:rPr>
              <w:t>）监测点位</w:t>
            </w:r>
          </w:p>
          <w:p w14:paraId="2DC16B19">
            <w:pPr>
              <w:pStyle w:val="6"/>
              <w:spacing w:before="179" w:line="219" w:lineRule="auto"/>
              <w:ind w:left="588"/>
            </w:pPr>
            <w:r>
              <w:rPr>
                <w:spacing w:val="-3"/>
              </w:rPr>
              <w:t>共</w:t>
            </w:r>
            <w:r>
              <w:rPr>
                <w:spacing w:val="-32"/>
              </w:rPr>
              <w:t xml:space="preserve"> </w:t>
            </w:r>
            <w:r>
              <w:rPr>
                <w:rFonts w:ascii="Times New Roman" w:hAnsi="Times New Roman" w:eastAsia="Times New Roman" w:cs="Times New Roman"/>
                <w:spacing w:val="-3"/>
              </w:rPr>
              <w:t xml:space="preserve">8 </w:t>
            </w:r>
            <w:r>
              <w:rPr>
                <w:spacing w:val="-3"/>
              </w:rPr>
              <w:t>个监测点位，详见表</w:t>
            </w:r>
            <w:r>
              <w:rPr>
                <w:spacing w:val="-51"/>
              </w:rPr>
              <w:t xml:space="preserve"> </w:t>
            </w:r>
            <w:r>
              <w:rPr>
                <w:rFonts w:ascii="Times New Roman" w:hAnsi="Times New Roman" w:eastAsia="Times New Roman" w:cs="Times New Roman"/>
                <w:spacing w:val="-3"/>
              </w:rPr>
              <w:t>3-6</w:t>
            </w:r>
            <w:r>
              <w:rPr>
                <w:spacing w:val="-3"/>
              </w:rPr>
              <w:t>。</w:t>
            </w:r>
          </w:p>
          <w:p w14:paraId="5582732D">
            <w:pPr>
              <w:pStyle w:val="6"/>
              <w:spacing w:before="183" w:line="219" w:lineRule="auto"/>
              <w:ind w:left="600"/>
            </w:pPr>
            <w:r>
              <w:rPr>
                <w:spacing w:val="-3"/>
              </w:rPr>
              <w:t>（</w:t>
            </w:r>
            <w:r>
              <w:rPr>
                <w:rFonts w:ascii="Times New Roman" w:hAnsi="Times New Roman" w:eastAsia="Times New Roman" w:cs="Times New Roman"/>
                <w:spacing w:val="-3"/>
              </w:rPr>
              <w:t>3</w:t>
            </w:r>
            <w:r>
              <w:rPr>
                <w:spacing w:val="-3"/>
              </w:rPr>
              <w:t>）监测时间和频次</w:t>
            </w:r>
          </w:p>
          <w:p w14:paraId="6546F329">
            <w:pPr>
              <w:pStyle w:val="6"/>
              <w:spacing w:before="181" w:line="343" w:lineRule="auto"/>
              <w:ind w:left="590" w:right="3046"/>
            </w:pPr>
            <w:r>
              <w:rPr>
                <w:spacing w:val="-6"/>
              </w:rPr>
              <w:t>连续监测</w:t>
            </w:r>
            <w:r>
              <w:rPr>
                <w:spacing w:val="-50"/>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14"/>
              </w:rPr>
              <w:t xml:space="preserve"> </w:t>
            </w:r>
            <w:r>
              <w:rPr>
                <w:spacing w:val="-6"/>
              </w:rPr>
              <w:t>天，每天监测昼间、夜间各</w:t>
            </w:r>
            <w:r>
              <w:rPr>
                <w:spacing w:val="-31"/>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spacing w:val="-6"/>
              </w:rPr>
              <w:t>次。</w:t>
            </w:r>
            <w:r>
              <w:t xml:space="preserve"> </w:t>
            </w:r>
            <w:r>
              <w:rPr>
                <w:spacing w:val="-2"/>
              </w:rPr>
              <w:t>监测结果如下。</w:t>
            </w:r>
          </w:p>
        </w:tc>
      </w:tr>
    </w:tbl>
    <w:p w14:paraId="1703C4C6">
      <w:pPr>
        <w:rPr>
          <w:rFonts w:ascii="Arial"/>
          <w:sz w:val="21"/>
        </w:rPr>
      </w:pPr>
    </w:p>
    <w:p w14:paraId="78A2A221">
      <w:pPr>
        <w:rPr>
          <w:rFonts w:ascii="Arial" w:hAnsi="Arial" w:eastAsia="Arial" w:cs="Arial"/>
          <w:sz w:val="21"/>
          <w:szCs w:val="21"/>
        </w:rPr>
        <w:sectPr>
          <w:footerReference r:id="rId97" w:type="default"/>
          <w:pgSz w:w="11906" w:h="16839"/>
          <w:pgMar w:top="1431" w:right="1413" w:bottom="1278" w:left="1413" w:header="0" w:footer="1116" w:gutter="0"/>
          <w:cols w:space="720" w:num="1"/>
        </w:sectPr>
      </w:pPr>
    </w:p>
    <w:p w14:paraId="03AAFE35">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5C267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39" w:hRule="atLeast"/>
        </w:trPr>
        <w:tc>
          <w:tcPr>
            <w:tcW w:w="668" w:type="dxa"/>
            <w:tcBorders>
              <w:right w:val="single" w:color="000000" w:sz="2" w:space="0"/>
            </w:tcBorders>
            <w:vAlign w:val="top"/>
          </w:tcPr>
          <w:p w14:paraId="1CBE385D">
            <w:pPr>
              <w:rPr>
                <w:rFonts w:ascii="Arial"/>
                <w:sz w:val="21"/>
              </w:rPr>
            </w:pPr>
          </w:p>
        </w:tc>
        <w:tc>
          <w:tcPr>
            <w:tcW w:w="8396" w:type="dxa"/>
            <w:tcBorders>
              <w:left w:val="single" w:color="000000" w:sz="2" w:space="0"/>
            </w:tcBorders>
            <w:vAlign w:val="top"/>
          </w:tcPr>
          <w:p w14:paraId="5D76D808">
            <w:pPr>
              <w:pStyle w:val="6"/>
              <w:spacing w:before="37" w:line="221" w:lineRule="auto"/>
              <w:ind w:left="2106"/>
              <w:rPr>
                <w:sz w:val="20"/>
                <w:szCs w:val="20"/>
              </w:rPr>
            </w:pPr>
            <w:r>
              <w:rPr>
                <w:b/>
                <w:bCs/>
                <w:spacing w:val="5"/>
                <w:sz w:val="20"/>
                <w:szCs w:val="20"/>
              </w:rPr>
              <w:t>表</w:t>
            </w:r>
            <w:r>
              <w:rPr>
                <w:spacing w:val="-25"/>
                <w:sz w:val="20"/>
                <w:szCs w:val="20"/>
              </w:rPr>
              <w:t xml:space="preserve"> </w:t>
            </w:r>
            <w:r>
              <w:rPr>
                <w:rFonts w:ascii="Times New Roman" w:hAnsi="Times New Roman" w:eastAsia="Times New Roman" w:cs="Times New Roman"/>
                <w:b/>
                <w:bCs/>
                <w:spacing w:val="5"/>
                <w:sz w:val="20"/>
                <w:szCs w:val="20"/>
              </w:rPr>
              <w:t xml:space="preserve">3-6    </w:t>
            </w:r>
            <w:r>
              <w:rPr>
                <w:b/>
                <w:bCs/>
                <w:spacing w:val="5"/>
                <w:sz w:val="20"/>
                <w:szCs w:val="20"/>
              </w:rPr>
              <w:t>声环境监测结果一览表</w:t>
            </w:r>
            <w:r>
              <w:rPr>
                <w:spacing w:val="5"/>
                <w:sz w:val="20"/>
                <w:szCs w:val="20"/>
              </w:rPr>
              <w:t xml:space="preserve">   </w:t>
            </w:r>
            <w:r>
              <w:rPr>
                <w:b/>
                <w:bCs/>
                <w:spacing w:val="5"/>
                <w:sz w:val="20"/>
                <w:szCs w:val="20"/>
              </w:rPr>
              <w:t>单位：</w:t>
            </w:r>
            <w:r>
              <w:rPr>
                <w:rFonts w:ascii="Times New Roman" w:hAnsi="Times New Roman" w:eastAsia="Times New Roman" w:cs="Times New Roman"/>
                <w:b/>
                <w:bCs/>
                <w:sz w:val="20"/>
                <w:szCs w:val="20"/>
              </w:rPr>
              <w:t>dB</w:t>
            </w:r>
            <w:r>
              <w:rPr>
                <w:b/>
                <w:bCs/>
                <w:spacing w:val="5"/>
                <w:sz w:val="20"/>
                <w:szCs w:val="20"/>
              </w:rPr>
              <w:t>（</w:t>
            </w:r>
            <w:r>
              <w:rPr>
                <w:rFonts w:ascii="Times New Roman" w:hAnsi="Times New Roman" w:eastAsia="Times New Roman" w:cs="Times New Roman"/>
                <w:b/>
                <w:bCs/>
                <w:spacing w:val="5"/>
                <w:sz w:val="20"/>
                <w:szCs w:val="20"/>
              </w:rPr>
              <w:t>A</w:t>
            </w:r>
            <w:r>
              <w:rPr>
                <w:b/>
                <w:bCs/>
                <w:spacing w:val="5"/>
                <w:sz w:val="20"/>
                <w:szCs w:val="20"/>
              </w:rPr>
              <w:t>）</w:t>
            </w:r>
          </w:p>
          <w:tbl>
            <w:tblPr>
              <w:tblStyle w:val="5"/>
              <w:tblW w:w="8166"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7"/>
              <w:gridCol w:w="1266"/>
              <w:gridCol w:w="1274"/>
              <w:gridCol w:w="1421"/>
              <w:gridCol w:w="1847"/>
              <w:gridCol w:w="1041"/>
            </w:tblGrid>
            <w:tr w14:paraId="518AA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317" w:type="dxa"/>
                  <w:vAlign w:val="top"/>
                </w:tcPr>
                <w:p w14:paraId="15F04A1A">
                  <w:pPr>
                    <w:pStyle w:val="6"/>
                    <w:spacing w:before="175" w:line="229" w:lineRule="auto"/>
                    <w:ind w:left="243"/>
                    <w:rPr>
                      <w:sz w:val="20"/>
                      <w:szCs w:val="20"/>
                    </w:rPr>
                  </w:pPr>
                  <w:r>
                    <w:rPr>
                      <w:b/>
                      <w:bCs/>
                      <w:spacing w:val="6"/>
                      <w:sz w:val="20"/>
                      <w:szCs w:val="20"/>
                    </w:rPr>
                    <w:t>监测点位</w:t>
                  </w:r>
                </w:p>
              </w:tc>
              <w:tc>
                <w:tcPr>
                  <w:tcW w:w="1266" w:type="dxa"/>
                  <w:vAlign w:val="top"/>
                </w:tcPr>
                <w:p w14:paraId="49914EDF">
                  <w:pPr>
                    <w:pStyle w:val="6"/>
                    <w:spacing w:before="174" w:line="228" w:lineRule="auto"/>
                    <w:ind w:left="216"/>
                    <w:rPr>
                      <w:sz w:val="20"/>
                      <w:szCs w:val="20"/>
                    </w:rPr>
                  </w:pPr>
                  <w:r>
                    <w:rPr>
                      <w:b/>
                      <w:bCs/>
                      <w:spacing w:val="6"/>
                      <w:sz w:val="20"/>
                      <w:szCs w:val="20"/>
                    </w:rPr>
                    <w:t>检测日期</w:t>
                  </w:r>
                </w:p>
              </w:tc>
              <w:tc>
                <w:tcPr>
                  <w:tcW w:w="1274" w:type="dxa"/>
                  <w:vAlign w:val="top"/>
                </w:tcPr>
                <w:p w14:paraId="41F11A4D">
                  <w:pPr>
                    <w:pStyle w:val="6"/>
                    <w:spacing w:before="174" w:line="227" w:lineRule="auto"/>
                    <w:ind w:left="219"/>
                    <w:rPr>
                      <w:sz w:val="20"/>
                      <w:szCs w:val="20"/>
                    </w:rPr>
                  </w:pPr>
                  <w:r>
                    <w:rPr>
                      <w:b/>
                      <w:bCs/>
                      <w:spacing w:val="6"/>
                      <w:sz w:val="20"/>
                      <w:szCs w:val="20"/>
                    </w:rPr>
                    <w:t>采样时段</w:t>
                  </w:r>
                </w:p>
              </w:tc>
              <w:tc>
                <w:tcPr>
                  <w:tcW w:w="1421" w:type="dxa"/>
                  <w:vAlign w:val="top"/>
                </w:tcPr>
                <w:p w14:paraId="561BFE53">
                  <w:pPr>
                    <w:pStyle w:val="6"/>
                    <w:spacing w:before="174" w:line="228" w:lineRule="auto"/>
                    <w:ind w:left="410"/>
                    <w:rPr>
                      <w:sz w:val="20"/>
                      <w:szCs w:val="20"/>
                    </w:rPr>
                  </w:pPr>
                  <w:r>
                    <w:rPr>
                      <w:b/>
                      <w:bCs/>
                      <w:spacing w:val="2"/>
                      <w:sz w:val="20"/>
                      <w:szCs w:val="20"/>
                    </w:rPr>
                    <w:t>噪声值</w:t>
                  </w:r>
                </w:p>
              </w:tc>
              <w:tc>
                <w:tcPr>
                  <w:tcW w:w="1847" w:type="dxa"/>
                  <w:vAlign w:val="top"/>
                </w:tcPr>
                <w:p w14:paraId="2D65964E">
                  <w:pPr>
                    <w:pStyle w:val="6"/>
                    <w:spacing w:before="174" w:line="228" w:lineRule="auto"/>
                    <w:ind w:left="617"/>
                    <w:rPr>
                      <w:sz w:val="20"/>
                      <w:szCs w:val="20"/>
                    </w:rPr>
                  </w:pPr>
                  <w:r>
                    <w:rPr>
                      <w:b/>
                      <w:bCs/>
                      <w:spacing w:val="5"/>
                      <w:sz w:val="20"/>
                      <w:szCs w:val="20"/>
                    </w:rPr>
                    <w:t>标准值</w:t>
                  </w:r>
                </w:p>
              </w:tc>
              <w:tc>
                <w:tcPr>
                  <w:tcW w:w="1041" w:type="dxa"/>
                  <w:vAlign w:val="top"/>
                </w:tcPr>
                <w:p w14:paraId="46BD84A3">
                  <w:pPr>
                    <w:pStyle w:val="6"/>
                    <w:spacing w:before="36" w:line="238" w:lineRule="auto"/>
                    <w:ind w:left="424" w:right="203" w:hanging="213"/>
                    <w:rPr>
                      <w:sz w:val="20"/>
                      <w:szCs w:val="20"/>
                    </w:rPr>
                  </w:pPr>
                  <w:r>
                    <w:rPr>
                      <w:b/>
                      <w:bCs/>
                      <w:spacing w:val="5"/>
                      <w:sz w:val="20"/>
                      <w:szCs w:val="20"/>
                    </w:rPr>
                    <w:t>达标情</w:t>
                  </w:r>
                  <w:r>
                    <w:rPr>
                      <w:sz w:val="20"/>
                      <w:szCs w:val="20"/>
                    </w:rPr>
                    <w:t xml:space="preserve"> </w:t>
                  </w:r>
                  <w:r>
                    <w:rPr>
                      <w:b/>
                      <w:bCs/>
                      <w:spacing w:val="-3"/>
                      <w:sz w:val="20"/>
                      <w:szCs w:val="20"/>
                    </w:rPr>
                    <w:t>况</w:t>
                  </w:r>
                </w:p>
              </w:tc>
            </w:tr>
            <w:tr w14:paraId="72E21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317" w:type="dxa"/>
                  <w:vMerge w:val="restart"/>
                  <w:tcBorders>
                    <w:bottom w:val="nil"/>
                  </w:tcBorders>
                  <w:vAlign w:val="top"/>
                </w:tcPr>
                <w:p w14:paraId="19E27B28">
                  <w:pPr>
                    <w:pStyle w:val="6"/>
                    <w:spacing w:before="95" w:line="317" w:lineRule="auto"/>
                    <w:ind w:left="114" w:right="128" w:firstLine="90"/>
                    <w:jc w:val="both"/>
                    <w:rPr>
                      <w:sz w:val="20"/>
                      <w:szCs w:val="20"/>
                    </w:rPr>
                  </w:pPr>
                  <w:r>
                    <w:rPr>
                      <w:spacing w:val="-8"/>
                      <w:sz w:val="20"/>
                      <w:szCs w:val="20"/>
                    </w:rPr>
                    <w:t>区块</w:t>
                  </w:r>
                  <w:r>
                    <w:rPr>
                      <w:spacing w:val="-18"/>
                      <w:sz w:val="20"/>
                      <w:szCs w:val="20"/>
                    </w:rPr>
                    <w:t xml:space="preserve"> </w:t>
                  </w:r>
                  <w:r>
                    <w:rPr>
                      <w:rFonts w:ascii="Times New Roman" w:hAnsi="Times New Roman" w:eastAsia="Times New Roman" w:cs="Times New Roman"/>
                      <w:spacing w:val="-8"/>
                      <w:sz w:val="20"/>
                      <w:szCs w:val="20"/>
                    </w:rPr>
                    <w:t>14</w:t>
                  </w:r>
                  <w:r>
                    <w:rPr>
                      <w:rFonts w:ascii="Times New Roman" w:hAnsi="Times New Roman" w:eastAsia="Times New Roman" w:cs="Times New Roman"/>
                      <w:spacing w:val="29"/>
                      <w:sz w:val="20"/>
                      <w:szCs w:val="20"/>
                    </w:rPr>
                    <w:t xml:space="preserve"> </w:t>
                  </w:r>
                  <w:r>
                    <w:rPr>
                      <w:spacing w:val="-8"/>
                      <w:sz w:val="20"/>
                      <w:szCs w:val="20"/>
                    </w:rPr>
                    <w:t>附</w:t>
                  </w:r>
                  <w:r>
                    <w:rPr>
                      <w:sz w:val="20"/>
                      <w:szCs w:val="20"/>
                    </w:rPr>
                    <w:t xml:space="preserve"> </w:t>
                  </w:r>
                  <w:r>
                    <w:rPr>
                      <w:spacing w:val="13"/>
                      <w:sz w:val="20"/>
                      <w:szCs w:val="20"/>
                    </w:rPr>
                    <w:t>近的水冒天</w:t>
                  </w:r>
                  <w:r>
                    <w:rPr>
                      <w:sz w:val="20"/>
                      <w:szCs w:val="20"/>
                    </w:rPr>
                    <w:t xml:space="preserve"> </w:t>
                  </w:r>
                  <w:r>
                    <w:rPr>
                      <w:spacing w:val="4"/>
                      <w:sz w:val="20"/>
                      <w:szCs w:val="20"/>
                    </w:rPr>
                    <w:t>散户（</w:t>
                  </w:r>
                  <w:r>
                    <w:rPr>
                      <w:rFonts w:ascii="Times New Roman" w:hAnsi="Times New Roman" w:eastAsia="Times New Roman" w:cs="Times New Roman"/>
                      <w:spacing w:val="4"/>
                      <w:sz w:val="20"/>
                      <w:szCs w:val="20"/>
                    </w:rPr>
                    <w:t>N1</w:t>
                  </w:r>
                  <w:r>
                    <w:rPr>
                      <w:spacing w:val="4"/>
                      <w:sz w:val="20"/>
                      <w:szCs w:val="20"/>
                    </w:rPr>
                    <w:t>）</w:t>
                  </w:r>
                </w:p>
              </w:tc>
              <w:tc>
                <w:tcPr>
                  <w:tcW w:w="1266" w:type="dxa"/>
                  <w:vMerge w:val="restart"/>
                  <w:tcBorders>
                    <w:bottom w:val="nil"/>
                  </w:tcBorders>
                  <w:vAlign w:val="top"/>
                </w:tcPr>
                <w:p w14:paraId="35D0F83E">
                  <w:pPr>
                    <w:pStyle w:val="6"/>
                    <w:spacing w:before="35" w:line="239" w:lineRule="auto"/>
                    <w:ind w:left="423" w:right="159" w:hanging="261"/>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2</w:t>
                  </w:r>
                  <w:r>
                    <w:rPr>
                      <w:spacing w:val="5"/>
                      <w:sz w:val="20"/>
                      <w:szCs w:val="20"/>
                    </w:rPr>
                    <w:t>月</w:t>
                  </w:r>
                  <w:r>
                    <w:rPr>
                      <w:spacing w:val="2"/>
                      <w:sz w:val="20"/>
                      <w:szCs w:val="20"/>
                    </w:rPr>
                    <w:t xml:space="preserve"> </w:t>
                  </w:r>
                  <w:r>
                    <w:rPr>
                      <w:rFonts w:ascii="Times New Roman" w:hAnsi="Times New Roman" w:eastAsia="Times New Roman" w:cs="Times New Roman"/>
                      <w:spacing w:val="4"/>
                      <w:sz w:val="20"/>
                      <w:szCs w:val="20"/>
                    </w:rPr>
                    <w:t>28</w:t>
                  </w:r>
                  <w:r>
                    <w:rPr>
                      <w:spacing w:val="4"/>
                      <w:sz w:val="20"/>
                      <w:szCs w:val="20"/>
                    </w:rPr>
                    <w:t>日</w:t>
                  </w:r>
                </w:p>
              </w:tc>
              <w:tc>
                <w:tcPr>
                  <w:tcW w:w="1274" w:type="dxa"/>
                  <w:vAlign w:val="top"/>
                </w:tcPr>
                <w:p w14:paraId="795087DE">
                  <w:pPr>
                    <w:pStyle w:val="6"/>
                    <w:spacing w:before="32" w:line="218" w:lineRule="auto"/>
                    <w:ind w:left="430"/>
                    <w:rPr>
                      <w:sz w:val="20"/>
                      <w:szCs w:val="20"/>
                    </w:rPr>
                  </w:pPr>
                  <w:r>
                    <w:rPr>
                      <w:spacing w:val="5"/>
                      <w:sz w:val="20"/>
                      <w:szCs w:val="20"/>
                    </w:rPr>
                    <w:t>昼间</w:t>
                  </w:r>
                </w:p>
              </w:tc>
              <w:tc>
                <w:tcPr>
                  <w:tcW w:w="1421" w:type="dxa"/>
                  <w:vAlign w:val="top"/>
                </w:tcPr>
                <w:p w14:paraId="0229C707">
                  <w:pPr>
                    <w:spacing w:before="71" w:line="195"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7" w:type="dxa"/>
                  <w:vMerge w:val="restart"/>
                  <w:tcBorders>
                    <w:bottom w:val="nil"/>
                  </w:tcBorders>
                  <w:vAlign w:val="top"/>
                </w:tcPr>
                <w:p w14:paraId="679029E6">
                  <w:pPr>
                    <w:spacing w:line="251" w:lineRule="auto"/>
                    <w:rPr>
                      <w:rFonts w:ascii="Arial"/>
                      <w:sz w:val="21"/>
                    </w:rPr>
                  </w:pPr>
                </w:p>
                <w:p w14:paraId="64531BE8">
                  <w:pPr>
                    <w:spacing w:line="251" w:lineRule="auto"/>
                    <w:rPr>
                      <w:rFonts w:ascii="Arial"/>
                      <w:sz w:val="21"/>
                    </w:rPr>
                  </w:pPr>
                </w:p>
                <w:p w14:paraId="3864E03B">
                  <w:pPr>
                    <w:spacing w:line="251" w:lineRule="auto"/>
                    <w:rPr>
                      <w:rFonts w:ascii="Arial"/>
                      <w:sz w:val="21"/>
                    </w:rPr>
                  </w:pPr>
                </w:p>
                <w:p w14:paraId="2707FA39">
                  <w:pPr>
                    <w:spacing w:line="251" w:lineRule="auto"/>
                    <w:rPr>
                      <w:rFonts w:ascii="Arial"/>
                      <w:sz w:val="21"/>
                    </w:rPr>
                  </w:pPr>
                </w:p>
                <w:p w14:paraId="1A103541">
                  <w:pPr>
                    <w:spacing w:line="251" w:lineRule="auto"/>
                    <w:rPr>
                      <w:rFonts w:ascii="Arial"/>
                      <w:sz w:val="21"/>
                    </w:rPr>
                  </w:pPr>
                </w:p>
                <w:p w14:paraId="120E2E0E">
                  <w:pPr>
                    <w:spacing w:line="251" w:lineRule="auto"/>
                    <w:rPr>
                      <w:rFonts w:ascii="Arial"/>
                      <w:sz w:val="21"/>
                    </w:rPr>
                  </w:pPr>
                </w:p>
                <w:p w14:paraId="06661CB1">
                  <w:pPr>
                    <w:spacing w:line="251" w:lineRule="auto"/>
                    <w:rPr>
                      <w:rFonts w:ascii="Arial"/>
                      <w:sz w:val="21"/>
                    </w:rPr>
                  </w:pPr>
                </w:p>
                <w:p w14:paraId="63528A3E">
                  <w:pPr>
                    <w:spacing w:line="251" w:lineRule="auto"/>
                    <w:rPr>
                      <w:rFonts w:ascii="Arial"/>
                      <w:sz w:val="21"/>
                    </w:rPr>
                  </w:pPr>
                </w:p>
                <w:p w14:paraId="47DD7E7A">
                  <w:pPr>
                    <w:spacing w:line="251" w:lineRule="auto"/>
                    <w:rPr>
                      <w:rFonts w:ascii="Arial"/>
                      <w:sz w:val="21"/>
                    </w:rPr>
                  </w:pPr>
                </w:p>
                <w:p w14:paraId="566E9C99">
                  <w:pPr>
                    <w:spacing w:line="251" w:lineRule="auto"/>
                    <w:rPr>
                      <w:rFonts w:ascii="Arial"/>
                      <w:sz w:val="21"/>
                    </w:rPr>
                  </w:pPr>
                </w:p>
                <w:p w14:paraId="7D434A7B">
                  <w:pPr>
                    <w:spacing w:line="251" w:lineRule="auto"/>
                    <w:rPr>
                      <w:rFonts w:ascii="Arial"/>
                      <w:sz w:val="21"/>
                    </w:rPr>
                  </w:pPr>
                </w:p>
                <w:p w14:paraId="7ECE1E68">
                  <w:pPr>
                    <w:spacing w:line="251" w:lineRule="auto"/>
                    <w:rPr>
                      <w:rFonts w:ascii="Arial"/>
                      <w:sz w:val="21"/>
                    </w:rPr>
                  </w:pPr>
                </w:p>
                <w:p w14:paraId="75DC6B05">
                  <w:pPr>
                    <w:spacing w:line="251" w:lineRule="auto"/>
                    <w:rPr>
                      <w:rFonts w:ascii="Arial"/>
                      <w:sz w:val="21"/>
                    </w:rPr>
                  </w:pPr>
                </w:p>
                <w:p w14:paraId="21E377F6">
                  <w:pPr>
                    <w:spacing w:line="252" w:lineRule="auto"/>
                    <w:rPr>
                      <w:rFonts w:ascii="Arial"/>
                      <w:sz w:val="21"/>
                    </w:rPr>
                  </w:pPr>
                </w:p>
                <w:p w14:paraId="6C7158EC">
                  <w:pPr>
                    <w:spacing w:line="252" w:lineRule="auto"/>
                    <w:rPr>
                      <w:rFonts w:ascii="Arial"/>
                      <w:sz w:val="21"/>
                    </w:rPr>
                  </w:pPr>
                </w:p>
                <w:p w14:paraId="3513A9BC">
                  <w:pPr>
                    <w:spacing w:line="252" w:lineRule="auto"/>
                    <w:rPr>
                      <w:rFonts w:ascii="Arial"/>
                      <w:sz w:val="21"/>
                    </w:rPr>
                  </w:pPr>
                </w:p>
                <w:p w14:paraId="3994A062">
                  <w:pPr>
                    <w:spacing w:line="252" w:lineRule="auto"/>
                    <w:rPr>
                      <w:rFonts w:ascii="Arial"/>
                      <w:sz w:val="21"/>
                    </w:rPr>
                  </w:pPr>
                </w:p>
                <w:p w14:paraId="3E3E6174">
                  <w:pPr>
                    <w:pStyle w:val="6"/>
                    <w:spacing w:before="65" w:line="242" w:lineRule="auto"/>
                    <w:ind w:left="187" w:right="86" w:hanging="73"/>
                    <w:rPr>
                      <w:sz w:val="20"/>
                      <w:szCs w:val="20"/>
                    </w:rPr>
                  </w:pPr>
                  <w:r>
                    <w:rPr>
                      <w:sz w:val="20"/>
                      <w:szCs w:val="20"/>
                    </w:rPr>
                    <w:t>昼间</w:t>
                  </w:r>
                  <w:r>
                    <w:rPr>
                      <w:rFonts w:ascii="Times New Roman" w:hAnsi="Times New Roman" w:eastAsia="Times New Roman" w:cs="Times New Roman"/>
                      <w:sz w:val="20"/>
                      <w:szCs w:val="20"/>
                    </w:rPr>
                    <w:t>≤55dB</w:t>
                  </w:r>
                  <w:r>
                    <w:rPr>
                      <w:sz w:val="20"/>
                      <w:szCs w:val="20"/>
                    </w:rPr>
                    <w:t>（</w:t>
                  </w:r>
                  <w:r>
                    <w:rPr>
                      <w:rFonts w:ascii="Times New Roman" w:hAnsi="Times New Roman" w:eastAsia="Times New Roman" w:cs="Times New Roman"/>
                      <w:sz w:val="20"/>
                      <w:szCs w:val="20"/>
                    </w:rPr>
                    <w:t>A</w:t>
                  </w:r>
                  <w:r>
                    <w:rPr>
                      <w:spacing w:val="-24"/>
                      <w:sz w:val="20"/>
                      <w:szCs w:val="20"/>
                    </w:rPr>
                    <w:t>），</w:t>
                  </w:r>
                  <w:r>
                    <w:rPr>
                      <w:sz w:val="20"/>
                      <w:szCs w:val="20"/>
                    </w:rPr>
                    <w:t xml:space="preserve"> </w:t>
                  </w:r>
                  <w:r>
                    <w:rPr>
                      <w:spacing w:val="-1"/>
                      <w:sz w:val="20"/>
                      <w:szCs w:val="20"/>
                    </w:rPr>
                    <w:t>夜间</w:t>
                  </w:r>
                  <w:r>
                    <w:rPr>
                      <w:rFonts w:ascii="Times New Roman" w:hAnsi="Times New Roman" w:eastAsia="Times New Roman" w:cs="Times New Roman"/>
                      <w:spacing w:val="-1"/>
                      <w:sz w:val="20"/>
                      <w:szCs w:val="20"/>
                    </w:rPr>
                    <w:t>≤45dB</w:t>
                  </w:r>
                  <w:r>
                    <w:rPr>
                      <w:spacing w:val="-1"/>
                      <w:sz w:val="20"/>
                      <w:szCs w:val="20"/>
                    </w:rPr>
                    <w:t>（</w:t>
                  </w:r>
                  <w:r>
                    <w:rPr>
                      <w:rFonts w:ascii="Times New Roman" w:hAnsi="Times New Roman" w:eastAsia="Times New Roman" w:cs="Times New Roman"/>
                      <w:spacing w:val="-1"/>
                      <w:sz w:val="20"/>
                      <w:szCs w:val="20"/>
                    </w:rPr>
                    <w:t>A</w:t>
                  </w:r>
                  <w:r>
                    <w:rPr>
                      <w:spacing w:val="-1"/>
                      <w:sz w:val="20"/>
                      <w:szCs w:val="20"/>
                    </w:rPr>
                    <w:t>）</w:t>
                  </w:r>
                </w:p>
              </w:tc>
              <w:tc>
                <w:tcPr>
                  <w:tcW w:w="1041" w:type="dxa"/>
                  <w:vAlign w:val="top"/>
                </w:tcPr>
                <w:p w14:paraId="6C25E483">
                  <w:pPr>
                    <w:pStyle w:val="6"/>
                    <w:spacing w:before="32" w:line="218" w:lineRule="auto"/>
                    <w:ind w:left="326"/>
                    <w:rPr>
                      <w:sz w:val="20"/>
                      <w:szCs w:val="20"/>
                    </w:rPr>
                  </w:pPr>
                  <w:r>
                    <w:rPr>
                      <w:sz w:val="20"/>
                      <w:szCs w:val="20"/>
                    </w:rPr>
                    <w:t>达标</w:t>
                  </w:r>
                </w:p>
              </w:tc>
            </w:tr>
            <w:tr w14:paraId="1CB07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317" w:type="dxa"/>
                  <w:vMerge w:val="continue"/>
                  <w:tcBorders>
                    <w:top w:val="nil"/>
                    <w:bottom w:val="nil"/>
                  </w:tcBorders>
                  <w:vAlign w:val="top"/>
                </w:tcPr>
                <w:p w14:paraId="7E05A4CC">
                  <w:pPr>
                    <w:rPr>
                      <w:rFonts w:ascii="Arial"/>
                      <w:sz w:val="21"/>
                    </w:rPr>
                  </w:pPr>
                </w:p>
              </w:tc>
              <w:tc>
                <w:tcPr>
                  <w:tcW w:w="1266" w:type="dxa"/>
                  <w:vMerge w:val="continue"/>
                  <w:tcBorders>
                    <w:top w:val="nil"/>
                  </w:tcBorders>
                  <w:vAlign w:val="top"/>
                </w:tcPr>
                <w:p w14:paraId="057A9F22">
                  <w:pPr>
                    <w:rPr>
                      <w:rFonts w:ascii="Arial"/>
                      <w:sz w:val="21"/>
                    </w:rPr>
                  </w:pPr>
                </w:p>
              </w:tc>
              <w:tc>
                <w:tcPr>
                  <w:tcW w:w="1274" w:type="dxa"/>
                  <w:vAlign w:val="top"/>
                </w:tcPr>
                <w:p w14:paraId="2B66A465">
                  <w:pPr>
                    <w:pStyle w:val="6"/>
                    <w:spacing w:before="35" w:line="216" w:lineRule="auto"/>
                    <w:ind w:left="434"/>
                    <w:rPr>
                      <w:sz w:val="20"/>
                      <w:szCs w:val="20"/>
                    </w:rPr>
                  </w:pPr>
                  <w:r>
                    <w:rPr>
                      <w:spacing w:val="3"/>
                      <w:sz w:val="20"/>
                      <w:szCs w:val="20"/>
                    </w:rPr>
                    <w:t>夜间</w:t>
                  </w:r>
                </w:p>
              </w:tc>
              <w:tc>
                <w:tcPr>
                  <w:tcW w:w="1421" w:type="dxa"/>
                  <w:vAlign w:val="top"/>
                </w:tcPr>
                <w:p w14:paraId="0CAC61F1">
                  <w:pPr>
                    <w:spacing w:before="70"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847" w:type="dxa"/>
                  <w:vMerge w:val="continue"/>
                  <w:tcBorders>
                    <w:top w:val="nil"/>
                    <w:bottom w:val="nil"/>
                  </w:tcBorders>
                  <w:vAlign w:val="top"/>
                </w:tcPr>
                <w:p w14:paraId="1BBA570E">
                  <w:pPr>
                    <w:rPr>
                      <w:rFonts w:ascii="Arial"/>
                      <w:sz w:val="21"/>
                    </w:rPr>
                  </w:pPr>
                </w:p>
              </w:tc>
              <w:tc>
                <w:tcPr>
                  <w:tcW w:w="1041" w:type="dxa"/>
                  <w:vAlign w:val="top"/>
                </w:tcPr>
                <w:p w14:paraId="109C96C9">
                  <w:pPr>
                    <w:pStyle w:val="6"/>
                    <w:spacing w:before="35" w:line="216" w:lineRule="auto"/>
                    <w:ind w:left="326"/>
                    <w:rPr>
                      <w:sz w:val="20"/>
                      <w:szCs w:val="20"/>
                    </w:rPr>
                  </w:pPr>
                  <w:r>
                    <w:rPr>
                      <w:sz w:val="20"/>
                      <w:szCs w:val="20"/>
                    </w:rPr>
                    <w:t>达标</w:t>
                  </w:r>
                </w:p>
              </w:tc>
            </w:tr>
            <w:tr w14:paraId="25E97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317" w:type="dxa"/>
                  <w:vMerge w:val="continue"/>
                  <w:tcBorders>
                    <w:top w:val="nil"/>
                    <w:bottom w:val="nil"/>
                  </w:tcBorders>
                  <w:vAlign w:val="top"/>
                </w:tcPr>
                <w:p w14:paraId="6A58B365">
                  <w:pPr>
                    <w:rPr>
                      <w:rFonts w:ascii="Arial"/>
                      <w:sz w:val="21"/>
                    </w:rPr>
                  </w:pPr>
                </w:p>
              </w:tc>
              <w:tc>
                <w:tcPr>
                  <w:tcW w:w="1266" w:type="dxa"/>
                  <w:vMerge w:val="restart"/>
                  <w:tcBorders>
                    <w:bottom w:val="nil"/>
                  </w:tcBorders>
                  <w:vAlign w:val="top"/>
                </w:tcPr>
                <w:p w14:paraId="00C87583">
                  <w:pPr>
                    <w:pStyle w:val="6"/>
                    <w:spacing w:before="67" w:line="247" w:lineRule="auto"/>
                    <w:ind w:left="568" w:right="107" w:hanging="459"/>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3</w:t>
                  </w:r>
                  <w:r>
                    <w:rPr>
                      <w:spacing w:val="5"/>
                      <w:sz w:val="20"/>
                      <w:szCs w:val="20"/>
                    </w:rPr>
                    <w:t>月</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
                      <w:sz w:val="20"/>
                      <w:szCs w:val="20"/>
                    </w:rPr>
                    <w:t xml:space="preserve"> </w:t>
                  </w:r>
                  <w:r>
                    <w:rPr>
                      <w:sz w:val="20"/>
                      <w:szCs w:val="20"/>
                    </w:rPr>
                    <w:t>日</w:t>
                  </w:r>
                </w:p>
              </w:tc>
              <w:tc>
                <w:tcPr>
                  <w:tcW w:w="1274" w:type="dxa"/>
                  <w:vAlign w:val="top"/>
                </w:tcPr>
                <w:p w14:paraId="0333192E">
                  <w:pPr>
                    <w:pStyle w:val="6"/>
                    <w:spacing w:before="50" w:line="230" w:lineRule="auto"/>
                    <w:ind w:left="430"/>
                    <w:rPr>
                      <w:sz w:val="20"/>
                      <w:szCs w:val="20"/>
                    </w:rPr>
                  </w:pPr>
                  <w:r>
                    <w:rPr>
                      <w:spacing w:val="5"/>
                      <w:sz w:val="20"/>
                      <w:szCs w:val="20"/>
                    </w:rPr>
                    <w:t>昼间</w:t>
                  </w:r>
                </w:p>
              </w:tc>
              <w:tc>
                <w:tcPr>
                  <w:tcW w:w="1421" w:type="dxa"/>
                  <w:vAlign w:val="top"/>
                </w:tcPr>
                <w:p w14:paraId="75F2E30C">
                  <w:pPr>
                    <w:spacing w:before="86"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847" w:type="dxa"/>
                  <w:vMerge w:val="continue"/>
                  <w:tcBorders>
                    <w:top w:val="nil"/>
                    <w:bottom w:val="nil"/>
                  </w:tcBorders>
                  <w:vAlign w:val="top"/>
                </w:tcPr>
                <w:p w14:paraId="6BA9B8FE">
                  <w:pPr>
                    <w:rPr>
                      <w:rFonts w:ascii="Arial"/>
                      <w:sz w:val="21"/>
                    </w:rPr>
                  </w:pPr>
                </w:p>
              </w:tc>
              <w:tc>
                <w:tcPr>
                  <w:tcW w:w="1041" w:type="dxa"/>
                  <w:vAlign w:val="top"/>
                </w:tcPr>
                <w:p w14:paraId="5FEE441D">
                  <w:pPr>
                    <w:pStyle w:val="6"/>
                    <w:spacing w:before="50" w:line="228" w:lineRule="auto"/>
                    <w:ind w:left="326"/>
                    <w:rPr>
                      <w:sz w:val="20"/>
                      <w:szCs w:val="20"/>
                    </w:rPr>
                  </w:pPr>
                  <w:r>
                    <w:rPr>
                      <w:sz w:val="20"/>
                      <w:szCs w:val="20"/>
                    </w:rPr>
                    <w:t>达标</w:t>
                  </w:r>
                </w:p>
              </w:tc>
            </w:tr>
            <w:tr w14:paraId="170B0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317" w:type="dxa"/>
                  <w:vMerge w:val="continue"/>
                  <w:tcBorders>
                    <w:top w:val="nil"/>
                  </w:tcBorders>
                  <w:vAlign w:val="top"/>
                </w:tcPr>
                <w:p w14:paraId="2FC4B568">
                  <w:pPr>
                    <w:rPr>
                      <w:rFonts w:ascii="Arial"/>
                      <w:sz w:val="21"/>
                    </w:rPr>
                  </w:pPr>
                </w:p>
              </w:tc>
              <w:tc>
                <w:tcPr>
                  <w:tcW w:w="1266" w:type="dxa"/>
                  <w:vMerge w:val="continue"/>
                  <w:tcBorders>
                    <w:top w:val="nil"/>
                  </w:tcBorders>
                  <w:vAlign w:val="top"/>
                </w:tcPr>
                <w:p w14:paraId="58C9B8DA">
                  <w:pPr>
                    <w:rPr>
                      <w:rFonts w:ascii="Arial"/>
                      <w:sz w:val="21"/>
                    </w:rPr>
                  </w:pPr>
                </w:p>
              </w:tc>
              <w:tc>
                <w:tcPr>
                  <w:tcW w:w="1274" w:type="dxa"/>
                  <w:vAlign w:val="top"/>
                </w:tcPr>
                <w:p w14:paraId="6B9359FF">
                  <w:pPr>
                    <w:pStyle w:val="6"/>
                    <w:spacing w:before="51" w:line="228" w:lineRule="auto"/>
                    <w:ind w:left="434"/>
                    <w:rPr>
                      <w:sz w:val="20"/>
                      <w:szCs w:val="20"/>
                    </w:rPr>
                  </w:pPr>
                  <w:r>
                    <w:rPr>
                      <w:spacing w:val="3"/>
                      <w:sz w:val="20"/>
                      <w:szCs w:val="20"/>
                    </w:rPr>
                    <w:t>夜间</w:t>
                  </w:r>
                </w:p>
              </w:tc>
              <w:tc>
                <w:tcPr>
                  <w:tcW w:w="1421" w:type="dxa"/>
                  <w:vAlign w:val="top"/>
                </w:tcPr>
                <w:p w14:paraId="0098600F">
                  <w:pPr>
                    <w:spacing w:before="88"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847" w:type="dxa"/>
                  <w:vMerge w:val="continue"/>
                  <w:tcBorders>
                    <w:top w:val="nil"/>
                    <w:bottom w:val="nil"/>
                  </w:tcBorders>
                  <w:vAlign w:val="top"/>
                </w:tcPr>
                <w:p w14:paraId="7F1330DC">
                  <w:pPr>
                    <w:rPr>
                      <w:rFonts w:ascii="Arial"/>
                      <w:sz w:val="21"/>
                    </w:rPr>
                  </w:pPr>
                </w:p>
              </w:tc>
              <w:tc>
                <w:tcPr>
                  <w:tcW w:w="1041" w:type="dxa"/>
                  <w:vAlign w:val="top"/>
                </w:tcPr>
                <w:p w14:paraId="23944114">
                  <w:pPr>
                    <w:pStyle w:val="6"/>
                    <w:spacing w:before="52" w:line="228" w:lineRule="auto"/>
                    <w:ind w:left="326"/>
                    <w:rPr>
                      <w:sz w:val="20"/>
                      <w:szCs w:val="20"/>
                    </w:rPr>
                  </w:pPr>
                  <w:r>
                    <w:rPr>
                      <w:sz w:val="20"/>
                      <w:szCs w:val="20"/>
                    </w:rPr>
                    <w:t>达标</w:t>
                  </w:r>
                </w:p>
              </w:tc>
            </w:tr>
            <w:tr w14:paraId="108B4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restart"/>
                  <w:tcBorders>
                    <w:bottom w:val="nil"/>
                  </w:tcBorders>
                  <w:vAlign w:val="top"/>
                </w:tcPr>
                <w:p w14:paraId="6D6402DE">
                  <w:pPr>
                    <w:pStyle w:val="6"/>
                    <w:spacing w:before="45" w:line="249" w:lineRule="auto"/>
                    <w:ind w:left="114" w:right="20" w:firstLine="56"/>
                    <w:jc w:val="both"/>
                    <w:rPr>
                      <w:sz w:val="20"/>
                      <w:szCs w:val="20"/>
                    </w:rPr>
                  </w:pP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3"/>
                      <w:sz w:val="20"/>
                      <w:szCs w:val="20"/>
                    </w:rPr>
                    <w:t xml:space="preserve"> </w:t>
                  </w:r>
                  <w:r>
                    <w:rPr>
                      <w:spacing w:val="5"/>
                      <w:sz w:val="20"/>
                      <w:szCs w:val="20"/>
                    </w:rPr>
                    <w:t>集电</w:t>
                  </w:r>
                  <w:r>
                    <w:rPr>
                      <w:sz w:val="20"/>
                      <w:szCs w:val="20"/>
                    </w:rPr>
                    <w:t xml:space="preserve">  </w:t>
                  </w:r>
                  <w:r>
                    <w:rPr>
                      <w:spacing w:val="1"/>
                      <w:sz w:val="20"/>
                      <w:szCs w:val="20"/>
                    </w:rPr>
                    <w:t>线路</w:t>
                  </w:r>
                  <w:r>
                    <w:rPr>
                      <w:spacing w:val="-39"/>
                      <w:sz w:val="20"/>
                      <w:szCs w:val="20"/>
                    </w:rPr>
                    <w:t xml:space="preserve"> </w:t>
                  </w:r>
                  <w:r>
                    <w:rPr>
                      <w:rFonts w:ascii="Times New Roman" w:hAnsi="Times New Roman" w:eastAsia="Times New Roman" w:cs="Times New Roman"/>
                      <w:spacing w:val="1"/>
                      <w:sz w:val="20"/>
                      <w:szCs w:val="20"/>
                    </w:rPr>
                    <w:t>B</w:t>
                  </w:r>
                  <w:r>
                    <w:rPr>
                      <w:rFonts w:ascii="Times New Roman" w:hAnsi="Times New Roman" w:eastAsia="Times New Roman" w:cs="Times New Roman"/>
                      <w:spacing w:val="32"/>
                      <w:sz w:val="20"/>
                      <w:szCs w:val="20"/>
                    </w:rPr>
                    <w:t xml:space="preserve"> </w:t>
                  </w:r>
                  <w:r>
                    <w:rPr>
                      <w:spacing w:val="1"/>
                      <w:sz w:val="20"/>
                      <w:szCs w:val="20"/>
                    </w:rPr>
                    <w:t>回</w:t>
                  </w:r>
                  <w:r>
                    <w:rPr>
                      <w:rFonts w:ascii="Times New Roman" w:hAnsi="Times New Roman" w:eastAsia="Times New Roman" w:cs="Times New Roman"/>
                      <w:spacing w:val="1"/>
                      <w:sz w:val="20"/>
                      <w:szCs w:val="20"/>
                    </w:rPr>
                    <w:t>8#</w:t>
                  </w:r>
                  <w:r>
                    <w:rPr>
                      <w:rFonts w:ascii="Times New Roman" w:hAnsi="Times New Roman" w:eastAsia="Times New Roman" w:cs="Times New Roman"/>
                      <w:sz w:val="20"/>
                      <w:szCs w:val="20"/>
                    </w:rPr>
                    <w:t xml:space="preserve">   </w:t>
                  </w:r>
                  <w:r>
                    <w:rPr>
                      <w:spacing w:val="13"/>
                      <w:sz w:val="20"/>
                      <w:szCs w:val="20"/>
                    </w:rPr>
                    <w:t>塔基南侧鲁</w:t>
                  </w:r>
                  <w:r>
                    <w:rPr>
                      <w:sz w:val="20"/>
                      <w:szCs w:val="20"/>
                    </w:rPr>
                    <w:t xml:space="preserve">  </w:t>
                  </w:r>
                  <w:r>
                    <w:rPr>
                      <w:spacing w:val="-10"/>
                      <w:sz w:val="20"/>
                      <w:szCs w:val="20"/>
                    </w:rPr>
                    <w:t>纳散户（</w:t>
                  </w:r>
                  <w:r>
                    <w:rPr>
                      <w:rFonts w:ascii="Times New Roman" w:hAnsi="Times New Roman" w:eastAsia="Times New Roman" w:cs="Times New Roman"/>
                      <w:spacing w:val="-10"/>
                      <w:sz w:val="20"/>
                      <w:szCs w:val="20"/>
                    </w:rPr>
                    <w:t>N2</w:t>
                  </w:r>
                  <w:r>
                    <w:rPr>
                      <w:spacing w:val="-10"/>
                      <w:sz w:val="20"/>
                      <w:szCs w:val="20"/>
                    </w:rPr>
                    <w:t>）</w:t>
                  </w:r>
                </w:p>
              </w:tc>
              <w:tc>
                <w:tcPr>
                  <w:tcW w:w="1266" w:type="dxa"/>
                  <w:vMerge w:val="restart"/>
                  <w:tcBorders>
                    <w:bottom w:val="nil"/>
                  </w:tcBorders>
                  <w:vAlign w:val="top"/>
                </w:tcPr>
                <w:p w14:paraId="488D7203">
                  <w:pPr>
                    <w:pStyle w:val="6"/>
                    <w:spacing w:before="39" w:line="238" w:lineRule="auto"/>
                    <w:ind w:left="423" w:right="159" w:hanging="261"/>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2</w:t>
                  </w:r>
                  <w:r>
                    <w:rPr>
                      <w:spacing w:val="5"/>
                      <w:sz w:val="20"/>
                      <w:szCs w:val="20"/>
                    </w:rPr>
                    <w:t>月</w:t>
                  </w:r>
                  <w:r>
                    <w:rPr>
                      <w:spacing w:val="2"/>
                      <w:sz w:val="20"/>
                      <w:szCs w:val="20"/>
                    </w:rPr>
                    <w:t xml:space="preserve"> </w:t>
                  </w:r>
                  <w:r>
                    <w:rPr>
                      <w:rFonts w:ascii="Times New Roman" w:hAnsi="Times New Roman" w:eastAsia="Times New Roman" w:cs="Times New Roman"/>
                      <w:spacing w:val="4"/>
                      <w:sz w:val="20"/>
                      <w:szCs w:val="20"/>
                    </w:rPr>
                    <w:t>28</w:t>
                  </w:r>
                  <w:r>
                    <w:rPr>
                      <w:spacing w:val="4"/>
                      <w:sz w:val="20"/>
                      <w:szCs w:val="20"/>
                    </w:rPr>
                    <w:t>日</w:t>
                  </w:r>
                </w:p>
              </w:tc>
              <w:tc>
                <w:tcPr>
                  <w:tcW w:w="1274" w:type="dxa"/>
                  <w:vAlign w:val="top"/>
                </w:tcPr>
                <w:p w14:paraId="5E776904">
                  <w:pPr>
                    <w:pStyle w:val="6"/>
                    <w:spacing w:before="37" w:line="215" w:lineRule="auto"/>
                    <w:ind w:left="430"/>
                    <w:rPr>
                      <w:sz w:val="20"/>
                      <w:szCs w:val="20"/>
                    </w:rPr>
                  </w:pPr>
                  <w:r>
                    <w:rPr>
                      <w:spacing w:val="5"/>
                      <w:sz w:val="20"/>
                      <w:szCs w:val="20"/>
                    </w:rPr>
                    <w:t>昼间</w:t>
                  </w:r>
                </w:p>
              </w:tc>
              <w:tc>
                <w:tcPr>
                  <w:tcW w:w="1421" w:type="dxa"/>
                  <w:vAlign w:val="top"/>
                </w:tcPr>
                <w:p w14:paraId="7582E9EB">
                  <w:pPr>
                    <w:spacing w:before="73"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847" w:type="dxa"/>
                  <w:vMerge w:val="continue"/>
                  <w:tcBorders>
                    <w:top w:val="nil"/>
                    <w:bottom w:val="nil"/>
                  </w:tcBorders>
                  <w:vAlign w:val="top"/>
                </w:tcPr>
                <w:p w14:paraId="63BD5D5D">
                  <w:pPr>
                    <w:rPr>
                      <w:rFonts w:ascii="Arial"/>
                      <w:sz w:val="21"/>
                    </w:rPr>
                  </w:pPr>
                </w:p>
              </w:tc>
              <w:tc>
                <w:tcPr>
                  <w:tcW w:w="1041" w:type="dxa"/>
                  <w:vAlign w:val="top"/>
                </w:tcPr>
                <w:p w14:paraId="693F15BA">
                  <w:pPr>
                    <w:pStyle w:val="6"/>
                    <w:spacing w:before="37" w:line="215" w:lineRule="auto"/>
                    <w:ind w:left="326"/>
                    <w:rPr>
                      <w:sz w:val="20"/>
                      <w:szCs w:val="20"/>
                    </w:rPr>
                  </w:pPr>
                  <w:r>
                    <w:rPr>
                      <w:sz w:val="20"/>
                      <w:szCs w:val="20"/>
                    </w:rPr>
                    <w:t>达标</w:t>
                  </w:r>
                </w:p>
              </w:tc>
            </w:tr>
            <w:tr w14:paraId="63CD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08D9D2A3">
                  <w:pPr>
                    <w:rPr>
                      <w:rFonts w:ascii="Arial"/>
                      <w:sz w:val="21"/>
                    </w:rPr>
                  </w:pPr>
                </w:p>
              </w:tc>
              <w:tc>
                <w:tcPr>
                  <w:tcW w:w="1266" w:type="dxa"/>
                  <w:vMerge w:val="continue"/>
                  <w:tcBorders>
                    <w:top w:val="nil"/>
                  </w:tcBorders>
                  <w:vAlign w:val="top"/>
                </w:tcPr>
                <w:p w14:paraId="1E7D6AC6">
                  <w:pPr>
                    <w:rPr>
                      <w:rFonts w:ascii="Arial"/>
                      <w:sz w:val="21"/>
                    </w:rPr>
                  </w:pPr>
                </w:p>
              </w:tc>
              <w:tc>
                <w:tcPr>
                  <w:tcW w:w="1274" w:type="dxa"/>
                  <w:vAlign w:val="top"/>
                </w:tcPr>
                <w:p w14:paraId="774A6D96">
                  <w:pPr>
                    <w:pStyle w:val="6"/>
                    <w:spacing w:before="38" w:line="214" w:lineRule="auto"/>
                    <w:ind w:left="434"/>
                    <w:rPr>
                      <w:sz w:val="20"/>
                      <w:szCs w:val="20"/>
                    </w:rPr>
                  </w:pPr>
                  <w:r>
                    <w:rPr>
                      <w:spacing w:val="3"/>
                      <w:sz w:val="20"/>
                      <w:szCs w:val="20"/>
                    </w:rPr>
                    <w:t>夜间</w:t>
                  </w:r>
                </w:p>
              </w:tc>
              <w:tc>
                <w:tcPr>
                  <w:tcW w:w="1421" w:type="dxa"/>
                  <w:vAlign w:val="top"/>
                </w:tcPr>
                <w:p w14:paraId="529A43A1">
                  <w:pPr>
                    <w:spacing w:before="73"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847" w:type="dxa"/>
                  <w:vMerge w:val="continue"/>
                  <w:tcBorders>
                    <w:top w:val="nil"/>
                    <w:bottom w:val="nil"/>
                  </w:tcBorders>
                  <w:vAlign w:val="top"/>
                </w:tcPr>
                <w:p w14:paraId="73B0D361">
                  <w:pPr>
                    <w:rPr>
                      <w:rFonts w:ascii="Arial"/>
                      <w:sz w:val="21"/>
                    </w:rPr>
                  </w:pPr>
                </w:p>
              </w:tc>
              <w:tc>
                <w:tcPr>
                  <w:tcW w:w="1041" w:type="dxa"/>
                  <w:vAlign w:val="top"/>
                </w:tcPr>
                <w:p w14:paraId="09F667D7">
                  <w:pPr>
                    <w:pStyle w:val="6"/>
                    <w:spacing w:before="38" w:line="214" w:lineRule="auto"/>
                    <w:ind w:left="326"/>
                    <w:rPr>
                      <w:sz w:val="20"/>
                      <w:szCs w:val="20"/>
                    </w:rPr>
                  </w:pPr>
                  <w:r>
                    <w:rPr>
                      <w:sz w:val="20"/>
                      <w:szCs w:val="20"/>
                    </w:rPr>
                    <w:t>达标</w:t>
                  </w:r>
                </w:p>
              </w:tc>
            </w:tr>
            <w:tr w14:paraId="00650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705B0A8A">
                  <w:pPr>
                    <w:rPr>
                      <w:rFonts w:ascii="Arial"/>
                      <w:sz w:val="21"/>
                    </w:rPr>
                  </w:pPr>
                </w:p>
              </w:tc>
              <w:tc>
                <w:tcPr>
                  <w:tcW w:w="1266" w:type="dxa"/>
                  <w:vMerge w:val="restart"/>
                  <w:tcBorders>
                    <w:bottom w:val="nil"/>
                  </w:tcBorders>
                  <w:vAlign w:val="top"/>
                </w:tcPr>
                <w:p w14:paraId="778181D6">
                  <w:pPr>
                    <w:pStyle w:val="6"/>
                    <w:spacing w:before="39" w:line="238" w:lineRule="auto"/>
                    <w:ind w:left="568" w:right="107" w:hanging="459"/>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3</w:t>
                  </w:r>
                  <w:r>
                    <w:rPr>
                      <w:spacing w:val="5"/>
                      <w:sz w:val="20"/>
                      <w:szCs w:val="20"/>
                    </w:rPr>
                    <w:t>月</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
                      <w:sz w:val="20"/>
                      <w:szCs w:val="20"/>
                    </w:rPr>
                    <w:t xml:space="preserve"> </w:t>
                  </w:r>
                  <w:r>
                    <w:rPr>
                      <w:sz w:val="20"/>
                      <w:szCs w:val="20"/>
                    </w:rPr>
                    <w:t>日</w:t>
                  </w:r>
                </w:p>
              </w:tc>
              <w:tc>
                <w:tcPr>
                  <w:tcW w:w="1274" w:type="dxa"/>
                  <w:vAlign w:val="top"/>
                </w:tcPr>
                <w:p w14:paraId="1A5E8C42">
                  <w:pPr>
                    <w:pStyle w:val="6"/>
                    <w:spacing w:before="38" w:line="214" w:lineRule="auto"/>
                    <w:ind w:left="430"/>
                    <w:rPr>
                      <w:sz w:val="20"/>
                      <w:szCs w:val="20"/>
                    </w:rPr>
                  </w:pPr>
                  <w:r>
                    <w:rPr>
                      <w:spacing w:val="5"/>
                      <w:sz w:val="20"/>
                      <w:szCs w:val="20"/>
                    </w:rPr>
                    <w:t>昼间</w:t>
                  </w:r>
                </w:p>
              </w:tc>
              <w:tc>
                <w:tcPr>
                  <w:tcW w:w="1421" w:type="dxa"/>
                  <w:vAlign w:val="top"/>
                </w:tcPr>
                <w:p w14:paraId="5F34803D">
                  <w:pPr>
                    <w:spacing w:before="74"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847" w:type="dxa"/>
                  <w:vMerge w:val="continue"/>
                  <w:tcBorders>
                    <w:top w:val="nil"/>
                    <w:bottom w:val="nil"/>
                  </w:tcBorders>
                  <w:vAlign w:val="top"/>
                </w:tcPr>
                <w:p w14:paraId="64856966">
                  <w:pPr>
                    <w:rPr>
                      <w:rFonts w:ascii="Arial"/>
                      <w:sz w:val="21"/>
                    </w:rPr>
                  </w:pPr>
                </w:p>
              </w:tc>
              <w:tc>
                <w:tcPr>
                  <w:tcW w:w="1041" w:type="dxa"/>
                  <w:vAlign w:val="top"/>
                </w:tcPr>
                <w:p w14:paraId="451CED09">
                  <w:pPr>
                    <w:pStyle w:val="6"/>
                    <w:spacing w:before="38" w:line="214" w:lineRule="auto"/>
                    <w:ind w:left="326"/>
                    <w:rPr>
                      <w:sz w:val="20"/>
                      <w:szCs w:val="20"/>
                    </w:rPr>
                  </w:pPr>
                  <w:r>
                    <w:rPr>
                      <w:sz w:val="20"/>
                      <w:szCs w:val="20"/>
                    </w:rPr>
                    <w:t>达标</w:t>
                  </w:r>
                </w:p>
              </w:tc>
            </w:tr>
            <w:tr w14:paraId="582BF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tcBorders>
                  <w:vAlign w:val="top"/>
                </w:tcPr>
                <w:p w14:paraId="5C0D8DAA">
                  <w:pPr>
                    <w:rPr>
                      <w:rFonts w:ascii="Arial"/>
                      <w:sz w:val="21"/>
                    </w:rPr>
                  </w:pPr>
                </w:p>
              </w:tc>
              <w:tc>
                <w:tcPr>
                  <w:tcW w:w="1266" w:type="dxa"/>
                  <w:vMerge w:val="continue"/>
                  <w:tcBorders>
                    <w:top w:val="nil"/>
                  </w:tcBorders>
                  <w:vAlign w:val="top"/>
                </w:tcPr>
                <w:p w14:paraId="0C3879FA">
                  <w:pPr>
                    <w:rPr>
                      <w:rFonts w:ascii="Arial"/>
                      <w:sz w:val="21"/>
                    </w:rPr>
                  </w:pPr>
                </w:p>
              </w:tc>
              <w:tc>
                <w:tcPr>
                  <w:tcW w:w="1274" w:type="dxa"/>
                  <w:vAlign w:val="top"/>
                </w:tcPr>
                <w:p w14:paraId="20BD0517">
                  <w:pPr>
                    <w:pStyle w:val="6"/>
                    <w:spacing w:before="37" w:line="215" w:lineRule="auto"/>
                    <w:ind w:left="434"/>
                    <w:rPr>
                      <w:sz w:val="20"/>
                      <w:szCs w:val="20"/>
                    </w:rPr>
                  </w:pPr>
                  <w:r>
                    <w:rPr>
                      <w:spacing w:val="3"/>
                      <w:sz w:val="20"/>
                      <w:szCs w:val="20"/>
                    </w:rPr>
                    <w:t>夜间</w:t>
                  </w:r>
                </w:p>
              </w:tc>
              <w:tc>
                <w:tcPr>
                  <w:tcW w:w="1421" w:type="dxa"/>
                  <w:vAlign w:val="top"/>
                </w:tcPr>
                <w:p w14:paraId="29238763">
                  <w:pPr>
                    <w:spacing w:before="74"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847" w:type="dxa"/>
                  <w:vMerge w:val="continue"/>
                  <w:tcBorders>
                    <w:top w:val="nil"/>
                    <w:bottom w:val="nil"/>
                  </w:tcBorders>
                  <w:vAlign w:val="top"/>
                </w:tcPr>
                <w:p w14:paraId="4B5E8598">
                  <w:pPr>
                    <w:rPr>
                      <w:rFonts w:ascii="Arial"/>
                      <w:sz w:val="21"/>
                    </w:rPr>
                  </w:pPr>
                </w:p>
              </w:tc>
              <w:tc>
                <w:tcPr>
                  <w:tcW w:w="1041" w:type="dxa"/>
                  <w:vAlign w:val="top"/>
                </w:tcPr>
                <w:p w14:paraId="174A3E83">
                  <w:pPr>
                    <w:pStyle w:val="6"/>
                    <w:spacing w:before="37" w:line="215" w:lineRule="auto"/>
                    <w:ind w:left="326"/>
                    <w:rPr>
                      <w:sz w:val="20"/>
                      <w:szCs w:val="20"/>
                    </w:rPr>
                  </w:pPr>
                  <w:r>
                    <w:rPr>
                      <w:sz w:val="20"/>
                      <w:szCs w:val="20"/>
                    </w:rPr>
                    <w:t>达标</w:t>
                  </w:r>
                </w:p>
              </w:tc>
            </w:tr>
            <w:tr w14:paraId="3B80E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restart"/>
                  <w:tcBorders>
                    <w:bottom w:val="nil"/>
                  </w:tcBorders>
                  <w:vAlign w:val="top"/>
                </w:tcPr>
                <w:p w14:paraId="1AE4EF7A">
                  <w:pPr>
                    <w:pStyle w:val="6"/>
                    <w:spacing w:before="182" w:line="250" w:lineRule="auto"/>
                    <w:ind w:left="177" w:right="158" w:hanging="49"/>
                    <w:jc w:val="both"/>
                    <w:rPr>
                      <w:sz w:val="20"/>
                      <w:szCs w:val="20"/>
                    </w:rPr>
                  </w:pPr>
                  <w:r>
                    <w:rPr>
                      <w:spacing w:val="4"/>
                      <w:sz w:val="20"/>
                      <w:szCs w:val="20"/>
                    </w:rPr>
                    <w:t>区块</w:t>
                  </w:r>
                  <w:r>
                    <w:rPr>
                      <w:rFonts w:ascii="Times New Roman" w:hAnsi="Times New Roman" w:eastAsia="Times New Roman" w:cs="Times New Roman"/>
                      <w:spacing w:val="4"/>
                      <w:sz w:val="20"/>
                      <w:szCs w:val="20"/>
                    </w:rPr>
                    <w:t>13</w:t>
                  </w:r>
                  <w:r>
                    <w:rPr>
                      <w:spacing w:val="4"/>
                      <w:sz w:val="20"/>
                      <w:szCs w:val="20"/>
                    </w:rPr>
                    <w:t>箱变</w:t>
                  </w:r>
                  <w:r>
                    <w:rPr>
                      <w:sz w:val="20"/>
                      <w:szCs w:val="20"/>
                    </w:rPr>
                    <w:t xml:space="preserve"> </w:t>
                  </w:r>
                  <w:r>
                    <w:rPr>
                      <w:rFonts w:ascii="Times New Roman" w:hAnsi="Times New Roman" w:eastAsia="Times New Roman" w:cs="Times New Roman"/>
                      <w:spacing w:val="6"/>
                      <w:sz w:val="20"/>
                      <w:szCs w:val="20"/>
                    </w:rPr>
                    <w:t>T13</w:t>
                  </w:r>
                  <w:r>
                    <w:rPr>
                      <w:spacing w:val="6"/>
                      <w:sz w:val="20"/>
                      <w:szCs w:val="20"/>
                    </w:rPr>
                    <w:t>北侧散</w:t>
                  </w:r>
                  <w:r>
                    <w:rPr>
                      <w:spacing w:val="1"/>
                      <w:sz w:val="20"/>
                      <w:szCs w:val="20"/>
                    </w:rPr>
                    <w:t xml:space="preserve"> </w:t>
                  </w:r>
                  <w:r>
                    <w:rPr>
                      <w:spacing w:val="12"/>
                      <w:sz w:val="20"/>
                      <w:szCs w:val="20"/>
                    </w:rPr>
                    <w:t>户（</w:t>
                  </w:r>
                  <w:r>
                    <w:rPr>
                      <w:rFonts w:ascii="Times New Roman" w:hAnsi="Times New Roman" w:eastAsia="Times New Roman" w:cs="Times New Roman"/>
                      <w:spacing w:val="12"/>
                      <w:sz w:val="20"/>
                      <w:szCs w:val="20"/>
                    </w:rPr>
                    <w:t>N3</w:t>
                  </w:r>
                  <w:r>
                    <w:rPr>
                      <w:spacing w:val="12"/>
                      <w:sz w:val="20"/>
                      <w:szCs w:val="20"/>
                    </w:rPr>
                    <w:t>）</w:t>
                  </w:r>
                </w:p>
              </w:tc>
              <w:tc>
                <w:tcPr>
                  <w:tcW w:w="1266" w:type="dxa"/>
                  <w:vMerge w:val="restart"/>
                  <w:tcBorders>
                    <w:bottom w:val="nil"/>
                  </w:tcBorders>
                  <w:vAlign w:val="top"/>
                </w:tcPr>
                <w:p w14:paraId="4D7FF703">
                  <w:pPr>
                    <w:pStyle w:val="6"/>
                    <w:spacing w:before="39" w:line="238" w:lineRule="auto"/>
                    <w:ind w:left="423" w:right="159" w:hanging="261"/>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2</w:t>
                  </w:r>
                  <w:r>
                    <w:rPr>
                      <w:spacing w:val="5"/>
                      <w:sz w:val="20"/>
                      <w:szCs w:val="20"/>
                    </w:rPr>
                    <w:t>月</w:t>
                  </w:r>
                  <w:r>
                    <w:rPr>
                      <w:spacing w:val="2"/>
                      <w:sz w:val="20"/>
                      <w:szCs w:val="20"/>
                    </w:rPr>
                    <w:t xml:space="preserve"> </w:t>
                  </w:r>
                  <w:r>
                    <w:rPr>
                      <w:rFonts w:ascii="Times New Roman" w:hAnsi="Times New Roman" w:eastAsia="Times New Roman" w:cs="Times New Roman"/>
                      <w:spacing w:val="4"/>
                      <w:sz w:val="20"/>
                      <w:szCs w:val="20"/>
                    </w:rPr>
                    <w:t>28</w:t>
                  </w:r>
                  <w:r>
                    <w:rPr>
                      <w:spacing w:val="4"/>
                      <w:sz w:val="20"/>
                      <w:szCs w:val="20"/>
                    </w:rPr>
                    <w:t>日</w:t>
                  </w:r>
                </w:p>
              </w:tc>
              <w:tc>
                <w:tcPr>
                  <w:tcW w:w="1274" w:type="dxa"/>
                  <w:vAlign w:val="top"/>
                </w:tcPr>
                <w:p w14:paraId="1E1C9813">
                  <w:pPr>
                    <w:pStyle w:val="6"/>
                    <w:spacing w:before="37" w:line="215" w:lineRule="auto"/>
                    <w:ind w:left="430"/>
                    <w:rPr>
                      <w:sz w:val="20"/>
                      <w:szCs w:val="20"/>
                    </w:rPr>
                  </w:pPr>
                  <w:r>
                    <w:rPr>
                      <w:spacing w:val="5"/>
                      <w:sz w:val="20"/>
                      <w:szCs w:val="20"/>
                    </w:rPr>
                    <w:t>昼间</w:t>
                  </w:r>
                </w:p>
              </w:tc>
              <w:tc>
                <w:tcPr>
                  <w:tcW w:w="1421" w:type="dxa"/>
                  <w:vAlign w:val="top"/>
                </w:tcPr>
                <w:p w14:paraId="241ACB2D">
                  <w:pPr>
                    <w:spacing w:before="73"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847" w:type="dxa"/>
                  <w:vMerge w:val="continue"/>
                  <w:tcBorders>
                    <w:top w:val="nil"/>
                    <w:bottom w:val="nil"/>
                  </w:tcBorders>
                  <w:vAlign w:val="top"/>
                </w:tcPr>
                <w:p w14:paraId="169497E8">
                  <w:pPr>
                    <w:rPr>
                      <w:rFonts w:ascii="Arial"/>
                      <w:sz w:val="21"/>
                    </w:rPr>
                  </w:pPr>
                </w:p>
              </w:tc>
              <w:tc>
                <w:tcPr>
                  <w:tcW w:w="1041" w:type="dxa"/>
                  <w:vAlign w:val="top"/>
                </w:tcPr>
                <w:p w14:paraId="29892432">
                  <w:pPr>
                    <w:pStyle w:val="6"/>
                    <w:spacing w:before="37" w:line="215" w:lineRule="auto"/>
                    <w:ind w:left="326"/>
                    <w:rPr>
                      <w:sz w:val="20"/>
                      <w:szCs w:val="20"/>
                    </w:rPr>
                  </w:pPr>
                  <w:r>
                    <w:rPr>
                      <w:sz w:val="20"/>
                      <w:szCs w:val="20"/>
                    </w:rPr>
                    <w:t>达标</w:t>
                  </w:r>
                </w:p>
              </w:tc>
            </w:tr>
            <w:tr w14:paraId="33B22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44889AFB">
                  <w:pPr>
                    <w:rPr>
                      <w:rFonts w:ascii="Arial"/>
                      <w:sz w:val="21"/>
                    </w:rPr>
                  </w:pPr>
                </w:p>
              </w:tc>
              <w:tc>
                <w:tcPr>
                  <w:tcW w:w="1266" w:type="dxa"/>
                  <w:vMerge w:val="continue"/>
                  <w:tcBorders>
                    <w:top w:val="nil"/>
                  </w:tcBorders>
                  <w:vAlign w:val="top"/>
                </w:tcPr>
                <w:p w14:paraId="614D52B5">
                  <w:pPr>
                    <w:rPr>
                      <w:rFonts w:ascii="Arial"/>
                      <w:sz w:val="21"/>
                    </w:rPr>
                  </w:pPr>
                </w:p>
              </w:tc>
              <w:tc>
                <w:tcPr>
                  <w:tcW w:w="1274" w:type="dxa"/>
                  <w:vAlign w:val="top"/>
                </w:tcPr>
                <w:p w14:paraId="58227125">
                  <w:pPr>
                    <w:pStyle w:val="6"/>
                    <w:spacing w:before="38" w:line="214" w:lineRule="auto"/>
                    <w:ind w:left="434"/>
                    <w:rPr>
                      <w:sz w:val="20"/>
                      <w:szCs w:val="20"/>
                    </w:rPr>
                  </w:pPr>
                  <w:r>
                    <w:rPr>
                      <w:spacing w:val="3"/>
                      <w:sz w:val="20"/>
                      <w:szCs w:val="20"/>
                    </w:rPr>
                    <w:t>夜间</w:t>
                  </w:r>
                </w:p>
              </w:tc>
              <w:tc>
                <w:tcPr>
                  <w:tcW w:w="1421" w:type="dxa"/>
                  <w:vAlign w:val="top"/>
                </w:tcPr>
                <w:p w14:paraId="60752826">
                  <w:pPr>
                    <w:spacing w:before="73"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847" w:type="dxa"/>
                  <w:vMerge w:val="continue"/>
                  <w:tcBorders>
                    <w:top w:val="nil"/>
                    <w:bottom w:val="nil"/>
                  </w:tcBorders>
                  <w:vAlign w:val="top"/>
                </w:tcPr>
                <w:p w14:paraId="4BC59984">
                  <w:pPr>
                    <w:rPr>
                      <w:rFonts w:ascii="Arial"/>
                      <w:sz w:val="21"/>
                    </w:rPr>
                  </w:pPr>
                </w:p>
              </w:tc>
              <w:tc>
                <w:tcPr>
                  <w:tcW w:w="1041" w:type="dxa"/>
                  <w:vAlign w:val="top"/>
                </w:tcPr>
                <w:p w14:paraId="0A982734">
                  <w:pPr>
                    <w:pStyle w:val="6"/>
                    <w:spacing w:before="38" w:line="214" w:lineRule="auto"/>
                    <w:ind w:left="326"/>
                    <w:rPr>
                      <w:sz w:val="20"/>
                      <w:szCs w:val="20"/>
                    </w:rPr>
                  </w:pPr>
                  <w:r>
                    <w:rPr>
                      <w:sz w:val="20"/>
                      <w:szCs w:val="20"/>
                    </w:rPr>
                    <w:t>达标</w:t>
                  </w:r>
                </w:p>
              </w:tc>
            </w:tr>
            <w:tr w14:paraId="407B8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35DFCD2F">
                  <w:pPr>
                    <w:rPr>
                      <w:rFonts w:ascii="Arial"/>
                      <w:sz w:val="21"/>
                    </w:rPr>
                  </w:pPr>
                </w:p>
              </w:tc>
              <w:tc>
                <w:tcPr>
                  <w:tcW w:w="1266" w:type="dxa"/>
                  <w:vMerge w:val="restart"/>
                  <w:tcBorders>
                    <w:bottom w:val="nil"/>
                  </w:tcBorders>
                  <w:vAlign w:val="top"/>
                </w:tcPr>
                <w:p w14:paraId="0BE7F5C3">
                  <w:pPr>
                    <w:pStyle w:val="6"/>
                    <w:spacing w:before="39" w:line="238" w:lineRule="auto"/>
                    <w:ind w:left="568" w:right="107" w:hanging="459"/>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3</w:t>
                  </w:r>
                  <w:r>
                    <w:rPr>
                      <w:spacing w:val="5"/>
                      <w:sz w:val="20"/>
                      <w:szCs w:val="20"/>
                    </w:rPr>
                    <w:t>月</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
                      <w:sz w:val="20"/>
                      <w:szCs w:val="20"/>
                    </w:rPr>
                    <w:t xml:space="preserve"> </w:t>
                  </w:r>
                  <w:r>
                    <w:rPr>
                      <w:sz w:val="20"/>
                      <w:szCs w:val="20"/>
                    </w:rPr>
                    <w:t>日</w:t>
                  </w:r>
                </w:p>
              </w:tc>
              <w:tc>
                <w:tcPr>
                  <w:tcW w:w="1274" w:type="dxa"/>
                  <w:vAlign w:val="top"/>
                </w:tcPr>
                <w:p w14:paraId="1685D583">
                  <w:pPr>
                    <w:pStyle w:val="6"/>
                    <w:spacing w:before="38" w:line="214" w:lineRule="auto"/>
                    <w:ind w:left="430"/>
                    <w:rPr>
                      <w:sz w:val="20"/>
                      <w:szCs w:val="20"/>
                    </w:rPr>
                  </w:pPr>
                  <w:r>
                    <w:rPr>
                      <w:spacing w:val="5"/>
                      <w:sz w:val="20"/>
                      <w:szCs w:val="20"/>
                    </w:rPr>
                    <w:t>昼间</w:t>
                  </w:r>
                </w:p>
              </w:tc>
              <w:tc>
                <w:tcPr>
                  <w:tcW w:w="1421" w:type="dxa"/>
                  <w:vAlign w:val="top"/>
                </w:tcPr>
                <w:p w14:paraId="3909F3DF">
                  <w:pPr>
                    <w:spacing w:before="74"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847" w:type="dxa"/>
                  <w:vMerge w:val="continue"/>
                  <w:tcBorders>
                    <w:top w:val="nil"/>
                    <w:bottom w:val="nil"/>
                  </w:tcBorders>
                  <w:vAlign w:val="top"/>
                </w:tcPr>
                <w:p w14:paraId="5181C6C0">
                  <w:pPr>
                    <w:rPr>
                      <w:rFonts w:ascii="Arial"/>
                      <w:sz w:val="21"/>
                    </w:rPr>
                  </w:pPr>
                </w:p>
              </w:tc>
              <w:tc>
                <w:tcPr>
                  <w:tcW w:w="1041" w:type="dxa"/>
                  <w:vAlign w:val="top"/>
                </w:tcPr>
                <w:p w14:paraId="5712ADA1">
                  <w:pPr>
                    <w:pStyle w:val="6"/>
                    <w:spacing w:before="38" w:line="214" w:lineRule="auto"/>
                    <w:ind w:left="326"/>
                    <w:rPr>
                      <w:sz w:val="20"/>
                      <w:szCs w:val="20"/>
                    </w:rPr>
                  </w:pPr>
                  <w:r>
                    <w:rPr>
                      <w:sz w:val="20"/>
                      <w:szCs w:val="20"/>
                    </w:rPr>
                    <w:t>达标</w:t>
                  </w:r>
                </w:p>
              </w:tc>
            </w:tr>
            <w:tr w14:paraId="37A39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tcBorders>
                  <w:vAlign w:val="top"/>
                </w:tcPr>
                <w:p w14:paraId="79FF85AB">
                  <w:pPr>
                    <w:rPr>
                      <w:rFonts w:ascii="Arial"/>
                      <w:sz w:val="21"/>
                    </w:rPr>
                  </w:pPr>
                </w:p>
              </w:tc>
              <w:tc>
                <w:tcPr>
                  <w:tcW w:w="1266" w:type="dxa"/>
                  <w:vMerge w:val="continue"/>
                  <w:tcBorders>
                    <w:top w:val="nil"/>
                  </w:tcBorders>
                  <w:vAlign w:val="top"/>
                </w:tcPr>
                <w:p w14:paraId="3A259759">
                  <w:pPr>
                    <w:rPr>
                      <w:rFonts w:ascii="Arial"/>
                      <w:sz w:val="21"/>
                    </w:rPr>
                  </w:pPr>
                </w:p>
              </w:tc>
              <w:tc>
                <w:tcPr>
                  <w:tcW w:w="1274" w:type="dxa"/>
                  <w:vAlign w:val="top"/>
                </w:tcPr>
                <w:p w14:paraId="4A3638AC">
                  <w:pPr>
                    <w:pStyle w:val="6"/>
                    <w:spacing w:before="37" w:line="215" w:lineRule="auto"/>
                    <w:ind w:left="434"/>
                    <w:rPr>
                      <w:sz w:val="20"/>
                      <w:szCs w:val="20"/>
                    </w:rPr>
                  </w:pPr>
                  <w:r>
                    <w:rPr>
                      <w:spacing w:val="3"/>
                      <w:sz w:val="20"/>
                      <w:szCs w:val="20"/>
                    </w:rPr>
                    <w:t>夜间</w:t>
                  </w:r>
                </w:p>
              </w:tc>
              <w:tc>
                <w:tcPr>
                  <w:tcW w:w="1421" w:type="dxa"/>
                  <w:vAlign w:val="top"/>
                </w:tcPr>
                <w:p w14:paraId="077F8E7D">
                  <w:pPr>
                    <w:spacing w:before="75"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847" w:type="dxa"/>
                  <w:vMerge w:val="continue"/>
                  <w:tcBorders>
                    <w:top w:val="nil"/>
                    <w:bottom w:val="nil"/>
                  </w:tcBorders>
                  <w:vAlign w:val="top"/>
                </w:tcPr>
                <w:p w14:paraId="6D314763">
                  <w:pPr>
                    <w:rPr>
                      <w:rFonts w:ascii="Arial"/>
                      <w:sz w:val="21"/>
                    </w:rPr>
                  </w:pPr>
                </w:p>
              </w:tc>
              <w:tc>
                <w:tcPr>
                  <w:tcW w:w="1041" w:type="dxa"/>
                  <w:vAlign w:val="top"/>
                </w:tcPr>
                <w:p w14:paraId="6E4EBAE7">
                  <w:pPr>
                    <w:pStyle w:val="6"/>
                    <w:spacing w:before="37" w:line="215" w:lineRule="auto"/>
                    <w:ind w:left="326"/>
                    <w:rPr>
                      <w:sz w:val="20"/>
                      <w:szCs w:val="20"/>
                    </w:rPr>
                  </w:pPr>
                  <w:r>
                    <w:rPr>
                      <w:sz w:val="20"/>
                      <w:szCs w:val="20"/>
                    </w:rPr>
                    <w:t>达标</w:t>
                  </w:r>
                </w:p>
              </w:tc>
            </w:tr>
            <w:tr w14:paraId="64AD0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restart"/>
                  <w:tcBorders>
                    <w:bottom w:val="nil"/>
                  </w:tcBorders>
                  <w:vAlign w:val="top"/>
                </w:tcPr>
                <w:p w14:paraId="5A9A9922">
                  <w:pPr>
                    <w:pStyle w:val="6"/>
                    <w:spacing w:before="191" w:line="228" w:lineRule="auto"/>
                    <w:ind w:left="128"/>
                    <w:rPr>
                      <w:sz w:val="20"/>
                      <w:szCs w:val="20"/>
                    </w:rPr>
                  </w:pPr>
                  <w:r>
                    <w:rPr>
                      <w:spacing w:val="-1"/>
                      <w:sz w:val="20"/>
                      <w:szCs w:val="20"/>
                    </w:rPr>
                    <w:t>区块</w:t>
                  </w:r>
                  <w:r>
                    <w:rPr>
                      <w:spacing w:val="-35"/>
                      <w:sz w:val="20"/>
                      <w:szCs w:val="20"/>
                    </w:rPr>
                    <w:t xml:space="preserve"> </w:t>
                  </w:r>
                  <w:r>
                    <w:rPr>
                      <w:rFonts w:ascii="Times New Roman" w:hAnsi="Times New Roman" w:eastAsia="Times New Roman" w:cs="Times New Roman"/>
                      <w:spacing w:val="-1"/>
                      <w:sz w:val="20"/>
                      <w:szCs w:val="20"/>
                    </w:rPr>
                    <w:t>5</w:t>
                  </w:r>
                  <w:r>
                    <w:rPr>
                      <w:rFonts w:ascii="Times New Roman" w:hAnsi="Times New Roman" w:eastAsia="Times New Roman" w:cs="Times New Roman"/>
                      <w:spacing w:val="14"/>
                      <w:sz w:val="20"/>
                      <w:szCs w:val="20"/>
                    </w:rPr>
                    <w:t xml:space="preserve"> </w:t>
                  </w:r>
                  <w:r>
                    <w:rPr>
                      <w:spacing w:val="-1"/>
                      <w:sz w:val="20"/>
                      <w:szCs w:val="20"/>
                    </w:rPr>
                    <w:t>箱变</w:t>
                  </w:r>
                </w:p>
                <w:p w14:paraId="25C9BC39">
                  <w:pPr>
                    <w:pStyle w:val="6"/>
                    <w:spacing w:before="25" w:line="228" w:lineRule="auto"/>
                    <w:ind w:left="111"/>
                    <w:rPr>
                      <w:sz w:val="20"/>
                      <w:szCs w:val="20"/>
                    </w:rPr>
                  </w:pPr>
                  <w:r>
                    <w:rPr>
                      <w:rFonts w:ascii="Times New Roman" w:hAnsi="Times New Roman" w:eastAsia="Times New Roman" w:cs="Times New Roman"/>
                      <w:spacing w:val="5"/>
                      <w:sz w:val="20"/>
                      <w:szCs w:val="20"/>
                    </w:rPr>
                    <w:t>T5</w:t>
                  </w:r>
                  <w:r>
                    <w:rPr>
                      <w:rFonts w:ascii="Times New Roman" w:hAnsi="Times New Roman" w:eastAsia="Times New Roman" w:cs="Times New Roman"/>
                      <w:spacing w:val="-10"/>
                      <w:sz w:val="20"/>
                      <w:szCs w:val="20"/>
                    </w:rPr>
                    <w:t xml:space="preserve"> </w:t>
                  </w:r>
                  <w:r>
                    <w:rPr>
                      <w:spacing w:val="5"/>
                      <w:sz w:val="20"/>
                      <w:szCs w:val="20"/>
                    </w:rPr>
                    <w:t>西侧散户</w:t>
                  </w:r>
                </w:p>
                <w:p w14:paraId="27AF852F">
                  <w:pPr>
                    <w:pStyle w:val="6"/>
                    <w:spacing w:before="24"/>
                    <w:ind w:left="334"/>
                    <w:rPr>
                      <w:sz w:val="20"/>
                      <w:szCs w:val="20"/>
                    </w:rPr>
                  </w:pPr>
                  <w:r>
                    <w:rPr>
                      <w:spacing w:val="1"/>
                      <w:sz w:val="20"/>
                      <w:szCs w:val="20"/>
                    </w:rPr>
                    <w:t>（</w:t>
                  </w:r>
                  <w:r>
                    <w:rPr>
                      <w:rFonts w:ascii="Times New Roman" w:hAnsi="Times New Roman" w:eastAsia="Times New Roman" w:cs="Times New Roman"/>
                      <w:spacing w:val="1"/>
                      <w:sz w:val="20"/>
                      <w:szCs w:val="20"/>
                    </w:rPr>
                    <w:t>N4</w:t>
                  </w:r>
                  <w:r>
                    <w:rPr>
                      <w:spacing w:val="1"/>
                      <w:sz w:val="20"/>
                      <w:szCs w:val="20"/>
                    </w:rPr>
                    <w:t>）</w:t>
                  </w:r>
                </w:p>
              </w:tc>
              <w:tc>
                <w:tcPr>
                  <w:tcW w:w="1266" w:type="dxa"/>
                  <w:vMerge w:val="restart"/>
                  <w:tcBorders>
                    <w:bottom w:val="nil"/>
                  </w:tcBorders>
                  <w:vAlign w:val="top"/>
                </w:tcPr>
                <w:p w14:paraId="211A3EB6">
                  <w:pPr>
                    <w:pStyle w:val="6"/>
                    <w:spacing w:before="39" w:line="238" w:lineRule="auto"/>
                    <w:ind w:left="423" w:right="159" w:hanging="261"/>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2</w:t>
                  </w:r>
                  <w:r>
                    <w:rPr>
                      <w:spacing w:val="5"/>
                      <w:sz w:val="20"/>
                      <w:szCs w:val="20"/>
                    </w:rPr>
                    <w:t>月</w:t>
                  </w:r>
                  <w:r>
                    <w:rPr>
                      <w:spacing w:val="2"/>
                      <w:sz w:val="20"/>
                      <w:szCs w:val="20"/>
                    </w:rPr>
                    <w:t xml:space="preserve"> </w:t>
                  </w:r>
                  <w:r>
                    <w:rPr>
                      <w:rFonts w:ascii="Times New Roman" w:hAnsi="Times New Roman" w:eastAsia="Times New Roman" w:cs="Times New Roman"/>
                      <w:spacing w:val="4"/>
                      <w:sz w:val="20"/>
                      <w:szCs w:val="20"/>
                    </w:rPr>
                    <w:t>28</w:t>
                  </w:r>
                  <w:r>
                    <w:rPr>
                      <w:spacing w:val="4"/>
                      <w:sz w:val="20"/>
                      <w:szCs w:val="20"/>
                    </w:rPr>
                    <w:t>日</w:t>
                  </w:r>
                </w:p>
              </w:tc>
              <w:tc>
                <w:tcPr>
                  <w:tcW w:w="1274" w:type="dxa"/>
                  <w:vAlign w:val="top"/>
                </w:tcPr>
                <w:p w14:paraId="288AA309">
                  <w:pPr>
                    <w:pStyle w:val="6"/>
                    <w:spacing w:before="37" w:line="215" w:lineRule="auto"/>
                    <w:ind w:left="430"/>
                    <w:rPr>
                      <w:sz w:val="20"/>
                      <w:szCs w:val="20"/>
                    </w:rPr>
                  </w:pPr>
                  <w:r>
                    <w:rPr>
                      <w:spacing w:val="5"/>
                      <w:sz w:val="20"/>
                      <w:szCs w:val="20"/>
                    </w:rPr>
                    <w:t>昼间</w:t>
                  </w:r>
                </w:p>
              </w:tc>
              <w:tc>
                <w:tcPr>
                  <w:tcW w:w="1421" w:type="dxa"/>
                  <w:vAlign w:val="top"/>
                </w:tcPr>
                <w:p w14:paraId="708224C8">
                  <w:pPr>
                    <w:spacing w:before="73"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847" w:type="dxa"/>
                  <w:vMerge w:val="continue"/>
                  <w:tcBorders>
                    <w:top w:val="nil"/>
                    <w:bottom w:val="nil"/>
                  </w:tcBorders>
                  <w:vAlign w:val="top"/>
                </w:tcPr>
                <w:p w14:paraId="65C7442C">
                  <w:pPr>
                    <w:rPr>
                      <w:rFonts w:ascii="Arial"/>
                      <w:sz w:val="21"/>
                    </w:rPr>
                  </w:pPr>
                </w:p>
              </w:tc>
              <w:tc>
                <w:tcPr>
                  <w:tcW w:w="1041" w:type="dxa"/>
                  <w:vAlign w:val="top"/>
                </w:tcPr>
                <w:p w14:paraId="65608773">
                  <w:pPr>
                    <w:pStyle w:val="6"/>
                    <w:spacing w:before="37" w:line="215" w:lineRule="auto"/>
                    <w:ind w:left="326"/>
                    <w:rPr>
                      <w:sz w:val="20"/>
                      <w:szCs w:val="20"/>
                    </w:rPr>
                  </w:pPr>
                  <w:r>
                    <w:rPr>
                      <w:sz w:val="20"/>
                      <w:szCs w:val="20"/>
                    </w:rPr>
                    <w:t>达标</w:t>
                  </w:r>
                </w:p>
              </w:tc>
            </w:tr>
            <w:tr w14:paraId="7388C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18C42D49">
                  <w:pPr>
                    <w:rPr>
                      <w:rFonts w:ascii="Arial"/>
                      <w:sz w:val="21"/>
                    </w:rPr>
                  </w:pPr>
                </w:p>
              </w:tc>
              <w:tc>
                <w:tcPr>
                  <w:tcW w:w="1266" w:type="dxa"/>
                  <w:vMerge w:val="continue"/>
                  <w:tcBorders>
                    <w:top w:val="nil"/>
                  </w:tcBorders>
                  <w:vAlign w:val="top"/>
                </w:tcPr>
                <w:p w14:paraId="1789AD76">
                  <w:pPr>
                    <w:rPr>
                      <w:rFonts w:ascii="Arial"/>
                      <w:sz w:val="21"/>
                    </w:rPr>
                  </w:pPr>
                </w:p>
              </w:tc>
              <w:tc>
                <w:tcPr>
                  <w:tcW w:w="1274" w:type="dxa"/>
                  <w:vAlign w:val="top"/>
                </w:tcPr>
                <w:p w14:paraId="2D72141E">
                  <w:pPr>
                    <w:pStyle w:val="6"/>
                    <w:spacing w:before="38" w:line="214" w:lineRule="auto"/>
                    <w:ind w:left="434"/>
                    <w:rPr>
                      <w:sz w:val="20"/>
                      <w:szCs w:val="20"/>
                    </w:rPr>
                  </w:pPr>
                  <w:r>
                    <w:rPr>
                      <w:spacing w:val="3"/>
                      <w:sz w:val="20"/>
                      <w:szCs w:val="20"/>
                    </w:rPr>
                    <w:t>夜间</w:t>
                  </w:r>
                </w:p>
              </w:tc>
              <w:tc>
                <w:tcPr>
                  <w:tcW w:w="1421" w:type="dxa"/>
                  <w:vAlign w:val="top"/>
                </w:tcPr>
                <w:p w14:paraId="5A9EB417">
                  <w:pPr>
                    <w:spacing w:before="73"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847" w:type="dxa"/>
                  <w:vMerge w:val="continue"/>
                  <w:tcBorders>
                    <w:top w:val="nil"/>
                    <w:bottom w:val="nil"/>
                  </w:tcBorders>
                  <w:vAlign w:val="top"/>
                </w:tcPr>
                <w:p w14:paraId="3CCB199B">
                  <w:pPr>
                    <w:rPr>
                      <w:rFonts w:ascii="Arial"/>
                      <w:sz w:val="21"/>
                    </w:rPr>
                  </w:pPr>
                </w:p>
              </w:tc>
              <w:tc>
                <w:tcPr>
                  <w:tcW w:w="1041" w:type="dxa"/>
                  <w:vAlign w:val="top"/>
                </w:tcPr>
                <w:p w14:paraId="2EDA56D4">
                  <w:pPr>
                    <w:pStyle w:val="6"/>
                    <w:spacing w:before="38" w:line="214" w:lineRule="auto"/>
                    <w:ind w:left="326"/>
                    <w:rPr>
                      <w:sz w:val="20"/>
                      <w:szCs w:val="20"/>
                    </w:rPr>
                  </w:pPr>
                  <w:r>
                    <w:rPr>
                      <w:sz w:val="20"/>
                      <w:szCs w:val="20"/>
                    </w:rPr>
                    <w:t>达标</w:t>
                  </w:r>
                </w:p>
              </w:tc>
            </w:tr>
            <w:tr w14:paraId="2D112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553C83AE">
                  <w:pPr>
                    <w:rPr>
                      <w:rFonts w:ascii="Arial"/>
                      <w:sz w:val="21"/>
                    </w:rPr>
                  </w:pPr>
                </w:p>
              </w:tc>
              <w:tc>
                <w:tcPr>
                  <w:tcW w:w="1266" w:type="dxa"/>
                  <w:vMerge w:val="restart"/>
                  <w:tcBorders>
                    <w:bottom w:val="nil"/>
                  </w:tcBorders>
                  <w:vAlign w:val="top"/>
                </w:tcPr>
                <w:p w14:paraId="76B4420D">
                  <w:pPr>
                    <w:pStyle w:val="6"/>
                    <w:spacing w:before="39" w:line="238" w:lineRule="auto"/>
                    <w:ind w:left="568" w:right="107" w:hanging="459"/>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3</w:t>
                  </w:r>
                  <w:r>
                    <w:rPr>
                      <w:spacing w:val="5"/>
                      <w:sz w:val="20"/>
                      <w:szCs w:val="20"/>
                    </w:rPr>
                    <w:t>月</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
                      <w:sz w:val="20"/>
                      <w:szCs w:val="20"/>
                    </w:rPr>
                    <w:t xml:space="preserve"> </w:t>
                  </w:r>
                  <w:r>
                    <w:rPr>
                      <w:sz w:val="20"/>
                      <w:szCs w:val="20"/>
                    </w:rPr>
                    <w:t>日</w:t>
                  </w:r>
                </w:p>
              </w:tc>
              <w:tc>
                <w:tcPr>
                  <w:tcW w:w="1274" w:type="dxa"/>
                  <w:vAlign w:val="top"/>
                </w:tcPr>
                <w:p w14:paraId="16F9E62E">
                  <w:pPr>
                    <w:pStyle w:val="6"/>
                    <w:spacing w:before="38" w:line="214" w:lineRule="auto"/>
                    <w:ind w:left="430"/>
                    <w:rPr>
                      <w:sz w:val="20"/>
                      <w:szCs w:val="20"/>
                    </w:rPr>
                  </w:pPr>
                  <w:r>
                    <w:rPr>
                      <w:spacing w:val="5"/>
                      <w:sz w:val="20"/>
                      <w:szCs w:val="20"/>
                    </w:rPr>
                    <w:t>昼间</w:t>
                  </w:r>
                </w:p>
              </w:tc>
              <w:tc>
                <w:tcPr>
                  <w:tcW w:w="1421" w:type="dxa"/>
                  <w:vAlign w:val="top"/>
                </w:tcPr>
                <w:p w14:paraId="35D0E2BB">
                  <w:pPr>
                    <w:spacing w:before="74" w:line="195"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7" w:type="dxa"/>
                  <w:vMerge w:val="continue"/>
                  <w:tcBorders>
                    <w:top w:val="nil"/>
                    <w:bottom w:val="nil"/>
                  </w:tcBorders>
                  <w:vAlign w:val="top"/>
                </w:tcPr>
                <w:p w14:paraId="57A473EC">
                  <w:pPr>
                    <w:rPr>
                      <w:rFonts w:ascii="Arial"/>
                      <w:sz w:val="21"/>
                    </w:rPr>
                  </w:pPr>
                </w:p>
              </w:tc>
              <w:tc>
                <w:tcPr>
                  <w:tcW w:w="1041" w:type="dxa"/>
                  <w:vAlign w:val="top"/>
                </w:tcPr>
                <w:p w14:paraId="01D0DBE6">
                  <w:pPr>
                    <w:pStyle w:val="6"/>
                    <w:spacing w:before="38" w:line="214" w:lineRule="auto"/>
                    <w:ind w:left="326"/>
                    <w:rPr>
                      <w:sz w:val="20"/>
                      <w:szCs w:val="20"/>
                    </w:rPr>
                  </w:pPr>
                  <w:r>
                    <w:rPr>
                      <w:sz w:val="20"/>
                      <w:szCs w:val="20"/>
                    </w:rPr>
                    <w:t>达标</w:t>
                  </w:r>
                </w:p>
              </w:tc>
            </w:tr>
            <w:tr w14:paraId="139EB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tcBorders>
                  <w:vAlign w:val="top"/>
                </w:tcPr>
                <w:p w14:paraId="58FD2C87">
                  <w:pPr>
                    <w:rPr>
                      <w:rFonts w:ascii="Arial"/>
                      <w:sz w:val="21"/>
                    </w:rPr>
                  </w:pPr>
                </w:p>
              </w:tc>
              <w:tc>
                <w:tcPr>
                  <w:tcW w:w="1266" w:type="dxa"/>
                  <w:vMerge w:val="continue"/>
                  <w:tcBorders>
                    <w:top w:val="nil"/>
                  </w:tcBorders>
                  <w:vAlign w:val="top"/>
                </w:tcPr>
                <w:p w14:paraId="1786E87A">
                  <w:pPr>
                    <w:rPr>
                      <w:rFonts w:ascii="Arial"/>
                      <w:sz w:val="21"/>
                    </w:rPr>
                  </w:pPr>
                </w:p>
              </w:tc>
              <w:tc>
                <w:tcPr>
                  <w:tcW w:w="1274" w:type="dxa"/>
                  <w:vAlign w:val="top"/>
                </w:tcPr>
                <w:p w14:paraId="64A83554">
                  <w:pPr>
                    <w:pStyle w:val="6"/>
                    <w:spacing w:before="37" w:line="215" w:lineRule="auto"/>
                    <w:ind w:left="434"/>
                    <w:rPr>
                      <w:sz w:val="20"/>
                      <w:szCs w:val="20"/>
                    </w:rPr>
                  </w:pPr>
                  <w:r>
                    <w:rPr>
                      <w:spacing w:val="3"/>
                      <w:sz w:val="20"/>
                      <w:szCs w:val="20"/>
                    </w:rPr>
                    <w:t>夜间</w:t>
                  </w:r>
                </w:p>
              </w:tc>
              <w:tc>
                <w:tcPr>
                  <w:tcW w:w="1421" w:type="dxa"/>
                  <w:vAlign w:val="top"/>
                </w:tcPr>
                <w:p w14:paraId="6CE900C7">
                  <w:pPr>
                    <w:spacing w:before="74"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847" w:type="dxa"/>
                  <w:vMerge w:val="continue"/>
                  <w:tcBorders>
                    <w:top w:val="nil"/>
                    <w:bottom w:val="nil"/>
                  </w:tcBorders>
                  <w:vAlign w:val="top"/>
                </w:tcPr>
                <w:p w14:paraId="5CDF3E39">
                  <w:pPr>
                    <w:rPr>
                      <w:rFonts w:ascii="Arial"/>
                      <w:sz w:val="21"/>
                    </w:rPr>
                  </w:pPr>
                </w:p>
              </w:tc>
              <w:tc>
                <w:tcPr>
                  <w:tcW w:w="1041" w:type="dxa"/>
                  <w:vAlign w:val="top"/>
                </w:tcPr>
                <w:p w14:paraId="7DD069C7">
                  <w:pPr>
                    <w:pStyle w:val="6"/>
                    <w:spacing w:before="37" w:line="215" w:lineRule="auto"/>
                    <w:ind w:left="326"/>
                    <w:rPr>
                      <w:sz w:val="20"/>
                      <w:szCs w:val="20"/>
                    </w:rPr>
                  </w:pPr>
                  <w:r>
                    <w:rPr>
                      <w:sz w:val="20"/>
                      <w:szCs w:val="20"/>
                    </w:rPr>
                    <w:t>达标</w:t>
                  </w:r>
                </w:p>
              </w:tc>
            </w:tr>
            <w:tr w14:paraId="2D6B7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17" w:type="dxa"/>
                  <w:vMerge w:val="restart"/>
                  <w:tcBorders>
                    <w:bottom w:val="nil"/>
                  </w:tcBorders>
                  <w:vAlign w:val="top"/>
                </w:tcPr>
                <w:p w14:paraId="624057C9">
                  <w:pPr>
                    <w:spacing w:line="282" w:lineRule="auto"/>
                    <w:rPr>
                      <w:rFonts w:ascii="Arial"/>
                      <w:sz w:val="21"/>
                    </w:rPr>
                  </w:pPr>
                </w:p>
                <w:p w14:paraId="7253BB7C">
                  <w:pPr>
                    <w:pStyle w:val="6"/>
                    <w:spacing w:before="65" w:line="239" w:lineRule="auto"/>
                    <w:ind w:left="225" w:right="131" w:hanging="84"/>
                    <w:rPr>
                      <w:sz w:val="20"/>
                      <w:szCs w:val="20"/>
                    </w:rPr>
                  </w:pPr>
                  <w:r>
                    <w:rPr>
                      <w:spacing w:val="7"/>
                      <w:sz w:val="20"/>
                      <w:szCs w:val="20"/>
                    </w:rPr>
                    <w:t>升压站厂界</w:t>
                  </w:r>
                  <w:r>
                    <w:rPr>
                      <w:spacing w:val="3"/>
                      <w:sz w:val="20"/>
                      <w:szCs w:val="20"/>
                    </w:rPr>
                    <w:t xml:space="preserve"> 东（</w:t>
                  </w:r>
                  <w:r>
                    <w:rPr>
                      <w:rFonts w:ascii="Times New Roman" w:hAnsi="Times New Roman" w:eastAsia="Times New Roman" w:cs="Times New Roman"/>
                      <w:spacing w:val="3"/>
                      <w:sz w:val="20"/>
                      <w:szCs w:val="20"/>
                    </w:rPr>
                    <w:t>N5</w:t>
                  </w:r>
                  <w:r>
                    <w:rPr>
                      <w:spacing w:val="3"/>
                      <w:sz w:val="20"/>
                      <w:szCs w:val="20"/>
                    </w:rPr>
                    <w:t>）</w:t>
                  </w:r>
                </w:p>
              </w:tc>
              <w:tc>
                <w:tcPr>
                  <w:tcW w:w="1266" w:type="dxa"/>
                  <w:vMerge w:val="restart"/>
                  <w:tcBorders>
                    <w:bottom w:val="nil"/>
                  </w:tcBorders>
                  <w:vAlign w:val="top"/>
                </w:tcPr>
                <w:p w14:paraId="57B25326">
                  <w:pPr>
                    <w:pStyle w:val="6"/>
                    <w:spacing w:before="58" w:line="247" w:lineRule="auto"/>
                    <w:ind w:left="423" w:right="159" w:hanging="261"/>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2</w:t>
                  </w:r>
                  <w:r>
                    <w:rPr>
                      <w:spacing w:val="5"/>
                      <w:sz w:val="20"/>
                      <w:szCs w:val="20"/>
                    </w:rPr>
                    <w:t>月</w:t>
                  </w:r>
                  <w:r>
                    <w:rPr>
                      <w:spacing w:val="2"/>
                      <w:sz w:val="20"/>
                      <w:szCs w:val="20"/>
                    </w:rPr>
                    <w:t xml:space="preserve"> </w:t>
                  </w:r>
                  <w:r>
                    <w:rPr>
                      <w:rFonts w:ascii="Times New Roman" w:hAnsi="Times New Roman" w:eastAsia="Times New Roman" w:cs="Times New Roman"/>
                      <w:spacing w:val="4"/>
                      <w:sz w:val="20"/>
                      <w:szCs w:val="20"/>
                    </w:rPr>
                    <w:t>28</w:t>
                  </w:r>
                  <w:r>
                    <w:rPr>
                      <w:spacing w:val="4"/>
                      <w:sz w:val="20"/>
                      <w:szCs w:val="20"/>
                    </w:rPr>
                    <w:t>日</w:t>
                  </w:r>
                </w:p>
              </w:tc>
              <w:tc>
                <w:tcPr>
                  <w:tcW w:w="1274" w:type="dxa"/>
                  <w:vAlign w:val="top"/>
                </w:tcPr>
                <w:p w14:paraId="0D6088F6">
                  <w:pPr>
                    <w:pStyle w:val="6"/>
                    <w:spacing w:before="55" w:line="231" w:lineRule="auto"/>
                    <w:ind w:left="430"/>
                    <w:rPr>
                      <w:sz w:val="20"/>
                      <w:szCs w:val="20"/>
                    </w:rPr>
                  </w:pPr>
                  <w:r>
                    <w:rPr>
                      <w:spacing w:val="5"/>
                      <w:sz w:val="20"/>
                      <w:szCs w:val="20"/>
                    </w:rPr>
                    <w:t>昼间</w:t>
                  </w:r>
                </w:p>
              </w:tc>
              <w:tc>
                <w:tcPr>
                  <w:tcW w:w="1421" w:type="dxa"/>
                  <w:vAlign w:val="top"/>
                </w:tcPr>
                <w:p w14:paraId="11B292C1">
                  <w:pPr>
                    <w:spacing w:before="94" w:line="195"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847" w:type="dxa"/>
                  <w:vMerge w:val="continue"/>
                  <w:tcBorders>
                    <w:top w:val="nil"/>
                    <w:bottom w:val="nil"/>
                  </w:tcBorders>
                  <w:vAlign w:val="top"/>
                </w:tcPr>
                <w:p w14:paraId="7E278BAB">
                  <w:pPr>
                    <w:rPr>
                      <w:rFonts w:ascii="Arial"/>
                      <w:sz w:val="21"/>
                    </w:rPr>
                  </w:pPr>
                </w:p>
              </w:tc>
              <w:tc>
                <w:tcPr>
                  <w:tcW w:w="1041" w:type="dxa"/>
                  <w:vAlign w:val="top"/>
                </w:tcPr>
                <w:p w14:paraId="07A38426">
                  <w:pPr>
                    <w:pStyle w:val="6"/>
                    <w:spacing w:before="56" w:line="228" w:lineRule="auto"/>
                    <w:ind w:left="326"/>
                    <w:rPr>
                      <w:sz w:val="20"/>
                      <w:szCs w:val="20"/>
                    </w:rPr>
                  </w:pPr>
                  <w:r>
                    <w:rPr>
                      <w:sz w:val="20"/>
                      <w:szCs w:val="20"/>
                    </w:rPr>
                    <w:t>达标</w:t>
                  </w:r>
                </w:p>
              </w:tc>
            </w:tr>
            <w:tr w14:paraId="4FF97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5CFB7DF7">
                  <w:pPr>
                    <w:rPr>
                      <w:rFonts w:ascii="Arial"/>
                      <w:sz w:val="21"/>
                    </w:rPr>
                  </w:pPr>
                </w:p>
              </w:tc>
              <w:tc>
                <w:tcPr>
                  <w:tcW w:w="1266" w:type="dxa"/>
                  <w:vMerge w:val="continue"/>
                  <w:tcBorders>
                    <w:top w:val="nil"/>
                  </w:tcBorders>
                  <w:vAlign w:val="top"/>
                </w:tcPr>
                <w:p w14:paraId="4A816C7A">
                  <w:pPr>
                    <w:rPr>
                      <w:rFonts w:ascii="Arial"/>
                      <w:sz w:val="21"/>
                    </w:rPr>
                  </w:pPr>
                </w:p>
              </w:tc>
              <w:tc>
                <w:tcPr>
                  <w:tcW w:w="1274" w:type="dxa"/>
                  <w:vAlign w:val="top"/>
                </w:tcPr>
                <w:p w14:paraId="1C7F5BA5">
                  <w:pPr>
                    <w:pStyle w:val="6"/>
                    <w:spacing w:before="37" w:line="215" w:lineRule="auto"/>
                    <w:ind w:left="434"/>
                    <w:rPr>
                      <w:sz w:val="20"/>
                      <w:szCs w:val="20"/>
                    </w:rPr>
                  </w:pPr>
                  <w:r>
                    <w:rPr>
                      <w:spacing w:val="3"/>
                      <w:sz w:val="20"/>
                      <w:szCs w:val="20"/>
                    </w:rPr>
                    <w:t>夜间</w:t>
                  </w:r>
                </w:p>
              </w:tc>
              <w:tc>
                <w:tcPr>
                  <w:tcW w:w="1421" w:type="dxa"/>
                  <w:vAlign w:val="top"/>
                </w:tcPr>
                <w:p w14:paraId="4B957104">
                  <w:pPr>
                    <w:spacing w:before="75"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847" w:type="dxa"/>
                  <w:vMerge w:val="continue"/>
                  <w:tcBorders>
                    <w:top w:val="nil"/>
                    <w:bottom w:val="nil"/>
                  </w:tcBorders>
                  <w:vAlign w:val="top"/>
                </w:tcPr>
                <w:p w14:paraId="10E4580F">
                  <w:pPr>
                    <w:rPr>
                      <w:rFonts w:ascii="Arial"/>
                      <w:sz w:val="21"/>
                    </w:rPr>
                  </w:pPr>
                </w:p>
              </w:tc>
              <w:tc>
                <w:tcPr>
                  <w:tcW w:w="1041" w:type="dxa"/>
                  <w:vAlign w:val="top"/>
                </w:tcPr>
                <w:p w14:paraId="34B0E093">
                  <w:pPr>
                    <w:pStyle w:val="6"/>
                    <w:spacing w:before="37" w:line="215" w:lineRule="auto"/>
                    <w:ind w:left="326"/>
                    <w:rPr>
                      <w:sz w:val="20"/>
                      <w:szCs w:val="20"/>
                    </w:rPr>
                  </w:pPr>
                  <w:r>
                    <w:rPr>
                      <w:sz w:val="20"/>
                      <w:szCs w:val="20"/>
                    </w:rPr>
                    <w:t>达标</w:t>
                  </w:r>
                </w:p>
              </w:tc>
            </w:tr>
            <w:tr w14:paraId="196FC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4188A17D">
                  <w:pPr>
                    <w:rPr>
                      <w:rFonts w:ascii="Arial"/>
                      <w:sz w:val="21"/>
                    </w:rPr>
                  </w:pPr>
                </w:p>
              </w:tc>
              <w:tc>
                <w:tcPr>
                  <w:tcW w:w="1266" w:type="dxa"/>
                  <w:vMerge w:val="restart"/>
                  <w:tcBorders>
                    <w:bottom w:val="nil"/>
                  </w:tcBorders>
                  <w:vAlign w:val="top"/>
                </w:tcPr>
                <w:p w14:paraId="7962CB78">
                  <w:pPr>
                    <w:pStyle w:val="6"/>
                    <w:spacing w:before="39" w:line="238" w:lineRule="auto"/>
                    <w:ind w:left="568" w:right="107" w:hanging="459"/>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3</w:t>
                  </w:r>
                  <w:r>
                    <w:rPr>
                      <w:spacing w:val="5"/>
                      <w:sz w:val="20"/>
                      <w:szCs w:val="20"/>
                    </w:rPr>
                    <w:t>月</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
                      <w:sz w:val="20"/>
                      <w:szCs w:val="20"/>
                    </w:rPr>
                    <w:t xml:space="preserve"> </w:t>
                  </w:r>
                  <w:r>
                    <w:rPr>
                      <w:sz w:val="20"/>
                      <w:szCs w:val="20"/>
                    </w:rPr>
                    <w:t>日</w:t>
                  </w:r>
                </w:p>
              </w:tc>
              <w:tc>
                <w:tcPr>
                  <w:tcW w:w="1274" w:type="dxa"/>
                  <w:vAlign w:val="top"/>
                </w:tcPr>
                <w:p w14:paraId="0D11FAF2">
                  <w:pPr>
                    <w:pStyle w:val="6"/>
                    <w:spacing w:before="38" w:line="214" w:lineRule="auto"/>
                    <w:ind w:left="430"/>
                    <w:rPr>
                      <w:sz w:val="20"/>
                      <w:szCs w:val="20"/>
                    </w:rPr>
                  </w:pPr>
                  <w:r>
                    <w:rPr>
                      <w:spacing w:val="5"/>
                      <w:sz w:val="20"/>
                      <w:szCs w:val="20"/>
                    </w:rPr>
                    <w:t>昼间</w:t>
                  </w:r>
                </w:p>
              </w:tc>
              <w:tc>
                <w:tcPr>
                  <w:tcW w:w="1421" w:type="dxa"/>
                  <w:vAlign w:val="top"/>
                </w:tcPr>
                <w:p w14:paraId="0628708E">
                  <w:pPr>
                    <w:spacing w:before="76" w:line="195"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847" w:type="dxa"/>
                  <w:vMerge w:val="continue"/>
                  <w:tcBorders>
                    <w:top w:val="nil"/>
                    <w:bottom w:val="nil"/>
                  </w:tcBorders>
                  <w:vAlign w:val="top"/>
                </w:tcPr>
                <w:p w14:paraId="459FE2A9">
                  <w:pPr>
                    <w:rPr>
                      <w:rFonts w:ascii="Arial"/>
                      <w:sz w:val="21"/>
                    </w:rPr>
                  </w:pPr>
                </w:p>
              </w:tc>
              <w:tc>
                <w:tcPr>
                  <w:tcW w:w="1041" w:type="dxa"/>
                  <w:vAlign w:val="top"/>
                </w:tcPr>
                <w:p w14:paraId="28B6D7E3">
                  <w:pPr>
                    <w:pStyle w:val="6"/>
                    <w:spacing w:before="38" w:line="214" w:lineRule="auto"/>
                    <w:ind w:left="326"/>
                    <w:rPr>
                      <w:sz w:val="20"/>
                      <w:szCs w:val="20"/>
                    </w:rPr>
                  </w:pPr>
                  <w:r>
                    <w:rPr>
                      <w:sz w:val="20"/>
                      <w:szCs w:val="20"/>
                    </w:rPr>
                    <w:t>达标</w:t>
                  </w:r>
                </w:p>
              </w:tc>
            </w:tr>
            <w:tr w14:paraId="6FE8A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tcBorders>
                  <w:vAlign w:val="top"/>
                </w:tcPr>
                <w:p w14:paraId="7B58F5EA">
                  <w:pPr>
                    <w:rPr>
                      <w:rFonts w:ascii="Arial"/>
                      <w:sz w:val="21"/>
                    </w:rPr>
                  </w:pPr>
                </w:p>
              </w:tc>
              <w:tc>
                <w:tcPr>
                  <w:tcW w:w="1266" w:type="dxa"/>
                  <w:vMerge w:val="continue"/>
                  <w:tcBorders>
                    <w:top w:val="nil"/>
                  </w:tcBorders>
                  <w:vAlign w:val="top"/>
                </w:tcPr>
                <w:p w14:paraId="34A676EE">
                  <w:pPr>
                    <w:rPr>
                      <w:rFonts w:ascii="Arial"/>
                      <w:sz w:val="21"/>
                    </w:rPr>
                  </w:pPr>
                </w:p>
              </w:tc>
              <w:tc>
                <w:tcPr>
                  <w:tcW w:w="1274" w:type="dxa"/>
                  <w:vAlign w:val="top"/>
                </w:tcPr>
                <w:p w14:paraId="51E400ED">
                  <w:pPr>
                    <w:pStyle w:val="6"/>
                    <w:spacing w:before="38" w:line="214" w:lineRule="auto"/>
                    <w:ind w:left="434"/>
                    <w:rPr>
                      <w:sz w:val="20"/>
                      <w:szCs w:val="20"/>
                    </w:rPr>
                  </w:pPr>
                  <w:r>
                    <w:rPr>
                      <w:spacing w:val="3"/>
                      <w:sz w:val="20"/>
                      <w:szCs w:val="20"/>
                    </w:rPr>
                    <w:t>夜间</w:t>
                  </w:r>
                </w:p>
              </w:tc>
              <w:tc>
                <w:tcPr>
                  <w:tcW w:w="1421" w:type="dxa"/>
                  <w:vAlign w:val="top"/>
                </w:tcPr>
                <w:p w14:paraId="7FDFBC44">
                  <w:pPr>
                    <w:spacing w:before="74"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847" w:type="dxa"/>
                  <w:vMerge w:val="continue"/>
                  <w:tcBorders>
                    <w:top w:val="nil"/>
                    <w:bottom w:val="nil"/>
                  </w:tcBorders>
                  <w:vAlign w:val="top"/>
                </w:tcPr>
                <w:p w14:paraId="714617E2">
                  <w:pPr>
                    <w:rPr>
                      <w:rFonts w:ascii="Arial"/>
                      <w:sz w:val="21"/>
                    </w:rPr>
                  </w:pPr>
                </w:p>
              </w:tc>
              <w:tc>
                <w:tcPr>
                  <w:tcW w:w="1041" w:type="dxa"/>
                  <w:vAlign w:val="top"/>
                </w:tcPr>
                <w:p w14:paraId="5290FC2E">
                  <w:pPr>
                    <w:pStyle w:val="6"/>
                    <w:spacing w:before="38" w:line="214" w:lineRule="auto"/>
                    <w:ind w:left="326"/>
                    <w:rPr>
                      <w:sz w:val="20"/>
                      <w:szCs w:val="20"/>
                    </w:rPr>
                  </w:pPr>
                  <w:r>
                    <w:rPr>
                      <w:sz w:val="20"/>
                      <w:szCs w:val="20"/>
                    </w:rPr>
                    <w:t>达标</w:t>
                  </w:r>
                </w:p>
              </w:tc>
            </w:tr>
            <w:tr w14:paraId="6CD59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restart"/>
                  <w:tcBorders>
                    <w:bottom w:val="nil"/>
                  </w:tcBorders>
                  <w:vAlign w:val="top"/>
                </w:tcPr>
                <w:p w14:paraId="1A6C3857">
                  <w:pPr>
                    <w:spacing w:line="262" w:lineRule="auto"/>
                    <w:rPr>
                      <w:rFonts w:ascii="Arial"/>
                      <w:sz w:val="21"/>
                    </w:rPr>
                  </w:pPr>
                </w:p>
                <w:p w14:paraId="12F9C60B">
                  <w:pPr>
                    <w:pStyle w:val="6"/>
                    <w:spacing w:before="65"/>
                    <w:ind w:left="221" w:right="131" w:hanging="80"/>
                    <w:rPr>
                      <w:sz w:val="20"/>
                      <w:szCs w:val="20"/>
                    </w:rPr>
                  </w:pPr>
                  <w:r>
                    <w:rPr>
                      <w:spacing w:val="7"/>
                      <w:sz w:val="20"/>
                      <w:szCs w:val="20"/>
                    </w:rPr>
                    <w:t>升压站厂界</w:t>
                  </w:r>
                  <w:r>
                    <w:rPr>
                      <w:spacing w:val="3"/>
                      <w:sz w:val="20"/>
                      <w:szCs w:val="20"/>
                    </w:rPr>
                    <w:t xml:space="preserve"> </w:t>
                  </w:r>
                  <w:r>
                    <w:rPr>
                      <w:spacing w:val="4"/>
                      <w:sz w:val="20"/>
                      <w:szCs w:val="20"/>
                    </w:rPr>
                    <w:t>南（</w:t>
                  </w:r>
                  <w:r>
                    <w:rPr>
                      <w:rFonts w:ascii="Times New Roman" w:hAnsi="Times New Roman" w:eastAsia="Times New Roman" w:cs="Times New Roman"/>
                      <w:spacing w:val="4"/>
                      <w:sz w:val="20"/>
                      <w:szCs w:val="20"/>
                    </w:rPr>
                    <w:t>N6</w:t>
                  </w:r>
                  <w:r>
                    <w:rPr>
                      <w:spacing w:val="4"/>
                      <w:sz w:val="20"/>
                      <w:szCs w:val="20"/>
                    </w:rPr>
                    <w:t>）</w:t>
                  </w:r>
                </w:p>
              </w:tc>
              <w:tc>
                <w:tcPr>
                  <w:tcW w:w="1266" w:type="dxa"/>
                  <w:vMerge w:val="restart"/>
                  <w:tcBorders>
                    <w:bottom w:val="nil"/>
                  </w:tcBorders>
                  <w:vAlign w:val="top"/>
                </w:tcPr>
                <w:p w14:paraId="7CDE9E23">
                  <w:pPr>
                    <w:pStyle w:val="6"/>
                    <w:spacing w:before="41" w:line="237" w:lineRule="auto"/>
                    <w:ind w:left="423" w:right="159" w:hanging="261"/>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2</w:t>
                  </w:r>
                  <w:r>
                    <w:rPr>
                      <w:spacing w:val="5"/>
                      <w:sz w:val="20"/>
                      <w:szCs w:val="20"/>
                    </w:rPr>
                    <w:t>月</w:t>
                  </w:r>
                  <w:r>
                    <w:rPr>
                      <w:spacing w:val="2"/>
                      <w:sz w:val="20"/>
                      <w:szCs w:val="20"/>
                    </w:rPr>
                    <w:t xml:space="preserve"> </w:t>
                  </w:r>
                  <w:r>
                    <w:rPr>
                      <w:rFonts w:ascii="Times New Roman" w:hAnsi="Times New Roman" w:eastAsia="Times New Roman" w:cs="Times New Roman"/>
                      <w:spacing w:val="4"/>
                      <w:sz w:val="20"/>
                      <w:szCs w:val="20"/>
                    </w:rPr>
                    <w:t>28</w:t>
                  </w:r>
                  <w:r>
                    <w:rPr>
                      <w:spacing w:val="4"/>
                      <w:sz w:val="20"/>
                      <w:szCs w:val="20"/>
                    </w:rPr>
                    <w:t>日</w:t>
                  </w:r>
                </w:p>
              </w:tc>
              <w:tc>
                <w:tcPr>
                  <w:tcW w:w="1274" w:type="dxa"/>
                  <w:vAlign w:val="top"/>
                </w:tcPr>
                <w:p w14:paraId="7A94F0D3">
                  <w:pPr>
                    <w:pStyle w:val="6"/>
                    <w:spacing w:before="39" w:line="213" w:lineRule="auto"/>
                    <w:ind w:left="430"/>
                    <w:rPr>
                      <w:sz w:val="20"/>
                      <w:szCs w:val="20"/>
                    </w:rPr>
                  </w:pPr>
                  <w:r>
                    <w:rPr>
                      <w:spacing w:val="5"/>
                      <w:sz w:val="20"/>
                      <w:szCs w:val="20"/>
                    </w:rPr>
                    <w:t>昼间</w:t>
                  </w:r>
                </w:p>
              </w:tc>
              <w:tc>
                <w:tcPr>
                  <w:tcW w:w="1421" w:type="dxa"/>
                  <w:vAlign w:val="top"/>
                </w:tcPr>
                <w:p w14:paraId="5222909D">
                  <w:pPr>
                    <w:spacing w:before="74" w:line="195"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847" w:type="dxa"/>
                  <w:vMerge w:val="continue"/>
                  <w:tcBorders>
                    <w:top w:val="nil"/>
                    <w:bottom w:val="nil"/>
                  </w:tcBorders>
                  <w:vAlign w:val="top"/>
                </w:tcPr>
                <w:p w14:paraId="6DEFE862">
                  <w:pPr>
                    <w:rPr>
                      <w:rFonts w:ascii="Arial"/>
                      <w:sz w:val="21"/>
                    </w:rPr>
                  </w:pPr>
                </w:p>
              </w:tc>
              <w:tc>
                <w:tcPr>
                  <w:tcW w:w="1041" w:type="dxa"/>
                  <w:vAlign w:val="top"/>
                </w:tcPr>
                <w:p w14:paraId="799BA239">
                  <w:pPr>
                    <w:pStyle w:val="6"/>
                    <w:spacing w:before="39" w:line="213" w:lineRule="auto"/>
                    <w:ind w:left="326"/>
                    <w:rPr>
                      <w:sz w:val="20"/>
                      <w:szCs w:val="20"/>
                    </w:rPr>
                  </w:pPr>
                  <w:r>
                    <w:rPr>
                      <w:sz w:val="20"/>
                      <w:szCs w:val="20"/>
                    </w:rPr>
                    <w:t>达标</w:t>
                  </w:r>
                </w:p>
              </w:tc>
            </w:tr>
            <w:tr w14:paraId="7EADF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14CE341C">
                  <w:pPr>
                    <w:rPr>
                      <w:rFonts w:ascii="Arial"/>
                      <w:sz w:val="21"/>
                    </w:rPr>
                  </w:pPr>
                </w:p>
              </w:tc>
              <w:tc>
                <w:tcPr>
                  <w:tcW w:w="1266" w:type="dxa"/>
                  <w:vMerge w:val="continue"/>
                  <w:tcBorders>
                    <w:top w:val="nil"/>
                  </w:tcBorders>
                  <w:vAlign w:val="top"/>
                </w:tcPr>
                <w:p w14:paraId="01E3BCDE">
                  <w:pPr>
                    <w:rPr>
                      <w:rFonts w:ascii="Arial"/>
                      <w:sz w:val="21"/>
                    </w:rPr>
                  </w:pPr>
                </w:p>
              </w:tc>
              <w:tc>
                <w:tcPr>
                  <w:tcW w:w="1274" w:type="dxa"/>
                  <w:vAlign w:val="top"/>
                </w:tcPr>
                <w:p w14:paraId="200960F1">
                  <w:pPr>
                    <w:pStyle w:val="6"/>
                    <w:spacing w:before="37" w:line="215" w:lineRule="auto"/>
                    <w:ind w:left="434"/>
                    <w:rPr>
                      <w:sz w:val="20"/>
                      <w:szCs w:val="20"/>
                    </w:rPr>
                  </w:pPr>
                  <w:r>
                    <w:rPr>
                      <w:spacing w:val="3"/>
                      <w:sz w:val="20"/>
                      <w:szCs w:val="20"/>
                    </w:rPr>
                    <w:t>夜间</w:t>
                  </w:r>
                </w:p>
              </w:tc>
              <w:tc>
                <w:tcPr>
                  <w:tcW w:w="1421" w:type="dxa"/>
                  <w:vAlign w:val="top"/>
                </w:tcPr>
                <w:p w14:paraId="67A4898A">
                  <w:pPr>
                    <w:spacing w:before="75"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847" w:type="dxa"/>
                  <w:vMerge w:val="continue"/>
                  <w:tcBorders>
                    <w:top w:val="nil"/>
                    <w:bottom w:val="nil"/>
                  </w:tcBorders>
                  <w:vAlign w:val="top"/>
                </w:tcPr>
                <w:p w14:paraId="713B084A">
                  <w:pPr>
                    <w:rPr>
                      <w:rFonts w:ascii="Arial"/>
                      <w:sz w:val="21"/>
                    </w:rPr>
                  </w:pPr>
                </w:p>
              </w:tc>
              <w:tc>
                <w:tcPr>
                  <w:tcW w:w="1041" w:type="dxa"/>
                  <w:vAlign w:val="top"/>
                </w:tcPr>
                <w:p w14:paraId="579B6E34">
                  <w:pPr>
                    <w:pStyle w:val="6"/>
                    <w:spacing w:before="37" w:line="215" w:lineRule="auto"/>
                    <w:ind w:left="326"/>
                    <w:rPr>
                      <w:sz w:val="20"/>
                      <w:szCs w:val="20"/>
                    </w:rPr>
                  </w:pPr>
                  <w:r>
                    <w:rPr>
                      <w:sz w:val="20"/>
                      <w:szCs w:val="20"/>
                    </w:rPr>
                    <w:t>达标</w:t>
                  </w:r>
                </w:p>
              </w:tc>
            </w:tr>
            <w:tr w14:paraId="0B84B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76C28E98">
                  <w:pPr>
                    <w:rPr>
                      <w:rFonts w:ascii="Arial"/>
                      <w:sz w:val="21"/>
                    </w:rPr>
                  </w:pPr>
                </w:p>
              </w:tc>
              <w:tc>
                <w:tcPr>
                  <w:tcW w:w="1266" w:type="dxa"/>
                  <w:vMerge w:val="restart"/>
                  <w:tcBorders>
                    <w:bottom w:val="nil"/>
                  </w:tcBorders>
                  <w:vAlign w:val="top"/>
                </w:tcPr>
                <w:p w14:paraId="7DCEA629">
                  <w:pPr>
                    <w:pStyle w:val="6"/>
                    <w:spacing w:before="39" w:line="238" w:lineRule="auto"/>
                    <w:ind w:left="568" w:right="107" w:hanging="459"/>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3</w:t>
                  </w:r>
                  <w:r>
                    <w:rPr>
                      <w:spacing w:val="5"/>
                      <w:sz w:val="20"/>
                      <w:szCs w:val="20"/>
                    </w:rPr>
                    <w:t>月</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
                      <w:sz w:val="20"/>
                      <w:szCs w:val="20"/>
                    </w:rPr>
                    <w:t xml:space="preserve"> </w:t>
                  </w:r>
                  <w:r>
                    <w:rPr>
                      <w:sz w:val="20"/>
                      <w:szCs w:val="20"/>
                    </w:rPr>
                    <w:t>日</w:t>
                  </w:r>
                </w:p>
              </w:tc>
              <w:tc>
                <w:tcPr>
                  <w:tcW w:w="1274" w:type="dxa"/>
                  <w:vAlign w:val="top"/>
                </w:tcPr>
                <w:p w14:paraId="4CDECFF3">
                  <w:pPr>
                    <w:pStyle w:val="6"/>
                    <w:spacing w:before="38" w:line="214" w:lineRule="auto"/>
                    <w:ind w:left="430"/>
                    <w:rPr>
                      <w:sz w:val="20"/>
                      <w:szCs w:val="20"/>
                    </w:rPr>
                  </w:pPr>
                  <w:r>
                    <w:rPr>
                      <w:spacing w:val="5"/>
                      <w:sz w:val="20"/>
                      <w:szCs w:val="20"/>
                    </w:rPr>
                    <w:t>昼间</w:t>
                  </w:r>
                </w:p>
              </w:tc>
              <w:tc>
                <w:tcPr>
                  <w:tcW w:w="1421" w:type="dxa"/>
                  <w:vAlign w:val="top"/>
                </w:tcPr>
                <w:p w14:paraId="1B4C7864">
                  <w:pPr>
                    <w:spacing w:before="76" w:line="195"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847" w:type="dxa"/>
                  <w:vMerge w:val="continue"/>
                  <w:tcBorders>
                    <w:top w:val="nil"/>
                    <w:bottom w:val="nil"/>
                  </w:tcBorders>
                  <w:vAlign w:val="top"/>
                </w:tcPr>
                <w:p w14:paraId="2B217DDB">
                  <w:pPr>
                    <w:rPr>
                      <w:rFonts w:ascii="Arial"/>
                      <w:sz w:val="21"/>
                    </w:rPr>
                  </w:pPr>
                </w:p>
              </w:tc>
              <w:tc>
                <w:tcPr>
                  <w:tcW w:w="1041" w:type="dxa"/>
                  <w:vAlign w:val="top"/>
                </w:tcPr>
                <w:p w14:paraId="5DE1255D">
                  <w:pPr>
                    <w:pStyle w:val="6"/>
                    <w:spacing w:before="38" w:line="214" w:lineRule="auto"/>
                    <w:ind w:left="326"/>
                    <w:rPr>
                      <w:sz w:val="20"/>
                      <w:szCs w:val="20"/>
                    </w:rPr>
                  </w:pPr>
                  <w:r>
                    <w:rPr>
                      <w:sz w:val="20"/>
                      <w:szCs w:val="20"/>
                    </w:rPr>
                    <w:t>达标</w:t>
                  </w:r>
                </w:p>
              </w:tc>
            </w:tr>
            <w:tr w14:paraId="6D4F5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tcBorders>
                  <w:vAlign w:val="top"/>
                </w:tcPr>
                <w:p w14:paraId="1682784E">
                  <w:pPr>
                    <w:rPr>
                      <w:rFonts w:ascii="Arial"/>
                      <w:sz w:val="21"/>
                    </w:rPr>
                  </w:pPr>
                </w:p>
              </w:tc>
              <w:tc>
                <w:tcPr>
                  <w:tcW w:w="1266" w:type="dxa"/>
                  <w:vMerge w:val="continue"/>
                  <w:tcBorders>
                    <w:top w:val="nil"/>
                  </w:tcBorders>
                  <w:vAlign w:val="top"/>
                </w:tcPr>
                <w:p w14:paraId="7B94450D">
                  <w:pPr>
                    <w:rPr>
                      <w:rFonts w:ascii="Arial"/>
                      <w:sz w:val="21"/>
                    </w:rPr>
                  </w:pPr>
                </w:p>
              </w:tc>
              <w:tc>
                <w:tcPr>
                  <w:tcW w:w="1274" w:type="dxa"/>
                  <w:vAlign w:val="top"/>
                </w:tcPr>
                <w:p w14:paraId="0BA0E414">
                  <w:pPr>
                    <w:pStyle w:val="6"/>
                    <w:spacing w:before="38" w:line="214" w:lineRule="auto"/>
                    <w:ind w:left="434"/>
                    <w:rPr>
                      <w:sz w:val="20"/>
                      <w:szCs w:val="20"/>
                    </w:rPr>
                  </w:pPr>
                  <w:r>
                    <w:rPr>
                      <w:spacing w:val="3"/>
                      <w:sz w:val="20"/>
                      <w:szCs w:val="20"/>
                    </w:rPr>
                    <w:t>夜间</w:t>
                  </w:r>
                </w:p>
              </w:tc>
              <w:tc>
                <w:tcPr>
                  <w:tcW w:w="1421" w:type="dxa"/>
                  <w:vAlign w:val="top"/>
                </w:tcPr>
                <w:p w14:paraId="46B2F24A">
                  <w:pPr>
                    <w:spacing w:before="74"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847" w:type="dxa"/>
                  <w:vMerge w:val="continue"/>
                  <w:tcBorders>
                    <w:top w:val="nil"/>
                    <w:bottom w:val="nil"/>
                  </w:tcBorders>
                  <w:vAlign w:val="top"/>
                </w:tcPr>
                <w:p w14:paraId="6742C8EC">
                  <w:pPr>
                    <w:rPr>
                      <w:rFonts w:ascii="Arial"/>
                      <w:sz w:val="21"/>
                    </w:rPr>
                  </w:pPr>
                </w:p>
              </w:tc>
              <w:tc>
                <w:tcPr>
                  <w:tcW w:w="1041" w:type="dxa"/>
                  <w:vAlign w:val="top"/>
                </w:tcPr>
                <w:p w14:paraId="106165FF">
                  <w:pPr>
                    <w:pStyle w:val="6"/>
                    <w:spacing w:before="38" w:line="214" w:lineRule="auto"/>
                    <w:ind w:left="326"/>
                    <w:rPr>
                      <w:sz w:val="20"/>
                      <w:szCs w:val="20"/>
                    </w:rPr>
                  </w:pPr>
                  <w:r>
                    <w:rPr>
                      <w:sz w:val="20"/>
                      <w:szCs w:val="20"/>
                    </w:rPr>
                    <w:t>达标</w:t>
                  </w:r>
                </w:p>
              </w:tc>
            </w:tr>
            <w:tr w14:paraId="21D1A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restart"/>
                  <w:tcBorders>
                    <w:bottom w:val="nil"/>
                  </w:tcBorders>
                  <w:vAlign w:val="top"/>
                </w:tcPr>
                <w:p w14:paraId="6F4E3688">
                  <w:pPr>
                    <w:spacing w:line="262" w:lineRule="auto"/>
                    <w:rPr>
                      <w:rFonts w:ascii="Arial"/>
                      <w:sz w:val="21"/>
                    </w:rPr>
                  </w:pPr>
                </w:p>
                <w:p w14:paraId="021FCE3F">
                  <w:pPr>
                    <w:pStyle w:val="6"/>
                    <w:spacing w:before="65" w:line="241" w:lineRule="auto"/>
                    <w:ind w:left="223" w:right="131" w:hanging="82"/>
                    <w:rPr>
                      <w:sz w:val="20"/>
                      <w:szCs w:val="20"/>
                    </w:rPr>
                  </w:pPr>
                  <w:r>
                    <w:rPr>
                      <w:spacing w:val="7"/>
                      <w:sz w:val="20"/>
                      <w:szCs w:val="20"/>
                    </w:rPr>
                    <w:t>升压站厂界</w:t>
                  </w:r>
                  <w:r>
                    <w:rPr>
                      <w:spacing w:val="3"/>
                      <w:sz w:val="20"/>
                      <w:szCs w:val="20"/>
                    </w:rPr>
                    <w:t xml:space="preserve"> 西（</w:t>
                  </w:r>
                  <w:r>
                    <w:rPr>
                      <w:rFonts w:ascii="Times New Roman" w:hAnsi="Times New Roman" w:eastAsia="Times New Roman" w:cs="Times New Roman"/>
                      <w:spacing w:val="3"/>
                      <w:sz w:val="20"/>
                      <w:szCs w:val="20"/>
                    </w:rPr>
                    <w:t>N7</w:t>
                  </w:r>
                  <w:r>
                    <w:rPr>
                      <w:spacing w:val="3"/>
                      <w:sz w:val="20"/>
                      <w:szCs w:val="20"/>
                    </w:rPr>
                    <w:t>）</w:t>
                  </w:r>
                </w:p>
              </w:tc>
              <w:tc>
                <w:tcPr>
                  <w:tcW w:w="1266" w:type="dxa"/>
                  <w:vMerge w:val="restart"/>
                  <w:tcBorders>
                    <w:bottom w:val="nil"/>
                  </w:tcBorders>
                  <w:vAlign w:val="top"/>
                </w:tcPr>
                <w:p w14:paraId="15279289">
                  <w:pPr>
                    <w:pStyle w:val="6"/>
                    <w:spacing w:before="41" w:line="237" w:lineRule="auto"/>
                    <w:ind w:left="423" w:right="159" w:hanging="261"/>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2</w:t>
                  </w:r>
                  <w:r>
                    <w:rPr>
                      <w:spacing w:val="5"/>
                      <w:sz w:val="20"/>
                      <w:szCs w:val="20"/>
                    </w:rPr>
                    <w:t>月</w:t>
                  </w:r>
                  <w:r>
                    <w:rPr>
                      <w:spacing w:val="2"/>
                      <w:sz w:val="20"/>
                      <w:szCs w:val="20"/>
                    </w:rPr>
                    <w:t xml:space="preserve"> </w:t>
                  </w:r>
                  <w:r>
                    <w:rPr>
                      <w:rFonts w:ascii="Times New Roman" w:hAnsi="Times New Roman" w:eastAsia="Times New Roman" w:cs="Times New Roman"/>
                      <w:spacing w:val="4"/>
                      <w:sz w:val="20"/>
                      <w:szCs w:val="20"/>
                    </w:rPr>
                    <w:t>28</w:t>
                  </w:r>
                  <w:r>
                    <w:rPr>
                      <w:spacing w:val="4"/>
                      <w:sz w:val="20"/>
                      <w:szCs w:val="20"/>
                    </w:rPr>
                    <w:t>日</w:t>
                  </w:r>
                </w:p>
              </w:tc>
              <w:tc>
                <w:tcPr>
                  <w:tcW w:w="1274" w:type="dxa"/>
                  <w:vAlign w:val="top"/>
                </w:tcPr>
                <w:p w14:paraId="05E08D1E">
                  <w:pPr>
                    <w:pStyle w:val="6"/>
                    <w:spacing w:before="39" w:line="213" w:lineRule="auto"/>
                    <w:ind w:left="430"/>
                    <w:rPr>
                      <w:sz w:val="20"/>
                      <w:szCs w:val="20"/>
                    </w:rPr>
                  </w:pPr>
                  <w:r>
                    <w:rPr>
                      <w:spacing w:val="5"/>
                      <w:sz w:val="20"/>
                      <w:szCs w:val="20"/>
                    </w:rPr>
                    <w:t>昼间</w:t>
                  </w:r>
                </w:p>
              </w:tc>
              <w:tc>
                <w:tcPr>
                  <w:tcW w:w="1421" w:type="dxa"/>
                  <w:vAlign w:val="top"/>
                </w:tcPr>
                <w:p w14:paraId="61074138">
                  <w:pPr>
                    <w:spacing w:before="74" w:line="195"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847" w:type="dxa"/>
                  <w:vMerge w:val="continue"/>
                  <w:tcBorders>
                    <w:top w:val="nil"/>
                    <w:bottom w:val="nil"/>
                  </w:tcBorders>
                  <w:vAlign w:val="top"/>
                </w:tcPr>
                <w:p w14:paraId="24F9752D">
                  <w:pPr>
                    <w:rPr>
                      <w:rFonts w:ascii="Arial"/>
                      <w:sz w:val="21"/>
                    </w:rPr>
                  </w:pPr>
                </w:p>
              </w:tc>
              <w:tc>
                <w:tcPr>
                  <w:tcW w:w="1041" w:type="dxa"/>
                  <w:vAlign w:val="top"/>
                </w:tcPr>
                <w:p w14:paraId="0D3D409B">
                  <w:pPr>
                    <w:pStyle w:val="6"/>
                    <w:spacing w:before="39" w:line="213" w:lineRule="auto"/>
                    <w:ind w:left="326"/>
                    <w:rPr>
                      <w:sz w:val="20"/>
                      <w:szCs w:val="20"/>
                    </w:rPr>
                  </w:pPr>
                  <w:r>
                    <w:rPr>
                      <w:sz w:val="20"/>
                      <w:szCs w:val="20"/>
                    </w:rPr>
                    <w:t>达标</w:t>
                  </w:r>
                </w:p>
              </w:tc>
            </w:tr>
            <w:tr w14:paraId="4A361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372A009F">
                  <w:pPr>
                    <w:rPr>
                      <w:rFonts w:ascii="Arial"/>
                      <w:sz w:val="21"/>
                    </w:rPr>
                  </w:pPr>
                </w:p>
              </w:tc>
              <w:tc>
                <w:tcPr>
                  <w:tcW w:w="1266" w:type="dxa"/>
                  <w:vMerge w:val="continue"/>
                  <w:tcBorders>
                    <w:top w:val="nil"/>
                  </w:tcBorders>
                  <w:vAlign w:val="top"/>
                </w:tcPr>
                <w:p w14:paraId="54E103D7">
                  <w:pPr>
                    <w:rPr>
                      <w:rFonts w:ascii="Arial"/>
                      <w:sz w:val="21"/>
                    </w:rPr>
                  </w:pPr>
                </w:p>
              </w:tc>
              <w:tc>
                <w:tcPr>
                  <w:tcW w:w="1274" w:type="dxa"/>
                  <w:vAlign w:val="top"/>
                </w:tcPr>
                <w:p w14:paraId="269851C4">
                  <w:pPr>
                    <w:pStyle w:val="6"/>
                    <w:spacing w:before="37" w:line="215" w:lineRule="auto"/>
                    <w:ind w:left="434"/>
                    <w:rPr>
                      <w:sz w:val="20"/>
                      <w:szCs w:val="20"/>
                    </w:rPr>
                  </w:pPr>
                  <w:r>
                    <w:rPr>
                      <w:spacing w:val="3"/>
                      <w:sz w:val="20"/>
                      <w:szCs w:val="20"/>
                    </w:rPr>
                    <w:t>夜间</w:t>
                  </w:r>
                </w:p>
              </w:tc>
              <w:tc>
                <w:tcPr>
                  <w:tcW w:w="1421" w:type="dxa"/>
                  <w:vAlign w:val="top"/>
                </w:tcPr>
                <w:p w14:paraId="18DE62B8">
                  <w:pPr>
                    <w:spacing w:before="75"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847" w:type="dxa"/>
                  <w:vMerge w:val="continue"/>
                  <w:tcBorders>
                    <w:top w:val="nil"/>
                    <w:bottom w:val="nil"/>
                  </w:tcBorders>
                  <w:vAlign w:val="top"/>
                </w:tcPr>
                <w:p w14:paraId="1C4C1968">
                  <w:pPr>
                    <w:rPr>
                      <w:rFonts w:ascii="Arial"/>
                      <w:sz w:val="21"/>
                    </w:rPr>
                  </w:pPr>
                </w:p>
              </w:tc>
              <w:tc>
                <w:tcPr>
                  <w:tcW w:w="1041" w:type="dxa"/>
                  <w:vAlign w:val="top"/>
                </w:tcPr>
                <w:p w14:paraId="4EC502E5">
                  <w:pPr>
                    <w:pStyle w:val="6"/>
                    <w:spacing w:before="37" w:line="215" w:lineRule="auto"/>
                    <w:ind w:left="326"/>
                    <w:rPr>
                      <w:sz w:val="20"/>
                      <w:szCs w:val="20"/>
                    </w:rPr>
                  </w:pPr>
                  <w:r>
                    <w:rPr>
                      <w:sz w:val="20"/>
                      <w:szCs w:val="20"/>
                    </w:rPr>
                    <w:t>达标</w:t>
                  </w:r>
                </w:p>
              </w:tc>
            </w:tr>
            <w:tr w14:paraId="5856C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7F42141A">
                  <w:pPr>
                    <w:rPr>
                      <w:rFonts w:ascii="Arial"/>
                      <w:sz w:val="21"/>
                    </w:rPr>
                  </w:pPr>
                </w:p>
              </w:tc>
              <w:tc>
                <w:tcPr>
                  <w:tcW w:w="1266" w:type="dxa"/>
                  <w:vMerge w:val="restart"/>
                  <w:tcBorders>
                    <w:bottom w:val="nil"/>
                  </w:tcBorders>
                  <w:vAlign w:val="top"/>
                </w:tcPr>
                <w:p w14:paraId="4666336E">
                  <w:pPr>
                    <w:pStyle w:val="6"/>
                    <w:spacing w:before="39" w:line="238" w:lineRule="auto"/>
                    <w:ind w:left="568" w:right="107" w:hanging="459"/>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3</w:t>
                  </w:r>
                  <w:r>
                    <w:rPr>
                      <w:spacing w:val="5"/>
                      <w:sz w:val="20"/>
                      <w:szCs w:val="20"/>
                    </w:rPr>
                    <w:t>月</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
                      <w:sz w:val="20"/>
                      <w:szCs w:val="20"/>
                    </w:rPr>
                    <w:t xml:space="preserve"> </w:t>
                  </w:r>
                  <w:r>
                    <w:rPr>
                      <w:sz w:val="20"/>
                      <w:szCs w:val="20"/>
                    </w:rPr>
                    <w:t>日</w:t>
                  </w:r>
                </w:p>
              </w:tc>
              <w:tc>
                <w:tcPr>
                  <w:tcW w:w="1274" w:type="dxa"/>
                  <w:vAlign w:val="top"/>
                </w:tcPr>
                <w:p w14:paraId="3FE7156D">
                  <w:pPr>
                    <w:pStyle w:val="6"/>
                    <w:spacing w:before="38" w:line="214" w:lineRule="auto"/>
                    <w:ind w:left="430"/>
                    <w:rPr>
                      <w:sz w:val="20"/>
                      <w:szCs w:val="20"/>
                    </w:rPr>
                  </w:pPr>
                  <w:r>
                    <w:rPr>
                      <w:spacing w:val="5"/>
                      <w:sz w:val="20"/>
                      <w:szCs w:val="20"/>
                    </w:rPr>
                    <w:t>昼间</w:t>
                  </w:r>
                </w:p>
              </w:tc>
              <w:tc>
                <w:tcPr>
                  <w:tcW w:w="1421" w:type="dxa"/>
                  <w:vAlign w:val="top"/>
                </w:tcPr>
                <w:p w14:paraId="7F4EC784">
                  <w:pPr>
                    <w:spacing w:before="76" w:line="195"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847" w:type="dxa"/>
                  <w:vMerge w:val="continue"/>
                  <w:tcBorders>
                    <w:top w:val="nil"/>
                    <w:bottom w:val="nil"/>
                  </w:tcBorders>
                  <w:vAlign w:val="top"/>
                </w:tcPr>
                <w:p w14:paraId="51E58C07">
                  <w:pPr>
                    <w:rPr>
                      <w:rFonts w:ascii="Arial"/>
                      <w:sz w:val="21"/>
                    </w:rPr>
                  </w:pPr>
                </w:p>
              </w:tc>
              <w:tc>
                <w:tcPr>
                  <w:tcW w:w="1041" w:type="dxa"/>
                  <w:vAlign w:val="top"/>
                </w:tcPr>
                <w:p w14:paraId="4D388BEA">
                  <w:pPr>
                    <w:pStyle w:val="6"/>
                    <w:spacing w:before="38" w:line="214" w:lineRule="auto"/>
                    <w:ind w:left="326"/>
                    <w:rPr>
                      <w:sz w:val="20"/>
                      <w:szCs w:val="20"/>
                    </w:rPr>
                  </w:pPr>
                  <w:r>
                    <w:rPr>
                      <w:sz w:val="20"/>
                      <w:szCs w:val="20"/>
                    </w:rPr>
                    <w:t>达标</w:t>
                  </w:r>
                </w:p>
              </w:tc>
            </w:tr>
            <w:tr w14:paraId="37162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tcBorders>
                  <w:vAlign w:val="top"/>
                </w:tcPr>
                <w:p w14:paraId="4C4E046C">
                  <w:pPr>
                    <w:rPr>
                      <w:rFonts w:ascii="Arial"/>
                      <w:sz w:val="21"/>
                    </w:rPr>
                  </w:pPr>
                </w:p>
              </w:tc>
              <w:tc>
                <w:tcPr>
                  <w:tcW w:w="1266" w:type="dxa"/>
                  <w:vMerge w:val="continue"/>
                  <w:tcBorders>
                    <w:top w:val="nil"/>
                  </w:tcBorders>
                  <w:vAlign w:val="top"/>
                </w:tcPr>
                <w:p w14:paraId="4E3FDD6E">
                  <w:pPr>
                    <w:rPr>
                      <w:rFonts w:ascii="Arial"/>
                      <w:sz w:val="21"/>
                    </w:rPr>
                  </w:pPr>
                </w:p>
              </w:tc>
              <w:tc>
                <w:tcPr>
                  <w:tcW w:w="1274" w:type="dxa"/>
                  <w:vAlign w:val="top"/>
                </w:tcPr>
                <w:p w14:paraId="1170A139">
                  <w:pPr>
                    <w:pStyle w:val="6"/>
                    <w:spacing w:before="38" w:line="214" w:lineRule="auto"/>
                    <w:ind w:left="434"/>
                    <w:rPr>
                      <w:sz w:val="20"/>
                      <w:szCs w:val="20"/>
                    </w:rPr>
                  </w:pPr>
                  <w:r>
                    <w:rPr>
                      <w:spacing w:val="3"/>
                      <w:sz w:val="20"/>
                      <w:szCs w:val="20"/>
                    </w:rPr>
                    <w:t>夜间</w:t>
                  </w:r>
                </w:p>
              </w:tc>
              <w:tc>
                <w:tcPr>
                  <w:tcW w:w="1421" w:type="dxa"/>
                  <w:vAlign w:val="top"/>
                </w:tcPr>
                <w:p w14:paraId="73158F01">
                  <w:pPr>
                    <w:spacing w:before="74"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847" w:type="dxa"/>
                  <w:vMerge w:val="continue"/>
                  <w:tcBorders>
                    <w:top w:val="nil"/>
                    <w:bottom w:val="nil"/>
                  </w:tcBorders>
                  <w:vAlign w:val="top"/>
                </w:tcPr>
                <w:p w14:paraId="47B9FBFE">
                  <w:pPr>
                    <w:rPr>
                      <w:rFonts w:ascii="Arial"/>
                      <w:sz w:val="21"/>
                    </w:rPr>
                  </w:pPr>
                </w:p>
              </w:tc>
              <w:tc>
                <w:tcPr>
                  <w:tcW w:w="1041" w:type="dxa"/>
                  <w:vAlign w:val="top"/>
                </w:tcPr>
                <w:p w14:paraId="0587AC5B">
                  <w:pPr>
                    <w:pStyle w:val="6"/>
                    <w:spacing w:before="38" w:line="214" w:lineRule="auto"/>
                    <w:ind w:left="326"/>
                    <w:rPr>
                      <w:sz w:val="20"/>
                      <w:szCs w:val="20"/>
                    </w:rPr>
                  </w:pPr>
                  <w:r>
                    <w:rPr>
                      <w:sz w:val="20"/>
                      <w:szCs w:val="20"/>
                    </w:rPr>
                    <w:t>达标</w:t>
                  </w:r>
                </w:p>
              </w:tc>
            </w:tr>
            <w:tr w14:paraId="2BD59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restart"/>
                  <w:tcBorders>
                    <w:bottom w:val="nil"/>
                  </w:tcBorders>
                  <w:vAlign w:val="top"/>
                </w:tcPr>
                <w:p w14:paraId="6811C13E">
                  <w:pPr>
                    <w:spacing w:line="262" w:lineRule="auto"/>
                    <w:rPr>
                      <w:rFonts w:ascii="Arial"/>
                      <w:sz w:val="21"/>
                    </w:rPr>
                  </w:pPr>
                </w:p>
                <w:p w14:paraId="0953AF88">
                  <w:pPr>
                    <w:pStyle w:val="6"/>
                    <w:spacing w:before="65" w:line="241" w:lineRule="auto"/>
                    <w:ind w:left="221" w:right="131" w:hanging="80"/>
                    <w:rPr>
                      <w:sz w:val="20"/>
                      <w:szCs w:val="20"/>
                    </w:rPr>
                  </w:pPr>
                  <w:r>
                    <w:rPr>
                      <w:spacing w:val="7"/>
                      <w:sz w:val="20"/>
                      <w:szCs w:val="20"/>
                    </w:rPr>
                    <w:t>升压站厂界</w:t>
                  </w:r>
                  <w:r>
                    <w:rPr>
                      <w:spacing w:val="3"/>
                      <w:sz w:val="20"/>
                      <w:szCs w:val="20"/>
                    </w:rPr>
                    <w:t xml:space="preserve"> 北（</w:t>
                  </w:r>
                  <w:r>
                    <w:rPr>
                      <w:rFonts w:ascii="Times New Roman" w:hAnsi="Times New Roman" w:eastAsia="Times New Roman" w:cs="Times New Roman"/>
                      <w:spacing w:val="3"/>
                      <w:sz w:val="20"/>
                      <w:szCs w:val="20"/>
                    </w:rPr>
                    <w:t>N8</w:t>
                  </w:r>
                  <w:r>
                    <w:rPr>
                      <w:spacing w:val="3"/>
                      <w:sz w:val="20"/>
                      <w:szCs w:val="20"/>
                    </w:rPr>
                    <w:t>）</w:t>
                  </w:r>
                </w:p>
              </w:tc>
              <w:tc>
                <w:tcPr>
                  <w:tcW w:w="1266" w:type="dxa"/>
                  <w:vMerge w:val="restart"/>
                  <w:tcBorders>
                    <w:bottom w:val="nil"/>
                  </w:tcBorders>
                  <w:vAlign w:val="top"/>
                </w:tcPr>
                <w:p w14:paraId="4565D7EE">
                  <w:pPr>
                    <w:pStyle w:val="6"/>
                    <w:spacing w:before="41" w:line="237" w:lineRule="auto"/>
                    <w:ind w:left="423" w:right="159" w:hanging="261"/>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2</w:t>
                  </w:r>
                  <w:r>
                    <w:rPr>
                      <w:spacing w:val="5"/>
                      <w:sz w:val="20"/>
                      <w:szCs w:val="20"/>
                    </w:rPr>
                    <w:t>月</w:t>
                  </w:r>
                  <w:r>
                    <w:rPr>
                      <w:spacing w:val="2"/>
                      <w:sz w:val="20"/>
                      <w:szCs w:val="20"/>
                    </w:rPr>
                    <w:t xml:space="preserve"> </w:t>
                  </w:r>
                  <w:r>
                    <w:rPr>
                      <w:rFonts w:ascii="Times New Roman" w:hAnsi="Times New Roman" w:eastAsia="Times New Roman" w:cs="Times New Roman"/>
                      <w:spacing w:val="4"/>
                      <w:sz w:val="20"/>
                      <w:szCs w:val="20"/>
                    </w:rPr>
                    <w:t>28</w:t>
                  </w:r>
                  <w:r>
                    <w:rPr>
                      <w:spacing w:val="4"/>
                      <w:sz w:val="20"/>
                      <w:szCs w:val="20"/>
                    </w:rPr>
                    <w:t>日</w:t>
                  </w:r>
                </w:p>
              </w:tc>
              <w:tc>
                <w:tcPr>
                  <w:tcW w:w="1274" w:type="dxa"/>
                  <w:vAlign w:val="top"/>
                </w:tcPr>
                <w:p w14:paraId="15988C19">
                  <w:pPr>
                    <w:pStyle w:val="6"/>
                    <w:spacing w:before="39" w:line="213" w:lineRule="auto"/>
                    <w:ind w:left="430"/>
                    <w:rPr>
                      <w:sz w:val="20"/>
                      <w:szCs w:val="20"/>
                    </w:rPr>
                  </w:pPr>
                  <w:r>
                    <w:rPr>
                      <w:spacing w:val="5"/>
                      <w:sz w:val="20"/>
                      <w:szCs w:val="20"/>
                    </w:rPr>
                    <w:t>昼间</w:t>
                  </w:r>
                </w:p>
              </w:tc>
              <w:tc>
                <w:tcPr>
                  <w:tcW w:w="1421" w:type="dxa"/>
                  <w:vAlign w:val="top"/>
                </w:tcPr>
                <w:p w14:paraId="4831A1DF">
                  <w:pPr>
                    <w:spacing w:before="74" w:line="195"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847" w:type="dxa"/>
                  <w:vMerge w:val="continue"/>
                  <w:tcBorders>
                    <w:top w:val="nil"/>
                    <w:bottom w:val="nil"/>
                  </w:tcBorders>
                  <w:vAlign w:val="top"/>
                </w:tcPr>
                <w:p w14:paraId="3FF16598">
                  <w:pPr>
                    <w:rPr>
                      <w:rFonts w:ascii="Arial"/>
                      <w:sz w:val="21"/>
                    </w:rPr>
                  </w:pPr>
                </w:p>
              </w:tc>
              <w:tc>
                <w:tcPr>
                  <w:tcW w:w="1041" w:type="dxa"/>
                  <w:vAlign w:val="top"/>
                </w:tcPr>
                <w:p w14:paraId="74E19737">
                  <w:pPr>
                    <w:pStyle w:val="6"/>
                    <w:spacing w:before="39" w:line="213" w:lineRule="auto"/>
                    <w:ind w:left="326"/>
                    <w:rPr>
                      <w:sz w:val="20"/>
                      <w:szCs w:val="20"/>
                    </w:rPr>
                  </w:pPr>
                  <w:r>
                    <w:rPr>
                      <w:sz w:val="20"/>
                      <w:szCs w:val="20"/>
                    </w:rPr>
                    <w:t>达标</w:t>
                  </w:r>
                </w:p>
              </w:tc>
            </w:tr>
            <w:tr w14:paraId="5FEAA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702DD673">
                  <w:pPr>
                    <w:rPr>
                      <w:rFonts w:ascii="Arial"/>
                      <w:sz w:val="21"/>
                    </w:rPr>
                  </w:pPr>
                </w:p>
              </w:tc>
              <w:tc>
                <w:tcPr>
                  <w:tcW w:w="1266" w:type="dxa"/>
                  <w:vMerge w:val="continue"/>
                  <w:tcBorders>
                    <w:top w:val="nil"/>
                  </w:tcBorders>
                  <w:vAlign w:val="top"/>
                </w:tcPr>
                <w:p w14:paraId="09D84D2E">
                  <w:pPr>
                    <w:rPr>
                      <w:rFonts w:ascii="Arial"/>
                      <w:sz w:val="21"/>
                    </w:rPr>
                  </w:pPr>
                </w:p>
              </w:tc>
              <w:tc>
                <w:tcPr>
                  <w:tcW w:w="1274" w:type="dxa"/>
                  <w:vAlign w:val="top"/>
                </w:tcPr>
                <w:p w14:paraId="44A1BC82">
                  <w:pPr>
                    <w:pStyle w:val="6"/>
                    <w:spacing w:before="37" w:line="215" w:lineRule="auto"/>
                    <w:ind w:left="434"/>
                    <w:rPr>
                      <w:sz w:val="20"/>
                      <w:szCs w:val="20"/>
                    </w:rPr>
                  </w:pPr>
                  <w:r>
                    <w:rPr>
                      <w:spacing w:val="3"/>
                      <w:sz w:val="20"/>
                      <w:szCs w:val="20"/>
                    </w:rPr>
                    <w:t>夜间</w:t>
                  </w:r>
                </w:p>
              </w:tc>
              <w:tc>
                <w:tcPr>
                  <w:tcW w:w="1421" w:type="dxa"/>
                  <w:vAlign w:val="top"/>
                </w:tcPr>
                <w:p w14:paraId="4B6EFEF5">
                  <w:pPr>
                    <w:spacing w:before="75"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847" w:type="dxa"/>
                  <w:vMerge w:val="continue"/>
                  <w:tcBorders>
                    <w:top w:val="nil"/>
                    <w:bottom w:val="nil"/>
                  </w:tcBorders>
                  <w:vAlign w:val="top"/>
                </w:tcPr>
                <w:p w14:paraId="7779C318">
                  <w:pPr>
                    <w:rPr>
                      <w:rFonts w:ascii="Arial"/>
                      <w:sz w:val="21"/>
                    </w:rPr>
                  </w:pPr>
                </w:p>
              </w:tc>
              <w:tc>
                <w:tcPr>
                  <w:tcW w:w="1041" w:type="dxa"/>
                  <w:vAlign w:val="top"/>
                </w:tcPr>
                <w:p w14:paraId="610C2D9C">
                  <w:pPr>
                    <w:pStyle w:val="6"/>
                    <w:spacing w:before="37" w:line="215" w:lineRule="auto"/>
                    <w:ind w:left="326"/>
                    <w:rPr>
                      <w:sz w:val="20"/>
                      <w:szCs w:val="20"/>
                    </w:rPr>
                  </w:pPr>
                  <w:r>
                    <w:rPr>
                      <w:sz w:val="20"/>
                      <w:szCs w:val="20"/>
                    </w:rPr>
                    <w:t>达标</w:t>
                  </w:r>
                </w:p>
              </w:tc>
            </w:tr>
            <w:tr w14:paraId="19518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17" w:type="dxa"/>
                  <w:vMerge w:val="continue"/>
                  <w:tcBorders>
                    <w:top w:val="nil"/>
                    <w:bottom w:val="nil"/>
                  </w:tcBorders>
                  <w:vAlign w:val="top"/>
                </w:tcPr>
                <w:p w14:paraId="26362DEB">
                  <w:pPr>
                    <w:rPr>
                      <w:rFonts w:ascii="Arial"/>
                      <w:sz w:val="21"/>
                    </w:rPr>
                  </w:pPr>
                </w:p>
              </w:tc>
              <w:tc>
                <w:tcPr>
                  <w:tcW w:w="1266" w:type="dxa"/>
                  <w:vMerge w:val="restart"/>
                  <w:tcBorders>
                    <w:bottom w:val="nil"/>
                  </w:tcBorders>
                  <w:vAlign w:val="top"/>
                </w:tcPr>
                <w:p w14:paraId="5060BA0D">
                  <w:pPr>
                    <w:pStyle w:val="6"/>
                    <w:spacing w:before="41" w:line="238" w:lineRule="auto"/>
                    <w:ind w:left="568" w:right="107" w:hanging="459"/>
                    <w:rPr>
                      <w:sz w:val="20"/>
                      <w:szCs w:val="20"/>
                    </w:rPr>
                  </w:pPr>
                  <w:r>
                    <w:rPr>
                      <w:rFonts w:ascii="Times New Roman" w:hAnsi="Times New Roman" w:eastAsia="Times New Roman" w:cs="Times New Roman"/>
                      <w:spacing w:val="5"/>
                      <w:sz w:val="20"/>
                      <w:szCs w:val="20"/>
                    </w:rPr>
                    <w:t>2025</w:t>
                  </w:r>
                  <w:r>
                    <w:rPr>
                      <w:spacing w:val="5"/>
                      <w:sz w:val="20"/>
                      <w:szCs w:val="20"/>
                    </w:rPr>
                    <w:t>年</w:t>
                  </w:r>
                  <w:r>
                    <w:rPr>
                      <w:rFonts w:ascii="Times New Roman" w:hAnsi="Times New Roman" w:eastAsia="Times New Roman" w:cs="Times New Roman"/>
                      <w:spacing w:val="5"/>
                      <w:sz w:val="20"/>
                      <w:szCs w:val="20"/>
                    </w:rPr>
                    <w:t>3</w:t>
                  </w:r>
                  <w:r>
                    <w:rPr>
                      <w:spacing w:val="5"/>
                      <w:sz w:val="20"/>
                      <w:szCs w:val="20"/>
                    </w:rPr>
                    <w:t>月</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
                      <w:sz w:val="20"/>
                      <w:szCs w:val="20"/>
                    </w:rPr>
                    <w:t xml:space="preserve"> </w:t>
                  </w:r>
                  <w:r>
                    <w:rPr>
                      <w:sz w:val="20"/>
                      <w:szCs w:val="20"/>
                    </w:rPr>
                    <w:t>日</w:t>
                  </w:r>
                </w:p>
              </w:tc>
              <w:tc>
                <w:tcPr>
                  <w:tcW w:w="1274" w:type="dxa"/>
                  <w:vAlign w:val="top"/>
                </w:tcPr>
                <w:p w14:paraId="1C2E7EAB">
                  <w:pPr>
                    <w:pStyle w:val="6"/>
                    <w:spacing w:before="38" w:line="214" w:lineRule="auto"/>
                    <w:ind w:left="430"/>
                    <w:rPr>
                      <w:sz w:val="20"/>
                      <w:szCs w:val="20"/>
                    </w:rPr>
                  </w:pPr>
                  <w:r>
                    <w:rPr>
                      <w:spacing w:val="5"/>
                      <w:sz w:val="20"/>
                      <w:szCs w:val="20"/>
                    </w:rPr>
                    <w:t>昼间</w:t>
                  </w:r>
                </w:p>
              </w:tc>
              <w:tc>
                <w:tcPr>
                  <w:tcW w:w="1421" w:type="dxa"/>
                  <w:vAlign w:val="top"/>
                </w:tcPr>
                <w:p w14:paraId="169FC071">
                  <w:pPr>
                    <w:spacing w:before="76" w:line="195"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7" w:type="dxa"/>
                  <w:vMerge w:val="continue"/>
                  <w:tcBorders>
                    <w:top w:val="nil"/>
                    <w:bottom w:val="nil"/>
                  </w:tcBorders>
                  <w:vAlign w:val="top"/>
                </w:tcPr>
                <w:p w14:paraId="438E2349">
                  <w:pPr>
                    <w:rPr>
                      <w:rFonts w:ascii="Arial"/>
                      <w:sz w:val="21"/>
                    </w:rPr>
                  </w:pPr>
                </w:p>
              </w:tc>
              <w:tc>
                <w:tcPr>
                  <w:tcW w:w="1041" w:type="dxa"/>
                  <w:vAlign w:val="top"/>
                </w:tcPr>
                <w:p w14:paraId="6EDD67BD">
                  <w:pPr>
                    <w:pStyle w:val="6"/>
                    <w:spacing w:before="38" w:line="214" w:lineRule="auto"/>
                    <w:ind w:left="326"/>
                    <w:rPr>
                      <w:sz w:val="20"/>
                      <w:szCs w:val="20"/>
                    </w:rPr>
                  </w:pPr>
                  <w:r>
                    <w:rPr>
                      <w:sz w:val="20"/>
                      <w:szCs w:val="20"/>
                    </w:rPr>
                    <w:t>达标</w:t>
                  </w:r>
                </w:p>
              </w:tc>
            </w:tr>
            <w:tr w14:paraId="19EA2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317" w:type="dxa"/>
                  <w:vMerge w:val="continue"/>
                  <w:tcBorders>
                    <w:top w:val="nil"/>
                  </w:tcBorders>
                  <w:vAlign w:val="top"/>
                </w:tcPr>
                <w:p w14:paraId="5E53E391">
                  <w:pPr>
                    <w:rPr>
                      <w:rFonts w:ascii="Arial"/>
                      <w:sz w:val="21"/>
                    </w:rPr>
                  </w:pPr>
                </w:p>
              </w:tc>
              <w:tc>
                <w:tcPr>
                  <w:tcW w:w="1266" w:type="dxa"/>
                  <w:vMerge w:val="continue"/>
                  <w:tcBorders>
                    <w:top w:val="nil"/>
                  </w:tcBorders>
                  <w:vAlign w:val="top"/>
                </w:tcPr>
                <w:p w14:paraId="6E97D44E">
                  <w:pPr>
                    <w:rPr>
                      <w:rFonts w:ascii="Arial"/>
                      <w:sz w:val="21"/>
                    </w:rPr>
                  </w:pPr>
                </w:p>
              </w:tc>
              <w:tc>
                <w:tcPr>
                  <w:tcW w:w="1274" w:type="dxa"/>
                  <w:vAlign w:val="top"/>
                </w:tcPr>
                <w:p w14:paraId="079410BF">
                  <w:pPr>
                    <w:pStyle w:val="6"/>
                    <w:spacing w:before="38" w:line="216" w:lineRule="auto"/>
                    <w:ind w:left="434"/>
                    <w:rPr>
                      <w:sz w:val="20"/>
                      <w:szCs w:val="20"/>
                    </w:rPr>
                  </w:pPr>
                  <w:r>
                    <w:rPr>
                      <w:spacing w:val="3"/>
                      <w:sz w:val="20"/>
                      <w:szCs w:val="20"/>
                    </w:rPr>
                    <w:t>夜间</w:t>
                  </w:r>
                </w:p>
              </w:tc>
              <w:tc>
                <w:tcPr>
                  <w:tcW w:w="1421" w:type="dxa"/>
                  <w:vAlign w:val="top"/>
                </w:tcPr>
                <w:p w14:paraId="07000BF4">
                  <w:pPr>
                    <w:spacing w:before="74"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847" w:type="dxa"/>
                  <w:vMerge w:val="continue"/>
                  <w:tcBorders>
                    <w:top w:val="nil"/>
                  </w:tcBorders>
                  <w:vAlign w:val="top"/>
                </w:tcPr>
                <w:p w14:paraId="6455EC8D">
                  <w:pPr>
                    <w:rPr>
                      <w:rFonts w:ascii="Arial"/>
                      <w:sz w:val="21"/>
                    </w:rPr>
                  </w:pPr>
                </w:p>
              </w:tc>
              <w:tc>
                <w:tcPr>
                  <w:tcW w:w="1041" w:type="dxa"/>
                  <w:vAlign w:val="top"/>
                </w:tcPr>
                <w:p w14:paraId="04279723">
                  <w:pPr>
                    <w:pStyle w:val="6"/>
                    <w:spacing w:before="38" w:line="216" w:lineRule="auto"/>
                    <w:ind w:left="326"/>
                    <w:rPr>
                      <w:sz w:val="20"/>
                      <w:szCs w:val="20"/>
                    </w:rPr>
                  </w:pPr>
                  <w:r>
                    <w:rPr>
                      <w:sz w:val="20"/>
                      <w:szCs w:val="20"/>
                    </w:rPr>
                    <w:t>达标</w:t>
                  </w:r>
                </w:p>
              </w:tc>
            </w:tr>
          </w:tbl>
          <w:p w14:paraId="76E41E0D">
            <w:pPr>
              <w:pStyle w:val="6"/>
              <w:spacing w:before="36" w:line="350" w:lineRule="auto"/>
              <w:ind w:left="109" w:right="102" w:firstLine="480"/>
              <w:jc w:val="both"/>
            </w:pPr>
            <w:r>
              <w:t>根据声环境监测结果显示，项目周边敏感目标声环境质量均能够满足《声</w:t>
            </w:r>
            <w:r>
              <w:rPr>
                <w:spacing w:val="13"/>
              </w:rPr>
              <w:t xml:space="preserve"> </w:t>
            </w:r>
            <w:r>
              <w:rPr>
                <w:spacing w:val="-2"/>
              </w:rPr>
              <w:t>环境质量标准》（</w:t>
            </w:r>
            <w:r>
              <w:rPr>
                <w:rFonts w:ascii="Times New Roman" w:hAnsi="Times New Roman" w:eastAsia="Times New Roman" w:cs="Times New Roman"/>
                <w:spacing w:val="-2"/>
              </w:rPr>
              <w:t>GB3096-2008</w:t>
            </w:r>
            <w:r>
              <w:rPr>
                <w:spacing w:val="-2"/>
              </w:rPr>
              <w:t>）</w:t>
            </w:r>
            <w:r>
              <w:rPr>
                <w:rFonts w:ascii="Times New Roman" w:hAnsi="Times New Roman" w:eastAsia="Times New Roman" w:cs="Times New Roman"/>
                <w:spacing w:val="-2"/>
              </w:rPr>
              <w:t xml:space="preserve">1 </w:t>
            </w:r>
            <w:r>
              <w:rPr>
                <w:spacing w:val="-2"/>
              </w:rPr>
              <w:t>类</w:t>
            </w:r>
            <w:r>
              <w:rPr>
                <w:spacing w:val="-3"/>
              </w:rPr>
              <w:t>标准，拟建升压站声环境质量均能够满足</w:t>
            </w:r>
            <w:r>
              <w:t xml:space="preserve"> 《声环境质量标准》（</w:t>
            </w:r>
            <w:r>
              <w:rPr>
                <w:rFonts w:ascii="Times New Roman" w:hAnsi="Times New Roman" w:eastAsia="Times New Roman" w:cs="Times New Roman"/>
              </w:rPr>
              <w:t>GB3096-2008</w:t>
            </w:r>
            <w:r>
              <w:t>）</w:t>
            </w:r>
            <w:r>
              <w:rPr>
                <w:rFonts w:ascii="Times New Roman" w:hAnsi="Times New Roman" w:eastAsia="Times New Roman" w:cs="Times New Roman"/>
              </w:rPr>
              <w:t xml:space="preserve">1 </w:t>
            </w:r>
            <w:r>
              <w:t>类标</w:t>
            </w:r>
            <w:r>
              <w:rPr>
                <w:spacing w:val="-1"/>
              </w:rPr>
              <w:t>准，周边环境质量良好。</w:t>
            </w:r>
          </w:p>
          <w:p w14:paraId="3B3EB9FC">
            <w:pPr>
              <w:pStyle w:val="6"/>
              <w:spacing w:before="33" w:line="219" w:lineRule="auto"/>
              <w:ind w:left="587"/>
            </w:pPr>
            <w:r>
              <w:rPr>
                <w:rFonts w:ascii="Times New Roman" w:hAnsi="Times New Roman" w:eastAsia="Times New Roman" w:cs="Times New Roman"/>
                <w:b/>
                <w:bCs/>
                <w:spacing w:val="-5"/>
              </w:rPr>
              <w:t>7</w:t>
            </w:r>
            <w:r>
              <w:rPr>
                <w:rFonts w:ascii="Times New Roman" w:hAnsi="Times New Roman" w:eastAsia="Times New Roman" w:cs="Times New Roman"/>
                <w:b/>
                <w:bCs/>
                <w:spacing w:val="-34"/>
              </w:rPr>
              <w:t xml:space="preserve"> </w:t>
            </w:r>
            <w:r>
              <w:rPr>
                <w:b/>
                <w:bCs/>
                <w:spacing w:val="-5"/>
              </w:rPr>
              <w:t>、电磁环境质量现状</w:t>
            </w:r>
          </w:p>
          <w:p w14:paraId="3A17F574">
            <w:pPr>
              <w:pStyle w:val="6"/>
              <w:spacing w:before="183" w:line="344" w:lineRule="auto"/>
              <w:ind w:left="109" w:right="104" w:firstLine="480"/>
            </w:pPr>
            <w:r>
              <w:rPr>
                <w:spacing w:val="-1"/>
              </w:rPr>
              <w:t>根据《环境影响评价技术导则 输变电》（</w:t>
            </w:r>
            <w:r>
              <w:rPr>
                <w:rFonts w:ascii="Times New Roman" w:hAnsi="Times New Roman" w:eastAsia="Times New Roman" w:cs="Times New Roman"/>
                <w:spacing w:val="-1"/>
              </w:rPr>
              <w:t>HJ 24-2020</w:t>
            </w:r>
            <w:r>
              <w:t>），</w:t>
            </w:r>
            <w:r>
              <w:rPr>
                <w:spacing w:val="-1"/>
              </w:rPr>
              <w:t>确定本项目电磁</w:t>
            </w:r>
            <w:r>
              <w:t xml:space="preserve"> </w:t>
            </w:r>
            <w:r>
              <w:rPr>
                <w:spacing w:val="-1"/>
              </w:rPr>
              <w:t>环境主要环境影响评价因子为工频电场、工频磁场。</w:t>
            </w:r>
          </w:p>
          <w:p w14:paraId="77DDA4B5">
            <w:pPr>
              <w:pStyle w:val="6"/>
              <w:spacing w:before="39" w:line="218" w:lineRule="auto"/>
              <w:ind w:left="592"/>
            </w:pPr>
            <w:r>
              <w:t>为调查升压站区电磁环境质量现状，本次评价委托云南绿宸中检联环境检</w:t>
            </w:r>
          </w:p>
        </w:tc>
      </w:tr>
    </w:tbl>
    <w:p w14:paraId="1ECBFFCD">
      <w:pPr>
        <w:rPr>
          <w:rFonts w:ascii="Arial"/>
          <w:sz w:val="21"/>
        </w:rPr>
      </w:pPr>
    </w:p>
    <w:p w14:paraId="079578E8">
      <w:pPr>
        <w:rPr>
          <w:rFonts w:ascii="Arial" w:hAnsi="Arial" w:eastAsia="Arial" w:cs="Arial"/>
          <w:sz w:val="21"/>
          <w:szCs w:val="21"/>
        </w:rPr>
        <w:sectPr>
          <w:footerReference r:id="rId98" w:type="default"/>
          <w:pgSz w:w="11906" w:h="16839"/>
          <w:pgMar w:top="1431" w:right="1413" w:bottom="1278" w:left="1413" w:header="0" w:footer="1116" w:gutter="0"/>
          <w:cols w:space="720" w:num="1"/>
        </w:sectPr>
      </w:pPr>
    </w:p>
    <w:p w14:paraId="2E30E6C8">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775D9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16" w:hRule="atLeast"/>
        </w:trPr>
        <w:tc>
          <w:tcPr>
            <w:tcW w:w="668" w:type="dxa"/>
            <w:tcBorders>
              <w:bottom w:val="single" w:color="000000" w:sz="2" w:space="0"/>
              <w:right w:val="single" w:color="000000" w:sz="2" w:space="0"/>
            </w:tcBorders>
            <w:vAlign w:val="top"/>
          </w:tcPr>
          <w:p w14:paraId="5553046D">
            <w:pPr>
              <w:rPr>
                <w:rFonts w:ascii="Arial"/>
                <w:sz w:val="21"/>
              </w:rPr>
            </w:pPr>
          </w:p>
        </w:tc>
        <w:tc>
          <w:tcPr>
            <w:tcW w:w="8396" w:type="dxa"/>
            <w:tcBorders>
              <w:left w:val="single" w:color="000000" w:sz="2" w:space="0"/>
              <w:bottom w:val="single" w:color="000000" w:sz="2" w:space="0"/>
            </w:tcBorders>
            <w:vAlign w:val="top"/>
          </w:tcPr>
          <w:p w14:paraId="752E2CFE">
            <w:pPr>
              <w:pStyle w:val="6"/>
              <w:spacing w:before="40" w:line="345" w:lineRule="auto"/>
              <w:ind w:left="110" w:right="102"/>
            </w:pPr>
            <w:r>
              <w:rPr>
                <w:spacing w:val="-2"/>
              </w:rPr>
              <w:t>测有限公司于</w:t>
            </w:r>
            <w:r>
              <w:rPr>
                <w:spacing w:val="-52"/>
              </w:rPr>
              <w:t xml:space="preserve"> </w:t>
            </w:r>
            <w:r>
              <w:rPr>
                <w:rFonts w:ascii="Times New Roman" w:hAnsi="Times New Roman" w:eastAsia="Times New Roman" w:cs="Times New Roman"/>
                <w:spacing w:val="-2"/>
              </w:rPr>
              <w:t xml:space="preserve">2025 </w:t>
            </w:r>
            <w:r>
              <w:rPr>
                <w:spacing w:val="-2"/>
              </w:rPr>
              <w:t>年</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5"/>
              </w:rPr>
              <w:t xml:space="preserve"> </w:t>
            </w:r>
            <w:r>
              <w:rPr>
                <w:spacing w:val="-2"/>
              </w:rPr>
              <w:t>月</w:t>
            </w:r>
            <w:r>
              <w:rPr>
                <w:spacing w:val="-53"/>
              </w:rPr>
              <w:t xml:space="preserve"> </w:t>
            </w:r>
            <w:r>
              <w:rPr>
                <w:rFonts w:ascii="Times New Roman" w:hAnsi="Times New Roman" w:eastAsia="Times New Roman" w:cs="Times New Roman"/>
                <w:spacing w:val="-2"/>
              </w:rPr>
              <w:t xml:space="preserve">28  </w:t>
            </w:r>
            <w:r>
              <w:rPr>
                <w:spacing w:val="-2"/>
              </w:rPr>
              <w:t>日对项目拟建升压站中心位置进行了</w:t>
            </w:r>
            <w:r>
              <w:rPr>
                <w:spacing w:val="-3"/>
              </w:rPr>
              <w:t>电磁环境监</w:t>
            </w:r>
            <w:r>
              <w:t xml:space="preserve"> </w:t>
            </w:r>
            <w:r>
              <w:rPr>
                <w:spacing w:val="-1"/>
              </w:rPr>
              <w:t>测，拟建升压站现阶段场地为空地。监测结果见下表所示。</w:t>
            </w:r>
          </w:p>
          <w:p w14:paraId="20926254">
            <w:pPr>
              <w:pStyle w:val="6"/>
              <w:spacing w:before="30" w:line="225" w:lineRule="auto"/>
              <w:ind w:left="2216"/>
              <w:outlineLvl w:val="1"/>
              <w:rPr>
                <w:sz w:val="20"/>
                <w:szCs w:val="20"/>
              </w:rPr>
            </w:pPr>
            <w:r>
              <w:rPr>
                <w:b/>
                <w:bCs/>
                <w:spacing w:val="14"/>
                <w:sz w:val="20"/>
                <w:szCs w:val="20"/>
              </w:rPr>
              <w:t>表</w:t>
            </w:r>
            <w:r>
              <w:rPr>
                <w:rFonts w:ascii="Times New Roman" w:hAnsi="Times New Roman" w:eastAsia="Times New Roman" w:cs="Times New Roman"/>
                <w:b/>
                <w:bCs/>
                <w:spacing w:val="14"/>
                <w:sz w:val="20"/>
                <w:szCs w:val="20"/>
              </w:rPr>
              <w:t>3-7</w:t>
            </w:r>
            <w:r>
              <w:rPr>
                <w:rFonts w:ascii="Times New Roman" w:hAnsi="Times New Roman" w:eastAsia="Times New Roman" w:cs="Times New Roman"/>
                <w:b/>
                <w:bCs/>
                <w:spacing w:val="5"/>
                <w:sz w:val="20"/>
                <w:szCs w:val="20"/>
              </w:rPr>
              <w:t xml:space="preserve">      </w:t>
            </w:r>
            <w:r>
              <w:rPr>
                <w:b/>
                <w:bCs/>
                <w:spacing w:val="14"/>
                <w:sz w:val="20"/>
                <w:szCs w:val="20"/>
              </w:rPr>
              <w:t>电磁辐射</w:t>
            </w:r>
            <w:r>
              <w:rPr>
                <w:spacing w:val="-59"/>
                <w:sz w:val="20"/>
                <w:szCs w:val="20"/>
              </w:rPr>
              <w:t xml:space="preserve"> </w:t>
            </w:r>
            <w:r>
              <w:rPr>
                <w:b/>
                <w:bCs/>
                <w:spacing w:val="14"/>
                <w:sz w:val="20"/>
                <w:szCs w:val="20"/>
              </w:rPr>
              <w:t>现</w:t>
            </w:r>
            <w:r>
              <w:rPr>
                <w:spacing w:val="-58"/>
                <w:sz w:val="20"/>
                <w:szCs w:val="20"/>
              </w:rPr>
              <w:t xml:space="preserve"> </w:t>
            </w:r>
            <w:r>
              <w:rPr>
                <w:b/>
                <w:bCs/>
                <w:spacing w:val="14"/>
                <w:sz w:val="20"/>
                <w:szCs w:val="20"/>
              </w:rPr>
              <w:t>状检测</w:t>
            </w:r>
            <w:r>
              <w:rPr>
                <w:spacing w:val="-54"/>
                <w:sz w:val="20"/>
                <w:szCs w:val="20"/>
              </w:rPr>
              <w:t xml:space="preserve"> </w:t>
            </w:r>
            <w:r>
              <w:rPr>
                <w:b/>
                <w:bCs/>
                <w:spacing w:val="14"/>
                <w:sz w:val="20"/>
                <w:szCs w:val="20"/>
              </w:rPr>
              <w:t>结</w:t>
            </w:r>
            <w:r>
              <w:rPr>
                <w:spacing w:val="-56"/>
                <w:sz w:val="20"/>
                <w:szCs w:val="20"/>
              </w:rPr>
              <w:t xml:space="preserve"> </w:t>
            </w:r>
            <w:r>
              <w:rPr>
                <w:b/>
                <w:bCs/>
                <w:spacing w:val="14"/>
                <w:sz w:val="20"/>
                <w:szCs w:val="20"/>
              </w:rPr>
              <w:t>果</w:t>
            </w:r>
            <w:r>
              <w:rPr>
                <w:spacing w:val="-58"/>
                <w:sz w:val="20"/>
                <w:szCs w:val="20"/>
              </w:rPr>
              <w:t xml:space="preserve"> </w:t>
            </w:r>
            <w:r>
              <w:rPr>
                <w:b/>
                <w:bCs/>
                <w:spacing w:val="14"/>
                <w:sz w:val="20"/>
                <w:szCs w:val="20"/>
              </w:rPr>
              <w:t>一</w:t>
            </w:r>
            <w:r>
              <w:rPr>
                <w:spacing w:val="-54"/>
                <w:sz w:val="20"/>
                <w:szCs w:val="20"/>
              </w:rPr>
              <w:t xml:space="preserve"> </w:t>
            </w:r>
            <w:r>
              <w:rPr>
                <w:b/>
                <w:bCs/>
                <w:spacing w:val="14"/>
                <w:sz w:val="20"/>
                <w:szCs w:val="20"/>
              </w:rPr>
              <w:t>览表</w:t>
            </w:r>
          </w:p>
          <w:tbl>
            <w:tblPr>
              <w:tblStyle w:val="5"/>
              <w:tblW w:w="8174"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3"/>
              <w:gridCol w:w="1684"/>
              <w:gridCol w:w="1256"/>
              <w:gridCol w:w="1464"/>
              <w:gridCol w:w="1172"/>
              <w:gridCol w:w="1135"/>
            </w:tblGrid>
            <w:tr w14:paraId="75F95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463" w:type="dxa"/>
                  <w:tcBorders>
                    <w:bottom w:val="single" w:color="000000" w:sz="4" w:space="0"/>
                  </w:tcBorders>
                  <w:vAlign w:val="top"/>
                </w:tcPr>
                <w:p w14:paraId="551DAE64">
                  <w:pPr>
                    <w:pStyle w:val="6"/>
                    <w:spacing w:before="44" w:line="226" w:lineRule="auto"/>
                    <w:ind w:left="315"/>
                    <w:rPr>
                      <w:sz w:val="20"/>
                      <w:szCs w:val="20"/>
                    </w:rPr>
                  </w:pPr>
                  <w:r>
                    <w:rPr>
                      <w:b/>
                      <w:bCs/>
                      <w:spacing w:val="6"/>
                      <w:sz w:val="20"/>
                      <w:szCs w:val="20"/>
                    </w:rPr>
                    <w:t>检测内容</w:t>
                  </w:r>
                </w:p>
              </w:tc>
              <w:tc>
                <w:tcPr>
                  <w:tcW w:w="1684" w:type="dxa"/>
                  <w:tcBorders>
                    <w:bottom w:val="single" w:color="000000" w:sz="4" w:space="0"/>
                    <w:right w:val="single" w:color="000000" w:sz="4" w:space="0"/>
                  </w:tcBorders>
                  <w:vAlign w:val="top"/>
                </w:tcPr>
                <w:p w14:paraId="7468F213">
                  <w:pPr>
                    <w:pStyle w:val="6"/>
                    <w:spacing w:before="44" w:line="226" w:lineRule="auto"/>
                    <w:ind w:left="318"/>
                    <w:rPr>
                      <w:sz w:val="20"/>
                      <w:szCs w:val="20"/>
                    </w:rPr>
                  </w:pPr>
                  <w:r>
                    <w:rPr>
                      <w:b/>
                      <w:bCs/>
                      <w:spacing w:val="6"/>
                      <w:sz w:val="20"/>
                      <w:szCs w:val="20"/>
                    </w:rPr>
                    <w:t>检测点位置</w:t>
                  </w:r>
                </w:p>
              </w:tc>
              <w:tc>
                <w:tcPr>
                  <w:tcW w:w="1256" w:type="dxa"/>
                  <w:tcBorders>
                    <w:left w:val="single" w:color="000000" w:sz="4" w:space="0"/>
                    <w:bottom w:val="single" w:color="000000" w:sz="4" w:space="0"/>
                  </w:tcBorders>
                  <w:vAlign w:val="top"/>
                </w:tcPr>
                <w:p w14:paraId="43127086">
                  <w:pPr>
                    <w:pStyle w:val="6"/>
                    <w:spacing w:before="44" w:line="226" w:lineRule="auto"/>
                    <w:ind w:left="209"/>
                    <w:rPr>
                      <w:sz w:val="20"/>
                      <w:szCs w:val="20"/>
                    </w:rPr>
                  </w:pPr>
                  <w:r>
                    <w:rPr>
                      <w:b/>
                      <w:bCs/>
                      <w:spacing w:val="6"/>
                      <w:sz w:val="20"/>
                      <w:szCs w:val="20"/>
                    </w:rPr>
                    <w:t>检测日期</w:t>
                  </w:r>
                </w:p>
              </w:tc>
              <w:tc>
                <w:tcPr>
                  <w:tcW w:w="1464" w:type="dxa"/>
                  <w:tcBorders>
                    <w:right w:val="single" w:color="000000" w:sz="4" w:space="0"/>
                  </w:tcBorders>
                  <w:vAlign w:val="top"/>
                </w:tcPr>
                <w:p w14:paraId="6910FFD2">
                  <w:pPr>
                    <w:pStyle w:val="6"/>
                    <w:spacing w:before="44" w:line="226" w:lineRule="auto"/>
                    <w:ind w:left="316"/>
                    <w:rPr>
                      <w:sz w:val="20"/>
                      <w:szCs w:val="20"/>
                    </w:rPr>
                  </w:pPr>
                  <w:r>
                    <w:rPr>
                      <w:b/>
                      <w:bCs/>
                      <w:spacing w:val="6"/>
                      <w:sz w:val="20"/>
                      <w:szCs w:val="20"/>
                    </w:rPr>
                    <w:t>检测结果</w:t>
                  </w:r>
                </w:p>
              </w:tc>
              <w:tc>
                <w:tcPr>
                  <w:tcW w:w="1172" w:type="dxa"/>
                  <w:tcBorders>
                    <w:left w:val="single" w:color="000000" w:sz="4" w:space="0"/>
                    <w:right w:val="single" w:color="000000" w:sz="4" w:space="0"/>
                  </w:tcBorders>
                  <w:vAlign w:val="top"/>
                </w:tcPr>
                <w:p w14:paraId="40F0BFF0">
                  <w:pPr>
                    <w:pStyle w:val="6"/>
                    <w:spacing w:before="44" w:line="226" w:lineRule="auto"/>
                    <w:ind w:left="170"/>
                    <w:rPr>
                      <w:sz w:val="20"/>
                      <w:szCs w:val="20"/>
                    </w:rPr>
                  </w:pPr>
                  <w:r>
                    <w:rPr>
                      <w:b/>
                      <w:bCs/>
                      <w:spacing w:val="6"/>
                      <w:sz w:val="20"/>
                      <w:szCs w:val="20"/>
                    </w:rPr>
                    <w:t>标准限值</w:t>
                  </w:r>
                </w:p>
              </w:tc>
              <w:tc>
                <w:tcPr>
                  <w:tcW w:w="1135" w:type="dxa"/>
                  <w:tcBorders>
                    <w:left w:val="single" w:color="000000" w:sz="4" w:space="0"/>
                  </w:tcBorders>
                  <w:vAlign w:val="top"/>
                </w:tcPr>
                <w:p w14:paraId="698C1677">
                  <w:pPr>
                    <w:pStyle w:val="6"/>
                    <w:spacing w:before="44" w:line="226" w:lineRule="auto"/>
                    <w:ind w:left="148"/>
                    <w:rPr>
                      <w:sz w:val="20"/>
                      <w:szCs w:val="20"/>
                    </w:rPr>
                  </w:pPr>
                  <w:r>
                    <w:rPr>
                      <w:b/>
                      <w:bCs/>
                      <w:spacing w:val="6"/>
                      <w:sz w:val="20"/>
                      <w:szCs w:val="20"/>
                    </w:rPr>
                    <w:t>达标情况</w:t>
                  </w:r>
                </w:p>
              </w:tc>
            </w:tr>
            <w:tr w14:paraId="221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63" w:type="dxa"/>
                  <w:tcBorders>
                    <w:top w:val="single" w:color="000000" w:sz="4" w:space="0"/>
                    <w:bottom w:val="single" w:color="000000" w:sz="4" w:space="0"/>
                  </w:tcBorders>
                  <w:vAlign w:val="top"/>
                </w:tcPr>
                <w:p w14:paraId="4C4926E5">
                  <w:pPr>
                    <w:pStyle w:val="6"/>
                    <w:spacing w:before="32" w:line="216" w:lineRule="auto"/>
                    <w:ind w:left="320"/>
                    <w:rPr>
                      <w:sz w:val="20"/>
                      <w:szCs w:val="20"/>
                    </w:rPr>
                  </w:pPr>
                  <w:r>
                    <w:rPr>
                      <w:spacing w:val="6"/>
                      <w:sz w:val="20"/>
                      <w:szCs w:val="20"/>
                    </w:rPr>
                    <w:t>工频电场</w:t>
                  </w:r>
                </w:p>
              </w:tc>
              <w:tc>
                <w:tcPr>
                  <w:tcW w:w="1684" w:type="dxa"/>
                  <w:vMerge w:val="restart"/>
                  <w:tcBorders>
                    <w:top w:val="single" w:color="000000" w:sz="4" w:space="0"/>
                    <w:left w:val="single" w:color="000000" w:sz="4" w:space="0"/>
                    <w:bottom w:val="nil"/>
                    <w:right w:val="single" w:color="000000" w:sz="4" w:space="0"/>
                  </w:tcBorders>
                  <w:vAlign w:val="top"/>
                </w:tcPr>
                <w:p w14:paraId="182A90B7">
                  <w:pPr>
                    <w:pStyle w:val="6"/>
                    <w:spacing w:before="39" w:line="227" w:lineRule="auto"/>
                    <w:ind w:left="213"/>
                    <w:outlineLvl w:val="1"/>
                    <w:rPr>
                      <w:sz w:val="20"/>
                      <w:szCs w:val="20"/>
                    </w:rPr>
                  </w:pPr>
                  <w:r>
                    <w:rPr>
                      <w:spacing w:val="8"/>
                      <w:sz w:val="20"/>
                      <w:szCs w:val="20"/>
                    </w:rPr>
                    <w:t>拟建升压站区</w:t>
                  </w:r>
                </w:p>
                <w:p w14:paraId="60A62AC1">
                  <w:pPr>
                    <w:pStyle w:val="6"/>
                    <w:spacing w:before="25" w:line="224" w:lineRule="auto"/>
                    <w:ind w:left="652"/>
                    <w:rPr>
                      <w:sz w:val="20"/>
                      <w:szCs w:val="20"/>
                    </w:rPr>
                  </w:pPr>
                  <w:r>
                    <w:rPr>
                      <w:spacing w:val="-5"/>
                      <w:sz w:val="20"/>
                      <w:szCs w:val="20"/>
                    </w:rPr>
                    <w:t>中心</w:t>
                  </w:r>
                </w:p>
              </w:tc>
              <w:tc>
                <w:tcPr>
                  <w:tcW w:w="1256" w:type="dxa"/>
                  <w:vMerge w:val="restart"/>
                  <w:tcBorders>
                    <w:top w:val="single" w:color="000000" w:sz="4" w:space="0"/>
                    <w:left w:val="single" w:color="000000" w:sz="4" w:space="0"/>
                    <w:bottom w:val="nil"/>
                    <w:right w:val="single" w:color="000000" w:sz="4" w:space="0"/>
                  </w:tcBorders>
                  <w:vAlign w:val="top"/>
                </w:tcPr>
                <w:p w14:paraId="75DE0213">
                  <w:pPr>
                    <w:pStyle w:val="6"/>
                    <w:spacing w:before="40" w:line="237" w:lineRule="auto"/>
                    <w:ind w:left="389" w:right="104" w:hanging="283"/>
                    <w:rPr>
                      <w:sz w:val="20"/>
                      <w:szCs w:val="20"/>
                    </w:rPr>
                  </w:pPr>
                  <w:r>
                    <w:rPr>
                      <w:rFonts w:ascii="Times New Roman" w:hAnsi="Times New Roman" w:eastAsia="Times New Roman" w:cs="Times New Roman"/>
                      <w:spacing w:val="5"/>
                      <w:sz w:val="20"/>
                      <w:szCs w:val="20"/>
                    </w:rPr>
                    <w:t>2025</w:t>
                  </w:r>
                  <w:r>
                    <w:rPr>
                      <w:rFonts w:ascii="Times New Roman" w:hAnsi="Times New Roman" w:eastAsia="Times New Roman" w:cs="Times New Roman"/>
                      <w:spacing w:val="-6"/>
                      <w:sz w:val="20"/>
                      <w:szCs w:val="20"/>
                    </w:rPr>
                    <w:t xml:space="preserve"> </w:t>
                  </w:r>
                  <w:r>
                    <w:rPr>
                      <w:spacing w:val="5"/>
                      <w:sz w:val="20"/>
                      <w:szCs w:val="20"/>
                    </w:rPr>
                    <w:t>年</w:t>
                  </w:r>
                  <w:r>
                    <w:rPr>
                      <w:rFonts w:ascii="Times New Roman" w:hAnsi="Times New Roman" w:eastAsia="Times New Roman" w:cs="Times New Roman"/>
                      <w:spacing w:val="5"/>
                      <w:sz w:val="20"/>
                      <w:szCs w:val="20"/>
                    </w:rPr>
                    <w:t xml:space="preserve">2 </w:t>
                  </w:r>
                  <w:r>
                    <w:rPr>
                      <w:spacing w:val="5"/>
                      <w:sz w:val="20"/>
                      <w:szCs w:val="20"/>
                    </w:rPr>
                    <w:t>月</w:t>
                  </w:r>
                  <w:r>
                    <w:rPr>
                      <w:sz w:val="20"/>
                      <w:szCs w:val="20"/>
                    </w:rPr>
                    <w:t xml:space="preserve"> </w:t>
                  </w:r>
                  <w:r>
                    <w:rPr>
                      <w:rFonts w:ascii="Times New Roman" w:hAnsi="Times New Roman" w:eastAsia="Times New Roman" w:cs="Times New Roman"/>
                      <w:spacing w:val="1"/>
                      <w:sz w:val="20"/>
                      <w:szCs w:val="20"/>
                    </w:rPr>
                    <w:t>28</w:t>
                  </w:r>
                  <w:r>
                    <w:rPr>
                      <w:rFonts w:ascii="Times New Roman" w:hAnsi="Times New Roman" w:eastAsia="Times New Roman" w:cs="Times New Roman"/>
                      <w:spacing w:val="47"/>
                      <w:sz w:val="20"/>
                      <w:szCs w:val="20"/>
                    </w:rPr>
                    <w:t xml:space="preserve"> </w:t>
                  </w:r>
                  <w:r>
                    <w:rPr>
                      <w:spacing w:val="1"/>
                      <w:sz w:val="20"/>
                      <w:szCs w:val="20"/>
                    </w:rPr>
                    <w:t>日</w:t>
                  </w:r>
                </w:p>
              </w:tc>
              <w:tc>
                <w:tcPr>
                  <w:tcW w:w="1464" w:type="dxa"/>
                  <w:tcBorders>
                    <w:bottom w:val="single" w:color="000000" w:sz="4" w:space="0"/>
                  </w:tcBorders>
                  <w:vAlign w:val="top"/>
                </w:tcPr>
                <w:p w14:paraId="2CDBFB55">
                  <w:pPr>
                    <w:spacing w:before="64" w:line="199"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1.277V/m</w:t>
                  </w:r>
                </w:p>
              </w:tc>
              <w:tc>
                <w:tcPr>
                  <w:tcW w:w="1172" w:type="dxa"/>
                  <w:tcBorders>
                    <w:bottom w:val="single" w:color="000000" w:sz="4" w:space="0"/>
                  </w:tcBorders>
                  <w:vAlign w:val="top"/>
                </w:tcPr>
                <w:p w14:paraId="2C06EF57">
                  <w:pPr>
                    <w:spacing w:before="64" w:line="199"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4000V/m</w:t>
                  </w:r>
                </w:p>
              </w:tc>
              <w:tc>
                <w:tcPr>
                  <w:tcW w:w="1135" w:type="dxa"/>
                  <w:tcBorders>
                    <w:bottom w:val="single" w:color="000000" w:sz="4" w:space="0"/>
                  </w:tcBorders>
                  <w:vAlign w:val="top"/>
                </w:tcPr>
                <w:p w14:paraId="7AD45CEE">
                  <w:pPr>
                    <w:pStyle w:val="6"/>
                    <w:spacing w:before="32" w:line="216" w:lineRule="auto"/>
                    <w:ind w:left="362"/>
                    <w:rPr>
                      <w:sz w:val="20"/>
                      <w:szCs w:val="20"/>
                    </w:rPr>
                  </w:pPr>
                  <w:r>
                    <w:rPr>
                      <w:spacing w:val="5"/>
                      <w:sz w:val="20"/>
                      <w:szCs w:val="20"/>
                    </w:rPr>
                    <w:t>达标</w:t>
                  </w:r>
                </w:p>
              </w:tc>
            </w:tr>
            <w:tr w14:paraId="3F358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63" w:type="dxa"/>
                  <w:tcBorders>
                    <w:top w:val="single" w:color="000000" w:sz="4" w:space="0"/>
                    <w:bottom w:val="single" w:color="000000" w:sz="4" w:space="0"/>
                    <w:right w:val="single" w:color="000000" w:sz="4" w:space="0"/>
                  </w:tcBorders>
                  <w:vAlign w:val="top"/>
                </w:tcPr>
                <w:p w14:paraId="217FA635">
                  <w:pPr>
                    <w:pStyle w:val="6"/>
                    <w:spacing w:before="30" w:line="218" w:lineRule="auto"/>
                    <w:ind w:left="320"/>
                    <w:rPr>
                      <w:sz w:val="20"/>
                      <w:szCs w:val="20"/>
                    </w:rPr>
                  </w:pPr>
                  <w:r>
                    <w:rPr>
                      <w:spacing w:val="6"/>
                      <w:sz w:val="20"/>
                      <w:szCs w:val="20"/>
                    </w:rPr>
                    <w:t>工频磁场</w:t>
                  </w:r>
                </w:p>
              </w:tc>
              <w:tc>
                <w:tcPr>
                  <w:tcW w:w="1684" w:type="dxa"/>
                  <w:vMerge w:val="continue"/>
                  <w:tcBorders>
                    <w:top w:val="nil"/>
                    <w:left w:val="single" w:color="000000" w:sz="4" w:space="0"/>
                    <w:bottom w:val="single" w:color="000000" w:sz="4" w:space="0"/>
                    <w:right w:val="single" w:color="000000" w:sz="4" w:space="0"/>
                  </w:tcBorders>
                  <w:vAlign w:val="top"/>
                </w:tcPr>
                <w:p w14:paraId="05E340EA">
                  <w:pPr>
                    <w:rPr>
                      <w:rFonts w:ascii="Arial"/>
                      <w:sz w:val="21"/>
                    </w:rPr>
                  </w:pPr>
                </w:p>
              </w:tc>
              <w:tc>
                <w:tcPr>
                  <w:tcW w:w="1256" w:type="dxa"/>
                  <w:vMerge w:val="continue"/>
                  <w:tcBorders>
                    <w:top w:val="nil"/>
                    <w:left w:val="single" w:color="000000" w:sz="4" w:space="0"/>
                    <w:bottom w:val="single" w:color="000000" w:sz="4" w:space="0"/>
                    <w:right w:val="single" w:color="000000" w:sz="4" w:space="0"/>
                  </w:tcBorders>
                  <w:vAlign w:val="top"/>
                </w:tcPr>
                <w:p w14:paraId="788CE74A">
                  <w:pPr>
                    <w:rPr>
                      <w:rFonts w:ascii="Arial"/>
                      <w:sz w:val="21"/>
                    </w:rPr>
                  </w:pPr>
                </w:p>
              </w:tc>
              <w:tc>
                <w:tcPr>
                  <w:tcW w:w="1464" w:type="dxa"/>
                  <w:tcBorders>
                    <w:top w:val="single" w:color="000000" w:sz="4" w:space="0"/>
                    <w:left w:val="single" w:color="000000" w:sz="4" w:space="0"/>
                    <w:bottom w:val="single" w:color="000000" w:sz="4" w:space="0"/>
                  </w:tcBorders>
                  <w:vAlign w:val="top"/>
                </w:tcPr>
                <w:p w14:paraId="556433C6">
                  <w:pPr>
                    <w:spacing w:before="67" w:line="197"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0.002μT</w:t>
                  </w:r>
                </w:p>
              </w:tc>
              <w:tc>
                <w:tcPr>
                  <w:tcW w:w="1172" w:type="dxa"/>
                  <w:tcBorders>
                    <w:top w:val="single" w:color="000000" w:sz="4" w:space="0"/>
                    <w:bottom w:val="single" w:color="000000" w:sz="4" w:space="0"/>
                  </w:tcBorders>
                  <w:vAlign w:val="top"/>
                </w:tcPr>
                <w:p w14:paraId="3D3C1A98">
                  <w:pPr>
                    <w:spacing w:before="67" w:line="197" w:lineRule="auto"/>
                    <w:ind w:left="330"/>
                    <w:rPr>
                      <w:rFonts w:ascii="Times New Roman" w:hAnsi="Times New Roman" w:eastAsia="Times New Roman" w:cs="Times New Roman"/>
                      <w:sz w:val="20"/>
                      <w:szCs w:val="20"/>
                    </w:rPr>
                  </w:pPr>
                  <w:r>
                    <w:rPr>
                      <w:rFonts w:ascii="Times New Roman" w:hAnsi="Times New Roman" w:eastAsia="Times New Roman" w:cs="Times New Roman"/>
                      <w:sz w:val="20"/>
                      <w:szCs w:val="20"/>
                    </w:rPr>
                    <w:t>100μT</w:t>
                  </w:r>
                </w:p>
              </w:tc>
              <w:tc>
                <w:tcPr>
                  <w:tcW w:w="1135" w:type="dxa"/>
                  <w:tcBorders>
                    <w:top w:val="single" w:color="000000" w:sz="4" w:space="0"/>
                    <w:bottom w:val="single" w:color="000000" w:sz="4" w:space="0"/>
                  </w:tcBorders>
                  <w:vAlign w:val="top"/>
                </w:tcPr>
                <w:p w14:paraId="438B59F1">
                  <w:pPr>
                    <w:pStyle w:val="6"/>
                    <w:spacing w:before="30" w:line="218" w:lineRule="auto"/>
                    <w:ind w:left="362"/>
                    <w:rPr>
                      <w:sz w:val="20"/>
                      <w:szCs w:val="20"/>
                    </w:rPr>
                  </w:pPr>
                  <w:r>
                    <w:rPr>
                      <w:spacing w:val="5"/>
                      <w:sz w:val="20"/>
                      <w:szCs w:val="20"/>
                    </w:rPr>
                    <w:t>达标</w:t>
                  </w:r>
                </w:p>
              </w:tc>
            </w:tr>
            <w:tr w14:paraId="72A45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174" w:type="dxa"/>
                  <w:gridSpan w:val="6"/>
                  <w:tcBorders>
                    <w:top w:val="single" w:color="000000" w:sz="4" w:space="0"/>
                  </w:tcBorders>
                  <w:vAlign w:val="top"/>
                </w:tcPr>
                <w:p w14:paraId="00BD5CC1">
                  <w:pPr>
                    <w:pStyle w:val="6"/>
                    <w:spacing w:before="31" w:line="218" w:lineRule="auto"/>
                    <w:ind w:left="118"/>
                    <w:rPr>
                      <w:sz w:val="20"/>
                      <w:szCs w:val="20"/>
                    </w:rPr>
                  </w:pPr>
                  <w:r>
                    <w:rPr>
                      <w:spacing w:val="5"/>
                      <w:sz w:val="20"/>
                      <w:szCs w:val="20"/>
                    </w:rPr>
                    <w:t>备注：</w:t>
                  </w:r>
                  <w:r>
                    <w:rPr>
                      <w:spacing w:val="-64"/>
                      <w:sz w:val="20"/>
                      <w:szCs w:val="20"/>
                    </w:rPr>
                    <w:t xml:space="preserve"> </w:t>
                  </w:r>
                  <w:r>
                    <w:rPr>
                      <w:spacing w:val="5"/>
                      <w:sz w:val="20"/>
                      <w:szCs w:val="20"/>
                    </w:rPr>
                    <w:t>“</w:t>
                  </w:r>
                  <w:r>
                    <w:rPr>
                      <w:spacing w:val="-74"/>
                      <w:sz w:val="20"/>
                      <w:szCs w:val="20"/>
                    </w:rPr>
                    <w:t xml:space="preserve"> </w:t>
                  </w:r>
                  <w:r>
                    <w:rPr>
                      <w:spacing w:val="5"/>
                      <w:sz w:val="20"/>
                      <w:szCs w:val="20"/>
                    </w:rPr>
                    <w:t>＜</w:t>
                  </w:r>
                  <w:r>
                    <w:rPr>
                      <w:spacing w:val="-71"/>
                      <w:sz w:val="20"/>
                      <w:szCs w:val="20"/>
                    </w:rPr>
                    <w:t xml:space="preserve"> </w:t>
                  </w:r>
                  <w:r>
                    <w:rPr>
                      <w:spacing w:val="5"/>
                      <w:sz w:val="20"/>
                      <w:szCs w:val="20"/>
                    </w:rPr>
                    <w:t>”表示测量值低于仪器设备量程最小值。</w:t>
                  </w:r>
                </w:p>
              </w:tc>
            </w:tr>
          </w:tbl>
          <w:p w14:paraId="517CCFB6">
            <w:pPr>
              <w:pStyle w:val="6"/>
              <w:spacing w:before="37" w:line="352" w:lineRule="auto"/>
              <w:ind w:left="114" w:right="102" w:firstLine="474"/>
            </w:pPr>
            <w:r>
              <w:rPr>
                <w:spacing w:val="23"/>
              </w:rPr>
              <w:t>根据上表监测结果可知</w:t>
            </w:r>
            <w:r>
              <w:rPr>
                <w:spacing w:val="-56"/>
              </w:rPr>
              <w:t xml:space="preserve"> </w:t>
            </w:r>
            <w:r>
              <w:rPr>
                <w:spacing w:val="23"/>
              </w:rPr>
              <w:t>，拟建升压站区中心监测点的工频电场强度</w:t>
            </w:r>
            <w:r>
              <w:t xml:space="preserve"> </w:t>
            </w:r>
            <w:r>
              <w:rPr>
                <w:rFonts w:ascii="Times New Roman" w:hAnsi="Times New Roman" w:eastAsia="Times New Roman" w:cs="Times New Roman"/>
                <w:spacing w:val="4"/>
              </w:rPr>
              <w:t xml:space="preserve">1.277V/m </w:t>
            </w:r>
            <w:r>
              <w:rPr>
                <w:spacing w:val="4"/>
              </w:rPr>
              <w:t>，</w:t>
            </w:r>
            <w:r>
              <w:rPr>
                <w:spacing w:val="-72"/>
              </w:rPr>
              <w:t xml:space="preserve"> </w:t>
            </w:r>
            <w:r>
              <w:rPr>
                <w:spacing w:val="4"/>
              </w:rPr>
              <w:t>工频磁感应</w:t>
            </w:r>
            <w:r>
              <w:rPr>
                <w:spacing w:val="-69"/>
              </w:rPr>
              <w:t xml:space="preserve"> </w:t>
            </w:r>
            <w:r>
              <w:rPr>
                <w:spacing w:val="4"/>
              </w:rPr>
              <w:t>强度</w:t>
            </w:r>
            <w:r>
              <w:rPr>
                <w:spacing w:val="-72"/>
              </w:rPr>
              <w:t xml:space="preserve"> </w:t>
            </w:r>
            <w:r>
              <w:rPr>
                <w:spacing w:val="4"/>
              </w:rPr>
              <w:t xml:space="preserve">为 </w:t>
            </w:r>
            <w:r>
              <w:rPr>
                <w:rFonts w:ascii="Times New Roman" w:hAnsi="Times New Roman" w:eastAsia="Times New Roman" w:cs="Times New Roman"/>
                <w:spacing w:val="4"/>
              </w:rPr>
              <w:t>0.00</w:t>
            </w:r>
            <w:r>
              <w:rPr>
                <w:rFonts w:ascii="Times New Roman" w:hAnsi="Times New Roman" w:eastAsia="Times New Roman" w:cs="Times New Roman"/>
                <w:spacing w:val="3"/>
              </w:rPr>
              <w:t>2</w:t>
            </w:r>
            <w:r>
              <w:rPr>
                <w:rFonts w:ascii="Times New Roman" w:hAnsi="Times New Roman" w:eastAsia="Times New Roman" w:cs="Times New Roman"/>
                <w:spacing w:val="45"/>
              </w:rPr>
              <w:t xml:space="preserve"> </w:t>
            </w:r>
            <w:r>
              <w:rPr>
                <w:spacing w:val="3"/>
              </w:rPr>
              <w:t>μ</w:t>
            </w:r>
            <w:r>
              <w:rPr>
                <w:spacing w:val="-77"/>
              </w:rPr>
              <w:t xml:space="preserve"> </w:t>
            </w:r>
            <w:r>
              <w:rPr>
                <w:rFonts w:ascii="Times New Roman" w:hAnsi="Times New Roman" w:eastAsia="Times New Roman" w:cs="Times New Roman"/>
                <w:spacing w:val="3"/>
              </w:rPr>
              <w:t>T</w:t>
            </w:r>
            <w:r>
              <w:rPr>
                <w:rFonts w:ascii="Times New Roman" w:hAnsi="Times New Roman" w:eastAsia="Times New Roman" w:cs="Times New Roman"/>
                <w:spacing w:val="55"/>
              </w:rPr>
              <w:t xml:space="preserve"> </w:t>
            </w:r>
            <w:r>
              <w:rPr>
                <w:spacing w:val="3"/>
              </w:rPr>
              <w:t>能满</w:t>
            </w:r>
            <w:r>
              <w:rPr>
                <w:spacing w:val="-71"/>
              </w:rPr>
              <w:t xml:space="preserve"> </w:t>
            </w:r>
            <w:r>
              <w:rPr>
                <w:spacing w:val="3"/>
              </w:rPr>
              <w:t>足《</w:t>
            </w:r>
            <w:r>
              <w:rPr>
                <w:spacing w:val="-23"/>
              </w:rPr>
              <w:t xml:space="preserve"> </w:t>
            </w:r>
            <w:r>
              <w:rPr>
                <w:spacing w:val="3"/>
              </w:rPr>
              <w:t>电磁环境控制</w:t>
            </w:r>
            <w:r>
              <w:rPr>
                <w:spacing w:val="-58"/>
              </w:rPr>
              <w:t xml:space="preserve"> </w:t>
            </w:r>
            <w:r>
              <w:rPr>
                <w:spacing w:val="3"/>
              </w:rPr>
              <w:t>限值</w:t>
            </w:r>
            <w:r>
              <w:rPr>
                <w:spacing w:val="-64"/>
              </w:rPr>
              <w:t xml:space="preserve"> </w:t>
            </w:r>
            <w:r>
              <w:rPr>
                <w:spacing w:val="3"/>
              </w:rPr>
              <w:t>》</w:t>
            </w:r>
            <w:r>
              <w:t xml:space="preserve"> </w:t>
            </w:r>
            <w:r>
              <w:rPr>
                <w:spacing w:val="-3"/>
              </w:rPr>
              <w:t>（</w:t>
            </w:r>
            <w:r>
              <w:rPr>
                <w:rFonts w:ascii="Times New Roman" w:hAnsi="Times New Roman" w:eastAsia="Times New Roman" w:cs="Times New Roman"/>
                <w:spacing w:val="-3"/>
              </w:rPr>
              <w:t>GB8702-2014</w:t>
            </w:r>
            <w:r>
              <w:rPr>
                <w:spacing w:val="-3"/>
              </w:rPr>
              <w:t>）标准（工作频率为</w:t>
            </w:r>
            <w:r>
              <w:rPr>
                <w:spacing w:val="-43"/>
              </w:rPr>
              <w:t xml:space="preserve"> </w:t>
            </w:r>
            <w:r>
              <w:rPr>
                <w:rFonts w:ascii="Times New Roman" w:hAnsi="Times New Roman" w:eastAsia="Times New Roman" w:cs="Times New Roman"/>
                <w:spacing w:val="-3"/>
              </w:rPr>
              <w:t>0.05kHz</w:t>
            </w:r>
            <w:r>
              <w:rPr>
                <w:spacing w:val="-3"/>
              </w:rPr>
              <w:t>，工频电场</w:t>
            </w:r>
            <w:r>
              <w:rPr>
                <w:spacing w:val="-56"/>
              </w:rPr>
              <w:t xml:space="preserve"> </w:t>
            </w:r>
            <w:r>
              <w:rPr>
                <w:rFonts w:ascii="Times New Roman" w:hAnsi="Times New Roman" w:eastAsia="Times New Roman" w:cs="Times New Roman"/>
                <w:spacing w:val="-3"/>
              </w:rPr>
              <w:t>4000V/m</w:t>
            </w:r>
            <w:r>
              <w:rPr>
                <w:rFonts w:ascii="Times New Roman" w:hAnsi="Times New Roman" w:eastAsia="Times New Roman" w:cs="Times New Roman"/>
                <w:spacing w:val="-35"/>
              </w:rPr>
              <w:t xml:space="preserve"> </w:t>
            </w:r>
            <w:r>
              <w:rPr>
                <w:spacing w:val="-3"/>
              </w:rPr>
              <w:t>、工频磁感应</w:t>
            </w:r>
            <w:r>
              <w:t xml:space="preserve"> </w:t>
            </w:r>
            <w:r>
              <w:rPr>
                <w:spacing w:val="-4"/>
              </w:rPr>
              <w:t>强度</w:t>
            </w:r>
            <w:r>
              <w:rPr>
                <w:spacing w:val="-30"/>
              </w:rPr>
              <w:t xml:space="preserve"> </w:t>
            </w:r>
            <w:r>
              <w:rPr>
                <w:rFonts w:ascii="Times New Roman" w:hAnsi="Times New Roman" w:eastAsia="Times New Roman" w:cs="Times New Roman"/>
                <w:spacing w:val="-4"/>
              </w:rPr>
              <w:t>100μT</w:t>
            </w:r>
            <w:r>
              <w:rPr>
                <w:spacing w:val="-4"/>
              </w:rPr>
              <w:t>）的要求。</w:t>
            </w:r>
          </w:p>
          <w:p w14:paraId="746AA53E">
            <w:pPr>
              <w:pStyle w:val="6"/>
              <w:spacing w:before="36" w:line="219" w:lineRule="auto"/>
              <w:ind w:left="588"/>
            </w:pPr>
            <w:r>
              <w:rPr>
                <w:rFonts w:ascii="Times New Roman" w:hAnsi="Times New Roman" w:eastAsia="Times New Roman" w:cs="Times New Roman"/>
                <w:b/>
                <w:bCs/>
                <w:spacing w:val="-6"/>
              </w:rPr>
              <w:t>8</w:t>
            </w:r>
            <w:r>
              <w:rPr>
                <w:rFonts w:ascii="Times New Roman" w:hAnsi="Times New Roman" w:eastAsia="Times New Roman" w:cs="Times New Roman"/>
                <w:b/>
                <w:bCs/>
                <w:spacing w:val="-31"/>
              </w:rPr>
              <w:t xml:space="preserve"> </w:t>
            </w:r>
            <w:r>
              <w:rPr>
                <w:b/>
                <w:bCs/>
                <w:spacing w:val="-6"/>
              </w:rPr>
              <w:t>、地下水环境现状</w:t>
            </w:r>
          </w:p>
          <w:p w14:paraId="578DD994">
            <w:pPr>
              <w:pStyle w:val="6"/>
              <w:spacing w:before="184" w:line="352" w:lineRule="auto"/>
              <w:ind w:left="110" w:right="20" w:firstLine="479"/>
              <w:jc w:val="both"/>
            </w:pPr>
            <w:r>
              <w:rPr>
                <w:spacing w:val="-2"/>
              </w:rPr>
              <w:t>根据《环境影响评价技术导则 地下水环境》（</w:t>
            </w:r>
            <w:r>
              <w:rPr>
                <w:rFonts w:ascii="Times New Roman" w:hAnsi="Times New Roman" w:eastAsia="Times New Roman" w:cs="Times New Roman"/>
                <w:spacing w:val="-2"/>
              </w:rPr>
              <w:t>HJ610-2016</w:t>
            </w:r>
            <w:r>
              <w:rPr>
                <w:spacing w:val="-2"/>
              </w:rPr>
              <w:t>）附录</w:t>
            </w:r>
            <w:r>
              <w:rPr>
                <w:spacing w:val="-47"/>
              </w:rPr>
              <w:t xml:space="preserve"> </w:t>
            </w:r>
            <w:r>
              <w:rPr>
                <w:rFonts w:ascii="Times New Roman" w:hAnsi="Times New Roman" w:eastAsia="Times New Roman" w:cs="Times New Roman"/>
                <w:spacing w:val="-2"/>
              </w:rPr>
              <w:t xml:space="preserve">A </w:t>
            </w:r>
            <w:r>
              <w:rPr>
                <w:spacing w:val="-2"/>
              </w:rPr>
              <w:t>可知，</w:t>
            </w:r>
            <w:r>
              <w:t xml:space="preserve"> </w:t>
            </w:r>
            <w:r>
              <w:rPr>
                <w:spacing w:val="-3"/>
              </w:rPr>
              <w:t>本项目属于“</w:t>
            </w:r>
            <w:r>
              <w:rPr>
                <w:rFonts w:ascii="Times New Roman" w:hAnsi="Times New Roman" w:eastAsia="Times New Roman" w:cs="Times New Roman"/>
                <w:spacing w:val="-3"/>
              </w:rPr>
              <w:t>E</w:t>
            </w:r>
            <w:r>
              <w:rPr>
                <w:rFonts w:ascii="Times New Roman" w:hAnsi="Times New Roman" w:eastAsia="Times New Roman" w:cs="Times New Roman"/>
                <w:spacing w:val="39"/>
                <w:w w:val="101"/>
              </w:rPr>
              <w:t xml:space="preserve"> </w:t>
            </w:r>
            <w:r>
              <w:rPr>
                <w:spacing w:val="-3"/>
              </w:rPr>
              <w:t>电力</w:t>
            </w:r>
            <w:r>
              <w:rPr>
                <w:spacing w:val="-88"/>
              </w:rPr>
              <w:t xml:space="preserve"> </w:t>
            </w:r>
            <w:r>
              <w:rPr>
                <w:spacing w:val="-3"/>
              </w:rPr>
              <w:t>”大类中“</w:t>
            </w:r>
            <w:r>
              <w:rPr>
                <w:rFonts w:ascii="Times New Roman" w:hAnsi="Times New Roman" w:eastAsia="Times New Roman" w:cs="Times New Roman"/>
                <w:spacing w:val="-3"/>
              </w:rPr>
              <w:t xml:space="preserve">34 </w:t>
            </w:r>
            <w:r>
              <w:rPr>
                <w:spacing w:val="-3"/>
              </w:rPr>
              <w:t>其他能源发电</w:t>
            </w:r>
            <w:r>
              <w:rPr>
                <w:rFonts w:ascii="Times New Roman" w:hAnsi="Times New Roman" w:eastAsia="Times New Roman" w:cs="Times New Roman"/>
                <w:spacing w:val="-3"/>
              </w:rPr>
              <w:t>—</w:t>
            </w:r>
            <w:r>
              <w:rPr>
                <w:spacing w:val="-4"/>
              </w:rPr>
              <w:t>并网光伏发电</w:t>
            </w:r>
            <w:r>
              <w:rPr>
                <w:spacing w:val="-88"/>
              </w:rPr>
              <w:t xml:space="preserve"> </w:t>
            </w:r>
            <w:r>
              <w:rPr>
                <w:spacing w:val="-4"/>
              </w:rPr>
              <w:t>”小类，地下</w:t>
            </w:r>
            <w:r>
              <w:t xml:space="preserve"> </w:t>
            </w:r>
            <w:r>
              <w:rPr>
                <w:spacing w:val="-1"/>
              </w:rPr>
              <w:t>水环境影响评价项目类别为Ⅳ类，根据《环境影响评价技术导则 地下水环境》</w:t>
            </w:r>
            <w:r>
              <w:rPr>
                <w:spacing w:val="9"/>
              </w:rPr>
              <w:t xml:space="preserve"> </w:t>
            </w:r>
            <w:r>
              <w:t>（</w:t>
            </w:r>
            <w:r>
              <w:rPr>
                <w:rFonts w:ascii="Times New Roman" w:hAnsi="Times New Roman" w:eastAsia="Times New Roman" w:cs="Times New Roman"/>
              </w:rPr>
              <w:t>HJ610-2016</w:t>
            </w:r>
            <w:r>
              <w:t>）</w:t>
            </w:r>
            <w:r>
              <w:rPr>
                <w:rFonts w:ascii="Times New Roman" w:hAnsi="Times New Roman" w:eastAsia="Times New Roman" w:cs="Times New Roman"/>
              </w:rPr>
              <w:t xml:space="preserve">4.1 </w:t>
            </w:r>
            <w:r>
              <w:t>可知，Ⅳ类建设项目</w:t>
            </w:r>
            <w:r>
              <w:rPr>
                <w:spacing w:val="-1"/>
              </w:rPr>
              <w:t>不开展地下水环境影响评价。</w:t>
            </w:r>
          </w:p>
          <w:p w14:paraId="6E6424A0">
            <w:pPr>
              <w:pStyle w:val="6"/>
              <w:spacing w:before="36" w:line="219" w:lineRule="auto"/>
              <w:ind w:left="587"/>
            </w:pPr>
            <w:r>
              <w:rPr>
                <w:rFonts w:ascii="Times New Roman" w:hAnsi="Times New Roman" w:eastAsia="Times New Roman" w:cs="Times New Roman"/>
                <w:b/>
                <w:bCs/>
                <w:spacing w:val="-6"/>
              </w:rPr>
              <w:t>9</w:t>
            </w:r>
            <w:r>
              <w:rPr>
                <w:rFonts w:ascii="Times New Roman" w:hAnsi="Times New Roman" w:eastAsia="Times New Roman" w:cs="Times New Roman"/>
                <w:b/>
                <w:bCs/>
                <w:spacing w:val="-34"/>
              </w:rPr>
              <w:t xml:space="preserve"> </w:t>
            </w:r>
            <w:r>
              <w:rPr>
                <w:b/>
                <w:bCs/>
                <w:spacing w:val="-6"/>
              </w:rPr>
              <w:t>、土壤环境现状</w:t>
            </w:r>
          </w:p>
          <w:p w14:paraId="1D4B993F">
            <w:pPr>
              <w:pStyle w:val="6"/>
              <w:spacing w:before="178" w:line="350" w:lineRule="auto"/>
              <w:ind w:left="110" w:right="20" w:firstLine="479"/>
              <w:jc w:val="both"/>
            </w:pPr>
            <w:r>
              <w:rPr>
                <w:spacing w:val="-6"/>
              </w:rPr>
              <w:t>根据《环境影响评价技术导则 土壤环境（试行）》（</w:t>
            </w:r>
            <w:r>
              <w:rPr>
                <w:rFonts w:ascii="Times New Roman" w:hAnsi="Times New Roman" w:eastAsia="Times New Roman" w:cs="Times New Roman"/>
                <w:spacing w:val="-6"/>
              </w:rPr>
              <w:t>HJ</w:t>
            </w:r>
            <w:r>
              <w:rPr>
                <w:rFonts w:ascii="Times New Roman" w:hAnsi="Times New Roman" w:eastAsia="Times New Roman" w:cs="Times New Roman"/>
                <w:spacing w:val="-7"/>
              </w:rPr>
              <w:t>964-2018</w:t>
            </w:r>
            <w:r>
              <w:rPr>
                <w:spacing w:val="-7"/>
              </w:rPr>
              <w:t>）附录</w:t>
            </w:r>
            <w:r>
              <w:rPr>
                <w:spacing w:val="-58"/>
              </w:rPr>
              <w:t xml:space="preserve"> </w:t>
            </w:r>
            <w:r>
              <w:rPr>
                <w:rFonts w:ascii="Times New Roman" w:hAnsi="Times New Roman" w:eastAsia="Times New Roman" w:cs="Times New Roman"/>
                <w:spacing w:val="-7"/>
              </w:rPr>
              <w:t>A</w:t>
            </w:r>
            <w:r>
              <w:rPr>
                <w:spacing w:val="-7"/>
              </w:rPr>
              <w:t>，</w:t>
            </w:r>
            <w:r>
              <w:t xml:space="preserve"> </w:t>
            </w:r>
            <w:r>
              <w:rPr>
                <w:spacing w:val="-2"/>
              </w:rPr>
              <w:t>本项目属于土壤环境影响评价项目类别中的“电力热力燃气及水生产和供应业</w:t>
            </w:r>
            <w:r>
              <w:rPr>
                <w:rFonts w:ascii="Times New Roman" w:hAnsi="Times New Roman" w:eastAsia="Times New Roman" w:cs="Times New Roman"/>
                <w:spacing w:val="-2"/>
              </w:rPr>
              <w:t>-</w:t>
            </w:r>
            <w:r>
              <w:rPr>
                <w:rFonts w:ascii="Times New Roman" w:hAnsi="Times New Roman" w:eastAsia="Times New Roman" w:cs="Times New Roman"/>
                <w:spacing w:val="1"/>
              </w:rPr>
              <w:t xml:space="preserve">  </w:t>
            </w:r>
            <w:r>
              <w:rPr>
                <w:spacing w:val="-2"/>
              </w:rPr>
              <w:t>其他</w:t>
            </w:r>
            <w:r>
              <w:rPr>
                <w:spacing w:val="-76"/>
              </w:rPr>
              <w:t xml:space="preserve"> </w:t>
            </w:r>
            <w:r>
              <w:rPr>
                <w:spacing w:val="-2"/>
              </w:rPr>
              <w:t>”，为Ⅳ类建设项目，根据《环境影响评价技术导则 土壤环境（试行）》</w:t>
            </w:r>
            <w:r>
              <w:t xml:space="preserve"> （</w:t>
            </w:r>
            <w:r>
              <w:rPr>
                <w:rFonts w:ascii="Times New Roman" w:hAnsi="Times New Roman" w:eastAsia="Times New Roman" w:cs="Times New Roman"/>
              </w:rPr>
              <w:t>HJ964-2018</w:t>
            </w:r>
            <w:r>
              <w:t>）</w:t>
            </w:r>
            <w:r>
              <w:rPr>
                <w:rFonts w:ascii="Times New Roman" w:hAnsi="Times New Roman" w:eastAsia="Times New Roman" w:cs="Times New Roman"/>
              </w:rPr>
              <w:t xml:space="preserve">4.2.2 </w:t>
            </w:r>
            <w:r>
              <w:t>可知，Ⅳ类建设项目</w:t>
            </w:r>
            <w:r>
              <w:rPr>
                <w:spacing w:val="-1"/>
              </w:rPr>
              <w:t>可不开展土壤环境影响评价。</w:t>
            </w:r>
          </w:p>
        </w:tc>
      </w:tr>
      <w:tr w14:paraId="34EC9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1" w:hRule="atLeast"/>
        </w:trPr>
        <w:tc>
          <w:tcPr>
            <w:tcW w:w="668" w:type="dxa"/>
            <w:tcBorders>
              <w:top w:val="single" w:color="000000" w:sz="2" w:space="0"/>
              <w:right w:val="single" w:color="000000" w:sz="2" w:space="0"/>
            </w:tcBorders>
            <w:textDirection w:val="tbRlV"/>
            <w:vAlign w:val="top"/>
          </w:tcPr>
          <w:p w14:paraId="25264E30">
            <w:pPr>
              <w:pStyle w:val="6"/>
              <w:spacing w:before="213" w:line="194" w:lineRule="auto"/>
              <w:ind w:left="46"/>
            </w:pPr>
            <w:r>
              <w:rPr>
                <w:spacing w:val="23"/>
                <w:w w:val="118"/>
              </w:rPr>
              <w:t>与项</w:t>
            </w:r>
            <w:r>
              <w:rPr>
                <w:spacing w:val="23"/>
                <w:w w:val="118"/>
                <w:position w:val="2"/>
              </w:rPr>
              <w:t>目</w:t>
            </w:r>
            <w:r>
              <w:rPr>
                <w:spacing w:val="23"/>
                <w:w w:val="118"/>
              </w:rPr>
              <w:t>有关的原有环境污染和生态</w:t>
            </w:r>
          </w:p>
        </w:tc>
        <w:tc>
          <w:tcPr>
            <w:tcW w:w="8396" w:type="dxa"/>
            <w:tcBorders>
              <w:top w:val="single" w:color="000000" w:sz="2" w:space="0"/>
              <w:left w:val="single" w:color="000000" w:sz="2" w:space="0"/>
            </w:tcBorders>
            <w:vAlign w:val="top"/>
          </w:tcPr>
          <w:p w14:paraId="39B3A91A">
            <w:pPr>
              <w:spacing w:line="260" w:lineRule="auto"/>
              <w:rPr>
                <w:rFonts w:ascii="Arial"/>
                <w:sz w:val="21"/>
              </w:rPr>
            </w:pPr>
          </w:p>
          <w:p w14:paraId="7C6A91C5">
            <w:pPr>
              <w:spacing w:line="260" w:lineRule="auto"/>
              <w:rPr>
                <w:rFonts w:ascii="Arial"/>
                <w:sz w:val="21"/>
              </w:rPr>
            </w:pPr>
          </w:p>
          <w:p w14:paraId="0344402D">
            <w:pPr>
              <w:spacing w:line="260" w:lineRule="auto"/>
              <w:rPr>
                <w:rFonts w:ascii="Arial"/>
                <w:sz w:val="21"/>
              </w:rPr>
            </w:pPr>
          </w:p>
          <w:p w14:paraId="50B9D1AC">
            <w:pPr>
              <w:spacing w:line="261" w:lineRule="auto"/>
              <w:rPr>
                <w:rFonts w:ascii="Arial"/>
                <w:sz w:val="21"/>
              </w:rPr>
            </w:pPr>
          </w:p>
          <w:p w14:paraId="6A5A8E24">
            <w:pPr>
              <w:spacing w:line="261" w:lineRule="auto"/>
              <w:rPr>
                <w:rFonts w:ascii="Arial"/>
                <w:sz w:val="21"/>
              </w:rPr>
            </w:pPr>
          </w:p>
          <w:p w14:paraId="56BA0E73">
            <w:pPr>
              <w:spacing w:line="261" w:lineRule="auto"/>
              <w:rPr>
                <w:rFonts w:ascii="Arial"/>
                <w:sz w:val="21"/>
              </w:rPr>
            </w:pPr>
          </w:p>
          <w:p w14:paraId="245CD3F1">
            <w:pPr>
              <w:spacing w:line="261" w:lineRule="auto"/>
              <w:rPr>
                <w:rFonts w:ascii="Arial"/>
                <w:sz w:val="21"/>
              </w:rPr>
            </w:pPr>
          </w:p>
          <w:p w14:paraId="5D53294C">
            <w:pPr>
              <w:pStyle w:val="6"/>
              <w:spacing w:before="78" w:line="345" w:lineRule="auto"/>
              <w:ind w:left="111" w:right="102" w:firstLine="479"/>
            </w:pPr>
            <w:r>
              <w:t>本项目为新建项目，通过现场调查，不存在与项目有关的原有环境污染和</w:t>
            </w:r>
            <w:r>
              <w:rPr>
                <w:spacing w:val="12"/>
              </w:rPr>
              <w:t xml:space="preserve"> </w:t>
            </w:r>
            <w:r>
              <w:rPr>
                <w:spacing w:val="-2"/>
              </w:rPr>
              <w:t>生态破坏问题。</w:t>
            </w:r>
          </w:p>
        </w:tc>
      </w:tr>
    </w:tbl>
    <w:p w14:paraId="05B8FB77">
      <w:pPr>
        <w:rPr>
          <w:rFonts w:ascii="Arial"/>
          <w:sz w:val="21"/>
        </w:rPr>
      </w:pPr>
    </w:p>
    <w:p w14:paraId="6B43F043">
      <w:pPr>
        <w:rPr>
          <w:rFonts w:ascii="Arial" w:hAnsi="Arial" w:eastAsia="Arial" w:cs="Arial"/>
          <w:sz w:val="21"/>
          <w:szCs w:val="21"/>
        </w:rPr>
        <w:sectPr>
          <w:footerReference r:id="rId99" w:type="default"/>
          <w:pgSz w:w="11906" w:h="16839"/>
          <w:pgMar w:top="1431" w:right="1413" w:bottom="1278" w:left="1413" w:header="0" w:footer="1116" w:gutter="0"/>
          <w:cols w:space="720" w:num="1"/>
        </w:sectPr>
      </w:pPr>
    </w:p>
    <w:p w14:paraId="11709DE1">
      <w:pPr>
        <w:spacing w:line="99" w:lineRule="exact"/>
      </w:pPr>
      <w:r>
        <w:pict>
          <v:shape id="_x0000_s1075" o:spid="_x0000_s1075" style="position:absolute;left:0pt;margin-left:103.9pt;margin-top:77.5pt;height:677.2pt;width:0.5pt;mso-position-horizontal-relative:page;mso-position-vertical-relative:page;z-index:251717632;mso-width-relative:page;mso-height-relative:page;" filled="f" stroked="t" coordsize="10,13544" o:allowincell="f" path="m4,0l4,13543e">
            <v:fill on="f" focussize="0,0"/>
            <v:stroke weight="0.48pt" color="#000000" miterlimit="2" joinstyle="bevel"/>
            <v:imagedata o:title=""/>
            <o:lock v:ext="edit"/>
          </v:shape>
        </w:pict>
      </w: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7"/>
        <w:gridCol w:w="8447"/>
      </w:tblGrid>
      <w:tr w14:paraId="03966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3" w:hRule="atLeast"/>
        </w:trPr>
        <w:tc>
          <w:tcPr>
            <w:tcW w:w="9064" w:type="dxa"/>
            <w:gridSpan w:val="2"/>
            <w:tcBorders>
              <w:bottom w:val="single" w:color="000000" w:sz="2" w:space="0"/>
            </w:tcBorders>
            <w:textDirection w:val="tbRlV"/>
            <w:vAlign w:val="top"/>
          </w:tcPr>
          <w:p w14:paraId="3D57F0DA">
            <w:pPr>
              <w:spacing w:line="243" w:lineRule="auto"/>
              <w:rPr>
                <w:rFonts w:ascii="Arial"/>
                <w:sz w:val="21"/>
              </w:rPr>
            </w:pPr>
          </w:p>
          <w:p w14:paraId="6F0368A2">
            <w:pPr>
              <w:spacing w:line="243" w:lineRule="auto"/>
              <w:rPr>
                <w:rFonts w:ascii="Arial"/>
                <w:sz w:val="21"/>
              </w:rPr>
            </w:pPr>
          </w:p>
          <w:p w14:paraId="7863C10F">
            <w:pPr>
              <w:spacing w:line="243" w:lineRule="auto"/>
              <w:rPr>
                <w:rFonts w:ascii="Arial"/>
                <w:sz w:val="21"/>
              </w:rPr>
            </w:pPr>
          </w:p>
          <w:p w14:paraId="304ACAFB">
            <w:pPr>
              <w:spacing w:line="243" w:lineRule="auto"/>
              <w:rPr>
                <w:rFonts w:ascii="Arial"/>
                <w:sz w:val="21"/>
              </w:rPr>
            </w:pPr>
          </w:p>
          <w:p w14:paraId="17605656">
            <w:pPr>
              <w:spacing w:line="243" w:lineRule="auto"/>
              <w:rPr>
                <w:rFonts w:ascii="Arial"/>
                <w:sz w:val="21"/>
              </w:rPr>
            </w:pPr>
          </w:p>
          <w:p w14:paraId="4DB274E7">
            <w:pPr>
              <w:spacing w:line="243" w:lineRule="auto"/>
              <w:rPr>
                <w:rFonts w:ascii="Arial"/>
                <w:sz w:val="21"/>
              </w:rPr>
            </w:pPr>
          </w:p>
          <w:p w14:paraId="40324628">
            <w:pPr>
              <w:spacing w:line="243" w:lineRule="auto"/>
              <w:rPr>
                <w:rFonts w:ascii="Arial"/>
                <w:sz w:val="21"/>
              </w:rPr>
            </w:pPr>
          </w:p>
          <w:p w14:paraId="4EFBE656">
            <w:pPr>
              <w:spacing w:line="243" w:lineRule="auto"/>
              <w:rPr>
                <w:rFonts w:ascii="Arial"/>
                <w:sz w:val="21"/>
              </w:rPr>
            </w:pPr>
          </w:p>
          <w:p w14:paraId="4DB6221B">
            <w:pPr>
              <w:spacing w:line="243" w:lineRule="auto"/>
              <w:rPr>
                <w:rFonts w:ascii="Arial"/>
                <w:sz w:val="21"/>
              </w:rPr>
            </w:pPr>
          </w:p>
          <w:p w14:paraId="6FB3DACD">
            <w:pPr>
              <w:spacing w:line="243" w:lineRule="auto"/>
              <w:rPr>
                <w:rFonts w:ascii="Arial"/>
                <w:sz w:val="21"/>
              </w:rPr>
            </w:pPr>
          </w:p>
          <w:p w14:paraId="0AD51BCA">
            <w:pPr>
              <w:spacing w:line="243" w:lineRule="auto"/>
              <w:rPr>
                <w:rFonts w:ascii="Arial"/>
                <w:sz w:val="21"/>
              </w:rPr>
            </w:pPr>
          </w:p>
          <w:p w14:paraId="2F9DC1AB">
            <w:pPr>
              <w:spacing w:line="243" w:lineRule="auto"/>
              <w:rPr>
                <w:rFonts w:ascii="Arial"/>
                <w:sz w:val="21"/>
              </w:rPr>
            </w:pPr>
          </w:p>
          <w:p w14:paraId="4B655431">
            <w:pPr>
              <w:spacing w:line="243" w:lineRule="auto"/>
              <w:rPr>
                <w:rFonts w:ascii="Arial"/>
                <w:sz w:val="21"/>
              </w:rPr>
            </w:pPr>
          </w:p>
          <w:p w14:paraId="1AE063C1">
            <w:pPr>
              <w:spacing w:line="243" w:lineRule="auto"/>
              <w:rPr>
                <w:rFonts w:ascii="Arial"/>
                <w:sz w:val="21"/>
              </w:rPr>
            </w:pPr>
          </w:p>
          <w:p w14:paraId="5F82481D">
            <w:pPr>
              <w:spacing w:line="243" w:lineRule="auto"/>
              <w:rPr>
                <w:rFonts w:ascii="Arial"/>
                <w:sz w:val="21"/>
              </w:rPr>
            </w:pPr>
          </w:p>
          <w:p w14:paraId="2B9EBF65">
            <w:pPr>
              <w:spacing w:line="243" w:lineRule="auto"/>
              <w:rPr>
                <w:rFonts w:ascii="Arial"/>
                <w:sz w:val="21"/>
              </w:rPr>
            </w:pPr>
          </w:p>
          <w:p w14:paraId="5027D189">
            <w:pPr>
              <w:spacing w:line="243" w:lineRule="auto"/>
              <w:rPr>
                <w:rFonts w:ascii="Arial"/>
                <w:sz w:val="21"/>
              </w:rPr>
            </w:pPr>
          </w:p>
          <w:p w14:paraId="3279747C">
            <w:pPr>
              <w:spacing w:line="243" w:lineRule="auto"/>
              <w:rPr>
                <w:rFonts w:ascii="Arial"/>
                <w:sz w:val="21"/>
              </w:rPr>
            </w:pPr>
          </w:p>
          <w:p w14:paraId="2B4EA7B8">
            <w:pPr>
              <w:spacing w:line="243" w:lineRule="auto"/>
              <w:rPr>
                <w:rFonts w:ascii="Arial"/>
                <w:sz w:val="21"/>
              </w:rPr>
            </w:pPr>
          </w:p>
          <w:p w14:paraId="345162E7">
            <w:pPr>
              <w:spacing w:line="243" w:lineRule="auto"/>
              <w:rPr>
                <w:rFonts w:ascii="Arial"/>
                <w:sz w:val="21"/>
              </w:rPr>
            </w:pPr>
          </w:p>
          <w:p w14:paraId="185BB012">
            <w:pPr>
              <w:spacing w:line="243" w:lineRule="auto"/>
              <w:rPr>
                <w:rFonts w:ascii="Arial"/>
                <w:sz w:val="21"/>
              </w:rPr>
            </w:pPr>
          </w:p>
          <w:p w14:paraId="600449DC">
            <w:pPr>
              <w:spacing w:line="243" w:lineRule="auto"/>
              <w:rPr>
                <w:rFonts w:ascii="Arial"/>
                <w:sz w:val="21"/>
              </w:rPr>
            </w:pPr>
          </w:p>
          <w:p w14:paraId="30604D06">
            <w:pPr>
              <w:spacing w:line="243" w:lineRule="auto"/>
              <w:rPr>
                <w:rFonts w:ascii="Arial"/>
                <w:sz w:val="21"/>
              </w:rPr>
            </w:pPr>
          </w:p>
          <w:p w14:paraId="0F467D68">
            <w:pPr>
              <w:spacing w:line="243" w:lineRule="auto"/>
              <w:rPr>
                <w:rFonts w:ascii="Arial"/>
                <w:sz w:val="21"/>
              </w:rPr>
            </w:pPr>
          </w:p>
          <w:p w14:paraId="6024F4FB">
            <w:pPr>
              <w:spacing w:line="243" w:lineRule="auto"/>
              <w:rPr>
                <w:rFonts w:ascii="Arial"/>
                <w:sz w:val="21"/>
              </w:rPr>
            </w:pPr>
          </w:p>
          <w:p w14:paraId="7EAB982C">
            <w:pPr>
              <w:spacing w:line="243" w:lineRule="auto"/>
              <w:rPr>
                <w:rFonts w:ascii="Arial"/>
                <w:sz w:val="21"/>
              </w:rPr>
            </w:pPr>
          </w:p>
          <w:p w14:paraId="7A4FDFD0">
            <w:pPr>
              <w:spacing w:line="243" w:lineRule="auto"/>
              <w:rPr>
                <w:rFonts w:ascii="Arial"/>
                <w:sz w:val="21"/>
              </w:rPr>
            </w:pPr>
          </w:p>
          <w:p w14:paraId="361F528F">
            <w:pPr>
              <w:spacing w:line="244" w:lineRule="auto"/>
              <w:rPr>
                <w:rFonts w:ascii="Arial"/>
                <w:sz w:val="21"/>
              </w:rPr>
            </w:pPr>
          </w:p>
          <w:p w14:paraId="52DF9E4F">
            <w:pPr>
              <w:spacing w:line="244" w:lineRule="auto"/>
              <w:rPr>
                <w:rFonts w:ascii="Arial"/>
                <w:sz w:val="21"/>
              </w:rPr>
            </w:pPr>
          </w:p>
          <w:p w14:paraId="09D05B45">
            <w:pPr>
              <w:spacing w:line="244" w:lineRule="auto"/>
              <w:rPr>
                <w:rFonts w:ascii="Arial"/>
                <w:sz w:val="21"/>
              </w:rPr>
            </w:pPr>
          </w:p>
          <w:p w14:paraId="28DD5B5D">
            <w:pPr>
              <w:spacing w:line="244" w:lineRule="auto"/>
              <w:rPr>
                <w:rFonts w:ascii="Arial"/>
                <w:sz w:val="21"/>
              </w:rPr>
            </w:pPr>
          </w:p>
          <w:p w14:paraId="41753AC7">
            <w:pPr>
              <w:spacing w:line="244" w:lineRule="auto"/>
              <w:rPr>
                <w:rFonts w:ascii="Arial"/>
                <w:sz w:val="21"/>
              </w:rPr>
            </w:pPr>
          </w:p>
          <w:p w14:paraId="5DFC3D6B">
            <w:pPr>
              <w:spacing w:line="244" w:lineRule="auto"/>
              <w:rPr>
                <w:rFonts w:ascii="Arial"/>
                <w:sz w:val="21"/>
              </w:rPr>
            </w:pPr>
          </w:p>
          <w:p w14:paraId="29EFDF6A">
            <w:pPr>
              <w:spacing w:line="244" w:lineRule="auto"/>
              <w:rPr>
                <w:rFonts w:ascii="Arial"/>
                <w:sz w:val="21"/>
              </w:rPr>
            </w:pPr>
          </w:p>
          <w:p w14:paraId="0D530382">
            <w:pPr>
              <w:pStyle w:val="6"/>
              <w:spacing w:before="80" w:line="202" w:lineRule="auto"/>
              <w:ind w:left="29"/>
            </w:pPr>
            <w:r>
              <w:rPr>
                <w:spacing w:val="53"/>
              </w:rPr>
              <w:t>破坏</w:t>
            </w:r>
            <w:r>
              <w:rPr>
                <w:spacing w:val="53"/>
                <w:position w:val="1"/>
              </w:rPr>
              <w:t>问</w:t>
            </w:r>
            <w:r>
              <w:rPr>
                <w:spacing w:val="53"/>
              </w:rPr>
              <w:t>题</w:t>
            </w:r>
          </w:p>
        </w:tc>
      </w:tr>
      <w:tr w14:paraId="33F57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04" w:hRule="atLeast"/>
        </w:trPr>
        <w:tc>
          <w:tcPr>
            <w:tcW w:w="617" w:type="dxa"/>
            <w:tcBorders>
              <w:top w:val="single" w:color="000000" w:sz="2" w:space="0"/>
              <w:right w:val="nil"/>
            </w:tcBorders>
            <w:textDirection w:val="tbRlV"/>
            <w:vAlign w:val="top"/>
          </w:tcPr>
          <w:p w14:paraId="276D5930">
            <w:pPr>
              <w:pStyle w:val="6"/>
              <w:spacing w:before="165" w:line="194" w:lineRule="auto"/>
              <w:ind w:left="4942"/>
            </w:pPr>
            <w:r>
              <w:rPr>
                <w:spacing w:val="21"/>
                <w:w w:val="117"/>
              </w:rPr>
              <w:t>生态环境保护</w:t>
            </w:r>
            <w:r>
              <w:rPr>
                <w:spacing w:val="21"/>
                <w:w w:val="117"/>
                <w:position w:val="2"/>
              </w:rPr>
              <w:t>目</w:t>
            </w:r>
            <w:r>
              <w:rPr>
                <w:spacing w:val="21"/>
                <w:w w:val="117"/>
              </w:rPr>
              <w:t>标</w:t>
            </w:r>
          </w:p>
        </w:tc>
        <w:tc>
          <w:tcPr>
            <w:tcW w:w="8447" w:type="dxa"/>
            <w:tcBorders>
              <w:top w:val="single" w:color="000000" w:sz="2" w:space="0"/>
              <w:left w:val="nil"/>
            </w:tcBorders>
            <w:vAlign w:val="top"/>
          </w:tcPr>
          <w:p w14:paraId="0A716035">
            <w:pPr>
              <w:pStyle w:val="6"/>
              <w:spacing w:before="36" w:line="218" w:lineRule="auto"/>
              <w:ind w:left="649"/>
            </w:pPr>
            <w:r>
              <w:rPr>
                <w:rFonts w:ascii="Times New Roman" w:hAnsi="Times New Roman" w:eastAsia="Times New Roman" w:cs="Times New Roman"/>
                <w:b/>
                <w:bCs/>
                <w:spacing w:val="-6"/>
              </w:rPr>
              <w:t>1</w:t>
            </w:r>
            <w:r>
              <w:rPr>
                <w:rFonts w:ascii="Times New Roman" w:hAnsi="Times New Roman" w:eastAsia="Times New Roman" w:cs="Times New Roman"/>
                <w:b/>
                <w:bCs/>
                <w:spacing w:val="-33"/>
              </w:rPr>
              <w:t xml:space="preserve"> </w:t>
            </w:r>
            <w:r>
              <w:rPr>
                <w:b/>
                <w:bCs/>
                <w:spacing w:val="-6"/>
              </w:rPr>
              <w:t>、项目环境评价范围</w:t>
            </w:r>
          </w:p>
          <w:p w14:paraId="309C0A10">
            <w:pPr>
              <w:pStyle w:val="6"/>
              <w:spacing w:before="183" w:line="350" w:lineRule="auto"/>
              <w:ind w:left="150" w:right="42" w:firstLine="491"/>
              <w:jc w:val="both"/>
            </w:pPr>
            <w:r>
              <w:rPr>
                <w:spacing w:val="-5"/>
              </w:rPr>
              <w:t>根据《建设项目环境影响报告表编制技术指南（生态影响类（试</w:t>
            </w:r>
            <w:r>
              <w:rPr>
                <w:spacing w:val="-6"/>
              </w:rPr>
              <w:t>行</w:t>
            </w:r>
            <w:r>
              <w:rPr>
                <w:spacing w:val="-5"/>
              </w:rPr>
              <w:t>））</w:t>
            </w:r>
            <w:r>
              <w:rPr>
                <w:spacing w:val="-6"/>
              </w:rPr>
              <w:t>》：</w:t>
            </w:r>
            <w:r>
              <w:rPr>
                <w:spacing w:val="1"/>
              </w:rPr>
              <w:t xml:space="preserve"> “按照环境影响评价相关技术导则要求确定评价范围</w:t>
            </w:r>
            <w:r>
              <w:t>并识别环境保护目标</w:t>
            </w:r>
            <w:r>
              <w:rPr>
                <w:spacing w:val="-88"/>
              </w:rPr>
              <w:t xml:space="preserve"> </w:t>
            </w:r>
            <w:r>
              <w:t>”。 本项目各环境要素评价范围见下表。</w:t>
            </w:r>
          </w:p>
          <w:p w14:paraId="1C573030">
            <w:pPr>
              <w:pStyle w:val="6"/>
              <w:spacing w:before="30" w:line="224" w:lineRule="auto"/>
              <w:ind w:left="3136"/>
              <w:rPr>
                <w:sz w:val="20"/>
                <w:szCs w:val="20"/>
              </w:rPr>
            </w:pPr>
            <w:r>
              <w:rPr>
                <w:b/>
                <w:bCs/>
                <w:spacing w:val="5"/>
                <w:sz w:val="20"/>
                <w:szCs w:val="20"/>
              </w:rPr>
              <w:t>表</w:t>
            </w:r>
            <w:r>
              <w:rPr>
                <w:spacing w:val="-40"/>
                <w:sz w:val="20"/>
                <w:szCs w:val="20"/>
              </w:rPr>
              <w:t xml:space="preserve"> </w:t>
            </w:r>
            <w:r>
              <w:rPr>
                <w:rFonts w:ascii="Times New Roman" w:hAnsi="Times New Roman" w:eastAsia="Times New Roman" w:cs="Times New Roman"/>
                <w:b/>
                <w:bCs/>
                <w:spacing w:val="5"/>
                <w:sz w:val="20"/>
                <w:szCs w:val="20"/>
              </w:rPr>
              <w:t xml:space="preserve">3-8    </w:t>
            </w:r>
            <w:r>
              <w:rPr>
                <w:b/>
                <w:bCs/>
                <w:spacing w:val="5"/>
                <w:sz w:val="20"/>
                <w:szCs w:val="20"/>
              </w:rPr>
              <w:t>评价范围一览表</w:t>
            </w:r>
          </w:p>
          <w:tbl>
            <w:tblPr>
              <w:tblStyle w:val="5"/>
              <w:tblW w:w="8183" w:type="dxa"/>
              <w:tblInd w:w="1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6"/>
              <w:gridCol w:w="7137"/>
            </w:tblGrid>
            <w:tr w14:paraId="4B664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046" w:type="dxa"/>
                  <w:vAlign w:val="top"/>
                </w:tcPr>
                <w:p w14:paraId="66571A73">
                  <w:pPr>
                    <w:pStyle w:val="6"/>
                    <w:spacing w:before="58" w:line="239" w:lineRule="auto"/>
                    <w:ind w:left="425" w:right="205" w:hanging="214"/>
                    <w:rPr>
                      <w:sz w:val="20"/>
                      <w:szCs w:val="20"/>
                    </w:rPr>
                  </w:pPr>
                  <w:r>
                    <w:rPr>
                      <w:b/>
                      <w:bCs/>
                      <w:spacing w:val="5"/>
                      <w:sz w:val="20"/>
                      <w:szCs w:val="20"/>
                    </w:rPr>
                    <w:t>评价内</w:t>
                  </w:r>
                  <w:r>
                    <w:rPr>
                      <w:spacing w:val="1"/>
                      <w:sz w:val="20"/>
                      <w:szCs w:val="20"/>
                    </w:rPr>
                    <w:t xml:space="preserve"> </w:t>
                  </w:r>
                  <w:r>
                    <w:rPr>
                      <w:b/>
                      <w:bCs/>
                      <w:spacing w:val="-3"/>
                      <w:sz w:val="20"/>
                      <w:szCs w:val="20"/>
                    </w:rPr>
                    <w:t>容</w:t>
                  </w:r>
                </w:p>
              </w:tc>
              <w:tc>
                <w:tcPr>
                  <w:tcW w:w="7137" w:type="dxa"/>
                  <w:vAlign w:val="top"/>
                </w:tcPr>
                <w:p w14:paraId="35A78FF5">
                  <w:pPr>
                    <w:pStyle w:val="6"/>
                    <w:spacing w:before="191" w:line="226" w:lineRule="auto"/>
                    <w:ind w:left="3149"/>
                    <w:rPr>
                      <w:sz w:val="20"/>
                      <w:szCs w:val="20"/>
                    </w:rPr>
                  </w:pPr>
                  <w:r>
                    <w:rPr>
                      <w:b/>
                      <w:bCs/>
                      <w:spacing w:val="6"/>
                      <w:sz w:val="20"/>
                      <w:szCs w:val="20"/>
                    </w:rPr>
                    <w:t>评价范围</w:t>
                  </w:r>
                </w:p>
              </w:tc>
            </w:tr>
            <w:tr w14:paraId="10C46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046" w:type="dxa"/>
                  <w:vAlign w:val="top"/>
                </w:tcPr>
                <w:p w14:paraId="177B0F89">
                  <w:pPr>
                    <w:pStyle w:val="6"/>
                    <w:spacing w:before="52"/>
                    <w:ind w:left="423" w:right="205" w:hanging="207"/>
                    <w:rPr>
                      <w:sz w:val="20"/>
                      <w:szCs w:val="20"/>
                    </w:rPr>
                  </w:pPr>
                  <w:r>
                    <w:rPr>
                      <w:spacing w:val="6"/>
                      <w:sz w:val="20"/>
                      <w:szCs w:val="20"/>
                    </w:rPr>
                    <w:t>大气环</w:t>
                  </w:r>
                  <w:r>
                    <w:rPr>
                      <w:sz w:val="20"/>
                      <w:szCs w:val="20"/>
                    </w:rPr>
                    <w:t xml:space="preserve"> 境</w:t>
                  </w:r>
                </w:p>
              </w:tc>
              <w:tc>
                <w:tcPr>
                  <w:tcW w:w="7137" w:type="dxa"/>
                  <w:vAlign w:val="top"/>
                </w:tcPr>
                <w:p w14:paraId="27FCA556">
                  <w:pPr>
                    <w:pStyle w:val="6"/>
                    <w:spacing w:before="52" w:line="239" w:lineRule="auto"/>
                    <w:ind w:left="115" w:right="92" w:hanging="1"/>
                    <w:rPr>
                      <w:sz w:val="20"/>
                      <w:szCs w:val="20"/>
                    </w:rPr>
                  </w:pPr>
                  <w:r>
                    <w:rPr>
                      <w:spacing w:val="-6"/>
                      <w:sz w:val="20"/>
                      <w:szCs w:val="20"/>
                    </w:rPr>
                    <w:t>项目参考《建设项目环境影响报告表编制技术指南</w:t>
                  </w:r>
                  <w:r>
                    <w:rPr>
                      <w:spacing w:val="-7"/>
                      <w:sz w:val="20"/>
                      <w:szCs w:val="20"/>
                    </w:rPr>
                    <w:t>（污染影响类</w:t>
                  </w:r>
                  <w:r>
                    <w:rPr>
                      <w:spacing w:val="-31"/>
                      <w:sz w:val="20"/>
                      <w:szCs w:val="20"/>
                    </w:rPr>
                    <w:t>）（</w:t>
                  </w:r>
                  <w:r>
                    <w:rPr>
                      <w:spacing w:val="-7"/>
                      <w:sz w:val="20"/>
                      <w:szCs w:val="20"/>
                    </w:rPr>
                    <w:t>试行）》，确</w:t>
                  </w:r>
                  <w:r>
                    <w:rPr>
                      <w:spacing w:val="1"/>
                      <w:sz w:val="20"/>
                      <w:szCs w:val="20"/>
                    </w:rPr>
                    <w:t xml:space="preserve"> </w:t>
                  </w:r>
                  <w:r>
                    <w:rPr>
                      <w:spacing w:val="-6"/>
                      <w:sz w:val="20"/>
                      <w:szCs w:val="20"/>
                    </w:rPr>
                    <w:t>定项目大气环境以项目用地红线内及外延</w:t>
                  </w:r>
                  <w:r>
                    <w:rPr>
                      <w:spacing w:val="-49"/>
                      <w:sz w:val="20"/>
                      <w:szCs w:val="20"/>
                    </w:rPr>
                    <w:t xml:space="preserve"> </w:t>
                  </w:r>
                  <w:r>
                    <w:rPr>
                      <w:rFonts w:ascii="Times New Roman" w:hAnsi="Times New Roman" w:eastAsia="Times New Roman" w:cs="Times New Roman"/>
                      <w:spacing w:val="-6"/>
                      <w:sz w:val="20"/>
                      <w:szCs w:val="20"/>
                    </w:rPr>
                    <w:t>500m</w:t>
                  </w:r>
                  <w:r>
                    <w:rPr>
                      <w:rFonts w:ascii="Times New Roman" w:hAnsi="Times New Roman" w:eastAsia="Times New Roman" w:cs="Times New Roman"/>
                      <w:spacing w:val="17"/>
                      <w:sz w:val="20"/>
                      <w:szCs w:val="20"/>
                    </w:rPr>
                    <w:t xml:space="preserve"> </w:t>
                  </w:r>
                  <w:r>
                    <w:rPr>
                      <w:spacing w:val="-6"/>
                      <w:sz w:val="20"/>
                      <w:szCs w:val="20"/>
                    </w:rPr>
                    <w:t>的区域为评价范围。</w:t>
                  </w:r>
                </w:p>
              </w:tc>
            </w:tr>
            <w:tr w14:paraId="4BE9D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046" w:type="dxa"/>
                  <w:vAlign w:val="top"/>
                </w:tcPr>
                <w:p w14:paraId="003DBE70">
                  <w:pPr>
                    <w:pStyle w:val="6"/>
                    <w:spacing w:before="190" w:line="228" w:lineRule="auto"/>
                    <w:ind w:left="218"/>
                    <w:rPr>
                      <w:sz w:val="20"/>
                      <w:szCs w:val="20"/>
                    </w:rPr>
                  </w:pPr>
                  <w:r>
                    <w:rPr>
                      <w:spacing w:val="5"/>
                      <w:sz w:val="20"/>
                      <w:szCs w:val="20"/>
                    </w:rPr>
                    <w:t>声环境</w:t>
                  </w:r>
                </w:p>
              </w:tc>
              <w:tc>
                <w:tcPr>
                  <w:tcW w:w="7137" w:type="dxa"/>
                  <w:vAlign w:val="top"/>
                </w:tcPr>
                <w:p w14:paraId="707BB30E">
                  <w:pPr>
                    <w:pStyle w:val="6"/>
                    <w:spacing w:before="53" w:line="238" w:lineRule="auto"/>
                    <w:ind w:left="112" w:right="92" w:firstLine="2"/>
                    <w:rPr>
                      <w:sz w:val="20"/>
                      <w:szCs w:val="20"/>
                    </w:rPr>
                  </w:pPr>
                  <w:r>
                    <w:rPr>
                      <w:spacing w:val="-6"/>
                      <w:sz w:val="20"/>
                      <w:szCs w:val="20"/>
                    </w:rPr>
                    <w:t>项目参考《建设项目环境影响报告表编制技术指南</w:t>
                  </w:r>
                  <w:r>
                    <w:rPr>
                      <w:spacing w:val="-7"/>
                      <w:sz w:val="20"/>
                      <w:szCs w:val="20"/>
                    </w:rPr>
                    <w:t>（污染影响类</w:t>
                  </w:r>
                  <w:r>
                    <w:rPr>
                      <w:spacing w:val="-31"/>
                      <w:sz w:val="20"/>
                      <w:szCs w:val="20"/>
                    </w:rPr>
                    <w:t>）（</w:t>
                  </w:r>
                  <w:r>
                    <w:rPr>
                      <w:spacing w:val="-7"/>
                      <w:sz w:val="20"/>
                      <w:szCs w:val="20"/>
                    </w:rPr>
                    <w:t>试行）》，评</w:t>
                  </w:r>
                  <w:r>
                    <w:rPr>
                      <w:spacing w:val="1"/>
                      <w:sz w:val="20"/>
                      <w:szCs w:val="20"/>
                    </w:rPr>
                    <w:t xml:space="preserve"> </w:t>
                  </w:r>
                  <w:r>
                    <w:rPr>
                      <w:spacing w:val="-6"/>
                      <w:sz w:val="20"/>
                      <w:szCs w:val="20"/>
                    </w:rPr>
                    <w:t>价范围为项目用地红线内及外延</w:t>
                  </w:r>
                  <w:r>
                    <w:rPr>
                      <w:spacing w:val="-46"/>
                      <w:sz w:val="20"/>
                      <w:szCs w:val="20"/>
                    </w:rPr>
                    <w:t xml:space="preserve"> </w:t>
                  </w:r>
                  <w:r>
                    <w:rPr>
                      <w:rFonts w:ascii="Times New Roman" w:hAnsi="Times New Roman" w:eastAsia="Times New Roman" w:cs="Times New Roman"/>
                      <w:spacing w:val="-6"/>
                      <w:sz w:val="20"/>
                      <w:szCs w:val="20"/>
                    </w:rPr>
                    <w:t>50m</w:t>
                  </w:r>
                  <w:r>
                    <w:rPr>
                      <w:rFonts w:ascii="Times New Roman" w:hAnsi="Times New Roman" w:eastAsia="Times New Roman" w:cs="Times New Roman"/>
                      <w:spacing w:val="17"/>
                      <w:sz w:val="20"/>
                      <w:szCs w:val="20"/>
                    </w:rPr>
                    <w:t xml:space="preserve"> </w:t>
                  </w:r>
                  <w:r>
                    <w:rPr>
                      <w:spacing w:val="-6"/>
                      <w:sz w:val="20"/>
                      <w:szCs w:val="20"/>
                    </w:rPr>
                    <w:t>的区域。</w:t>
                  </w:r>
                </w:p>
              </w:tc>
            </w:tr>
            <w:tr w14:paraId="213CD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046" w:type="dxa"/>
                  <w:vAlign w:val="top"/>
                </w:tcPr>
                <w:p w14:paraId="1D4F3737">
                  <w:pPr>
                    <w:pStyle w:val="6"/>
                    <w:spacing w:before="55" w:line="239" w:lineRule="auto"/>
                    <w:ind w:left="319" w:right="205" w:hanging="105"/>
                    <w:rPr>
                      <w:sz w:val="20"/>
                      <w:szCs w:val="20"/>
                    </w:rPr>
                  </w:pPr>
                  <w:r>
                    <w:rPr>
                      <w:spacing w:val="6"/>
                      <w:sz w:val="20"/>
                      <w:szCs w:val="20"/>
                    </w:rPr>
                    <w:t>地表水</w:t>
                  </w:r>
                  <w:r>
                    <w:rPr>
                      <w:spacing w:val="1"/>
                      <w:sz w:val="20"/>
                      <w:szCs w:val="20"/>
                    </w:rPr>
                    <w:t xml:space="preserve"> </w:t>
                  </w:r>
                  <w:r>
                    <w:rPr>
                      <w:spacing w:val="4"/>
                      <w:sz w:val="20"/>
                      <w:szCs w:val="20"/>
                    </w:rPr>
                    <w:t>环境</w:t>
                  </w:r>
                </w:p>
              </w:tc>
              <w:tc>
                <w:tcPr>
                  <w:tcW w:w="7137" w:type="dxa"/>
                  <w:vAlign w:val="top"/>
                </w:tcPr>
                <w:p w14:paraId="50A1AD9A">
                  <w:pPr>
                    <w:pStyle w:val="6"/>
                    <w:spacing w:before="55" w:line="238" w:lineRule="auto"/>
                    <w:ind w:left="114" w:right="138" w:hanging="3"/>
                    <w:rPr>
                      <w:sz w:val="20"/>
                      <w:szCs w:val="20"/>
                    </w:rPr>
                  </w:pPr>
                  <w:r>
                    <w:rPr>
                      <w:spacing w:val="-4"/>
                      <w:sz w:val="20"/>
                      <w:szCs w:val="20"/>
                    </w:rPr>
                    <w:t>根据《环境影响评价技术导则 地表水环境》（</w:t>
                  </w:r>
                  <w:r>
                    <w:rPr>
                      <w:rFonts w:ascii="Times New Roman" w:hAnsi="Times New Roman" w:eastAsia="Times New Roman" w:cs="Times New Roman"/>
                      <w:spacing w:val="-4"/>
                      <w:sz w:val="20"/>
                      <w:szCs w:val="20"/>
                    </w:rPr>
                    <w:t>HJ2.3-2018</w:t>
                  </w:r>
                  <w:r>
                    <w:rPr>
                      <w:spacing w:val="-2"/>
                      <w:sz w:val="20"/>
                      <w:szCs w:val="20"/>
                    </w:rPr>
                    <w:t>），</w:t>
                  </w:r>
                  <w:r>
                    <w:rPr>
                      <w:spacing w:val="-4"/>
                      <w:sz w:val="20"/>
                      <w:szCs w:val="20"/>
                    </w:rPr>
                    <w:t>项目废水不外排，</w:t>
                  </w:r>
                  <w:r>
                    <w:rPr>
                      <w:spacing w:val="1"/>
                      <w:sz w:val="20"/>
                      <w:szCs w:val="20"/>
                    </w:rPr>
                    <w:t xml:space="preserve"> </w:t>
                  </w:r>
                  <w:r>
                    <w:rPr>
                      <w:spacing w:val="9"/>
                      <w:sz w:val="20"/>
                      <w:szCs w:val="20"/>
                    </w:rPr>
                    <w:t>不设置地表水评价范围，重点评价废水不外排的可行性</w:t>
                  </w:r>
                </w:p>
              </w:tc>
            </w:tr>
            <w:tr w14:paraId="79F70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1046" w:type="dxa"/>
                  <w:vAlign w:val="top"/>
                </w:tcPr>
                <w:p w14:paraId="0BCB520B">
                  <w:pPr>
                    <w:pStyle w:val="6"/>
                    <w:spacing w:before="200" w:line="239" w:lineRule="auto"/>
                    <w:ind w:left="423" w:right="205" w:hanging="207"/>
                    <w:rPr>
                      <w:sz w:val="20"/>
                      <w:szCs w:val="20"/>
                    </w:rPr>
                  </w:pPr>
                  <w:r>
                    <w:rPr>
                      <w:spacing w:val="6"/>
                      <w:sz w:val="20"/>
                      <w:szCs w:val="20"/>
                    </w:rPr>
                    <w:t>生态环</w:t>
                  </w:r>
                  <w:r>
                    <w:rPr>
                      <w:sz w:val="20"/>
                      <w:szCs w:val="20"/>
                    </w:rPr>
                    <w:t xml:space="preserve"> 境</w:t>
                  </w:r>
                </w:p>
              </w:tc>
              <w:tc>
                <w:tcPr>
                  <w:tcW w:w="7137" w:type="dxa"/>
                  <w:vAlign w:val="top"/>
                </w:tcPr>
                <w:p w14:paraId="3BF1FAF2">
                  <w:pPr>
                    <w:pStyle w:val="6"/>
                    <w:spacing w:before="60" w:line="244" w:lineRule="auto"/>
                    <w:ind w:left="116" w:right="116" w:hanging="5"/>
                    <w:jc w:val="both"/>
                    <w:rPr>
                      <w:sz w:val="20"/>
                      <w:szCs w:val="20"/>
                    </w:rPr>
                  </w:pPr>
                  <w:r>
                    <w:rPr>
                      <w:spacing w:val="-2"/>
                      <w:sz w:val="20"/>
                      <w:szCs w:val="20"/>
                    </w:rPr>
                    <w:t>根据《环境影响评价技术导则 生态环境》（</w:t>
                  </w:r>
                  <w:r>
                    <w:rPr>
                      <w:rFonts w:ascii="Times New Roman" w:hAnsi="Times New Roman" w:eastAsia="Times New Roman" w:cs="Times New Roman"/>
                      <w:spacing w:val="-2"/>
                      <w:sz w:val="20"/>
                      <w:szCs w:val="20"/>
                    </w:rPr>
                    <w:t>HJ19-2022</w:t>
                  </w:r>
                  <w:r>
                    <w:rPr>
                      <w:spacing w:val="-2"/>
                      <w:sz w:val="20"/>
                      <w:szCs w:val="20"/>
                    </w:rPr>
                    <w:t>）和《环境</w:t>
                  </w:r>
                  <w:r>
                    <w:rPr>
                      <w:spacing w:val="-3"/>
                      <w:sz w:val="20"/>
                      <w:szCs w:val="20"/>
                    </w:rPr>
                    <w:t>影响评价技术</w:t>
                  </w:r>
                  <w:r>
                    <w:rPr>
                      <w:sz w:val="20"/>
                      <w:szCs w:val="20"/>
                    </w:rPr>
                    <w:t xml:space="preserve"> </w:t>
                  </w:r>
                  <w:r>
                    <w:rPr>
                      <w:spacing w:val="6"/>
                      <w:sz w:val="20"/>
                      <w:szCs w:val="20"/>
                    </w:rPr>
                    <w:t>导则 输变电》（</w:t>
                  </w:r>
                  <w:r>
                    <w:rPr>
                      <w:rFonts w:ascii="Times New Roman" w:hAnsi="Times New Roman" w:eastAsia="Times New Roman" w:cs="Times New Roman"/>
                      <w:sz w:val="20"/>
                      <w:szCs w:val="20"/>
                    </w:rPr>
                    <w:t>HJ</w:t>
                  </w:r>
                  <w:r>
                    <w:rPr>
                      <w:rFonts w:ascii="Times New Roman" w:hAnsi="Times New Roman" w:eastAsia="Times New Roman" w:cs="Times New Roman"/>
                      <w:spacing w:val="6"/>
                      <w:sz w:val="20"/>
                      <w:szCs w:val="20"/>
                    </w:rPr>
                    <w:t>24-2020</w:t>
                  </w:r>
                  <w:r>
                    <w:rPr>
                      <w:spacing w:val="6"/>
                      <w:sz w:val="20"/>
                      <w:szCs w:val="20"/>
                    </w:rPr>
                    <w:t>），评价范围为光伏阵列区、集电线路用地红线</w:t>
                  </w:r>
                  <w:r>
                    <w:rPr>
                      <w:sz w:val="20"/>
                      <w:szCs w:val="20"/>
                    </w:rPr>
                    <w:t xml:space="preserve">  </w:t>
                  </w:r>
                  <w:r>
                    <w:rPr>
                      <w:spacing w:val="6"/>
                      <w:sz w:val="20"/>
                      <w:szCs w:val="20"/>
                    </w:rPr>
                    <w:t>范围内及外延</w:t>
                  </w:r>
                  <w:r>
                    <w:rPr>
                      <w:spacing w:val="-21"/>
                      <w:sz w:val="20"/>
                      <w:szCs w:val="20"/>
                    </w:rPr>
                    <w:t xml:space="preserve"> </w:t>
                  </w:r>
                  <w:r>
                    <w:rPr>
                      <w:rFonts w:ascii="Times New Roman" w:hAnsi="Times New Roman" w:eastAsia="Times New Roman" w:cs="Times New Roman"/>
                      <w:spacing w:val="6"/>
                      <w:sz w:val="20"/>
                      <w:szCs w:val="20"/>
                    </w:rPr>
                    <w:t>300m</w:t>
                  </w:r>
                  <w:r>
                    <w:rPr>
                      <w:rFonts w:ascii="Times New Roman" w:hAnsi="Times New Roman" w:eastAsia="Times New Roman" w:cs="Times New Roman"/>
                      <w:spacing w:val="26"/>
                      <w:w w:val="101"/>
                      <w:sz w:val="20"/>
                      <w:szCs w:val="20"/>
                    </w:rPr>
                    <w:t xml:space="preserve"> </w:t>
                  </w:r>
                  <w:r>
                    <w:rPr>
                      <w:spacing w:val="6"/>
                      <w:sz w:val="20"/>
                      <w:szCs w:val="20"/>
                    </w:rPr>
                    <w:t>的区域；升压站用地红线范围内及外延</w:t>
                  </w:r>
                  <w:r>
                    <w:rPr>
                      <w:spacing w:val="-38"/>
                      <w:sz w:val="20"/>
                      <w:szCs w:val="20"/>
                    </w:rPr>
                    <w:t xml:space="preserve"> </w:t>
                  </w:r>
                  <w:r>
                    <w:rPr>
                      <w:rFonts w:ascii="Times New Roman" w:hAnsi="Times New Roman" w:eastAsia="Times New Roman" w:cs="Times New Roman"/>
                      <w:spacing w:val="6"/>
                      <w:sz w:val="20"/>
                      <w:szCs w:val="20"/>
                    </w:rPr>
                    <w:t>500m</w:t>
                  </w:r>
                  <w:r>
                    <w:rPr>
                      <w:rFonts w:ascii="Times New Roman" w:hAnsi="Times New Roman" w:eastAsia="Times New Roman" w:cs="Times New Roman"/>
                      <w:spacing w:val="27"/>
                      <w:sz w:val="20"/>
                      <w:szCs w:val="20"/>
                    </w:rPr>
                    <w:t xml:space="preserve"> </w:t>
                  </w:r>
                  <w:r>
                    <w:rPr>
                      <w:spacing w:val="6"/>
                      <w:sz w:val="20"/>
                      <w:szCs w:val="20"/>
                    </w:rPr>
                    <w:t>的区域</w:t>
                  </w:r>
                </w:p>
              </w:tc>
            </w:tr>
            <w:tr w14:paraId="1064C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046" w:type="dxa"/>
                  <w:vAlign w:val="top"/>
                </w:tcPr>
                <w:p w14:paraId="202CC4D2">
                  <w:pPr>
                    <w:pStyle w:val="6"/>
                    <w:spacing w:before="56" w:line="239" w:lineRule="auto"/>
                    <w:ind w:left="319" w:right="205" w:hanging="105"/>
                    <w:rPr>
                      <w:sz w:val="20"/>
                      <w:szCs w:val="20"/>
                    </w:rPr>
                  </w:pPr>
                  <w:r>
                    <w:rPr>
                      <w:spacing w:val="6"/>
                      <w:sz w:val="20"/>
                      <w:szCs w:val="20"/>
                    </w:rPr>
                    <w:t>地下水</w:t>
                  </w:r>
                  <w:r>
                    <w:rPr>
                      <w:spacing w:val="1"/>
                      <w:sz w:val="20"/>
                      <w:szCs w:val="20"/>
                    </w:rPr>
                    <w:t xml:space="preserve"> </w:t>
                  </w:r>
                  <w:r>
                    <w:rPr>
                      <w:spacing w:val="4"/>
                      <w:sz w:val="20"/>
                      <w:szCs w:val="20"/>
                    </w:rPr>
                    <w:t>环境</w:t>
                  </w:r>
                </w:p>
              </w:tc>
              <w:tc>
                <w:tcPr>
                  <w:tcW w:w="7137" w:type="dxa"/>
                  <w:vAlign w:val="top"/>
                </w:tcPr>
                <w:p w14:paraId="7DCF8D7F">
                  <w:pPr>
                    <w:pStyle w:val="6"/>
                    <w:spacing w:before="56" w:line="238" w:lineRule="auto"/>
                    <w:ind w:left="111" w:right="111"/>
                    <w:rPr>
                      <w:sz w:val="20"/>
                      <w:szCs w:val="20"/>
                    </w:rPr>
                  </w:pPr>
                  <w:r>
                    <w:rPr>
                      <w:spacing w:val="-3"/>
                      <w:sz w:val="20"/>
                      <w:szCs w:val="20"/>
                    </w:rPr>
                    <w:t>根据《环境影响评价技术导则 地下水环境》</w:t>
                  </w:r>
                  <w:r>
                    <w:rPr>
                      <w:spacing w:val="-4"/>
                      <w:sz w:val="20"/>
                      <w:szCs w:val="20"/>
                    </w:rPr>
                    <w:t>（</w:t>
                  </w:r>
                  <w:r>
                    <w:rPr>
                      <w:rFonts w:ascii="Times New Roman" w:hAnsi="Times New Roman" w:eastAsia="Times New Roman" w:cs="Times New Roman"/>
                      <w:spacing w:val="-4"/>
                      <w:sz w:val="20"/>
                      <w:szCs w:val="20"/>
                    </w:rPr>
                    <w:t>HJ610-2016</w:t>
                  </w:r>
                  <w:r>
                    <w:rPr>
                      <w:spacing w:val="-23"/>
                      <w:sz w:val="20"/>
                      <w:szCs w:val="20"/>
                    </w:rPr>
                    <w:t>），</w:t>
                  </w:r>
                  <w:r>
                    <w:rPr>
                      <w:spacing w:val="-4"/>
                      <w:sz w:val="20"/>
                      <w:szCs w:val="20"/>
                    </w:rPr>
                    <w:t>地下水环境影响评</w:t>
                  </w:r>
                  <w:r>
                    <w:rPr>
                      <w:sz w:val="20"/>
                      <w:szCs w:val="20"/>
                    </w:rPr>
                    <w:t xml:space="preserve"> </w:t>
                  </w:r>
                  <w:r>
                    <w:rPr>
                      <w:spacing w:val="9"/>
                      <w:sz w:val="20"/>
                      <w:szCs w:val="20"/>
                    </w:rPr>
                    <w:t>价项目类别为</w:t>
                  </w:r>
                  <w:r>
                    <w:rPr>
                      <w:rFonts w:ascii="Times New Roman" w:hAnsi="Times New Roman" w:eastAsia="Times New Roman" w:cs="Times New Roman"/>
                      <w:spacing w:val="9"/>
                      <w:sz w:val="20"/>
                      <w:szCs w:val="20"/>
                    </w:rPr>
                    <w:t>Ⅳ</w:t>
                  </w:r>
                  <w:r>
                    <w:rPr>
                      <w:spacing w:val="9"/>
                      <w:sz w:val="20"/>
                      <w:szCs w:val="20"/>
                    </w:rPr>
                    <w:t>类，</w:t>
                  </w:r>
                  <w:r>
                    <w:rPr>
                      <w:rFonts w:ascii="Times New Roman" w:hAnsi="Times New Roman" w:eastAsia="Times New Roman" w:cs="Times New Roman"/>
                      <w:spacing w:val="9"/>
                      <w:sz w:val="20"/>
                      <w:szCs w:val="20"/>
                    </w:rPr>
                    <w:t>Ⅳ</w:t>
                  </w:r>
                  <w:r>
                    <w:rPr>
                      <w:spacing w:val="9"/>
                      <w:sz w:val="20"/>
                      <w:szCs w:val="20"/>
                    </w:rPr>
                    <w:t>类项目不开展地下水环境影响评价。</w:t>
                  </w:r>
                </w:p>
              </w:tc>
            </w:tr>
            <w:tr w14:paraId="522ED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46" w:type="dxa"/>
                  <w:vAlign w:val="top"/>
                </w:tcPr>
                <w:p w14:paraId="44F35B1F">
                  <w:pPr>
                    <w:pStyle w:val="6"/>
                    <w:spacing w:before="63" w:line="239" w:lineRule="auto"/>
                    <w:ind w:left="423" w:right="205" w:hanging="208"/>
                    <w:rPr>
                      <w:sz w:val="20"/>
                      <w:szCs w:val="20"/>
                    </w:rPr>
                  </w:pPr>
                  <w:r>
                    <w:rPr>
                      <w:spacing w:val="6"/>
                      <w:sz w:val="20"/>
                      <w:szCs w:val="20"/>
                    </w:rPr>
                    <w:t>土壤环</w:t>
                  </w:r>
                  <w:r>
                    <w:rPr>
                      <w:sz w:val="20"/>
                      <w:szCs w:val="20"/>
                    </w:rPr>
                    <w:t xml:space="preserve"> 境</w:t>
                  </w:r>
                </w:p>
              </w:tc>
              <w:tc>
                <w:tcPr>
                  <w:tcW w:w="7137" w:type="dxa"/>
                  <w:vAlign w:val="top"/>
                </w:tcPr>
                <w:p w14:paraId="433D3884">
                  <w:pPr>
                    <w:pStyle w:val="6"/>
                    <w:spacing w:before="62" w:line="238" w:lineRule="auto"/>
                    <w:ind w:left="111" w:right="109"/>
                    <w:rPr>
                      <w:sz w:val="20"/>
                      <w:szCs w:val="20"/>
                    </w:rPr>
                  </w:pPr>
                  <w:r>
                    <w:rPr>
                      <w:spacing w:val="-4"/>
                      <w:sz w:val="20"/>
                      <w:szCs w:val="20"/>
                    </w:rPr>
                    <w:t>根据《环境影响评价技术导则 土壤环境（试行）》（</w:t>
                  </w:r>
                  <w:r>
                    <w:rPr>
                      <w:rFonts w:ascii="Times New Roman" w:hAnsi="Times New Roman" w:eastAsia="Times New Roman" w:cs="Times New Roman"/>
                      <w:spacing w:val="-4"/>
                      <w:sz w:val="20"/>
                      <w:szCs w:val="20"/>
                    </w:rPr>
                    <w:t>HJ964-2018</w:t>
                  </w:r>
                  <w:r>
                    <w:rPr>
                      <w:spacing w:val="-10"/>
                      <w:sz w:val="20"/>
                      <w:szCs w:val="20"/>
                    </w:rPr>
                    <w:t>），</w:t>
                  </w:r>
                  <w:r>
                    <w:rPr>
                      <w:spacing w:val="-4"/>
                      <w:sz w:val="20"/>
                      <w:szCs w:val="20"/>
                    </w:rPr>
                    <w:t>土壤</w:t>
                  </w:r>
                  <w:r>
                    <w:rPr>
                      <w:spacing w:val="-5"/>
                      <w:sz w:val="20"/>
                      <w:szCs w:val="20"/>
                    </w:rPr>
                    <w:t>环境评</w:t>
                  </w:r>
                  <w:r>
                    <w:rPr>
                      <w:sz w:val="20"/>
                      <w:szCs w:val="20"/>
                    </w:rPr>
                    <w:t xml:space="preserve"> </w:t>
                  </w:r>
                  <w:r>
                    <w:rPr>
                      <w:spacing w:val="9"/>
                      <w:sz w:val="20"/>
                      <w:szCs w:val="20"/>
                    </w:rPr>
                    <w:t>价项目类别为</w:t>
                  </w:r>
                  <w:r>
                    <w:rPr>
                      <w:rFonts w:ascii="Times New Roman" w:hAnsi="Times New Roman" w:eastAsia="Times New Roman" w:cs="Times New Roman"/>
                      <w:spacing w:val="9"/>
                      <w:sz w:val="20"/>
                      <w:szCs w:val="20"/>
                    </w:rPr>
                    <w:t>Ⅳ</w:t>
                  </w:r>
                  <w:r>
                    <w:rPr>
                      <w:spacing w:val="9"/>
                      <w:sz w:val="20"/>
                      <w:szCs w:val="20"/>
                    </w:rPr>
                    <w:t>类，</w:t>
                  </w:r>
                  <w:r>
                    <w:rPr>
                      <w:rFonts w:ascii="Times New Roman" w:hAnsi="Times New Roman" w:eastAsia="Times New Roman" w:cs="Times New Roman"/>
                      <w:spacing w:val="9"/>
                      <w:sz w:val="20"/>
                      <w:szCs w:val="20"/>
                    </w:rPr>
                    <w:t>Ⅳ</w:t>
                  </w:r>
                  <w:r>
                    <w:rPr>
                      <w:spacing w:val="9"/>
                      <w:sz w:val="20"/>
                      <w:szCs w:val="20"/>
                    </w:rPr>
                    <w:t>类项目可不开展土壤环境影响评价。</w:t>
                  </w:r>
                </w:p>
              </w:tc>
            </w:tr>
          </w:tbl>
          <w:p w14:paraId="191171A0">
            <w:pPr>
              <w:pStyle w:val="6"/>
              <w:spacing w:before="36" w:line="220" w:lineRule="auto"/>
              <w:ind w:left="639"/>
            </w:pPr>
            <w:r>
              <w:rPr>
                <w:rFonts w:ascii="Times New Roman" w:hAnsi="Times New Roman" w:eastAsia="Times New Roman" w:cs="Times New Roman"/>
                <w:b/>
                <w:bCs/>
                <w:spacing w:val="-5"/>
              </w:rPr>
              <w:t>2</w:t>
            </w:r>
            <w:r>
              <w:rPr>
                <w:rFonts w:ascii="Times New Roman" w:hAnsi="Times New Roman" w:eastAsia="Times New Roman" w:cs="Times New Roman"/>
                <w:b/>
                <w:bCs/>
                <w:spacing w:val="-33"/>
              </w:rPr>
              <w:t xml:space="preserve"> </w:t>
            </w:r>
            <w:r>
              <w:rPr>
                <w:b/>
                <w:bCs/>
                <w:spacing w:val="-5"/>
              </w:rPr>
              <w:t>、项目环境保护目标</w:t>
            </w:r>
          </w:p>
          <w:p w14:paraId="5C2D7BAE">
            <w:pPr>
              <w:pStyle w:val="6"/>
              <w:spacing w:before="179" w:line="346" w:lineRule="auto"/>
              <w:ind w:left="164" w:right="40" w:firstLine="479"/>
            </w:pPr>
            <w:r>
              <w:rPr>
                <w:spacing w:val="-5"/>
              </w:rPr>
              <w:t>本项目不涉及自然保护区、风景名胜区、饮用水水源保护区等环境敏感区，</w:t>
            </w:r>
            <w:r>
              <w:t xml:space="preserve"> </w:t>
            </w:r>
            <w:r>
              <w:rPr>
                <w:spacing w:val="-1"/>
              </w:rPr>
              <w:t>主要生态环境保护目标为评价区植被植物、陆生脊椎动物等。</w:t>
            </w:r>
          </w:p>
          <w:p w14:paraId="7FCF5307">
            <w:pPr>
              <w:pStyle w:val="6"/>
              <w:spacing w:before="34" w:line="220" w:lineRule="auto"/>
              <w:ind w:left="654"/>
            </w:pPr>
            <w:r>
              <w:rPr>
                <w:b/>
                <w:bCs/>
                <w:spacing w:val="-4"/>
              </w:rPr>
              <w:t>（</w:t>
            </w:r>
            <w:r>
              <w:rPr>
                <w:rFonts w:ascii="Times New Roman" w:hAnsi="Times New Roman" w:eastAsia="Times New Roman" w:cs="Times New Roman"/>
                <w:b/>
                <w:bCs/>
                <w:spacing w:val="-4"/>
              </w:rPr>
              <w:t>1</w:t>
            </w:r>
            <w:r>
              <w:rPr>
                <w:b/>
                <w:bCs/>
                <w:spacing w:val="-4"/>
              </w:rPr>
              <w:t>）环境空气保护目标</w:t>
            </w:r>
          </w:p>
          <w:p w14:paraId="2AD455E3">
            <w:pPr>
              <w:pStyle w:val="6"/>
              <w:spacing w:before="182" w:line="219" w:lineRule="auto"/>
              <w:ind w:left="646"/>
            </w:pPr>
            <w:r>
              <w:rPr>
                <w:spacing w:val="-1"/>
              </w:rPr>
              <w:t>项目光伏区</w:t>
            </w:r>
            <w:r>
              <w:rPr>
                <w:spacing w:val="-49"/>
              </w:rPr>
              <w:t xml:space="preserve"> </w:t>
            </w:r>
            <w:r>
              <w:rPr>
                <w:rFonts w:ascii="Times New Roman" w:hAnsi="Times New Roman" w:eastAsia="Times New Roman" w:cs="Times New Roman"/>
                <w:spacing w:val="-1"/>
              </w:rPr>
              <w:t xml:space="preserve">500m </w:t>
            </w:r>
            <w:r>
              <w:rPr>
                <w:spacing w:val="-1"/>
              </w:rPr>
              <w:t>范围内环境空气保护目标如下表所示。</w:t>
            </w:r>
          </w:p>
          <w:p w14:paraId="17B6C777">
            <w:pPr>
              <w:pStyle w:val="6"/>
              <w:spacing w:before="179" w:line="222" w:lineRule="auto"/>
              <w:ind w:left="2505"/>
              <w:rPr>
                <w:sz w:val="20"/>
                <w:szCs w:val="20"/>
              </w:rPr>
            </w:pPr>
            <w:r>
              <w:rPr>
                <w:b/>
                <w:bCs/>
                <w:spacing w:val="6"/>
                <w:sz w:val="20"/>
                <w:szCs w:val="20"/>
              </w:rPr>
              <w:t>表</w:t>
            </w:r>
            <w:r>
              <w:rPr>
                <w:spacing w:val="-39"/>
                <w:sz w:val="20"/>
                <w:szCs w:val="20"/>
              </w:rPr>
              <w:t xml:space="preserve"> </w:t>
            </w:r>
            <w:r>
              <w:rPr>
                <w:rFonts w:ascii="Times New Roman" w:hAnsi="Times New Roman" w:eastAsia="Times New Roman" w:cs="Times New Roman"/>
                <w:b/>
                <w:bCs/>
                <w:spacing w:val="6"/>
                <w:sz w:val="20"/>
                <w:szCs w:val="20"/>
              </w:rPr>
              <w:t xml:space="preserve">3-9    </w:t>
            </w:r>
            <w:r>
              <w:rPr>
                <w:b/>
                <w:bCs/>
                <w:spacing w:val="6"/>
                <w:sz w:val="20"/>
                <w:szCs w:val="20"/>
              </w:rPr>
              <w:t>项目大气环境保护目标一览表</w:t>
            </w:r>
          </w:p>
          <w:tbl>
            <w:tblPr>
              <w:tblStyle w:val="5"/>
              <w:tblW w:w="8178" w:type="dxa"/>
              <w:tblInd w:w="1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99"/>
              <w:gridCol w:w="634"/>
              <w:gridCol w:w="998"/>
              <w:gridCol w:w="1084"/>
              <w:gridCol w:w="1181"/>
              <w:gridCol w:w="2716"/>
              <w:gridCol w:w="492"/>
            </w:tblGrid>
            <w:tr w14:paraId="51444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74" w:type="dxa"/>
                  <w:vMerge w:val="restart"/>
                  <w:tcBorders>
                    <w:bottom w:val="nil"/>
                  </w:tcBorders>
                  <w:vAlign w:val="top"/>
                </w:tcPr>
                <w:p w14:paraId="680220F4">
                  <w:pPr>
                    <w:pStyle w:val="6"/>
                    <w:spacing w:before="76" w:line="275" w:lineRule="auto"/>
                    <w:ind w:left="136" w:right="77" w:hanging="39"/>
                    <w:rPr>
                      <w:sz w:val="20"/>
                      <w:szCs w:val="20"/>
                    </w:rPr>
                  </w:pPr>
                  <w:r>
                    <w:rPr>
                      <w:b/>
                      <w:bCs/>
                      <w:spacing w:val="-5"/>
                      <w:sz w:val="20"/>
                      <w:szCs w:val="20"/>
                    </w:rPr>
                    <w:t>保护</w:t>
                  </w:r>
                  <w:r>
                    <w:rPr>
                      <w:sz w:val="20"/>
                      <w:szCs w:val="20"/>
                    </w:rPr>
                    <w:t xml:space="preserve"> </w:t>
                  </w:r>
                  <w:r>
                    <w:rPr>
                      <w:b/>
                      <w:bCs/>
                      <w:spacing w:val="-25"/>
                      <w:sz w:val="20"/>
                      <w:szCs w:val="20"/>
                    </w:rPr>
                    <w:t>目标</w:t>
                  </w:r>
                </w:p>
              </w:tc>
              <w:tc>
                <w:tcPr>
                  <w:tcW w:w="499" w:type="dxa"/>
                  <w:vMerge w:val="restart"/>
                  <w:tcBorders>
                    <w:bottom w:val="nil"/>
                  </w:tcBorders>
                  <w:vAlign w:val="top"/>
                </w:tcPr>
                <w:p w14:paraId="1E654916">
                  <w:pPr>
                    <w:pStyle w:val="6"/>
                    <w:spacing w:before="76" w:line="275" w:lineRule="auto"/>
                    <w:ind w:left="82" w:right="40" w:hanging="24"/>
                    <w:rPr>
                      <w:sz w:val="20"/>
                      <w:szCs w:val="20"/>
                    </w:rPr>
                  </w:pPr>
                  <w:r>
                    <w:rPr>
                      <w:b/>
                      <w:bCs/>
                      <w:spacing w:val="-5"/>
                      <w:sz w:val="20"/>
                      <w:szCs w:val="20"/>
                    </w:rPr>
                    <w:t>保护</w:t>
                  </w:r>
                  <w:r>
                    <w:rPr>
                      <w:sz w:val="20"/>
                      <w:szCs w:val="20"/>
                    </w:rPr>
                    <w:t xml:space="preserve"> </w:t>
                  </w:r>
                  <w:r>
                    <w:rPr>
                      <w:b/>
                      <w:bCs/>
                      <w:spacing w:val="-18"/>
                      <w:sz w:val="20"/>
                      <w:szCs w:val="20"/>
                    </w:rPr>
                    <w:t>内容</w:t>
                  </w:r>
                </w:p>
              </w:tc>
              <w:tc>
                <w:tcPr>
                  <w:tcW w:w="634" w:type="dxa"/>
                  <w:vMerge w:val="restart"/>
                  <w:tcBorders>
                    <w:bottom w:val="nil"/>
                  </w:tcBorders>
                  <w:vAlign w:val="top"/>
                </w:tcPr>
                <w:p w14:paraId="33A45B3A">
                  <w:pPr>
                    <w:pStyle w:val="6"/>
                    <w:spacing w:before="235" w:line="227" w:lineRule="auto"/>
                    <w:ind w:left="126"/>
                    <w:rPr>
                      <w:sz w:val="20"/>
                      <w:szCs w:val="20"/>
                    </w:rPr>
                  </w:pPr>
                  <w:r>
                    <w:rPr>
                      <w:b/>
                      <w:bCs/>
                      <w:spacing w:val="-3"/>
                      <w:sz w:val="20"/>
                      <w:szCs w:val="20"/>
                    </w:rPr>
                    <w:t>规模</w:t>
                  </w:r>
                </w:p>
              </w:tc>
              <w:tc>
                <w:tcPr>
                  <w:tcW w:w="2082" w:type="dxa"/>
                  <w:gridSpan w:val="2"/>
                  <w:vAlign w:val="top"/>
                </w:tcPr>
                <w:p w14:paraId="00F8C9BF">
                  <w:pPr>
                    <w:pStyle w:val="6"/>
                    <w:spacing w:before="58" w:line="228" w:lineRule="auto"/>
                    <w:ind w:left="850"/>
                    <w:rPr>
                      <w:sz w:val="20"/>
                      <w:szCs w:val="20"/>
                    </w:rPr>
                  </w:pPr>
                  <w:r>
                    <w:rPr>
                      <w:b/>
                      <w:bCs/>
                      <w:spacing w:val="-3"/>
                      <w:sz w:val="20"/>
                      <w:szCs w:val="20"/>
                    </w:rPr>
                    <w:t>坐标</w:t>
                  </w:r>
                </w:p>
              </w:tc>
              <w:tc>
                <w:tcPr>
                  <w:tcW w:w="1181" w:type="dxa"/>
                  <w:vMerge w:val="restart"/>
                  <w:tcBorders>
                    <w:bottom w:val="nil"/>
                  </w:tcBorders>
                  <w:vAlign w:val="top"/>
                </w:tcPr>
                <w:p w14:paraId="65722CEB">
                  <w:pPr>
                    <w:pStyle w:val="6"/>
                    <w:spacing w:before="76" w:line="275" w:lineRule="auto"/>
                    <w:ind w:left="107" w:right="79" w:firstLine="2"/>
                    <w:rPr>
                      <w:rFonts w:ascii="Times New Roman" w:hAnsi="Times New Roman" w:eastAsia="Times New Roman" w:cs="Times New Roman"/>
                      <w:sz w:val="20"/>
                      <w:szCs w:val="20"/>
                    </w:rPr>
                  </w:pPr>
                  <w:r>
                    <w:rPr>
                      <w:b/>
                      <w:bCs/>
                      <w:spacing w:val="-7"/>
                      <w:sz w:val="20"/>
                      <w:szCs w:val="20"/>
                    </w:rPr>
                    <w:t>方位与距离</w:t>
                  </w:r>
                  <w:r>
                    <w:rPr>
                      <w:spacing w:val="3"/>
                      <w:sz w:val="20"/>
                      <w:szCs w:val="20"/>
                    </w:rPr>
                    <w:t xml:space="preserve"> </w:t>
                  </w:r>
                  <w:r>
                    <w:rPr>
                      <w:b/>
                      <w:bCs/>
                      <w:spacing w:val="-7"/>
                      <w:sz w:val="20"/>
                      <w:szCs w:val="20"/>
                    </w:rPr>
                    <w:t>（高差）</w:t>
                  </w:r>
                  <w:r>
                    <w:rPr>
                      <w:rFonts w:ascii="Times New Roman" w:hAnsi="Times New Roman" w:eastAsia="Times New Roman" w:cs="Times New Roman"/>
                      <w:b/>
                      <w:bCs/>
                      <w:spacing w:val="-7"/>
                      <w:sz w:val="20"/>
                      <w:szCs w:val="20"/>
                    </w:rPr>
                    <w:t>/m</w:t>
                  </w:r>
                </w:p>
              </w:tc>
              <w:tc>
                <w:tcPr>
                  <w:tcW w:w="2716" w:type="dxa"/>
                  <w:vMerge w:val="restart"/>
                  <w:tcBorders>
                    <w:bottom w:val="nil"/>
                  </w:tcBorders>
                  <w:vAlign w:val="top"/>
                </w:tcPr>
                <w:p w14:paraId="19FE5E2F">
                  <w:pPr>
                    <w:pStyle w:val="6"/>
                    <w:spacing w:before="235" w:line="228" w:lineRule="auto"/>
                    <w:ind w:left="781"/>
                    <w:rPr>
                      <w:sz w:val="20"/>
                      <w:szCs w:val="20"/>
                    </w:rPr>
                  </w:pPr>
                  <w:r>
                    <w:rPr>
                      <w:b/>
                      <w:bCs/>
                      <w:spacing w:val="-6"/>
                      <w:sz w:val="20"/>
                      <w:szCs w:val="20"/>
                    </w:rPr>
                    <w:t>位置关系图示</w:t>
                  </w:r>
                </w:p>
              </w:tc>
              <w:tc>
                <w:tcPr>
                  <w:tcW w:w="492" w:type="dxa"/>
                  <w:vMerge w:val="restart"/>
                  <w:tcBorders>
                    <w:bottom w:val="nil"/>
                  </w:tcBorders>
                  <w:vAlign w:val="top"/>
                </w:tcPr>
                <w:p w14:paraId="6F3D5FCD">
                  <w:pPr>
                    <w:pStyle w:val="6"/>
                    <w:spacing w:before="76" w:line="275" w:lineRule="auto"/>
                    <w:ind w:left="59" w:right="34" w:hanging="2"/>
                    <w:rPr>
                      <w:sz w:val="20"/>
                      <w:szCs w:val="20"/>
                    </w:rPr>
                  </w:pPr>
                  <w:r>
                    <w:rPr>
                      <w:b/>
                      <w:bCs/>
                      <w:spacing w:val="-5"/>
                      <w:sz w:val="20"/>
                      <w:szCs w:val="20"/>
                    </w:rPr>
                    <w:t>保护</w:t>
                  </w:r>
                  <w:r>
                    <w:rPr>
                      <w:sz w:val="20"/>
                      <w:szCs w:val="20"/>
                    </w:rPr>
                    <w:t xml:space="preserve"> </w:t>
                  </w:r>
                  <w:r>
                    <w:rPr>
                      <w:b/>
                      <w:bCs/>
                      <w:spacing w:val="-7"/>
                      <w:sz w:val="20"/>
                      <w:szCs w:val="20"/>
                    </w:rPr>
                    <w:t>级别</w:t>
                  </w:r>
                </w:p>
              </w:tc>
            </w:tr>
            <w:tr w14:paraId="345EC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74" w:type="dxa"/>
                  <w:vMerge w:val="continue"/>
                  <w:tcBorders>
                    <w:top w:val="nil"/>
                  </w:tcBorders>
                  <w:vAlign w:val="top"/>
                </w:tcPr>
                <w:p w14:paraId="015B639E">
                  <w:pPr>
                    <w:rPr>
                      <w:rFonts w:ascii="Arial"/>
                      <w:sz w:val="21"/>
                    </w:rPr>
                  </w:pPr>
                </w:p>
              </w:tc>
              <w:tc>
                <w:tcPr>
                  <w:tcW w:w="499" w:type="dxa"/>
                  <w:vMerge w:val="continue"/>
                  <w:tcBorders>
                    <w:top w:val="nil"/>
                  </w:tcBorders>
                  <w:vAlign w:val="top"/>
                </w:tcPr>
                <w:p w14:paraId="42F6B6A6">
                  <w:pPr>
                    <w:rPr>
                      <w:rFonts w:ascii="Arial"/>
                      <w:sz w:val="21"/>
                    </w:rPr>
                  </w:pPr>
                </w:p>
              </w:tc>
              <w:tc>
                <w:tcPr>
                  <w:tcW w:w="634" w:type="dxa"/>
                  <w:vMerge w:val="continue"/>
                  <w:tcBorders>
                    <w:top w:val="nil"/>
                  </w:tcBorders>
                  <w:vAlign w:val="top"/>
                </w:tcPr>
                <w:p w14:paraId="32751924">
                  <w:pPr>
                    <w:rPr>
                      <w:rFonts w:ascii="Arial"/>
                      <w:sz w:val="21"/>
                    </w:rPr>
                  </w:pPr>
                </w:p>
              </w:tc>
              <w:tc>
                <w:tcPr>
                  <w:tcW w:w="998" w:type="dxa"/>
                  <w:vAlign w:val="top"/>
                </w:tcPr>
                <w:p w14:paraId="3A38A94E">
                  <w:pPr>
                    <w:pStyle w:val="6"/>
                    <w:spacing w:before="68" w:line="227" w:lineRule="auto"/>
                    <w:ind w:left="24"/>
                    <w:rPr>
                      <w:sz w:val="20"/>
                      <w:szCs w:val="20"/>
                    </w:rPr>
                  </w:pPr>
                  <w:r>
                    <w:rPr>
                      <w:b/>
                      <w:bCs/>
                      <w:spacing w:val="-17"/>
                      <w:sz w:val="20"/>
                      <w:szCs w:val="20"/>
                    </w:rPr>
                    <w:t>东经</w:t>
                  </w:r>
                  <w:r>
                    <w:rPr>
                      <w:spacing w:val="7"/>
                      <w:sz w:val="20"/>
                      <w:szCs w:val="20"/>
                    </w:rPr>
                    <w:t xml:space="preserve"> </w:t>
                  </w:r>
                  <w:r>
                    <w:rPr>
                      <w:b/>
                      <w:bCs/>
                      <w:spacing w:val="-17"/>
                      <w:sz w:val="20"/>
                      <w:szCs w:val="20"/>
                    </w:rPr>
                    <w:t>(</w:t>
                  </w:r>
                  <w:r>
                    <w:rPr>
                      <w:spacing w:val="-57"/>
                      <w:sz w:val="20"/>
                      <w:szCs w:val="20"/>
                    </w:rPr>
                    <w:t xml:space="preserve"> </w:t>
                  </w:r>
                  <w:r>
                    <w:rPr>
                      <w:b/>
                      <w:bCs/>
                      <w:spacing w:val="-17"/>
                      <w:sz w:val="20"/>
                      <w:szCs w:val="20"/>
                    </w:rPr>
                    <w:t>°</w:t>
                  </w:r>
                  <w:r>
                    <w:rPr>
                      <w:spacing w:val="-85"/>
                      <w:sz w:val="20"/>
                      <w:szCs w:val="20"/>
                    </w:rPr>
                    <w:t xml:space="preserve"> </w:t>
                  </w:r>
                  <w:r>
                    <w:rPr>
                      <w:b/>
                      <w:bCs/>
                      <w:spacing w:val="-17"/>
                      <w:sz w:val="20"/>
                      <w:szCs w:val="20"/>
                    </w:rPr>
                    <w:t>)</w:t>
                  </w:r>
                </w:p>
              </w:tc>
              <w:tc>
                <w:tcPr>
                  <w:tcW w:w="1084" w:type="dxa"/>
                  <w:vAlign w:val="top"/>
                </w:tcPr>
                <w:p w14:paraId="024D0DAB">
                  <w:pPr>
                    <w:pStyle w:val="6"/>
                    <w:spacing w:before="67" w:line="228" w:lineRule="auto"/>
                    <w:ind w:left="63"/>
                    <w:rPr>
                      <w:sz w:val="20"/>
                      <w:szCs w:val="20"/>
                    </w:rPr>
                  </w:pPr>
                  <w:r>
                    <w:rPr>
                      <w:b/>
                      <w:bCs/>
                      <w:spacing w:val="-16"/>
                      <w:sz w:val="20"/>
                      <w:szCs w:val="20"/>
                    </w:rPr>
                    <w:t>北纬</w:t>
                  </w:r>
                  <w:r>
                    <w:rPr>
                      <w:spacing w:val="6"/>
                      <w:sz w:val="20"/>
                      <w:szCs w:val="20"/>
                    </w:rPr>
                    <w:t xml:space="preserve"> </w:t>
                  </w:r>
                  <w:r>
                    <w:rPr>
                      <w:b/>
                      <w:bCs/>
                      <w:spacing w:val="-16"/>
                      <w:sz w:val="20"/>
                      <w:szCs w:val="20"/>
                    </w:rPr>
                    <w:t>(</w:t>
                  </w:r>
                  <w:r>
                    <w:rPr>
                      <w:spacing w:val="-57"/>
                      <w:sz w:val="20"/>
                      <w:szCs w:val="20"/>
                    </w:rPr>
                    <w:t xml:space="preserve"> </w:t>
                  </w:r>
                  <w:r>
                    <w:rPr>
                      <w:b/>
                      <w:bCs/>
                      <w:spacing w:val="-16"/>
                      <w:sz w:val="20"/>
                      <w:szCs w:val="20"/>
                    </w:rPr>
                    <w:t>°</w:t>
                  </w:r>
                  <w:r>
                    <w:rPr>
                      <w:spacing w:val="-85"/>
                      <w:sz w:val="20"/>
                      <w:szCs w:val="20"/>
                    </w:rPr>
                    <w:t xml:space="preserve"> </w:t>
                  </w:r>
                  <w:r>
                    <w:rPr>
                      <w:b/>
                      <w:bCs/>
                      <w:spacing w:val="-16"/>
                      <w:sz w:val="20"/>
                      <w:szCs w:val="20"/>
                    </w:rPr>
                    <w:t>)</w:t>
                  </w:r>
                </w:p>
              </w:tc>
              <w:tc>
                <w:tcPr>
                  <w:tcW w:w="1181" w:type="dxa"/>
                  <w:vMerge w:val="continue"/>
                  <w:tcBorders>
                    <w:top w:val="nil"/>
                  </w:tcBorders>
                  <w:vAlign w:val="top"/>
                </w:tcPr>
                <w:p w14:paraId="20CCEA43">
                  <w:pPr>
                    <w:rPr>
                      <w:rFonts w:ascii="Arial"/>
                      <w:sz w:val="21"/>
                    </w:rPr>
                  </w:pPr>
                </w:p>
              </w:tc>
              <w:tc>
                <w:tcPr>
                  <w:tcW w:w="2716" w:type="dxa"/>
                  <w:vMerge w:val="continue"/>
                  <w:tcBorders>
                    <w:top w:val="nil"/>
                  </w:tcBorders>
                  <w:vAlign w:val="top"/>
                </w:tcPr>
                <w:p w14:paraId="61CDDA10">
                  <w:pPr>
                    <w:rPr>
                      <w:rFonts w:ascii="Arial"/>
                      <w:sz w:val="21"/>
                    </w:rPr>
                  </w:pPr>
                </w:p>
              </w:tc>
              <w:tc>
                <w:tcPr>
                  <w:tcW w:w="492" w:type="dxa"/>
                  <w:vMerge w:val="continue"/>
                  <w:tcBorders>
                    <w:top w:val="nil"/>
                  </w:tcBorders>
                  <w:vAlign w:val="top"/>
                </w:tcPr>
                <w:p w14:paraId="5F1254A2">
                  <w:pPr>
                    <w:rPr>
                      <w:rFonts w:ascii="Arial"/>
                      <w:sz w:val="21"/>
                    </w:rPr>
                  </w:pPr>
                </w:p>
              </w:tc>
            </w:tr>
            <w:tr w14:paraId="222F0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3" w:hRule="atLeast"/>
              </w:trPr>
              <w:tc>
                <w:tcPr>
                  <w:tcW w:w="574" w:type="dxa"/>
                  <w:tcBorders>
                    <w:bottom w:val="nil"/>
                  </w:tcBorders>
                  <w:vAlign w:val="top"/>
                </w:tcPr>
                <w:p w14:paraId="1E72C791">
                  <w:pPr>
                    <w:spacing w:line="289" w:lineRule="auto"/>
                    <w:rPr>
                      <w:rFonts w:ascii="Arial"/>
                      <w:sz w:val="21"/>
                    </w:rPr>
                  </w:pPr>
                </w:p>
                <w:p w14:paraId="10DB6FB7">
                  <w:pPr>
                    <w:spacing w:line="289" w:lineRule="auto"/>
                    <w:rPr>
                      <w:rFonts w:ascii="Arial"/>
                      <w:sz w:val="21"/>
                    </w:rPr>
                  </w:pPr>
                </w:p>
                <w:p w14:paraId="6D662472">
                  <w:pPr>
                    <w:spacing w:line="290" w:lineRule="auto"/>
                    <w:rPr>
                      <w:rFonts w:ascii="Arial"/>
                      <w:sz w:val="21"/>
                    </w:rPr>
                  </w:pPr>
                </w:p>
                <w:p w14:paraId="1913B51A">
                  <w:pPr>
                    <w:pStyle w:val="6"/>
                    <w:spacing w:before="65" w:line="279" w:lineRule="auto"/>
                    <w:ind w:left="85" w:right="77" w:hanging="1"/>
                    <w:rPr>
                      <w:sz w:val="20"/>
                      <w:szCs w:val="20"/>
                    </w:rPr>
                  </w:pPr>
                  <w:r>
                    <w:rPr>
                      <w:spacing w:val="3"/>
                      <w:sz w:val="20"/>
                      <w:szCs w:val="20"/>
                    </w:rPr>
                    <w:t>水冒</w:t>
                  </w:r>
                  <w:r>
                    <w:rPr>
                      <w:sz w:val="20"/>
                      <w:szCs w:val="20"/>
                    </w:rPr>
                    <w:t xml:space="preserve"> </w:t>
                  </w:r>
                  <w:r>
                    <w:rPr>
                      <w:spacing w:val="2"/>
                      <w:sz w:val="20"/>
                      <w:szCs w:val="20"/>
                    </w:rPr>
                    <w:t>天村</w:t>
                  </w:r>
                </w:p>
              </w:tc>
              <w:tc>
                <w:tcPr>
                  <w:tcW w:w="499" w:type="dxa"/>
                  <w:tcBorders>
                    <w:bottom w:val="nil"/>
                  </w:tcBorders>
                  <w:vAlign w:val="top"/>
                </w:tcPr>
                <w:p w14:paraId="146A4E5C">
                  <w:pPr>
                    <w:spacing w:line="256" w:lineRule="auto"/>
                    <w:rPr>
                      <w:rFonts w:ascii="Arial"/>
                      <w:sz w:val="21"/>
                    </w:rPr>
                  </w:pPr>
                </w:p>
                <w:p w14:paraId="22A56000">
                  <w:pPr>
                    <w:spacing w:line="256" w:lineRule="auto"/>
                    <w:rPr>
                      <w:rFonts w:ascii="Arial"/>
                      <w:sz w:val="21"/>
                    </w:rPr>
                  </w:pPr>
                </w:p>
                <w:p w14:paraId="4461B323">
                  <w:pPr>
                    <w:spacing w:line="256" w:lineRule="auto"/>
                    <w:rPr>
                      <w:rFonts w:ascii="Arial"/>
                      <w:sz w:val="21"/>
                    </w:rPr>
                  </w:pPr>
                </w:p>
                <w:p w14:paraId="20AAE60B">
                  <w:pPr>
                    <w:spacing w:line="257" w:lineRule="auto"/>
                    <w:rPr>
                      <w:rFonts w:ascii="Arial"/>
                      <w:sz w:val="21"/>
                    </w:rPr>
                  </w:pPr>
                </w:p>
                <w:p w14:paraId="7FB8F1F6">
                  <w:pPr>
                    <w:pStyle w:val="6"/>
                    <w:spacing w:before="65" w:line="228" w:lineRule="auto"/>
                    <w:ind w:left="45"/>
                    <w:rPr>
                      <w:sz w:val="20"/>
                      <w:szCs w:val="20"/>
                    </w:rPr>
                  </w:pPr>
                  <w:r>
                    <w:rPr>
                      <w:spacing w:val="3"/>
                      <w:sz w:val="20"/>
                      <w:szCs w:val="20"/>
                    </w:rPr>
                    <w:t>居民</w:t>
                  </w:r>
                </w:p>
              </w:tc>
              <w:tc>
                <w:tcPr>
                  <w:tcW w:w="634" w:type="dxa"/>
                  <w:tcBorders>
                    <w:bottom w:val="nil"/>
                  </w:tcBorders>
                  <w:vAlign w:val="top"/>
                </w:tcPr>
                <w:p w14:paraId="6CAA6798">
                  <w:pPr>
                    <w:spacing w:line="354" w:lineRule="auto"/>
                    <w:rPr>
                      <w:rFonts w:ascii="Arial"/>
                      <w:sz w:val="21"/>
                    </w:rPr>
                  </w:pPr>
                </w:p>
                <w:p w14:paraId="1706BF1F">
                  <w:pPr>
                    <w:spacing w:line="355" w:lineRule="auto"/>
                    <w:rPr>
                      <w:rFonts w:ascii="Arial"/>
                      <w:sz w:val="21"/>
                    </w:rPr>
                  </w:pPr>
                </w:p>
                <w:p w14:paraId="29F9AC8F">
                  <w:pPr>
                    <w:pStyle w:val="6"/>
                    <w:spacing w:before="65" w:line="232" w:lineRule="auto"/>
                    <w:ind w:left="12"/>
                    <w:rPr>
                      <w:rFonts w:ascii="Times New Roman" w:hAnsi="Times New Roman" w:eastAsia="Times New Roman" w:cs="Times New Roman"/>
                      <w:sz w:val="20"/>
                      <w:szCs w:val="20"/>
                    </w:rPr>
                  </w:pPr>
                  <w:r>
                    <w:rPr>
                      <w:spacing w:val="-4"/>
                      <w:sz w:val="20"/>
                      <w:szCs w:val="20"/>
                    </w:rPr>
                    <w:t>约</w:t>
                  </w:r>
                  <w:r>
                    <w:rPr>
                      <w:spacing w:val="-23"/>
                      <w:sz w:val="20"/>
                      <w:szCs w:val="20"/>
                    </w:rPr>
                    <w:t xml:space="preserve"> </w:t>
                  </w:r>
                  <w:r>
                    <w:rPr>
                      <w:rFonts w:ascii="Times New Roman" w:hAnsi="Times New Roman" w:eastAsia="Times New Roman" w:cs="Times New Roman"/>
                      <w:spacing w:val="-4"/>
                      <w:sz w:val="20"/>
                      <w:szCs w:val="20"/>
                    </w:rPr>
                    <w:t>180</w:t>
                  </w:r>
                </w:p>
                <w:p w14:paraId="1C53238B">
                  <w:pPr>
                    <w:pStyle w:val="6"/>
                    <w:spacing w:before="66" w:line="228" w:lineRule="auto"/>
                    <w:ind w:left="8"/>
                    <w:rPr>
                      <w:rFonts w:ascii="Times New Roman" w:hAnsi="Times New Roman" w:eastAsia="Times New Roman" w:cs="Times New Roman"/>
                      <w:sz w:val="20"/>
                      <w:szCs w:val="20"/>
                    </w:rPr>
                  </w:pPr>
                  <w:r>
                    <w:rPr>
                      <w:spacing w:val="1"/>
                      <w:sz w:val="20"/>
                      <w:szCs w:val="20"/>
                    </w:rPr>
                    <w:t>户</w:t>
                  </w:r>
                  <w:r>
                    <w:rPr>
                      <w:spacing w:val="-40"/>
                      <w:sz w:val="20"/>
                      <w:szCs w:val="20"/>
                    </w:rPr>
                    <w:t xml:space="preserve"> </w:t>
                  </w:r>
                  <w:r>
                    <w:rPr>
                      <w:rFonts w:ascii="Times New Roman" w:hAnsi="Times New Roman" w:eastAsia="Times New Roman" w:cs="Times New Roman"/>
                      <w:spacing w:val="1"/>
                      <w:sz w:val="20"/>
                      <w:szCs w:val="20"/>
                    </w:rPr>
                    <w:t>700</w:t>
                  </w:r>
                </w:p>
                <w:p w14:paraId="7D331556">
                  <w:pPr>
                    <w:pStyle w:val="6"/>
                    <w:spacing w:before="73" w:line="230" w:lineRule="auto"/>
                    <w:ind w:left="218"/>
                    <w:rPr>
                      <w:sz w:val="20"/>
                      <w:szCs w:val="20"/>
                    </w:rPr>
                  </w:pPr>
                  <w:r>
                    <w:rPr>
                      <w:sz w:val="20"/>
                      <w:szCs w:val="20"/>
                    </w:rPr>
                    <w:t>人</w:t>
                  </w:r>
                </w:p>
              </w:tc>
              <w:tc>
                <w:tcPr>
                  <w:tcW w:w="998" w:type="dxa"/>
                  <w:tcBorders>
                    <w:bottom w:val="nil"/>
                  </w:tcBorders>
                  <w:vAlign w:val="top"/>
                </w:tcPr>
                <w:p w14:paraId="6EDFAD33">
                  <w:pPr>
                    <w:spacing w:line="267" w:lineRule="auto"/>
                    <w:rPr>
                      <w:rFonts w:ascii="Arial"/>
                      <w:sz w:val="21"/>
                    </w:rPr>
                  </w:pPr>
                </w:p>
                <w:p w14:paraId="2EEB432B">
                  <w:pPr>
                    <w:spacing w:line="267" w:lineRule="auto"/>
                    <w:rPr>
                      <w:rFonts w:ascii="Arial"/>
                      <w:sz w:val="21"/>
                    </w:rPr>
                  </w:pPr>
                </w:p>
                <w:p w14:paraId="2FB50119">
                  <w:pPr>
                    <w:spacing w:line="267" w:lineRule="auto"/>
                    <w:rPr>
                      <w:rFonts w:ascii="Arial"/>
                      <w:sz w:val="21"/>
                    </w:rPr>
                  </w:pPr>
                </w:p>
                <w:p w14:paraId="0063B2CF">
                  <w:pPr>
                    <w:spacing w:line="268" w:lineRule="auto"/>
                    <w:rPr>
                      <w:rFonts w:ascii="Arial"/>
                      <w:sz w:val="21"/>
                    </w:rPr>
                  </w:pPr>
                </w:p>
                <w:p w14:paraId="0FDF5121">
                  <w:pPr>
                    <w:spacing w:before="57" w:line="194" w:lineRule="auto"/>
                    <w:ind w:left="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103.46416</w:t>
                  </w:r>
                </w:p>
              </w:tc>
              <w:tc>
                <w:tcPr>
                  <w:tcW w:w="1084" w:type="dxa"/>
                  <w:tcBorders>
                    <w:bottom w:val="nil"/>
                  </w:tcBorders>
                  <w:vAlign w:val="top"/>
                </w:tcPr>
                <w:p w14:paraId="378C10C4">
                  <w:pPr>
                    <w:spacing w:line="267" w:lineRule="auto"/>
                    <w:rPr>
                      <w:rFonts w:ascii="Arial"/>
                      <w:sz w:val="21"/>
                    </w:rPr>
                  </w:pPr>
                </w:p>
                <w:p w14:paraId="119BB90B">
                  <w:pPr>
                    <w:spacing w:line="267" w:lineRule="auto"/>
                    <w:rPr>
                      <w:rFonts w:ascii="Arial"/>
                      <w:sz w:val="21"/>
                    </w:rPr>
                  </w:pPr>
                </w:p>
                <w:p w14:paraId="44984393">
                  <w:pPr>
                    <w:spacing w:line="267" w:lineRule="auto"/>
                    <w:rPr>
                      <w:rFonts w:ascii="Arial"/>
                      <w:sz w:val="21"/>
                    </w:rPr>
                  </w:pPr>
                </w:p>
                <w:p w14:paraId="2D8077D1">
                  <w:pPr>
                    <w:spacing w:line="268" w:lineRule="auto"/>
                    <w:rPr>
                      <w:rFonts w:ascii="Arial"/>
                      <w:sz w:val="21"/>
                    </w:rPr>
                  </w:pPr>
                </w:p>
                <w:p w14:paraId="2841B6BF">
                  <w:pPr>
                    <w:spacing w:before="57" w:line="194"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25.67407</w:t>
                  </w:r>
                </w:p>
              </w:tc>
              <w:tc>
                <w:tcPr>
                  <w:tcW w:w="1181" w:type="dxa"/>
                  <w:tcBorders>
                    <w:bottom w:val="nil"/>
                  </w:tcBorders>
                  <w:vAlign w:val="top"/>
                </w:tcPr>
                <w:p w14:paraId="4A8D0997">
                  <w:pPr>
                    <w:spacing w:line="354" w:lineRule="auto"/>
                    <w:rPr>
                      <w:rFonts w:ascii="Arial"/>
                      <w:sz w:val="21"/>
                    </w:rPr>
                  </w:pPr>
                </w:p>
                <w:p w14:paraId="2E21FC85">
                  <w:pPr>
                    <w:spacing w:line="355" w:lineRule="auto"/>
                    <w:rPr>
                      <w:rFonts w:ascii="Arial"/>
                      <w:sz w:val="21"/>
                    </w:rPr>
                  </w:pPr>
                </w:p>
                <w:p w14:paraId="68091604">
                  <w:pPr>
                    <w:pStyle w:val="6"/>
                    <w:spacing w:before="65" w:line="227" w:lineRule="auto"/>
                    <w:ind w:left="33"/>
                    <w:rPr>
                      <w:sz w:val="20"/>
                      <w:szCs w:val="20"/>
                    </w:rPr>
                  </w:pPr>
                  <w:r>
                    <w:rPr>
                      <w:spacing w:val="-3"/>
                      <w:sz w:val="20"/>
                      <w:szCs w:val="20"/>
                    </w:rPr>
                    <w:t>区块</w:t>
                  </w:r>
                  <w:r>
                    <w:rPr>
                      <w:spacing w:val="-21"/>
                      <w:sz w:val="20"/>
                      <w:szCs w:val="20"/>
                    </w:rPr>
                    <w:t xml:space="preserve"> </w:t>
                  </w:r>
                  <w:r>
                    <w:rPr>
                      <w:rFonts w:ascii="Times New Roman" w:hAnsi="Times New Roman" w:eastAsia="Times New Roman" w:cs="Times New Roman"/>
                      <w:spacing w:val="-3"/>
                      <w:sz w:val="20"/>
                      <w:szCs w:val="20"/>
                    </w:rPr>
                    <w:t>14</w:t>
                  </w:r>
                  <w:r>
                    <w:rPr>
                      <w:rFonts w:ascii="Times New Roman" w:hAnsi="Times New Roman" w:eastAsia="Times New Roman" w:cs="Times New Roman"/>
                      <w:spacing w:val="19"/>
                      <w:sz w:val="20"/>
                      <w:szCs w:val="20"/>
                    </w:rPr>
                    <w:t xml:space="preserve"> </w:t>
                  </w:r>
                  <w:r>
                    <w:rPr>
                      <w:spacing w:val="-3"/>
                      <w:sz w:val="20"/>
                      <w:szCs w:val="20"/>
                    </w:rPr>
                    <w:t>东南</w:t>
                  </w:r>
                </w:p>
                <w:p w14:paraId="18993753">
                  <w:pPr>
                    <w:pStyle w:val="6"/>
                    <w:spacing w:before="72" w:line="227" w:lineRule="auto"/>
                    <w:ind w:left="14"/>
                    <w:rPr>
                      <w:sz w:val="20"/>
                      <w:szCs w:val="20"/>
                    </w:rPr>
                  </w:pPr>
                  <w:r>
                    <w:rPr>
                      <w:spacing w:val="-1"/>
                      <w:sz w:val="20"/>
                      <w:szCs w:val="20"/>
                    </w:rPr>
                    <w:t>侧</w:t>
                  </w:r>
                  <w:r>
                    <w:rPr>
                      <w:spacing w:val="-18"/>
                      <w:sz w:val="20"/>
                      <w:szCs w:val="20"/>
                    </w:rPr>
                    <w:t xml:space="preserve"> </w:t>
                  </w:r>
                  <w:r>
                    <w:rPr>
                      <w:rFonts w:ascii="Times New Roman" w:hAnsi="Times New Roman" w:eastAsia="Times New Roman" w:cs="Times New Roman"/>
                      <w:spacing w:val="-1"/>
                      <w:sz w:val="20"/>
                      <w:szCs w:val="20"/>
                    </w:rPr>
                    <w:t>129m</w:t>
                  </w:r>
                  <w:r>
                    <w:rPr>
                      <w:rFonts w:ascii="Times New Roman" w:hAnsi="Times New Roman" w:eastAsia="Times New Roman" w:cs="Times New Roman"/>
                      <w:spacing w:val="-27"/>
                      <w:sz w:val="20"/>
                      <w:szCs w:val="20"/>
                    </w:rPr>
                    <w:t xml:space="preserve"> </w:t>
                  </w:r>
                  <w:r>
                    <w:rPr>
                      <w:spacing w:val="-1"/>
                      <w:sz w:val="20"/>
                      <w:szCs w:val="20"/>
                    </w:rPr>
                    <w:t>，高</w:t>
                  </w:r>
                </w:p>
                <w:p w14:paraId="0E7B0728">
                  <w:pPr>
                    <w:pStyle w:val="6"/>
                    <w:spacing w:before="74" w:line="234" w:lineRule="auto"/>
                    <w:ind w:left="246"/>
                    <w:rPr>
                      <w:rFonts w:ascii="Times New Roman" w:hAnsi="Times New Roman" w:eastAsia="Times New Roman" w:cs="Times New Roman"/>
                      <w:sz w:val="20"/>
                      <w:szCs w:val="20"/>
                    </w:rPr>
                  </w:pPr>
                  <w:r>
                    <w:rPr>
                      <w:spacing w:val="3"/>
                      <w:sz w:val="20"/>
                      <w:szCs w:val="20"/>
                    </w:rPr>
                    <w:t>差</w:t>
                  </w:r>
                  <w:r>
                    <w:rPr>
                      <w:rFonts w:ascii="Times New Roman" w:hAnsi="Times New Roman" w:eastAsia="Times New Roman" w:cs="Times New Roman"/>
                      <w:spacing w:val="3"/>
                      <w:sz w:val="20"/>
                      <w:szCs w:val="20"/>
                    </w:rPr>
                    <w:t>-6.8m</w:t>
                  </w:r>
                </w:p>
              </w:tc>
              <w:tc>
                <w:tcPr>
                  <w:tcW w:w="2716" w:type="dxa"/>
                  <w:tcBorders>
                    <w:bottom w:val="nil"/>
                  </w:tcBorders>
                  <w:vAlign w:val="top"/>
                </w:tcPr>
                <w:p w14:paraId="41B4F73B">
                  <w:pPr>
                    <w:spacing w:line="2344" w:lineRule="exact"/>
                    <w:ind w:firstLine="172"/>
                  </w:pPr>
                  <w:r>
                    <w:rPr>
                      <w:position w:val="-46"/>
                    </w:rPr>
                    <w:drawing>
                      <wp:inline distT="0" distB="0" distL="0" distR="0">
                        <wp:extent cx="1490345" cy="148844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12"/>
                                <a:stretch>
                                  <a:fillRect/>
                                </a:stretch>
                              </pic:blipFill>
                              <pic:spPr>
                                <a:xfrm>
                                  <a:off x="0" y="0"/>
                                  <a:ext cx="1490472" cy="1488744"/>
                                </a:xfrm>
                                <a:prstGeom prst="rect">
                                  <a:avLst/>
                                </a:prstGeom>
                              </pic:spPr>
                            </pic:pic>
                          </a:graphicData>
                        </a:graphic>
                      </wp:inline>
                    </w:drawing>
                  </w:r>
                </w:p>
              </w:tc>
              <w:tc>
                <w:tcPr>
                  <w:tcW w:w="492" w:type="dxa"/>
                  <w:tcBorders>
                    <w:bottom w:val="nil"/>
                  </w:tcBorders>
                  <w:vAlign w:val="top"/>
                </w:tcPr>
                <w:p w14:paraId="3BC76435">
                  <w:pPr>
                    <w:pStyle w:val="6"/>
                    <w:spacing w:before="140" w:line="291" w:lineRule="auto"/>
                    <w:ind w:left="21" w:right="14" w:firstLine="26"/>
                    <w:rPr>
                      <w:rFonts w:ascii="Times New Roman" w:hAnsi="Times New Roman" w:eastAsia="Times New Roman" w:cs="Times New Roman"/>
                      <w:sz w:val="20"/>
                      <w:szCs w:val="20"/>
                    </w:rPr>
                  </w:pPr>
                  <w:r>
                    <w:rPr>
                      <w:spacing w:val="2"/>
                      <w:sz w:val="20"/>
                      <w:szCs w:val="20"/>
                    </w:rPr>
                    <w:t>《环</w:t>
                  </w:r>
                  <w:r>
                    <w:rPr>
                      <w:sz w:val="20"/>
                      <w:szCs w:val="20"/>
                    </w:rPr>
                    <w:t xml:space="preserve"> </w:t>
                  </w:r>
                  <w:r>
                    <w:rPr>
                      <w:spacing w:val="15"/>
                      <w:sz w:val="20"/>
                      <w:szCs w:val="20"/>
                    </w:rPr>
                    <w:t>境空</w:t>
                  </w:r>
                  <w:r>
                    <w:rPr>
                      <w:sz w:val="20"/>
                      <w:szCs w:val="20"/>
                    </w:rPr>
                    <w:t xml:space="preserve"> </w:t>
                  </w:r>
                  <w:r>
                    <w:rPr>
                      <w:spacing w:val="15"/>
                      <w:sz w:val="20"/>
                      <w:szCs w:val="20"/>
                    </w:rPr>
                    <w:t>气质</w:t>
                  </w:r>
                  <w:r>
                    <w:rPr>
                      <w:sz w:val="20"/>
                      <w:szCs w:val="20"/>
                    </w:rPr>
                    <w:t xml:space="preserve"> </w:t>
                  </w:r>
                  <w:r>
                    <w:rPr>
                      <w:spacing w:val="15"/>
                      <w:sz w:val="20"/>
                      <w:szCs w:val="20"/>
                    </w:rPr>
                    <w:t>量标</w:t>
                  </w:r>
                  <w:r>
                    <w:rPr>
                      <w:sz w:val="20"/>
                      <w:szCs w:val="20"/>
                    </w:rPr>
                    <w:t xml:space="preserve"> </w:t>
                  </w:r>
                  <w:r>
                    <w:rPr>
                      <w:spacing w:val="9"/>
                      <w:sz w:val="20"/>
                      <w:szCs w:val="20"/>
                    </w:rPr>
                    <w:t>准》</w:t>
                  </w:r>
                  <w:r>
                    <w:rPr>
                      <w:sz w:val="20"/>
                      <w:szCs w:val="20"/>
                    </w:rPr>
                    <w:t xml:space="preserve"> </w:t>
                  </w:r>
                  <w:r>
                    <w:rPr>
                      <w:spacing w:val="28"/>
                      <w:sz w:val="20"/>
                      <w:szCs w:val="20"/>
                    </w:rPr>
                    <w:t>（</w:t>
                  </w:r>
                  <w:r>
                    <w:rPr>
                      <w:rFonts w:ascii="Times New Roman" w:hAnsi="Times New Roman" w:eastAsia="Times New Roman" w:cs="Times New Roman"/>
                      <w:spacing w:val="28"/>
                      <w:sz w:val="20"/>
                      <w:szCs w:val="20"/>
                    </w:rPr>
                    <w:t>G</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B309</w:t>
                  </w:r>
                </w:p>
              </w:tc>
            </w:tr>
          </w:tbl>
          <w:p w14:paraId="17CD2F3A">
            <w:pPr>
              <w:spacing w:line="14" w:lineRule="auto"/>
              <w:rPr>
                <w:rFonts w:ascii="Arial"/>
                <w:sz w:val="2"/>
              </w:rPr>
            </w:pPr>
          </w:p>
        </w:tc>
      </w:tr>
    </w:tbl>
    <w:p w14:paraId="67315244">
      <w:pPr>
        <w:rPr>
          <w:rFonts w:ascii="Arial"/>
          <w:sz w:val="21"/>
        </w:rPr>
      </w:pPr>
    </w:p>
    <w:p w14:paraId="68EC7378">
      <w:pPr>
        <w:rPr>
          <w:rFonts w:ascii="Arial" w:hAnsi="Arial" w:eastAsia="Arial" w:cs="Arial"/>
          <w:sz w:val="21"/>
          <w:szCs w:val="21"/>
        </w:rPr>
        <w:sectPr>
          <w:footerReference r:id="rId100" w:type="default"/>
          <w:pgSz w:w="11906" w:h="16839"/>
          <w:pgMar w:top="1431" w:right="1413" w:bottom="1278" w:left="1413" w:header="0" w:footer="1116" w:gutter="0"/>
          <w:cols w:space="720" w:num="1"/>
        </w:sectPr>
      </w:pPr>
    </w:p>
    <w:p w14:paraId="296C87F7">
      <w:pPr>
        <w:spacing w:line="99" w:lineRule="exact"/>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1"/>
        <w:gridCol w:w="569"/>
        <w:gridCol w:w="498"/>
        <w:gridCol w:w="633"/>
        <w:gridCol w:w="997"/>
        <w:gridCol w:w="1083"/>
        <w:gridCol w:w="1180"/>
        <w:gridCol w:w="2714"/>
        <w:gridCol w:w="486"/>
        <w:gridCol w:w="123"/>
      </w:tblGrid>
      <w:tr w14:paraId="68DCC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781" w:type="dxa"/>
            <w:vMerge w:val="restart"/>
            <w:tcBorders>
              <w:top w:val="single" w:color="000000" w:sz="6" w:space="0"/>
              <w:left w:val="single" w:color="000000" w:sz="6" w:space="0"/>
              <w:bottom w:val="nil"/>
            </w:tcBorders>
            <w:vAlign w:val="top"/>
          </w:tcPr>
          <w:p w14:paraId="0FD53156">
            <w:pPr>
              <w:rPr>
                <w:rFonts w:ascii="Arial"/>
                <w:sz w:val="21"/>
              </w:rPr>
            </w:pPr>
            <w:r>
              <w:pict>
                <v:shape id="_x0000_s1076" o:spid="_x0000_s1076" style="position:absolute;left:0pt;margin-left:32.9pt;margin-top:0.95pt;height:685.1pt;width:0.5pt;mso-position-horizontal-relative:page;mso-position-vertical-relative:page;z-index:251718656;mso-width-relative:page;mso-height-relative:page;" filled="f" stroked="t" coordsize="10,13701" path="m4,0l4,13701e">
                  <v:fill on="f" focussize="0,0"/>
                  <v:stroke weight="0.48pt" color="#000000" miterlimit="2" joinstyle="bevel"/>
                  <v:imagedata o:title=""/>
                  <o:lock v:ext="edit"/>
                </v:shape>
              </w:pict>
            </w:r>
          </w:p>
        </w:tc>
        <w:tc>
          <w:tcPr>
            <w:tcW w:w="569" w:type="dxa"/>
            <w:tcBorders>
              <w:top w:val="single" w:color="000000" w:sz="6" w:space="0"/>
            </w:tcBorders>
            <w:vAlign w:val="top"/>
          </w:tcPr>
          <w:p w14:paraId="013D4493">
            <w:pPr>
              <w:spacing w:line="320" w:lineRule="auto"/>
              <w:rPr>
                <w:rFonts w:ascii="Arial"/>
                <w:sz w:val="21"/>
              </w:rPr>
            </w:pPr>
          </w:p>
          <w:p w14:paraId="4717DFF5">
            <w:pPr>
              <w:pStyle w:val="6"/>
              <w:spacing w:before="65" w:line="286" w:lineRule="auto"/>
              <w:ind w:left="73" w:right="80" w:firstLine="3"/>
              <w:jc w:val="both"/>
              <w:rPr>
                <w:sz w:val="20"/>
                <w:szCs w:val="20"/>
              </w:rPr>
            </w:pPr>
            <w:r>
              <w:rPr>
                <w:spacing w:val="3"/>
                <w:sz w:val="20"/>
                <w:szCs w:val="20"/>
              </w:rPr>
              <w:t>水冒</w:t>
            </w:r>
            <w:r>
              <w:rPr>
                <w:sz w:val="20"/>
                <w:szCs w:val="20"/>
              </w:rPr>
              <w:t xml:space="preserve"> </w:t>
            </w:r>
            <w:r>
              <w:rPr>
                <w:spacing w:val="5"/>
                <w:sz w:val="20"/>
                <w:szCs w:val="20"/>
              </w:rPr>
              <w:t>天村</w:t>
            </w:r>
            <w:r>
              <w:rPr>
                <w:sz w:val="20"/>
                <w:szCs w:val="20"/>
              </w:rPr>
              <w:t xml:space="preserve"> </w:t>
            </w:r>
            <w:r>
              <w:rPr>
                <w:spacing w:val="5"/>
                <w:sz w:val="20"/>
                <w:szCs w:val="20"/>
              </w:rPr>
              <w:t>散户</w:t>
            </w:r>
          </w:p>
        </w:tc>
        <w:tc>
          <w:tcPr>
            <w:tcW w:w="498" w:type="dxa"/>
            <w:tcBorders>
              <w:top w:val="single" w:color="000000" w:sz="6" w:space="0"/>
            </w:tcBorders>
            <w:vAlign w:val="top"/>
          </w:tcPr>
          <w:p w14:paraId="05DF0039">
            <w:pPr>
              <w:spacing w:line="319" w:lineRule="auto"/>
              <w:rPr>
                <w:rFonts w:ascii="Arial"/>
                <w:sz w:val="21"/>
              </w:rPr>
            </w:pPr>
          </w:p>
          <w:p w14:paraId="557DCBBF">
            <w:pPr>
              <w:spacing w:line="319" w:lineRule="auto"/>
              <w:rPr>
                <w:rFonts w:ascii="Arial"/>
                <w:sz w:val="21"/>
              </w:rPr>
            </w:pPr>
          </w:p>
          <w:p w14:paraId="1C92BB62">
            <w:pPr>
              <w:pStyle w:val="6"/>
              <w:spacing w:before="65" w:line="228" w:lineRule="auto"/>
              <w:ind w:left="42"/>
              <w:rPr>
                <w:sz w:val="20"/>
                <w:szCs w:val="20"/>
              </w:rPr>
            </w:pPr>
            <w:r>
              <w:rPr>
                <w:spacing w:val="3"/>
                <w:sz w:val="20"/>
                <w:szCs w:val="20"/>
              </w:rPr>
              <w:t>居民</w:t>
            </w:r>
          </w:p>
        </w:tc>
        <w:tc>
          <w:tcPr>
            <w:tcW w:w="633" w:type="dxa"/>
            <w:tcBorders>
              <w:top w:val="single" w:color="000000" w:sz="6" w:space="0"/>
            </w:tcBorders>
            <w:vAlign w:val="top"/>
          </w:tcPr>
          <w:p w14:paraId="34EE0809">
            <w:pPr>
              <w:spacing w:line="320" w:lineRule="auto"/>
              <w:rPr>
                <w:rFonts w:ascii="Arial"/>
                <w:sz w:val="21"/>
              </w:rPr>
            </w:pPr>
          </w:p>
          <w:p w14:paraId="47487BFD">
            <w:pPr>
              <w:pStyle w:val="6"/>
              <w:spacing w:before="65" w:line="233" w:lineRule="auto"/>
              <w:ind w:left="140"/>
              <w:rPr>
                <w:rFonts w:ascii="Times New Roman" w:hAnsi="Times New Roman" w:eastAsia="Times New Roman" w:cs="Times New Roman"/>
                <w:sz w:val="20"/>
                <w:szCs w:val="20"/>
              </w:rPr>
            </w:pPr>
            <w:r>
              <w:rPr>
                <w:spacing w:val="-3"/>
                <w:sz w:val="20"/>
                <w:szCs w:val="20"/>
              </w:rPr>
              <w:t>约</w:t>
            </w:r>
            <w:r>
              <w:rPr>
                <w:spacing w:val="-38"/>
                <w:sz w:val="20"/>
                <w:szCs w:val="20"/>
              </w:rPr>
              <w:t xml:space="preserve"> </w:t>
            </w:r>
            <w:r>
              <w:rPr>
                <w:rFonts w:ascii="Times New Roman" w:hAnsi="Times New Roman" w:eastAsia="Times New Roman" w:cs="Times New Roman"/>
                <w:spacing w:val="-3"/>
                <w:sz w:val="20"/>
                <w:szCs w:val="20"/>
              </w:rPr>
              <w:t>6</w:t>
            </w:r>
          </w:p>
          <w:p w14:paraId="62835F8B">
            <w:pPr>
              <w:pStyle w:val="6"/>
              <w:spacing w:before="67" w:line="228" w:lineRule="auto"/>
              <w:ind w:left="6"/>
              <w:rPr>
                <w:rFonts w:ascii="Times New Roman" w:hAnsi="Times New Roman" w:eastAsia="Times New Roman" w:cs="Times New Roman"/>
                <w:sz w:val="20"/>
                <w:szCs w:val="20"/>
              </w:rPr>
            </w:pPr>
            <w:r>
              <w:rPr>
                <w:spacing w:val="4"/>
                <w:sz w:val="20"/>
                <w:szCs w:val="20"/>
              </w:rPr>
              <w:t>户，</w:t>
            </w:r>
            <w:r>
              <w:rPr>
                <w:rFonts w:ascii="Times New Roman" w:hAnsi="Times New Roman" w:eastAsia="Times New Roman" w:cs="Times New Roman"/>
                <w:spacing w:val="4"/>
                <w:sz w:val="20"/>
                <w:szCs w:val="20"/>
              </w:rPr>
              <w:t>24</w:t>
            </w:r>
          </w:p>
          <w:p w14:paraId="5F35B5E3">
            <w:pPr>
              <w:pStyle w:val="6"/>
              <w:spacing w:before="73" w:line="231" w:lineRule="auto"/>
              <w:ind w:left="216"/>
              <w:rPr>
                <w:sz w:val="20"/>
                <w:szCs w:val="20"/>
              </w:rPr>
            </w:pPr>
            <w:r>
              <w:rPr>
                <w:sz w:val="20"/>
                <w:szCs w:val="20"/>
              </w:rPr>
              <w:t>人</w:t>
            </w:r>
          </w:p>
        </w:tc>
        <w:tc>
          <w:tcPr>
            <w:tcW w:w="997" w:type="dxa"/>
            <w:tcBorders>
              <w:top w:val="single" w:color="000000" w:sz="6" w:space="0"/>
            </w:tcBorders>
            <w:vAlign w:val="top"/>
          </w:tcPr>
          <w:p w14:paraId="18CB427E">
            <w:pPr>
              <w:spacing w:line="340" w:lineRule="auto"/>
              <w:rPr>
                <w:rFonts w:ascii="Arial"/>
                <w:sz w:val="21"/>
              </w:rPr>
            </w:pPr>
          </w:p>
          <w:p w14:paraId="56A58AFD">
            <w:pPr>
              <w:spacing w:line="340" w:lineRule="auto"/>
              <w:rPr>
                <w:rFonts w:ascii="Arial"/>
                <w:sz w:val="21"/>
              </w:rPr>
            </w:pPr>
          </w:p>
          <w:p w14:paraId="69B9B3F3">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103.46501</w:t>
            </w:r>
          </w:p>
        </w:tc>
        <w:tc>
          <w:tcPr>
            <w:tcW w:w="1083" w:type="dxa"/>
            <w:tcBorders>
              <w:top w:val="single" w:color="000000" w:sz="6" w:space="0"/>
            </w:tcBorders>
            <w:vAlign w:val="top"/>
          </w:tcPr>
          <w:p w14:paraId="2330952D">
            <w:pPr>
              <w:spacing w:line="340" w:lineRule="auto"/>
              <w:rPr>
                <w:rFonts w:ascii="Arial"/>
                <w:sz w:val="21"/>
              </w:rPr>
            </w:pPr>
          </w:p>
          <w:p w14:paraId="55F153D5">
            <w:pPr>
              <w:spacing w:line="340" w:lineRule="auto"/>
              <w:rPr>
                <w:rFonts w:ascii="Arial"/>
                <w:sz w:val="21"/>
              </w:rPr>
            </w:pPr>
          </w:p>
          <w:p w14:paraId="5426D6AC">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25.68233</w:t>
            </w:r>
          </w:p>
        </w:tc>
        <w:tc>
          <w:tcPr>
            <w:tcW w:w="1180" w:type="dxa"/>
            <w:tcBorders>
              <w:top w:val="single" w:color="000000" w:sz="6" w:space="0"/>
            </w:tcBorders>
            <w:vAlign w:val="top"/>
          </w:tcPr>
          <w:p w14:paraId="36AD99B8">
            <w:pPr>
              <w:pStyle w:val="6"/>
              <w:spacing w:before="226" w:line="228" w:lineRule="auto"/>
              <w:ind w:left="34"/>
              <w:rPr>
                <w:sz w:val="20"/>
                <w:szCs w:val="20"/>
              </w:rPr>
            </w:pPr>
            <w:r>
              <w:rPr>
                <w:spacing w:val="-3"/>
                <w:sz w:val="20"/>
                <w:szCs w:val="20"/>
              </w:rPr>
              <w:t>区块</w:t>
            </w:r>
            <w:r>
              <w:rPr>
                <w:spacing w:val="-17"/>
                <w:sz w:val="20"/>
                <w:szCs w:val="20"/>
              </w:rPr>
              <w:t xml:space="preserve"> </w:t>
            </w:r>
            <w:r>
              <w:rPr>
                <w:rFonts w:ascii="Times New Roman" w:hAnsi="Times New Roman" w:eastAsia="Times New Roman" w:cs="Times New Roman"/>
                <w:spacing w:val="-3"/>
                <w:sz w:val="20"/>
                <w:szCs w:val="20"/>
              </w:rPr>
              <w:t>14</w:t>
            </w:r>
            <w:r>
              <w:rPr>
                <w:rFonts w:ascii="Times New Roman" w:hAnsi="Times New Roman" w:eastAsia="Times New Roman" w:cs="Times New Roman"/>
                <w:spacing w:val="15"/>
                <w:sz w:val="20"/>
                <w:szCs w:val="20"/>
              </w:rPr>
              <w:t xml:space="preserve"> </w:t>
            </w:r>
            <w:r>
              <w:rPr>
                <w:spacing w:val="-3"/>
                <w:sz w:val="20"/>
                <w:szCs w:val="20"/>
              </w:rPr>
              <w:t>南侧</w:t>
            </w:r>
          </w:p>
          <w:p w14:paraId="6EBF2EA4">
            <w:pPr>
              <w:pStyle w:val="6"/>
              <w:spacing w:before="74" w:line="227" w:lineRule="auto"/>
              <w:ind w:left="73"/>
              <w:rPr>
                <w:sz w:val="20"/>
                <w:szCs w:val="20"/>
              </w:rPr>
            </w:pPr>
            <w:r>
              <w:rPr>
                <w:spacing w:val="7"/>
                <w:sz w:val="20"/>
                <w:szCs w:val="20"/>
              </w:rPr>
              <w:t>光伏列阵北</w:t>
            </w:r>
          </w:p>
          <w:p w14:paraId="033031CB">
            <w:pPr>
              <w:pStyle w:val="6"/>
              <w:spacing w:before="72" w:line="228" w:lineRule="auto"/>
              <w:jc w:val="right"/>
              <w:rPr>
                <w:sz w:val="20"/>
                <w:szCs w:val="20"/>
              </w:rPr>
            </w:pPr>
            <w:r>
              <w:rPr>
                <w:spacing w:val="-8"/>
                <w:sz w:val="20"/>
                <w:szCs w:val="20"/>
              </w:rPr>
              <w:t>侧</w:t>
            </w:r>
            <w:r>
              <w:rPr>
                <w:spacing w:val="-34"/>
                <w:sz w:val="20"/>
                <w:szCs w:val="20"/>
              </w:rPr>
              <w:t xml:space="preserve"> </w:t>
            </w:r>
            <w:r>
              <w:rPr>
                <w:rFonts w:ascii="Times New Roman" w:hAnsi="Times New Roman" w:eastAsia="Times New Roman" w:cs="Times New Roman"/>
                <w:spacing w:val="-8"/>
                <w:sz w:val="20"/>
                <w:szCs w:val="20"/>
              </w:rPr>
              <w:t>53m</w:t>
            </w:r>
            <w:r>
              <w:rPr>
                <w:spacing w:val="-8"/>
                <w:sz w:val="20"/>
                <w:szCs w:val="20"/>
              </w:rPr>
              <w:t>，高差</w:t>
            </w:r>
          </w:p>
          <w:p w14:paraId="44C0EB80">
            <w:pPr>
              <w:spacing w:before="10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-11.8m</w:t>
            </w:r>
          </w:p>
        </w:tc>
        <w:tc>
          <w:tcPr>
            <w:tcW w:w="2714" w:type="dxa"/>
            <w:tcBorders>
              <w:top w:val="single" w:color="000000" w:sz="6" w:space="0"/>
            </w:tcBorders>
            <w:vAlign w:val="top"/>
          </w:tcPr>
          <w:p w14:paraId="064C474E">
            <w:pPr>
              <w:spacing w:before="4" w:line="1566" w:lineRule="exact"/>
              <w:ind w:firstLine="179"/>
            </w:pPr>
            <w:r>
              <w:rPr>
                <w:position w:val="-31"/>
              </w:rPr>
              <w:drawing>
                <wp:inline distT="0" distB="0" distL="0" distR="0">
                  <wp:extent cx="1497965" cy="99377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13"/>
                          <a:stretch>
                            <a:fillRect/>
                          </a:stretch>
                        </pic:blipFill>
                        <pic:spPr>
                          <a:xfrm>
                            <a:off x="0" y="0"/>
                            <a:ext cx="1498091" cy="994155"/>
                          </a:xfrm>
                          <a:prstGeom prst="rect">
                            <a:avLst/>
                          </a:prstGeom>
                        </pic:spPr>
                      </pic:pic>
                    </a:graphicData>
                  </a:graphic>
                </wp:inline>
              </w:drawing>
            </w:r>
          </w:p>
        </w:tc>
        <w:tc>
          <w:tcPr>
            <w:tcW w:w="486" w:type="dxa"/>
            <w:vMerge w:val="restart"/>
            <w:tcBorders>
              <w:top w:val="single" w:color="000000" w:sz="6" w:space="0"/>
              <w:bottom w:val="nil"/>
            </w:tcBorders>
            <w:vAlign w:val="top"/>
          </w:tcPr>
          <w:p w14:paraId="6690CA30">
            <w:pPr>
              <w:pStyle w:val="6"/>
              <w:spacing w:before="116" w:line="293" w:lineRule="auto"/>
              <w:ind w:left="45" w:right="24" w:firstLine="19"/>
              <w:rPr>
                <w:sz w:val="20"/>
                <w:szCs w:val="20"/>
              </w:rPr>
            </w:pPr>
            <w:r>
              <w:rPr>
                <w:rFonts w:ascii="Times New Roman" w:hAnsi="Times New Roman" w:eastAsia="Times New Roman" w:cs="Times New Roman"/>
                <w:spacing w:val="1"/>
                <w:sz w:val="20"/>
                <w:szCs w:val="20"/>
              </w:rPr>
              <w:t xml:space="preserve">5-20 </w:t>
            </w:r>
            <w:r>
              <w:rPr>
                <w:rFonts w:ascii="Times New Roman" w:hAnsi="Times New Roman" w:eastAsia="Times New Roman" w:cs="Times New Roman"/>
                <w:sz w:val="20"/>
                <w:szCs w:val="20"/>
              </w:rPr>
              <w:t>12</w:t>
            </w:r>
            <w:r>
              <w:rPr>
                <w:sz w:val="20"/>
                <w:szCs w:val="20"/>
              </w:rPr>
              <w:t>）</w:t>
            </w:r>
            <w:r>
              <w:rPr>
                <w:spacing w:val="1"/>
                <w:sz w:val="20"/>
                <w:szCs w:val="20"/>
              </w:rPr>
              <w:t xml:space="preserve"> </w:t>
            </w:r>
            <w:r>
              <w:rPr>
                <w:spacing w:val="5"/>
                <w:sz w:val="20"/>
                <w:szCs w:val="20"/>
              </w:rPr>
              <w:t>及修</w:t>
            </w:r>
            <w:r>
              <w:rPr>
                <w:sz w:val="20"/>
                <w:szCs w:val="20"/>
              </w:rPr>
              <w:t xml:space="preserve"> </w:t>
            </w:r>
            <w:r>
              <w:rPr>
                <w:spacing w:val="5"/>
                <w:sz w:val="20"/>
                <w:szCs w:val="20"/>
              </w:rPr>
              <w:t>改单</w:t>
            </w:r>
            <w:r>
              <w:rPr>
                <w:sz w:val="20"/>
                <w:szCs w:val="20"/>
              </w:rPr>
              <w:t xml:space="preserve"> </w:t>
            </w:r>
            <w:r>
              <w:rPr>
                <w:spacing w:val="5"/>
                <w:sz w:val="20"/>
                <w:szCs w:val="20"/>
              </w:rPr>
              <w:t>二级</w:t>
            </w:r>
            <w:r>
              <w:rPr>
                <w:sz w:val="20"/>
                <w:szCs w:val="20"/>
              </w:rPr>
              <w:t xml:space="preserve"> </w:t>
            </w:r>
            <w:r>
              <w:rPr>
                <w:spacing w:val="5"/>
                <w:sz w:val="20"/>
                <w:szCs w:val="20"/>
              </w:rPr>
              <w:t>标准</w:t>
            </w:r>
          </w:p>
        </w:tc>
        <w:tc>
          <w:tcPr>
            <w:tcW w:w="123" w:type="dxa"/>
            <w:vMerge w:val="restart"/>
            <w:tcBorders>
              <w:top w:val="single" w:color="000000" w:sz="6" w:space="0"/>
              <w:bottom w:val="nil"/>
              <w:right w:val="single" w:color="000000" w:sz="6" w:space="0"/>
            </w:tcBorders>
            <w:vAlign w:val="top"/>
          </w:tcPr>
          <w:p w14:paraId="397ACE59">
            <w:pPr>
              <w:rPr>
                <w:rFonts w:ascii="Arial"/>
                <w:sz w:val="21"/>
              </w:rPr>
            </w:pPr>
          </w:p>
        </w:tc>
      </w:tr>
      <w:tr w14:paraId="52EA5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3" w:hRule="atLeast"/>
        </w:trPr>
        <w:tc>
          <w:tcPr>
            <w:tcW w:w="781" w:type="dxa"/>
            <w:vMerge w:val="continue"/>
            <w:tcBorders>
              <w:top w:val="nil"/>
              <w:left w:val="single" w:color="000000" w:sz="6" w:space="0"/>
              <w:bottom w:val="nil"/>
            </w:tcBorders>
            <w:vAlign w:val="top"/>
          </w:tcPr>
          <w:p w14:paraId="66BEC3F1">
            <w:pPr>
              <w:rPr>
                <w:rFonts w:ascii="Arial"/>
                <w:sz w:val="21"/>
              </w:rPr>
            </w:pPr>
          </w:p>
        </w:tc>
        <w:tc>
          <w:tcPr>
            <w:tcW w:w="569" w:type="dxa"/>
            <w:vAlign w:val="top"/>
          </w:tcPr>
          <w:p w14:paraId="3BF705E6">
            <w:pPr>
              <w:spacing w:line="287" w:lineRule="auto"/>
              <w:rPr>
                <w:rFonts w:ascii="Arial"/>
                <w:sz w:val="21"/>
              </w:rPr>
            </w:pPr>
          </w:p>
          <w:p w14:paraId="5AA4A753">
            <w:pPr>
              <w:spacing w:line="287" w:lineRule="auto"/>
              <w:rPr>
                <w:rFonts w:ascii="Arial"/>
                <w:sz w:val="21"/>
              </w:rPr>
            </w:pPr>
          </w:p>
          <w:p w14:paraId="2241B805">
            <w:pPr>
              <w:pStyle w:val="6"/>
              <w:spacing w:before="65" w:line="280" w:lineRule="auto"/>
              <w:ind w:left="1" w:right="7" w:firstLine="73"/>
              <w:rPr>
                <w:rFonts w:ascii="Times New Roman" w:hAnsi="Times New Roman" w:eastAsia="Times New Roman" w:cs="Times New Roman"/>
                <w:sz w:val="20"/>
                <w:szCs w:val="20"/>
              </w:rPr>
            </w:pPr>
            <w:r>
              <w:rPr>
                <w:spacing w:val="4"/>
                <w:sz w:val="20"/>
                <w:szCs w:val="20"/>
              </w:rPr>
              <w:t>鲁纳</w:t>
            </w:r>
            <w:r>
              <w:rPr>
                <w:sz w:val="20"/>
                <w:szCs w:val="20"/>
              </w:rPr>
              <w:t xml:space="preserve"> </w:t>
            </w:r>
            <w:r>
              <w:rPr>
                <w:spacing w:val="-3"/>
                <w:sz w:val="20"/>
                <w:szCs w:val="20"/>
              </w:rPr>
              <w:t>散户</w:t>
            </w:r>
            <w:r>
              <w:rPr>
                <w:spacing w:val="-37"/>
                <w:sz w:val="20"/>
                <w:szCs w:val="20"/>
              </w:rPr>
              <w:t xml:space="preserve"> </w:t>
            </w:r>
            <w:r>
              <w:rPr>
                <w:rFonts w:ascii="Times New Roman" w:hAnsi="Times New Roman" w:eastAsia="Times New Roman" w:cs="Times New Roman"/>
                <w:spacing w:val="-3"/>
                <w:sz w:val="20"/>
                <w:szCs w:val="20"/>
              </w:rPr>
              <w:t>1</w:t>
            </w:r>
          </w:p>
        </w:tc>
        <w:tc>
          <w:tcPr>
            <w:tcW w:w="498" w:type="dxa"/>
            <w:vAlign w:val="top"/>
          </w:tcPr>
          <w:p w14:paraId="281350C6">
            <w:pPr>
              <w:spacing w:line="244" w:lineRule="auto"/>
              <w:rPr>
                <w:rFonts w:ascii="Arial"/>
                <w:sz w:val="21"/>
              </w:rPr>
            </w:pPr>
          </w:p>
          <w:p w14:paraId="490D6766">
            <w:pPr>
              <w:spacing w:line="245" w:lineRule="auto"/>
              <w:rPr>
                <w:rFonts w:ascii="Arial"/>
                <w:sz w:val="21"/>
              </w:rPr>
            </w:pPr>
          </w:p>
          <w:p w14:paraId="08433B76">
            <w:pPr>
              <w:spacing w:line="245" w:lineRule="auto"/>
              <w:rPr>
                <w:rFonts w:ascii="Arial"/>
                <w:sz w:val="21"/>
              </w:rPr>
            </w:pPr>
          </w:p>
          <w:p w14:paraId="42760466">
            <w:pPr>
              <w:pStyle w:val="6"/>
              <w:spacing w:before="65" w:line="228" w:lineRule="auto"/>
              <w:ind w:left="42"/>
              <w:rPr>
                <w:sz w:val="20"/>
                <w:szCs w:val="20"/>
              </w:rPr>
            </w:pPr>
            <w:r>
              <w:rPr>
                <w:spacing w:val="3"/>
                <w:sz w:val="20"/>
                <w:szCs w:val="20"/>
              </w:rPr>
              <w:t>居民</w:t>
            </w:r>
          </w:p>
        </w:tc>
        <w:tc>
          <w:tcPr>
            <w:tcW w:w="633" w:type="dxa"/>
            <w:vAlign w:val="top"/>
          </w:tcPr>
          <w:p w14:paraId="05F626CC">
            <w:pPr>
              <w:spacing w:line="287" w:lineRule="auto"/>
              <w:rPr>
                <w:rFonts w:ascii="Arial"/>
                <w:sz w:val="21"/>
              </w:rPr>
            </w:pPr>
          </w:p>
          <w:p w14:paraId="2F54D78F">
            <w:pPr>
              <w:spacing w:line="288" w:lineRule="auto"/>
              <w:rPr>
                <w:rFonts w:ascii="Arial"/>
                <w:sz w:val="21"/>
              </w:rPr>
            </w:pPr>
          </w:p>
          <w:p w14:paraId="68BFB872">
            <w:pPr>
              <w:pStyle w:val="6"/>
              <w:spacing w:before="65" w:line="281" w:lineRule="auto"/>
              <w:ind w:left="98" w:right="3" w:hanging="88"/>
              <w:rPr>
                <w:sz w:val="20"/>
                <w:szCs w:val="20"/>
              </w:rPr>
            </w:pPr>
            <w:r>
              <w:rPr>
                <w:spacing w:val="-1"/>
                <w:sz w:val="20"/>
                <w:szCs w:val="20"/>
              </w:rPr>
              <w:t>约</w:t>
            </w:r>
            <w:r>
              <w:rPr>
                <w:spacing w:val="-47"/>
                <w:sz w:val="20"/>
                <w:szCs w:val="20"/>
              </w:rPr>
              <w:t xml:space="preserve"> </w:t>
            </w:r>
            <w:r>
              <w:rPr>
                <w:rFonts w:ascii="Times New Roman" w:hAnsi="Times New Roman" w:eastAsia="Times New Roman" w:cs="Times New Roman"/>
                <w:spacing w:val="-1"/>
                <w:sz w:val="20"/>
                <w:szCs w:val="20"/>
              </w:rPr>
              <w:t>4</w:t>
            </w:r>
            <w:r>
              <w:rPr>
                <w:rFonts w:ascii="Times New Roman" w:hAnsi="Times New Roman" w:eastAsia="Times New Roman" w:cs="Times New Roman"/>
                <w:spacing w:val="12"/>
                <w:w w:val="101"/>
                <w:sz w:val="20"/>
                <w:szCs w:val="20"/>
              </w:rPr>
              <w:t xml:space="preserve"> </w:t>
            </w:r>
            <w:r>
              <w:rPr>
                <w:spacing w:val="-1"/>
                <w:sz w:val="20"/>
                <w:szCs w:val="20"/>
              </w:rPr>
              <w:t>户</w:t>
            </w:r>
            <w:r>
              <w:rPr>
                <w:sz w:val="20"/>
                <w:szCs w:val="20"/>
              </w:rPr>
              <w:t xml:space="preserve"> </w:t>
            </w:r>
            <w:r>
              <w:rPr>
                <w:rFonts w:ascii="Times New Roman" w:hAnsi="Times New Roman" w:eastAsia="Times New Roman" w:cs="Times New Roman"/>
                <w:spacing w:val="-5"/>
                <w:sz w:val="20"/>
                <w:szCs w:val="20"/>
              </w:rPr>
              <w:t>16</w:t>
            </w:r>
            <w:r>
              <w:rPr>
                <w:rFonts w:ascii="Times New Roman" w:hAnsi="Times New Roman" w:eastAsia="Times New Roman" w:cs="Times New Roman"/>
                <w:spacing w:val="11"/>
                <w:sz w:val="20"/>
                <w:szCs w:val="20"/>
              </w:rPr>
              <w:t xml:space="preserve"> </w:t>
            </w:r>
            <w:r>
              <w:rPr>
                <w:spacing w:val="-5"/>
                <w:sz w:val="20"/>
                <w:szCs w:val="20"/>
              </w:rPr>
              <w:t>人</w:t>
            </w:r>
          </w:p>
        </w:tc>
        <w:tc>
          <w:tcPr>
            <w:tcW w:w="997" w:type="dxa"/>
            <w:vAlign w:val="top"/>
          </w:tcPr>
          <w:p w14:paraId="029684D1">
            <w:pPr>
              <w:spacing w:line="259" w:lineRule="auto"/>
              <w:rPr>
                <w:rFonts w:ascii="Arial"/>
                <w:sz w:val="21"/>
              </w:rPr>
            </w:pPr>
          </w:p>
          <w:p w14:paraId="6BAEDC74">
            <w:pPr>
              <w:spacing w:line="259" w:lineRule="auto"/>
              <w:rPr>
                <w:rFonts w:ascii="Arial"/>
                <w:sz w:val="21"/>
              </w:rPr>
            </w:pPr>
          </w:p>
          <w:p w14:paraId="291C3596">
            <w:pPr>
              <w:spacing w:line="259" w:lineRule="auto"/>
              <w:rPr>
                <w:rFonts w:ascii="Arial"/>
                <w:sz w:val="21"/>
              </w:rPr>
            </w:pPr>
          </w:p>
          <w:p w14:paraId="3070BA20">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103.44612</w:t>
            </w:r>
          </w:p>
        </w:tc>
        <w:tc>
          <w:tcPr>
            <w:tcW w:w="1083" w:type="dxa"/>
            <w:vAlign w:val="top"/>
          </w:tcPr>
          <w:p w14:paraId="5518373B">
            <w:pPr>
              <w:spacing w:line="259" w:lineRule="auto"/>
              <w:rPr>
                <w:rFonts w:ascii="Arial"/>
                <w:sz w:val="21"/>
              </w:rPr>
            </w:pPr>
          </w:p>
          <w:p w14:paraId="015065B0">
            <w:pPr>
              <w:spacing w:line="259" w:lineRule="auto"/>
              <w:rPr>
                <w:rFonts w:ascii="Arial"/>
                <w:sz w:val="21"/>
              </w:rPr>
            </w:pPr>
          </w:p>
          <w:p w14:paraId="35F48EE5">
            <w:pPr>
              <w:spacing w:line="259" w:lineRule="auto"/>
              <w:rPr>
                <w:rFonts w:ascii="Arial"/>
                <w:sz w:val="21"/>
              </w:rPr>
            </w:pPr>
          </w:p>
          <w:p w14:paraId="28CD4C8E">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25.68679</w:t>
            </w:r>
          </w:p>
        </w:tc>
        <w:tc>
          <w:tcPr>
            <w:tcW w:w="1180" w:type="dxa"/>
            <w:vAlign w:val="top"/>
          </w:tcPr>
          <w:p w14:paraId="6F637883">
            <w:pPr>
              <w:spacing w:line="257" w:lineRule="auto"/>
              <w:rPr>
                <w:rFonts w:ascii="Arial"/>
                <w:sz w:val="21"/>
              </w:rPr>
            </w:pPr>
          </w:p>
          <w:p w14:paraId="1D7EB30D">
            <w:pPr>
              <w:pStyle w:val="6"/>
              <w:spacing w:before="65" w:line="228" w:lineRule="auto"/>
              <w:jc w:val="right"/>
              <w:rPr>
                <w:sz w:val="20"/>
                <w:szCs w:val="20"/>
              </w:rPr>
            </w:pP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5"/>
                <w:sz w:val="20"/>
                <w:szCs w:val="20"/>
              </w:rPr>
              <w:t xml:space="preserve"> </w:t>
            </w:r>
            <w:r>
              <w:rPr>
                <w:spacing w:val="6"/>
                <w:sz w:val="20"/>
                <w:szCs w:val="20"/>
              </w:rPr>
              <w:t>集电线</w:t>
            </w:r>
          </w:p>
          <w:p w14:paraId="4C02EC64">
            <w:pPr>
              <w:pStyle w:val="6"/>
              <w:spacing w:before="72" w:line="228" w:lineRule="auto"/>
              <w:ind w:left="30"/>
              <w:rPr>
                <w:sz w:val="20"/>
                <w:szCs w:val="20"/>
              </w:rPr>
            </w:pPr>
            <w:r>
              <w:rPr>
                <w:spacing w:val="-3"/>
                <w:sz w:val="20"/>
                <w:szCs w:val="20"/>
              </w:rPr>
              <w:t>路</w:t>
            </w:r>
            <w:r>
              <w:rPr>
                <w:spacing w:val="-41"/>
                <w:sz w:val="20"/>
                <w:szCs w:val="20"/>
              </w:rPr>
              <w:t xml:space="preserve"> </w:t>
            </w:r>
            <w:r>
              <w:rPr>
                <w:rFonts w:ascii="Times New Roman" w:hAnsi="Times New Roman" w:eastAsia="Times New Roman" w:cs="Times New Roman"/>
                <w:spacing w:val="-3"/>
                <w:sz w:val="20"/>
                <w:szCs w:val="20"/>
              </w:rPr>
              <w:t>B</w:t>
            </w:r>
            <w:r>
              <w:rPr>
                <w:rFonts w:ascii="Times New Roman" w:hAnsi="Times New Roman" w:eastAsia="Times New Roman" w:cs="Times New Roman"/>
                <w:spacing w:val="34"/>
                <w:w w:val="101"/>
                <w:sz w:val="20"/>
                <w:szCs w:val="20"/>
              </w:rPr>
              <w:t xml:space="preserve"> </w:t>
            </w:r>
            <w:r>
              <w:rPr>
                <w:spacing w:val="-3"/>
                <w:sz w:val="20"/>
                <w:szCs w:val="20"/>
              </w:rPr>
              <w:t>回</w:t>
            </w:r>
            <w:r>
              <w:rPr>
                <w:spacing w:val="-35"/>
                <w:sz w:val="20"/>
                <w:szCs w:val="20"/>
              </w:rPr>
              <w:t xml:space="preserve"> </w:t>
            </w:r>
            <w:r>
              <w:rPr>
                <w:rFonts w:ascii="Times New Roman" w:hAnsi="Times New Roman" w:eastAsia="Times New Roman" w:cs="Times New Roman"/>
                <w:spacing w:val="-3"/>
                <w:sz w:val="20"/>
                <w:szCs w:val="20"/>
              </w:rPr>
              <w:t>8#</w:t>
            </w:r>
            <w:r>
              <w:rPr>
                <w:spacing w:val="-3"/>
                <w:sz w:val="20"/>
                <w:szCs w:val="20"/>
              </w:rPr>
              <w:t>塔</w:t>
            </w:r>
          </w:p>
          <w:p w14:paraId="685A3C31">
            <w:pPr>
              <w:pStyle w:val="6"/>
              <w:spacing w:before="72" w:line="228" w:lineRule="auto"/>
              <w:jc w:val="right"/>
              <w:rPr>
                <w:sz w:val="20"/>
                <w:szCs w:val="20"/>
              </w:rPr>
            </w:pPr>
            <w:r>
              <w:rPr>
                <w:spacing w:val="-8"/>
                <w:sz w:val="20"/>
                <w:szCs w:val="20"/>
              </w:rPr>
              <w:t>基南侧</w:t>
            </w:r>
            <w:r>
              <w:rPr>
                <w:spacing w:val="-35"/>
                <w:sz w:val="20"/>
                <w:szCs w:val="20"/>
              </w:rPr>
              <w:t xml:space="preserve"> </w:t>
            </w:r>
            <w:r>
              <w:rPr>
                <w:rFonts w:ascii="Times New Roman" w:hAnsi="Times New Roman" w:eastAsia="Times New Roman" w:cs="Times New Roman"/>
                <w:spacing w:val="-8"/>
                <w:sz w:val="20"/>
                <w:szCs w:val="20"/>
              </w:rPr>
              <w:t>31m</w:t>
            </w:r>
            <w:r>
              <w:rPr>
                <w:spacing w:val="-8"/>
                <w:sz w:val="20"/>
                <w:szCs w:val="20"/>
              </w:rPr>
              <w:t>，</w:t>
            </w:r>
          </w:p>
          <w:p w14:paraId="59D4F9F0">
            <w:pPr>
              <w:pStyle w:val="6"/>
              <w:spacing w:before="74" w:line="228" w:lineRule="auto"/>
              <w:ind w:left="120"/>
              <w:rPr>
                <w:rFonts w:ascii="Times New Roman" w:hAnsi="Times New Roman" w:eastAsia="Times New Roman" w:cs="Times New Roman"/>
                <w:sz w:val="20"/>
                <w:szCs w:val="20"/>
              </w:rPr>
            </w:pPr>
            <w:r>
              <w:rPr>
                <w:spacing w:val="4"/>
                <w:sz w:val="20"/>
                <w:szCs w:val="20"/>
              </w:rPr>
              <w:t>高差</w:t>
            </w:r>
            <w:r>
              <w:rPr>
                <w:rFonts w:ascii="Times New Roman" w:hAnsi="Times New Roman" w:eastAsia="Times New Roman" w:cs="Times New Roman"/>
                <w:spacing w:val="4"/>
                <w:sz w:val="20"/>
                <w:szCs w:val="20"/>
              </w:rPr>
              <w:t>+0.5m</w:t>
            </w:r>
          </w:p>
        </w:tc>
        <w:tc>
          <w:tcPr>
            <w:tcW w:w="2714" w:type="dxa"/>
            <w:vAlign w:val="top"/>
          </w:tcPr>
          <w:p w14:paraId="27A1F938">
            <w:pPr>
              <w:spacing w:line="1760" w:lineRule="exact"/>
              <w:ind w:firstLine="107"/>
            </w:pPr>
            <w:r>
              <w:rPr>
                <w:position w:val="-35"/>
              </w:rPr>
              <w:drawing>
                <wp:inline distT="0" distB="0" distL="0" distR="0">
                  <wp:extent cx="1609090" cy="111696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14"/>
                          <a:stretch>
                            <a:fillRect/>
                          </a:stretch>
                        </pic:blipFill>
                        <pic:spPr>
                          <a:xfrm>
                            <a:off x="0" y="0"/>
                            <a:ext cx="1609344" cy="1117092"/>
                          </a:xfrm>
                          <a:prstGeom prst="rect">
                            <a:avLst/>
                          </a:prstGeom>
                        </pic:spPr>
                      </pic:pic>
                    </a:graphicData>
                  </a:graphic>
                </wp:inline>
              </w:drawing>
            </w:r>
          </w:p>
        </w:tc>
        <w:tc>
          <w:tcPr>
            <w:tcW w:w="486" w:type="dxa"/>
            <w:vMerge w:val="continue"/>
            <w:tcBorders>
              <w:top w:val="nil"/>
              <w:bottom w:val="nil"/>
            </w:tcBorders>
            <w:vAlign w:val="top"/>
          </w:tcPr>
          <w:p w14:paraId="365EB811">
            <w:pPr>
              <w:rPr>
                <w:rFonts w:ascii="Arial"/>
                <w:sz w:val="21"/>
              </w:rPr>
            </w:pPr>
          </w:p>
        </w:tc>
        <w:tc>
          <w:tcPr>
            <w:tcW w:w="123" w:type="dxa"/>
            <w:vMerge w:val="continue"/>
            <w:tcBorders>
              <w:top w:val="nil"/>
              <w:bottom w:val="nil"/>
              <w:right w:val="single" w:color="000000" w:sz="6" w:space="0"/>
            </w:tcBorders>
            <w:vAlign w:val="top"/>
          </w:tcPr>
          <w:p w14:paraId="3450AD9A">
            <w:pPr>
              <w:rPr>
                <w:rFonts w:ascii="Arial"/>
                <w:sz w:val="21"/>
              </w:rPr>
            </w:pPr>
          </w:p>
        </w:tc>
      </w:tr>
      <w:tr w14:paraId="01D62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781" w:type="dxa"/>
            <w:vMerge w:val="continue"/>
            <w:tcBorders>
              <w:top w:val="nil"/>
              <w:left w:val="single" w:color="000000" w:sz="6" w:space="0"/>
              <w:bottom w:val="nil"/>
            </w:tcBorders>
            <w:vAlign w:val="top"/>
          </w:tcPr>
          <w:p w14:paraId="7B73F465">
            <w:pPr>
              <w:rPr>
                <w:rFonts w:ascii="Arial"/>
                <w:sz w:val="21"/>
              </w:rPr>
            </w:pPr>
          </w:p>
        </w:tc>
        <w:tc>
          <w:tcPr>
            <w:tcW w:w="569" w:type="dxa"/>
            <w:vAlign w:val="top"/>
          </w:tcPr>
          <w:p w14:paraId="7F1CDF86">
            <w:pPr>
              <w:spacing w:line="334" w:lineRule="auto"/>
              <w:rPr>
                <w:rFonts w:ascii="Arial"/>
                <w:sz w:val="21"/>
              </w:rPr>
            </w:pPr>
          </w:p>
          <w:p w14:paraId="5422600C">
            <w:pPr>
              <w:pStyle w:val="6"/>
              <w:spacing w:before="65" w:line="280" w:lineRule="auto"/>
              <w:ind w:left="1" w:right="7" w:firstLine="73"/>
              <w:rPr>
                <w:rFonts w:ascii="Times New Roman" w:hAnsi="Times New Roman" w:eastAsia="Times New Roman" w:cs="Times New Roman"/>
                <w:sz w:val="20"/>
                <w:szCs w:val="20"/>
              </w:rPr>
            </w:pPr>
            <w:r>
              <w:rPr>
                <w:spacing w:val="4"/>
                <w:sz w:val="20"/>
                <w:szCs w:val="20"/>
              </w:rPr>
              <w:t>鲁纳</w:t>
            </w:r>
            <w:r>
              <w:rPr>
                <w:sz w:val="20"/>
                <w:szCs w:val="20"/>
              </w:rPr>
              <w:t xml:space="preserve"> </w:t>
            </w:r>
            <w:r>
              <w:rPr>
                <w:spacing w:val="18"/>
                <w:sz w:val="20"/>
                <w:szCs w:val="20"/>
              </w:rPr>
              <w:t>散户</w:t>
            </w:r>
            <w:r>
              <w:rPr>
                <w:rFonts w:ascii="Times New Roman" w:hAnsi="Times New Roman" w:eastAsia="Times New Roman" w:cs="Times New Roman"/>
                <w:spacing w:val="18"/>
                <w:sz w:val="20"/>
                <w:szCs w:val="20"/>
              </w:rPr>
              <w:t>2</w:t>
            </w:r>
          </w:p>
        </w:tc>
        <w:tc>
          <w:tcPr>
            <w:tcW w:w="498" w:type="dxa"/>
            <w:vAlign w:val="top"/>
          </w:tcPr>
          <w:p w14:paraId="74A63E55">
            <w:pPr>
              <w:spacing w:line="246" w:lineRule="auto"/>
              <w:rPr>
                <w:rFonts w:ascii="Arial"/>
                <w:sz w:val="21"/>
              </w:rPr>
            </w:pPr>
          </w:p>
          <w:p w14:paraId="0534CFC4">
            <w:pPr>
              <w:spacing w:line="246" w:lineRule="auto"/>
              <w:rPr>
                <w:rFonts w:ascii="Arial"/>
                <w:sz w:val="21"/>
              </w:rPr>
            </w:pPr>
          </w:p>
          <w:p w14:paraId="45AAD043">
            <w:pPr>
              <w:pStyle w:val="6"/>
              <w:spacing w:before="65" w:line="228" w:lineRule="auto"/>
              <w:ind w:left="42"/>
              <w:rPr>
                <w:sz w:val="20"/>
                <w:szCs w:val="20"/>
              </w:rPr>
            </w:pPr>
            <w:r>
              <w:rPr>
                <w:spacing w:val="3"/>
                <w:sz w:val="20"/>
                <w:szCs w:val="20"/>
              </w:rPr>
              <w:t>居民</w:t>
            </w:r>
          </w:p>
        </w:tc>
        <w:tc>
          <w:tcPr>
            <w:tcW w:w="633" w:type="dxa"/>
            <w:vAlign w:val="top"/>
          </w:tcPr>
          <w:p w14:paraId="33BA7382">
            <w:pPr>
              <w:spacing w:line="335" w:lineRule="auto"/>
              <w:rPr>
                <w:rFonts w:ascii="Arial"/>
                <w:sz w:val="21"/>
              </w:rPr>
            </w:pPr>
          </w:p>
          <w:p w14:paraId="689F0EE6">
            <w:pPr>
              <w:pStyle w:val="6"/>
              <w:spacing w:before="65" w:line="281" w:lineRule="auto"/>
              <w:ind w:left="215" w:right="55" w:hanging="143"/>
              <w:rPr>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11"/>
                <w:sz w:val="20"/>
                <w:szCs w:val="20"/>
              </w:rPr>
              <w:t xml:space="preserve"> </w:t>
            </w:r>
            <w:r>
              <w:rPr>
                <w:spacing w:val="-7"/>
                <w:sz w:val="20"/>
                <w:szCs w:val="20"/>
              </w:rPr>
              <w:t>户</w:t>
            </w:r>
            <w:r>
              <w:rPr>
                <w:spacing w:val="-41"/>
                <w:sz w:val="20"/>
                <w:szCs w:val="20"/>
              </w:rPr>
              <w:t xml:space="preserve"> </w:t>
            </w: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 xml:space="preserve"> </w:t>
            </w:r>
            <w:r>
              <w:rPr>
                <w:sz w:val="20"/>
                <w:szCs w:val="20"/>
              </w:rPr>
              <w:t>人</w:t>
            </w:r>
          </w:p>
        </w:tc>
        <w:tc>
          <w:tcPr>
            <w:tcW w:w="997" w:type="dxa"/>
            <w:vAlign w:val="top"/>
          </w:tcPr>
          <w:p w14:paraId="0D02C730">
            <w:pPr>
              <w:spacing w:line="267" w:lineRule="auto"/>
              <w:rPr>
                <w:rFonts w:ascii="Arial"/>
                <w:sz w:val="21"/>
              </w:rPr>
            </w:pPr>
          </w:p>
          <w:p w14:paraId="3F3616ED">
            <w:pPr>
              <w:spacing w:line="267" w:lineRule="auto"/>
              <w:rPr>
                <w:rFonts w:ascii="Arial"/>
                <w:sz w:val="21"/>
              </w:rPr>
            </w:pPr>
          </w:p>
          <w:p w14:paraId="4A6BBFE8">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103.43898</w:t>
            </w:r>
          </w:p>
        </w:tc>
        <w:tc>
          <w:tcPr>
            <w:tcW w:w="1083" w:type="dxa"/>
            <w:vAlign w:val="top"/>
          </w:tcPr>
          <w:p w14:paraId="24A1C565">
            <w:pPr>
              <w:spacing w:line="267" w:lineRule="auto"/>
              <w:rPr>
                <w:rFonts w:ascii="Arial"/>
                <w:sz w:val="21"/>
              </w:rPr>
            </w:pPr>
          </w:p>
          <w:p w14:paraId="013057BA">
            <w:pPr>
              <w:spacing w:line="267" w:lineRule="auto"/>
              <w:rPr>
                <w:rFonts w:ascii="Arial"/>
                <w:sz w:val="21"/>
              </w:rPr>
            </w:pPr>
          </w:p>
          <w:p w14:paraId="28BEE630">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25.67687</w:t>
            </w:r>
          </w:p>
        </w:tc>
        <w:tc>
          <w:tcPr>
            <w:tcW w:w="1180" w:type="dxa"/>
            <w:vAlign w:val="top"/>
          </w:tcPr>
          <w:p w14:paraId="5F663DBF">
            <w:pPr>
              <w:pStyle w:val="6"/>
              <w:spacing w:before="79" w:line="228" w:lineRule="auto"/>
              <w:ind w:left="34"/>
              <w:rPr>
                <w:sz w:val="20"/>
                <w:szCs w:val="20"/>
              </w:rPr>
            </w:pPr>
            <w:r>
              <w:rPr>
                <w:spacing w:val="-3"/>
                <w:sz w:val="20"/>
                <w:szCs w:val="20"/>
              </w:rPr>
              <w:t>区块</w:t>
            </w:r>
            <w:r>
              <w:rPr>
                <w:spacing w:val="-18"/>
                <w:sz w:val="20"/>
                <w:szCs w:val="20"/>
              </w:rPr>
              <w:t xml:space="preserve"> </w:t>
            </w:r>
            <w:r>
              <w:rPr>
                <w:rFonts w:ascii="Times New Roman" w:hAnsi="Times New Roman" w:eastAsia="Times New Roman" w:cs="Times New Roman"/>
                <w:spacing w:val="-3"/>
                <w:sz w:val="20"/>
                <w:szCs w:val="20"/>
              </w:rPr>
              <w:t>13</w:t>
            </w:r>
            <w:r>
              <w:rPr>
                <w:rFonts w:ascii="Times New Roman" w:hAnsi="Times New Roman" w:eastAsia="Times New Roman" w:cs="Times New Roman"/>
                <w:spacing w:val="16"/>
                <w:sz w:val="20"/>
                <w:szCs w:val="20"/>
              </w:rPr>
              <w:t xml:space="preserve"> </w:t>
            </w:r>
            <w:r>
              <w:rPr>
                <w:spacing w:val="-3"/>
                <w:sz w:val="20"/>
                <w:szCs w:val="20"/>
              </w:rPr>
              <w:t>北侧</w:t>
            </w:r>
          </w:p>
          <w:p w14:paraId="77F7CF68">
            <w:pPr>
              <w:pStyle w:val="6"/>
              <w:spacing w:before="74" w:line="228" w:lineRule="auto"/>
              <w:ind w:left="83"/>
              <w:rPr>
                <w:sz w:val="20"/>
                <w:szCs w:val="20"/>
              </w:rPr>
            </w:pPr>
            <w:r>
              <w:rPr>
                <w:spacing w:val="5"/>
                <w:sz w:val="20"/>
                <w:szCs w:val="20"/>
              </w:rPr>
              <w:t>阵列西南侧</w:t>
            </w:r>
          </w:p>
          <w:p w14:paraId="5A11EF69">
            <w:pPr>
              <w:pStyle w:val="6"/>
              <w:spacing w:before="72" w:line="228" w:lineRule="auto"/>
              <w:ind w:left="21"/>
              <w:rPr>
                <w:sz w:val="20"/>
                <w:szCs w:val="20"/>
              </w:rPr>
            </w:pPr>
            <w:r>
              <w:rPr>
                <w:spacing w:val="1"/>
                <w:sz w:val="20"/>
                <w:szCs w:val="20"/>
              </w:rPr>
              <w:t>约</w:t>
            </w:r>
            <w:r>
              <w:rPr>
                <w:spacing w:val="-39"/>
                <w:sz w:val="20"/>
                <w:szCs w:val="20"/>
              </w:rPr>
              <w:t xml:space="preserve"> </w:t>
            </w:r>
            <w:r>
              <w:rPr>
                <w:rFonts w:ascii="Times New Roman" w:hAnsi="Times New Roman" w:eastAsia="Times New Roman" w:cs="Times New Roman"/>
                <w:spacing w:val="1"/>
                <w:sz w:val="20"/>
                <w:szCs w:val="20"/>
              </w:rPr>
              <w:t>307m</w:t>
            </w:r>
            <w:r>
              <w:rPr>
                <w:rFonts w:ascii="Times New Roman" w:hAnsi="Times New Roman" w:eastAsia="Times New Roman" w:cs="Times New Roman"/>
                <w:spacing w:val="-26"/>
                <w:sz w:val="20"/>
                <w:szCs w:val="20"/>
              </w:rPr>
              <w:t xml:space="preserve"> </w:t>
            </w:r>
            <w:r>
              <w:rPr>
                <w:spacing w:val="1"/>
                <w:sz w:val="20"/>
                <w:szCs w:val="20"/>
              </w:rPr>
              <w:t>，高</w:t>
            </w:r>
          </w:p>
          <w:p w14:paraId="7BC05C16">
            <w:pPr>
              <w:pStyle w:val="6"/>
              <w:spacing w:before="73" w:line="215" w:lineRule="auto"/>
              <w:ind w:left="223"/>
              <w:rPr>
                <w:rFonts w:ascii="Times New Roman" w:hAnsi="Times New Roman" w:eastAsia="Times New Roman" w:cs="Times New Roman"/>
                <w:sz w:val="20"/>
                <w:szCs w:val="20"/>
              </w:rPr>
            </w:pPr>
            <w:r>
              <w:rPr>
                <w:spacing w:val="4"/>
                <w:sz w:val="20"/>
                <w:szCs w:val="20"/>
              </w:rPr>
              <w:t>差</w:t>
            </w:r>
            <w:r>
              <w:rPr>
                <w:rFonts w:ascii="Times New Roman" w:hAnsi="Times New Roman" w:eastAsia="Times New Roman" w:cs="Times New Roman"/>
                <w:spacing w:val="4"/>
                <w:sz w:val="20"/>
                <w:szCs w:val="20"/>
              </w:rPr>
              <w:t>+4.4m</w:t>
            </w:r>
          </w:p>
        </w:tc>
        <w:tc>
          <w:tcPr>
            <w:tcW w:w="2714" w:type="dxa"/>
            <w:vMerge w:val="restart"/>
            <w:tcBorders>
              <w:bottom w:val="nil"/>
            </w:tcBorders>
            <w:vAlign w:val="top"/>
          </w:tcPr>
          <w:p w14:paraId="3DE0FBFE">
            <w:pPr>
              <w:spacing w:line="250" w:lineRule="auto"/>
              <w:rPr>
                <w:rFonts w:ascii="Arial"/>
                <w:sz w:val="21"/>
              </w:rPr>
            </w:pPr>
          </w:p>
          <w:p w14:paraId="382C6014">
            <w:pPr>
              <w:spacing w:line="251" w:lineRule="auto"/>
              <w:rPr>
                <w:rFonts w:ascii="Arial"/>
                <w:sz w:val="21"/>
              </w:rPr>
            </w:pPr>
          </w:p>
          <w:p w14:paraId="070E7A03">
            <w:pPr>
              <w:spacing w:line="251" w:lineRule="auto"/>
              <w:rPr>
                <w:rFonts w:ascii="Arial"/>
                <w:sz w:val="21"/>
              </w:rPr>
            </w:pPr>
          </w:p>
          <w:p w14:paraId="290EF1AE">
            <w:pPr>
              <w:spacing w:line="251" w:lineRule="auto"/>
              <w:rPr>
                <w:rFonts w:ascii="Arial"/>
                <w:sz w:val="21"/>
              </w:rPr>
            </w:pPr>
          </w:p>
          <w:p w14:paraId="68034936">
            <w:pPr>
              <w:spacing w:line="4080" w:lineRule="exact"/>
              <w:ind w:firstLine="107"/>
            </w:pPr>
            <w:r>
              <w:rPr>
                <w:position w:val="-81"/>
              </w:rPr>
              <w:drawing>
                <wp:inline distT="0" distB="0" distL="0" distR="0">
                  <wp:extent cx="1633220" cy="25908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15"/>
                          <a:stretch>
                            <a:fillRect/>
                          </a:stretch>
                        </pic:blipFill>
                        <pic:spPr>
                          <a:xfrm>
                            <a:off x="0" y="0"/>
                            <a:ext cx="1633727" cy="2590800"/>
                          </a:xfrm>
                          <a:prstGeom prst="rect">
                            <a:avLst/>
                          </a:prstGeom>
                        </pic:spPr>
                      </pic:pic>
                    </a:graphicData>
                  </a:graphic>
                </wp:inline>
              </w:drawing>
            </w:r>
          </w:p>
        </w:tc>
        <w:tc>
          <w:tcPr>
            <w:tcW w:w="486" w:type="dxa"/>
            <w:vMerge w:val="continue"/>
            <w:tcBorders>
              <w:top w:val="nil"/>
              <w:bottom w:val="nil"/>
            </w:tcBorders>
            <w:vAlign w:val="top"/>
          </w:tcPr>
          <w:p w14:paraId="62FB50F5">
            <w:pPr>
              <w:rPr>
                <w:rFonts w:ascii="Arial"/>
                <w:sz w:val="21"/>
              </w:rPr>
            </w:pPr>
          </w:p>
        </w:tc>
        <w:tc>
          <w:tcPr>
            <w:tcW w:w="123" w:type="dxa"/>
            <w:vMerge w:val="continue"/>
            <w:tcBorders>
              <w:top w:val="nil"/>
              <w:bottom w:val="nil"/>
              <w:right w:val="single" w:color="000000" w:sz="6" w:space="0"/>
            </w:tcBorders>
            <w:vAlign w:val="top"/>
          </w:tcPr>
          <w:p w14:paraId="72FA81DD">
            <w:pPr>
              <w:rPr>
                <w:rFonts w:ascii="Arial"/>
                <w:sz w:val="21"/>
              </w:rPr>
            </w:pPr>
          </w:p>
        </w:tc>
      </w:tr>
      <w:tr w14:paraId="755D9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781" w:type="dxa"/>
            <w:vMerge w:val="continue"/>
            <w:tcBorders>
              <w:top w:val="nil"/>
              <w:left w:val="single" w:color="000000" w:sz="6" w:space="0"/>
              <w:bottom w:val="nil"/>
            </w:tcBorders>
            <w:vAlign w:val="top"/>
          </w:tcPr>
          <w:p w14:paraId="1AA4F153">
            <w:pPr>
              <w:rPr>
                <w:rFonts w:ascii="Arial"/>
                <w:sz w:val="21"/>
              </w:rPr>
            </w:pPr>
          </w:p>
        </w:tc>
        <w:tc>
          <w:tcPr>
            <w:tcW w:w="569" w:type="dxa"/>
            <w:vAlign w:val="top"/>
          </w:tcPr>
          <w:p w14:paraId="798F6E4A">
            <w:pPr>
              <w:spacing w:line="334" w:lineRule="auto"/>
              <w:rPr>
                <w:rFonts w:ascii="Arial"/>
                <w:sz w:val="21"/>
              </w:rPr>
            </w:pPr>
          </w:p>
          <w:p w14:paraId="590C54A4">
            <w:pPr>
              <w:pStyle w:val="6"/>
              <w:spacing w:before="65" w:line="280" w:lineRule="auto"/>
              <w:ind w:left="1" w:right="7" w:firstLine="73"/>
              <w:rPr>
                <w:rFonts w:ascii="Times New Roman" w:hAnsi="Times New Roman" w:eastAsia="Times New Roman" w:cs="Times New Roman"/>
                <w:sz w:val="20"/>
                <w:szCs w:val="20"/>
              </w:rPr>
            </w:pPr>
            <w:r>
              <w:rPr>
                <w:spacing w:val="4"/>
                <w:sz w:val="20"/>
                <w:szCs w:val="20"/>
              </w:rPr>
              <w:t>鲁纳</w:t>
            </w:r>
            <w:r>
              <w:rPr>
                <w:sz w:val="20"/>
                <w:szCs w:val="20"/>
              </w:rPr>
              <w:t xml:space="preserve"> </w:t>
            </w:r>
            <w:r>
              <w:rPr>
                <w:spacing w:val="2"/>
                <w:sz w:val="20"/>
                <w:szCs w:val="20"/>
              </w:rPr>
              <w:t>散户</w:t>
            </w:r>
            <w:r>
              <w:rPr>
                <w:spacing w:val="-52"/>
                <w:sz w:val="20"/>
                <w:szCs w:val="20"/>
              </w:rPr>
              <w:t xml:space="preserve"> </w:t>
            </w:r>
            <w:r>
              <w:rPr>
                <w:rFonts w:ascii="Times New Roman" w:hAnsi="Times New Roman" w:eastAsia="Times New Roman" w:cs="Times New Roman"/>
                <w:spacing w:val="2"/>
                <w:sz w:val="20"/>
                <w:szCs w:val="20"/>
              </w:rPr>
              <w:t>3</w:t>
            </w:r>
          </w:p>
        </w:tc>
        <w:tc>
          <w:tcPr>
            <w:tcW w:w="498" w:type="dxa"/>
            <w:vAlign w:val="top"/>
          </w:tcPr>
          <w:p w14:paraId="04FF5654">
            <w:pPr>
              <w:spacing w:line="247" w:lineRule="auto"/>
              <w:rPr>
                <w:rFonts w:ascii="Arial"/>
                <w:sz w:val="21"/>
              </w:rPr>
            </w:pPr>
          </w:p>
          <w:p w14:paraId="013CCED8">
            <w:pPr>
              <w:spacing w:line="248" w:lineRule="auto"/>
              <w:rPr>
                <w:rFonts w:ascii="Arial"/>
                <w:sz w:val="21"/>
              </w:rPr>
            </w:pPr>
          </w:p>
          <w:p w14:paraId="72039A22">
            <w:pPr>
              <w:pStyle w:val="6"/>
              <w:spacing w:before="65" w:line="228" w:lineRule="auto"/>
              <w:ind w:left="42"/>
              <w:rPr>
                <w:sz w:val="20"/>
                <w:szCs w:val="20"/>
              </w:rPr>
            </w:pPr>
            <w:r>
              <w:rPr>
                <w:spacing w:val="3"/>
                <w:sz w:val="20"/>
                <w:szCs w:val="20"/>
              </w:rPr>
              <w:t>居民</w:t>
            </w:r>
          </w:p>
        </w:tc>
        <w:tc>
          <w:tcPr>
            <w:tcW w:w="633" w:type="dxa"/>
            <w:vAlign w:val="top"/>
          </w:tcPr>
          <w:p w14:paraId="5BF8747F">
            <w:pPr>
              <w:spacing w:line="335" w:lineRule="auto"/>
              <w:rPr>
                <w:rFonts w:ascii="Arial"/>
                <w:sz w:val="21"/>
              </w:rPr>
            </w:pPr>
          </w:p>
          <w:p w14:paraId="6873D9B4">
            <w:pPr>
              <w:pStyle w:val="6"/>
              <w:spacing w:before="65" w:line="281" w:lineRule="auto"/>
              <w:ind w:left="215" w:right="55" w:hanging="143"/>
              <w:rPr>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11"/>
                <w:sz w:val="20"/>
                <w:szCs w:val="20"/>
              </w:rPr>
              <w:t xml:space="preserve"> </w:t>
            </w:r>
            <w:r>
              <w:rPr>
                <w:spacing w:val="-7"/>
                <w:sz w:val="20"/>
                <w:szCs w:val="20"/>
              </w:rPr>
              <w:t>户</w:t>
            </w:r>
            <w:r>
              <w:rPr>
                <w:spacing w:val="-41"/>
                <w:sz w:val="20"/>
                <w:szCs w:val="20"/>
              </w:rPr>
              <w:t xml:space="preserve"> </w:t>
            </w: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 xml:space="preserve"> </w:t>
            </w:r>
            <w:r>
              <w:rPr>
                <w:sz w:val="20"/>
                <w:szCs w:val="20"/>
              </w:rPr>
              <w:t>人</w:t>
            </w:r>
          </w:p>
        </w:tc>
        <w:tc>
          <w:tcPr>
            <w:tcW w:w="997" w:type="dxa"/>
            <w:vAlign w:val="top"/>
          </w:tcPr>
          <w:p w14:paraId="76E4920A">
            <w:pPr>
              <w:spacing w:line="268" w:lineRule="auto"/>
              <w:rPr>
                <w:rFonts w:ascii="Arial"/>
                <w:sz w:val="21"/>
              </w:rPr>
            </w:pPr>
          </w:p>
          <w:p w14:paraId="04B359B6">
            <w:pPr>
              <w:spacing w:line="269" w:lineRule="auto"/>
              <w:rPr>
                <w:rFonts w:ascii="Arial"/>
                <w:sz w:val="21"/>
              </w:rPr>
            </w:pPr>
          </w:p>
          <w:p w14:paraId="41A322FE">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103.43784</w:t>
            </w:r>
          </w:p>
        </w:tc>
        <w:tc>
          <w:tcPr>
            <w:tcW w:w="1083" w:type="dxa"/>
            <w:vAlign w:val="top"/>
          </w:tcPr>
          <w:p w14:paraId="3B70C840">
            <w:pPr>
              <w:spacing w:line="268" w:lineRule="auto"/>
              <w:rPr>
                <w:rFonts w:ascii="Arial"/>
                <w:sz w:val="21"/>
              </w:rPr>
            </w:pPr>
          </w:p>
          <w:p w14:paraId="004D2A26">
            <w:pPr>
              <w:spacing w:line="269" w:lineRule="auto"/>
              <w:rPr>
                <w:rFonts w:ascii="Arial"/>
                <w:sz w:val="21"/>
              </w:rPr>
            </w:pPr>
          </w:p>
          <w:p w14:paraId="06902B11">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25.67567</w:t>
            </w:r>
          </w:p>
        </w:tc>
        <w:tc>
          <w:tcPr>
            <w:tcW w:w="1180" w:type="dxa"/>
            <w:vAlign w:val="top"/>
          </w:tcPr>
          <w:p w14:paraId="61236A46">
            <w:pPr>
              <w:pStyle w:val="6"/>
              <w:spacing w:before="82" w:line="228" w:lineRule="auto"/>
              <w:ind w:left="34"/>
              <w:rPr>
                <w:sz w:val="20"/>
                <w:szCs w:val="20"/>
              </w:rPr>
            </w:pPr>
            <w:r>
              <w:rPr>
                <w:spacing w:val="-3"/>
                <w:sz w:val="20"/>
                <w:szCs w:val="20"/>
              </w:rPr>
              <w:t>区块</w:t>
            </w:r>
            <w:r>
              <w:rPr>
                <w:spacing w:val="-17"/>
                <w:sz w:val="20"/>
                <w:szCs w:val="20"/>
              </w:rPr>
              <w:t xml:space="preserve"> </w:t>
            </w:r>
            <w:r>
              <w:rPr>
                <w:rFonts w:ascii="Times New Roman" w:hAnsi="Times New Roman" w:eastAsia="Times New Roman" w:cs="Times New Roman"/>
                <w:spacing w:val="-3"/>
                <w:sz w:val="20"/>
                <w:szCs w:val="20"/>
              </w:rPr>
              <w:t>13</w:t>
            </w:r>
            <w:r>
              <w:rPr>
                <w:rFonts w:ascii="Times New Roman" w:hAnsi="Times New Roman" w:eastAsia="Times New Roman" w:cs="Times New Roman"/>
                <w:spacing w:val="15"/>
                <w:sz w:val="20"/>
                <w:szCs w:val="20"/>
              </w:rPr>
              <w:t xml:space="preserve"> </w:t>
            </w:r>
            <w:r>
              <w:rPr>
                <w:spacing w:val="-3"/>
                <w:sz w:val="20"/>
                <w:szCs w:val="20"/>
              </w:rPr>
              <w:t>南侧</w:t>
            </w:r>
          </w:p>
          <w:p w14:paraId="2CBCD225">
            <w:pPr>
              <w:pStyle w:val="6"/>
              <w:spacing w:before="72" w:line="228" w:lineRule="auto"/>
              <w:ind w:left="83"/>
              <w:rPr>
                <w:sz w:val="20"/>
                <w:szCs w:val="20"/>
              </w:rPr>
            </w:pPr>
            <w:r>
              <w:rPr>
                <w:spacing w:val="5"/>
                <w:sz w:val="20"/>
                <w:szCs w:val="20"/>
              </w:rPr>
              <w:t>阵列东侧约</w:t>
            </w:r>
          </w:p>
          <w:p w14:paraId="334B1079">
            <w:pPr>
              <w:pStyle w:val="6"/>
              <w:spacing w:before="72" w:line="228" w:lineRule="auto"/>
              <w:ind w:left="39"/>
              <w:rPr>
                <w:sz w:val="20"/>
                <w:szCs w:val="20"/>
              </w:rPr>
            </w:pPr>
            <w:r>
              <w:rPr>
                <w:rFonts w:ascii="Times New Roman" w:hAnsi="Times New Roman" w:eastAsia="Times New Roman" w:cs="Times New Roman"/>
                <w:spacing w:val="3"/>
                <w:sz w:val="20"/>
                <w:szCs w:val="20"/>
              </w:rPr>
              <w:t>200m</w:t>
            </w:r>
            <w:r>
              <w:rPr>
                <w:rFonts w:ascii="Times New Roman" w:hAnsi="Times New Roman" w:eastAsia="Times New Roman" w:cs="Times New Roman"/>
                <w:spacing w:val="-26"/>
                <w:sz w:val="20"/>
                <w:szCs w:val="20"/>
              </w:rPr>
              <w:t xml:space="preserve"> </w:t>
            </w:r>
            <w:r>
              <w:rPr>
                <w:spacing w:val="3"/>
                <w:sz w:val="20"/>
                <w:szCs w:val="20"/>
              </w:rPr>
              <w:t>，高差</w:t>
            </w:r>
          </w:p>
          <w:p w14:paraId="780D4BD3">
            <w:pPr>
              <w:spacing w:before="11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-9m</w:t>
            </w:r>
          </w:p>
        </w:tc>
        <w:tc>
          <w:tcPr>
            <w:tcW w:w="2714" w:type="dxa"/>
            <w:vMerge w:val="continue"/>
            <w:tcBorders>
              <w:top w:val="nil"/>
              <w:bottom w:val="nil"/>
            </w:tcBorders>
            <w:vAlign w:val="top"/>
          </w:tcPr>
          <w:p w14:paraId="55134C5C">
            <w:pPr>
              <w:rPr>
                <w:rFonts w:ascii="Arial"/>
                <w:sz w:val="21"/>
              </w:rPr>
            </w:pPr>
          </w:p>
        </w:tc>
        <w:tc>
          <w:tcPr>
            <w:tcW w:w="486" w:type="dxa"/>
            <w:vMerge w:val="continue"/>
            <w:tcBorders>
              <w:top w:val="nil"/>
              <w:bottom w:val="nil"/>
            </w:tcBorders>
            <w:vAlign w:val="top"/>
          </w:tcPr>
          <w:p w14:paraId="67707A43">
            <w:pPr>
              <w:rPr>
                <w:rFonts w:ascii="Arial"/>
                <w:sz w:val="21"/>
              </w:rPr>
            </w:pPr>
          </w:p>
        </w:tc>
        <w:tc>
          <w:tcPr>
            <w:tcW w:w="123" w:type="dxa"/>
            <w:vMerge w:val="continue"/>
            <w:tcBorders>
              <w:top w:val="nil"/>
              <w:bottom w:val="nil"/>
              <w:right w:val="single" w:color="000000" w:sz="6" w:space="0"/>
            </w:tcBorders>
            <w:vAlign w:val="top"/>
          </w:tcPr>
          <w:p w14:paraId="0BF8CE51">
            <w:pPr>
              <w:rPr>
                <w:rFonts w:ascii="Arial"/>
                <w:sz w:val="21"/>
              </w:rPr>
            </w:pPr>
          </w:p>
        </w:tc>
      </w:tr>
      <w:tr w14:paraId="75305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781" w:type="dxa"/>
            <w:vMerge w:val="continue"/>
            <w:tcBorders>
              <w:top w:val="nil"/>
              <w:left w:val="single" w:color="000000" w:sz="6" w:space="0"/>
              <w:bottom w:val="nil"/>
            </w:tcBorders>
            <w:vAlign w:val="top"/>
          </w:tcPr>
          <w:p w14:paraId="7B546B72">
            <w:pPr>
              <w:rPr>
                <w:rFonts w:ascii="Arial"/>
                <w:sz w:val="21"/>
              </w:rPr>
            </w:pPr>
          </w:p>
        </w:tc>
        <w:tc>
          <w:tcPr>
            <w:tcW w:w="569" w:type="dxa"/>
            <w:vAlign w:val="top"/>
          </w:tcPr>
          <w:p w14:paraId="7122F7F1">
            <w:pPr>
              <w:pStyle w:val="6"/>
              <w:spacing w:before="244" w:line="280" w:lineRule="auto"/>
              <w:ind w:left="1" w:right="7" w:firstLine="73"/>
              <w:rPr>
                <w:rFonts w:ascii="Times New Roman" w:hAnsi="Times New Roman" w:eastAsia="Times New Roman" w:cs="Times New Roman"/>
                <w:sz w:val="20"/>
                <w:szCs w:val="20"/>
              </w:rPr>
            </w:pPr>
            <w:r>
              <w:rPr>
                <w:spacing w:val="4"/>
                <w:sz w:val="20"/>
                <w:szCs w:val="20"/>
              </w:rPr>
              <w:t>鲁纳</w:t>
            </w:r>
            <w:r>
              <w:rPr>
                <w:sz w:val="20"/>
                <w:szCs w:val="20"/>
              </w:rPr>
              <w:t xml:space="preserve"> </w:t>
            </w:r>
            <w:r>
              <w:rPr>
                <w:spacing w:val="18"/>
                <w:sz w:val="20"/>
                <w:szCs w:val="20"/>
              </w:rPr>
              <w:t>散户</w:t>
            </w:r>
            <w:r>
              <w:rPr>
                <w:rFonts w:ascii="Times New Roman" w:hAnsi="Times New Roman" w:eastAsia="Times New Roman" w:cs="Times New Roman"/>
                <w:spacing w:val="18"/>
                <w:sz w:val="20"/>
                <w:szCs w:val="20"/>
              </w:rPr>
              <w:t>4</w:t>
            </w:r>
          </w:p>
        </w:tc>
        <w:tc>
          <w:tcPr>
            <w:tcW w:w="498" w:type="dxa"/>
            <w:vAlign w:val="top"/>
          </w:tcPr>
          <w:p w14:paraId="42865B33">
            <w:pPr>
              <w:spacing w:line="338" w:lineRule="auto"/>
              <w:rPr>
                <w:rFonts w:ascii="Arial"/>
                <w:sz w:val="21"/>
              </w:rPr>
            </w:pPr>
          </w:p>
          <w:p w14:paraId="7BB0C4BF">
            <w:pPr>
              <w:pStyle w:val="6"/>
              <w:spacing w:before="65" w:line="228" w:lineRule="auto"/>
              <w:ind w:left="42"/>
              <w:rPr>
                <w:sz w:val="20"/>
                <w:szCs w:val="20"/>
              </w:rPr>
            </w:pPr>
            <w:r>
              <w:rPr>
                <w:spacing w:val="3"/>
                <w:sz w:val="20"/>
                <w:szCs w:val="20"/>
              </w:rPr>
              <w:t>居民</w:t>
            </w:r>
          </w:p>
        </w:tc>
        <w:tc>
          <w:tcPr>
            <w:tcW w:w="633" w:type="dxa"/>
            <w:vAlign w:val="top"/>
          </w:tcPr>
          <w:p w14:paraId="0873B753">
            <w:pPr>
              <w:pStyle w:val="6"/>
              <w:spacing w:before="245" w:line="281" w:lineRule="auto"/>
              <w:ind w:left="97" w:right="83" w:hanging="68"/>
              <w:rPr>
                <w:sz w:val="20"/>
                <w:szCs w:val="20"/>
              </w:rPr>
            </w:pPr>
            <w:r>
              <w:rPr>
                <w:rFonts w:ascii="Times New Roman" w:hAnsi="Times New Roman" w:eastAsia="Times New Roman" w:cs="Times New Roman"/>
                <w:spacing w:val="-16"/>
                <w:sz w:val="20"/>
                <w:szCs w:val="20"/>
              </w:rPr>
              <w:t>3</w:t>
            </w:r>
            <w:r>
              <w:rPr>
                <w:rFonts w:ascii="Times New Roman" w:hAnsi="Times New Roman" w:eastAsia="Times New Roman" w:cs="Times New Roman"/>
                <w:spacing w:val="11"/>
                <w:sz w:val="20"/>
                <w:szCs w:val="20"/>
              </w:rPr>
              <w:t xml:space="preserve"> </w:t>
            </w:r>
            <w:r>
              <w:rPr>
                <w:spacing w:val="-16"/>
                <w:sz w:val="20"/>
                <w:szCs w:val="20"/>
              </w:rPr>
              <w:t>户，</w:t>
            </w:r>
            <w:r>
              <w:rPr>
                <w:sz w:val="20"/>
                <w:szCs w:val="20"/>
              </w:rPr>
              <w:t xml:space="preserve"> </w:t>
            </w:r>
            <w:r>
              <w:rPr>
                <w:rFonts w:ascii="Times New Roman" w:hAnsi="Times New Roman" w:eastAsia="Times New Roman" w:cs="Times New Roman"/>
                <w:spacing w:val="-6"/>
                <w:sz w:val="20"/>
                <w:szCs w:val="20"/>
              </w:rPr>
              <w:t>12</w:t>
            </w:r>
            <w:r>
              <w:rPr>
                <w:rFonts w:ascii="Times New Roman" w:hAnsi="Times New Roman" w:eastAsia="Times New Roman" w:cs="Times New Roman"/>
                <w:spacing w:val="13"/>
                <w:sz w:val="20"/>
                <w:szCs w:val="20"/>
              </w:rPr>
              <w:t xml:space="preserve"> </w:t>
            </w:r>
            <w:r>
              <w:rPr>
                <w:spacing w:val="-6"/>
                <w:sz w:val="20"/>
                <w:szCs w:val="20"/>
              </w:rPr>
              <w:t>人</w:t>
            </w:r>
          </w:p>
        </w:tc>
        <w:tc>
          <w:tcPr>
            <w:tcW w:w="997" w:type="dxa"/>
            <w:vAlign w:val="top"/>
          </w:tcPr>
          <w:p w14:paraId="3A98B935">
            <w:pPr>
              <w:spacing w:line="381" w:lineRule="auto"/>
              <w:rPr>
                <w:rFonts w:ascii="Arial"/>
                <w:sz w:val="21"/>
              </w:rPr>
            </w:pPr>
          </w:p>
          <w:p w14:paraId="46F2E3BD">
            <w:pPr>
              <w:spacing w:before="57"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103.43584</w:t>
            </w:r>
          </w:p>
        </w:tc>
        <w:tc>
          <w:tcPr>
            <w:tcW w:w="1083" w:type="dxa"/>
            <w:vAlign w:val="top"/>
          </w:tcPr>
          <w:p w14:paraId="543ABE0D">
            <w:pPr>
              <w:spacing w:line="381" w:lineRule="auto"/>
              <w:rPr>
                <w:rFonts w:ascii="Arial"/>
                <w:sz w:val="21"/>
              </w:rPr>
            </w:pPr>
          </w:p>
          <w:p w14:paraId="16E27158">
            <w:pPr>
              <w:spacing w:before="5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25.67689</w:t>
            </w:r>
          </w:p>
        </w:tc>
        <w:tc>
          <w:tcPr>
            <w:tcW w:w="1180" w:type="dxa"/>
            <w:vAlign w:val="top"/>
          </w:tcPr>
          <w:p w14:paraId="6AD8AA64">
            <w:pPr>
              <w:pStyle w:val="6"/>
              <w:spacing w:before="83" w:line="268" w:lineRule="auto"/>
              <w:ind w:left="9" w:firstLine="24"/>
              <w:jc w:val="both"/>
              <w:rPr>
                <w:rFonts w:ascii="Times New Roman" w:hAnsi="Times New Roman" w:eastAsia="Times New Roman" w:cs="Times New Roman"/>
                <w:sz w:val="20"/>
                <w:szCs w:val="20"/>
              </w:rPr>
            </w:pPr>
            <w:r>
              <w:rPr>
                <w:spacing w:val="-3"/>
                <w:sz w:val="20"/>
                <w:szCs w:val="20"/>
              </w:rPr>
              <w:t>区块</w:t>
            </w:r>
            <w:r>
              <w:rPr>
                <w:spacing w:val="-18"/>
                <w:sz w:val="20"/>
                <w:szCs w:val="20"/>
              </w:rPr>
              <w:t xml:space="preserve"> </w:t>
            </w:r>
            <w:r>
              <w:rPr>
                <w:rFonts w:ascii="Times New Roman" w:hAnsi="Times New Roman" w:eastAsia="Times New Roman" w:cs="Times New Roman"/>
                <w:spacing w:val="-3"/>
                <w:sz w:val="20"/>
                <w:szCs w:val="20"/>
              </w:rPr>
              <w:t>13</w:t>
            </w:r>
            <w:r>
              <w:rPr>
                <w:rFonts w:ascii="Times New Roman" w:hAnsi="Times New Roman" w:eastAsia="Times New Roman" w:cs="Times New Roman"/>
                <w:spacing w:val="14"/>
                <w:w w:val="101"/>
                <w:sz w:val="20"/>
                <w:szCs w:val="20"/>
              </w:rPr>
              <w:t xml:space="preserve"> </w:t>
            </w:r>
            <w:r>
              <w:rPr>
                <w:spacing w:val="-3"/>
                <w:sz w:val="20"/>
                <w:szCs w:val="20"/>
              </w:rPr>
              <w:t>南侧</w:t>
            </w:r>
            <w:r>
              <w:rPr>
                <w:sz w:val="20"/>
                <w:szCs w:val="20"/>
              </w:rPr>
              <w:t xml:space="preserve"> </w:t>
            </w:r>
            <w:r>
              <w:rPr>
                <w:spacing w:val="20"/>
                <w:sz w:val="20"/>
                <w:szCs w:val="20"/>
              </w:rPr>
              <w:t>阵列北侧约</w:t>
            </w:r>
            <w:r>
              <w:rPr>
                <w:sz w:val="20"/>
                <w:szCs w:val="20"/>
              </w:rPr>
              <w:t xml:space="preserve"> </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m</w:t>
            </w:r>
            <w:r>
              <w:rPr>
                <w:spacing w:val="-2"/>
                <w:sz w:val="20"/>
                <w:szCs w:val="20"/>
              </w:rPr>
              <w:t>，高差</w:t>
            </w:r>
            <w:r>
              <w:rPr>
                <w:spacing w:val="-33"/>
                <w:sz w:val="20"/>
                <w:szCs w:val="20"/>
              </w:rPr>
              <w:t xml:space="preserve"> </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m</w:t>
            </w:r>
          </w:p>
        </w:tc>
        <w:tc>
          <w:tcPr>
            <w:tcW w:w="2714" w:type="dxa"/>
            <w:vMerge w:val="continue"/>
            <w:tcBorders>
              <w:top w:val="nil"/>
              <w:bottom w:val="nil"/>
            </w:tcBorders>
            <w:vAlign w:val="top"/>
          </w:tcPr>
          <w:p w14:paraId="1C192071">
            <w:pPr>
              <w:rPr>
                <w:rFonts w:ascii="Arial"/>
                <w:sz w:val="21"/>
              </w:rPr>
            </w:pPr>
          </w:p>
        </w:tc>
        <w:tc>
          <w:tcPr>
            <w:tcW w:w="486" w:type="dxa"/>
            <w:vMerge w:val="continue"/>
            <w:tcBorders>
              <w:top w:val="nil"/>
              <w:bottom w:val="nil"/>
            </w:tcBorders>
            <w:vAlign w:val="top"/>
          </w:tcPr>
          <w:p w14:paraId="0C47A711">
            <w:pPr>
              <w:rPr>
                <w:rFonts w:ascii="Arial"/>
                <w:sz w:val="21"/>
              </w:rPr>
            </w:pPr>
          </w:p>
        </w:tc>
        <w:tc>
          <w:tcPr>
            <w:tcW w:w="123" w:type="dxa"/>
            <w:vMerge w:val="continue"/>
            <w:tcBorders>
              <w:top w:val="nil"/>
              <w:bottom w:val="nil"/>
              <w:right w:val="single" w:color="000000" w:sz="6" w:space="0"/>
            </w:tcBorders>
            <w:vAlign w:val="top"/>
          </w:tcPr>
          <w:p w14:paraId="3D0063C3">
            <w:pPr>
              <w:rPr>
                <w:rFonts w:ascii="Arial"/>
                <w:sz w:val="21"/>
              </w:rPr>
            </w:pPr>
          </w:p>
        </w:tc>
      </w:tr>
      <w:tr w14:paraId="29739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781" w:type="dxa"/>
            <w:vMerge w:val="continue"/>
            <w:tcBorders>
              <w:top w:val="nil"/>
              <w:left w:val="single" w:color="000000" w:sz="6" w:space="0"/>
              <w:bottom w:val="nil"/>
            </w:tcBorders>
            <w:vAlign w:val="top"/>
          </w:tcPr>
          <w:p w14:paraId="27AFF388">
            <w:pPr>
              <w:rPr>
                <w:rFonts w:ascii="Arial"/>
                <w:sz w:val="21"/>
              </w:rPr>
            </w:pPr>
          </w:p>
        </w:tc>
        <w:tc>
          <w:tcPr>
            <w:tcW w:w="569" w:type="dxa"/>
            <w:vAlign w:val="top"/>
          </w:tcPr>
          <w:p w14:paraId="6BBC6C15">
            <w:pPr>
              <w:spacing w:line="338" w:lineRule="auto"/>
              <w:rPr>
                <w:rFonts w:ascii="Arial"/>
                <w:sz w:val="21"/>
              </w:rPr>
            </w:pPr>
          </w:p>
          <w:p w14:paraId="1210980F">
            <w:pPr>
              <w:pStyle w:val="6"/>
              <w:spacing w:before="65" w:line="280" w:lineRule="auto"/>
              <w:ind w:left="73" w:right="80"/>
              <w:rPr>
                <w:sz w:val="20"/>
                <w:szCs w:val="20"/>
              </w:rPr>
            </w:pPr>
            <w:r>
              <w:rPr>
                <w:spacing w:val="4"/>
                <w:sz w:val="20"/>
                <w:szCs w:val="20"/>
              </w:rPr>
              <w:t>猪场</w:t>
            </w:r>
            <w:r>
              <w:rPr>
                <w:sz w:val="20"/>
                <w:szCs w:val="20"/>
              </w:rPr>
              <w:t xml:space="preserve"> </w:t>
            </w:r>
            <w:r>
              <w:rPr>
                <w:spacing w:val="5"/>
                <w:sz w:val="20"/>
                <w:szCs w:val="20"/>
              </w:rPr>
              <w:t>散户</w:t>
            </w:r>
          </w:p>
        </w:tc>
        <w:tc>
          <w:tcPr>
            <w:tcW w:w="498" w:type="dxa"/>
            <w:vAlign w:val="top"/>
          </w:tcPr>
          <w:p w14:paraId="354C56EE">
            <w:pPr>
              <w:spacing w:line="248" w:lineRule="auto"/>
              <w:rPr>
                <w:rFonts w:ascii="Arial"/>
                <w:sz w:val="21"/>
              </w:rPr>
            </w:pPr>
          </w:p>
          <w:p w14:paraId="404DE883">
            <w:pPr>
              <w:spacing w:line="248" w:lineRule="auto"/>
              <w:rPr>
                <w:rFonts w:ascii="Arial"/>
                <w:sz w:val="21"/>
              </w:rPr>
            </w:pPr>
          </w:p>
          <w:p w14:paraId="311134BB">
            <w:pPr>
              <w:pStyle w:val="6"/>
              <w:spacing w:before="65" w:line="228" w:lineRule="auto"/>
              <w:ind w:left="42"/>
              <w:rPr>
                <w:sz w:val="20"/>
                <w:szCs w:val="20"/>
              </w:rPr>
            </w:pPr>
            <w:r>
              <w:rPr>
                <w:spacing w:val="3"/>
                <w:sz w:val="20"/>
                <w:szCs w:val="20"/>
              </w:rPr>
              <w:t>居民</w:t>
            </w:r>
          </w:p>
        </w:tc>
        <w:tc>
          <w:tcPr>
            <w:tcW w:w="633" w:type="dxa"/>
            <w:vAlign w:val="top"/>
          </w:tcPr>
          <w:p w14:paraId="0C098A82">
            <w:pPr>
              <w:spacing w:line="339" w:lineRule="auto"/>
              <w:rPr>
                <w:rFonts w:ascii="Arial"/>
                <w:sz w:val="21"/>
              </w:rPr>
            </w:pPr>
          </w:p>
          <w:p w14:paraId="5EC3781E">
            <w:pPr>
              <w:pStyle w:val="6"/>
              <w:spacing w:before="65" w:line="281" w:lineRule="auto"/>
              <w:ind w:left="215" w:right="55" w:hanging="163"/>
              <w:rPr>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10"/>
                <w:sz w:val="20"/>
                <w:szCs w:val="20"/>
              </w:rPr>
              <w:t xml:space="preserve"> </w:t>
            </w:r>
            <w:r>
              <w:rPr>
                <w:spacing w:val="-3"/>
                <w:sz w:val="20"/>
                <w:szCs w:val="20"/>
              </w:rPr>
              <w:t>户</w:t>
            </w:r>
            <w:r>
              <w:rPr>
                <w:spacing w:val="-32"/>
                <w:sz w:val="20"/>
                <w:szCs w:val="20"/>
              </w:rPr>
              <w:t xml:space="preserve"> </w:t>
            </w:r>
            <w:r>
              <w:rPr>
                <w:rFonts w:ascii="Times New Roman" w:hAnsi="Times New Roman" w:eastAsia="Times New Roman" w:cs="Times New Roman"/>
                <w:spacing w:val="-3"/>
                <w:sz w:val="20"/>
                <w:szCs w:val="20"/>
              </w:rPr>
              <w:t>8</w:t>
            </w:r>
            <w:r>
              <w:rPr>
                <w:rFonts w:ascii="Times New Roman" w:hAnsi="Times New Roman" w:eastAsia="Times New Roman" w:cs="Times New Roman"/>
                <w:sz w:val="20"/>
                <w:szCs w:val="20"/>
              </w:rPr>
              <w:t xml:space="preserve"> </w:t>
            </w:r>
            <w:r>
              <w:rPr>
                <w:sz w:val="20"/>
                <w:szCs w:val="20"/>
              </w:rPr>
              <w:t>人</w:t>
            </w:r>
          </w:p>
        </w:tc>
        <w:tc>
          <w:tcPr>
            <w:tcW w:w="997" w:type="dxa"/>
            <w:vAlign w:val="top"/>
          </w:tcPr>
          <w:p w14:paraId="7C1B72CD">
            <w:pPr>
              <w:spacing w:line="269" w:lineRule="auto"/>
              <w:rPr>
                <w:rFonts w:ascii="Arial"/>
                <w:sz w:val="21"/>
              </w:rPr>
            </w:pPr>
          </w:p>
          <w:p w14:paraId="5BB7105E">
            <w:pPr>
              <w:spacing w:line="270" w:lineRule="auto"/>
              <w:rPr>
                <w:rFonts w:ascii="Arial"/>
                <w:sz w:val="21"/>
              </w:rPr>
            </w:pPr>
          </w:p>
          <w:p w14:paraId="1182B5CB">
            <w:pPr>
              <w:spacing w:before="57"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103.43699</w:t>
            </w:r>
          </w:p>
        </w:tc>
        <w:tc>
          <w:tcPr>
            <w:tcW w:w="1083" w:type="dxa"/>
            <w:vAlign w:val="top"/>
          </w:tcPr>
          <w:p w14:paraId="7AE61118">
            <w:pPr>
              <w:spacing w:line="269" w:lineRule="auto"/>
              <w:rPr>
                <w:rFonts w:ascii="Arial"/>
                <w:sz w:val="21"/>
              </w:rPr>
            </w:pPr>
          </w:p>
          <w:p w14:paraId="0EDDBB64">
            <w:pPr>
              <w:spacing w:line="270" w:lineRule="auto"/>
              <w:rPr>
                <w:rFonts w:ascii="Arial"/>
                <w:sz w:val="21"/>
              </w:rPr>
            </w:pPr>
          </w:p>
          <w:p w14:paraId="0DD20151">
            <w:pPr>
              <w:spacing w:before="5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25.67234</w:t>
            </w:r>
          </w:p>
        </w:tc>
        <w:tc>
          <w:tcPr>
            <w:tcW w:w="1180" w:type="dxa"/>
            <w:vAlign w:val="top"/>
          </w:tcPr>
          <w:p w14:paraId="510D9CAD">
            <w:pPr>
              <w:pStyle w:val="6"/>
              <w:spacing w:before="83" w:line="228" w:lineRule="auto"/>
              <w:ind w:left="34"/>
              <w:rPr>
                <w:sz w:val="20"/>
                <w:szCs w:val="20"/>
              </w:rPr>
            </w:pPr>
            <w:r>
              <w:rPr>
                <w:spacing w:val="-3"/>
                <w:sz w:val="20"/>
                <w:szCs w:val="20"/>
              </w:rPr>
              <w:t>区块</w:t>
            </w:r>
            <w:r>
              <w:rPr>
                <w:spacing w:val="-17"/>
                <w:sz w:val="20"/>
                <w:szCs w:val="20"/>
              </w:rPr>
              <w:t xml:space="preserve"> </w:t>
            </w:r>
            <w:r>
              <w:rPr>
                <w:rFonts w:ascii="Times New Roman" w:hAnsi="Times New Roman" w:eastAsia="Times New Roman" w:cs="Times New Roman"/>
                <w:spacing w:val="-3"/>
                <w:sz w:val="20"/>
                <w:szCs w:val="20"/>
              </w:rPr>
              <w:t>13</w:t>
            </w:r>
            <w:r>
              <w:rPr>
                <w:rFonts w:ascii="Times New Roman" w:hAnsi="Times New Roman" w:eastAsia="Times New Roman" w:cs="Times New Roman"/>
                <w:spacing w:val="15"/>
                <w:sz w:val="20"/>
                <w:szCs w:val="20"/>
              </w:rPr>
              <w:t xml:space="preserve"> </w:t>
            </w:r>
            <w:r>
              <w:rPr>
                <w:spacing w:val="-3"/>
                <w:sz w:val="20"/>
                <w:szCs w:val="20"/>
              </w:rPr>
              <w:t>南侧</w:t>
            </w:r>
          </w:p>
          <w:p w14:paraId="40443500">
            <w:pPr>
              <w:pStyle w:val="6"/>
              <w:spacing w:before="74" w:line="228" w:lineRule="auto"/>
              <w:ind w:left="83"/>
              <w:rPr>
                <w:sz w:val="20"/>
                <w:szCs w:val="20"/>
              </w:rPr>
            </w:pPr>
            <w:r>
              <w:rPr>
                <w:spacing w:val="5"/>
                <w:sz w:val="20"/>
                <w:szCs w:val="20"/>
              </w:rPr>
              <w:t>阵列西南侧</w:t>
            </w:r>
          </w:p>
          <w:p w14:paraId="100D6E09">
            <w:pPr>
              <w:pStyle w:val="6"/>
              <w:spacing w:before="72" w:line="228" w:lineRule="auto"/>
              <w:ind w:left="21"/>
              <w:rPr>
                <w:sz w:val="20"/>
                <w:szCs w:val="20"/>
              </w:rPr>
            </w:pPr>
            <w:r>
              <w:rPr>
                <w:spacing w:val="-2"/>
                <w:sz w:val="20"/>
                <w:szCs w:val="20"/>
              </w:rPr>
              <w:t>约</w:t>
            </w:r>
            <w:r>
              <w:rPr>
                <w:spacing w:val="-18"/>
                <w:sz w:val="20"/>
                <w:szCs w:val="20"/>
              </w:rPr>
              <w:t xml:space="preserve"> </w:t>
            </w:r>
            <w:r>
              <w:rPr>
                <w:rFonts w:ascii="Times New Roman" w:hAnsi="Times New Roman" w:eastAsia="Times New Roman" w:cs="Times New Roman"/>
                <w:spacing w:val="-2"/>
                <w:sz w:val="20"/>
                <w:szCs w:val="20"/>
              </w:rPr>
              <w:t>189m</w:t>
            </w:r>
            <w:r>
              <w:rPr>
                <w:rFonts w:ascii="Times New Roman" w:hAnsi="Times New Roman" w:eastAsia="Times New Roman" w:cs="Times New Roman"/>
                <w:spacing w:val="-26"/>
                <w:sz w:val="20"/>
                <w:szCs w:val="20"/>
              </w:rPr>
              <w:t xml:space="preserve"> </w:t>
            </w:r>
            <w:r>
              <w:rPr>
                <w:spacing w:val="-2"/>
                <w:sz w:val="20"/>
                <w:szCs w:val="20"/>
              </w:rPr>
              <w:t>，高</w:t>
            </w:r>
          </w:p>
          <w:p w14:paraId="4AB0478B">
            <w:pPr>
              <w:pStyle w:val="6"/>
              <w:spacing w:before="72" w:line="212" w:lineRule="auto"/>
              <w:ind w:left="194"/>
              <w:rPr>
                <w:rFonts w:ascii="Times New Roman" w:hAnsi="Times New Roman" w:eastAsia="Times New Roman" w:cs="Times New Roman"/>
                <w:sz w:val="20"/>
                <w:szCs w:val="20"/>
              </w:rPr>
            </w:pPr>
            <w:r>
              <w:rPr>
                <w:spacing w:val="3"/>
                <w:sz w:val="20"/>
                <w:szCs w:val="20"/>
              </w:rPr>
              <w:t>差</w:t>
            </w:r>
            <w:r>
              <w:rPr>
                <w:rFonts w:ascii="Times New Roman" w:hAnsi="Times New Roman" w:eastAsia="Times New Roman" w:cs="Times New Roman"/>
                <w:spacing w:val="3"/>
                <w:sz w:val="20"/>
                <w:szCs w:val="20"/>
              </w:rPr>
              <w:t>-13.7m</w:t>
            </w:r>
          </w:p>
        </w:tc>
        <w:tc>
          <w:tcPr>
            <w:tcW w:w="2714" w:type="dxa"/>
            <w:vMerge w:val="continue"/>
            <w:tcBorders>
              <w:top w:val="nil"/>
              <w:bottom w:val="nil"/>
            </w:tcBorders>
            <w:vAlign w:val="top"/>
          </w:tcPr>
          <w:p w14:paraId="4D3316AC">
            <w:pPr>
              <w:rPr>
                <w:rFonts w:ascii="Arial"/>
                <w:sz w:val="21"/>
              </w:rPr>
            </w:pPr>
          </w:p>
        </w:tc>
        <w:tc>
          <w:tcPr>
            <w:tcW w:w="486" w:type="dxa"/>
            <w:vMerge w:val="continue"/>
            <w:tcBorders>
              <w:top w:val="nil"/>
              <w:bottom w:val="nil"/>
            </w:tcBorders>
            <w:vAlign w:val="top"/>
          </w:tcPr>
          <w:p w14:paraId="6600FEE3">
            <w:pPr>
              <w:rPr>
                <w:rFonts w:ascii="Arial"/>
                <w:sz w:val="21"/>
              </w:rPr>
            </w:pPr>
          </w:p>
        </w:tc>
        <w:tc>
          <w:tcPr>
            <w:tcW w:w="123" w:type="dxa"/>
            <w:vMerge w:val="continue"/>
            <w:tcBorders>
              <w:top w:val="nil"/>
              <w:bottom w:val="nil"/>
              <w:right w:val="single" w:color="000000" w:sz="6" w:space="0"/>
            </w:tcBorders>
            <w:vAlign w:val="top"/>
          </w:tcPr>
          <w:p w14:paraId="2FA70C14">
            <w:pPr>
              <w:rPr>
                <w:rFonts w:ascii="Arial"/>
                <w:sz w:val="21"/>
              </w:rPr>
            </w:pPr>
          </w:p>
        </w:tc>
      </w:tr>
      <w:tr w14:paraId="28D78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781" w:type="dxa"/>
            <w:vMerge w:val="continue"/>
            <w:tcBorders>
              <w:top w:val="nil"/>
              <w:left w:val="single" w:color="000000" w:sz="6" w:space="0"/>
              <w:bottom w:val="nil"/>
            </w:tcBorders>
            <w:vAlign w:val="top"/>
          </w:tcPr>
          <w:p w14:paraId="50D5B720">
            <w:pPr>
              <w:rPr>
                <w:rFonts w:ascii="Arial"/>
                <w:sz w:val="21"/>
              </w:rPr>
            </w:pPr>
          </w:p>
        </w:tc>
        <w:tc>
          <w:tcPr>
            <w:tcW w:w="569" w:type="dxa"/>
            <w:vAlign w:val="top"/>
          </w:tcPr>
          <w:p w14:paraId="2EDC074E">
            <w:pPr>
              <w:spacing w:line="249" w:lineRule="auto"/>
              <w:rPr>
                <w:rFonts w:ascii="Arial"/>
                <w:sz w:val="21"/>
              </w:rPr>
            </w:pPr>
          </w:p>
          <w:p w14:paraId="169558EF">
            <w:pPr>
              <w:spacing w:line="249" w:lineRule="auto"/>
              <w:rPr>
                <w:rFonts w:ascii="Arial"/>
                <w:sz w:val="21"/>
              </w:rPr>
            </w:pPr>
          </w:p>
          <w:p w14:paraId="3CD99589">
            <w:pPr>
              <w:pStyle w:val="6"/>
              <w:spacing w:before="65" w:line="228" w:lineRule="auto"/>
              <w:ind w:left="74"/>
              <w:rPr>
                <w:sz w:val="20"/>
                <w:szCs w:val="20"/>
              </w:rPr>
            </w:pPr>
            <w:r>
              <w:rPr>
                <w:spacing w:val="4"/>
                <w:sz w:val="20"/>
                <w:szCs w:val="20"/>
              </w:rPr>
              <w:t>猪场</w:t>
            </w:r>
          </w:p>
        </w:tc>
        <w:tc>
          <w:tcPr>
            <w:tcW w:w="498" w:type="dxa"/>
            <w:vAlign w:val="top"/>
          </w:tcPr>
          <w:p w14:paraId="2D233450">
            <w:pPr>
              <w:spacing w:line="249" w:lineRule="auto"/>
              <w:rPr>
                <w:rFonts w:ascii="Arial"/>
                <w:sz w:val="21"/>
              </w:rPr>
            </w:pPr>
          </w:p>
          <w:p w14:paraId="4DDC49B4">
            <w:pPr>
              <w:spacing w:line="249" w:lineRule="auto"/>
              <w:rPr>
                <w:rFonts w:ascii="Arial"/>
                <w:sz w:val="21"/>
              </w:rPr>
            </w:pPr>
          </w:p>
          <w:p w14:paraId="33B4AECE">
            <w:pPr>
              <w:pStyle w:val="6"/>
              <w:spacing w:before="65" w:line="228" w:lineRule="auto"/>
              <w:ind w:left="42"/>
              <w:rPr>
                <w:sz w:val="20"/>
                <w:szCs w:val="20"/>
              </w:rPr>
            </w:pPr>
            <w:r>
              <w:rPr>
                <w:spacing w:val="3"/>
                <w:sz w:val="20"/>
                <w:szCs w:val="20"/>
              </w:rPr>
              <w:t>居民</w:t>
            </w:r>
          </w:p>
        </w:tc>
        <w:tc>
          <w:tcPr>
            <w:tcW w:w="633" w:type="dxa"/>
            <w:vAlign w:val="top"/>
          </w:tcPr>
          <w:p w14:paraId="7E34352E">
            <w:pPr>
              <w:spacing w:before="247" w:line="225" w:lineRule="auto"/>
              <w:ind w:left="93"/>
              <w:rPr>
                <w:rFonts w:ascii="Times New Roman" w:hAnsi="Times New Roman" w:eastAsia="Times New Roman" w:cs="Times New Roman"/>
                <w:sz w:val="20"/>
                <w:szCs w:val="20"/>
              </w:rPr>
            </w:pPr>
            <w:r>
              <w:rPr>
                <w:rFonts w:ascii="FangSong_GB2312" w:hAnsi="FangSong_GB2312" w:eastAsia="FangSong_GB2312" w:cs="FangSong_GB2312"/>
                <w:spacing w:val="-4"/>
                <w:sz w:val="20"/>
                <w:szCs w:val="20"/>
              </w:rPr>
              <w:t>约</w:t>
            </w:r>
            <w:r>
              <w:rPr>
                <w:rFonts w:ascii="FangSong_GB2312" w:hAnsi="FangSong_GB2312" w:eastAsia="FangSong_GB2312" w:cs="FangSong_GB2312"/>
                <w:spacing w:val="-37"/>
                <w:sz w:val="20"/>
                <w:szCs w:val="20"/>
              </w:rPr>
              <w:t xml:space="preserve"> </w:t>
            </w:r>
            <w:r>
              <w:rPr>
                <w:rFonts w:ascii="Times New Roman" w:hAnsi="Times New Roman" w:eastAsia="Times New Roman" w:cs="Times New Roman"/>
                <w:spacing w:val="-4"/>
                <w:sz w:val="20"/>
                <w:szCs w:val="20"/>
              </w:rPr>
              <w:t>33</w:t>
            </w:r>
          </w:p>
          <w:p w14:paraId="473CD48C">
            <w:pPr>
              <w:pStyle w:val="6"/>
              <w:spacing w:before="75" w:line="228" w:lineRule="auto"/>
              <w:ind w:left="6"/>
              <w:rPr>
                <w:rFonts w:ascii="Times New Roman" w:hAnsi="Times New Roman" w:eastAsia="Times New Roman" w:cs="Times New Roman"/>
                <w:sz w:val="20"/>
                <w:szCs w:val="20"/>
              </w:rPr>
            </w:pPr>
            <w:r>
              <w:rPr>
                <w:spacing w:val="-3"/>
                <w:sz w:val="20"/>
                <w:szCs w:val="20"/>
              </w:rPr>
              <w:t>户</w:t>
            </w:r>
            <w:r>
              <w:rPr>
                <w:spacing w:val="-23"/>
                <w:sz w:val="20"/>
                <w:szCs w:val="20"/>
              </w:rPr>
              <w:t xml:space="preserve"> </w:t>
            </w:r>
            <w:r>
              <w:rPr>
                <w:rFonts w:ascii="Times New Roman" w:hAnsi="Times New Roman" w:eastAsia="Times New Roman" w:cs="Times New Roman"/>
                <w:spacing w:val="-3"/>
                <w:sz w:val="20"/>
                <w:szCs w:val="20"/>
              </w:rPr>
              <w:t>128</w:t>
            </w:r>
          </w:p>
          <w:p w14:paraId="37E81579">
            <w:pPr>
              <w:pStyle w:val="6"/>
              <w:spacing w:before="71" w:line="231" w:lineRule="auto"/>
              <w:ind w:left="216"/>
              <w:rPr>
                <w:sz w:val="20"/>
                <w:szCs w:val="20"/>
              </w:rPr>
            </w:pPr>
            <w:r>
              <w:rPr>
                <w:sz w:val="20"/>
                <w:szCs w:val="20"/>
              </w:rPr>
              <w:t>人</w:t>
            </w:r>
          </w:p>
        </w:tc>
        <w:tc>
          <w:tcPr>
            <w:tcW w:w="997" w:type="dxa"/>
            <w:vAlign w:val="top"/>
          </w:tcPr>
          <w:p w14:paraId="50F7F208">
            <w:pPr>
              <w:spacing w:line="270" w:lineRule="auto"/>
              <w:rPr>
                <w:rFonts w:ascii="Arial"/>
                <w:sz w:val="21"/>
              </w:rPr>
            </w:pPr>
          </w:p>
          <w:p w14:paraId="157758B3">
            <w:pPr>
              <w:spacing w:line="271" w:lineRule="auto"/>
              <w:rPr>
                <w:rFonts w:ascii="Arial"/>
                <w:sz w:val="21"/>
              </w:rPr>
            </w:pPr>
          </w:p>
          <w:p w14:paraId="1F018B08">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103.43685</w:t>
            </w:r>
          </w:p>
        </w:tc>
        <w:tc>
          <w:tcPr>
            <w:tcW w:w="1083" w:type="dxa"/>
            <w:vAlign w:val="top"/>
          </w:tcPr>
          <w:p w14:paraId="63D8F4AB">
            <w:pPr>
              <w:spacing w:line="270" w:lineRule="auto"/>
              <w:rPr>
                <w:rFonts w:ascii="Arial"/>
                <w:sz w:val="21"/>
              </w:rPr>
            </w:pPr>
          </w:p>
          <w:p w14:paraId="1907E703">
            <w:pPr>
              <w:spacing w:line="271" w:lineRule="auto"/>
              <w:rPr>
                <w:rFonts w:ascii="Arial"/>
                <w:sz w:val="21"/>
              </w:rPr>
            </w:pPr>
          </w:p>
          <w:p w14:paraId="761B862A">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25.66797</w:t>
            </w:r>
          </w:p>
        </w:tc>
        <w:tc>
          <w:tcPr>
            <w:tcW w:w="1180" w:type="dxa"/>
            <w:vAlign w:val="top"/>
          </w:tcPr>
          <w:p w14:paraId="017A1A16">
            <w:pPr>
              <w:spacing w:before="87" w:line="221" w:lineRule="auto"/>
              <w:ind w:left="47"/>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区块</w:t>
            </w:r>
            <w:r>
              <w:rPr>
                <w:rFonts w:ascii="FangSong_GB2312" w:hAnsi="FangSong_GB2312" w:eastAsia="FangSong_GB2312" w:cs="FangSong_GB2312"/>
                <w:spacing w:val="-21"/>
                <w:sz w:val="20"/>
                <w:szCs w:val="20"/>
              </w:rPr>
              <w:t xml:space="preserve"> </w:t>
            </w:r>
            <w:r>
              <w:rPr>
                <w:rFonts w:ascii="Times New Roman" w:hAnsi="Times New Roman" w:eastAsia="Times New Roman" w:cs="Times New Roman"/>
                <w:spacing w:val="-6"/>
                <w:sz w:val="20"/>
                <w:szCs w:val="20"/>
              </w:rPr>
              <w:t>13</w:t>
            </w:r>
            <w:r>
              <w:rPr>
                <w:rFonts w:ascii="Times New Roman" w:hAnsi="Times New Roman" w:eastAsia="Times New Roman" w:cs="Times New Roman"/>
                <w:spacing w:val="23"/>
                <w:w w:val="101"/>
                <w:sz w:val="20"/>
                <w:szCs w:val="20"/>
              </w:rPr>
              <w:t xml:space="preserve"> </w:t>
            </w:r>
            <w:r>
              <w:rPr>
                <w:rFonts w:ascii="FangSong_GB2312" w:hAnsi="FangSong_GB2312" w:eastAsia="FangSong_GB2312" w:cs="FangSong_GB2312"/>
                <w:spacing w:val="-6"/>
                <w:sz w:val="20"/>
                <w:szCs w:val="20"/>
              </w:rPr>
              <w:t>南侧</w:t>
            </w:r>
          </w:p>
          <w:p w14:paraId="655ADC1A">
            <w:pPr>
              <w:spacing w:before="79" w:line="223" w:lineRule="auto"/>
              <w:ind w:left="90"/>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阵列西南侧</w:t>
            </w:r>
          </w:p>
          <w:p w14:paraId="055FEA73">
            <w:pPr>
              <w:spacing w:before="80" w:line="222" w:lineRule="auto"/>
              <w:ind w:right="1"/>
              <w:jc w:val="right"/>
              <w:rPr>
                <w:rFonts w:ascii="FangSong_GB2312" w:hAnsi="FangSong_GB2312" w:eastAsia="FangSong_GB2312" w:cs="FangSong_GB2312"/>
                <w:sz w:val="20"/>
                <w:szCs w:val="20"/>
              </w:rPr>
            </w:pPr>
            <w:r>
              <w:rPr>
                <w:rFonts w:ascii="FangSong_GB2312" w:hAnsi="FangSong_GB2312" w:eastAsia="FangSong_GB2312" w:cs="FangSong_GB2312"/>
                <w:sz w:val="20"/>
                <w:szCs w:val="20"/>
              </w:rPr>
              <w:t>约</w:t>
            </w:r>
            <w:r>
              <w:rPr>
                <w:rFonts w:ascii="FangSong_GB2312" w:hAnsi="FangSong_GB2312" w:eastAsia="FangSong_GB2312" w:cs="FangSong_GB2312"/>
                <w:spacing w:val="-39"/>
                <w:sz w:val="20"/>
                <w:szCs w:val="20"/>
              </w:rPr>
              <w:t xml:space="preserve"> </w:t>
            </w:r>
            <w:r>
              <w:rPr>
                <w:rFonts w:ascii="Times New Roman" w:hAnsi="Times New Roman" w:eastAsia="Times New Roman" w:cs="Times New Roman"/>
                <w:sz w:val="20"/>
                <w:szCs w:val="20"/>
              </w:rPr>
              <w:t>473m</w:t>
            </w:r>
            <w:r>
              <w:rPr>
                <w:rFonts w:ascii="Times New Roman" w:hAnsi="Times New Roman" w:eastAsia="Times New Roman" w:cs="Times New Roman"/>
                <w:spacing w:val="-23"/>
                <w:sz w:val="20"/>
                <w:szCs w:val="20"/>
              </w:rPr>
              <w:t xml:space="preserve"> </w:t>
            </w:r>
            <w:r>
              <w:rPr>
                <w:rFonts w:ascii="FangSong_GB2312" w:hAnsi="FangSong_GB2312" w:eastAsia="FangSong_GB2312" w:cs="FangSong_GB2312"/>
                <w:sz w:val="20"/>
                <w:szCs w:val="20"/>
              </w:rPr>
              <w:t>，高</w:t>
            </w:r>
          </w:p>
          <w:p w14:paraId="459E342D">
            <w:pPr>
              <w:spacing w:before="79" w:line="209" w:lineRule="auto"/>
              <w:ind w:left="277"/>
              <w:rPr>
                <w:rFonts w:ascii="Times New Roman" w:hAnsi="Times New Roman" w:eastAsia="Times New Roman" w:cs="Times New Roman"/>
                <w:sz w:val="20"/>
                <w:szCs w:val="20"/>
              </w:rPr>
            </w:pPr>
            <w:r>
              <w:rPr>
                <w:rFonts w:ascii="FangSong_GB2312" w:hAnsi="FangSong_GB2312" w:eastAsia="FangSong_GB2312" w:cs="FangSong_GB2312"/>
                <w:spacing w:val="3"/>
                <w:sz w:val="20"/>
                <w:szCs w:val="20"/>
              </w:rPr>
              <w:t>差</w:t>
            </w:r>
            <w:r>
              <w:rPr>
                <w:rFonts w:ascii="Times New Roman" w:hAnsi="Times New Roman" w:eastAsia="Times New Roman" w:cs="Times New Roman"/>
                <w:spacing w:val="3"/>
                <w:sz w:val="20"/>
                <w:szCs w:val="20"/>
              </w:rPr>
              <w:t>-25m</w:t>
            </w:r>
          </w:p>
        </w:tc>
        <w:tc>
          <w:tcPr>
            <w:tcW w:w="2714" w:type="dxa"/>
            <w:vMerge w:val="continue"/>
            <w:tcBorders>
              <w:top w:val="nil"/>
            </w:tcBorders>
            <w:vAlign w:val="top"/>
          </w:tcPr>
          <w:p w14:paraId="18131DD0">
            <w:pPr>
              <w:rPr>
                <w:rFonts w:ascii="Arial"/>
                <w:sz w:val="21"/>
              </w:rPr>
            </w:pPr>
          </w:p>
        </w:tc>
        <w:tc>
          <w:tcPr>
            <w:tcW w:w="486" w:type="dxa"/>
            <w:vMerge w:val="continue"/>
            <w:tcBorders>
              <w:top w:val="nil"/>
              <w:bottom w:val="nil"/>
            </w:tcBorders>
            <w:vAlign w:val="top"/>
          </w:tcPr>
          <w:p w14:paraId="620AC2B7">
            <w:pPr>
              <w:rPr>
                <w:rFonts w:ascii="Arial"/>
                <w:sz w:val="21"/>
              </w:rPr>
            </w:pPr>
          </w:p>
        </w:tc>
        <w:tc>
          <w:tcPr>
            <w:tcW w:w="123" w:type="dxa"/>
            <w:vMerge w:val="continue"/>
            <w:tcBorders>
              <w:top w:val="nil"/>
              <w:bottom w:val="nil"/>
              <w:right w:val="single" w:color="000000" w:sz="6" w:space="0"/>
            </w:tcBorders>
            <w:vAlign w:val="top"/>
          </w:tcPr>
          <w:p w14:paraId="11455374">
            <w:pPr>
              <w:rPr>
                <w:rFonts w:ascii="Arial"/>
                <w:sz w:val="21"/>
              </w:rPr>
            </w:pPr>
          </w:p>
        </w:tc>
      </w:tr>
      <w:tr w14:paraId="23841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3" w:hRule="atLeast"/>
        </w:trPr>
        <w:tc>
          <w:tcPr>
            <w:tcW w:w="781" w:type="dxa"/>
            <w:vMerge w:val="continue"/>
            <w:tcBorders>
              <w:top w:val="nil"/>
              <w:left w:val="single" w:color="000000" w:sz="6" w:space="0"/>
              <w:bottom w:val="nil"/>
            </w:tcBorders>
            <w:vAlign w:val="top"/>
          </w:tcPr>
          <w:p w14:paraId="6B98385A">
            <w:pPr>
              <w:rPr>
                <w:rFonts w:ascii="Arial"/>
                <w:sz w:val="21"/>
              </w:rPr>
            </w:pPr>
          </w:p>
        </w:tc>
        <w:tc>
          <w:tcPr>
            <w:tcW w:w="569" w:type="dxa"/>
            <w:vAlign w:val="top"/>
          </w:tcPr>
          <w:p w14:paraId="54E7BC82">
            <w:pPr>
              <w:spacing w:line="306" w:lineRule="auto"/>
              <w:rPr>
                <w:rFonts w:ascii="Arial"/>
                <w:sz w:val="21"/>
              </w:rPr>
            </w:pPr>
          </w:p>
          <w:p w14:paraId="4B2D1C35">
            <w:pPr>
              <w:spacing w:line="306" w:lineRule="auto"/>
              <w:rPr>
                <w:rFonts w:ascii="Arial"/>
                <w:sz w:val="21"/>
              </w:rPr>
            </w:pPr>
          </w:p>
          <w:p w14:paraId="1316BAA0">
            <w:pPr>
              <w:pStyle w:val="6"/>
              <w:spacing w:before="65" w:line="287" w:lineRule="auto"/>
              <w:ind w:left="178" w:right="80" w:hanging="86"/>
              <w:rPr>
                <w:sz w:val="20"/>
                <w:szCs w:val="20"/>
              </w:rPr>
            </w:pPr>
            <w:r>
              <w:rPr>
                <w:spacing w:val="-5"/>
                <w:sz w:val="20"/>
                <w:szCs w:val="20"/>
              </w:rPr>
              <w:t>团麦</w:t>
            </w:r>
            <w:r>
              <w:rPr>
                <w:sz w:val="20"/>
                <w:szCs w:val="20"/>
              </w:rPr>
              <w:t xml:space="preserve"> 地</w:t>
            </w:r>
          </w:p>
        </w:tc>
        <w:tc>
          <w:tcPr>
            <w:tcW w:w="498" w:type="dxa"/>
            <w:vAlign w:val="top"/>
          </w:tcPr>
          <w:p w14:paraId="4BF31E6A">
            <w:pPr>
              <w:spacing w:line="257" w:lineRule="auto"/>
              <w:rPr>
                <w:rFonts w:ascii="Arial"/>
                <w:sz w:val="21"/>
              </w:rPr>
            </w:pPr>
          </w:p>
          <w:p w14:paraId="52E478C7">
            <w:pPr>
              <w:spacing w:line="257" w:lineRule="auto"/>
              <w:rPr>
                <w:rFonts w:ascii="Arial"/>
                <w:sz w:val="21"/>
              </w:rPr>
            </w:pPr>
          </w:p>
          <w:p w14:paraId="289291A9">
            <w:pPr>
              <w:spacing w:line="258" w:lineRule="auto"/>
              <w:rPr>
                <w:rFonts w:ascii="Arial"/>
                <w:sz w:val="21"/>
              </w:rPr>
            </w:pPr>
          </w:p>
          <w:p w14:paraId="3E685D72">
            <w:pPr>
              <w:pStyle w:val="6"/>
              <w:spacing w:before="65" w:line="228" w:lineRule="auto"/>
              <w:ind w:left="42"/>
              <w:rPr>
                <w:sz w:val="20"/>
                <w:szCs w:val="20"/>
              </w:rPr>
            </w:pPr>
            <w:r>
              <w:rPr>
                <w:spacing w:val="3"/>
                <w:sz w:val="20"/>
                <w:szCs w:val="20"/>
              </w:rPr>
              <w:t>居民</w:t>
            </w:r>
          </w:p>
        </w:tc>
        <w:tc>
          <w:tcPr>
            <w:tcW w:w="633" w:type="dxa"/>
            <w:vAlign w:val="top"/>
          </w:tcPr>
          <w:p w14:paraId="75432D79">
            <w:pPr>
              <w:spacing w:line="305" w:lineRule="auto"/>
              <w:rPr>
                <w:rFonts w:ascii="Arial"/>
                <w:sz w:val="21"/>
              </w:rPr>
            </w:pPr>
          </w:p>
          <w:p w14:paraId="11AD72CB">
            <w:pPr>
              <w:spacing w:line="306" w:lineRule="auto"/>
              <w:rPr>
                <w:rFonts w:ascii="Arial"/>
                <w:sz w:val="21"/>
              </w:rPr>
            </w:pPr>
          </w:p>
          <w:p w14:paraId="377DE4AF">
            <w:pPr>
              <w:pStyle w:val="6"/>
              <w:spacing w:before="65" w:line="284" w:lineRule="auto"/>
              <w:ind w:left="82" w:right="83" w:firstLine="15"/>
              <w:rPr>
                <w:sz w:val="20"/>
                <w:szCs w:val="20"/>
              </w:rPr>
            </w:pPr>
            <w:r>
              <w:rPr>
                <w:rFonts w:ascii="Times New Roman" w:hAnsi="Times New Roman" w:eastAsia="Times New Roman" w:cs="Times New Roman"/>
                <w:spacing w:val="-5"/>
                <w:sz w:val="20"/>
                <w:szCs w:val="20"/>
              </w:rPr>
              <w:t>10</w:t>
            </w:r>
            <w:r>
              <w:rPr>
                <w:rFonts w:ascii="Times New Roman" w:hAnsi="Times New Roman" w:eastAsia="Times New Roman" w:cs="Times New Roman"/>
                <w:spacing w:val="10"/>
                <w:sz w:val="20"/>
                <w:szCs w:val="20"/>
              </w:rPr>
              <w:t xml:space="preserve"> </w:t>
            </w:r>
            <w:r>
              <w:rPr>
                <w:spacing w:val="-5"/>
                <w:sz w:val="20"/>
                <w:szCs w:val="20"/>
              </w:rPr>
              <w:t>户</w:t>
            </w:r>
            <w:r>
              <w:rPr>
                <w:sz w:val="20"/>
                <w:szCs w:val="20"/>
              </w:rPr>
              <w:t xml:space="preserve"> </w:t>
            </w:r>
            <w:r>
              <w:rPr>
                <w:rFonts w:ascii="Times New Roman" w:hAnsi="Times New Roman" w:eastAsia="Times New Roman" w:cs="Times New Roman"/>
                <w:sz w:val="20"/>
                <w:szCs w:val="20"/>
              </w:rPr>
              <w:t>33</w:t>
            </w:r>
            <w:r>
              <w:rPr>
                <w:rFonts w:ascii="Times New Roman" w:hAnsi="Times New Roman" w:eastAsia="Times New Roman" w:cs="Times New Roman"/>
                <w:spacing w:val="11"/>
                <w:sz w:val="20"/>
                <w:szCs w:val="20"/>
              </w:rPr>
              <w:t xml:space="preserve"> </w:t>
            </w:r>
            <w:r>
              <w:rPr>
                <w:sz w:val="20"/>
                <w:szCs w:val="20"/>
              </w:rPr>
              <w:t>人</w:t>
            </w:r>
          </w:p>
        </w:tc>
        <w:tc>
          <w:tcPr>
            <w:tcW w:w="997" w:type="dxa"/>
            <w:vAlign w:val="top"/>
          </w:tcPr>
          <w:p w14:paraId="2B0BB10D">
            <w:pPr>
              <w:spacing w:line="271" w:lineRule="auto"/>
              <w:rPr>
                <w:rFonts w:ascii="Arial"/>
                <w:sz w:val="21"/>
              </w:rPr>
            </w:pPr>
          </w:p>
          <w:p w14:paraId="356BAB85">
            <w:pPr>
              <w:spacing w:line="272" w:lineRule="auto"/>
              <w:rPr>
                <w:rFonts w:ascii="Arial"/>
                <w:sz w:val="21"/>
              </w:rPr>
            </w:pPr>
          </w:p>
          <w:p w14:paraId="0E0CDAAC">
            <w:pPr>
              <w:spacing w:line="272" w:lineRule="auto"/>
              <w:rPr>
                <w:rFonts w:ascii="Arial"/>
                <w:sz w:val="21"/>
              </w:rPr>
            </w:pPr>
          </w:p>
          <w:p w14:paraId="062242E5">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103.42995</w:t>
            </w:r>
          </w:p>
        </w:tc>
        <w:tc>
          <w:tcPr>
            <w:tcW w:w="1083" w:type="dxa"/>
            <w:vAlign w:val="top"/>
          </w:tcPr>
          <w:p w14:paraId="3FDCDD5F">
            <w:pPr>
              <w:spacing w:line="271" w:lineRule="auto"/>
              <w:rPr>
                <w:rFonts w:ascii="Arial"/>
                <w:sz w:val="21"/>
              </w:rPr>
            </w:pPr>
          </w:p>
          <w:p w14:paraId="522029DB">
            <w:pPr>
              <w:spacing w:line="272" w:lineRule="auto"/>
              <w:rPr>
                <w:rFonts w:ascii="Arial"/>
                <w:sz w:val="21"/>
              </w:rPr>
            </w:pPr>
          </w:p>
          <w:p w14:paraId="671298B5">
            <w:pPr>
              <w:spacing w:line="272" w:lineRule="auto"/>
              <w:rPr>
                <w:rFonts w:ascii="Arial"/>
                <w:sz w:val="21"/>
              </w:rPr>
            </w:pPr>
          </w:p>
          <w:p w14:paraId="3C7C315F">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25.67794</w:t>
            </w:r>
          </w:p>
        </w:tc>
        <w:tc>
          <w:tcPr>
            <w:tcW w:w="1180" w:type="dxa"/>
            <w:vAlign w:val="top"/>
          </w:tcPr>
          <w:p w14:paraId="260F5525">
            <w:pPr>
              <w:spacing w:line="456" w:lineRule="auto"/>
              <w:rPr>
                <w:rFonts w:ascii="Arial"/>
                <w:sz w:val="21"/>
              </w:rPr>
            </w:pPr>
          </w:p>
          <w:p w14:paraId="4C223775">
            <w:pPr>
              <w:spacing w:before="65" w:line="283" w:lineRule="auto"/>
              <w:ind w:left="14" w:right="59" w:firstLine="86"/>
              <w:jc w:val="right"/>
              <w:rPr>
                <w:rFonts w:ascii="Times New Roman" w:hAnsi="Times New Roman" w:eastAsia="Times New Roman" w:cs="Times New Roman"/>
                <w:sz w:val="20"/>
                <w:szCs w:val="20"/>
              </w:rPr>
            </w:pPr>
            <w:r>
              <w:rPr>
                <w:rFonts w:ascii="FangSong_GB2312" w:hAnsi="FangSong_GB2312" w:eastAsia="FangSong_GB2312" w:cs="FangSong_GB2312"/>
                <w:spacing w:val="-3"/>
                <w:sz w:val="20"/>
                <w:szCs w:val="20"/>
              </w:rPr>
              <w:t>区块</w:t>
            </w:r>
            <w:r>
              <w:rPr>
                <w:rFonts w:ascii="FangSong_GB2312" w:hAnsi="FangSong_GB2312" w:eastAsia="FangSong_GB2312" w:cs="FangSong_GB2312"/>
                <w:spacing w:val="-42"/>
                <w:sz w:val="20"/>
                <w:szCs w:val="20"/>
              </w:rPr>
              <w:t xml:space="preserve"> </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18"/>
                <w:w w:val="101"/>
                <w:sz w:val="20"/>
                <w:szCs w:val="20"/>
              </w:rPr>
              <w:t xml:space="preserve"> </w:t>
            </w:r>
            <w:r>
              <w:rPr>
                <w:rFonts w:ascii="FangSong_GB2312" w:hAnsi="FangSong_GB2312" w:eastAsia="FangSong_GB2312" w:cs="FangSong_GB2312"/>
                <w:spacing w:val="-3"/>
                <w:sz w:val="20"/>
                <w:szCs w:val="20"/>
              </w:rPr>
              <w:t>东北</w:t>
            </w:r>
            <w:r>
              <w:rPr>
                <w:rFonts w:ascii="FangSong_GB2312" w:hAnsi="FangSong_GB2312" w:eastAsia="FangSong_GB2312" w:cs="FangSong_GB2312"/>
                <w:sz w:val="20"/>
                <w:szCs w:val="20"/>
              </w:rPr>
              <w:t xml:space="preserve"> </w:t>
            </w:r>
            <w:r>
              <w:rPr>
                <w:rFonts w:ascii="FangSong_GB2312" w:hAnsi="FangSong_GB2312" w:eastAsia="FangSong_GB2312" w:cs="FangSong_GB2312"/>
                <w:spacing w:val="-2"/>
                <w:sz w:val="20"/>
                <w:szCs w:val="20"/>
              </w:rPr>
              <w:t>侧约</w:t>
            </w:r>
            <w:r>
              <w:rPr>
                <w:rFonts w:ascii="FangSong_GB2312" w:hAnsi="FangSong_GB2312" w:eastAsia="FangSong_GB2312" w:cs="FangSong_GB2312"/>
                <w:spacing w:val="-41"/>
                <w:sz w:val="20"/>
                <w:szCs w:val="20"/>
              </w:rPr>
              <w:t xml:space="preserve"> </w:t>
            </w:r>
            <w:r>
              <w:rPr>
                <w:rFonts w:ascii="Times New Roman" w:hAnsi="Times New Roman" w:eastAsia="Times New Roman" w:cs="Times New Roman"/>
                <w:spacing w:val="-2"/>
                <w:sz w:val="20"/>
                <w:szCs w:val="20"/>
              </w:rPr>
              <w:t>445m</w:t>
            </w:r>
            <w:r>
              <w:rPr>
                <w:rFonts w:ascii="FangSong_GB2312" w:hAnsi="FangSong_GB2312" w:eastAsia="FangSong_GB2312" w:cs="FangSong_GB2312"/>
                <w:spacing w:val="-2"/>
                <w:sz w:val="20"/>
                <w:szCs w:val="20"/>
              </w:rPr>
              <w:t>，</w:t>
            </w:r>
            <w:r>
              <w:rPr>
                <w:rFonts w:ascii="FangSong_GB2312" w:hAnsi="FangSong_GB2312" w:eastAsia="FangSong_GB2312" w:cs="FangSong_GB2312"/>
                <w:sz w:val="20"/>
                <w:szCs w:val="20"/>
              </w:rPr>
              <w:t xml:space="preserve"> </w:t>
            </w:r>
            <w:r>
              <w:rPr>
                <w:rFonts w:ascii="FangSong_GB2312" w:hAnsi="FangSong_GB2312" w:eastAsia="FangSong_GB2312" w:cs="FangSong_GB2312"/>
                <w:spacing w:val="4"/>
                <w:sz w:val="20"/>
                <w:szCs w:val="20"/>
              </w:rPr>
              <w:t>高差</w:t>
            </w:r>
            <w:r>
              <w:rPr>
                <w:rFonts w:ascii="Times New Roman" w:hAnsi="Times New Roman" w:eastAsia="Times New Roman" w:cs="Times New Roman"/>
                <w:spacing w:val="4"/>
                <w:sz w:val="20"/>
                <w:szCs w:val="20"/>
              </w:rPr>
              <w:t>-108m</w:t>
            </w:r>
          </w:p>
        </w:tc>
        <w:tc>
          <w:tcPr>
            <w:tcW w:w="2714" w:type="dxa"/>
            <w:vAlign w:val="top"/>
          </w:tcPr>
          <w:p w14:paraId="56E4133B">
            <w:pPr>
              <w:spacing w:before="10" w:line="1812" w:lineRule="exact"/>
              <w:ind w:firstLine="107"/>
            </w:pPr>
            <w:r>
              <w:rPr>
                <w:position w:val="-36"/>
              </w:rPr>
              <w:drawing>
                <wp:inline distT="0" distB="0" distL="0" distR="0">
                  <wp:extent cx="1617980" cy="11506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16"/>
                          <a:stretch>
                            <a:fillRect/>
                          </a:stretch>
                        </pic:blipFill>
                        <pic:spPr>
                          <a:xfrm>
                            <a:off x="0" y="0"/>
                            <a:ext cx="1618488" cy="1151001"/>
                          </a:xfrm>
                          <a:prstGeom prst="rect">
                            <a:avLst/>
                          </a:prstGeom>
                        </pic:spPr>
                      </pic:pic>
                    </a:graphicData>
                  </a:graphic>
                </wp:inline>
              </w:drawing>
            </w:r>
          </w:p>
        </w:tc>
        <w:tc>
          <w:tcPr>
            <w:tcW w:w="486" w:type="dxa"/>
            <w:vMerge w:val="continue"/>
            <w:tcBorders>
              <w:top w:val="nil"/>
              <w:bottom w:val="nil"/>
            </w:tcBorders>
            <w:vAlign w:val="top"/>
          </w:tcPr>
          <w:p w14:paraId="22468D96">
            <w:pPr>
              <w:rPr>
                <w:rFonts w:ascii="Arial"/>
                <w:sz w:val="21"/>
              </w:rPr>
            </w:pPr>
          </w:p>
        </w:tc>
        <w:tc>
          <w:tcPr>
            <w:tcW w:w="123" w:type="dxa"/>
            <w:vMerge w:val="continue"/>
            <w:tcBorders>
              <w:top w:val="nil"/>
              <w:bottom w:val="nil"/>
              <w:right w:val="single" w:color="000000" w:sz="6" w:space="0"/>
            </w:tcBorders>
            <w:vAlign w:val="top"/>
          </w:tcPr>
          <w:p w14:paraId="002C414E">
            <w:pPr>
              <w:rPr>
                <w:rFonts w:ascii="Arial"/>
                <w:sz w:val="21"/>
              </w:rPr>
            </w:pPr>
          </w:p>
        </w:tc>
      </w:tr>
      <w:tr w14:paraId="2133B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781" w:type="dxa"/>
            <w:vMerge w:val="continue"/>
            <w:tcBorders>
              <w:top w:val="nil"/>
              <w:left w:val="single" w:color="000000" w:sz="6" w:space="0"/>
              <w:bottom w:val="single" w:color="000000" w:sz="6" w:space="0"/>
            </w:tcBorders>
            <w:vAlign w:val="top"/>
          </w:tcPr>
          <w:p w14:paraId="2C18EC0B">
            <w:pPr>
              <w:rPr>
                <w:rFonts w:ascii="Arial"/>
                <w:sz w:val="21"/>
              </w:rPr>
            </w:pPr>
          </w:p>
        </w:tc>
        <w:tc>
          <w:tcPr>
            <w:tcW w:w="569" w:type="dxa"/>
            <w:tcBorders>
              <w:bottom w:val="single" w:color="000000" w:sz="6" w:space="0"/>
            </w:tcBorders>
            <w:vAlign w:val="top"/>
          </w:tcPr>
          <w:p w14:paraId="5FDC75C2">
            <w:pPr>
              <w:spacing w:line="294" w:lineRule="auto"/>
              <w:rPr>
                <w:rFonts w:ascii="Arial"/>
                <w:sz w:val="21"/>
              </w:rPr>
            </w:pPr>
          </w:p>
          <w:p w14:paraId="153BC2B7">
            <w:pPr>
              <w:spacing w:line="295" w:lineRule="auto"/>
              <w:rPr>
                <w:rFonts w:ascii="Arial"/>
                <w:sz w:val="21"/>
              </w:rPr>
            </w:pPr>
          </w:p>
          <w:p w14:paraId="3C783EBD">
            <w:pPr>
              <w:spacing w:line="295" w:lineRule="auto"/>
              <w:rPr>
                <w:rFonts w:ascii="Arial"/>
                <w:sz w:val="21"/>
              </w:rPr>
            </w:pPr>
          </w:p>
          <w:p w14:paraId="55A0828B">
            <w:pPr>
              <w:pStyle w:val="6"/>
              <w:spacing w:before="65" w:line="280" w:lineRule="auto"/>
              <w:ind w:left="179" w:right="80" w:hanging="105"/>
              <w:rPr>
                <w:sz w:val="20"/>
                <w:szCs w:val="20"/>
              </w:rPr>
            </w:pPr>
            <w:r>
              <w:rPr>
                <w:spacing w:val="4"/>
                <w:sz w:val="20"/>
                <w:szCs w:val="20"/>
              </w:rPr>
              <w:t>石头</w:t>
            </w:r>
            <w:r>
              <w:rPr>
                <w:sz w:val="20"/>
                <w:szCs w:val="20"/>
              </w:rPr>
              <w:t xml:space="preserve"> 村</w:t>
            </w:r>
          </w:p>
        </w:tc>
        <w:tc>
          <w:tcPr>
            <w:tcW w:w="498" w:type="dxa"/>
            <w:tcBorders>
              <w:bottom w:val="single" w:color="000000" w:sz="6" w:space="0"/>
            </w:tcBorders>
            <w:vAlign w:val="top"/>
          </w:tcPr>
          <w:p w14:paraId="1FD3772F">
            <w:pPr>
              <w:spacing w:line="260" w:lineRule="auto"/>
              <w:rPr>
                <w:rFonts w:ascii="Arial"/>
                <w:sz w:val="21"/>
              </w:rPr>
            </w:pPr>
          </w:p>
          <w:p w14:paraId="26DA9B4F">
            <w:pPr>
              <w:spacing w:line="260" w:lineRule="auto"/>
              <w:rPr>
                <w:rFonts w:ascii="Arial"/>
                <w:sz w:val="21"/>
              </w:rPr>
            </w:pPr>
          </w:p>
          <w:p w14:paraId="040863F4">
            <w:pPr>
              <w:spacing w:line="261" w:lineRule="auto"/>
              <w:rPr>
                <w:rFonts w:ascii="Arial"/>
                <w:sz w:val="21"/>
              </w:rPr>
            </w:pPr>
          </w:p>
          <w:p w14:paraId="06EE663F">
            <w:pPr>
              <w:spacing w:line="261" w:lineRule="auto"/>
              <w:rPr>
                <w:rFonts w:ascii="Arial"/>
                <w:sz w:val="21"/>
              </w:rPr>
            </w:pPr>
          </w:p>
          <w:p w14:paraId="1DF52B74">
            <w:pPr>
              <w:pStyle w:val="6"/>
              <w:spacing w:before="65" w:line="228" w:lineRule="auto"/>
              <w:ind w:left="42"/>
              <w:rPr>
                <w:sz w:val="20"/>
                <w:szCs w:val="20"/>
              </w:rPr>
            </w:pPr>
            <w:r>
              <w:rPr>
                <w:spacing w:val="3"/>
                <w:sz w:val="20"/>
                <w:szCs w:val="20"/>
              </w:rPr>
              <w:t>居民</w:t>
            </w:r>
          </w:p>
        </w:tc>
        <w:tc>
          <w:tcPr>
            <w:tcW w:w="633" w:type="dxa"/>
            <w:tcBorders>
              <w:bottom w:val="single" w:color="000000" w:sz="6" w:space="0"/>
            </w:tcBorders>
            <w:vAlign w:val="top"/>
          </w:tcPr>
          <w:p w14:paraId="4892963C">
            <w:pPr>
              <w:spacing w:line="295" w:lineRule="auto"/>
              <w:rPr>
                <w:rFonts w:ascii="Arial"/>
                <w:sz w:val="21"/>
              </w:rPr>
            </w:pPr>
          </w:p>
          <w:p w14:paraId="0C30CE47">
            <w:pPr>
              <w:spacing w:line="295" w:lineRule="auto"/>
              <w:rPr>
                <w:rFonts w:ascii="Arial"/>
                <w:sz w:val="21"/>
              </w:rPr>
            </w:pPr>
          </w:p>
          <w:p w14:paraId="210B0C07">
            <w:pPr>
              <w:spacing w:line="295" w:lineRule="auto"/>
              <w:rPr>
                <w:rFonts w:ascii="Arial"/>
                <w:sz w:val="21"/>
              </w:rPr>
            </w:pPr>
          </w:p>
          <w:p w14:paraId="66D9EFF4">
            <w:pPr>
              <w:pStyle w:val="6"/>
              <w:spacing w:before="65" w:line="281" w:lineRule="auto"/>
              <w:ind w:left="45" w:right="30" w:firstLine="31"/>
              <w:rPr>
                <w:sz w:val="20"/>
                <w:szCs w:val="20"/>
              </w:rPr>
            </w:pPr>
            <w:r>
              <w:rPr>
                <w:rFonts w:ascii="Times New Roman" w:hAnsi="Times New Roman" w:eastAsia="Times New Roman" w:cs="Times New Roman"/>
                <w:spacing w:val="2"/>
                <w:sz w:val="20"/>
                <w:szCs w:val="20"/>
              </w:rPr>
              <w:t>46</w:t>
            </w:r>
            <w:r>
              <w:rPr>
                <w:rFonts w:ascii="Times New Roman" w:hAnsi="Times New Roman" w:eastAsia="Times New Roman" w:cs="Times New Roman"/>
                <w:spacing w:val="10"/>
                <w:sz w:val="20"/>
                <w:szCs w:val="20"/>
              </w:rPr>
              <w:t xml:space="preserve"> </w:t>
            </w:r>
            <w:r>
              <w:rPr>
                <w:spacing w:val="2"/>
                <w:sz w:val="20"/>
                <w:szCs w:val="20"/>
              </w:rPr>
              <w:t>户</w:t>
            </w:r>
            <w:r>
              <w:rPr>
                <w:sz w:val="20"/>
                <w:szCs w:val="20"/>
              </w:rPr>
              <w:t xml:space="preserve"> </w:t>
            </w:r>
            <w:r>
              <w:rPr>
                <w:rFonts w:ascii="Times New Roman" w:hAnsi="Times New Roman" w:eastAsia="Times New Roman" w:cs="Times New Roman"/>
                <w:spacing w:val="-3"/>
                <w:sz w:val="20"/>
                <w:szCs w:val="20"/>
              </w:rPr>
              <w:t>138</w:t>
            </w:r>
            <w:r>
              <w:rPr>
                <w:rFonts w:ascii="Times New Roman" w:hAnsi="Times New Roman" w:eastAsia="Times New Roman" w:cs="Times New Roman"/>
                <w:spacing w:val="12"/>
                <w:w w:val="101"/>
                <w:sz w:val="20"/>
                <w:szCs w:val="20"/>
              </w:rPr>
              <w:t xml:space="preserve"> </w:t>
            </w:r>
            <w:r>
              <w:rPr>
                <w:spacing w:val="-3"/>
                <w:sz w:val="20"/>
                <w:szCs w:val="20"/>
              </w:rPr>
              <w:t>人</w:t>
            </w:r>
          </w:p>
        </w:tc>
        <w:tc>
          <w:tcPr>
            <w:tcW w:w="997" w:type="dxa"/>
            <w:tcBorders>
              <w:bottom w:val="single" w:color="000000" w:sz="6" w:space="0"/>
            </w:tcBorders>
            <w:vAlign w:val="top"/>
          </w:tcPr>
          <w:p w14:paraId="3E9885CD">
            <w:pPr>
              <w:spacing w:line="271" w:lineRule="auto"/>
              <w:rPr>
                <w:rFonts w:ascii="Arial"/>
                <w:sz w:val="21"/>
              </w:rPr>
            </w:pPr>
          </w:p>
          <w:p w14:paraId="1B2C952E">
            <w:pPr>
              <w:spacing w:line="271" w:lineRule="auto"/>
              <w:rPr>
                <w:rFonts w:ascii="Arial"/>
                <w:sz w:val="21"/>
              </w:rPr>
            </w:pPr>
          </w:p>
          <w:p w14:paraId="697956F8">
            <w:pPr>
              <w:spacing w:line="271" w:lineRule="auto"/>
              <w:rPr>
                <w:rFonts w:ascii="Arial"/>
                <w:sz w:val="21"/>
              </w:rPr>
            </w:pPr>
          </w:p>
          <w:p w14:paraId="0CB18687">
            <w:pPr>
              <w:spacing w:line="272" w:lineRule="auto"/>
              <w:rPr>
                <w:rFonts w:ascii="Arial"/>
                <w:sz w:val="21"/>
              </w:rPr>
            </w:pPr>
          </w:p>
          <w:p w14:paraId="730422D3">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103.38533</w:t>
            </w:r>
          </w:p>
        </w:tc>
        <w:tc>
          <w:tcPr>
            <w:tcW w:w="1083" w:type="dxa"/>
            <w:tcBorders>
              <w:bottom w:val="single" w:color="000000" w:sz="6" w:space="0"/>
            </w:tcBorders>
            <w:vAlign w:val="top"/>
          </w:tcPr>
          <w:p w14:paraId="520435A6">
            <w:pPr>
              <w:spacing w:line="271" w:lineRule="auto"/>
              <w:rPr>
                <w:rFonts w:ascii="Arial"/>
                <w:sz w:val="21"/>
              </w:rPr>
            </w:pPr>
          </w:p>
          <w:p w14:paraId="6A33F96C">
            <w:pPr>
              <w:spacing w:line="271" w:lineRule="auto"/>
              <w:rPr>
                <w:rFonts w:ascii="Arial"/>
                <w:sz w:val="21"/>
              </w:rPr>
            </w:pPr>
          </w:p>
          <w:p w14:paraId="5C1E2C47">
            <w:pPr>
              <w:spacing w:line="271" w:lineRule="auto"/>
              <w:rPr>
                <w:rFonts w:ascii="Arial"/>
                <w:sz w:val="21"/>
              </w:rPr>
            </w:pPr>
          </w:p>
          <w:p w14:paraId="4C88002C">
            <w:pPr>
              <w:spacing w:line="272" w:lineRule="auto"/>
              <w:rPr>
                <w:rFonts w:ascii="Arial"/>
                <w:sz w:val="21"/>
              </w:rPr>
            </w:pPr>
          </w:p>
          <w:p w14:paraId="61DA1EF6">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25.67206</w:t>
            </w:r>
          </w:p>
        </w:tc>
        <w:tc>
          <w:tcPr>
            <w:tcW w:w="1180" w:type="dxa"/>
            <w:tcBorders>
              <w:bottom w:val="single" w:color="000000" w:sz="6" w:space="0"/>
            </w:tcBorders>
            <w:vAlign w:val="top"/>
          </w:tcPr>
          <w:p w14:paraId="7541E877">
            <w:pPr>
              <w:spacing w:line="241" w:lineRule="auto"/>
              <w:rPr>
                <w:rFonts w:ascii="Arial"/>
                <w:sz w:val="21"/>
              </w:rPr>
            </w:pPr>
          </w:p>
          <w:p w14:paraId="335E2986">
            <w:pPr>
              <w:spacing w:line="242" w:lineRule="auto"/>
              <w:rPr>
                <w:rFonts w:ascii="Arial"/>
                <w:sz w:val="21"/>
              </w:rPr>
            </w:pPr>
          </w:p>
          <w:p w14:paraId="77443F83">
            <w:pPr>
              <w:spacing w:line="242" w:lineRule="auto"/>
              <w:rPr>
                <w:rFonts w:ascii="Arial"/>
                <w:sz w:val="21"/>
              </w:rPr>
            </w:pPr>
          </w:p>
          <w:p w14:paraId="1B7492F2">
            <w:pPr>
              <w:pStyle w:val="6"/>
              <w:spacing w:before="65" w:line="228" w:lineRule="auto"/>
              <w:ind w:left="87"/>
              <w:rPr>
                <w:sz w:val="20"/>
                <w:szCs w:val="20"/>
              </w:rPr>
            </w:pPr>
            <w:r>
              <w:rPr>
                <w:spacing w:val="-5"/>
                <w:sz w:val="20"/>
                <w:szCs w:val="20"/>
              </w:rPr>
              <w:t>区块</w:t>
            </w:r>
            <w:r>
              <w:rPr>
                <w:spacing w:val="-18"/>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7"/>
                <w:sz w:val="20"/>
                <w:szCs w:val="20"/>
              </w:rPr>
              <w:t xml:space="preserve"> </w:t>
            </w:r>
            <w:r>
              <w:rPr>
                <w:spacing w:val="-5"/>
                <w:sz w:val="20"/>
                <w:szCs w:val="20"/>
              </w:rPr>
              <w:t>西南</w:t>
            </w:r>
          </w:p>
          <w:p w14:paraId="01C40797">
            <w:pPr>
              <w:pStyle w:val="6"/>
              <w:spacing w:before="71" w:line="228" w:lineRule="auto"/>
              <w:ind w:left="14"/>
              <w:rPr>
                <w:sz w:val="20"/>
                <w:szCs w:val="20"/>
              </w:rPr>
            </w:pPr>
            <w:r>
              <w:rPr>
                <w:spacing w:val="2"/>
                <w:sz w:val="20"/>
                <w:szCs w:val="20"/>
              </w:rPr>
              <w:t>侧</w:t>
            </w:r>
            <w:r>
              <w:rPr>
                <w:spacing w:val="-39"/>
                <w:sz w:val="20"/>
                <w:szCs w:val="20"/>
              </w:rPr>
              <w:t xml:space="preserve"> </w:t>
            </w:r>
            <w:r>
              <w:rPr>
                <w:rFonts w:ascii="Times New Roman" w:hAnsi="Times New Roman" w:eastAsia="Times New Roman" w:cs="Times New Roman"/>
                <w:spacing w:val="2"/>
                <w:sz w:val="20"/>
                <w:szCs w:val="20"/>
              </w:rPr>
              <w:t>371m</w:t>
            </w:r>
            <w:r>
              <w:rPr>
                <w:rFonts w:ascii="Times New Roman" w:hAnsi="Times New Roman" w:eastAsia="Times New Roman" w:cs="Times New Roman"/>
                <w:spacing w:val="-27"/>
                <w:sz w:val="20"/>
                <w:szCs w:val="20"/>
              </w:rPr>
              <w:t xml:space="preserve"> </w:t>
            </w:r>
            <w:r>
              <w:rPr>
                <w:spacing w:val="2"/>
                <w:sz w:val="20"/>
                <w:szCs w:val="20"/>
              </w:rPr>
              <w:t>，高</w:t>
            </w:r>
          </w:p>
          <w:p w14:paraId="30016549">
            <w:pPr>
              <w:pStyle w:val="6"/>
              <w:spacing w:before="74" w:line="235" w:lineRule="auto"/>
              <w:ind w:left="273"/>
              <w:rPr>
                <w:rFonts w:ascii="Times New Roman" w:hAnsi="Times New Roman" w:eastAsia="Times New Roman" w:cs="Times New Roman"/>
                <w:sz w:val="20"/>
                <w:szCs w:val="20"/>
              </w:rPr>
            </w:pPr>
            <w:r>
              <w:rPr>
                <w:spacing w:val="3"/>
                <w:sz w:val="20"/>
                <w:szCs w:val="20"/>
              </w:rPr>
              <w:t>差</w:t>
            </w:r>
            <w:r>
              <w:rPr>
                <w:rFonts w:ascii="Times New Roman" w:hAnsi="Times New Roman" w:eastAsia="Times New Roman" w:cs="Times New Roman"/>
                <w:spacing w:val="3"/>
                <w:sz w:val="20"/>
                <w:szCs w:val="20"/>
              </w:rPr>
              <w:t>-90m</w:t>
            </w:r>
          </w:p>
        </w:tc>
        <w:tc>
          <w:tcPr>
            <w:tcW w:w="2714" w:type="dxa"/>
            <w:tcBorders>
              <w:bottom w:val="single" w:color="000000" w:sz="6" w:space="0"/>
            </w:tcBorders>
            <w:vAlign w:val="top"/>
          </w:tcPr>
          <w:p w14:paraId="3335E75D">
            <w:pPr>
              <w:spacing w:line="251" w:lineRule="auto"/>
              <w:rPr>
                <w:rFonts w:ascii="Arial"/>
                <w:sz w:val="21"/>
              </w:rPr>
            </w:pPr>
          </w:p>
          <w:p w14:paraId="50890F01">
            <w:pPr>
              <w:spacing w:line="2107" w:lineRule="exact"/>
              <w:ind w:firstLine="203"/>
            </w:pPr>
            <w:r>
              <w:rPr>
                <w:position w:val="-42"/>
              </w:rPr>
              <w:drawing>
                <wp:inline distT="0" distB="0" distL="0" distR="0">
                  <wp:extent cx="1459865" cy="133794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17"/>
                          <a:stretch>
                            <a:fillRect/>
                          </a:stretch>
                        </pic:blipFill>
                        <pic:spPr>
                          <a:xfrm>
                            <a:off x="0" y="0"/>
                            <a:ext cx="1459991" cy="1338072"/>
                          </a:xfrm>
                          <a:prstGeom prst="rect">
                            <a:avLst/>
                          </a:prstGeom>
                        </pic:spPr>
                      </pic:pic>
                    </a:graphicData>
                  </a:graphic>
                </wp:inline>
              </w:drawing>
            </w:r>
          </w:p>
        </w:tc>
        <w:tc>
          <w:tcPr>
            <w:tcW w:w="486" w:type="dxa"/>
            <w:vMerge w:val="continue"/>
            <w:tcBorders>
              <w:top w:val="nil"/>
              <w:bottom w:val="single" w:color="000000" w:sz="6" w:space="0"/>
            </w:tcBorders>
            <w:vAlign w:val="top"/>
          </w:tcPr>
          <w:p w14:paraId="057FC5F0">
            <w:pPr>
              <w:rPr>
                <w:rFonts w:ascii="Arial"/>
                <w:sz w:val="21"/>
              </w:rPr>
            </w:pPr>
          </w:p>
        </w:tc>
        <w:tc>
          <w:tcPr>
            <w:tcW w:w="123" w:type="dxa"/>
            <w:vMerge w:val="continue"/>
            <w:tcBorders>
              <w:top w:val="nil"/>
              <w:bottom w:val="single" w:color="000000" w:sz="6" w:space="0"/>
              <w:right w:val="single" w:color="000000" w:sz="6" w:space="0"/>
            </w:tcBorders>
            <w:vAlign w:val="top"/>
          </w:tcPr>
          <w:p w14:paraId="1693D9F8">
            <w:pPr>
              <w:rPr>
                <w:rFonts w:ascii="Arial"/>
                <w:sz w:val="21"/>
              </w:rPr>
            </w:pPr>
          </w:p>
        </w:tc>
      </w:tr>
    </w:tbl>
    <w:p w14:paraId="3B02CD47">
      <w:pPr>
        <w:rPr>
          <w:rFonts w:ascii="Arial"/>
          <w:sz w:val="21"/>
        </w:rPr>
      </w:pPr>
    </w:p>
    <w:p w14:paraId="66CD9F9B">
      <w:pPr>
        <w:rPr>
          <w:rFonts w:ascii="Arial" w:hAnsi="Arial" w:eastAsia="Arial" w:cs="Arial"/>
          <w:sz w:val="21"/>
          <w:szCs w:val="21"/>
        </w:rPr>
        <w:sectPr>
          <w:footerReference r:id="rId101" w:type="default"/>
          <w:pgSz w:w="11906" w:h="16839"/>
          <w:pgMar w:top="1431" w:right="1413" w:bottom="1278" w:left="1413" w:header="0" w:footer="1116" w:gutter="0"/>
          <w:cols w:space="720" w:num="1"/>
        </w:sectPr>
      </w:pPr>
    </w:p>
    <w:p w14:paraId="2BBF9674">
      <w:pPr>
        <w:spacing w:line="99" w:lineRule="exact"/>
      </w:pPr>
    </w:p>
    <w:tbl>
      <w:tblPr>
        <w:tblStyle w:val="5"/>
        <w:tblW w:w="906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8"/>
        <w:gridCol w:w="8396"/>
      </w:tblGrid>
      <w:tr w14:paraId="5D0D2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7" w:hRule="atLeast"/>
        </w:trPr>
        <w:tc>
          <w:tcPr>
            <w:tcW w:w="668" w:type="dxa"/>
            <w:tcBorders>
              <w:left w:val="single" w:color="000000" w:sz="6" w:space="0"/>
              <w:right w:val="single" w:color="000000" w:sz="2" w:space="0"/>
            </w:tcBorders>
            <w:vAlign w:val="top"/>
          </w:tcPr>
          <w:p w14:paraId="268886E5">
            <w:pPr>
              <w:rPr>
                <w:rFonts w:ascii="Arial"/>
                <w:sz w:val="21"/>
              </w:rPr>
            </w:pPr>
          </w:p>
        </w:tc>
        <w:tc>
          <w:tcPr>
            <w:tcW w:w="8396" w:type="dxa"/>
            <w:tcBorders>
              <w:left w:val="single" w:color="000000" w:sz="2" w:space="0"/>
              <w:right w:val="single" w:color="000000" w:sz="6" w:space="0"/>
            </w:tcBorders>
            <w:vAlign w:val="top"/>
          </w:tcPr>
          <w:tbl>
            <w:tblPr>
              <w:tblStyle w:val="5"/>
              <w:tblW w:w="817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99"/>
              <w:gridCol w:w="634"/>
              <w:gridCol w:w="998"/>
              <w:gridCol w:w="1084"/>
              <w:gridCol w:w="1181"/>
              <w:gridCol w:w="2716"/>
              <w:gridCol w:w="492"/>
            </w:tblGrid>
            <w:tr w14:paraId="3384D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574" w:type="dxa"/>
                  <w:tcBorders>
                    <w:top w:val="nil"/>
                  </w:tcBorders>
                  <w:vAlign w:val="top"/>
                </w:tcPr>
                <w:p w14:paraId="1B925F92">
                  <w:pPr>
                    <w:spacing w:line="340" w:lineRule="auto"/>
                    <w:rPr>
                      <w:rFonts w:ascii="Arial"/>
                      <w:sz w:val="21"/>
                    </w:rPr>
                  </w:pPr>
                </w:p>
                <w:p w14:paraId="23F5741B">
                  <w:pPr>
                    <w:pStyle w:val="6"/>
                    <w:spacing w:before="65" w:line="228" w:lineRule="auto"/>
                    <w:ind w:left="83"/>
                    <w:rPr>
                      <w:sz w:val="20"/>
                      <w:szCs w:val="20"/>
                    </w:rPr>
                  </w:pPr>
                  <w:r>
                    <w:rPr>
                      <w:spacing w:val="4"/>
                      <w:sz w:val="20"/>
                      <w:szCs w:val="20"/>
                    </w:rPr>
                    <w:t>庄房</w:t>
                  </w:r>
                </w:p>
              </w:tc>
              <w:tc>
                <w:tcPr>
                  <w:tcW w:w="499" w:type="dxa"/>
                  <w:tcBorders>
                    <w:top w:val="nil"/>
                  </w:tcBorders>
                  <w:vAlign w:val="top"/>
                </w:tcPr>
                <w:p w14:paraId="796668DE">
                  <w:pPr>
                    <w:spacing w:line="340" w:lineRule="auto"/>
                    <w:rPr>
                      <w:rFonts w:ascii="Arial"/>
                      <w:sz w:val="21"/>
                    </w:rPr>
                  </w:pPr>
                </w:p>
                <w:p w14:paraId="22C114BE">
                  <w:pPr>
                    <w:pStyle w:val="6"/>
                    <w:spacing w:before="65" w:line="228" w:lineRule="auto"/>
                    <w:ind w:left="45"/>
                    <w:rPr>
                      <w:sz w:val="20"/>
                      <w:szCs w:val="20"/>
                    </w:rPr>
                  </w:pPr>
                  <w:r>
                    <w:rPr>
                      <w:spacing w:val="3"/>
                      <w:sz w:val="20"/>
                      <w:szCs w:val="20"/>
                    </w:rPr>
                    <w:t>居民</w:t>
                  </w:r>
                </w:p>
              </w:tc>
              <w:tc>
                <w:tcPr>
                  <w:tcW w:w="634" w:type="dxa"/>
                  <w:tcBorders>
                    <w:top w:val="nil"/>
                  </w:tcBorders>
                  <w:vAlign w:val="top"/>
                </w:tcPr>
                <w:p w14:paraId="3D7691D3">
                  <w:pPr>
                    <w:pStyle w:val="6"/>
                    <w:spacing w:before="246" w:line="281" w:lineRule="auto"/>
                    <w:ind w:left="27" w:right="29" w:firstLine="57"/>
                    <w:rPr>
                      <w:sz w:val="20"/>
                      <w:szCs w:val="20"/>
                    </w:rPr>
                  </w:pPr>
                  <w:r>
                    <w:rPr>
                      <w:rFonts w:ascii="Times New Roman" w:hAnsi="Times New Roman" w:eastAsia="Times New Roman" w:cs="Times New Roman"/>
                      <w:sz w:val="20"/>
                      <w:szCs w:val="20"/>
                    </w:rPr>
                    <w:t>68</w:t>
                  </w:r>
                  <w:r>
                    <w:rPr>
                      <w:rFonts w:ascii="Times New Roman" w:hAnsi="Times New Roman" w:eastAsia="Times New Roman" w:cs="Times New Roman"/>
                      <w:spacing w:val="10"/>
                      <w:sz w:val="20"/>
                      <w:szCs w:val="20"/>
                    </w:rPr>
                    <w:t xml:space="preserve"> </w:t>
                  </w:r>
                  <w:r>
                    <w:rPr>
                      <w:sz w:val="20"/>
                      <w:szCs w:val="20"/>
                    </w:rPr>
                    <w:t xml:space="preserve">户 </w:t>
                  </w:r>
                  <w:r>
                    <w:rPr>
                      <w:rFonts w:ascii="Times New Roman" w:hAnsi="Times New Roman" w:eastAsia="Times New Roman" w:cs="Times New Roman"/>
                      <w:spacing w:val="2"/>
                      <w:sz w:val="20"/>
                      <w:szCs w:val="20"/>
                    </w:rPr>
                    <w:t>204</w:t>
                  </w:r>
                  <w:r>
                    <w:rPr>
                      <w:rFonts w:ascii="Times New Roman" w:hAnsi="Times New Roman" w:eastAsia="Times New Roman" w:cs="Times New Roman"/>
                      <w:spacing w:val="12"/>
                      <w:w w:val="101"/>
                      <w:sz w:val="20"/>
                      <w:szCs w:val="20"/>
                    </w:rPr>
                    <w:t xml:space="preserve"> </w:t>
                  </w:r>
                  <w:r>
                    <w:rPr>
                      <w:spacing w:val="2"/>
                      <w:sz w:val="20"/>
                      <w:szCs w:val="20"/>
                    </w:rPr>
                    <w:t>人</w:t>
                  </w:r>
                </w:p>
              </w:tc>
              <w:tc>
                <w:tcPr>
                  <w:tcW w:w="998" w:type="dxa"/>
                  <w:tcBorders>
                    <w:top w:val="nil"/>
                  </w:tcBorders>
                  <w:vAlign w:val="top"/>
                </w:tcPr>
                <w:p w14:paraId="5D07FFF9">
                  <w:pPr>
                    <w:spacing w:line="382" w:lineRule="auto"/>
                    <w:rPr>
                      <w:rFonts w:ascii="Arial"/>
                      <w:sz w:val="21"/>
                    </w:rPr>
                  </w:pPr>
                </w:p>
                <w:p w14:paraId="7EB86D21">
                  <w:pPr>
                    <w:spacing w:before="58" w:line="195" w:lineRule="auto"/>
                    <w:ind w:left="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103.37668</w:t>
                  </w:r>
                </w:p>
              </w:tc>
              <w:tc>
                <w:tcPr>
                  <w:tcW w:w="1084" w:type="dxa"/>
                  <w:tcBorders>
                    <w:top w:val="nil"/>
                  </w:tcBorders>
                  <w:vAlign w:val="top"/>
                </w:tcPr>
                <w:p w14:paraId="458989EA">
                  <w:pPr>
                    <w:spacing w:line="382" w:lineRule="auto"/>
                    <w:rPr>
                      <w:rFonts w:ascii="Arial"/>
                      <w:sz w:val="21"/>
                    </w:rPr>
                  </w:pPr>
                </w:p>
                <w:p w14:paraId="76A8933C">
                  <w:pPr>
                    <w:spacing w:before="58"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25.66211</w:t>
                  </w:r>
                </w:p>
              </w:tc>
              <w:tc>
                <w:tcPr>
                  <w:tcW w:w="1181" w:type="dxa"/>
                  <w:tcBorders>
                    <w:top w:val="nil"/>
                  </w:tcBorders>
                  <w:vAlign w:val="top"/>
                </w:tcPr>
                <w:p w14:paraId="73241FA6">
                  <w:pPr>
                    <w:pStyle w:val="6"/>
                    <w:spacing w:before="84" w:line="228" w:lineRule="auto"/>
                    <w:ind w:left="86"/>
                    <w:rPr>
                      <w:sz w:val="20"/>
                      <w:szCs w:val="20"/>
                    </w:rPr>
                  </w:pPr>
                  <w:r>
                    <w:rPr>
                      <w:spacing w:val="-1"/>
                      <w:sz w:val="20"/>
                      <w:szCs w:val="20"/>
                    </w:rPr>
                    <w:t>区块</w:t>
                  </w:r>
                  <w:r>
                    <w:rPr>
                      <w:spacing w:val="-38"/>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7"/>
                      <w:sz w:val="20"/>
                      <w:szCs w:val="20"/>
                    </w:rPr>
                    <w:t xml:space="preserve"> </w:t>
                  </w:r>
                  <w:r>
                    <w:rPr>
                      <w:spacing w:val="-1"/>
                      <w:sz w:val="20"/>
                      <w:szCs w:val="20"/>
                    </w:rPr>
                    <w:t>西侧</w:t>
                  </w:r>
                </w:p>
                <w:p w14:paraId="1B7EC013">
                  <w:pPr>
                    <w:pStyle w:val="6"/>
                    <w:spacing w:before="74" w:line="228" w:lineRule="auto"/>
                    <w:ind w:left="58"/>
                    <w:rPr>
                      <w:sz w:val="20"/>
                      <w:szCs w:val="20"/>
                    </w:rPr>
                  </w:pPr>
                  <w:r>
                    <w:rPr>
                      <w:rFonts w:ascii="Times New Roman" w:hAnsi="Times New Roman" w:eastAsia="Times New Roman" w:cs="Times New Roman"/>
                      <w:sz w:val="20"/>
                      <w:szCs w:val="20"/>
                    </w:rPr>
                    <w:t>187m</w:t>
                  </w:r>
                  <w:r>
                    <w:rPr>
                      <w:rFonts w:ascii="Times New Roman" w:hAnsi="Times New Roman" w:eastAsia="Times New Roman" w:cs="Times New Roman"/>
                      <w:spacing w:val="-25"/>
                      <w:sz w:val="20"/>
                      <w:szCs w:val="20"/>
                    </w:rPr>
                    <w:t xml:space="preserve"> </w:t>
                  </w:r>
                  <w:r>
                    <w:rPr>
                      <w:sz w:val="20"/>
                      <w:szCs w:val="20"/>
                    </w:rPr>
                    <w:t>，高差</w:t>
                  </w:r>
                </w:p>
                <w:p w14:paraId="7D2F5D49">
                  <w:pPr>
                    <w:spacing w:before="111" w:line="192"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-75m</w:t>
                  </w:r>
                </w:p>
              </w:tc>
              <w:tc>
                <w:tcPr>
                  <w:tcW w:w="2716" w:type="dxa"/>
                  <w:vMerge w:val="restart"/>
                  <w:tcBorders>
                    <w:top w:val="nil"/>
                    <w:bottom w:val="nil"/>
                  </w:tcBorders>
                  <w:vAlign w:val="top"/>
                </w:tcPr>
                <w:p w14:paraId="32FFCF1E">
                  <w:pPr>
                    <w:spacing w:line="241" w:lineRule="auto"/>
                    <w:rPr>
                      <w:rFonts w:ascii="Arial"/>
                      <w:sz w:val="21"/>
                    </w:rPr>
                  </w:pPr>
                </w:p>
                <w:p w14:paraId="70AA7575">
                  <w:pPr>
                    <w:spacing w:line="241" w:lineRule="auto"/>
                    <w:rPr>
                      <w:rFonts w:ascii="Arial"/>
                      <w:sz w:val="21"/>
                    </w:rPr>
                  </w:pPr>
                </w:p>
                <w:p w14:paraId="7E898200">
                  <w:pPr>
                    <w:spacing w:line="242" w:lineRule="auto"/>
                    <w:rPr>
                      <w:rFonts w:ascii="Arial"/>
                      <w:sz w:val="21"/>
                    </w:rPr>
                  </w:pPr>
                </w:p>
                <w:p w14:paraId="262AA46E">
                  <w:pPr>
                    <w:spacing w:line="2410" w:lineRule="exact"/>
                    <w:ind w:firstLine="105"/>
                  </w:pPr>
                  <w:r>
                    <w:rPr>
                      <w:position w:val="-48"/>
                    </w:rPr>
                    <w:drawing>
                      <wp:inline distT="0" distB="0" distL="0" distR="0">
                        <wp:extent cx="1652905" cy="15297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18"/>
                                <a:stretch>
                                  <a:fillRect/>
                                </a:stretch>
                              </pic:blipFill>
                              <pic:spPr>
                                <a:xfrm>
                                  <a:off x="0" y="0"/>
                                  <a:ext cx="1653539" cy="1530095"/>
                                </a:xfrm>
                                <a:prstGeom prst="rect">
                                  <a:avLst/>
                                </a:prstGeom>
                              </pic:spPr>
                            </pic:pic>
                          </a:graphicData>
                        </a:graphic>
                      </wp:inline>
                    </w:drawing>
                  </w:r>
                </w:p>
              </w:tc>
              <w:tc>
                <w:tcPr>
                  <w:tcW w:w="492" w:type="dxa"/>
                  <w:vMerge w:val="restart"/>
                  <w:tcBorders>
                    <w:top w:val="nil"/>
                    <w:bottom w:val="nil"/>
                  </w:tcBorders>
                  <w:vAlign w:val="top"/>
                </w:tcPr>
                <w:p w14:paraId="1B3EDD7F">
                  <w:pPr>
                    <w:rPr>
                      <w:rFonts w:ascii="Arial"/>
                      <w:sz w:val="21"/>
                    </w:rPr>
                  </w:pPr>
                </w:p>
              </w:tc>
            </w:tr>
            <w:tr w14:paraId="5FFA7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574" w:type="dxa"/>
                  <w:vAlign w:val="top"/>
                </w:tcPr>
                <w:p w14:paraId="733112C2">
                  <w:pPr>
                    <w:pStyle w:val="6"/>
                    <w:spacing w:before="237" w:line="282" w:lineRule="auto"/>
                    <w:ind w:left="187" w:right="77" w:hanging="103"/>
                    <w:rPr>
                      <w:sz w:val="20"/>
                      <w:szCs w:val="20"/>
                    </w:rPr>
                  </w:pPr>
                  <w:r>
                    <w:rPr>
                      <w:spacing w:val="3"/>
                      <w:sz w:val="20"/>
                      <w:szCs w:val="20"/>
                    </w:rPr>
                    <w:t>缪家</w:t>
                  </w:r>
                  <w:r>
                    <w:rPr>
                      <w:sz w:val="20"/>
                      <w:szCs w:val="20"/>
                    </w:rPr>
                    <w:t xml:space="preserve"> 村</w:t>
                  </w:r>
                </w:p>
              </w:tc>
              <w:tc>
                <w:tcPr>
                  <w:tcW w:w="499" w:type="dxa"/>
                  <w:vAlign w:val="top"/>
                </w:tcPr>
                <w:p w14:paraId="01C26B3F">
                  <w:pPr>
                    <w:spacing w:line="331" w:lineRule="auto"/>
                    <w:rPr>
                      <w:rFonts w:ascii="Arial"/>
                      <w:sz w:val="21"/>
                    </w:rPr>
                  </w:pPr>
                </w:p>
                <w:p w14:paraId="1602EF10">
                  <w:pPr>
                    <w:pStyle w:val="6"/>
                    <w:spacing w:before="65" w:line="228" w:lineRule="auto"/>
                    <w:ind w:left="45"/>
                    <w:rPr>
                      <w:sz w:val="20"/>
                      <w:szCs w:val="20"/>
                    </w:rPr>
                  </w:pPr>
                  <w:r>
                    <w:rPr>
                      <w:spacing w:val="3"/>
                      <w:sz w:val="20"/>
                      <w:szCs w:val="20"/>
                    </w:rPr>
                    <w:t>居民</w:t>
                  </w:r>
                </w:p>
              </w:tc>
              <w:tc>
                <w:tcPr>
                  <w:tcW w:w="634" w:type="dxa"/>
                  <w:vAlign w:val="top"/>
                </w:tcPr>
                <w:p w14:paraId="7028026D">
                  <w:pPr>
                    <w:pStyle w:val="6"/>
                    <w:spacing w:before="236" w:line="284" w:lineRule="auto"/>
                    <w:ind w:left="48" w:right="29" w:firstLine="38"/>
                    <w:rPr>
                      <w:sz w:val="20"/>
                      <w:szCs w:val="20"/>
                    </w:rPr>
                  </w:pPr>
                  <w:r>
                    <w:rPr>
                      <w:rFonts w:ascii="Times New Roman" w:hAnsi="Times New Roman" w:eastAsia="Times New Roman" w:cs="Times New Roman"/>
                      <w:sz w:val="20"/>
                      <w:szCs w:val="20"/>
                    </w:rPr>
                    <w:t>54</w:t>
                  </w:r>
                  <w:r>
                    <w:rPr>
                      <w:rFonts w:ascii="Times New Roman" w:hAnsi="Times New Roman" w:eastAsia="Times New Roman" w:cs="Times New Roman"/>
                      <w:spacing w:val="10"/>
                      <w:sz w:val="20"/>
                      <w:szCs w:val="20"/>
                    </w:rPr>
                    <w:t xml:space="preserve"> </w:t>
                  </w:r>
                  <w:r>
                    <w:rPr>
                      <w:sz w:val="20"/>
                      <w:szCs w:val="20"/>
                    </w:rPr>
                    <w:t xml:space="preserve">户 </w:t>
                  </w:r>
                  <w:r>
                    <w:rPr>
                      <w:rFonts w:ascii="Times New Roman" w:hAnsi="Times New Roman" w:eastAsia="Times New Roman" w:cs="Times New Roman"/>
                      <w:spacing w:val="-3"/>
                      <w:sz w:val="20"/>
                      <w:szCs w:val="20"/>
                    </w:rPr>
                    <w:t>162</w:t>
                  </w:r>
                  <w:r>
                    <w:rPr>
                      <w:rFonts w:ascii="Times New Roman" w:hAnsi="Times New Roman" w:eastAsia="Times New Roman" w:cs="Times New Roman"/>
                      <w:spacing w:val="12"/>
                      <w:w w:val="101"/>
                      <w:sz w:val="20"/>
                      <w:szCs w:val="20"/>
                    </w:rPr>
                    <w:t xml:space="preserve"> </w:t>
                  </w:r>
                  <w:r>
                    <w:rPr>
                      <w:spacing w:val="-3"/>
                      <w:sz w:val="20"/>
                      <w:szCs w:val="20"/>
                    </w:rPr>
                    <w:t>人</w:t>
                  </w:r>
                </w:p>
              </w:tc>
              <w:tc>
                <w:tcPr>
                  <w:tcW w:w="998" w:type="dxa"/>
                  <w:vAlign w:val="top"/>
                </w:tcPr>
                <w:p w14:paraId="09EFDCA5">
                  <w:pPr>
                    <w:spacing w:line="374" w:lineRule="auto"/>
                    <w:rPr>
                      <w:rFonts w:ascii="Arial"/>
                      <w:sz w:val="21"/>
                    </w:rPr>
                  </w:pPr>
                </w:p>
                <w:p w14:paraId="6A9E7CF2">
                  <w:pPr>
                    <w:spacing w:before="58" w:line="195" w:lineRule="auto"/>
                    <w:ind w:left="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103.37857</w:t>
                  </w:r>
                </w:p>
              </w:tc>
              <w:tc>
                <w:tcPr>
                  <w:tcW w:w="1084" w:type="dxa"/>
                  <w:vAlign w:val="top"/>
                </w:tcPr>
                <w:p w14:paraId="009CE19D">
                  <w:pPr>
                    <w:spacing w:line="374" w:lineRule="auto"/>
                    <w:rPr>
                      <w:rFonts w:ascii="Arial"/>
                      <w:sz w:val="21"/>
                    </w:rPr>
                  </w:pPr>
                </w:p>
                <w:p w14:paraId="4E28B736">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25.66693</w:t>
                  </w:r>
                </w:p>
              </w:tc>
              <w:tc>
                <w:tcPr>
                  <w:tcW w:w="1181" w:type="dxa"/>
                  <w:vAlign w:val="top"/>
                </w:tcPr>
                <w:p w14:paraId="10C94B2D">
                  <w:pPr>
                    <w:pStyle w:val="6"/>
                    <w:spacing w:before="78" w:line="228" w:lineRule="auto"/>
                    <w:ind w:left="86"/>
                    <w:rPr>
                      <w:sz w:val="20"/>
                      <w:szCs w:val="20"/>
                    </w:rPr>
                  </w:pPr>
                  <w:r>
                    <w:rPr>
                      <w:spacing w:val="-1"/>
                      <w:sz w:val="20"/>
                      <w:szCs w:val="20"/>
                    </w:rPr>
                    <w:t>区块</w:t>
                  </w:r>
                  <w:r>
                    <w:rPr>
                      <w:spacing w:val="-38"/>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7"/>
                      <w:sz w:val="20"/>
                      <w:szCs w:val="20"/>
                    </w:rPr>
                    <w:t xml:space="preserve"> </w:t>
                  </w:r>
                  <w:r>
                    <w:rPr>
                      <w:spacing w:val="-1"/>
                      <w:sz w:val="20"/>
                      <w:szCs w:val="20"/>
                    </w:rPr>
                    <w:t>西侧</w:t>
                  </w:r>
                </w:p>
                <w:p w14:paraId="3D167BD7">
                  <w:pPr>
                    <w:pStyle w:val="6"/>
                    <w:spacing w:before="72" w:line="228" w:lineRule="auto"/>
                    <w:ind w:left="42"/>
                    <w:rPr>
                      <w:sz w:val="20"/>
                      <w:szCs w:val="20"/>
                    </w:rPr>
                  </w:pPr>
                  <w:r>
                    <w:rPr>
                      <w:rFonts w:ascii="Times New Roman" w:hAnsi="Times New Roman" w:eastAsia="Times New Roman" w:cs="Times New Roman"/>
                      <w:spacing w:val="2"/>
                      <w:sz w:val="20"/>
                      <w:szCs w:val="20"/>
                    </w:rPr>
                    <w:t>360m</w:t>
                  </w:r>
                  <w:r>
                    <w:rPr>
                      <w:rFonts w:ascii="Times New Roman" w:hAnsi="Times New Roman" w:eastAsia="Times New Roman" w:cs="Times New Roman"/>
                      <w:spacing w:val="-23"/>
                      <w:sz w:val="20"/>
                      <w:szCs w:val="20"/>
                    </w:rPr>
                    <w:t xml:space="preserve"> </w:t>
                  </w:r>
                  <w:r>
                    <w:rPr>
                      <w:spacing w:val="2"/>
                      <w:sz w:val="20"/>
                      <w:szCs w:val="20"/>
                    </w:rPr>
                    <w:t>，高差</w:t>
                  </w:r>
                </w:p>
                <w:p w14:paraId="41CB7374">
                  <w:pPr>
                    <w:spacing w:before="108"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-90m</w:t>
                  </w:r>
                </w:p>
              </w:tc>
              <w:tc>
                <w:tcPr>
                  <w:tcW w:w="2716" w:type="dxa"/>
                  <w:vMerge w:val="continue"/>
                  <w:tcBorders>
                    <w:top w:val="nil"/>
                    <w:bottom w:val="nil"/>
                  </w:tcBorders>
                  <w:vAlign w:val="top"/>
                </w:tcPr>
                <w:p w14:paraId="104ADC3E">
                  <w:pPr>
                    <w:rPr>
                      <w:rFonts w:ascii="Arial"/>
                      <w:sz w:val="21"/>
                    </w:rPr>
                  </w:pPr>
                </w:p>
              </w:tc>
              <w:tc>
                <w:tcPr>
                  <w:tcW w:w="492" w:type="dxa"/>
                  <w:vMerge w:val="continue"/>
                  <w:tcBorders>
                    <w:top w:val="nil"/>
                    <w:bottom w:val="nil"/>
                  </w:tcBorders>
                  <w:vAlign w:val="top"/>
                </w:tcPr>
                <w:p w14:paraId="1E68CAC7">
                  <w:pPr>
                    <w:rPr>
                      <w:rFonts w:ascii="Arial"/>
                      <w:sz w:val="21"/>
                    </w:rPr>
                  </w:pPr>
                </w:p>
              </w:tc>
            </w:tr>
            <w:tr w14:paraId="293D2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574" w:type="dxa"/>
                  <w:vAlign w:val="top"/>
                </w:tcPr>
                <w:p w14:paraId="6951239C">
                  <w:pPr>
                    <w:pStyle w:val="6"/>
                    <w:spacing w:before="79" w:line="228" w:lineRule="auto"/>
                    <w:ind w:left="82"/>
                    <w:rPr>
                      <w:sz w:val="20"/>
                      <w:szCs w:val="20"/>
                    </w:rPr>
                  </w:pPr>
                  <w:r>
                    <w:rPr>
                      <w:spacing w:val="4"/>
                      <w:sz w:val="20"/>
                      <w:szCs w:val="20"/>
                    </w:rPr>
                    <w:t>梁子</w:t>
                  </w:r>
                </w:p>
                <w:p w14:paraId="1D71629B">
                  <w:pPr>
                    <w:pStyle w:val="6"/>
                    <w:spacing w:before="72" w:line="227" w:lineRule="auto"/>
                    <w:ind w:left="83"/>
                    <w:rPr>
                      <w:sz w:val="20"/>
                      <w:szCs w:val="20"/>
                    </w:rPr>
                  </w:pPr>
                  <w:r>
                    <w:rPr>
                      <w:spacing w:val="4"/>
                      <w:sz w:val="20"/>
                      <w:szCs w:val="20"/>
                    </w:rPr>
                    <w:t>村散</w:t>
                  </w:r>
                </w:p>
                <w:p w14:paraId="7E5C6342">
                  <w:pPr>
                    <w:pStyle w:val="6"/>
                    <w:spacing w:before="72" w:line="218" w:lineRule="auto"/>
                    <w:ind w:left="188"/>
                    <w:rPr>
                      <w:sz w:val="20"/>
                      <w:szCs w:val="20"/>
                    </w:rPr>
                  </w:pPr>
                  <w:r>
                    <w:rPr>
                      <w:sz w:val="20"/>
                      <w:szCs w:val="20"/>
                    </w:rPr>
                    <w:t>户</w:t>
                  </w:r>
                </w:p>
              </w:tc>
              <w:tc>
                <w:tcPr>
                  <w:tcW w:w="499" w:type="dxa"/>
                  <w:vAlign w:val="top"/>
                </w:tcPr>
                <w:p w14:paraId="75DFE7A3">
                  <w:pPr>
                    <w:spacing w:line="332" w:lineRule="auto"/>
                    <w:rPr>
                      <w:rFonts w:ascii="Arial"/>
                      <w:sz w:val="21"/>
                    </w:rPr>
                  </w:pPr>
                </w:p>
                <w:p w14:paraId="3BABBD34">
                  <w:pPr>
                    <w:pStyle w:val="6"/>
                    <w:spacing w:before="65" w:line="228" w:lineRule="auto"/>
                    <w:ind w:left="45"/>
                    <w:rPr>
                      <w:sz w:val="20"/>
                      <w:szCs w:val="20"/>
                    </w:rPr>
                  </w:pPr>
                  <w:r>
                    <w:rPr>
                      <w:spacing w:val="3"/>
                      <w:sz w:val="20"/>
                      <w:szCs w:val="20"/>
                    </w:rPr>
                    <w:t>居民</w:t>
                  </w:r>
                </w:p>
              </w:tc>
              <w:tc>
                <w:tcPr>
                  <w:tcW w:w="634" w:type="dxa"/>
                  <w:vAlign w:val="top"/>
                </w:tcPr>
                <w:p w14:paraId="46DCB8E2">
                  <w:pPr>
                    <w:pStyle w:val="6"/>
                    <w:spacing w:before="237" w:line="284" w:lineRule="auto"/>
                    <w:ind w:left="217" w:right="54" w:hanging="163"/>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10"/>
                      <w:sz w:val="20"/>
                      <w:szCs w:val="20"/>
                    </w:rPr>
                    <w:t xml:space="preserve"> </w:t>
                  </w:r>
                  <w:r>
                    <w:rPr>
                      <w:sz w:val="20"/>
                      <w:szCs w:val="20"/>
                    </w:rPr>
                    <w:t>户</w:t>
                  </w:r>
                  <w:r>
                    <w:rPr>
                      <w:spacing w:val="-41"/>
                      <w:sz w:val="20"/>
                      <w:szCs w:val="20"/>
                    </w:rPr>
                    <w:t xml:space="preserve"> </w:t>
                  </w:r>
                  <w:r>
                    <w:rPr>
                      <w:rFonts w:ascii="Times New Roman" w:hAnsi="Times New Roman" w:eastAsia="Times New Roman" w:cs="Times New Roman"/>
                      <w:sz w:val="20"/>
                      <w:szCs w:val="20"/>
                    </w:rPr>
                    <w:t xml:space="preserve">4 </w:t>
                  </w:r>
                  <w:r>
                    <w:rPr>
                      <w:sz w:val="20"/>
                      <w:szCs w:val="20"/>
                    </w:rPr>
                    <w:t>人</w:t>
                  </w:r>
                </w:p>
              </w:tc>
              <w:tc>
                <w:tcPr>
                  <w:tcW w:w="998" w:type="dxa"/>
                  <w:vAlign w:val="top"/>
                </w:tcPr>
                <w:p w14:paraId="3D1D7131">
                  <w:pPr>
                    <w:spacing w:line="375" w:lineRule="auto"/>
                    <w:rPr>
                      <w:rFonts w:ascii="Arial"/>
                      <w:sz w:val="21"/>
                    </w:rPr>
                  </w:pPr>
                </w:p>
                <w:p w14:paraId="52CE4E72">
                  <w:pPr>
                    <w:spacing w:before="57" w:line="195" w:lineRule="auto"/>
                    <w:ind w:left="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103.38125</w:t>
                  </w:r>
                </w:p>
              </w:tc>
              <w:tc>
                <w:tcPr>
                  <w:tcW w:w="1084" w:type="dxa"/>
                  <w:vAlign w:val="top"/>
                </w:tcPr>
                <w:p w14:paraId="587E596D">
                  <w:pPr>
                    <w:spacing w:line="375" w:lineRule="auto"/>
                    <w:rPr>
                      <w:rFonts w:ascii="Arial"/>
                      <w:sz w:val="21"/>
                    </w:rPr>
                  </w:pPr>
                </w:p>
                <w:p w14:paraId="3967697B">
                  <w:pPr>
                    <w:spacing w:before="5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25.66838</w:t>
                  </w:r>
                </w:p>
              </w:tc>
              <w:tc>
                <w:tcPr>
                  <w:tcW w:w="1181" w:type="dxa"/>
                  <w:vAlign w:val="top"/>
                </w:tcPr>
                <w:p w14:paraId="3B9C1E86">
                  <w:pPr>
                    <w:pStyle w:val="6"/>
                    <w:spacing w:before="80" w:line="228" w:lineRule="auto"/>
                    <w:ind w:left="86"/>
                    <w:rPr>
                      <w:sz w:val="20"/>
                      <w:szCs w:val="20"/>
                    </w:rPr>
                  </w:pPr>
                  <w:r>
                    <w:rPr>
                      <w:spacing w:val="-1"/>
                      <w:sz w:val="20"/>
                      <w:szCs w:val="20"/>
                    </w:rPr>
                    <w:t>区块</w:t>
                  </w:r>
                  <w:r>
                    <w:rPr>
                      <w:spacing w:val="-38"/>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7"/>
                      <w:sz w:val="20"/>
                      <w:szCs w:val="20"/>
                    </w:rPr>
                    <w:t xml:space="preserve"> </w:t>
                  </w:r>
                  <w:r>
                    <w:rPr>
                      <w:spacing w:val="-1"/>
                      <w:sz w:val="20"/>
                      <w:szCs w:val="20"/>
                    </w:rPr>
                    <w:t>西北</w:t>
                  </w:r>
                </w:p>
                <w:p w14:paraId="59EFDC1E">
                  <w:pPr>
                    <w:pStyle w:val="6"/>
                    <w:spacing w:before="71" w:line="228" w:lineRule="auto"/>
                    <w:ind w:left="14"/>
                    <w:rPr>
                      <w:sz w:val="20"/>
                      <w:szCs w:val="20"/>
                    </w:rPr>
                  </w:pPr>
                  <w:r>
                    <w:rPr>
                      <w:spacing w:val="2"/>
                      <w:sz w:val="20"/>
                      <w:szCs w:val="20"/>
                    </w:rPr>
                    <w:t>侧</w:t>
                  </w:r>
                  <w:r>
                    <w:rPr>
                      <w:spacing w:val="-39"/>
                      <w:sz w:val="20"/>
                      <w:szCs w:val="20"/>
                    </w:rPr>
                    <w:t xml:space="preserve"> </w:t>
                  </w:r>
                  <w:r>
                    <w:rPr>
                      <w:rFonts w:ascii="Times New Roman" w:hAnsi="Times New Roman" w:eastAsia="Times New Roman" w:cs="Times New Roman"/>
                      <w:spacing w:val="2"/>
                      <w:sz w:val="20"/>
                      <w:szCs w:val="20"/>
                    </w:rPr>
                    <w:t>415m</w:t>
                  </w:r>
                  <w:r>
                    <w:rPr>
                      <w:rFonts w:ascii="Times New Roman" w:hAnsi="Times New Roman" w:eastAsia="Times New Roman" w:cs="Times New Roman"/>
                      <w:spacing w:val="-27"/>
                      <w:sz w:val="20"/>
                      <w:szCs w:val="20"/>
                    </w:rPr>
                    <w:t xml:space="preserve"> </w:t>
                  </w:r>
                  <w:r>
                    <w:rPr>
                      <w:spacing w:val="2"/>
                      <w:sz w:val="20"/>
                      <w:szCs w:val="20"/>
                    </w:rPr>
                    <w:t>，高</w:t>
                  </w:r>
                </w:p>
                <w:p w14:paraId="31FC5F55">
                  <w:pPr>
                    <w:pStyle w:val="6"/>
                    <w:spacing w:before="72" w:line="218" w:lineRule="auto"/>
                    <w:ind w:left="272"/>
                    <w:rPr>
                      <w:rFonts w:ascii="Times New Roman" w:hAnsi="Times New Roman" w:eastAsia="Times New Roman" w:cs="Times New Roman"/>
                      <w:sz w:val="20"/>
                      <w:szCs w:val="20"/>
                    </w:rPr>
                  </w:pPr>
                  <w:r>
                    <w:rPr>
                      <w:spacing w:val="3"/>
                      <w:sz w:val="20"/>
                      <w:szCs w:val="20"/>
                    </w:rPr>
                    <w:t>差</w:t>
                  </w:r>
                  <w:r>
                    <w:rPr>
                      <w:rFonts w:ascii="Times New Roman" w:hAnsi="Times New Roman" w:eastAsia="Times New Roman" w:cs="Times New Roman"/>
                      <w:spacing w:val="3"/>
                      <w:sz w:val="20"/>
                      <w:szCs w:val="20"/>
                    </w:rPr>
                    <w:t>-80m</w:t>
                  </w:r>
                </w:p>
              </w:tc>
              <w:tc>
                <w:tcPr>
                  <w:tcW w:w="2716" w:type="dxa"/>
                  <w:vMerge w:val="continue"/>
                  <w:tcBorders>
                    <w:top w:val="nil"/>
                    <w:bottom w:val="nil"/>
                  </w:tcBorders>
                  <w:vAlign w:val="top"/>
                </w:tcPr>
                <w:p w14:paraId="5FF255CC">
                  <w:pPr>
                    <w:rPr>
                      <w:rFonts w:ascii="Arial"/>
                      <w:sz w:val="21"/>
                    </w:rPr>
                  </w:pPr>
                </w:p>
              </w:tc>
              <w:tc>
                <w:tcPr>
                  <w:tcW w:w="492" w:type="dxa"/>
                  <w:vMerge w:val="continue"/>
                  <w:tcBorders>
                    <w:top w:val="nil"/>
                    <w:bottom w:val="nil"/>
                  </w:tcBorders>
                  <w:vAlign w:val="top"/>
                </w:tcPr>
                <w:p w14:paraId="35044852">
                  <w:pPr>
                    <w:rPr>
                      <w:rFonts w:ascii="Arial"/>
                      <w:sz w:val="21"/>
                    </w:rPr>
                  </w:pPr>
                </w:p>
              </w:tc>
            </w:tr>
            <w:tr w14:paraId="52629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574" w:type="dxa"/>
                  <w:vAlign w:val="top"/>
                </w:tcPr>
                <w:p w14:paraId="6DA0F3DA">
                  <w:pPr>
                    <w:pStyle w:val="6"/>
                    <w:spacing w:before="240" w:line="280" w:lineRule="auto"/>
                    <w:ind w:left="188" w:right="77" w:hanging="106"/>
                    <w:rPr>
                      <w:sz w:val="20"/>
                      <w:szCs w:val="20"/>
                    </w:rPr>
                  </w:pPr>
                  <w:r>
                    <w:rPr>
                      <w:spacing w:val="4"/>
                      <w:sz w:val="20"/>
                      <w:szCs w:val="20"/>
                    </w:rPr>
                    <w:t>梁子</w:t>
                  </w:r>
                  <w:r>
                    <w:rPr>
                      <w:sz w:val="20"/>
                      <w:szCs w:val="20"/>
                    </w:rPr>
                    <w:t xml:space="preserve"> 村</w:t>
                  </w:r>
                </w:p>
              </w:tc>
              <w:tc>
                <w:tcPr>
                  <w:tcW w:w="499" w:type="dxa"/>
                  <w:vAlign w:val="top"/>
                </w:tcPr>
                <w:p w14:paraId="16AEB185">
                  <w:pPr>
                    <w:spacing w:line="332" w:lineRule="auto"/>
                    <w:rPr>
                      <w:rFonts w:ascii="Arial"/>
                      <w:sz w:val="21"/>
                    </w:rPr>
                  </w:pPr>
                </w:p>
                <w:p w14:paraId="5FBF677C">
                  <w:pPr>
                    <w:pStyle w:val="6"/>
                    <w:spacing w:before="65" w:line="228" w:lineRule="auto"/>
                    <w:ind w:left="45"/>
                    <w:rPr>
                      <w:sz w:val="20"/>
                      <w:szCs w:val="20"/>
                    </w:rPr>
                  </w:pPr>
                  <w:r>
                    <w:rPr>
                      <w:spacing w:val="3"/>
                      <w:sz w:val="20"/>
                      <w:szCs w:val="20"/>
                    </w:rPr>
                    <w:t>居民</w:t>
                  </w:r>
                </w:p>
              </w:tc>
              <w:tc>
                <w:tcPr>
                  <w:tcW w:w="634" w:type="dxa"/>
                  <w:vAlign w:val="top"/>
                </w:tcPr>
                <w:p w14:paraId="21AE0954">
                  <w:pPr>
                    <w:pStyle w:val="6"/>
                    <w:spacing w:before="242" w:line="281" w:lineRule="auto"/>
                    <w:ind w:left="84" w:right="82"/>
                    <w:rPr>
                      <w:sz w:val="20"/>
                      <w:szCs w:val="20"/>
                    </w:rPr>
                  </w:pPr>
                  <w:r>
                    <w:rPr>
                      <w:rFonts w:ascii="Times New Roman" w:hAnsi="Times New Roman" w:eastAsia="Times New Roman" w:cs="Times New Roman"/>
                      <w:sz w:val="20"/>
                      <w:szCs w:val="20"/>
                    </w:rPr>
                    <w:t>35</w:t>
                  </w:r>
                  <w:r>
                    <w:rPr>
                      <w:rFonts w:ascii="Times New Roman" w:hAnsi="Times New Roman" w:eastAsia="Times New Roman" w:cs="Times New Roman"/>
                      <w:spacing w:val="11"/>
                      <w:sz w:val="20"/>
                      <w:szCs w:val="20"/>
                    </w:rPr>
                    <w:t xml:space="preserve"> </w:t>
                  </w:r>
                  <w:r>
                    <w:rPr>
                      <w:sz w:val="20"/>
                      <w:szCs w:val="20"/>
                    </w:rPr>
                    <w:t xml:space="preserve">户 </w:t>
                  </w:r>
                  <w:r>
                    <w:rPr>
                      <w:rFonts w:ascii="Times New Roman" w:hAnsi="Times New Roman" w:eastAsia="Times New Roman" w:cs="Times New Roman"/>
                      <w:sz w:val="20"/>
                      <w:szCs w:val="20"/>
                    </w:rPr>
                    <w:t>60</w:t>
                  </w:r>
                  <w:r>
                    <w:rPr>
                      <w:rFonts w:ascii="Times New Roman" w:hAnsi="Times New Roman" w:eastAsia="Times New Roman" w:cs="Times New Roman"/>
                      <w:spacing w:val="11"/>
                      <w:sz w:val="20"/>
                      <w:szCs w:val="20"/>
                    </w:rPr>
                    <w:t xml:space="preserve"> </w:t>
                  </w:r>
                  <w:r>
                    <w:rPr>
                      <w:sz w:val="20"/>
                      <w:szCs w:val="20"/>
                    </w:rPr>
                    <w:t>人</w:t>
                  </w:r>
                </w:p>
              </w:tc>
              <w:tc>
                <w:tcPr>
                  <w:tcW w:w="998" w:type="dxa"/>
                  <w:vAlign w:val="top"/>
                </w:tcPr>
                <w:p w14:paraId="46F81F81">
                  <w:pPr>
                    <w:spacing w:line="375" w:lineRule="auto"/>
                    <w:rPr>
                      <w:rFonts w:ascii="Arial"/>
                      <w:sz w:val="21"/>
                    </w:rPr>
                  </w:pPr>
                </w:p>
                <w:p w14:paraId="34110C10">
                  <w:pPr>
                    <w:spacing w:before="58" w:line="195" w:lineRule="auto"/>
                    <w:ind w:left="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103.37968</w:t>
                  </w:r>
                </w:p>
              </w:tc>
              <w:tc>
                <w:tcPr>
                  <w:tcW w:w="1084" w:type="dxa"/>
                  <w:vAlign w:val="top"/>
                </w:tcPr>
                <w:p w14:paraId="2F6FF679">
                  <w:pPr>
                    <w:spacing w:line="375" w:lineRule="auto"/>
                    <w:rPr>
                      <w:rFonts w:ascii="Arial"/>
                      <w:sz w:val="21"/>
                    </w:rPr>
                  </w:pPr>
                </w:p>
                <w:p w14:paraId="11951F2D">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25.66805</w:t>
                  </w:r>
                </w:p>
              </w:tc>
              <w:tc>
                <w:tcPr>
                  <w:tcW w:w="1181" w:type="dxa"/>
                  <w:vAlign w:val="top"/>
                </w:tcPr>
                <w:p w14:paraId="546E829B">
                  <w:pPr>
                    <w:pStyle w:val="6"/>
                    <w:spacing w:before="80" w:line="228" w:lineRule="auto"/>
                    <w:ind w:left="86"/>
                    <w:rPr>
                      <w:sz w:val="20"/>
                      <w:szCs w:val="20"/>
                    </w:rPr>
                  </w:pPr>
                  <w:r>
                    <w:rPr>
                      <w:spacing w:val="-4"/>
                      <w:sz w:val="20"/>
                      <w:szCs w:val="20"/>
                    </w:rPr>
                    <w:t>区块</w:t>
                  </w:r>
                  <w:r>
                    <w:rPr>
                      <w:spacing w:val="-21"/>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5"/>
                      <w:sz w:val="20"/>
                      <w:szCs w:val="20"/>
                    </w:rPr>
                    <w:t xml:space="preserve"> </w:t>
                  </w:r>
                  <w:r>
                    <w:rPr>
                      <w:spacing w:val="-4"/>
                      <w:sz w:val="20"/>
                      <w:szCs w:val="20"/>
                    </w:rPr>
                    <w:t>南侧</w:t>
                  </w:r>
                </w:p>
                <w:p w14:paraId="490F8722">
                  <w:pPr>
                    <w:pStyle w:val="6"/>
                    <w:spacing w:before="72" w:line="228" w:lineRule="auto"/>
                    <w:ind w:left="42"/>
                    <w:rPr>
                      <w:sz w:val="20"/>
                      <w:szCs w:val="20"/>
                    </w:rPr>
                  </w:pPr>
                  <w:r>
                    <w:rPr>
                      <w:rFonts w:ascii="Times New Roman" w:hAnsi="Times New Roman" w:eastAsia="Times New Roman" w:cs="Times New Roman"/>
                      <w:spacing w:val="2"/>
                      <w:sz w:val="20"/>
                      <w:szCs w:val="20"/>
                    </w:rPr>
                    <w:t>394m</w:t>
                  </w:r>
                  <w:r>
                    <w:rPr>
                      <w:rFonts w:ascii="Times New Roman" w:hAnsi="Times New Roman" w:eastAsia="Times New Roman" w:cs="Times New Roman"/>
                      <w:spacing w:val="-23"/>
                      <w:sz w:val="20"/>
                      <w:szCs w:val="20"/>
                    </w:rPr>
                    <w:t xml:space="preserve"> </w:t>
                  </w:r>
                  <w:r>
                    <w:rPr>
                      <w:spacing w:val="2"/>
                      <w:sz w:val="20"/>
                      <w:szCs w:val="20"/>
                    </w:rPr>
                    <w:t>，高差</w:t>
                  </w:r>
                </w:p>
                <w:p w14:paraId="02E45734">
                  <w:pPr>
                    <w:spacing w:before="110"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-87m</w:t>
                  </w:r>
                </w:p>
              </w:tc>
              <w:tc>
                <w:tcPr>
                  <w:tcW w:w="2716" w:type="dxa"/>
                  <w:vMerge w:val="continue"/>
                  <w:tcBorders>
                    <w:top w:val="nil"/>
                  </w:tcBorders>
                  <w:vAlign w:val="top"/>
                </w:tcPr>
                <w:p w14:paraId="1AEE8F7C">
                  <w:pPr>
                    <w:rPr>
                      <w:rFonts w:ascii="Arial"/>
                      <w:sz w:val="21"/>
                    </w:rPr>
                  </w:pPr>
                </w:p>
              </w:tc>
              <w:tc>
                <w:tcPr>
                  <w:tcW w:w="492" w:type="dxa"/>
                  <w:vMerge w:val="continue"/>
                  <w:tcBorders>
                    <w:top w:val="nil"/>
                  </w:tcBorders>
                  <w:vAlign w:val="top"/>
                </w:tcPr>
                <w:p w14:paraId="2195620B">
                  <w:pPr>
                    <w:rPr>
                      <w:rFonts w:ascii="Arial"/>
                      <w:sz w:val="21"/>
                    </w:rPr>
                  </w:pPr>
                </w:p>
              </w:tc>
            </w:tr>
            <w:tr w14:paraId="0BFD9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574" w:type="dxa"/>
                  <w:vAlign w:val="top"/>
                </w:tcPr>
                <w:p w14:paraId="2AC452CE">
                  <w:pPr>
                    <w:pStyle w:val="6"/>
                    <w:spacing w:before="83" w:line="221" w:lineRule="auto"/>
                    <w:ind w:left="84"/>
                    <w:rPr>
                      <w:sz w:val="20"/>
                      <w:szCs w:val="20"/>
                    </w:rPr>
                  </w:pPr>
                  <w:r>
                    <w:rPr>
                      <w:spacing w:val="3"/>
                      <w:sz w:val="20"/>
                      <w:szCs w:val="20"/>
                    </w:rPr>
                    <w:t>备注</w:t>
                  </w:r>
                </w:p>
              </w:tc>
              <w:tc>
                <w:tcPr>
                  <w:tcW w:w="7604" w:type="dxa"/>
                  <w:gridSpan w:val="7"/>
                  <w:vAlign w:val="top"/>
                </w:tcPr>
                <w:p w14:paraId="68B501EA">
                  <w:pPr>
                    <w:pStyle w:val="6"/>
                    <w:spacing w:before="83" w:line="221" w:lineRule="auto"/>
                    <w:ind w:left="760"/>
                    <w:rPr>
                      <w:sz w:val="20"/>
                      <w:szCs w:val="20"/>
                    </w:rPr>
                  </w:pPr>
                  <w:r>
                    <w:rPr>
                      <w:spacing w:val="7"/>
                      <w:sz w:val="20"/>
                      <w:szCs w:val="20"/>
                    </w:rPr>
                    <w:t>“</w:t>
                  </w:r>
                  <w:r>
                    <w:rPr>
                      <w:rFonts w:ascii="Times New Roman" w:hAnsi="Times New Roman" w:eastAsia="Times New Roman" w:cs="Times New Roman"/>
                      <w:spacing w:val="7"/>
                      <w:sz w:val="20"/>
                      <w:szCs w:val="20"/>
                    </w:rPr>
                    <w:t>+</w:t>
                  </w:r>
                  <w:r>
                    <w:rPr>
                      <w:rFonts w:ascii="Times New Roman" w:hAnsi="Times New Roman" w:eastAsia="Times New Roman" w:cs="Times New Roman"/>
                      <w:spacing w:val="-8"/>
                      <w:sz w:val="20"/>
                      <w:szCs w:val="20"/>
                    </w:rPr>
                    <w:t xml:space="preserve"> </w:t>
                  </w:r>
                  <w:r>
                    <w:rPr>
                      <w:spacing w:val="7"/>
                      <w:sz w:val="20"/>
                      <w:szCs w:val="20"/>
                    </w:rPr>
                    <w:t>”表示保护目标高于光伏区，“</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2"/>
                      <w:sz w:val="20"/>
                      <w:szCs w:val="20"/>
                    </w:rPr>
                    <w:t xml:space="preserve"> </w:t>
                  </w:r>
                  <w:r>
                    <w:rPr>
                      <w:spacing w:val="7"/>
                      <w:sz w:val="20"/>
                      <w:szCs w:val="20"/>
                    </w:rPr>
                    <w:t>”表示保护目标低于光伏区。</w:t>
                  </w:r>
                </w:p>
              </w:tc>
            </w:tr>
          </w:tbl>
          <w:p w14:paraId="6E30C616">
            <w:pPr>
              <w:pStyle w:val="6"/>
              <w:spacing w:before="35" w:line="220" w:lineRule="auto"/>
              <w:ind w:left="600"/>
            </w:pPr>
            <w:r>
              <w:rPr>
                <w:b/>
                <w:bCs/>
                <w:spacing w:val="-4"/>
              </w:rPr>
              <w:t>（</w:t>
            </w:r>
            <w:r>
              <w:rPr>
                <w:rFonts w:ascii="Times New Roman" w:hAnsi="Times New Roman" w:eastAsia="Times New Roman" w:cs="Times New Roman"/>
                <w:b/>
                <w:bCs/>
                <w:spacing w:val="-4"/>
              </w:rPr>
              <w:t>2</w:t>
            </w:r>
            <w:r>
              <w:rPr>
                <w:b/>
                <w:bCs/>
                <w:spacing w:val="-4"/>
              </w:rPr>
              <w:t>）声环境保护目标</w:t>
            </w:r>
          </w:p>
          <w:p w14:paraId="304DAD35">
            <w:pPr>
              <w:pStyle w:val="6"/>
              <w:spacing w:before="181" w:line="219" w:lineRule="auto"/>
              <w:ind w:left="592"/>
            </w:pPr>
            <w:r>
              <w:rPr>
                <w:spacing w:val="-1"/>
              </w:rPr>
              <w:t>项目光伏区和升压站区</w:t>
            </w:r>
            <w:r>
              <w:rPr>
                <w:spacing w:val="-47"/>
              </w:rPr>
              <w:t xml:space="preserve"> </w:t>
            </w:r>
            <w:r>
              <w:rPr>
                <w:rFonts w:ascii="Times New Roman" w:hAnsi="Times New Roman" w:eastAsia="Times New Roman" w:cs="Times New Roman"/>
                <w:spacing w:val="-1"/>
              </w:rPr>
              <w:t xml:space="preserve">50m </w:t>
            </w:r>
            <w:r>
              <w:rPr>
                <w:spacing w:val="-1"/>
              </w:rPr>
              <w:t>范围内声环境保护目标如下表所示。</w:t>
            </w:r>
          </w:p>
          <w:p w14:paraId="751047B2">
            <w:pPr>
              <w:pStyle w:val="6"/>
              <w:spacing w:before="176" w:line="224" w:lineRule="auto"/>
              <w:ind w:left="2715"/>
              <w:rPr>
                <w:sz w:val="20"/>
                <w:szCs w:val="20"/>
              </w:rPr>
            </w:pPr>
            <w:r>
              <w:rPr>
                <w:b/>
                <w:bCs/>
                <w:spacing w:val="6"/>
                <w:sz w:val="20"/>
                <w:szCs w:val="20"/>
              </w:rPr>
              <w:t>表</w:t>
            </w:r>
            <w:r>
              <w:rPr>
                <w:spacing w:val="-45"/>
                <w:sz w:val="20"/>
                <w:szCs w:val="20"/>
              </w:rPr>
              <w:t xml:space="preserve"> </w:t>
            </w:r>
            <w:r>
              <w:rPr>
                <w:rFonts w:ascii="Times New Roman" w:hAnsi="Times New Roman" w:eastAsia="Times New Roman" w:cs="Times New Roman"/>
                <w:b/>
                <w:bCs/>
                <w:spacing w:val="6"/>
                <w:sz w:val="20"/>
                <w:szCs w:val="20"/>
              </w:rPr>
              <w:t xml:space="preserve">3-10    </w:t>
            </w:r>
            <w:r>
              <w:rPr>
                <w:b/>
                <w:bCs/>
                <w:spacing w:val="6"/>
                <w:sz w:val="20"/>
                <w:szCs w:val="20"/>
              </w:rPr>
              <w:t>项目声环境保护目标一览表</w:t>
            </w:r>
          </w:p>
          <w:tbl>
            <w:tblPr>
              <w:tblStyle w:val="5"/>
              <w:tblW w:w="7653"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736"/>
              <w:gridCol w:w="1762"/>
              <w:gridCol w:w="3448"/>
              <w:gridCol w:w="1078"/>
            </w:tblGrid>
            <w:tr w14:paraId="2C450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629" w:type="dxa"/>
                  <w:vAlign w:val="top"/>
                </w:tcPr>
                <w:p w14:paraId="1978F0D9">
                  <w:pPr>
                    <w:pStyle w:val="6"/>
                    <w:spacing w:before="84" w:line="239" w:lineRule="auto"/>
                    <w:ind w:left="223" w:right="7" w:hanging="196"/>
                    <w:rPr>
                      <w:sz w:val="20"/>
                      <w:szCs w:val="20"/>
                    </w:rPr>
                  </w:pPr>
                  <w:r>
                    <w:rPr>
                      <w:b/>
                      <w:bCs/>
                      <w:spacing w:val="-6"/>
                      <w:sz w:val="20"/>
                      <w:szCs w:val="20"/>
                    </w:rPr>
                    <w:t>保护目</w:t>
                  </w:r>
                  <w:r>
                    <w:rPr>
                      <w:sz w:val="20"/>
                      <w:szCs w:val="20"/>
                    </w:rPr>
                    <w:t xml:space="preserve"> </w:t>
                  </w:r>
                  <w:r>
                    <w:rPr>
                      <w:b/>
                      <w:bCs/>
                      <w:spacing w:val="-3"/>
                      <w:sz w:val="20"/>
                      <w:szCs w:val="20"/>
                    </w:rPr>
                    <w:t>标</w:t>
                  </w:r>
                </w:p>
              </w:tc>
              <w:tc>
                <w:tcPr>
                  <w:tcW w:w="736" w:type="dxa"/>
                  <w:vAlign w:val="top"/>
                </w:tcPr>
                <w:p w14:paraId="7AB9FF23">
                  <w:pPr>
                    <w:pStyle w:val="6"/>
                    <w:spacing w:before="84" w:line="239" w:lineRule="auto"/>
                    <w:ind w:left="276" w:right="61" w:hanging="196"/>
                    <w:rPr>
                      <w:sz w:val="20"/>
                      <w:szCs w:val="20"/>
                    </w:rPr>
                  </w:pPr>
                  <w:r>
                    <w:rPr>
                      <w:b/>
                      <w:bCs/>
                      <w:spacing w:val="-6"/>
                      <w:sz w:val="20"/>
                      <w:szCs w:val="20"/>
                    </w:rPr>
                    <w:t>保护内</w:t>
                  </w:r>
                  <w:r>
                    <w:rPr>
                      <w:sz w:val="20"/>
                      <w:szCs w:val="20"/>
                    </w:rPr>
                    <w:t xml:space="preserve"> </w:t>
                  </w:r>
                  <w:r>
                    <w:rPr>
                      <w:b/>
                      <w:bCs/>
                      <w:spacing w:val="-3"/>
                      <w:sz w:val="20"/>
                      <w:szCs w:val="20"/>
                    </w:rPr>
                    <w:t>容</w:t>
                  </w:r>
                </w:p>
              </w:tc>
              <w:tc>
                <w:tcPr>
                  <w:tcW w:w="1762" w:type="dxa"/>
                  <w:vAlign w:val="top"/>
                </w:tcPr>
                <w:p w14:paraId="69750712">
                  <w:pPr>
                    <w:pStyle w:val="6"/>
                    <w:spacing w:before="59" w:line="284" w:lineRule="auto"/>
                    <w:ind w:left="770" w:right="5" w:hanging="759"/>
                    <w:rPr>
                      <w:rFonts w:ascii="Times New Roman" w:hAnsi="Times New Roman" w:eastAsia="Times New Roman" w:cs="Times New Roman"/>
                      <w:sz w:val="20"/>
                      <w:szCs w:val="20"/>
                    </w:rPr>
                  </w:pPr>
                  <w:r>
                    <w:rPr>
                      <w:b/>
                      <w:bCs/>
                      <w:spacing w:val="-9"/>
                      <w:sz w:val="20"/>
                      <w:szCs w:val="20"/>
                    </w:rPr>
                    <w:t>方位与距离（高差）</w:t>
                  </w:r>
                  <w:r>
                    <w:rPr>
                      <w:sz w:val="20"/>
                      <w:szCs w:val="20"/>
                    </w:rPr>
                    <w:t xml:space="preserve"> </w:t>
                  </w:r>
                  <w:r>
                    <w:rPr>
                      <w:rFonts w:ascii="Times New Roman" w:hAnsi="Times New Roman" w:eastAsia="Times New Roman" w:cs="Times New Roman"/>
                      <w:b/>
                      <w:bCs/>
                      <w:spacing w:val="2"/>
                      <w:sz w:val="20"/>
                      <w:szCs w:val="20"/>
                    </w:rPr>
                    <w:t>/m</w:t>
                  </w:r>
                </w:p>
              </w:tc>
              <w:tc>
                <w:tcPr>
                  <w:tcW w:w="3448" w:type="dxa"/>
                  <w:vAlign w:val="top"/>
                </w:tcPr>
                <w:p w14:paraId="010D0A42">
                  <w:pPr>
                    <w:pStyle w:val="6"/>
                    <w:spacing w:before="220" w:line="228" w:lineRule="auto"/>
                    <w:ind w:left="1145"/>
                    <w:rPr>
                      <w:sz w:val="20"/>
                      <w:szCs w:val="20"/>
                    </w:rPr>
                  </w:pPr>
                  <w:r>
                    <w:rPr>
                      <w:b/>
                      <w:bCs/>
                      <w:spacing w:val="-6"/>
                      <w:sz w:val="20"/>
                      <w:szCs w:val="20"/>
                    </w:rPr>
                    <w:t>位置关系图示</w:t>
                  </w:r>
                </w:p>
              </w:tc>
              <w:tc>
                <w:tcPr>
                  <w:tcW w:w="1078" w:type="dxa"/>
                  <w:vAlign w:val="top"/>
                </w:tcPr>
                <w:p w14:paraId="2F880525">
                  <w:pPr>
                    <w:pStyle w:val="6"/>
                    <w:spacing w:before="218" w:line="228" w:lineRule="auto"/>
                    <w:ind w:left="156"/>
                    <w:rPr>
                      <w:sz w:val="20"/>
                      <w:szCs w:val="20"/>
                    </w:rPr>
                  </w:pPr>
                  <w:r>
                    <w:rPr>
                      <w:b/>
                      <w:bCs/>
                      <w:spacing w:val="-5"/>
                      <w:sz w:val="20"/>
                      <w:szCs w:val="20"/>
                    </w:rPr>
                    <w:t>保护级别</w:t>
                  </w:r>
                </w:p>
              </w:tc>
            </w:tr>
            <w:tr w14:paraId="6EA4A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629" w:type="dxa"/>
                  <w:vAlign w:val="top"/>
                </w:tcPr>
                <w:p w14:paraId="56311892">
                  <w:pPr>
                    <w:spacing w:line="302" w:lineRule="auto"/>
                    <w:rPr>
                      <w:rFonts w:ascii="Arial"/>
                      <w:sz w:val="21"/>
                    </w:rPr>
                  </w:pPr>
                </w:p>
                <w:p w14:paraId="2E34A51B">
                  <w:pPr>
                    <w:spacing w:line="302" w:lineRule="auto"/>
                    <w:rPr>
                      <w:rFonts w:ascii="Arial"/>
                      <w:sz w:val="21"/>
                    </w:rPr>
                  </w:pPr>
                </w:p>
                <w:p w14:paraId="3C1752E3">
                  <w:pPr>
                    <w:pStyle w:val="6"/>
                    <w:spacing w:before="65" w:line="243" w:lineRule="auto"/>
                    <w:ind w:left="107" w:right="105" w:firstLine="3"/>
                    <w:jc w:val="both"/>
                    <w:rPr>
                      <w:sz w:val="20"/>
                      <w:szCs w:val="20"/>
                    </w:rPr>
                  </w:pPr>
                  <w:r>
                    <w:rPr>
                      <w:spacing w:val="3"/>
                      <w:sz w:val="20"/>
                      <w:szCs w:val="20"/>
                    </w:rPr>
                    <w:t>水冒</w:t>
                  </w:r>
                  <w:r>
                    <w:rPr>
                      <w:sz w:val="20"/>
                      <w:szCs w:val="20"/>
                    </w:rPr>
                    <w:t xml:space="preserve"> </w:t>
                  </w:r>
                  <w:r>
                    <w:rPr>
                      <w:spacing w:val="5"/>
                      <w:sz w:val="20"/>
                      <w:szCs w:val="20"/>
                    </w:rPr>
                    <w:t>天村</w:t>
                  </w:r>
                  <w:r>
                    <w:rPr>
                      <w:sz w:val="20"/>
                      <w:szCs w:val="20"/>
                    </w:rPr>
                    <w:t xml:space="preserve"> </w:t>
                  </w:r>
                  <w:r>
                    <w:rPr>
                      <w:spacing w:val="5"/>
                      <w:sz w:val="20"/>
                      <w:szCs w:val="20"/>
                    </w:rPr>
                    <w:t>散户</w:t>
                  </w:r>
                </w:p>
              </w:tc>
              <w:tc>
                <w:tcPr>
                  <w:tcW w:w="736" w:type="dxa"/>
                  <w:vAlign w:val="top"/>
                </w:tcPr>
                <w:p w14:paraId="44C0C60D">
                  <w:pPr>
                    <w:spacing w:line="302" w:lineRule="auto"/>
                    <w:rPr>
                      <w:rFonts w:ascii="Arial"/>
                      <w:sz w:val="21"/>
                    </w:rPr>
                  </w:pPr>
                </w:p>
                <w:p w14:paraId="49E4EEE1">
                  <w:pPr>
                    <w:spacing w:line="302" w:lineRule="auto"/>
                    <w:rPr>
                      <w:rFonts w:ascii="Arial"/>
                      <w:sz w:val="21"/>
                    </w:rPr>
                  </w:pPr>
                </w:p>
                <w:p w14:paraId="74D6BB1A">
                  <w:pPr>
                    <w:pStyle w:val="6"/>
                    <w:spacing w:before="65" w:line="239" w:lineRule="auto"/>
                    <w:ind w:left="12" w:firstLine="41"/>
                    <w:rPr>
                      <w:sz w:val="20"/>
                      <w:szCs w:val="20"/>
                    </w:rPr>
                  </w:pPr>
                  <w:r>
                    <w:rPr>
                      <w:spacing w:val="2"/>
                      <w:sz w:val="20"/>
                      <w:szCs w:val="20"/>
                    </w:rPr>
                    <w:t>居民，</w:t>
                  </w:r>
                  <w:r>
                    <w:rPr>
                      <w:sz w:val="20"/>
                      <w:szCs w:val="20"/>
                    </w:rPr>
                    <w:t xml:space="preserve"> </w:t>
                  </w:r>
                  <w:r>
                    <w:rPr>
                      <w:spacing w:val="-24"/>
                      <w:sz w:val="20"/>
                      <w:szCs w:val="20"/>
                    </w:rPr>
                    <w:t>约</w:t>
                  </w:r>
                  <w:r>
                    <w:rPr>
                      <w:spacing w:val="-44"/>
                      <w:sz w:val="20"/>
                      <w:szCs w:val="20"/>
                    </w:rPr>
                    <w:t xml:space="preserve"> </w:t>
                  </w:r>
                  <w:r>
                    <w:rPr>
                      <w:rFonts w:ascii="Times New Roman" w:hAnsi="Times New Roman" w:eastAsia="Times New Roman" w:cs="Times New Roman"/>
                      <w:spacing w:val="-24"/>
                      <w:sz w:val="20"/>
                      <w:szCs w:val="20"/>
                    </w:rPr>
                    <w:t>6</w:t>
                  </w:r>
                  <w:r>
                    <w:rPr>
                      <w:rFonts w:ascii="Times New Roman" w:hAnsi="Times New Roman" w:eastAsia="Times New Roman" w:cs="Times New Roman"/>
                      <w:spacing w:val="7"/>
                      <w:sz w:val="20"/>
                      <w:szCs w:val="20"/>
                    </w:rPr>
                    <w:t xml:space="preserve"> </w:t>
                  </w:r>
                  <w:r>
                    <w:rPr>
                      <w:spacing w:val="-24"/>
                      <w:sz w:val="20"/>
                      <w:szCs w:val="20"/>
                    </w:rPr>
                    <w:t>户，</w:t>
                  </w:r>
                </w:p>
                <w:p w14:paraId="17EFC13D">
                  <w:pPr>
                    <w:pStyle w:val="6"/>
                    <w:spacing w:before="26" w:line="230" w:lineRule="auto"/>
                    <w:ind w:left="131"/>
                    <w:rPr>
                      <w:sz w:val="20"/>
                      <w:szCs w:val="20"/>
                    </w:rPr>
                  </w:pPr>
                  <w:r>
                    <w:rPr>
                      <w:rFonts w:ascii="Times New Roman" w:hAnsi="Times New Roman" w:eastAsia="Times New Roman" w:cs="Times New Roman"/>
                      <w:spacing w:val="1"/>
                      <w:sz w:val="20"/>
                      <w:szCs w:val="20"/>
                    </w:rPr>
                    <w:t>24</w:t>
                  </w:r>
                  <w:r>
                    <w:rPr>
                      <w:rFonts w:ascii="Times New Roman" w:hAnsi="Times New Roman" w:eastAsia="Times New Roman" w:cs="Times New Roman"/>
                      <w:spacing w:val="15"/>
                      <w:sz w:val="20"/>
                      <w:szCs w:val="20"/>
                    </w:rPr>
                    <w:t xml:space="preserve"> </w:t>
                  </w:r>
                  <w:r>
                    <w:rPr>
                      <w:spacing w:val="1"/>
                      <w:sz w:val="20"/>
                      <w:szCs w:val="20"/>
                    </w:rPr>
                    <w:t>人</w:t>
                  </w:r>
                </w:p>
              </w:tc>
              <w:tc>
                <w:tcPr>
                  <w:tcW w:w="1762" w:type="dxa"/>
                  <w:vAlign w:val="top"/>
                </w:tcPr>
                <w:p w14:paraId="2E6D6141">
                  <w:pPr>
                    <w:spacing w:line="288" w:lineRule="auto"/>
                    <w:rPr>
                      <w:rFonts w:ascii="Arial"/>
                      <w:sz w:val="21"/>
                    </w:rPr>
                  </w:pPr>
                </w:p>
                <w:p w14:paraId="2797AE7E">
                  <w:pPr>
                    <w:spacing w:line="289" w:lineRule="auto"/>
                    <w:rPr>
                      <w:rFonts w:ascii="Arial"/>
                      <w:sz w:val="21"/>
                    </w:rPr>
                  </w:pPr>
                </w:p>
                <w:p w14:paraId="6119BDEA">
                  <w:pPr>
                    <w:pStyle w:val="6"/>
                    <w:spacing w:before="65" w:line="227" w:lineRule="auto"/>
                    <w:ind w:right="2"/>
                    <w:jc w:val="right"/>
                    <w:rPr>
                      <w:sz w:val="20"/>
                      <w:szCs w:val="20"/>
                    </w:rPr>
                  </w:pPr>
                  <w:r>
                    <w:rPr>
                      <w:spacing w:val="1"/>
                      <w:sz w:val="20"/>
                      <w:szCs w:val="20"/>
                    </w:rPr>
                    <w:t>区块</w:t>
                  </w:r>
                  <w:r>
                    <w:rPr>
                      <w:spacing w:val="-31"/>
                      <w:sz w:val="20"/>
                      <w:szCs w:val="20"/>
                    </w:rPr>
                    <w:t xml:space="preserve"> </w:t>
                  </w:r>
                  <w:r>
                    <w:rPr>
                      <w:rFonts w:ascii="Times New Roman" w:hAnsi="Times New Roman" w:eastAsia="Times New Roman" w:cs="Times New Roman"/>
                      <w:spacing w:val="1"/>
                      <w:sz w:val="20"/>
                      <w:szCs w:val="20"/>
                    </w:rPr>
                    <w:t xml:space="preserve">14 </w:t>
                  </w:r>
                  <w:r>
                    <w:rPr>
                      <w:spacing w:val="1"/>
                      <w:sz w:val="20"/>
                      <w:szCs w:val="20"/>
                    </w:rPr>
                    <w:t>南侧光伏列</w:t>
                  </w:r>
                </w:p>
                <w:p w14:paraId="0A2705BA">
                  <w:pPr>
                    <w:pStyle w:val="6"/>
                    <w:spacing w:before="75" w:line="228" w:lineRule="auto"/>
                    <w:ind w:left="53"/>
                    <w:rPr>
                      <w:sz w:val="20"/>
                      <w:szCs w:val="20"/>
                    </w:rPr>
                  </w:pPr>
                  <w:r>
                    <w:rPr>
                      <w:spacing w:val="2"/>
                      <w:sz w:val="20"/>
                      <w:szCs w:val="20"/>
                    </w:rPr>
                    <w:t>阵北侧</w:t>
                  </w:r>
                  <w:r>
                    <w:rPr>
                      <w:spacing w:val="-36"/>
                      <w:sz w:val="20"/>
                      <w:szCs w:val="20"/>
                    </w:rPr>
                    <w:t xml:space="preserve"> </w:t>
                  </w:r>
                  <w:r>
                    <w:rPr>
                      <w:rFonts w:ascii="Times New Roman" w:hAnsi="Times New Roman" w:eastAsia="Times New Roman" w:cs="Times New Roman"/>
                      <w:spacing w:val="2"/>
                      <w:sz w:val="20"/>
                      <w:szCs w:val="20"/>
                    </w:rPr>
                    <w:t>53m</w:t>
                  </w:r>
                  <w:r>
                    <w:rPr>
                      <w:rFonts w:ascii="Times New Roman" w:hAnsi="Times New Roman" w:eastAsia="Times New Roman" w:cs="Times New Roman"/>
                      <w:spacing w:val="-24"/>
                      <w:sz w:val="20"/>
                      <w:szCs w:val="20"/>
                    </w:rPr>
                    <w:t xml:space="preserve"> </w:t>
                  </w:r>
                  <w:r>
                    <w:rPr>
                      <w:spacing w:val="2"/>
                      <w:sz w:val="20"/>
                      <w:szCs w:val="20"/>
                    </w:rPr>
                    <w:t>，高差</w:t>
                  </w:r>
                </w:p>
                <w:p w14:paraId="4DA610F0">
                  <w:pPr>
                    <w:spacing w:before="108"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-11.8m</w:t>
                  </w:r>
                </w:p>
              </w:tc>
              <w:tc>
                <w:tcPr>
                  <w:tcW w:w="3448" w:type="dxa"/>
                  <w:vAlign w:val="top"/>
                </w:tcPr>
                <w:p w14:paraId="13099E01">
                  <w:pPr>
                    <w:spacing w:before="1" w:line="2073" w:lineRule="exact"/>
                    <w:ind w:firstLine="163"/>
                  </w:pPr>
                  <w:r>
                    <w:rPr>
                      <w:position w:val="-41"/>
                    </w:rPr>
                    <w:drawing>
                      <wp:inline distT="0" distB="0" distL="0" distR="0">
                        <wp:extent cx="1976120" cy="131572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19"/>
                                <a:stretch>
                                  <a:fillRect/>
                                </a:stretch>
                              </pic:blipFill>
                              <pic:spPr>
                                <a:xfrm>
                                  <a:off x="0" y="0"/>
                                  <a:ext cx="1976627" cy="1316083"/>
                                </a:xfrm>
                                <a:prstGeom prst="rect">
                                  <a:avLst/>
                                </a:prstGeom>
                              </pic:spPr>
                            </pic:pic>
                          </a:graphicData>
                        </a:graphic>
                      </wp:inline>
                    </w:drawing>
                  </w:r>
                </w:p>
              </w:tc>
              <w:tc>
                <w:tcPr>
                  <w:tcW w:w="1078" w:type="dxa"/>
                  <w:vMerge w:val="restart"/>
                  <w:tcBorders>
                    <w:bottom w:val="nil"/>
                  </w:tcBorders>
                  <w:vAlign w:val="top"/>
                </w:tcPr>
                <w:p w14:paraId="61712902">
                  <w:pPr>
                    <w:spacing w:line="246" w:lineRule="auto"/>
                    <w:rPr>
                      <w:rFonts w:ascii="Arial"/>
                      <w:sz w:val="21"/>
                    </w:rPr>
                  </w:pPr>
                </w:p>
                <w:p w14:paraId="50089B39">
                  <w:pPr>
                    <w:spacing w:line="246" w:lineRule="auto"/>
                    <w:rPr>
                      <w:rFonts w:ascii="Arial"/>
                      <w:sz w:val="21"/>
                    </w:rPr>
                  </w:pPr>
                </w:p>
                <w:p w14:paraId="3D1C9F97">
                  <w:pPr>
                    <w:spacing w:line="246" w:lineRule="auto"/>
                    <w:rPr>
                      <w:rFonts w:ascii="Arial"/>
                      <w:sz w:val="21"/>
                    </w:rPr>
                  </w:pPr>
                </w:p>
                <w:p w14:paraId="08FD2D93">
                  <w:pPr>
                    <w:spacing w:line="246" w:lineRule="auto"/>
                    <w:rPr>
                      <w:rFonts w:ascii="Arial"/>
                      <w:sz w:val="21"/>
                    </w:rPr>
                  </w:pPr>
                </w:p>
                <w:p w14:paraId="077290A4">
                  <w:pPr>
                    <w:spacing w:line="246" w:lineRule="auto"/>
                    <w:rPr>
                      <w:rFonts w:ascii="Arial"/>
                      <w:sz w:val="21"/>
                    </w:rPr>
                  </w:pPr>
                </w:p>
                <w:p w14:paraId="73C8DD35">
                  <w:pPr>
                    <w:spacing w:line="246" w:lineRule="auto"/>
                    <w:rPr>
                      <w:rFonts w:ascii="Arial"/>
                      <w:sz w:val="21"/>
                    </w:rPr>
                  </w:pPr>
                </w:p>
                <w:p w14:paraId="0A2068E8">
                  <w:pPr>
                    <w:spacing w:line="246" w:lineRule="auto"/>
                    <w:rPr>
                      <w:rFonts w:ascii="Arial"/>
                      <w:sz w:val="21"/>
                    </w:rPr>
                  </w:pPr>
                </w:p>
                <w:p w14:paraId="6CE8F30E">
                  <w:pPr>
                    <w:spacing w:line="246" w:lineRule="auto"/>
                    <w:rPr>
                      <w:rFonts w:ascii="Arial"/>
                      <w:sz w:val="21"/>
                    </w:rPr>
                  </w:pPr>
                </w:p>
                <w:p w14:paraId="1EE781BE">
                  <w:pPr>
                    <w:spacing w:line="246" w:lineRule="auto"/>
                    <w:rPr>
                      <w:rFonts w:ascii="Arial"/>
                      <w:sz w:val="21"/>
                    </w:rPr>
                  </w:pPr>
                </w:p>
                <w:p w14:paraId="026E79AD">
                  <w:pPr>
                    <w:spacing w:line="246" w:lineRule="auto"/>
                    <w:rPr>
                      <w:rFonts w:ascii="Arial"/>
                      <w:sz w:val="21"/>
                    </w:rPr>
                  </w:pPr>
                </w:p>
                <w:p w14:paraId="180DD045">
                  <w:pPr>
                    <w:spacing w:line="246" w:lineRule="auto"/>
                    <w:rPr>
                      <w:rFonts w:ascii="Arial"/>
                      <w:sz w:val="21"/>
                    </w:rPr>
                  </w:pPr>
                </w:p>
                <w:p w14:paraId="16DF6DA4">
                  <w:pPr>
                    <w:spacing w:line="246" w:lineRule="auto"/>
                    <w:rPr>
                      <w:rFonts w:ascii="Arial"/>
                      <w:sz w:val="21"/>
                    </w:rPr>
                  </w:pPr>
                </w:p>
                <w:p w14:paraId="29E8918B">
                  <w:pPr>
                    <w:pStyle w:val="6"/>
                    <w:spacing w:before="65" w:line="239" w:lineRule="auto"/>
                    <w:ind w:left="123" w:right="11" w:hanging="97"/>
                    <w:rPr>
                      <w:sz w:val="20"/>
                      <w:szCs w:val="20"/>
                    </w:rPr>
                  </w:pPr>
                  <w:r>
                    <w:rPr>
                      <w:spacing w:val="7"/>
                      <w:sz w:val="20"/>
                      <w:szCs w:val="20"/>
                    </w:rPr>
                    <w:t>《声环境质</w:t>
                  </w:r>
                  <w:r>
                    <w:rPr>
                      <w:sz w:val="20"/>
                      <w:szCs w:val="20"/>
                    </w:rPr>
                    <w:t xml:space="preserve"> </w:t>
                  </w:r>
                  <w:r>
                    <w:rPr>
                      <w:spacing w:val="5"/>
                      <w:sz w:val="20"/>
                      <w:szCs w:val="20"/>
                    </w:rPr>
                    <w:t>量标准》</w:t>
                  </w:r>
                </w:p>
                <w:p w14:paraId="35EF2008">
                  <w:pPr>
                    <w:pStyle w:val="6"/>
                    <w:spacing w:before="23"/>
                    <w:ind w:left="41" w:right="40" w:firstLine="18"/>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3096-</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5"/>
                      <w:sz w:val="20"/>
                      <w:szCs w:val="20"/>
                    </w:rPr>
                    <w:t>2008</w:t>
                  </w:r>
                  <w:r>
                    <w:rPr>
                      <w:spacing w:val="5"/>
                      <w:sz w:val="20"/>
                      <w:szCs w:val="20"/>
                    </w:rPr>
                    <w:t>）</w:t>
                  </w:r>
                  <w:r>
                    <w:rPr>
                      <w:rFonts w:ascii="Times New Roman" w:hAnsi="Times New Roman" w:eastAsia="Times New Roman" w:cs="Times New Roman"/>
                      <w:spacing w:val="5"/>
                      <w:sz w:val="20"/>
                      <w:szCs w:val="20"/>
                    </w:rPr>
                    <w:t xml:space="preserve">1 </w:t>
                  </w:r>
                  <w:r>
                    <w:rPr>
                      <w:spacing w:val="5"/>
                      <w:sz w:val="20"/>
                      <w:szCs w:val="20"/>
                    </w:rPr>
                    <w:t>类</w:t>
                  </w:r>
                </w:p>
                <w:p w14:paraId="7B02B9FB">
                  <w:pPr>
                    <w:pStyle w:val="6"/>
                    <w:spacing w:before="24" w:line="228" w:lineRule="auto"/>
                    <w:ind w:left="336"/>
                    <w:rPr>
                      <w:sz w:val="20"/>
                      <w:szCs w:val="20"/>
                    </w:rPr>
                  </w:pPr>
                  <w:r>
                    <w:rPr>
                      <w:spacing w:val="4"/>
                      <w:sz w:val="20"/>
                      <w:szCs w:val="20"/>
                    </w:rPr>
                    <w:t>标准</w:t>
                  </w:r>
                </w:p>
              </w:tc>
            </w:tr>
            <w:tr w14:paraId="18446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4" w:hRule="atLeast"/>
              </w:trPr>
              <w:tc>
                <w:tcPr>
                  <w:tcW w:w="629" w:type="dxa"/>
                  <w:vAlign w:val="top"/>
                </w:tcPr>
                <w:p w14:paraId="47122544">
                  <w:pPr>
                    <w:spacing w:line="265" w:lineRule="auto"/>
                    <w:rPr>
                      <w:rFonts w:ascii="Arial"/>
                      <w:sz w:val="21"/>
                    </w:rPr>
                  </w:pPr>
                </w:p>
                <w:p w14:paraId="62E50008">
                  <w:pPr>
                    <w:spacing w:line="265" w:lineRule="auto"/>
                    <w:rPr>
                      <w:rFonts w:ascii="Arial"/>
                      <w:sz w:val="21"/>
                    </w:rPr>
                  </w:pPr>
                </w:p>
                <w:p w14:paraId="332B88C7">
                  <w:pPr>
                    <w:spacing w:line="266" w:lineRule="auto"/>
                    <w:rPr>
                      <w:rFonts w:ascii="Arial"/>
                      <w:sz w:val="21"/>
                    </w:rPr>
                  </w:pPr>
                </w:p>
                <w:p w14:paraId="4521573D">
                  <w:pPr>
                    <w:pStyle w:val="6"/>
                    <w:spacing w:before="65" w:line="280" w:lineRule="auto"/>
                    <w:ind w:left="31" w:right="25" w:firstLine="78"/>
                    <w:rPr>
                      <w:rFonts w:ascii="Times New Roman" w:hAnsi="Times New Roman" w:eastAsia="Times New Roman" w:cs="Times New Roman"/>
                      <w:sz w:val="20"/>
                      <w:szCs w:val="20"/>
                    </w:rPr>
                  </w:pPr>
                  <w:r>
                    <w:rPr>
                      <w:spacing w:val="4"/>
                      <w:sz w:val="20"/>
                      <w:szCs w:val="20"/>
                    </w:rPr>
                    <w:t>鲁纳</w:t>
                  </w:r>
                  <w:r>
                    <w:rPr>
                      <w:sz w:val="20"/>
                      <w:szCs w:val="20"/>
                    </w:rPr>
                    <w:t xml:space="preserve">  </w:t>
                  </w:r>
                  <w:r>
                    <w:rPr>
                      <w:spacing w:val="-4"/>
                      <w:sz w:val="20"/>
                      <w:szCs w:val="20"/>
                    </w:rPr>
                    <w:t>散户</w:t>
                  </w:r>
                  <w:r>
                    <w:rPr>
                      <w:spacing w:val="-22"/>
                      <w:sz w:val="20"/>
                      <w:szCs w:val="20"/>
                    </w:rPr>
                    <w:t xml:space="preserve"> </w:t>
                  </w:r>
                  <w:r>
                    <w:rPr>
                      <w:rFonts w:ascii="Times New Roman" w:hAnsi="Times New Roman" w:eastAsia="Times New Roman" w:cs="Times New Roman"/>
                      <w:spacing w:val="-4"/>
                      <w:sz w:val="20"/>
                      <w:szCs w:val="20"/>
                    </w:rPr>
                    <w:t>1</w:t>
                  </w:r>
                </w:p>
              </w:tc>
              <w:tc>
                <w:tcPr>
                  <w:tcW w:w="736" w:type="dxa"/>
                  <w:vAlign w:val="top"/>
                </w:tcPr>
                <w:p w14:paraId="028880F1">
                  <w:pPr>
                    <w:spacing w:line="317" w:lineRule="auto"/>
                    <w:rPr>
                      <w:rFonts w:ascii="Arial"/>
                      <w:sz w:val="21"/>
                    </w:rPr>
                  </w:pPr>
                </w:p>
                <w:p w14:paraId="6F1E35B0">
                  <w:pPr>
                    <w:spacing w:line="318" w:lineRule="auto"/>
                    <w:rPr>
                      <w:rFonts w:ascii="Arial"/>
                      <w:sz w:val="21"/>
                    </w:rPr>
                  </w:pPr>
                </w:p>
                <w:p w14:paraId="645B1AFC">
                  <w:pPr>
                    <w:pStyle w:val="6"/>
                    <w:spacing w:before="65" w:line="287" w:lineRule="auto"/>
                    <w:ind w:left="60" w:right="54" w:hanging="3"/>
                    <w:rPr>
                      <w:sz w:val="20"/>
                      <w:szCs w:val="20"/>
                    </w:rPr>
                  </w:pPr>
                  <w:r>
                    <w:rPr>
                      <w:spacing w:val="6"/>
                      <w:sz w:val="20"/>
                      <w:szCs w:val="20"/>
                    </w:rPr>
                    <w:t>居民，</w:t>
                  </w:r>
                  <w:r>
                    <w:rPr>
                      <w:sz w:val="20"/>
                      <w:szCs w:val="20"/>
                    </w:rPr>
                    <w:t xml:space="preserve"> </w:t>
                  </w:r>
                  <w:r>
                    <w:rPr>
                      <w:spacing w:val="-1"/>
                      <w:sz w:val="20"/>
                      <w:szCs w:val="20"/>
                    </w:rPr>
                    <w:t>约</w:t>
                  </w:r>
                  <w:r>
                    <w:rPr>
                      <w:spacing w:val="-42"/>
                      <w:sz w:val="20"/>
                      <w:szCs w:val="20"/>
                    </w:rPr>
                    <w:t xml:space="preserve"> </w:t>
                  </w:r>
                  <w:r>
                    <w:rPr>
                      <w:rFonts w:ascii="Times New Roman" w:hAnsi="Times New Roman" w:eastAsia="Times New Roman" w:cs="Times New Roman"/>
                      <w:spacing w:val="-1"/>
                      <w:sz w:val="20"/>
                      <w:szCs w:val="20"/>
                    </w:rPr>
                    <w:t>4</w:t>
                  </w:r>
                  <w:r>
                    <w:rPr>
                      <w:rFonts w:ascii="Times New Roman" w:hAnsi="Times New Roman" w:eastAsia="Times New Roman" w:cs="Times New Roman"/>
                      <w:spacing w:val="10"/>
                      <w:sz w:val="20"/>
                      <w:szCs w:val="20"/>
                    </w:rPr>
                    <w:t xml:space="preserve"> </w:t>
                  </w:r>
                  <w:r>
                    <w:rPr>
                      <w:spacing w:val="-1"/>
                      <w:sz w:val="20"/>
                      <w:szCs w:val="20"/>
                    </w:rPr>
                    <w:t>户</w:t>
                  </w:r>
                  <w:r>
                    <w:rPr>
                      <w:sz w:val="20"/>
                      <w:szCs w:val="20"/>
                    </w:rPr>
                    <w:t xml:space="preserve"> </w:t>
                  </w:r>
                  <w:r>
                    <w:rPr>
                      <w:rFonts w:ascii="Times New Roman" w:hAnsi="Times New Roman" w:eastAsia="Times New Roman" w:cs="Times New Roman"/>
                      <w:spacing w:val="25"/>
                      <w:sz w:val="20"/>
                      <w:szCs w:val="20"/>
                    </w:rPr>
                    <w:t>16</w:t>
                  </w:r>
                  <w:r>
                    <w:rPr>
                      <w:rFonts w:ascii="Times New Roman" w:hAnsi="Times New Roman" w:eastAsia="Times New Roman" w:cs="Times New Roman"/>
                      <w:spacing w:val="13"/>
                      <w:w w:val="101"/>
                      <w:sz w:val="20"/>
                      <w:szCs w:val="20"/>
                    </w:rPr>
                    <w:t xml:space="preserve"> </w:t>
                  </w:r>
                  <w:r>
                    <w:rPr>
                      <w:spacing w:val="25"/>
                      <w:sz w:val="20"/>
                      <w:szCs w:val="20"/>
                    </w:rPr>
                    <w:t>人</w:t>
                  </w:r>
                </w:p>
              </w:tc>
              <w:tc>
                <w:tcPr>
                  <w:tcW w:w="1762" w:type="dxa"/>
                  <w:vAlign w:val="top"/>
                </w:tcPr>
                <w:p w14:paraId="6994D698">
                  <w:pPr>
                    <w:spacing w:line="318" w:lineRule="auto"/>
                    <w:rPr>
                      <w:rFonts w:ascii="Arial"/>
                      <w:sz w:val="21"/>
                    </w:rPr>
                  </w:pPr>
                </w:p>
                <w:p w14:paraId="5B859D88">
                  <w:pPr>
                    <w:spacing w:line="318" w:lineRule="auto"/>
                    <w:rPr>
                      <w:rFonts w:ascii="Arial"/>
                      <w:sz w:val="21"/>
                    </w:rPr>
                  </w:pPr>
                </w:p>
                <w:p w14:paraId="3D1F7B12">
                  <w:pPr>
                    <w:pStyle w:val="6"/>
                    <w:spacing w:before="65" w:line="228"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7"/>
                      <w:sz w:val="20"/>
                      <w:szCs w:val="20"/>
                    </w:rPr>
                    <w:t xml:space="preserve"> </w:t>
                  </w:r>
                  <w:r>
                    <w:rPr>
                      <w:spacing w:val="7"/>
                      <w:sz w:val="20"/>
                      <w:szCs w:val="20"/>
                    </w:rPr>
                    <w:t>集电线路</w:t>
                  </w:r>
                  <w:r>
                    <w:rPr>
                      <w:spacing w:val="-42"/>
                      <w:sz w:val="20"/>
                      <w:szCs w:val="20"/>
                    </w:rPr>
                    <w:t xml:space="preserve"> </w:t>
                  </w:r>
                  <w:r>
                    <w:rPr>
                      <w:rFonts w:ascii="Times New Roman" w:hAnsi="Times New Roman" w:eastAsia="Times New Roman" w:cs="Times New Roman"/>
                      <w:spacing w:val="7"/>
                      <w:sz w:val="20"/>
                      <w:szCs w:val="20"/>
                    </w:rPr>
                    <w:t>B</w:t>
                  </w:r>
                </w:p>
                <w:p w14:paraId="2499F7A8">
                  <w:pPr>
                    <w:pStyle w:val="6"/>
                    <w:spacing w:before="74" w:line="228" w:lineRule="auto"/>
                    <w:ind w:left="249"/>
                    <w:rPr>
                      <w:sz w:val="20"/>
                      <w:szCs w:val="20"/>
                    </w:rPr>
                  </w:pPr>
                  <w:r>
                    <w:rPr>
                      <w:spacing w:val="2"/>
                      <w:sz w:val="20"/>
                      <w:szCs w:val="20"/>
                    </w:rPr>
                    <w:t>回</w:t>
                  </w:r>
                  <w:r>
                    <w:rPr>
                      <w:spacing w:val="-34"/>
                      <w:sz w:val="20"/>
                      <w:szCs w:val="20"/>
                    </w:rPr>
                    <w:t xml:space="preserve"> </w:t>
                  </w:r>
                  <w:r>
                    <w:rPr>
                      <w:rFonts w:ascii="Times New Roman" w:hAnsi="Times New Roman" w:eastAsia="Times New Roman" w:cs="Times New Roman"/>
                      <w:spacing w:val="2"/>
                      <w:sz w:val="20"/>
                      <w:szCs w:val="20"/>
                    </w:rPr>
                    <w:t>8#</w:t>
                  </w:r>
                  <w:r>
                    <w:rPr>
                      <w:spacing w:val="2"/>
                      <w:sz w:val="20"/>
                      <w:szCs w:val="20"/>
                    </w:rPr>
                    <w:t>塔基南侧</w:t>
                  </w:r>
                </w:p>
                <w:p w14:paraId="05ACA2D7">
                  <w:pPr>
                    <w:pStyle w:val="6"/>
                    <w:spacing w:before="72" w:line="228"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31m</w:t>
                  </w:r>
                  <w:r>
                    <w:rPr>
                      <w:rFonts w:ascii="Times New Roman" w:hAnsi="Times New Roman" w:eastAsia="Times New Roman" w:cs="Times New Roman"/>
                      <w:spacing w:val="-20"/>
                      <w:sz w:val="20"/>
                      <w:szCs w:val="20"/>
                    </w:rPr>
                    <w:t xml:space="preserve"> </w:t>
                  </w:r>
                  <w:r>
                    <w:rPr>
                      <w:spacing w:val="3"/>
                      <w:sz w:val="20"/>
                      <w:szCs w:val="20"/>
                    </w:rPr>
                    <w:t>，高差</w:t>
                  </w:r>
                  <w:r>
                    <w:rPr>
                      <w:rFonts w:ascii="Times New Roman" w:hAnsi="Times New Roman" w:eastAsia="Times New Roman" w:cs="Times New Roman"/>
                      <w:spacing w:val="3"/>
                      <w:sz w:val="20"/>
                      <w:szCs w:val="20"/>
                    </w:rPr>
                    <w:t>+0.5m</w:t>
                  </w:r>
                </w:p>
              </w:tc>
              <w:tc>
                <w:tcPr>
                  <w:tcW w:w="3448" w:type="dxa"/>
                  <w:vAlign w:val="top"/>
                </w:tcPr>
                <w:p w14:paraId="543B71BD">
                  <w:pPr>
                    <w:spacing w:before="1" w:line="2192" w:lineRule="exact"/>
                    <w:ind w:firstLine="132"/>
                  </w:pPr>
                  <w:r>
                    <w:rPr>
                      <w:position w:val="-43"/>
                    </w:rPr>
                    <w:drawing>
                      <wp:inline distT="0" distB="0" distL="0" distR="0">
                        <wp:extent cx="2006600" cy="139192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20"/>
                                <a:stretch>
                                  <a:fillRect/>
                                </a:stretch>
                              </pic:blipFill>
                              <pic:spPr>
                                <a:xfrm>
                                  <a:off x="0" y="0"/>
                                  <a:ext cx="2007107" cy="1392246"/>
                                </a:xfrm>
                                <a:prstGeom prst="rect">
                                  <a:avLst/>
                                </a:prstGeom>
                              </pic:spPr>
                            </pic:pic>
                          </a:graphicData>
                        </a:graphic>
                      </wp:inline>
                    </w:drawing>
                  </w:r>
                </w:p>
              </w:tc>
              <w:tc>
                <w:tcPr>
                  <w:tcW w:w="1078" w:type="dxa"/>
                  <w:vMerge w:val="continue"/>
                  <w:tcBorders>
                    <w:top w:val="nil"/>
                    <w:bottom w:val="nil"/>
                  </w:tcBorders>
                  <w:vAlign w:val="top"/>
                </w:tcPr>
                <w:p w14:paraId="14343F7C">
                  <w:pPr>
                    <w:rPr>
                      <w:rFonts w:ascii="Arial"/>
                      <w:sz w:val="21"/>
                    </w:rPr>
                  </w:pPr>
                </w:p>
              </w:tc>
            </w:tr>
            <w:tr w14:paraId="7B26A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8" w:hRule="atLeast"/>
              </w:trPr>
              <w:tc>
                <w:tcPr>
                  <w:tcW w:w="629" w:type="dxa"/>
                  <w:tcBorders>
                    <w:bottom w:val="nil"/>
                  </w:tcBorders>
                  <w:vAlign w:val="top"/>
                </w:tcPr>
                <w:p w14:paraId="3CA6391A">
                  <w:pPr>
                    <w:spacing w:line="299" w:lineRule="auto"/>
                    <w:rPr>
                      <w:rFonts w:ascii="Arial"/>
                      <w:sz w:val="21"/>
                    </w:rPr>
                  </w:pPr>
                </w:p>
                <w:p w14:paraId="2A80F85D">
                  <w:pPr>
                    <w:spacing w:line="299" w:lineRule="auto"/>
                    <w:rPr>
                      <w:rFonts w:ascii="Arial"/>
                      <w:sz w:val="21"/>
                    </w:rPr>
                  </w:pPr>
                </w:p>
                <w:p w14:paraId="147352D2">
                  <w:pPr>
                    <w:spacing w:line="300" w:lineRule="auto"/>
                    <w:rPr>
                      <w:rFonts w:ascii="Arial"/>
                      <w:sz w:val="21"/>
                    </w:rPr>
                  </w:pPr>
                </w:p>
                <w:p w14:paraId="4C8BFE6F">
                  <w:pPr>
                    <w:spacing w:line="300" w:lineRule="auto"/>
                    <w:rPr>
                      <w:rFonts w:ascii="Arial"/>
                      <w:sz w:val="21"/>
                    </w:rPr>
                  </w:pPr>
                </w:p>
                <w:p w14:paraId="74298633">
                  <w:pPr>
                    <w:pStyle w:val="6"/>
                    <w:spacing w:before="65" w:line="280" w:lineRule="auto"/>
                    <w:ind w:left="31" w:right="25" w:firstLine="78"/>
                    <w:rPr>
                      <w:rFonts w:ascii="Times New Roman" w:hAnsi="Times New Roman" w:eastAsia="Times New Roman" w:cs="Times New Roman"/>
                      <w:sz w:val="20"/>
                      <w:szCs w:val="20"/>
                    </w:rPr>
                  </w:pPr>
                  <w:r>
                    <w:rPr>
                      <w:spacing w:val="4"/>
                      <w:sz w:val="20"/>
                      <w:szCs w:val="20"/>
                    </w:rPr>
                    <w:t>鲁纳</w:t>
                  </w:r>
                  <w:r>
                    <w:rPr>
                      <w:sz w:val="20"/>
                      <w:szCs w:val="20"/>
                    </w:rPr>
                    <w:t xml:space="preserve">  </w:t>
                  </w:r>
                  <w:r>
                    <w:rPr>
                      <w:spacing w:val="3"/>
                      <w:sz w:val="20"/>
                      <w:szCs w:val="20"/>
                    </w:rPr>
                    <w:t>散户</w:t>
                  </w:r>
                  <w:r>
                    <w:rPr>
                      <w:spacing w:val="-43"/>
                      <w:sz w:val="20"/>
                      <w:szCs w:val="20"/>
                    </w:rPr>
                    <w:t xml:space="preserve"> </w:t>
                  </w:r>
                  <w:r>
                    <w:rPr>
                      <w:rFonts w:ascii="Times New Roman" w:hAnsi="Times New Roman" w:eastAsia="Times New Roman" w:cs="Times New Roman"/>
                      <w:spacing w:val="3"/>
                      <w:sz w:val="20"/>
                      <w:szCs w:val="20"/>
                    </w:rPr>
                    <w:t>4</w:t>
                  </w:r>
                </w:p>
              </w:tc>
              <w:tc>
                <w:tcPr>
                  <w:tcW w:w="736" w:type="dxa"/>
                  <w:tcBorders>
                    <w:bottom w:val="nil"/>
                  </w:tcBorders>
                  <w:vAlign w:val="top"/>
                </w:tcPr>
                <w:p w14:paraId="233487CF">
                  <w:pPr>
                    <w:spacing w:line="259" w:lineRule="auto"/>
                    <w:rPr>
                      <w:rFonts w:ascii="Arial"/>
                      <w:sz w:val="21"/>
                    </w:rPr>
                  </w:pPr>
                </w:p>
                <w:p w14:paraId="1F8566AD">
                  <w:pPr>
                    <w:spacing w:line="259" w:lineRule="auto"/>
                    <w:rPr>
                      <w:rFonts w:ascii="Arial"/>
                      <w:sz w:val="21"/>
                    </w:rPr>
                  </w:pPr>
                </w:p>
                <w:p w14:paraId="555AA456">
                  <w:pPr>
                    <w:spacing w:line="260" w:lineRule="auto"/>
                    <w:rPr>
                      <w:rFonts w:ascii="Arial"/>
                      <w:sz w:val="21"/>
                    </w:rPr>
                  </w:pPr>
                </w:p>
                <w:p w14:paraId="74AFAB74">
                  <w:pPr>
                    <w:spacing w:line="260" w:lineRule="auto"/>
                    <w:rPr>
                      <w:rFonts w:ascii="Arial"/>
                      <w:sz w:val="21"/>
                    </w:rPr>
                  </w:pPr>
                </w:p>
                <w:p w14:paraId="195646C5">
                  <w:pPr>
                    <w:pStyle w:val="6"/>
                    <w:spacing w:before="65" w:line="287" w:lineRule="auto"/>
                    <w:ind w:left="60" w:right="54" w:hanging="3"/>
                    <w:rPr>
                      <w:sz w:val="20"/>
                      <w:szCs w:val="20"/>
                    </w:rPr>
                  </w:pPr>
                  <w:r>
                    <w:rPr>
                      <w:spacing w:val="6"/>
                      <w:sz w:val="20"/>
                      <w:szCs w:val="20"/>
                    </w:rPr>
                    <w:t>居民，</w:t>
                  </w:r>
                  <w:r>
                    <w:rPr>
                      <w:sz w:val="20"/>
                      <w:szCs w:val="20"/>
                    </w:rPr>
                    <w:t xml:space="preserve"> </w:t>
                  </w:r>
                  <w:r>
                    <w:rPr>
                      <w:spacing w:val="-3"/>
                      <w:sz w:val="20"/>
                      <w:szCs w:val="20"/>
                    </w:rPr>
                    <w:t>约</w:t>
                  </w:r>
                  <w:r>
                    <w:rPr>
                      <w:spacing w:val="-37"/>
                      <w:sz w:val="20"/>
                      <w:szCs w:val="20"/>
                    </w:rPr>
                    <w:t xml:space="preserve"> </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10"/>
                      <w:sz w:val="20"/>
                      <w:szCs w:val="20"/>
                    </w:rPr>
                    <w:t xml:space="preserve"> </w:t>
                  </w:r>
                  <w:r>
                    <w:rPr>
                      <w:spacing w:val="-3"/>
                      <w:sz w:val="20"/>
                      <w:szCs w:val="20"/>
                    </w:rPr>
                    <w:t>户</w:t>
                  </w:r>
                  <w:r>
                    <w:rPr>
                      <w:sz w:val="20"/>
                      <w:szCs w:val="20"/>
                    </w:rPr>
                    <w:t xml:space="preserve"> </w:t>
                  </w:r>
                  <w:r>
                    <w:rPr>
                      <w:rFonts w:ascii="Times New Roman" w:hAnsi="Times New Roman" w:eastAsia="Times New Roman" w:cs="Times New Roman"/>
                      <w:spacing w:val="25"/>
                      <w:sz w:val="20"/>
                      <w:szCs w:val="20"/>
                    </w:rPr>
                    <w:t>12</w:t>
                  </w:r>
                  <w:r>
                    <w:rPr>
                      <w:rFonts w:ascii="Times New Roman" w:hAnsi="Times New Roman" w:eastAsia="Times New Roman" w:cs="Times New Roman"/>
                      <w:spacing w:val="13"/>
                      <w:w w:val="101"/>
                      <w:sz w:val="20"/>
                      <w:szCs w:val="20"/>
                    </w:rPr>
                    <w:t xml:space="preserve"> </w:t>
                  </w:r>
                  <w:r>
                    <w:rPr>
                      <w:spacing w:val="25"/>
                      <w:sz w:val="20"/>
                      <w:szCs w:val="20"/>
                    </w:rPr>
                    <w:t>人</w:t>
                  </w:r>
                </w:p>
              </w:tc>
              <w:tc>
                <w:tcPr>
                  <w:tcW w:w="1762" w:type="dxa"/>
                  <w:tcBorders>
                    <w:bottom w:val="nil"/>
                  </w:tcBorders>
                  <w:vAlign w:val="top"/>
                </w:tcPr>
                <w:p w14:paraId="33EB128F">
                  <w:pPr>
                    <w:rPr>
                      <w:rFonts w:ascii="Arial"/>
                      <w:sz w:val="21"/>
                    </w:rPr>
                  </w:pPr>
                </w:p>
                <w:p w14:paraId="367688B4">
                  <w:pPr>
                    <w:rPr>
                      <w:rFonts w:ascii="Arial"/>
                      <w:sz w:val="21"/>
                    </w:rPr>
                  </w:pPr>
                </w:p>
                <w:p w14:paraId="4B3D6509">
                  <w:pPr>
                    <w:rPr>
                      <w:rFonts w:ascii="Arial"/>
                      <w:sz w:val="21"/>
                    </w:rPr>
                  </w:pPr>
                </w:p>
                <w:p w14:paraId="10EE916F">
                  <w:pPr>
                    <w:rPr>
                      <w:rFonts w:ascii="Arial"/>
                      <w:sz w:val="21"/>
                    </w:rPr>
                  </w:pPr>
                </w:p>
                <w:p w14:paraId="3AF2F53B">
                  <w:pPr>
                    <w:rPr>
                      <w:rFonts w:ascii="Arial"/>
                      <w:sz w:val="21"/>
                    </w:rPr>
                  </w:pPr>
                </w:p>
                <w:p w14:paraId="2268DCB0">
                  <w:pPr>
                    <w:pStyle w:val="6"/>
                    <w:spacing w:before="65" w:line="239" w:lineRule="auto"/>
                    <w:ind w:left="38" w:right="2" w:hanging="14"/>
                    <w:rPr>
                      <w:rFonts w:ascii="Times New Roman" w:hAnsi="Times New Roman" w:eastAsia="Times New Roman" w:cs="Times New Roman"/>
                      <w:sz w:val="20"/>
                      <w:szCs w:val="20"/>
                    </w:rPr>
                  </w:pPr>
                  <w:r>
                    <w:rPr>
                      <w:spacing w:val="1"/>
                      <w:sz w:val="20"/>
                      <w:szCs w:val="20"/>
                    </w:rPr>
                    <w:t>区块</w:t>
                  </w:r>
                  <w:r>
                    <w:rPr>
                      <w:spacing w:val="-31"/>
                      <w:sz w:val="20"/>
                      <w:szCs w:val="20"/>
                    </w:rPr>
                    <w:t xml:space="preserve"> </w:t>
                  </w:r>
                  <w:r>
                    <w:rPr>
                      <w:rFonts w:ascii="Times New Roman" w:hAnsi="Times New Roman" w:eastAsia="Times New Roman" w:cs="Times New Roman"/>
                      <w:spacing w:val="1"/>
                      <w:sz w:val="20"/>
                      <w:szCs w:val="20"/>
                    </w:rPr>
                    <w:t xml:space="preserve">13 </w:t>
                  </w:r>
                  <w:r>
                    <w:rPr>
                      <w:spacing w:val="1"/>
                      <w:sz w:val="20"/>
                      <w:szCs w:val="20"/>
                    </w:rPr>
                    <w:t>南侧阵列北</w:t>
                  </w:r>
                  <w:r>
                    <w:rPr>
                      <w:sz w:val="20"/>
                      <w:szCs w:val="20"/>
                    </w:rPr>
                    <w:t xml:space="preserve"> </w:t>
                  </w:r>
                  <w:r>
                    <w:rPr>
                      <w:spacing w:val="2"/>
                      <w:sz w:val="20"/>
                      <w:szCs w:val="20"/>
                    </w:rPr>
                    <w:t>侧约</w:t>
                  </w:r>
                  <w:r>
                    <w:rPr>
                      <w:spacing w:val="-32"/>
                      <w:sz w:val="20"/>
                      <w:szCs w:val="20"/>
                    </w:rPr>
                    <w:t xml:space="preserve"> </w:t>
                  </w:r>
                  <w:r>
                    <w:rPr>
                      <w:rFonts w:ascii="Times New Roman" w:hAnsi="Times New Roman" w:eastAsia="Times New Roman" w:cs="Times New Roman"/>
                      <w:spacing w:val="2"/>
                      <w:sz w:val="20"/>
                      <w:szCs w:val="20"/>
                    </w:rPr>
                    <w:t>3m</w:t>
                  </w:r>
                  <w:r>
                    <w:rPr>
                      <w:rFonts w:ascii="Times New Roman" w:hAnsi="Times New Roman" w:eastAsia="Times New Roman" w:cs="Times New Roman"/>
                      <w:spacing w:val="-26"/>
                      <w:sz w:val="20"/>
                      <w:szCs w:val="20"/>
                    </w:rPr>
                    <w:t xml:space="preserve"> </w:t>
                  </w:r>
                  <w:r>
                    <w:rPr>
                      <w:spacing w:val="2"/>
                      <w:sz w:val="20"/>
                      <w:szCs w:val="20"/>
                    </w:rPr>
                    <w:t>，高差</w:t>
                  </w:r>
                  <w:r>
                    <w:rPr>
                      <w:spacing w:val="-38"/>
                      <w:sz w:val="20"/>
                      <w:szCs w:val="20"/>
                    </w:rPr>
                    <w:t xml:space="preserve"> </w:t>
                  </w:r>
                  <w:r>
                    <w:rPr>
                      <w:rFonts w:ascii="Times New Roman" w:hAnsi="Times New Roman" w:eastAsia="Times New Roman" w:cs="Times New Roman"/>
                      <w:spacing w:val="2"/>
                      <w:sz w:val="20"/>
                      <w:szCs w:val="20"/>
                    </w:rPr>
                    <w:t>0m</w:t>
                  </w:r>
                </w:p>
              </w:tc>
              <w:tc>
                <w:tcPr>
                  <w:tcW w:w="3448" w:type="dxa"/>
                  <w:tcBorders>
                    <w:bottom w:val="nil"/>
                  </w:tcBorders>
                  <w:vAlign w:val="top"/>
                </w:tcPr>
                <w:p w14:paraId="595ADF56">
                  <w:pPr>
                    <w:spacing w:line="3023" w:lineRule="exact"/>
                    <w:ind w:firstLine="117"/>
                  </w:pPr>
                  <w:r>
                    <w:rPr>
                      <w:position w:val="-60"/>
                    </w:rPr>
                    <w:drawing>
                      <wp:inline distT="0" distB="0" distL="0" distR="0">
                        <wp:extent cx="2037080" cy="191897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21"/>
                                <a:stretch>
                                  <a:fillRect/>
                                </a:stretch>
                              </pic:blipFill>
                              <pic:spPr>
                                <a:xfrm>
                                  <a:off x="0" y="0"/>
                                  <a:ext cx="2037587" cy="1919289"/>
                                </a:xfrm>
                                <a:prstGeom prst="rect">
                                  <a:avLst/>
                                </a:prstGeom>
                              </pic:spPr>
                            </pic:pic>
                          </a:graphicData>
                        </a:graphic>
                      </wp:inline>
                    </w:drawing>
                  </w:r>
                </w:p>
              </w:tc>
              <w:tc>
                <w:tcPr>
                  <w:tcW w:w="1078" w:type="dxa"/>
                  <w:vMerge w:val="continue"/>
                  <w:tcBorders>
                    <w:top w:val="nil"/>
                    <w:bottom w:val="nil"/>
                  </w:tcBorders>
                  <w:vAlign w:val="top"/>
                </w:tcPr>
                <w:p w14:paraId="590C8C0C">
                  <w:pPr>
                    <w:rPr>
                      <w:rFonts w:ascii="Arial"/>
                      <w:sz w:val="21"/>
                    </w:rPr>
                  </w:pPr>
                </w:p>
              </w:tc>
            </w:tr>
          </w:tbl>
          <w:p w14:paraId="6ABCD088">
            <w:pPr>
              <w:spacing w:line="14" w:lineRule="auto"/>
              <w:rPr>
                <w:rFonts w:ascii="Arial"/>
                <w:sz w:val="2"/>
              </w:rPr>
            </w:pPr>
          </w:p>
        </w:tc>
      </w:tr>
    </w:tbl>
    <w:p w14:paraId="573633A8">
      <w:pPr>
        <w:rPr>
          <w:rFonts w:ascii="Arial"/>
          <w:sz w:val="21"/>
        </w:rPr>
      </w:pPr>
    </w:p>
    <w:p w14:paraId="38BE16ED">
      <w:pPr>
        <w:rPr>
          <w:rFonts w:ascii="Arial" w:hAnsi="Arial" w:eastAsia="Arial" w:cs="Arial"/>
          <w:sz w:val="21"/>
          <w:szCs w:val="21"/>
        </w:rPr>
        <w:sectPr>
          <w:footerReference r:id="rId102" w:type="default"/>
          <w:pgSz w:w="11906" w:h="16839"/>
          <w:pgMar w:top="1431" w:right="1413" w:bottom="1278" w:left="1413" w:header="0" w:footer="1116" w:gutter="0"/>
          <w:cols w:space="720" w:num="1"/>
        </w:sectPr>
      </w:pPr>
    </w:p>
    <w:p w14:paraId="743532CE">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15B1A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1" w:hRule="atLeast"/>
        </w:trPr>
        <w:tc>
          <w:tcPr>
            <w:tcW w:w="668" w:type="dxa"/>
            <w:tcBorders>
              <w:bottom w:val="single" w:color="000000" w:sz="2" w:space="0"/>
              <w:right w:val="single" w:color="000000" w:sz="2" w:space="0"/>
            </w:tcBorders>
            <w:vAlign w:val="top"/>
          </w:tcPr>
          <w:p w14:paraId="2F9C7DFA">
            <w:pPr>
              <w:rPr>
                <w:rFonts w:ascii="Arial"/>
                <w:sz w:val="21"/>
              </w:rPr>
            </w:pPr>
          </w:p>
        </w:tc>
        <w:tc>
          <w:tcPr>
            <w:tcW w:w="8396" w:type="dxa"/>
            <w:tcBorders>
              <w:left w:val="single" w:color="000000" w:sz="2" w:space="0"/>
              <w:bottom w:val="single" w:color="000000" w:sz="2" w:space="0"/>
            </w:tcBorders>
            <w:vAlign w:val="top"/>
          </w:tcPr>
          <w:p w14:paraId="0ED8B136">
            <w:pPr>
              <w:pStyle w:val="6"/>
              <w:spacing w:before="30" w:line="219" w:lineRule="auto"/>
              <w:ind w:left="600"/>
            </w:pPr>
            <w:r>
              <w:rPr>
                <w:b/>
                <w:bCs/>
                <w:spacing w:val="-3"/>
              </w:rPr>
              <w:t>（</w:t>
            </w:r>
            <w:r>
              <w:rPr>
                <w:rFonts w:ascii="Times New Roman" w:hAnsi="Times New Roman" w:eastAsia="Times New Roman" w:cs="Times New Roman"/>
                <w:b/>
                <w:bCs/>
                <w:spacing w:val="-3"/>
              </w:rPr>
              <w:t>3</w:t>
            </w:r>
            <w:r>
              <w:rPr>
                <w:b/>
                <w:bCs/>
                <w:spacing w:val="-3"/>
              </w:rPr>
              <w:t>）电磁、生态、地表水环境保护目标</w:t>
            </w:r>
          </w:p>
          <w:p w14:paraId="3536F0DD">
            <w:pPr>
              <w:pStyle w:val="6"/>
              <w:spacing w:before="178" w:line="222" w:lineRule="auto"/>
              <w:ind w:left="1931"/>
              <w:rPr>
                <w:sz w:val="20"/>
                <w:szCs w:val="20"/>
              </w:rPr>
            </w:pPr>
            <w:r>
              <w:rPr>
                <w:b/>
                <w:bCs/>
                <w:spacing w:val="6"/>
                <w:sz w:val="20"/>
                <w:szCs w:val="20"/>
              </w:rPr>
              <w:t>表</w:t>
            </w:r>
            <w:r>
              <w:rPr>
                <w:spacing w:val="-32"/>
                <w:sz w:val="20"/>
                <w:szCs w:val="20"/>
              </w:rPr>
              <w:t xml:space="preserve"> </w:t>
            </w:r>
            <w:r>
              <w:rPr>
                <w:rFonts w:ascii="Times New Roman" w:hAnsi="Times New Roman" w:eastAsia="Times New Roman" w:cs="Times New Roman"/>
                <w:b/>
                <w:bCs/>
                <w:spacing w:val="6"/>
                <w:sz w:val="20"/>
                <w:szCs w:val="20"/>
              </w:rPr>
              <w:t xml:space="preserve">3-11  </w:t>
            </w:r>
            <w:r>
              <w:rPr>
                <w:b/>
                <w:bCs/>
                <w:spacing w:val="6"/>
                <w:sz w:val="20"/>
                <w:szCs w:val="20"/>
              </w:rPr>
              <w:t>项目电磁、生态、地表水保护目标一览表</w:t>
            </w:r>
          </w:p>
          <w:tbl>
            <w:tblPr>
              <w:tblStyle w:val="5"/>
              <w:tblW w:w="817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936"/>
              <w:gridCol w:w="3058"/>
              <w:gridCol w:w="2372"/>
            </w:tblGrid>
            <w:tr w14:paraId="0422C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08" w:type="dxa"/>
                  <w:vAlign w:val="top"/>
                </w:tcPr>
                <w:p w14:paraId="2A423F4C">
                  <w:pPr>
                    <w:pStyle w:val="6"/>
                    <w:spacing w:before="38" w:line="233" w:lineRule="auto"/>
                    <w:ind w:left="199" w:right="191"/>
                    <w:rPr>
                      <w:sz w:val="20"/>
                      <w:szCs w:val="20"/>
                    </w:rPr>
                  </w:pPr>
                  <w:r>
                    <w:rPr>
                      <w:b/>
                      <w:bCs/>
                      <w:spacing w:val="3"/>
                      <w:sz w:val="20"/>
                      <w:szCs w:val="20"/>
                    </w:rPr>
                    <w:t>环境</w:t>
                  </w:r>
                  <w:r>
                    <w:rPr>
                      <w:sz w:val="20"/>
                      <w:szCs w:val="20"/>
                    </w:rPr>
                    <w:t xml:space="preserve"> </w:t>
                  </w:r>
                  <w:r>
                    <w:rPr>
                      <w:b/>
                      <w:bCs/>
                      <w:spacing w:val="3"/>
                      <w:sz w:val="20"/>
                      <w:szCs w:val="20"/>
                    </w:rPr>
                    <w:t>要素</w:t>
                  </w:r>
                </w:p>
              </w:tc>
              <w:tc>
                <w:tcPr>
                  <w:tcW w:w="1936" w:type="dxa"/>
                  <w:vAlign w:val="top"/>
                </w:tcPr>
                <w:p w14:paraId="18CB11E1">
                  <w:pPr>
                    <w:pStyle w:val="6"/>
                    <w:spacing w:before="171" w:line="228" w:lineRule="auto"/>
                    <w:ind w:left="551"/>
                    <w:rPr>
                      <w:sz w:val="20"/>
                      <w:szCs w:val="20"/>
                    </w:rPr>
                  </w:pPr>
                  <w:r>
                    <w:rPr>
                      <w:b/>
                      <w:bCs/>
                      <w:spacing w:val="6"/>
                      <w:sz w:val="20"/>
                      <w:szCs w:val="20"/>
                    </w:rPr>
                    <w:t>保护范围</w:t>
                  </w:r>
                </w:p>
              </w:tc>
              <w:tc>
                <w:tcPr>
                  <w:tcW w:w="3058" w:type="dxa"/>
                  <w:vAlign w:val="top"/>
                </w:tcPr>
                <w:p w14:paraId="4CCAE525">
                  <w:pPr>
                    <w:pStyle w:val="6"/>
                    <w:spacing w:before="171" w:line="228" w:lineRule="auto"/>
                    <w:ind w:left="1114"/>
                    <w:rPr>
                      <w:sz w:val="20"/>
                      <w:szCs w:val="20"/>
                    </w:rPr>
                  </w:pPr>
                  <w:r>
                    <w:rPr>
                      <w:b/>
                      <w:bCs/>
                      <w:spacing w:val="6"/>
                      <w:sz w:val="20"/>
                      <w:szCs w:val="20"/>
                    </w:rPr>
                    <w:t>保护目标</w:t>
                  </w:r>
                </w:p>
              </w:tc>
              <w:tc>
                <w:tcPr>
                  <w:tcW w:w="2372" w:type="dxa"/>
                  <w:vAlign w:val="top"/>
                </w:tcPr>
                <w:p w14:paraId="65E6AEBB">
                  <w:pPr>
                    <w:pStyle w:val="6"/>
                    <w:spacing w:before="171" w:line="228" w:lineRule="auto"/>
                    <w:ind w:left="769"/>
                    <w:rPr>
                      <w:sz w:val="20"/>
                      <w:szCs w:val="20"/>
                    </w:rPr>
                  </w:pPr>
                  <w:r>
                    <w:rPr>
                      <w:b/>
                      <w:bCs/>
                      <w:spacing w:val="6"/>
                      <w:sz w:val="20"/>
                      <w:szCs w:val="20"/>
                    </w:rPr>
                    <w:t>环境功能</w:t>
                  </w:r>
                </w:p>
              </w:tc>
            </w:tr>
            <w:tr w14:paraId="46BB3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Align w:val="top"/>
                </w:tcPr>
                <w:p w14:paraId="47C8E11E">
                  <w:pPr>
                    <w:pStyle w:val="6"/>
                    <w:spacing w:before="31" w:line="234" w:lineRule="auto"/>
                    <w:ind w:left="199" w:right="193" w:firstLine="24"/>
                    <w:rPr>
                      <w:sz w:val="20"/>
                      <w:szCs w:val="20"/>
                    </w:rPr>
                  </w:pPr>
                  <w:r>
                    <w:rPr>
                      <w:spacing w:val="-8"/>
                      <w:sz w:val="20"/>
                      <w:szCs w:val="20"/>
                    </w:rPr>
                    <w:t>电磁</w:t>
                  </w:r>
                  <w:r>
                    <w:rPr>
                      <w:sz w:val="20"/>
                      <w:szCs w:val="20"/>
                    </w:rPr>
                    <w:t xml:space="preserve"> </w:t>
                  </w:r>
                  <w:r>
                    <w:rPr>
                      <w:spacing w:val="4"/>
                      <w:sz w:val="20"/>
                      <w:szCs w:val="20"/>
                    </w:rPr>
                    <w:t>环境</w:t>
                  </w:r>
                </w:p>
              </w:tc>
              <w:tc>
                <w:tcPr>
                  <w:tcW w:w="1936" w:type="dxa"/>
                  <w:vAlign w:val="top"/>
                </w:tcPr>
                <w:p w14:paraId="4FA2950F">
                  <w:pPr>
                    <w:pStyle w:val="6"/>
                    <w:spacing w:before="31" w:line="234" w:lineRule="auto"/>
                    <w:ind w:left="543" w:right="130" w:hanging="411"/>
                    <w:rPr>
                      <w:sz w:val="20"/>
                      <w:szCs w:val="20"/>
                    </w:rPr>
                  </w:pPr>
                  <w:r>
                    <w:rPr>
                      <w:spacing w:val="8"/>
                      <w:sz w:val="20"/>
                      <w:szCs w:val="20"/>
                    </w:rPr>
                    <w:t>升压站围墙外周围</w:t>
                  </w:r>
                  <w:r>
                    <w:rPr>
                      <w:spacing w:val="2"/>
                      <w:sz w:val="20"/>
                      <w:szCs w:val="20"/>
                    </w:rPr>
                    <w:t xml:space="preserve"> </w:t>
                  </w:r>
                  <w:r>
                    <w:rPr>
                      <w:rFonts w:ascii="Times New Roman" w:hAnsi="Times New Roman" w:eastAsia="Times New Roman" w:cs="Times New Roman"/>
                      <w:spacing w:val="3"/>
                      <w:sz w:val="20"/>
                      <w:szCs w:val="20"/>
                    </w:rPr>
                    <w:t>40m</w:t>
                  </w:r>
                  <w:r>
                    <w:rPr>
                      <w:rFonts w:ascii="Times New Roman" w:hAnsi="Times New Roman" w:eastAsia="Times New Roman" w:cs="Times New Roman"/>
                      <w:spacing w:val="17"/>
                      <w:w w:val="101"/>
                      <w:sz w:val="20"/>
                      <w:szCs w:val="20"/>
                    </w:rPr>
                    <w:t xml:space="preserve"> </w:t>
                  </w:r>
                  <w:r>
                    <w:rPr>
                      <w:spacing w:val="3"/>
                      <w:sz w:val="20"/>
                      <w:szCs w:val="20"/>
                    </w:rPr>
                    <w:t>范围</w:t>
                  </w:r>
                </w:p>
              </w:tc>
              <w:tc>
                <w:tcPr>
                  <w:tcW w:w="3058" w:type="dxa"/>
                  <w:vAlign w:val="top"/>
                </w:tcPr>
                <w:p w14:paraId="791C8760">
                  <w:pPr>
                    <w:pStyle w:val="6"/>
                    <w:spacing w:before="31" w:line="234" w:lineRule="auto"/>
                    <w:ind w:left="800" w:right="133" w:hanging="657"/>
                    <w:rPr>
                      <w:sz w:val="20"/>
                      <w:szCs w:val="20"/>
                    </w:rPr>
                  </w:pPr>
                  <w:r>
                    <w:rPr>
                      <w:spacing w:val="7"/>
                      <w:sz w:val="20"/>
                      <w:szCs w:val="20"/>
                    </w:rPr>
                    <w:t>升压站围墙外周围</w:t>
                  </w:r>
                  <w:r>
                    <w:rPr>
                      <w:spacing w:val="-45"/>
                      <w:sz w:val="20"/>
                      <w:szCs w:val="20"/>
                    </w:rPr>
                    <w:t xml:space="preserve"> </w:t>
                  </w:r>
                  <w:r>
                    <w:rPr>
                      <w:rFonts w:ascii="Times New Roman" w:hAnsi="Times New Roman" w:eastAsia="Times New Roman" w:cs="Times New Roman"/>
                      <w:spacing w:val="7"/>
                      <w:sz w:val="20"/>
                      <w:szCs w:val="20"/>
                    </w:rPr>
                    <w:t>40m</w:t>
                  </w:r>
                  <w:r>
                    <w:rPr>
                      <w:rFonts w:ascii="Times New Roman" w:hAnsi="Times New Roman" w:eastAsia="Times New Roman" w:cs="Times New Roman"/>
                      <w:spacing w:val="17"/>
                      <w:sz w:val="20"/>
                      <w:szCs w:val="20"/>
                    </w:rPr>
                    <w:t xml:space="preserve"> </w:t>
                  </w:r>
                  <w:r>
                    <w:rPr>
                      <w:spacing w:val="7"/>
                      <w:sz w:val="20"/>
                      <w:szCs w:val="20"/>
                    </w:rPr>
                    <w:t>范围内</w:t>
                  </w:r>
                  <w:r>
                    <w:rPr>
                      <w:sz w:val="20"/>
                      <w:szCs w:val="20"/>
                    </w:rPr>
                    <w:t xml:space="preserve"> </w:t>
                  </w:r>
                  <w:r>
                    <w:rPr>
                      <w:spacing w:val="8"/>
                      <w:sz w:val="20"/>
                      <w:szCs w:val="20"/>
                    </w:rPr>
                    <w:t>无敏感目标分布</w:t>
                  </w:r>
                </w:p>
              </w:tc>
              <w:tc>
                <w:tcPr>
                  <w:tcW w:w="2372" w:type="dxa"/>
                  <w:vAlign w:val="top"/>
                </w:tcPr>
                <w:p w14:paraId="5650CA20">
                  <w:pPr>
                    <w:pStyle w:val="6"/>
                    <w:spacing w:before="30" w:line="227" w:lineRule="auto"/>
                    <w:ind w:left="146"/>
                    <w:rPr>
                      <w:sz w:val="20"/>
                      <w:szCs w:val="20"/>
                    </w:rPr>
                  </w:pPr>
                  <w:r>
                    <w:rPr>
                      <w:spacing w:val="7"/>
                      <w:sz w:val="20"/>
                      <w:szCs w:val="20"/>
                    </w:rPr>
                    <w:t>《电磁环境控制限值》</w:t>
                  </w:r>
                </w:p>
                <w:p w14:paraId="0A91A319">
                  <w:pPr>
                    <w:pStyle w:val="6"/>
                    <w:spacing w:before="26" w:line="217" w:lineRule="auto"/>
                    <w:ind w:left="388"/>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8702-2014</w:t>
                  </w:r>
                  <w:r>
                    <w:rPr>
                      <w:spacing w:val="4"/>
                      <w:sz w:val="20"/>
                      <w:szCs w:val="20"/>
                    </w:rPr>
                    <w:t>）</w:t>
                  </w:r>
                </w:p>
              </w:tc>
            </w:tr>
            <w:tr w14:paraId="457A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808" w:type="dxa"/>
                  <w:vMerge w:val="restart"/>
                  <w:tcBorders>
                    <w:bottom w:val="nil"/>
                  </w:tcBorders>
                  <w:vAlign w:val="top"/>
                </w:tcPr>
                <w:p w14:paraId="4011BF14">
                  <w:pPr>
                    <w:spacing w:line="269" w:lineRule="auto"/>
                    <w:rPr>
                      <w:rFonts w:ascii="Arial"/>
                      <w:sz w:val="21"/>
                    </w:rPr>
                  </w:pPr>
                </w:p>
                <w:p w14:paraId="1DAB56A4">
                  <w:pPr>
                    <w:spacing w:line="269" w:lineRule="auto"/>
                    <w:rPr>
                      <w:rFonts w:ascii="Arial"/>
                      <w:sz w:val="21"/>
                    </w:rPr>
                  </w:pPr>
                </w:p>
                <w:p w14:paraId="436E41FC">
                  <w:pPr>
                    <w:spacing w:line="269" w:lineRule="auto"/>
                    <w:rPr>
                      <w:rFonts w:ascii="Arial"/>
                      <w:sz w:val="21"/>
                    </w:rPr>
                  </w:pPr>
                </w:p>
                <w:p w14:paraId="455C9A29">
                  <w:pPr>
                    <w:spacing w:line="269" w:lineRule="auto"/>
                    <w:rPr>
                      <w:rFonts w:ascii="Arial"/>
                      <w:sz w:val="21"/>
                    </w:rPr>
                  </w:pPr>
                </w:p>
                <w:p w14:paraId="5ACC14F2">
                  <w:pPr>
                    <w:spacing w:line="270" w:lineRule="auto"/>
                    <w:rPr>
                      <w:rFonts w:ascii="Arial"/>
                      <w:sz w:val="21"/>
                    </w:rPr>
                  </w:pPr>
                </w:p>
                <w:p w14:paraId="6B1286E1">
                  <w:pPr>
                    <w:pStyle w:val="6"/>
                    <w:spacing w:before="65"/>
                    <w:ind w:left="199" w:right="193" w:firstLine="1"/>
                    <w:rPr>
                      <w:sz w:val="20"/>
                      <w:szCs w:val="20"/>
                    </w:rPr>
                  </w:pPr>
                  <w:r>
                    <w:rPr>
                      <w:spacing w:val="3"/>
                      <w:sz w:val="20"/>
                      <w:szCs w:val="20"/>
                    </w:rPr>
                    <w:t>生态</w:t>
                  </w:r>
                  <w:r>
                    <w:rPr>
                      <w:sz w:val="20"/>
                      <w:szCs w:val="20"/>
                    </w:rPr>
                    <w:t xml:space="preserve"> </w:t>
                  </w:r>
                  <w:r>
                    <w:rPr>
                      <w:spacing w:val="4"/>
                      <w:sz w:val="20"/>
                      <w:szCs w:val="20"/>
                    </w:rPr>
                    <w:t>环境</w:t>
                  </w:r>
                </w:p>
              </w:tc>
              <w:tc>
                <w:tcPr>
                  <w:tcW w:w="1936" w:type="dxa"/>
                  <w:vAlign w:val="top"/>
                </w:tcPr>
                <w:p w14:paraId="59406D0C">
                  <w:pPr>
                    <w:pStyle w:val="6"/>
                    <w:spacing w:before="167" w:line="227" w:lineRule="auto"/>
                    <w:ind w:left="131"/>
                    <w:rPr>
                      <w:sz w:val="20"/>
                      <w:szCs w:val="20"/>
                    </w:rPr>
                  </w:pPr>
                  <w:r>
                    <w:rPr>
                      <w:spacing w:val="8"/>
                      <w:sz w:val="20"/>
                      <w:szCs w:val="20"/>
                    </w:rPr>
                    <w:t>集电线路红线范围</w:t>
                  </w:r>
                </w:p>
                <w:p w14:paraId="2CBC080B">
                  <w:pPr>
                    <w:pStyle w:val="6"/>
                    <w:spacing w:before="27" w:line="227" w:lineRule="auto"/>
                    <w:ind w:left="180"/>
                    <w:rPr>
                      <w:sz w:val="20"/>
                      <w:szCs w:val="20"/>
                    </w:rPr>
                  </w:pPr>
                  <w:r>
                    <w:rPr>
                      <w:spacing w:val="2"/>
                      <w:sz w:val="20"/>
                      <w:szCs w:val="20"/>
                    </w:rPr>
                    <w:t>内及外延</w:t>
                  </w:r>
                  <w:r>
                    <w:rPr>
                      <w:spacing w:val="-37"/>
                      <w:sz w:val="20"/>
                      <w:szCs w:val="20"/>
                    </w:rPr>
                    <w:t xml:space="preserve"> </w:t>
                  </w:r>
                  <w:r>
                    <w:rPr>
                      <w:rFonts w:ascii="Times New Roman" w:hAnsi="Times New Roman" w:eastAsia="Times New Roman" w:cs="Times New Roman"/>
                      <w:spacing w:val="2"/>
                      <w:sz w:val="20"/>
                      <w:szCs w:val="20"/>
                    </w:rPr>
                    <w:t>300m</w:t>
                  </w:r>
                  <w:r>
                    <w:rPr>
                      <w:rFonts w:ascii="Times New Roman" w:hAnsi="Times New Roman" w:eastAsia="Times New Roman" w:cs="Times New Roman"/>
                      <w:spacing w:val="27"/>
                      <w:w w:val="101"/>
                      <w:sz w:val="20"/>
                      <w:szCs w:val="20"/>
                    </w:rPr>
                    <w:t xml:space="preserve"> </w:t>
                  </w:r>
                  <w:r>
                    <w:rPr>
                      <w:spacing w:val="2"/>
                      <w:sz w:val="20"/>
                      <w:szCs w:val="20"/>
                    </w:rPr>
                    <w:t>的</w:t>
                  </w:r>
                </w:p>
                <w:p w14:paraId="06C1FEE5">
                  <w:pPr>
                    <w:pStyle w:val="6"/>
                    <w:spacing w:before="24" w:line="228" w:lineRule="auto"/>
                    <w:ind w:left="146"/>
                    <w:rPr>
                      <w:sz w:val="20"/>
                      <w:szCs w:val="20"/>
                    </w:rPr>
                  </w:pPr>
                  <w:r>
                    <w:rPr>
                      <w:spacing w:val="6"/>
                      <w:sz w:val="20"/>
                      <w:szCs w:val="20"/>
                    </w:rPr>
                    <w:t>区域。升压站用地</w:t>
                  </w:r>
                </w:p>
                <w:p w14:paraId="22629B44">
                  <w:pPr>
                    <w:pStyle w:val="6"/>
                    <w:spacing w:before="26" w:line="227" w:lineRule="auto"/>
                    <w:ind w:left="116"/>
                    <w:rPr>
                      <w:sz w:val="20"/>
                      <w:szCs w:val="20"/>
                    </w:rPr>
                  </w:pPr>
                  <w:r>
                    <w:rPr>
                      <w:spacing w:val="8"/>
                      <w:sz w:val="20"/>
                      <w:szCs w:val="20"/>
                    </w:rPr>
                    <w:t>红线范围内及外延</w:t>
                  </w:r>
                </w:p>
                <w:p w14:paraId="05F4EF5D">
                  <w:pPr>
                    <w:pStyle w:val="6"/>
                    <w:spacing w:before="24" w:line="228" w:lineRule="auto"/>
                    <w:ind w:left="394"/>
                    <w:rPr>
                      <w:sz w:val="20"/>
                      <w:szCs w:val="20"/>
                    </w:rPr>
                  </w:pPr>
                  <w:r>
                    <w:rPr>
                      <w:rFonts w:ascii="Times New Roman" w:hAnsi="Times New Roman" w:eastAsia="Times New Roman" w:cs="Times New Roman"/>
                      <w:spacing w:val="2"/>
                      <w:sz w:val="20"/>
                      <w:szCs w:val="20"/>
                    </w:rPr>
                    <w:t>500m</w:t>
                  </w:r>
                  <w:r>
                    <w:rPr>
                      <w:rFonts w:ascii="Times New Roman" w:hAnsi="Times New Roman" w:eastAsia="Times New Roman" w:cs="Times New Roman"/>
                      <w:spacing w:val="26"/>
                      <w:w w:val="101"/>
                      <w:sz w:val="20"/>
                      <w:szCs w:val="20"/>
                    </w:rPr>
                    <w:t xml:space="preserve"> </w:t>
                  </w:r>
                  <w:r>
                    <w:rPr>
                      <w:spacing w:val="2"/>
                      <w:sz w:val="20"/>
                      <w:szCs w:val="20"/>
                    </w:rPr>
                    <w:t>的区域</w:t>
                  </w:r>
                </w:p>
              </w:tc>
              <w:tc>
                <w:tcPr>
                  <w:tcW w:w="3058" w:type="dxa"/>
                  <w:vAlign w:val="top"/>
                </w:tcPr>
                <w:p w14:paraId="428866D6">
                  <w:pPr>
                    <w:pStyle w:val="6"/>
                    <w:spacing w:before="167" w:line="246" w:lineRule="auto"/>
                    <w:ind w:left="113" w:right="104"/>
                    <w:jc w:val="both"/>
                    <w:rPr>
                      <w:sz w:val="20"/>
                      <w:szCs w:val="20"/>
                    </w:rPr>
                  </w:pPr>
                  <w:r>
                    <w:rPr>
                      <w:spacing w:val="2"/>
                      <w:sz w:val="20"/>
                      <w:szCs w:val="20"/>
                    </w:rPr>
                    <w:t>本项目不涉及自然保护区、风景</w:t>
                  </w:r>
                  <w:r>
                    <w:rPr>
                      <w:spacing w:val="3"/>
                      <w:sz w:val="20"/>
                      <w:szCs w:val="20"/>
                    </w:rPr>
                    <w:t xml:space="preserve"> </w:t>
                  </w:r>
                  <w:r>
                    <w:rPr>
                      <w:spacing w:val="2"/>
                      <w:sz w:val="20"/>
                      <w:szCs w:val="20"/>
                    </w:rPr>
                    <w:t>名胜区、饮用水水源保护区等环</w:t>
                  </w:r>
                  <w:r>
                    <w:rPr>
                      <w:spacing w:val="3"/>
                      <w:sz w:val="20"/>
                      <w:szCs w:val="20"/>
                    </w:rPr>
                    <w:t xml:space="preserve"> </w:t>
                  </w:r>
                  <w:r>
                    <w:rPr>
                      <w:spacing w:val="2"/>
                      <w:sz w:val="20"/>
                      <w:szCs w:val="20"/>
                    </w:rPr>
                    <w:t>境敏感区，主要生态环境保护目</w:t>
                  </w:r>
                  <w:r>
                    <w:rPr>
                      <w:spacing w:val="6"/>
                      <w:sz w:val="20"/>
                      <w:szCs w:val="20"/>
                    </w:rPr>
                    <w:t xml:space="preserve"> </w:t>
                  </w:r>
                  <w:r>
                    <w:rPr>
                      <w:spacing w:val="13"/>
                      <w:sz w:val="20"/>
                      <w:szCs w:val="20"/>
                    </w:rPr>
                    <w:t>标为项目占地区和影响区的植</w:t>
                  </w:r>
                  <w:r>
                    <w:rPr>
                      <w:spacing w:val="7"/>
                      <w:sz w:val="20"/>
                      <w:szCs w:val="20"/>
                    </w:rPr>
                    <w:t xml:space="preserve"> </w:t>
                  </w:r>
                  <w:r>
                    <w:rPr>
                      <w:spacing w:val="13"/>
                      <w:sz w:val="20"/>
                      <w:szCs w:val="20"/>
                    </w:rPr>
                    <w:t>被、植物及动物、土地利用等</w:t>
                  </w:r>
                </w:p>
              </w:tc>
              <w:tc>
                <w:tcPr>
                  <w:tcW w:w="2372" w:type="dxa"/>
                  <w:vAlign w:val="top"/>
                </w:tcPr>
                <w:p w14:paraId="3EC9EEFB">
                  <w:pPr>
                    <w:pStyle w:val="6"/>
                    <w:spacing w:before="32" w:line="228" w:lineRule="auto"/>
                    <w:ind w:left="35"/>
                    <w:rPr>
                      <w:sz w:val="20"/>
                      <w:szCs w:val="20"/>
                    </w:rPr>
                  </w:pPr>
                  <w:r>
                    <w:rPr>
                      <w:spacing w:val="9"/>
                      <w:sz w:val="20"/>
                      <w:szCs w:val="20"/>
                    </w:rPr>
                    <w:t>减少生境影响及恢复生境</w:t>
                  </w:r>
                </w:p>
                <w:p w14:paraId="5501881A">
                  <w:pPr>
                    <w:pStyle w:val="6"/>
                    <w:spacing w:before="23" w:line="227" w:lineRule="auto"/>
                    <w:ind w:left="35"/>
                    <w:rPr>
                      <w:sz w:val="20"/>
                      <w:szCs w:val="20"/>
                    </w:rPr>
                  </w:pPr>
                  <w:r>
                    <w:rPr>
                      <w:spacing w:val="11"/>
                      <w:sz w:val="20"/>
                      <w:szCs w:val="20"/>
                    </w:rPr>
                    <w:t>措施，降低对其干扰。以</w:t>
                  </w:r>
                </w:p>
                <w:p w14:paraId="3A03459F">
                  <w:pPr>
                    <w:pStyle w:val="6"/>
                    <w:spacing w:before="25" w:line="227" w:lineRule="auto"/>
                    <w:ind w:left="38"/>
                    <w:rPr>
                      <w:sz w:val="20"/>
                      <w:szCs w:val="20"/>
                    </w:rPr>
                  </w:pPr>
                  <w:r>
                    <w:rPr>
                      <w:spacing w:val="8"/>
                      <w:sz w:val="20"/>
                      <w:szCs w:val="20"/>
                    </w:rPr>
                    <w:t>不破坏生物多样性、生态</w:t>
                  </w:r>
                </w:p>
                <w:p w14:paraId="4FC1C501">
                  <w:pPr>
                    <w:pStyle w:val="6"/>
                    <w:spacing w:before="27" w:line="227" w:lineRule="auto"/>
                    <w:ind w:left="39"/>
                    <w:rPr>
                      <w:sz w:val="20"/>
                      <w:szCs w:val="20"/>
                    </w:rPr>
                  </w:pPr>
                  <w:r>
                    <w:rPr>
                      <w:spacing w:val="8"/>
                      <w:sz w:val="20"/>
                      <w:szCs w:val="20"/>
                    </w:rPr>
                    <w:t>系统完整性为标准，确保</w:t>
                  </w:r>
                </w:p>
                <w:p w14:paraId="211F106B">
                  <w:pPr>
                    <w:pStyle w:val="6"/>
                    <w:spacing w:before="23" w:line="227" w:lineRule="auto"/>
                    <w:ind w:left="38"/>
                    <w:rPr>
                      <w:sz w:val="20"/>
                      <w:szCs w:val="20"/>
                    </w:rPr>
                  </w:pPr>
                  <w:r>
                    <w:rPr>
                      <w:spacing w:val="8"/>
                      <w:sz w:val="20"/>
                      <w:szCs w:val="20"/>
                    </w:rPr>
                    <w:t>项目建设不会破坏当地生</w:t>
                  </w:r>
                </w:p>
                <w:p w14:paraId="0C78B5A4">
                  <w:pPr>
                    <w:pStyle w:val="6"/>
                    <w:spacing w:before="28" w:line="215" w:lineRule="auto"/>
                    <w:ind w:left="666"/>
                    <w:rPr>
                      <w:sz w:val="20"/>
                      <w:szCs w:val="20"/>
                    </w:rPr>
                  </w:pPr>
                  <w:r>
                    <w:rPr>
                      <w:spacing w:val="8"/>
                      <w:sz w:val="20"/>
                      <w:szCs w:val="20"/>
                    </w:rPr>
                    <w:t>态环境现状</w:t>
                  </w:r>
                </w:p>
              </w:tc>
            </w:tr>
            <w:tr w14:paraId="1D12A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808" w:type="dxa"/>
                  <w:vMerge w:val="continue"/>
                  <w:tcBorders>
                    <w:top w:val="nil"/>
                    <w:bottom w:val="nil"/>
                  </w:tcBorders>
                  <w:vAlign w:val="top"/>
                </w:tcPr>
                <w:p w14:paraId="3E62C2B0">
                  <w:pPr>
                    <w:rPr>
                      <w:rFonts w:ascii="Arial"/>
                      <w:sz w:val="21"/>
                    </w:rPr>
                  </w:pPr>
                </w:p>
              </w:tc>
              <w:tc>
                <w:tcPr>
                  <w:tcW w:w="1936" w:type="dxa"/>
                  <w:vAlign w:val="top"/>
                </w:tcPr>
                <w:p w14:paraId="44309BC9">
                  <w:pPr>
                    <w:spacing w:line="374" w:lineRule="auto"/>
                    <w:rPr>
                      <w:rFonts w:ascii="Arial"/>
                      <w:sz w:val="21"/>
                    </w:rPr>
                  </w:pPr>
                </w:p>
                <w:p w14:paraId="7FE490C5">
                  <w:pPr>
                    <w:pStyle w:val="6"/>
                    <w:spacing w:before="65" w:line="228" w:lineRule="auto"/>
                    <w:ind w:left="344"/>
                    <w:rPr>
                      <w:sz w:val="20"/>
                      <w:szCs w:val="20"/>
                    </w:rPr>
                  </w:pPr>
                  <w:r>
                    <w:rPr>
                      <w:spacing w:val="7"/>
                      <w:sz w:val="20"/>
                      <w:szCs w:val="20"/>
                    </w:rPr>
                    <w:t>生态保护红线</w:t>
                  </w:r>
                </w:p>
              </w:tc>
              <w:tc>
                <w:tcPr>
                  <w:tcW w:w="3058" w:type="dxa"/>
                  <w:vAlign w:val="top"/>
                </w:tcPr>
                <w:p w14:paraId="1000B7F2">
                  <w:pPr>
                    <w:pStyle w:val="6"/>
                    <w:spacing w:before="34" w:line="227" w:lineRule="auto"/>
                    <w:ind w:left="382"/>
                    <w:rPr>
                      <w:sz w:val="20"/>
                      <w:szCs w:val="20"/>
                    </w:rPr>
                  </w:pPr>
                  <w:r>
                    <w:rPr>
                      <w:spacing w:val="7"/>
                      <w:sz w:val="20"/>
                      <w:szCs w:val="20"/>
                    </w:rPr>
                    <w:t>项目区块</w:t>
                  </w:r>
                  <w:r>
                    <w:rPr>
                      <w:spacing w:val="-38"/>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南侧和东南侧</w:t>
                  </w:r>
                </w:p>
                <w:p w14:paraId="71E35A63">
                  <w:pPr>
                    <w:pStyle w:val="6"/>
                    <w:spacing w:before="24" w:line="227" w:lineRule="auto"/>
                    <w:ind w:left="108"/>
                    <w:rPr>
                      <w:sz w:val="20"/>
                      <w:szCs w:val="20"/>
                    </w:rPr>
                  </w:pPr>
                  <w:r>
                    <w:rPr>
                      <w:rFonts w:ascii="Times New Roman" w:hAnsi="Times New Roman" w:eastAsia="Times New Roman" w:cs="Times New Roman"/>
                      <w:spacing w:val="2"/>
                      <w:sz w:val="20"/>
                      <w:szCs w:val="20"/>
                    </w:rPr>
                    <w:t>2.37</w:t>
                  </w:r>
                  <w:r>
                    <w:rPr>
                      <w:rFonts w:ascii="Times New Roman" w:hAnsi="Times New Roman" w:eastAsia="Times New Roman" w:cs="Times New Roman"/>
                      <w:sz w:val="20"/>
                      <w:szCs w:val="20"/>
                    </w:rPr>
                    <w:t>km</w:t>
                  </w:r>
                  <w:r>
                    <w:rPr>
                      <w:spacing w:val="2"/>
                      <w:sz w:val="20"/>
                      <w:szCs w:val="20"/>
                    </w:rPr>
                    <w:t>，生态红线类型为高原湖</w:t>
                  </w:r>
                </w:p>
                <w:p w14:paraId="0AECBC8B">
                  <w:pPr>
                    <w:pStyle w:val="6"/>
                    <w:spacing w:before="24" w:line="227" w:lineRule="auto"/>
                    <w:ind w:left="175"/>
                    <w:rPr>
                      <w:sz w:val="20"/>
                      <w:szCs w:val="20"/>
                    </w:rPr>
                  </w:pPr>
                  <w:r>
                    <w:rPr>
                      <w:spacing w:val="8"/>
                      <w:sz w:val="20"/>
                      <w:szCs w:val="20"/>
                    </w:rPr>
                    <w:t>泊及牛栏江上游水源涵养生态</w:t>
                  </w:r>
                </w:p>
                <w:p w14:paraId="0D32DD5F">
                  <w:pPr>
                    <w:pStyle w:val="6"/>
                    <w:spacing w:before="27" w:line="214" w:lineRule="auto"/>
                    <w:ind w:left="1116"/>
                    <w:rPr>
                      <w:sz w:val="20"/>
                      <w:szCs w:val="20"/>
                    </w:rPr>
                  </w:pPr>
                  <w:r>
                    <w:rPr>
                      <w:spacing w:val="7"/>
                      <w:sz w:val="20"/>
                      <w:szCs w:val="20"/>
                    </w:rPr>
                    <w:t>保护红线</w:t>
                  </w:r>
                </w:p>
              </w:tc>
              <w:tc>
                <w:tcPr>
                  <w:tcW w:w="2372" w:type="dxa"/>
                  <w:vAlign w:val="top"/>
                </w:tcPr>
                <w:p w14:paraId="609119AC">
                  <w:pPr>
                    <w:pStyle w:val="6"/>
                    <w:spacing w:before="304" w:line="239" w:lineRule="auto"/>
                    <w:ind w:left="142" w:right="136" w:firstLine="21"/>
                    <w:rPr>
                      <w:sz w:val="20"/>
                      <w:szCs w:val="20"/>
                    </w:rPr>
                  </w:pPr>
                  <w:r>
                    <w:rPr>
                      <w:spacing w:val="6"/>
                      <w:sz w:val="20"/>
                      <w:szCs w:val="20"/>
                    </w:rPr>
                    <w:t>以不破坏生物多样性、</w:t>
                  </w:r>
                  <w:r>
                    <w:rPr>
                      <w:spacing w:val="4"/>
                      <w:sz w:val="20"/>
                      <w:szCs w:val="20"/>
                    </w:rPr>
                    <w:t xml:space="preserve"> </w:t>
                  </w:r>
                  <w:r>
                    <w:rPr>
                      <w:spacing w:val="8"/>
                      <w:sz w:val="20"/>
                      <w:szCs w:val="20"/>
                    </w:rPr>
                    <w:t>生态系统完整性为标准</w:t>
                  </w:r>
                </w:p>
              </w:tc>
            </w:tr>
            <w:tr w14:paraId="42653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08" w:type="dxa"/>
                  <w:vMerge w:val="continue"/>
                  <w:tcBorders>
                    <w:top w:val="nil"/>
                  </w:tcBorders>
                  <w:vAlign w:val="top"/>
                </w:tcPr>
                <w:p w14:paraId="08C04160">
                  <w:pPr>
                    <w:rPr>
                      <w:rFonts w:ascii="Arial"/>
                      <w:sz w:val="21"/>
                    </w:rPr>
                  </w:pPr>
                </w:p>
              </w:tc>
              <w:tc>
                <w:tcPr>
                  <w:tcW w:w="1936" w:type="dxa"/>
                  <w:vAlign w:val="top"/>
                </w:tcPr>
                <w:p w14:paraId="6E938317">
                  <w:pPr>
                    <w:pStyle w:val="6"/>
                    <w:spacing w:before="190" w:line="229" w:lineRule="auto"/>
                    <w:ind w:left="551"/>
                    <w:rPr>
                      <w:sz w:val="20"/>
                      <w:szCs w:val="20"/>
                    </w:rPr>
                  </w:pPr>
                  <w:r>
                    <w:rPr>
                      <w:spacing w:val="7"/>
                      <w:sz w:val="20"/>
                      <w:szCs w:val="20"/>
                    </w:rPr>
                    <w:t>土地利用</w:t>
                  </w:r>
                </w:p>
              </w:tc>
              <w:tc>
                <w:tcPr>
                  <w:tcW w:w="3058" w:type="dxa"/>
                  <w:vAlign w:val="top"/>
                </w:tcPr>
                <w:p w14:paraId="203607D3">
                  <w:pPr>
                    <w:pStyle w:val="6"/>
                    <w:spacing w:before="54" w:line="227" w:lineRule="auto"/>
                    <w:ind w:left="128"/>
                    <w:rPr>
                      <w:sz w:val="20"/>
                      <w:szCs w:val="20"/>
                    </w:rPr>
                  </w:pPr>
                  <w:r>
                    <w:rPr>
                      <w:spacing w:val="1"/>
                      <w:sz w:val="20"/>
                      <w:szCs w:val="20"/>
                    </w:rPr>
                    <w:t>区块</w:t>
                  </w:r>
                  <w:r>
                    <w:rPr>
                      <w:spacing w:val="-9"/>
                      <w:sz w:val="20"/>
                      <w:szCs w:val="20"/>
                    </w:rPr>
                    <w:t xml:space="preserve"> </w:t>
                  </w:r>
                  <w:r>
                    <w:rPr>
                      <w:rFonts w:ascii="Times New Roman" w:hAnsi="Times New Roman" w:eastAsia="Times New Roman" w:cs="Times New Roman"/>
                      <w:spacing w:val="1"/>
                      <w:sz w:val="20"/>
                      <w:szCs w:val="20"/>
                    </w:rPr>
                    <w:t>13</w:t>
                  </w:r>
                  <w:r>
                    <w:rPr>
                      <w:rFonts w:ascii="Times New Roman" w:hAnsi="Times New Roman" w:eastAsia="Times New Roman" w:cs="Times New Roman"/>
                      <w:spacing w:val="17"/>
                      <w:sz w:val="20"/>
                      <w:szCs w:val="20"/>
                    </w:rPr>
                    <w:t xml:space="preserve"> </w:t>
                  </w:r>
                  <w:r>
                    <w:rPr>
                      <w:spacing w:val="1"/>
                      <w:sz w:val="20"/>
                      <w:szCs w:val="20"/>
                    </w:rPr>
                    <w:t>东侧和南侧、区块</w:t>
                  </w:r>
                  <w:r>
                    <w:rPr>
                      <w:spacing w:val="-21"/>
                      <w:sz w:val="20"/>
                      <w:szCs w:val="20"/>
                    </w:rPr>
                    <w:t xml:space="preserve"> </w:t>
                  </w:r>
                  <w:r>
                    <w:rPr>
                      <w:rFonts w:ascii="Times New Roman" w:hAnsi="Times New Roman" w:eastAsia="Times New Roman" w:cs="Times New Roman"/>
                      <w:spacing w:val="1"/>
                      <w:sz w:val="20"/>
                      <w:szCs w:val="20"/>
                    </w:rPr>
                    <w:t>10</w:t>
                  </w:r>
                  <w:r>
                    <w:rPr>
                      <w:spacing w:val="1"/>
                      <w:sz w:val="20"/>
                      <w:szCs w:val="20"/>
                    </w:rPr>
                    <w:t>、</w:t>
                  </w:r>
                </w:p>
                <w:p w14:paraId="1CEA54E4">
                  <w:pPr>
                    <w:pStyle w:val="6"/>
                    <w:spacing w:before="23" w:line="227" w:lineRule="auto"/>
                    <w:ind w:left="263"/>
                    <w:rPr>
                      <w:sz w:val="20"/>
                      <w:szCs w:val="20"/>
                    </w:rPr>
                  </w:pPr>
                  <w:r>
                    <w:rPr>
                      <w:rFonts w:ascii="Times New Roman" w:hAnsi="Times New Roman" w:eastAsia="Times New Roman" w:cs="Times New Roman"/>
                      <w:spacing w:val="6"/>
                      <w:sz w:val="20"/>
                      <w:szCs w:val="20"/>
                    </w:rPr>
                    <w:t>14</w:t>
                  </w:r>
                  <w:r>
                    <w:rPr>
                      <w:rFonts w:ascii="Times New Roman" w:hAnsi="Times New Roman" w:eastAsia="Times New Roman" w:cs="Times New Roman"/>
                      <w:spacing w:val="17"/>
                      <w:sz w:val="20"/>
                      <w:szCs w:val="20"/>
                    </w:rPr>
                    <w:t xml:space="preserve"> </w:t>
                  </w:r>
                  <w:r>
                    <w:rPr>
                      <w:spacing w:val="6"/>
                      <w:sz w:val="20"/>
                      <w:szCs w:val="20"/>
                    </w:rPr>
                    <w:t>东南侧紧邻永久基本农田</w:t>
                  </w:r>
                </w:p>
              </w:tc>
              <w:tc>
                <w:tcPr>
                  <w:tcW w:w="2372" w:type="dxa"/>
                  <w:vAlign w:val="top"/>
                </w:tcPr>
                <w:p w14:paraId="48418394">
                  <w:pPr>
                    <w:pStyle w:val="6"/>
                    <w:spacing w:before="54" w:line="241" w:lineRule="auto"/>
                    <w:ind w:left="1111" w:right="136" w:hanging="970"/>
                    <w:rPr>
                      <w:sz w:val="20"/>
                      <w:szCs w:val="20"/>
                    </w:rPr>
                  </w:pPr>
                  <w:r>
                    <w:rPr>
                      <w:spacing w:val="8"/>
                      <w:sz w:val="20"/>
                      <w:szCs w:val="20"/>
                    </w:rPr>
                    <w:t xml:space="preserve">确保不占用永久基本农 </w:t>
                  </w:r>
                  <w:r>
                    <w:rPr>
                      <w:sz w:val="20"/>
                      <w:szCs w:val="20"/>
                    </w:rPr>
                    <w:t>田</w:t>
                  </w:r>
                </w:p>
              </w:tc>
            </w:tr>
            <w:tr w14:paraId="1E327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08" w:type="dxa"/>
                  <w:vMerge w:val="restart"/>
                  <w:tcBorders>
                    <w:bottom w:val="nil"/>
                  </w:tcBorders>
                  <w:vAlign w:val="top"/>
                </w:tcPr>
                <w:p w14:paraId="4EE8A094">
                  <w:pPr>
                    <w:spacing w:line="273" w:lineRule="auto"/>
                    <w:rPr>
                      <w:rFonts w:ascii="Arial"/>
                      <w:sz w:val="21"/>
                    </w:rPr>
                  </w:pPr>
                </w:p>
                <w:p w14:paraId="67D6A728">
                  <w:pPr>
                    <w:spacing w:line="273" w:lineRule="auto"/>
                    <w:rPr>
                      <w:rFonts w:ascii="Arial"/>
                      <w:sz w:val="21"/>
                    </w:rPr>
                  </w:pPr>
                </w:p>
                <w:p w14:paraId="3F2AD997">
                  <w:pPr>
                    <w:pStyle w:val="6"/>
                    <w:spacing w:before="65" w:line="227" w:lineRule="auto"/>
                    <w:ind w:left="94"/>
                    <w:rPr>
                      <w:sz w:val="20"/>
                      <w:szCs w:val="20"/>
                    </w:rPr>
                  </w:pPr>
                  <w:r>
                    <w:rPr>
                      <w:spacing w:val="6"/>
                      <w:sz w:val="20"/>
                      <w:szCs w:val="20"/>
                    </w:rPr>
                    <w:t>地表水</w:t>
                  </w:r>
                </w:p>
              </w:tc>
              <w:tc>
                <w:tcPr>
                  <w:tcW w:w="1936" w:type="dxa"/>
                  <w:vAlign w:val="top"/>
                </w:tcPr>
                <w:p w14:paraId="4BD24C79">
                  <w:pPr>
                    <w:pStyle w:val="6"/>
                    <w:spacing w:before="116" w:line="228" w:lineRule="auto"/>
                    <w:ind w:left="661"/>
                    <w:rPr>
                      <w:sz w:val="20"/>
                      <w:szCs w:val="20"/>
                    </w:rPr>
                  </w:pPr>
                  <w:r>
                    <w:rPr>
                      <w:spacing w:val="5"/>
                      <w:sz w:val="20"/>
                      <w:szCs w:val="20"/>
                    </w:rPr>
                    <w:t>牛栏江</w:t>
                  </w:r>
                </w:p>
              </w:tc>
              <w:tc>
                <w:tcPr>
                  <w:tcW w:w="3058" w:type="dxa"/>
                  <w:vAlign w:val="top"/>
                </w:tcPr>
                <w:p w14:paraId="20ECFB3C">
                  <w:pPr>
                    <w:pStyle w:val="6"/>
                    <w:spacing w:before="116" w:line="227" w:lineRule="auto"/>
                    <w:ind w:left="445"/>
                    <w:rPr>
                      <w:sz w:val="20"/>
                      <w:szCs w:val="20"/>
                    </w:rPr>
                  </w:pPr>
                  <w:r>
                    <w:rPr>
                      <w:spacing w:val="3"/>
                      <w:sz w:val="20"/>
                      <w:szCs w:val="20"/>
                    </w:rPr>
                    <w:t>区块</w:t>
                  </w:r>
                  <w:r>
                    <w:rPr>
                      <w:spacing w:val="-44"/>
                      <w:sz w:val="20"/>
                      <w:szCs w:val="20"/>
                    </w:rPr>
                    <w:t xml:space="preserve"> </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19"/>
                      <w:sz w:val="20"/>
                      <w:szCs w:val="20"/>
                    </w:rPr>
                    <w:t xml:space="preserve"> </w:t>
                  </w:r>
                  <w:r>
                    <w:rPr>
                      <w:spacing w:val="3"/>
                      <w:sz w:val="20"/>
                      <w:szCs w:val="20"/>
                    </w:rPr>
                    <w:t>东南侧</w:t>
                  </w:r>
                  <w:r>
                    <w:rPr>
                      <w:spacing w:val="-43"/>
                      <w:sz w:val="20"/>
                      <w:szCs w:val="20"/>
                    </w:rPr>
                    <w:t xml:space="preserve"> </w:t>
                  </w:r>
                  <w:r>
                    <w:rPr>
                      <w:rFonts w:ascii="Times New Roman" w:hAnsi="Times New Roman" w:eastAsia="Times New Roman" w:cs="Times New Roman"/>
                      <w:spacing w:val="3"/>
                      <w:sz w:val="20"/>
                      <w:szCs w:val="20"/>
                    </w:rPr>
                    <w:t>2.37</w:t>
                  </w:r>
                  <w:r>
                    <w:rPr>
                      <w:rFonts w:ascii="Times New Roman" w:hAnsi="Times New Roman" w:eastAsia="Times New Roman" w:cs="Times New Roman"/>
                      <w:sz w:val="20"/>
                      <w:szCs w:val="20"/>
                    </w:rPr>
                    <w:t>km</w:t>
                  </w:r>
                  <w:r>
                    <w:rPr>
                      <w:rFonts w:ascii="Times New Roman" w:hAnsi="Times New Roman" w:eastAsia="Times New Roman" w:cs="Times New Roman"/>
                      <w:spacing w:val="16"/>
                      <w:sz w:val="20"/>
                      <w:szCs w:val="20"/>
                    </w:rPr>
                    <w:t xml:space="preserve"> </w:t>
                  </w:r>
                  <w:r>
                    <w:rPr>
                      <w:spacing w:val="3"/>
                      <w:sz w:val="20"/>
                      <w:szCs w:val="20"/>
                    </w:rPr>
                    <w:t>处</w:t>
                  </w:r>
                </w:p>
              </w:tc>
              <w:tc>
                <w:tcPr>
                  <w:tcW w:w="2372" w:type="dxa"/>
                  <w:vMerge w:val="restart"/>
                  <w:tcBorders>
                    <w:bottom w:val="nil"/>
                  </w:tcBorders>
                  <w:vAlign w:val="top"/>
                </w:tcPr>
                <w:p w14:paraId="65FB1DBC">
                  <w:pPr>
                    <w:spacing w:line="409" w:lineRule="auto"/>
                    <w:rPr>
                      <w:rFonts w:ascii="Arial"/>
                      <w:sz w:val="21"/>
                    </w:rPr>
                  </w:pPr>
                </w:p>
                <w:p w14:paraId="1824A9B0">
                  <w:pPr>
                    <w:pStyle w:val="6"/>
                    <w:spacing w:before="65" w:line="239" w:lineRule="auto"/>
                    <w:ind w:left="19" w:right="4" w:firstLine="21"/>
                    <w:rPr>
                      <w:sz w:val="20"/>
                      <w:szCs w:val="20"/>
                    </w:rPr>
                  </w:pPr>
                  <w:r>
                    <w:rPr>
                      <w:spacing w:val="7"/>
                      <w:sz w:val="20"/>
                      <w:szCs w:val="20"/>
                    </w:rPr>
                    <w:t>《地表水环境质量标准》</w:t>
                  </w:r>
                  <w:r>
                    <w:rPr>
                      <w:spacing w:val="4"/>
                      <w:sz w:val="20"/>
                      <w:szCs w:val="20"/>
                    </w:rPr>
                    <w:t xml:space="preserve"> </w:t>
                  </w:r>
                  <w:r>
                    <w:rPr>
                      <w:spacing w:val="-1"/>
                      <w:sz w:val="20"/>
                      <w:szCs w:val="20"/>
                    </w:rPr>
                    <w:t>（</w:t>
                  </w:r>
                  <w:r>
                    <w:rPr>
                      <w:rFonts w:ascii="Times New Roman" w:hAnsi="Times New Roman" w:eastAsia="Times New Roman" w:cs="Times New Roman"/>
                      <w:spacing w:val="-1"/>
                      <w:sz w:val="20"/>
                      <w:szCs w:val="20"/>
                    </w:rPr>
                    <w:t>GB3838-2002</w:t>
                  </w:r>
                  <w:r>
                    <w:rPr>
                      <w:spacing w:val="-1"/>
                      <w:sz w:val="20"/>
                      <w:szCs w:val="20"/>
                    </w:rPr>
                    <w:t>）Ⅲ类标准</w:t>
                  </w:r>
                </w:p>
              </w:tc>
            </w:tr>
            <w:tr w14:paraId="3D4AB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Merge w:val="continue"/>
                  <w:tcBorders>
                    <w:top w:val="nil"/>
                    <w:bottom w:val="nil"/>
                  </w:tcBorders>
                  <w:vAlign w:val="top"/>
                </w:tcPr>
                <w:p w14:paraId="6FEB1881">
                  <w:pPr>
                    <w:rPr>
                      <w:rFonts w:ascii="Arial"/>
                      <w:sz w:val="21"/>
                    </w:rPr>
                  </w:pPr>
                </w:p>
              </w:tc>
              <w:tc>
                <w:tcPr>
                  <w:tcW w:w="1936" w:type="dxa"/>
                  <w:vAlign w:val="top"/>
                </w:tcPr>
                <w:p w14:paraId="3345ECB0">
                  <w:pPr>
                    <w:pStyle w:val="6"/>
                    <w:spacing w:before="171" w:line="227" w:lineRule="auto"/>
                    <w:ind w:left="657"/>
                    <w:rPr>
                      <w:sz w:val="20"/>
                      <w:szCs w:val="20"/>
                    </w:rPr>
                  </w:pPr>
                  <w:r>
                    <w:rPr>
                      <w:spacing w:val="6"/>
                      <w:sz w:val="20"/>
                      <w:szCs w:val="20"/>
                    </w:rPr>
                    <w:t>化桃箐</w:t>
                  </w:r>
                </w:p>
              </w:tc>
              <w:tc>
                <w:tcPr>
                  <w:tcW w:w="3058" w:type="dxa"/>
                  <w:vAlign w:val="top"/>
                </w:tcPr>
                <w:p w14:paraId="245DAD02">
                  <w:pPr>
                    <w:pStyle w:val="6"/>
                    <w:spacing w:before="37" w:line="231" w:lineRule="auto"/>
                    <w:ind w:left="1165" w:right="3" w:hanging="1143"/>
                    <w:rPr>
                      <w:sz w:val="20"/>
                      <w:szCs w:val="20"/>
                    </w:rPr>
                  </w:pPr>
                  <w:r>
                    <w:rPr>
                      <w:sz w:val="20"/>
                      <w:szCs w:val="20"/>
                    </w:rPr>
                    <w:t>区块</w:t>
                  </w:r>
                  <w:r>
                    <w:rPr>
                      <w:spacing w:val="-28"/>
                      <w:sz w:val="20"/>
                      <w:szCs w:val="20"/>
                    </w:rPr>
                    <w:t xml:space="preserve"> </w:t>
                  </w:r>
                  <w:r>
                    <w:rPr>
                      <w:rFonts w:ascii="Times New Roman" w:hAnsi="Times New Roman" w:eastAsia="Times New Roman" w:cs="Times New Roman"/>
                      <w:sz w:val="20"/>
                      <w:szCs w:val="20"/>
                    </w:rPr>
                    <w:t>2</w:t>
                  </w:r>
                  <w:r>
                    <w:rPr>
                      <w:rFonts w:ascii="Times New Roman" w:hAnsi="Times New Roman" w:eastAsia="Times New Roman" w:cs="Times New Roman"/>
                      <w:spacing w:val="17"/>
                      <w:sz w:val="20"/>
                      <w:szCs w:val="20"/>
                    </w:rPr>
                    <w:t xml:space="preserve"> </w:t>
                  </w:r>
                  <w:r>
                    <w:rPr>
                      <w:sz w:val="20"/>
                      <w:szCs w:val="20"/>
                    </w:rPr>
                    <w:t>西侧</w:t>
                  </w:r>
                  <w:r>
                    <w:rPr>
                      <w:spacing w:val="-39"/>
                      <w:sz w:val="20"/>
                      <w:szCs w:val="20"/>
                    </w:rPr>
                    <w:t xml:space="preserve"> </w:t>
                  </w:r>
                  <w:r>
                    <w:rPr>
                      <w:rFonts w:ascii="Times New Roman" w:hAnsi="Times New Roman" w:eastAsia="Times New Roman" w:cs="Times New Roman"/>
                      <w:sz w:val="20"/>
                      <w:szCs w:val="20"/>
                    </w:rPr>
                    <w:t>324m</w:t>
                  </w:r>
                  <w:r>
                    <w:rPr>
                      <w:rFonts w:ascii="Times New Roman" w:hAnsi="Times New Roman" w:eastAsia="Times New Roman" w:cs="Times New Roman"/>
                      <w:spacing w:val="-26"/>
                      <w:sz w:val="20"/>
                      <w:szCs w:val="20"/>
                    </w:rPr>
                    <w:t xml:space="preserve"> </w:t>
                  </w:r>
                  <w:r>
                    <w:rPr>
                      <w:sz w:val="20"/>
                      <w:szCs w:val="20"/>
                    </w:rPr>
                    <w:t>、区块</w:t>
                  </w:r>
                  <w:r>
                    <w:rPr>
                      <w:spacing w:val="-23"/>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19"/>
                      <w:sz w:val="20"/>
                      <w:szCs w:val="20"/>
                    </w:rPr>
                    <w:t xml:space="preserve"> </w:t>
                  </w:r>
                  <w:r>
                    <w:rPr>
                      <w:sz w:val="20"/>
                      <w:szCs w:val="20"/>
                    </w:rPr>
                    <w:t xml:space="preserve">东南侧 </w:t>
                  </w:r>
                  <w:r>
                    <w:rPr>
                      <w:rFonts w:ascii="Times New Roman" w:hAnsi="Times New Roman" w:eastAsia="Times New Roman" w:cs="Times New Roman"/>
                      <w:spacing w:val="2"/>
                      <w:sz w:val="20"/>
                      <w:szCs w:val="20"/>
                    </w:rPr>
                    <w:t>516m</w:t>
                  </w:r>
                  <w:r>
                    <w:rPr>
                      <w:rFonts w:ascii="Times New Roman" w:hAnsi="Times New Roman" w:eastAsia="Times New Roman" w:cs="Times New Roman"/>
                      <w:spacing w:val="16"/>
                      <w:sz w:val="20"/>
                      <w:szCs w:val="20"/>
                    </w:rPr>
                    <w:t xml:space="preserve"> </w:t>
                  </w:r>
                  <w:r>
                    <w:rPr>
                      <w:spacing w:val="2"/>
                      <w:sz w:val="20"/>
                      <w:szCs w:val="20"/>
                    </w:rPr>
                    <w:t>处</w:t>
                  </w:r>
                </w:p>
              </w:tc>
              <w:tc>
                <w:tcPr>
                  <w:tcW w:w="2372" w:type="dxa"/>
                  <w:vMerge w:val="continue"/>
                  <w:tcBorders>
                    <w:top w:val="nil"/>
                    <w:bottom w:val="nil"/>
                  </w:tcBorders>
                  <w:vAlign w:val="top"/>
                </w:tcPr>
                <w:p w14:paraId="72695B69">
                  <w:pPr>
                    <w:rPr>
                      <w:rFonts w:ascii="Arial"/>
                      <w:sz w:val="21"/>
                    </w:rPr>
                  </w:pPr>
                </w:p>
              </w:tc>
            </w:tr>
            <w:tr w14:paraId="02192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808" w:type="dxa"/>
                  <w:vMerge w:val="continue"/>
                  <w:tcBorders>
                    <w:top w:val="nil"/>
                  </w:tcBorders>
                  <w:vAlign w:val="top"/>
                </w:tcPr>
                <w:p w14:paraId="496EA572">
                  <w:pPr>
                    <w:rPr>
                      <w:rFonts w:ascii="Arial"/>
                      <w:sz w:val="21"/>
                    </w:rPr>
                  </w:pPr>
                </w:p>
              </w:tc>
              <w:tc>
                <w:tcPr>
                  <w:tcW w:w="1936" w:type="dxa"/>
                  <w:vAlign w:val="top"/>
                </w:tcPr>
                <w:p w14:paraId="3E632EDE">
                  <w:pPr>
                    <w:pStyle w:val="6"/>
                    <w:spacing w:before="116" w:line="227" w:lineRule="auto"/>
                    <w:ind w:left="454"/>
                    <w:rPr>
                      <w:sz w:val="20"/>
                      <w:szCs w:val="20"/>
                    </w:rPr>
                  </w:pPr>
                  <w:r>
                    <w:rPr>
                      <w:spacing w:val="6"/>
                      <w:sz w:val="20"/>
                      <w:szCs w:val="20"/>
                    </w:rPr>
                    <w:t>羊角水水库</w:t>
                  </w:r>
                </w:p>
              </w:tc>
              <w:tc>
                <w:tcPr>
                  <w:tcW w:w="3058" w:type="dxa"/>
                  <w:vAlign w:val="top"/>
                </w:tcPr>
                <w:p w14:paraId="0D4C2508">
                  <w:pPr>
                    <w:pStyle w:val="6"/>
                    <w:spacing w:before="117" w:line="227" w:lineRule="auto"/>
                    <w:ind w:left="733"/>
                    <w:rPr>
                      <w:sz w:val="20"/>
                      <w:szCs w:val="20"/>
                    </w:rPr>
                  </w:pPr>
                  <w:r>
                    <w:rPr>
                      <w:sz w:val="20"/>
                      <w:szCs w:val="20"/>
                    </w:rPr>
                    <w:t>区块</w:t>
                  </w:r>
                  <w:r>
                    <w:rPr>
                      <w:spacing w:val="-38"/>
                      <w:sz w:val="20"/>
                      <w:szCs w:val="20"/>
                    </w:rPr>
                    <w:t xml:space="preserve"> </w:t>
                  </w:r>
                  <w:r>
                    <w:rPr>
                      <w:rFonts w:ascii="Times New Roman" w:hAnsi="Times New Roman" w:eastAsia="Times New Roman" w:cs="Times New Roman"/>
                      <w:sz w:val="20"/>
                      <w:szCs w:val="20"/>
                    </w:rPr>
                    <w:t>7</w:t>
                  </w:r>
                  <w:r>
                    <w:rPr>
                      <w:rFonts w:ascii="Times New Roman" w:hAnsi="Times New Roman" w:eastAsia="Times New Roman" w:cs="Times New Roman"/>
                      <w:spacing w:val="14"/>
                      <w:w w:val="101"/>
                      <w:sz w:val="20"/>
                      <w:szCs w:val="20"/>
                    </w:rPr>
                    <w:t xml:space="preserve"> </w:t>
                  </w:r>
                  <w:r>
                    <w:rPr>
                      <w:sz w:val="20"/>
                      <w:szCs w:val="20"/>
                    </w:rPr>
                    <w:t>南侧</w:t>
                  </w:r>
                  <w:r>
                    <w:rPr>
                      <w:spacing w:val="-38"/>
                      <w:sz w:val="20"/>
                      <w:szCs w:val="20"/>
                    </w:rPr>
                    <w:t xml:space="preserve"> </w:t>
                  </w:r>
                  <w:r>
                    <w:rPr>
                      <w:rFonts w:ascii="Times New Roman" w:hAnsi="Times New Roman" w:eastAsia="Times New Roman" w:cs="Times New Roman"/>
                      <w:sz w:val="20"/>
                      <w:szCs w:val="20"/>
                    </w:rPr>
                    <w:t>5m</w:t>
                  </w:r>
                  <w:r>
                    <w:rPr>
                      <w:rFonts w:ascii="Times New Roman" w:hAnsi="Times New Roman" w:eastAsia="Times New Roman" w:cs="Times New Roman"/>
                      <w:spacing w:val="16"/>
                      <w:w w:val="101"/>
                      <w:sz w:val="20"/>
                      <w:szCs w:val="20"/>
                    </w:rPr>
                    <w:t xml:space="preserve"> </w:t>
                  </w:r>
                  <w:r>
                    <w:rPr>
                      <w:sz w:val="20"/>
                      <w:szCs w:val="20"/>
                    </w:rPr>
                    <w:t>处</w:t>
                  </w:r>
                </w:p>
              </w:tc>
              <w:tc>
                <w:tcPr>
                  <w:tcW w:w="2372" w:type="dxa"/>
                  <w:vMerge w:val="continue"/>
                  <w:tcBorders>
                    <w:top w:val="nil"/>
                  </w:tcBorders>
                  <w:vAlign w:val="top"/>
                </w:tcPr>
                <w:p w14:paraId="0F9784D0">
                  <w:pPr>
                    <w:rPr>
                      <w:rFonts w:ascii="Arial"/>
                      <w:sz w:val="21"/>
                    </w:rPr>
                  </w:pPr>
                </w:p>
              </w:tc>
            </w:tr>
          </w:tbl>
          <w:p w14:paraId="542E2EB3">
            <w:pPr>
              <w:spacing w:line="14" w:lineRule="auto"/>
              <w:rPr>
                <w:rFonts w:ascii="Arial"/>
                <w:sz w:val="2"/>
              </w:rPr>
            </w:pPr>
          </w:p>
        </w:tc>
      </w:tr>
      <w:tr w14:paraId="618FB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33" w:hRule="atLeast"/>
        </w:trPr>
        <w:tc>
          <w:tcPr>
            <w:tcW w:w="668" w:type="dxa"/>
            <w:tcBorders>
              <w:top w:val="single" w:color="000000" w:sz="2" w:space="0"/>
              <w:right w:val="single" w:color="000000" w:sz="2" w:space="0"/>
            </w:tcBorders>
            <w:textDirection w:val="tbRlV"/>
            <w:vAlign w:val="top"/>
          </w:tcPr>
          <w:p w14:paraId="7F72BD4E">
            <w:pPr>
              <w:pStyle w:val="6"/>
              <w:spacing w:before="214" w:line="207" w:lineRule="auto"/>
              <w:ind w:left="2732"/>
            </w:pPr>
            <w:r>
              <w:rPr>
                <w:spacing w:val="53"/>
              </w:rPr>
              <w:t>评价标准</w:t>
            </w:r>
          </w:p>
        </w:tc>
        <w:tc>
          <w:tcPr>
            <w:tcW w:w="8396" w:type="dxa"/>
            <w:tcBorders>
              <w:top w:val="single" w:color="000000" w:sz="2" w:space="0"/>
              <w:left w:val="single" w:color="000000" w:sz="2" w:space="0"/>
            </w:tcBorders>
            <w:vAlign w:val="top"/>
          </w:tcPr>
          <w:p w14:paraId="0A12C48B">
            <w:pPr>
              <w:pStyle w:val="6"/>
              <w:spacing w:before="41" w:line="220" w:lineRule="auto"/>
              <w:ind w:left="595"/>
            </w:pPr>
            <w:r>
              <w:rPr>
                <w:rFonts w:ascii="Times New Roman" w:hAnsi="Times New Roman" w:eastAsia="Times New Roman" w:cs="Times New Roman"/>
                <w:b/>
                <w:bCs/>
                <w:spacing w:val="-7"/>
              </w:rPr>
              <w:t>1</w:t>
            </w:r>
            <w:r>
              <w:rPr>
                <w:rFonts w:ascii="Times New Roman" w:hAnsi="Times New Roman" w:eastAsia="Times New Roman" w:cs="Times New Roman"/>
                <w:b/>
                <w:bCs/>
                <w:spacing w:val="-34"/>
              </w:rPr>
              <w:t xml:space="preserve"> </w:t>
            </w:r>
            <w:r>
              <w:rPr>
                <w:b/>
                <w:bCs/>
                <w:spacing w:val="-7"/>
              </w:rPr>
              <w:t>、环境质量标准</w:t>
            </w:r>
          </w:p>
          <w:p w14:paraId="16B41300">
            <w:pPr>
              <w:pStyle w:val="6"/>
              <w:spacing w:before="182" w:line="220" w:lineRule="auto"/>
              <w:ind w:left="600"/>
            </w:pPr>
            <w:r>
              <w:rPr>
                <w:b/>
                <w:bCs/>
                <w:spacing w:val="-5"/>
              </w:rPr>
              <w:t>（</w:t>
            </w:r>
            <w:r>
              <w:rPr>
                <w:rFonts w:ascii="Times New Roman" w:hAnsi="Times New Roman" w:eastAsia="Times New Roman" w:cs="Times New Roman"/>
                <w:b/>
                <w:bCs/>
                <w:spacing w:val="-5"/>
              </w:rPr>
              <w:t>1</w:t>
            </w:r>
            <w:r>
              <w:rPr>
                <w:b/>
                <w:bCs/>
                <w:spacing w:val="-5"/>
              </w:rPr>
              <w:t>）环境空气</w:t>
            </w:r>
          </w:p>
          <w:p w14:paraId="264016B4">
            <w:pPr>
              <w:pStyle w:val="6"/>
              <w:spacing w:before="178" w:line="347" w:lineRule="auto"/>
              <w:ind w:left="120" w:right="116" w:firstLine="472"/>
            </w:pPr>
            <w:r>
              <w:t>项目区属环境空气质量二类功能区，环境空气执行《环境空气</w:t>
            </w:r>
            <w:r>
              <w:rPr>
                <w:spacing w:val="-1"/>
              </w:rPr>
              <w:t>质量标准》</w:t>
            </w:r>
            <w:r>
              <w:t xml:space="preserve"> </w:t>
            </w:r>
            <w:r>
              <w:rPr>
                <w:spacing w:val="-1"/>
              </w:rPr>
              <w:t>（</w:t>
            </w:r>
            <w:r>
              <w:rPr>
                <w:rFonts w:ascii="Times New Roman" w:hAnsi="Times New Roman" w:eastAsia="Times New Roman" w:cs="Times New Roman"/>
                <w:spacing w:val="-1"/>
              </w:rPr>
              <w:t>GB3095-2012</w:t>
            </w:r>
            <w:r>
              <w:rPr>
                <w:spacing w:val="-1"/>
              </w:rPr>
              <w:t>）二级标准及修改单要求，标准值见下表。</w:t>
            </w:r>
          </w:p>
          <w:p w14:paraId="7F0E4421">
            <w:pPr>
              <w:pStyle w:val="6"/>
              <w:spacing w:before="27" w:line="224" w:lineRule="auto"/>
              <w:ind w:left="2715"/>
              <w:rPr>
                <w:sz w:val="20"/>
                <w:szCs w:val="20"/>
              </w:rPr>
            </w:pPr>
            <w:r>
              <w:rPr>
                <w:b/>
                <w:bCs/>
                <w:spacing w:val="5"/>
                <w:sz w:val="20"/>
                <w:szCs w:val="20"/>
              </w:rPr>
              <w:t>表</w:t>
            </w:r>
            <w:r>
              <w:rPr>
                <w:spacing w:val="-29"/>
                <w:sz w:val="20"/>
                <w:szCs w:val="20"/>
              </w:rPr>
              <w:t xml:space="preserve"> </w:t>
            </w:r>
            <w:r>
              <w:rPr>
                <w:rFonts w:ascii="Times New Roman" w:hAnsi="Times New Roman" w:eastAsia="Times New Roman" w:cs="Times New Roman"/>
                <w:b/>
                <w:bCs/>
                <w:spacing w:val="5"/>
                <w:sz w:val="20"/>
                <w:szCs w:val="20"/>
              </w:rPr>
              <w:t xml:space="preserve">3-12    </w:t>
            </w:r>
            <w:r>
              <w:rPr>
                <w:b/>
                <w:bCs/>
                <w:spacing w:val="5"/>
                <w:sz w:val="20"/>
                <w:szCs w:val="20"/>
              </w:rPr>
              <w:t>环境空气质量标准限值</w:t>
            </w:r>
          </w:p>
          <w:tbl>
            <w:tblPr>
              <w:tblStyle w:val="5"/>
              <w:tblW w:w="8171"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8"/>
              <w:gridCol w:w="649"/>
              <w:gridCol w:w="642"/>
              <w:gridCol w:w="703"/>
              <w:gridCol w:w="738"/>
              <w:gridCol w:w="750"/>
              <w:gridCol w:w="787"/>
              <w:gridCol w:w="2534"/>
            </w:tblGrid>
            <w:tr w14:paraId="68620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68" w:type="dxa"/>
                  <w:vAlign w:val="top"/>
                </w:tcPr>
                <w:p w14:paraId="77FC1AB2">
                  <w:pPr>
                    <w:pStyle w:val="6"/>
                    <w:spacing w:before="78" w:line="228" w:lineRule="auto"/>
                    <w:ind w:left="271"/>
                    <w:rPr>
                      <w:sz w:val="20"/>
                      <w:szCs w:val="20"/>
                    </w:rPr>
                  </w:pPr>
                  <w:r>
                    <w:rPr>
                      <w:b/>
                      <w:bCs/>
                      <w:spacing w:val="5"/>
                      <w:sz w:val="20"/>
                      <w:szCs w:val="20"/>
                    </w:rPr>
                    <w:t>取值时间</w:t>
                  </w:r>
                </w:p>
              </w:tc>
              <w:tc>
                <w:tcPr>
                  <w:tcW w:w="649" w:type="dxa"/>
                  <w:vAlign w:val="top"/>
                </w:tcPr>
                <w:p w14:paraId="4C1E8EDF">
                  <w:pPr>
                    <w:spacing w:before="114" w:line="195" w:lineRule="auto"/>
                    <w:ind w:left="13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TSP</w:t>
                  </w:r>
                </w:p>
              </w:tc>
              <w:tc>
                <w:tcPr>
                  <w:tcW w:w="642" w:type="dxa"/>
                  <w:vAlign w:val="top"/>
                </w:tcPr>
                <w:p w14:paraId="44A23E4D">
                  <w:pPr>
                    <w:spacing w:before="114" w:line="202" w:lineRule="auto"/>
                    <w:ind w:left="153"/>
                    <w:rPr>
                      <w:rFonts w:ascii="Times New Roman" w:hAnsi="Times New Roman" w:eastAsia="Times New Roman" w:cs="Times New Roman"/>
                      <w:sz w:val="13"/>
                      <w:szCs w:val="13"/>
                    </w:rPr>
                  </w:pPr>
                  <w:r>
                    <w:rPr>
                      <w:rFonts w:ascii="Times New Roman" w:hAnsi="Times New Roman" w:eastAsia="Times New Roman" w:cs="Times New Roman"/>
                      <w:b/>
                      <w:bCs/>
                      <w:sz w:val="20"/>
                      <w:szCs w:val="20"/>
                    </w:rPr>
                    <w:t>SO</w:t>
                  </w:r>
                  <w:r>
                    <w:rPr>
                      <w:rFonts w:ascii="Times New Roman" w:hAnsi="Times New Roman" w:eastAsia="Times New Roman" w:cs="Times New Roman"/>
                      <w:b/>
                      <w:bCs/>
                      <w:spacing w:val="6"/>
                      <w:position w:val="-1"/>
                      <w:sz w:val="13"/>
                      <w:szCs w:val="13"/>
                    </w:rPr>
                    <w:t>2</w:t>
                  </w:r>
                </w:p>
              </w:tc>
              <w:tc>
                <w:tcPr>
                  <w:tcW w:w="703" w:type="dxa"/>
                  <w:vAlign w:val="top"/>
                </w:tcPr>
                <w:p w14:paraId="7E90221B">
                  <w:pPr>
                    <w:spacing w:before="114" w:line="202" w:lineRule="auto"/>
                    <w:ind w:left="158"/>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NO</w:t>
                  </w:r>
                  <w:r>
                    <w:rPr>
                      <w:rFonts w:ascii="Times New Roman" w:hAnsi="Times New Roman" w:eastAsia="Times New Roman" w:cs="Times New Roman"/>
                      <w:b/>
                      <w:bCs/>
                      <w:spacing w:val="14"/>
                      <w:position w:val="-1"/>
                      <w:sz w:val="13"/>
                      <w:szCs w:val="13"/>
                    </w:rPr>
                    <w:t>2</w:t>
                  </w:r>
                </w:p>
              </w:tc>
              <w:tc>
                <w:tcPr>
                  <w:tcW w:w="738" w:type="dxa"/>
                  <w:vAlign w:val="top"/>
                </w:tcPr>
                <w:p w14:paraId="6774C937">
                  <w:pPr>
                    <w:spacing w:before="117" w:line="199" w:lineRule="auto"/>
                    <w:ind w:left="139"/>
                    <w:rPr>
                      <w:rFonts w:ascii="Times New Roman" w:hAnsi="Times New Roman" w:eastAsia="Times New Roman" w:cs="Times New Roman"/>
                      <w:sz w:val="13"/>
                      <w:szCs w:val="13"/>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9"/>
                      <w:position w:val="-1"/>
                      <w:sz w:val="13"/>
                      <w:szCs w:val="13"/>
                    </w:rPr>
                    <w:t>10</w:t>
                  </w:r>
                </w:p>
              </w:tc>
              <w:tc>
                <w:tcPr>
                  <w:tcW w:w="750" w:type="dxa"/>
                  <w:vAlign w:val="top"/>
                </w:tcPr>
                <w:p w14:paraId="59E9411E">
                  <w:pPr>
                    <w:spacing w:before="117" w:line="199" w:lineRule="auto"/>
                    <w:ind w:left="128"/>
                    <w:rPr>
                      <w:rFonts w:ascii="Times New Roman" w:hAnsi="Times New Roman" w:eastAsia="Times New Roman" w:cs="Times New Roman"/>
                      <w:sz w:val="13"/>
                      <w:szCs w:val="13"/>
                    </w:rPr>
                  </w:pPr>
                  <w:r>
                    <w:rPr>
                      <w:rFonts w:ascii="Times New Roman" w:hAnsi="Times New Roman" w:eastAsia="Times New Roman" w:cs="Times New Roman"/>
                      <w:b/>
                      <w:bCs/>
                      <w:sz w:val="20"/>
                      <w:szCs w:val="20"/>
                    </w:rPr>
                    <w:t>PM</w:t>
                  </w:r>
                  <w:r>
                    <w:rPr>
                      <w:rFonts w:ascii="Times New Roman" w:hAnsi="Times New Roman" w:eastAsia="Times New Roman" w:cs="Times New Roman"/>
                      <w:b/>
                      <w:bCs/>
                      <w:spacing w:val="6"/>
                      <w:position w:val="-1"/>
                      <w:sz w:val="13"/>
                      <w:szCs w:val="13"/>
                    </w:rPr>
                    <w:t>2.5</w:t>
                  </w:r>
                </w:p>
              </w:tc>
              <w:tc>
                <w:tcPr>
                  <w:tcW w:w="787" w:type="dxa"/>
                  <w:vAlign w:val="top"/>
                </w:tcPr>
                <w:p w14:paraId="1AF6A361">
                  <w:pPr>
                    <w:spacing w:before="114" w:line="195" w:lineRule="auto"/>
                    <w:ind w:left="24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CO</w:t>
                  </w:r>
                </w:p>
              </w:tc>
              <w:tc>
                <w:tcPr>
                  <w:tcW w:w="2534" w:type="dxa"/>
                  <w:vAlign w:val="top"/>
                </w:tcPr>
                <w:p w14:paraId="2F6E400F">
                  <w:pPr>
                    <w:spacing w:before="114" w:line="202" w:lineRule="auto"/>
                    <w:ind w:left="1157"/>
                    <w:rPr>
                      <w:rFonts w:ascii="Times New Roman" w:hAnsi="Times New Roman" w:eastAsia="Times New Roman" w:cs="Times New Roman"/>
                      <w:sz w:val="13"/>
                      <w:szCs w:val="13"/>
                    </w:rPr>
                  </w:pPr>
                  <w:r>
                    <w:rPr>
                      <w:rFonts w:ascii="Times New Roman" w:hAnsi="Times New Roman" w:eastAsia="Times New Roman" w:cs="Times New Roman"/>
                      <w:b/>
                      <w:bCs/>
                      <w:spacing w:val="1"/>
                      <w:sz w:val="20"/>
                      <w:szCs w:val="20"/>
                    </w:rPr>
                    <w:t>O</w:t>
                  </w:r>
                  <w:r>
                    <w:rPr>
                      <w:rFonts w:ascii="Times New Roman" w:hAnsi="Times New Roman" w:eastAsia="Times New Roman" w:cs="Times New Roman"/>
                      <w:b/>
                      <w:bCs/>
                      <w:spacing w:val="1"/>
                      <w:position w:val="-1"/>
                      <w:sz w:val="13"/>
                      <w:szCs w:val="13"/>
                    </w:rPr>
                    <w:t>3</w:t>
                  </w:r>
                </w:p>
              </w:tc>
            </w:tr>
            <w:tr w14:paraId="454DB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68" w:type="dxa"/>
                  <w:vAlign w:val="top"/>
                </w:tcPr>
                <w:p w14:paraId="632D697F">
                  <w:pPr>
                    <w:pStyle w:val="6"/>
                    <w:spacing w:before="75" w:line="228" w:lineRule="auto"/>
                    <w:ind w:left="375"/>
                    <w:rPr>
                      <w:sz w:val="20"/>
                      <w:szCs w:val="20"/>
                    </w:rPr>
                  </w:pPr>
                  <w:r>
                    <w:rPr>
                      <w:spacing w:val="6"/>
                      <w:sz w:val="20"/>
                      <w:szCs w:val="20"/>
                    </w:rPr>
                    <w:t>年平均</w:t>
                  </w:r>
                </w:p>
              </w:tc>
              <w:tc>
                <w:tcPr>
                  <w:tcW w:w="649" w:type="dxa"/>
                  <w:vAlign w:val="top"/>
                </w:tcPr>
                <w:p w14:paraId="7CA3676A">
                  <w:pPr>
                    <w:spacing w:before="111"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642" w:type="dxa"/>
                  <w:vAlign w:val="top"/>
                </w:tcPr>
                <w:p w14:paraId="370A2FB9">
                  <w:pPr>
                    <w:spacing w:before="111"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03" w:type="dxa"/>
                  <w:vAlign w:val="top"/>
                </w:tcPr>
                <w:p w14:paraId="41706785">
                  <w:pPr>
                    <w:spacing w:before="111"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38" w:type="dxa"/>
                  <w:vAlign w:val="top"/>
                </w:tcPr>
                <w:p w14:paraId="05171B3C">
                  <w:pPr>
                    <w:spacing w:before="11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750" w:type="dxa"/>
                  <w:vAlign w:val="top"/>
                </w:tcPr>
                <w:p w14:paraId="3786B6F3">
                  <w:pPr>
                    <w:spacing w:before="11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787" w:type="dxa"/>
                  <w:vAlign w:val="top"/>
                </w:tcPr>
                <w:p w14:paraId="6D440D80">
                  <w:pPr>
                    <w:spacing w:before="108" w:line="199"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534" w:type="dxa"/>
                  <w:vAlign w:val="top"/>
                </w:tcPr>
                <w:p w14:paraId="0C37E907">
                  <w:pPr>
                    <w:spacing w:before="108" w:line="199" w:lineRule="auto"/>
                    <w:ind w:left="1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6E56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68" w:type="dxa"/>
                  <w:vAlign w:val="top"/>
                </w:tcPr>
                <w:p w14:paraId="2897C2C1">
                  <w:pPr>
                    <w:pStyle w:val="6"/>
                    <w:spacing w:before="77" w:line="228" w:lineRule="auto"/>
                    <w:ind w:left="133"/>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22"/>
                      <w:sz w:val="20"/>
                      <w:szCs w:val="20"/>
                    </w:rPr>
                    <w:t xml:space="preserve"> </w:t>
                  </w:r>
                  <w:r>
                    <w:rPr>
                      <w:spacing w:val="4"/>
                      <w:sz w:val="20"/>
                      <w:szCs w:val="20"/>
                    </w:rPr>
                    <w:t>小时平均</w:t>
                  </w:r>
                </w:p>
              </w:tc>
              <w:tc>
                <w:tcPr>
                  <w:tcW w:w="649" w:type="dxa"/>
                  <w:vAlign w:val="top"/>
                </w:tcPr>
                <w:p w14:paraId="0E5B848D">
                  <w:pPr>
                    <w:spacing w:before="113"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642" w:type="dxa"/>
                  <w:vAlign w:val="top"/>
                </w:tcPr>
                <w:p w14:paraId="5B325D8D">
                  <w:pPr>
                    <w:spacing w:before="113"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03" w:type="dxa"/>
                  <w:vAlign w:val="top"/>
                </w:tcPr>
                <w:p w14:paraId="79B97D4C">
                  <w:pPr>
                    <w:spacing w:before="113"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738" w:type="dxa"/>
                  <w:vAlign w:val="top"/>
                </w:tcPr>
                <w:p w14:paraId="0E91CFBC">
                  <w:pPr>
                    <w:spacing w:before="11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750" w:type="dxa"/>
                  <w:vAlign w:val="top"/>
                </w:tcPr>
                <w:p w14:paraId="2DC8FACE">
                  <w:pPr>
                    <w:spacing w:before="116" w:line="192"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787" w:type="dxa"/>
                  <w:vAlign w:val="top"/>
                </w:tcPr>
                <w:p w14:paraId="7110335A">
                  <w:pPr>
                    <w:spacing w:before="113"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2534" w:type="dxa"/>
                  <w:vAlign w:val="top"/>
                </w:tcPr>
                <w:p w14:paraId="633269F3">
                  <w:pPr>
                    <w:pStyle w:val="6"/>
                    <w:spacing w:before="77" w:line="228" w:lineRule="auto"/>
                    <w:ind w:right="20"/>
                    <w:jc w:val="right"/>
                    <w:rPr>
                      <w:sz w:val="20"/>
                      <w:szCs w:val="20"/>
                    </w:rPr>
                  </w:pPr>
                  <w:r>
                    <w:rPr>
                      <w:rFonts w:ascii="Times New Roman" w:hAnsi="Times New Roman" w:eastAsia="Times New Roman" w:cs="Times New Roman"/>
                      <w:spacing w:val="3"/>
                      <w:sz w:val="20"/>
                      <w:szCs w:val="20"/>
                    </w:rPr>
                    <w:t>160</w:t>
                  </w:r>
                  <w:r>
                    <w:rPr>
                      <w:spacing w:val="3"/>
                      <w:sz w:val="20"/>
                      <w:szCs w:val="20"/>
                    </w:rPr>
                    <w:t>（日最大</w:t>
                  </w:r>
                  <w:r>
                    <w:rPr>
                      <w:spacing w:val="-32"/>
                      <w:sz w:val="20"/>
                      <w:szCs w:val="20"/>
                    </w:rPr>
                    <w:t xml:space="preserve"> </w:t>
                  </w:r>
                  <w:r>
                    <w:rPr>
                      <w:rFonts w:ascii="Times New Roman" w:hAnsi="Times New Roman" w:eastAsia="Times New Roman" w:cs="Times New Roman"/>
                      <w:spacing w:val="3"/>
                      <w:sz w:val="20"/>
                      <w:szCs w:val="20"/>
                    </w:rPr>
                    <w:t>8</w:t>
                  </w:r>
                  <w:r>
                    <w:rPr>
                      <w:rFonts w:ascii="Times New Roman" w:hAnsi="Times New Roman" w:eastAsia="Times New Roman" w:cs="Times New Roman"/>
                      <w:spacing w:val="18"/>
                      <w:w w:val="101"/>
                      <w:sz w:val="20"/>
                      <w:szCs w:val="20"/>
                    </w:rPr>
                    <w:t xml:space="preserve"> </w:t>
                  </w:r>
                  <w:r>
                    <w:rPr>
                      <w:spacing w:val="3"/>
                      <w:sz w:val="20"/>
                      <w:szCs w:val="20"/>
                    </w:rPr>
                    <w:t>小时平均）</w:t>
                  </w:r>
                </w:p>
              </w:tc>
            </w:tr>
            <w:tr w14:paraId="5B090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68" w:type="dxa"/>
                  <w:vAlign w:val="top"/>
                </w:tcPr>
                <w:p w14:paraId="54B3F8ED">
                  <w:pPr>
                    <w:pStyle w:val="6"/>
                    <w:spacing w:before="76" w:line="228" w:lineRule="auto"/>
                    <w:ind w:left="206"/>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20"/>
                      <w:w w:val="101"/>
                      <w:sz w:val="20"/>
                      <w:szCs w:val="20"/>
                    </w:rPr>
                    <w:t xml:space="preserve"> </w:t>
                  </w:r>
                  <w:r>
                    <w:rPr>
                      <w:sz w:val="20"/>
                      <w:szCs w:val="20"/>
                    </w:rPr>
                    <w:t>小时平均</w:t>
                  </w:r>
                </w:p>
              </w:tc>
              <w:tc>
                <w:tcPr>
                  <w:tcW w:w="649" w:type="dxa"/>
                  <w:vAlign w:val="top"/>
                </w:tcPr>
                <w:p w14:paraId="3925E0FD">
                  <w:pPr>
                    <w:spacing w:before="108" w:line="199"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42" w:type="dxa"/>
                  <w:vAlign w:val="top"/>
                </w:tcPr>
                <w:p w14:paraId="5C240ABD">
                  <w:pPr>
                    <w:spacing w:before="11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703" w:type="dxa"/>
                  <w:vAlign w:val="top"/>
                </w:tcPr>
                <w:p w14:paraId="08D376C1">
                  <w:pPr>
                    <w:spacing w:before="112"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38" w:type="dxa"/>
                  <w:vAlign w:val="top"/>
                </w:tcPr>
                <w:p w14:paraId="284DD34B">
                  <w:pPr>
                    <w:spacing w:before="108" w:line="199"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50" w:type="dxa"/>
                  <w:vAlign w:val="top"/>
                </w:tcPr>
                <w:p w14:paraId="4E73C6F9">
                  <w:pPr>
                    <w:spacing w:before="108" w:line="199"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7" w:type="dxa"/>
                  <w:vAlign w:val="top"/>
                </w:tcPr>
                <w:p w14:paraId="745AFB3D">
                  <w:pPr>
                    <w:spacing w:before="112" w:line="195"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2534" w:type="dxa"/>
                  <w:vAlign w:val="top"/>
                </w:tcPr>
                <w:p w14:paraId="6FB2BEE9">
                  <w:pPr>
                    <w:spacing w:before="112"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bl>
          <w:p w14:paraId="1F957B15">
            <w:pPr>
              <w:pStyle w:val="6"/>
              <w:spacing w:before="35" w:line="219" w:lineRule="auto"/>
              <w:ind w:left="600"/>
            </w:pPr>
            <w:r>
              <w:rPr>
                <w:b/>
                <w:bCs/>
                <w:spacing w:val="-6"/>
              </w:rPr>
              <w:t>（</w:t>
            </w:r>
            <w:r>
              <w:rPr>
                <w:rFonts w:ascii="Times New Roman" w:hAnsi="Times New Roman" w:eastAsia="Times New Roman" w:cs="Times New Roman"/>
                <w:b/>
                <w:bCs/>
                <w:spacing w:val="-6"/>
              </w:rPr>
              <w:t>2</w:t>
            </w:r>
            <w:r>
              <w:rPr>
                <w:b/>
                <w:bCs/>
                <w:spacing w:val="-6"/>
              </w:rPr>
              <w:t>）地表水</w:t>
            </w:r>
          </w:p>
          <w:p w14:paraId="7E444D12">
            <w:pPr>
              <w:pStyle w:val="6"/>
              <w:spacing w:before="181" w:line="354" w:lineRule="auto"/>
              <w:ind w:left="108" w:right="102" w:firstLine="484"/>
              <w:jc w:val="both"/>
            </w:pPr>
            <w:r>
              <w:rPr>
                <w:spacing w:val="-1"/>
              </w:rPr>
              <w:t>项目涉及的地表水体为化桃箐，化桃箐汇入牛栏江，属于长江流域金沙江</w:t>
            </w:r>
            <w:r>
              <w:rPr>
                <w:spacing w:val="17"/>
              </w:rPr>
              <w:t xml:space="preserve"> </w:t>
            </w:r>
            <w:r>
              <w:t>水系牛栏江左岸一级支流。根据《牛栏江流域（云南部</w:t>
            </w:r>
            <w:r>
              <w:rPr>
                <w:spacing w:val="-1"/>
              </w:rPr>
              <w:t>分）水环境保护规划报</w:t>
            </w:r>
            <w:r>
              <w:t xml:space="preserve"> </w:t>
            </w:r>
            <w:r>
              <w:rPr>
                <w:spacing w:val="-3"/>
              </w:rPr>
              <w:t>告（</w:t>
            </w:r>
            <w:r>
              <w:rPr>
                <w:rFonts w:ascii="Times New Roman" w:hAnsi="Times New Roman" w:eastAsia="Times New Roman" w:cs="Times New Roman"/>
                <w:spacing w:val="-3"/>
              </w:rPr>
              <w:t xml:space="preserve">2009-2030 </w:t>
            </w:r>
            <w:r>
              <w:rPr>
                <w:spacing w:val="-3"/>
              </w:rPr>
              <w:t>年）》和《云南省牛栏江保护条例》（云南省第十</w:t>
            </w:r>
            <w:r>
              <w:rPr>
                <w:spacing w:val="-4"/>
              </w:rPr>
              <w:t>一届人民代表</w:t>
            </w:r>
            <w:r>
              <w:t xml:space="preserve"> </w:t>
            </w:r>
            <w:r>
              <w:rPr>
                <w:spacing w:val="-4"/>
              </w:rPr>
              <w:t>大会常务委员会公告第</w:t>
            </w:r>
            <w:r>
              <w:rPr>
                <w:spacing w:val="-41"/>
              </w:rPr>
              <w:t xml:space="preserve"> </w:t>
            </w:r>
            <w:r>
              <w:rPr>
                <w:rFonts w:ascii="Times New Roman" w:hAnsi="Times New Roman" w:eastAsia="Times New Roman" w:cs="Times New Roman"/>
                <w:spacing w:val="-4"/>
              </w:rPr>
              <w:t>68</w:t>
            </w:r>
            <w:r>
              <w:rPr>
                <w:rFonts w:ascii="Times New Roman" w:hAnsi="Times New Roman" w:eastAsia="Times New Roman" w:cs="Times New Roman"/>
                <w:spacing w:val="15"/>
              </w:rPr>
              <w:t xml:space="preserve"> </w:t>
            </w:r>
            <w:r>
              <w:rPr>
                <w:spacing w:val="-4"/>
              </w:rPr>
              <w:t>号公布）总则第八条，牛栏江流域水体水质执行《地</w:t>
            </w:r>
            <w:r>
              <w:t xml:space="preserve"> </w:t>
            </w:r>
            <w:r>
              <w:rPr>
                <w:spacing w:val="-1"/>
              </w:rPr>
              <w:t>表水环境质量标准》（</w:t>
            </w:r>
            <w:r>
              <w:rPr>
                <w:rFonts w:ascii="Times New Roman" w:hAnsi="Times New Roman" w:eastAsia="Times New Roman" w:cs="Times New Roman"/>
                <w:spacing w:val="-1"/>
              </w:rPr>
              <w:t>GB3838-2002</w:t>
            </w:r>
            <w:r>
              <w:rPr>
                <w:spacing w:val="-1"/>
              </w:rPr>
              <w:t>）Ⅲ类水标准。</w:t>
            </w:r>
          </w:p>
          <w:p w14:paraId="6FE9D264">
            <w:pPr>
              <w:pStyle w:val="6"/>
              <w:spacing w:before="31" w:line="215" w:lineRule="auto"/>
              <w:ind w:left="2055"/>
              <w:rPr>
                <w:rFonts w:ascii="Times New Roman" w:hAnsi="Times New Roman" w:eastAsia="Times New Roman" w:cs="Times New Roman"/>
                <w:sz w:val="20"/>
                <w:szCs w:val="20"/>
              </w:rPr>
            </w:pPr>
            <w:r>
              <w:rPr>
                <w:b/>
                <w:bCs/>
                <w:spacing w:val="6"/>
                <w:sz w:val="20"/>
                <w:szCs w:val="20"/>
              </w:rPr>
              <w:t>表</w:t>
            </w:r>
            <w:r>
              <w:rPr>
                <w:spacing w:val="-42"/>
                <w:sz w:val="20"/>
                <w:szCs w:val="20"/>
              </w:rPr>
              <w:t xml:space="preserve"> </w:t>
            </w:r>
            <w:r>
              <w:rPr>
                <w:rFonts w:ascii="Times New Roman" w:hAnsi="Times New Roman" w:eastAsia="Times New Roman" w:cs="Times New Roman"/>
                <w:b/>
                <w:bCs/>
                <w:spacing w:val="6"/>
                <w:sz w:val="20"/>
                <w:szCs w:val="20"/>
              </w:rPr>
              <w:t xml:space="preserve">3-13      </w:t>
            </w:r>
            <w:r>
              <w:rPr>
                <w:b/>
                <w:bCs/>
                <w:spacing w:val="6"/>
                <w:sz w:val="20"/>
                <w:szCs w:val="20"/>
              </w:rPr>
              <w:t>地表水环境质量标准</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/L</w:t>
            </w:r>
          </w:p>
        </w:tc>
      </w:tr>
    </w:tbl>
    <w:p w14:paraId="6B0D4770">
      <w:pPr>
        <w:rPr>
          <w:rFonts w:ascii="Arial"/>
          <w:sz w:val="21"/>
        </w:rPr>
      </w:pPr>
    </w:p>
    <w:p w14:paraId="779A406D">
      <w:pPr>
        <w:rPr>
          <w:rFonts w:ascii="Arial" w:hAnsi="Arial" w:eastAsia="Arial" w:cs="Arial"/>
          <w:sz w:val="21"/>
          <w:szCs w:val="21"/>
        </w:rPr>
        <w:sectPr>
          <w:footerReference r:id="rId103" w:type="default"/>
          <w:pgSz w:w="11906" w:h="16839"/>
          <w:pgMar w:top="1431" w:right="1413" w:bottom="1278" w:left="1413" w:header="0" w:footer="1116" w:gutter="0"/>
          <w:cols w:space="720" w:num="1"/>
        </w:sectPr>
      </w:pPr>
    </w:p>
    <w:p w14:paraId="15F725D1">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6C19D56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66" w:hRule="atLeast"/>
        </w:trPr>
        <w:tc>
          <w:tcPr>
            <w:tcW w:w="9064" w:type="dxa"/>
            <w:vAlign w:val="top"/>
          </w:tcPr>
          <w:tbl>
            <w:tblPr>
              <w:tblStyle w:val="5"/>
              <w:tblW w:w="8289" w:type="dxa"/>
              <w:tblInd w:w="6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4"/>
              <w:gridCol w:w="633"/>
              <w:gridCol w:w="832"/>
              <w:gridCol w:w="628"/>
              <w:gridCol w:w="399"/>
              <w:gridCol w:w="334"/>
              <w:gridCol w:w="102"/>
              <w:gridCol w:w="1519"/>
              <w:gridCol w:w="126"/>
              <w:gridCol w:w="739"/>
              <w:gridCol w:w="208"/>
              <w:gridCol w:w="673"/>
              <w:gridCol w:w="712"/>
            </w:tblGrid>
            <w:tr w14:paraId="21DC4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384" w:type="dxa"/>
                  <w:tcBorders>
                    <w:top w:val="nil"/>
                    <w:bottom w:val="single" w:color="000000" w:sz="4" w:space="0"/>
                    <w:right w:val="single" w:color="000000" w:sz="4" w:space="0"/>
                  </w:tcBorders>
                  <w:vAlign w:val="top"/>
                </w:tcPr>
                <w:p w14:paraId="770145C3">
                  <w:pPr>
                    <w:pStyle w:val="6"/>
                    <w:spacing w:before="193" w:line="228" w:lineRule="auto"/>
                    <w:ind w:left="549"/>
                    <w:rPr>
                      <w:sz w:val="20"/>
                      <w:szCs w:val="20"/>
                    </w:rPr>
                  </w:pPr>
                  <w:r>
                    <w:rPr>
                      <w:b/>
                      <w:bCs/>
                      <w:spacing w:val="2"/>
                      <w:sz w:val="20"/>
                      <w:szCs w:val="20"/>
                    </w:rPr>
                    <w:t>项目</w:t>
                  </w:r>
                </w:p>
              </w:tc>
              <w:tc>
                <w:tcPr>
                  <w:tcW w:w="633" w:type="dxa"/>
                  <w:tcBorders>
                    <w:top w:val="nil"/>
                    <w:left w:val="single" w:color="000000" w:sz="4" w:space="0"/>
                    <w:bottom w:val="single" w:color="000000" w:sz="4" w:space="0"/>
                    <w:right w:val="single" w:color="000000" w:sz="4" w:space="0"/>
                  </w:tcBorders>
                  <w:vAlign w:val="top"/>
                </w:tcPr>
                <w:p w14:paraId="421CC8B0">
                  <w:pPr>
                    <w:spacing w:before="232" w:line="193" w:lineRule="auto"/>
                    <w:ind w:left="17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832" w:type="dxa"/>
                  <w:tcBorders>
                    <w:top w:val="nil"/>
                    <w:left w:val="single" w:color="000000" w:sz="4" w:space="0"/>
                    <w:bottom w:val="single" w:color="000000" w:sz="4" w:space="0"/>
                    <w:right w:val="single" w:color="000000" w:sz="4" w:space="0"/>
                  </w:tcBorders>
                  <w:vAlign w:val="top"/>
                </w:tcPr>
                <w:p w14:paraId="0E2AF3B5">
                  <w:pPr>
                    <w:pStyle w:val="6"/>
                    <w:spacing w:before="192" w:line="227" w:lineRule="auto"/>
                    <w:ind w:left="110"/>
                    <w:rPr>
                      <w:sz w:val="20"/>
                      <w:szCs w:val="20"/>
                    </w:rPr>
                  </w:pPr>
                  <w:r>
                    <w:rPr>
                      <w:b/>
                      <w:bCs/>
                      <w:spacing w:val="4"/>
                      <w:sz w:val="20"/>
                      <w:szCs w:val="20"/>
                    </w:rPr>
                    <w:t>溶解氧</w:t>
                  </w:r>
                </w:p>
              </w:tc>
              <w:tc>
                <w:tcPr>
                  <w:tcW w:w="628" w:type="dxa"/>
                  <w:tcBorders>
                    <w:top w:val="nil"/>
                    <w:left w:val="single" w:color="000000" w:sz="4" w:space="0"/>
                    <w:bottom w:val="single" w:color="000000" w:sz="4" w:space="0"/>
                    <w:right w:val="single" w:color="000000" w:sz="4" w:space="0"/>
                  </w:tcBorders>
                  <w:vAlign w:val="top"/>
                </w:tcPr>
                <w:p w14:paraId="3F00A4D7">
                  <w:pPr>
                    <w:spacing w:before="228" w:line="195" w:lineRule="auto"/>
                    <w:ind w:left="10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835" w:type="dxa"/>
                  <w:gridSpan w:val="3"/>
                  <w:tcBorders>
                    <w:top w:val="nil"/>
                    <w:left w:val="single" w:color="000000" w:sz="4" w:space="0"/>
                    <w:bottom w:val="single" w:color="000000" w:sz="4" w:space="0"/>
                    <w:right w:val="single" w:color="000000" w:sz="4" w:space="0"/>
                  </w:tcBorders>
                  <w:vAlign w:val="top"/>
                </w:tcPr>
                <w:p w14:paraId="44F110BA">
                  <w:pPr>
                    <w:spacing w:before="228" w:line="202" w:lineRule="auto"/>
                    <w:ind w:left="194"/>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1645" w:type="dxa"/>
                  <w:gridSpan w:val="2"/>
                  <w:tcBorders>
                    <w:top w:val="nil"/>
                    <w:left w:val="single" w:color="000000" w:sz="4" w:space="0"/>
                    <w:bottom w:val="single" w:color="000000" w:sz="4" w:space="0"/>
                    <w:right w:val="single" w:color="000000" w:sz="4" w:space="0"/>
                  </w:tcBorders>
                  <w:vAlign w:val="top"/>
                </w:tcPr>
                <w:p w14:paraId="199CC203">
                  <w:pPr>
                    <w:pStyle w:val="6"/>
                    <w:spacing w:before="193" w:line="227" w:lineRule="auto"/>
                    <w:ind w:left="225"/>
                    <w:rPr>
                      <w:sz w:val="20"/>
                      <w:szCs w:val="20"/>
                    </w:rPr>
                  </w:pPr>
                  <w:r>
                    <w:rPr>
                      <w:b/>
                      <w:bCs/>
                      <w:spacing w:val="6"/>
                      <w:sz w:val="20"/>
                      <w:szCs w:val="20"/>
                    </w:rPr>
                    <w:t>高锰酸盐指数</w:t>
                  </w:r>
                </w:p>
              </w:tc>
              <w:tc>
                <w:tcPr>
                  <w:tcW w:w="947" w:type="dxa"/>
                  <w:gridSpan w:val="2"/>
                  <w:tcBorders>
                    <w:top w:val="nil"/>
                    <w:left w:val="single" w:color="000000" w:sz="4" w:space="0"/>
                    <w:bottom w:val="single" w:color="000000" w:sz="4" w:space="0"/>
                    <w:right w:val="single" w:color="000000" w:sz="4" w:space="0"/>
                  </w:tcBorders>
                  <w:vAlign w:val="top"/>
                </w:tcPr>
                <w:p w14:paraId="2841676A">
                  <w:pPr>
                    <w:pStyle w:val="6"/>
                    <w:spacing w:before="193" w:line="227" w:lineRule="auto"/>
                    <w:ind w:left="174"/>
                    <w:rPr>
                      <w:sz w:val="20"/>
                      <w:szCs w:val="20"/>
                    </w:rPr>
                  </w:pPr>
                  <w:r>
                    <w:rPr>
                      <w:b/>
                      <w:bCs/>
                      <w:spacing w:val="5"/>
                      <w:sz w:val="20"/>
                      <w:szCs w:val="20"/>
                    </w:rPr>
                    <w:t>石油类</w:t>
                  </w:r>
                </w:p>
              </w:tc>
              <w:tc>
                <w:tcPr>
                  <w:tcW w:w="673" w:type="dxa"/>
                  <w:tcBorders>
                    <w:top w:val="nil"/>
                    <w:left w:val="single" w:color="000000" w:sz="4" w:space="0"/>
                    <w:bottom w:val="single" w:color="000000" w:sz="4" w:space="0"/>
                    <w:right w:val="single" w:color="000000" w:sz="4" w:space="0"/>
                  </w:tcBorders>
                  <w:vAlign w:val="top"/>
                </w:tcPr>
                <w:p w14:paraId="05890AE6">
                  <w:pPr>
                    <w:pStyle w:val="6"/>
                    <w:spacing w:before="192" w:line="227" w:lineRule="auto"/>
                    <w:ind w:left="157"/>
                    <w:rPr>
                      <w:sz w:val="20"/>
                      <w:szCs w:val="20"/>
                    </w:rPr>
                  </w:pPr>
                  <w:r>
                    <w:rPr>
                      <w:b/>
                      <w:bCs/>
                      <w:spacing w:val="3"/>
                      <w:sz w:val="20"/>
                      <w:szCs w:val="20"/>
                    </w:rPr>
                    <w:t>氨氮</w:t>
                  </w:r>
                </w:p>
              </w:tc>
              <w:tc>
                <w:tcPr>
                  <w:tcW w:w="712" w:type="dxa"/>
                  <w:tcBorders>
                    <w:top w:val="nil"/>
                    <w:left w:val="single" w:color="000000" w:sz="4" w:space="0"/>
                    <w:bottom w:val="single" w:color="000000" w:sz="4" w:space="0"/>
                    <w:right w:val="single" w:color="000000" w:sz="4" w:space="0"/>
                  </w:tcBorders>
                  <w:vAlign w:val="top"/>
                </w:tcPr>
                <w:p w14:paraId="7FABB4F0">
                  <w:pPr>
                    <w:pStyle w:val="6"/>
                    <w:spacing w:before="193" w:line="227" w:lineRule="auto"/>
                    <w:ind w:left="152"/>
                    <w:rPr>
                      <w:sz w:val="20"/>
                      <w:szCs w:val="20"/>
                    </w:rPr>
                  </w:pPr>
                  <w:r>
                    <w:rPr>
                      <w:b/>
                      <w:bCs/>
                      <w:spacing w:val="1"/>
                      <w:sz w:val="20"/>
                      <w:szCs w:val="20"/>
                    </w:rPr>
                    <w:t>总磷</w:t>
                  </w:r>
                </w:p>
              </w:tc>
            </w:tr>
            <w:tr w14:paraId="1CCA1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384" w:type="dxa"/>
                  <w:tcBorders>
                    <w:top w:val="single" w:color="000000" w:sz="4" w:space="0"/>
                    <w:bottom w:val="single" w:color="000000" w:sz="4" w:space="0"/>
                    <w:right w:val="single" w:color="000000" w:sz="4" w:space="0"/>
                  </w:tcBorders>
                  <w:vAlign w:val="top"/>
                </w:tcPr>
                <w:p w14:paraId="1CDC08AE">
                  <w:pPr>
                    <w:pStyle w:val="6"/>
                    <w:spacing w:before="122" w:line="227" w:lineRule="auto"/>
                    <w:ind w:left="336"/>
                    <w:rPr>
                      <w:sz w:val="20"/>
                      <w:szCs w:val="20"/>
                    </w:rPr>
                  </w:pPr>
                  <w:r>
                    <w:rPr>
                      <w:spacing w:val="7"/>
                      <w:sz w:val="20"/>
                      <w:szCs w:val="20"/>
                    </w:rPr>
                    <w:t>Ⅲ类标准</w:t>
                  </w:r>
                </w:p>
              </w:tc>
              <w:tc>
                <w:tcPr>
                  <w:tcW w:w="633" w:type="dxa"/>
                  <w:tcBorders>
                    <w:top w:val="single" w:color="000000" w:sz="4" w:space="0"/>
                    <w:left w:val="single" w:color="000000" w:sz="4" w:space="0"/>
                    <w:bottom w:val="single" w:color="000000" w:sz="4" w:space="0"/>
                    <w:right w:val="single" w:color="000000" w:sz="4" w:space="0"/>
                  </w:tcBorders>
                  <w:vAlign w:val="top"/>
                </w:tcPr>
                <w:p w14:paraId="1204CDA2">
                  <w:pPr>
                    <w:pStyle w:val="6"/>
                    <w:spacing w:before="122" w:line="264" w:lineRule="exact"/>
                    <w:ind w:left="115"/>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6</w:t>
                  </w:r>
                  <w:r>
                    <w:rPr>
                      <w:spacing w:val="4"/>
                      <w:position w:val="1"/>
                      <w:sz w:val="20"/>
                      <w:szCs w:val="20"/>
                    </w:rPr>
                    <w:t>～</w:t>
                  </w:r>
                  <w:r>
                    <w:rPr>
                      <w:rFonts w:ascii="Times New Roman" w:hAnsi="Times New Roman" w:eastAsia="Times New Roman" w:cs="Times New Roman"/>
                      <w:spacing w:val="4"/>
                      <w:position w:val="1"/>
                      <w:sz w:val="20"/>
                      <w:szCs w:val="20"/>
                    </w:rPr>
                    <w:t>9</w:t>
                  </w:r>
                </w:p>
              </w:tc>
              <w:tc>
                <w:tcPr>
                  <w:tcW w:w="832" w:type="dxa"/>
                  <w:tcBorders>
                    <w:top w:val="single" w:color="000000" w:sz="4" w:space="0"/>
                    <w:left w:val="single" w:color="000000" w:sz="4" w:space="0"/>
                    <w:bottom w:val="single" w:color="000000" w:sz="4" w:space="0"/>
                    <w:right w:val="single" w:color="000000" w:sz="4" w:space="0"/>
                  </w:tcBorders>
                  <w:vAlign w:val="top"/>
                </w:tcPr>
                <w:p w14:paraId="45214C86">
                  <w:pPr>
                    <w:spacing w:before="161" w:line="192"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p>
              </w:tc>
              <w:tc>
                <w:tcPr>
                  <w:tcW w:w="628" w:type="dxa"/>
                  <w:tcBorders>
                    <w:top w:val="single" w:color="000000" w:sz="4" w:space="0"/>
                    <w:left w:val="single" w:color="000000" w:sz="4" w:space="0"/>
                    <w:bottom w:val="single" w:color="000000" w:sz="4" w:space="0"/>
                    <w:right w:val="single" w:color="000000" w:sz="4" w:space="0"/>
                  </w:tcBorders>
                  <w:vAlign w:val="top"/>
                </w:tcPr>
                <w:p w14:paraId="3881EECE">
                  <w:pPr>
                    <w:spacing w:before="158"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835" w:type="dxa"/>
                  <w:gridSpan w:val="3"/>
                  <w:tcBorders>
                    <w:top w:val="single" w:color="000000" w:sz="4" w:space="0"/>
                    <w:left w:val="single" w:color="000000" w:sz="4" w:space="0"/>
                    <w:bottom w:val="single" w:color="000000" w:sz="4" w:space="0"/>
                    <w:right w:val="single" w:color="000000" w:sz="4" w:space="0"/>
                  </w:tcBorders>
                  <w:vAlign w:val="top"/>
                </w:tcPr>
                <w:p w14:paraId="13A904FD">
                  <w:pPr>
                    <w:spacing w:before="158"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1645" w:type="dxa"/>
                  <w:gridSpan w:val="2"/>
                  <w:tcBorders>
                    <w:top w:val="single" w:color="000000" w:sz="4" w:space="0"/>
                    <w:left w:val="single" w:color="000000" w:sz="4" w:space="0"/>
                    <w:bottom w:val="single" w:color="000000" w:sz="4" w:space="0"/>
                    <w:right w:val="single" w:color="000000" w:sz="4" w:space="0"/>
                  </w:tcBorders>
                  <w:vAlign w:val="top"/>
                </w:tcPr>
                <w:p w14:paraId="047D4AF3">
                  <w:pPr>
                    <w:spacing w:before="158" w:line="195"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p>
              </w:tc>
              <w:tc>
                <w:tcPr>
                  <w:tcW w:w="947" w:type="dxa"/>
                  <w:gridSpan w:val="2"/>
                  <w:tcBorders>
                    <w:top w:val="single" w:color="000000" w:sz="4" w:space="0"/>
                    <w:left w:val="single" w:color="000000" w:sz="4" w:space="0"/>
                    <w:bottom w:val="single" w:color="000000" w:sz="4" w:space="0"/>
                    <w:right w:val="single" w:color="000000" w:sz="4" w:space="0"/>
                  </w:tcBorders>
                  <w:vAlign w:val="top"/>
                </w:tcPr>
                <w:p w14:paraId="6B872089">
                  <w:pPr>
                    <w:spacing w:before="15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673" w:type="dxa"/>
                  <w:tcBorders>
                    <w:top w:val="single" w:color="000000" w:sz="4" w:space="0"/>
                    <w:left w:val="single" w:color="000000" w:sz="4" w:space="0"/>
                    <w:bottom w:val="single" w:color="000000" w:sz="4" w:space="0"/>
                    <w:right w:val="single" w:color="000000" w:sz="4" w:space="0"/>
                  </w:tcBorders>
                  <w:vAlign w:val="top"/>
                </w:tcPr>
                <w:p w14:paraId="5AB6813A">
                  <w:pPr>
                    <w:spacing w:before="158"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712" w:type="dxa"/>
                  <w:tcBorders>
                    <w:top w:val="single" w:color="000000" w:sz="4" w:space="0"/>
                    <w:left w:val="single" w:color="000000" w:sz="4" w:space="0"/>
                    <w:bottom w:val="single" w:color="000000" w:sz="4" w:space="0"/>
                    <w:right w:val="single" w:color="000000" w:sz="4" w:space="0"/>
                  </w:tcBorders>
                  <w:vAlign w:val="top"/>
                </w:tcPr>
                <w:p w14:paraId="75E32513">
                  <w:pPr>
                    <w:spacing w:before="158"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r>
            <w:tr w14:paraId="3FF4B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1" w:hRule="atLeast"/>
              </w:trPr>
              <w:tc>
                <w:tcPr>
                  <w:tcW w:w="8289" w:type="dxa"/>
                  <w:gridSpan w:val="13"/>
                  <w:tcBorders>
                    <w:top w:val="single" w:color="000000" w:sz="4" w:space="0"/>
                    <w:right w:val="nil"/>
                  </w:tcBorders>
                  <w:vAlign w:val="top"/>
                </w:tcPr>
                <w:p w14:paraId="7F8978B3">
                  <w:pPr>
                    <w:pStyle w:val="6"/>
                    <w:spacing w:before="34" w:line="220" w:lineRule="auto"/>
                    <w:ind w:left="608"/>
                  </w:pPr>
                  <w:r>
                    <w:rPr>
                      <w:b/>
                      <w:bCs/>
                      <w:spacing w:val="-6"/>
                    </w:rPr>
                    <w:t>（</w:t>
                  </w:r>
                  <w:r>
                    <w:rPr>
                      <w:rFonts w:ascii="Times New Roman" w:hAnsi="Times New Roman" w:eastAsia="Times New Roman" w:cs="Times New Roman"/>
                      <w:b/>
                      <w:bCs/>
                      <w:spacing w:val="-6"/>
                    </w:rPr>
                    <w:t>3</w:t>
                  </w:r>
                  <w:r>
                    <w:rPr>
                      <w:b/>
                      <w:bCs/>
                      <w:spacing w:val="-6"/>
                    </w:rPr>
                    <w:t>）声环境</w:t>
                  </w:r>
                </w:p>
                <w:p w14:paraId="217CD83B">
                  <w:pPr>
                    <w:pStyle w:val="6"/>
                    <w:spacing w:before="180" w:line="346" w:lineRule="auto"/>
                    <w:ind w:left="121" w:firstLine="479"/>
                  </w:pPr>
                  <w:r>
                    <w:t>项目区域为农村地区，结合项目特点，光伏场区、升压站声环境质量均执</w:t>
                  </w:r>
                  <w:r>
                    <w:rPr>
                      <w:spacing w:val="4"/>
                    </w:rPr>
                    <w:t xml:space="preserve"> </w:t>
                  </w:r>
                  <w:r>
                    <w:rPr>
                      <w:spacing w:val="-1"/>
                    </w:rPr>
                    <w:t>行《声环境质量标准》（</w:t>
                  </w:r>
                  <w:r>
                    <w:rPr>
                      <w:rFonts w:ascii="Times New Roman" w:hAnsi="Times New Roman" w:eastAsia="Times New Roman" w:cs="Times New Roman"/>
                      <w:spacing w:val="-1"/>
                    </w:rPr>
                    <w:t>GB3096-2008</w:t>
                  </w:r>
                  <w:r>
                    <w:rPr>
                      <w:spacing w:val="-1"/>
                    </w:rPr>
                    <w:t>）</w:t>
                  </w:r>
                  <w:r>
                    <w:rPr>
                      <w:rFonts w:ascii="Times New Roman" w:hAnsi="Times New Roman" w:eastAsia="Times New Roman" w:cs="Times New Roman"/>
                      <w:spacing w:val="-1"/>
                    </w:rPr>
                    <w:t xml:space="preserve">1 </w:t>
                  </w:r>
                  <w:r>
                    <w:rPr>
                      <w:spacing w:val="-1"/>
                    </w:rPr>
                    <w:t>类标准，标准限值见下表。</w:t>
                  </w:r>
                </w:p>
                <w:p w14:paraId="1F0B9C91">
                  <w:pPr>
                    <w:pStyle w:val="6"/>
                    <w:spacing w:before="27" w:line="215" w:lineRule="auto"/>
                    <w:ind w:left="2133"/>
                    <w:rPr>
                      <w:rFonts w:ascii="Times New Roman" w:hAnsi="Times New Roman" w:eastAsia="Times New Roman" w:cs="Times New Roman"/>
                      <w:sz w:val="20"/>
                      <w:szCs w:val="20"/>
                    </w:rPr>
                  </w:pPr>
                  <w:r>
                    <w:rPr>
                      <w:b/>
                      <w:bCs/>
                      <w:spacing w:val="6"/>
                      <w:sz w:val="20"/>
                      <w:szCs w:val="20"/>
                    </w:rPr>
                    <w:t>表</w:t>
                  </w:r>
                  <w:r>
                    <w:rPr>
                      <w:spacing w:val="-36"/>
                      <w:sz w:val="20"/>
                      <w:szCs w:val="20"/>
                    </w:rPr>
                    <w:t xml:space="preserve"> </w:t>
                  </w:r>
                  <w:r>
                    <w:rPr>
                      <w:rFonts w:ascii="Times New Roman" w:hAnsi="Times New Roman" w:eastAsia="Times New Roman" w:cs="Times New Roman"/>
                      <w:b/>
                      <w:bCs/>
                      <w:spacing w:val="6"/>
                      <w:sz w:val="20"/>
                      <w:szCs w:val="20"/>
                    </w:rPr>
                    <w:t xml:space="preserve">3-14    </w:t>
                  </w:r>
                  <w:r>
                    <w:rPr>
                      <w:b/>
                      <w:bCs/>
                      <w:spacing w:val="6"/>
                      <w:sz w:val="20"/>
                      <w:szCs w:val="20"/>
                    </w:rPr>
                    <w:t>声环境质量标准限值</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tc>
            </w:tr>
            <w:tr w14:paraId="0E981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3477" w:type="dxa"/>
                  <w:gridSpan w:val="4"/>
                  <w:vAlign w:val="top"/>
                </w:tcPr>
                <w:p w14:paraId="307E6289">
                  <w:pPr>
                    <w:pStyle w:val="6"/>
                    <w:spacing w:before="43" w:line="227" w:lineRule="auto"/>
                    <w:ind w:left="1577"/>
                    <w:rPr>
                      <w:sz w:val="20"/>
                      <w:szCs w:val="20"/>
                    </w:rPr>
                  </w:pPr>
                  <w:r>
                    <w:rPr>
                      <w:b/>
                      <w:bCs/>
                      <w:spacing w:val="3"/>
                      <w:sz w:val="20"/>
                      <w:szCs w:val="20"/>
                    </w:rPr>
                    <w:t>类别</w:t>
                  </w:r>
                </w:p>
              </w:tc>
              <w:tc>
                <w:tcPr>
                  <w:tcW w:w="2354" w:type="dxa"/>
                  <w:gridSpan w:val="4"/>
                  <w:vAlign w:val="top"/>
                </w:tcPr>
                <w:p w14:paraId="3CED0E16">
                  <w:pPr>
                    <w:pStyle w:val="6"/>
                    <w:spacing w:before="43" w:line="228" w:lineRule="auto"/>
                    <w:ind w:left="951"/>
                    <w:rPr>
                      <w:sz w:val="20"/>
                      <w:szCs w:val="20"/>
                    </w:rPr>
                  </w:pPr>
                  <w:r>
                    <w:rPr>
                      <w:b/>
                      <w:bCs/>
                      <w:spacing w:val="4"/>
                      <w:sz w:val="20"/>
                      <w:szCs w:val="20"/>
                    </w:rPr>
                    <w:t>昼间</w:t>
                  </w:r>
                </w:p>
              </w:tc>
              <w:tc>
                <w:tcPr>
                  <w:tcW w:w="2458" w:type="dxa"/>
                  <w:gridSpan w:val="5"/>
                  <w:vAlign w:val="top"/>
                </w:tcPr>
                <w:p w14:paraId="23F751D9">
                  <w:pPr>
                    <w:pStyle w:val="6"/>
                    <w:spacing w:before="43" w:line="227" w:lineRule="auto"/>
                    <w:ind w:left="1018"/>
                    <w:rPr>
                      <w:sz w:val="20"/>
                      <w:szCs w:val="20"/>
                    </w:rPr>
                  </w:pPr>
                  <w:r>
                    <w:rPr>
                      <w:b/>
                      <w:bCs/>
                      <w:spacing w:val="2"/>
                      <w:sz w:val="20"/>
                      <w:szCs w:val="20"/>
                    </w:rPr>
                    <w:t>夜间</w:t>
                  </w:r>
                </w:p>
              </w:tc>
            </w:tr>
            <w:tr w14:paraId="26A94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3477" w:type="dxa"/>
                  <w:gridSpan w:val="4"/>
                  <w:vAlign w:val="top"/>
                </w:tcPr>
                <w:p w14:paraId="162F889A">
                  <w:pPr>
                    <w:pStyle w:val="6"/>
                    <w:spacing w:before="42" w:line="227" w:lineRule="auto"/>
                    <w:ind w:left="1622"/>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 xml:space="preserve"> </w:t>
                  </w:r>
                  <w:r>
                    <w:rPr>
                      <w:spacing w:val="-10"/>
                      <w:sz w:val="20"/>
                      <w:szCs w:val="20"/>
                    </w:rPr>
                    <w:t>类</w:t>
                  </w:r>
                </w:p>
              </w:tc>
              <w:tc>
                <w:tcPr>
                  <w:tcW w:w="2354" w:type="dxa"/>
                  <w:gridSpan w:val="4"/>
                  <w:vAlign w:val="top"/>
                </w:tcPr>
                <w:p w14:paraId="5D1F5F60">
                  <w:pPr>
                    <w:spacing w:before="83" w:line="192" w:lineRule="auto"/>
                    <w:ind w:left="105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458" w:type="dxa"/>
                  <w:gridSpan w:val="5"/>
                  <w:vAlign w:val="top"/>
                </w:tcPr>
                <w:p w14:paraId="1652F1B7">
                  <w:pPr>
                    <w:spacing w:before="80" w:line="195" w:lineRule="auto"/>
                    <w:ind w:left="1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2883C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7" w:hRule="atLeast"/>
              </w:trPr>
              <w:tc>
                <w:tcPr>
                  <w:tcW w:w="8289" w:type="dxa"/>
                  <w:gridSpan w:val="13"/>
                  <w:tcBorders>
                    <w:right w:val="nil"/>
                  </w:tcBorders>
                  <w:vAlign w:val="top"/>
                </w:tcPr>
                <w:p w14:paraId="09804A92">
                  <w:pPr>
                    <w:pStyle w:val="6"/>
                    <w:spacing w:before="34" w:line="220" w:lineRule="auto"/>
                    <w:ind w:left="608"/>
                  </w:pPr>
                  <w:r>
                    <w:rPr>
                      <w:spacing w:val="-3"/>
                    </w:rPr>
                    <w:t>（</w:t>
                  </w:r>
                  <w:r>
                    <w:rPr>
                      <w:rFonts w:ascii="Times New Roman" w:hAnsi="Times New Roman" w:eastAsia="Times New Roman" w:cs="Times New Roman"/>
                      <w:spacing w:val="-3"/>
                    </w:rPr>
                    <w:t>4</w:t>
                  </w:r>
                  <w:r>
                    <w:rPr>
                      <w:spacing w:val="-3"/>
                    </w:rPr>
                    <w:t>）电磁环境</w:t>
                  </w:r>
                </w:p>
                <w:p w14:paraId="59F543D3">
                  <w:pPr>
                    <w:pStyle w:val="6"/>
                    <w:spacing w:before="178" w:line="353" w:lineRule="auto"/>
                    <w:ind w:left="117" w:firstLine="502"/>
                  </w:pPr>
                  <w:r>
                    <w:rPr>
                      <w:spacing w:val="-5"/>
                    </w:rPr>
                    <w:t>电磁辐射按照《电磁环境控制限值》（</w:t>
                  </w:r>
                  <w:r>
                    <w:rPr>
                      <w:rFonts w:ascii="Times New Roman" w:hAnsi="Times New Roman" w:eastAsia="Times New Roman" w:cs="Times New Roman"/>
                      <w:spacing w:val="-5"/>
                    </w:rPr>
                    <w:t>GB8702-2014</w:t>
                  </w:r>
                  <w:r>
                    <w:rPr>
                      <w:spacing w:val="-5"/>
                    </w:rPr>
                    <w:t>）的限值要求，电场、</w:t>
                  </w:r>
                  <w:r>
                    <w:rPr>
                      <w:spacing w:val="1"/>
                    </w:rPr>
                    <w:t xml:space="preserve"> </w:t>
                  </w:r>
                  <w:r>
                    <w:rPr>
                      <w:spacing w:val="-4"/>
                    </w:rPr>
                    <w:t>磁场公众曝露控制限值与电磁场频率（</w:t>
                  </w:r>
                  <w:r>
                    <w:rPr>
                      <w:rFonts w:ascii="Times New Roman" w:hAnsi="Times New Roman" w:eastAsia="Times New Roman" w:cs="Times New Roman"/>
                      <w:spacing w:val="-4"/>
                    </w:rPr>
                    <w:t>f</w:t>
                  </w:r>
                  <w:r>
                    <w:rPr>
                      <w:spacing w:val="-4"/>
                    </w:rPr>
                    <w:t>，单位为</w:t>
                  </w:r>
                  <w:r>
                    <w:rPr>
                      <w:spacing w:val="-45"/>
                    </w:rPr>
                    <w:t xml:space="preserve"> </w:t>
                  </w:r>
                  <w:r>
                    <w:rPr>
                      <w:rFonts w:ascii="Times New Roman" w:hAnsi="Times New Roman" w:eastAsia="Times New Roman" w:cs="Times New Roman"/>
                      <w:spacing w:val="-4"/>
                    </w:rPr>
                    <w:t>kHz</w:t>
                  </w:r>
                  <w:r>
                    <w:rPr>
                      <w:spacing w:val="-4"/>
                    </w:rPr>
                    <w:t>）有关，我国交流输变电</w:t>
                  </w:r>
                  <w:r>
                    <w:t xml:space="preserve"> </w:t>
                  </w:r>
                  <w:r>
                    <w:rPr>
                      <w:spacing w:val="-1"/>
                    </w:rPr>
                    <w:t>工程工作频率为</w:t>
                  </w:r>
                  <w:r>
                    <w:rPr>
                      <w:spacing w:val="-48"/>
                    </w:rPr>
                    <w:t xml:space="preserve"> </w:t>
                  </w:r>
                  <w:r>
                    <w:rPr>
                      <w:rFonts w:ascii="Times New Roman" w:hAnsi="Times New Roman" w:eastAsia="Times New Roman" w:cs="Times New Roman"/>
                      <w:spacing w:val="-1"/>
                    </w:rPr>
                    <w:t>0.05kHz</w:t>
                  </w:r>
                  <w:r>
                    <w:rPr>
                      <w:rFonts w:ascii="Times New Roman" w:hAnsi="Times New Roman" w:eastAsia="Times New Roman" w:cs="Times New Roman"/>
                      <w:spacing w:val="-27"/>
                    </w:rPr>
                    <w:t xml:space="preserve"> </w:t>
                  </w:r>
                  <w:r>
                    <w:rPr>
                      <w:spacing w:val="-1"/>
                    </w:rPr>
                    <w:t>，本项目电磁环境控制限值计算表及导出控制限值见</w:t>
                  </w:r>
                  <w:r>
                    <w:t xml:space="preserve"> </w:t>
                  </w:r>
                  <w:r>
                    <w:rPr>
                      <w:spacing w:val="-5"/>
                    </w:rPr>
                    <w:t>下表。</w:t>
                  </w:r>
                </w:p>
                <w:p w14:paraId="091DEA5E">
                  <w:pPr>
                    <w:pStyle w:val="6"/>
                    <w:spacing w:before="29" w:line="216" w:lineRule="auto"/>
                    <w:ind w:left="2512"/>
                    <w:rPr>
                      <w:sz w:val="20"/>
                      <w:szCs w:val="20"/>
                    </w:rPr>
                  </w:pPr>
                  <w:r>
                    <w:rPr>
                      <w:b/>
                      <w:bCs/>
                      <w:spacing w:val="4"/>
                      <w:sz w:val="20"/>
                      <w:szCs w:val="20"/>
                    </w:rPr>
                    <w:t>表</w:t>
                  </w:r>
                  <w:r>
                    <w:rPr>
                      <w:spacing w:val="-27"/>
                      <w:sz w:val="20"/>
                      <w:szCs w:val="20"/>
                    </w:rPr>
                    <w:t xml:space="preserve"> </w:t>
                  </w:r>
                  <w:r>
                    <w:rPr>
                      <w:rFonts w:ascii="Times New Roman" w:hAnsi="Times New Roman" w:eastAsia="Times New Roman" w:cs="Times New Roman"/>
                      <w:b/>
                      <w:bCs/>
                      <w:spacing w:val="4"/>
                      <w:sz w:val="20"/>
                      <w:szCs w:val="20"/>
                    </w:rPr>
                    <w:t>3-15</w:t>
                  </w:r>
                  <w:r>
                    <w:rPr>
                      <w:rFonts w:ascii="Times New Roman" w:hAnsi="Times New Roman" w:eastAsia="Times New Roman" w:cs="Times New Roman"/>
                      <w:b/>
                      <w:bCs/>
                      <w:spacing w:val="10"/>
                      <w:sz w:val="20"/>
                      <w:szCs w:val="20"/>
                    </w:rPr>
                    <w:t xml:space="preserve">    </w:t>
                  </w:r>
                  <w:r>
                    <w:rPr>
                      <w:b/>
                      <w:bCs/>
                      <w:spacing w:val="4"/>
                      <w:sz w:val="20"/>
                      <w:szCs w:val="20"/>
                    </w:rPr>
                    <w:t>电磁环境公众曝露控制限值</w:t>
                  </w:r>
                </w:p>
              </w:tc>
            </w:tr>
            <w:tr w14:paraId="507B2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477" w:type="dxa"/>
                  <w:gridSpan w:val="4"/>
                  <w:vAlign w:val="top"/>
                </w:tcPr>
                <w:p w14:paraId="2324146D">
                  <w:pPr>
                    <w:pStyle w:val="6"/>
                    <w:spacing w:before="65" w:line="227" w:lineRule="auto"/>
                    <w:ind w:left="1189"/>
                    <w:rPr>
                      <w:sz w:val="20"/>
                      <w:szCs w:val="20"/>
                    </w:rPr>
                  </w:pPr>
                  <w:r>
                    <w:rPr>
                      <w:b/>
                      <w:bCs/>
                      <w:spacing w:val="7"/>
                      <w:sz w:val="20"/>
                      <w:szCs w:val="20"/>
                    </w:rPr>
                    <w:t>频率（</w:t>
                  </w:r>
                  <w:r>
                    <w:rPr>
                      <w:rFonts w:ascii="Times New Roman" w:hAnsi="Times New Roman" w:eastAsia="Times New Roman" w:cs="Times New Roman"/>
                      <w:b/>
                      <w:bCs/>
                      <w:sz w:val="20"/>
                      <w:szCs w:val="20"/>
                    </w:rPr>
                    <w:t>kHz</w:t>
                  </w:r>
                  <w:r>
                    <w:rPr>
                      <w:b/>
                      <w:bCs/>
                      <w:spacing w:val="7"/>
                      <w:sz w:val="20"/>
                      <w:szCs w:val="20"/>
                    </w:rPr>
                    <w:t>）</w:t>
                  </w:r>
                </w:p>
              </w:tc>
              <w:tc>
                <w:tcPr>
                  <w:tcW w:w="2480" w:type="dxa"/>
                  <w:gridSpan w:val="5"/>
                  <w:vAlign w:val="top"/>
                </w:tcPr>
                <w:p w14:paraId="3900DAF5">
                  <w:pPr>
                    <w:pStyle w:val="6"/>
                    <w:spacing w:before="64" w:line="228" w:lineRule="auto"/>
                    <w:ind w:left="345"/>
                    <w:rPr>
                      <w:sz w:val="20"/>
                      <w:szCs w:val="20"/>
                    </w:rPr>
                  </w:pPr>
                  <w:r>
                    <w:rPr>
                      <w:b/>
                      <w:bCs/>
                      <w:spacing w:val="2"/>
                      <w:sz w:val="20"/>
                      <w:szCs w:val="20"/>
                    </w:rPr>
                    <w:t>电场强度</w:t>
                  </w:r>
                  <w:r>
                    <w:rPr>
                      <w:spacing w:val="-36"/>
                      <w:sz w:val="20"/>
                      <w:szCs w:val="20"/>
                    </w:rPr>
                    <w:t xml:space="preserve"> </w:t>
                  </w:r>
                  <w:r>
                    <w:rPr>
                      <w:rFonts w:ascii="Times New Roman" w:hAnsi="Times New Roman" w:eastAsia="Times New Roman" w:cs="Times New Roman"/>
                      <w:b/>
                      <w:bCs/>
                      <w:spacing w:val="2"/>
                      <w:sz w:val="20"/>
                      <w:szCs w:val="20"/>
                    </w:rPr>
                    <w:t>E</w:t>
                  </w:r>
                  <w:r>
                    <w:rPr>
                      <w:b/>
                      <w:bCs/>
                      <w:spacing w:val="2"/>
                      <w:sz w:val="20"/>
                      <w:szCs w:val="20"/>
                    </w:rPr>
                    <w:t>（</w:t>
                  </w:r>
                  <w:r>
                    <w:rPr>
                      <w:rFonts w:ascii="Times New Roman" w:hAnsi="Times New Roman" w:eastAsia="Times New Roman" w:cs="Times New Roman"/>
                      <w:b/>
                      <w:bCs/>
                      <w:spacing w:val="2"/>
                      <w:sz w:val="20"/>
                      <w:szCs w:val="20"/>
                    </w:rPr>
                    <w:t>V/m</w:t>
                  </w:r>
                  <w:r>
                    <w:rPr>
                      <w:b/>
                      <w:bCs/>
                      <w:spacing w:val="2"/>
                      <w:sz w:val="20"/>
                      <w:szCs w:val="20"/>
                    </w:rPr>
                    <w:t>）</w:t>
                  </w:r>
                </w:p>
              </w:tc>
              <w:tc>
                <w:tcPr>
                  <w:tcW w:w="2332" w:type="dxa"/>
                  <w:gridSpan w:val="4"/>
                  <w:vAlign w:val="top"/>
                </w:tcPr>
                <w:p w14:paraId="1EA8413F">
                  <w:pPr>
                    <w:pStyle w:val="6"/>
                    <w:spacing w:before="64" w:line="221" w:lineRule="auto"/>
                    <w:ind w:left="209"/>
                    <w:rPr>
                      <w:sz w:val="20"/>
                      <w:szCs w:val="20"/>
                    </w:rPr>
                  </w:pPr>
                  <w:r>
                    <w:rPr>
                      <w:b/>
                      <w:bCs/>
                      <w:spacing w:val="4"/>
                      <w:sz w:val="20"/>
                      <w:szCs w:val="20"/>
                    </w:rPr>
                    <w:t>磁感应强度</w:t>
                  </w:r>
                  <w:r>
                    <w:rPr>
                      <w:spacing w:val="-37"/>
                      <w:sz w:val="20"/>
                      <w:szCs w:val="20"/>
                    </w:rPr>
                    <w:t xml:space="preserve"> </w:t>
                  </w:r>
                  <w:r>
                    <w:rPr>
                      <w:rFonts w:ascii="Times New Roman" w:hAnsi="Times New Roman" w:eastAsia="Times New Roman" w:cs="Times New Roman"/>
                      <w:b/>
                      <w:bCs/>
                      <w:spacing w:val="4"/>
                      <w:sz w:val="20"/>
                      <w:szCs w:val="20"/>
                    </w:rPr>
                    <w:t xml:space="preserve">B  </w:t>
                  </w:r>
                  <w:r>
                    <w:rPr>
                      <w:b/>
                      <w:bCs/>
                      <w:spacing w:val="4"/>
                      <w:sz w:val="20"/>
                      <w:szCs w:val="20"/>
                    </w:rPr>
                    <w:t>(</w:t>
                  </w:r>
                  <w:r>
                    <w:rPr>
                      <w:rFonts w:ascii="Times New Roman" w:hAnsi="Times New Roman" w:eastAsia="Times New Roman" w:cs="Times New Roman"/>
                      <w:b/>
                      <w:bCs/>
                      <w:spacing w:val="4"/>
                      <w:sz w:val="20"/>
                      <w:szCs w:val="20"/>
                    </w:rPr>
                    <w:t>μT</w:t>
                  </w:r>
                  <w:r>
                    <w:rPr>
                      <w:b/>
                      <w:bCs/>
                      <w:spacing w:val="4"/>
                      <w:sz w:val="20"/>
                      <w:szCs w:val="20"/>
                    </w:rPr>
                    <w:t>）</w:t>
                  </w:r>
                </w:p>
              </w:tc>
            </w:tr>
            <w:tr w14:paraId="7DC7C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477" w:type="dxa"/>
                  <w:gridSpan w:val="4"/>
                  <w:vAlign w:val="top"/>
                </w:tcPr>
                <w:p w14:paraId="6CB9448F">
                  <w:pPr>
                    <w:pStyle w:val="6"/>
                    <w:spacing w:before="64" w:line="264" w:lineRule="exact"/>
                    <w:ind w:left="132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0.025</w:t>
                  </w:r>
                  <w:r>
                    <w:rPr>
                      <w:spacing w:val="4"/>
                      <w:position w:val="1"/>
                      <w:sz w:val="20"/>
                      <w:szCs w:val="20"/>
                    </w:rPr>
                    <w:t>～</w:t>
                  </w:r>
                  <w:r>
                    <w:rPr>
                      <w:rFonts w:ascii="Times New Roman" w:hAnsi="Times New Roman" w:eastAsia="Times New Roman" w:cs="Times New Roman"/>
                      <w:spacing w:val="4"/>
                      <w:position w:val="1"/>
                      <w:sz w:val="20"/>
                      <w:szCs w:val="20"/>
                    </w:rPr>
                    <w:t>1.2</w:t>
                  </w:r>
                </w:p>
              </w:tc>
              <w:tc>
                <w:tcPr>
                  <w:tcW w:w="2480" w:type="dxa"/>
                  <w:gridSpan w:val="5"/>
                  <w:vAlign w:val="top"/>
                </w:tcPr>
                <w:p w14:paraId="1C91E547">
                  <w:pPr>
                    <w:spacing w:before="30" w:line="278" w:lineRule="exact"/>
                    <w:ind w:left="1022"/>
                    <w:rPr>
                      <w:rFonts w:ascii="Times New Roman" w:hAnsi="Times New Roman" w:eastAsia="Times New Roman" w:cs="Times New Roman"/>
                      <w:sz w:val="20"/>
                      <w:szCs w:val="20"/>
                    </w:rPr>
                  </w:pPr>
                  <w:r>
                    <w:rPr>
                      <w:rFonts w:ascii="Times New Roman" w:hAnsi="Times New Roman" w:eastAsia="Times New Roman" w:cs="Times New Roman"/>
                      <w:spacing w:val="11"/>
                      <w:position w:val="4"/>
                      <w:sz w:val="20"/>
                      <w:szCs w:val="20"/>
                    </w:rPr>
                    <w:t>200/</w:t>
                  </w:r>
                  <w:r>
                    <w:rPr>
                      <w:rFonts w:ascii="Times New Roman" w:hAnsi="Times New Roman" w:eastAsia="Times New Roman" w:cs="Times New Roman"/>
                      <w:i/>
                      <w:iCs/>
                      <w:spacing w:val="11"/>
                      <w:position w:val="4"/>
                      <w:sz w:val="20"/>
                      <w:szCs w:val="20"/>
                    </w:rPr>
                    <w:t>f</w:t>
                  </w:r>
                </w:p>
              </w:tc>
              <w:tc>
                <w:tcPr>
                  <w:tcW w:w="2332" w:type="dxa"/>
                  <w:gridSpan w:val="4"/>
                  <w:vAlign w:val="top"/>
                </w:tcPr>
                <w:p w14:paraId="51A17D99">
                  <w:pPr>
                    <w:spacing w:before="30" w:line="278" w:lineRule="exact"/>
                    <w:ind w:left="1063"/>
                    <w:rPr>
                      <w:rFonts w:ascii="Times New Roman" w:hAnsi="Times New Roman" w:eastAsia="Times New Roman" w:cs="Times New Roman"/>
                      <w:sz w:val="20"/>
                      <w:szCs w:val="20"/>
                    </w:rPr>
                  </w:pPr>
                  <w:r>
                    <w:rPr>
                      <w:rFonts w:ascii="Times New Roman" w:hAnsi="Times New Roman" w:eastAsia="Times New Roman" w:cs="Times New Roman"/>
                      <w:spacing w:val="13"/>
                      <w:position w:val="4"/>
                      <w:sz w:val="20"/>
                      <w:szCs w:val="20"/>
                    </w:rPr>
                    <w:t>5/</w:t>
                  </w:r>
                  <w:r>
                    <w:rPr>
                      <w:rFonts w:ascii="Times New Roman" w:hAnsi="Times New Roman" w:eastAsia="Times New Roman" w:cs="Times New Roman"/>
                      <w:i/>
                      <w:iCs/>
                      <w:spacing w:val="13"/>
                      <w:position w:val="4"/>
                      <w:sz w:val="20"/>
                      <w:szCs w:val="20"/>
                    </w:rPr>
                    <w:t>f</w:t>
                  </w:r>
                </w:p>
              </w:tc>
            </w:tr>
            <w:tr w14:paraId="5B722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477" w:type="dxa"/>
                  <w:gridSpan w:val="4"/>
                  <w:vAlign w:val="top"/>
                </w:tcPr>
                <w:p w14:paraId="5B2C7FDE">
                  <w:pPr>
                    <w:pStyle w:val="6"/>
                    <w:spacing w:before="65" w:line="229" w:lineRule="auto"/>
                    <w:ind w:left="912"/>
                    <w:rPr>
                      <w:sz w:val="20"/>
                      <w:szCs w:val="20"/>
                    </w:rPr>
                  </w:pPr>
                  <w:r>
                    <w:rPr>
                      <w:spacing w:val="7"/>
                      <w:sz w:val="20"/>
                      <w:szCs w:val="20"/>
                    </w:rPr>
                    <w:t>变电站（</w:t>
                  </w:r>
                  <w:r>
                    <w:rPr>
                      <w:rFonts w:ascii="Times New Roman" w:hAnsi="Times New Roman" w:eastAsia="Times New Roman" w:cs="Times New Roman"/>
                      <w:spacing w:val="7"/>
                      <w:sz w:val="20"/>
                      <w:szCs w:val="20"/>
                    </w:rPr>
                    <w:t>0.05</w:t>
                  </w:r>
                  <w:r>
                    <w:rPr>
                      <w:rFonts w:ascii="Times New Roman" w:hAnsi="Times New Roman" w:eastAsia="Times New Roman" w:cs="Times New Roman"/>
                      <w:sz w:val="20"/>
                      <w:szCs w:val="20"/>
                    </w:rPr>
                    <w:t>kHz</w:t>
                  </w:r>
                  <w:r>
                    <w:rPr>
                      <w:spacing w:val="7"/>
                      <w:sz w:val="20"/>
                      <w:szCs w:val="20"/>
                    </w:rPr>
                    <w:t>）</w:t>
                  </w:r>
                </w:p>
              </w:tc>
              <w:tc>
                <w:tcPr>
                  <w:tcW w:w="2480" w:type="dxa"/>
                  <w:gridSpan w:val="5"/>
                  <w:vAlign w:val="top"/>
                </w:tcPr>
                <w:p w14:paraId="5A79D9FF">
                  <w:pPr>
                    <w:spacing w:before="101" w:line="195" w:lineRule="auto"/>
                    <w:ind w:left="10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4000</w:t>
                  </w:r>
                </w:p>
              </w:tc>
              <w:tc>
                <w:tcPr>
                  <w:tcW w:w="2332" w:type="dxa"/>
                  <w:gridSpan w:val="4"/>
                  <w:vAlign w:val="top"/>
                </w:tcPr>
                <w:p w14:paraId="782371E2">
                  <w:pPr>
                    <w:spacing w:before="101"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14:paraId="3030B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5" w:hRule="atLeast"/>
              </w:trPr>
              <w:tc>
                <w:tcPr>
                  <w:tcW w:w="8289" w:type="dxa"/>
                  <w:gridSpan w:val="13"/>
                  <w:tcBorders>
                    <w:right w:val="nil"/>
                  </w:tcBorders>
                  <w:vAlign w:val="top"/>
                </w:tcPr>
                <w:p w14:paraId="357453E8">
                  <w:pPr>
                    <w:pStyle w:val="6"/>
                    <w:spacing w:before="36" w:line="344" w:lineRule="auto"/>
                    <w:ind w:left="120" w:firstLine="490"/>
                  </w:pPr>
                  <w:r>
                    <w:rPr>
                      <w:spacing w:val="-5"/>
                    </w:rPr>
                    <w:t>因此本次环评工频电场强度限值：以</w:t>
                  </w:r>
                  <w:r>
                    <w:rPr>
                      <w:rFonts w:ascii="Times New Roman" w:hAnsi="Times New Roman" w:eastAsia="Times New Roman" w:cs="Times New Roman"/>
                      <w:spacing w:val="-5"/>
                    </w:rPr>
                    <w:t>4000V/m</w:t>
                  </w:r>
                  <w:r>
                    <w:rPr>
                      <w:spacing w:val="-6"/>
                    </w:rPr>
                    <w:t>作为工频电场强度评价标准。</w:t>
                  </w:r>
                  <w:r>
                    <w:t xml:space="preserve"> </w:t>
                  </w:r>
                  <w:r>
                    <w:rPr>
                      <w:spacing w:val="-4"/>
                    </w:rPr>
                    <w:t>工频磁感应强度限值：以</w:t>
                  </w:r>
                  <w:r>
                    <w:rPr>
                      <w:spacing w:val="-19"/>
                    </w:rPr>
                    <w:t xml:space="preserve"> </w:t>
                  </w:r>
                  <w:r>
                    <w:rPr>
                      <w:rFonts w:ascii="Times New Roman" w:hAnsi="Times New Roman" w:eastAsia="Times New Roman" w:cs="Times New Roman"/>
                      <w:spacing w:val="-4"/>
                    </w:rPr>
                    <w:t xml:space="preserve">100μT </w:t>
                  </w:r>
                  <w:r>
                    <w:rPr>
                      <w:spacing w:val="-4"/>
                    </w:rPr>
                    <w:t>作为工频磁感应强度评价标准。</w:t>
                  </w:r>
                </w:p>
                <w:p w14:paraId="46C925D5">
                  <w:pPr>
                    <w:pStyle w:val="6"/>
                    <w:spacing w:before="38" w:line="220" w:lineRule="auto"/>
                    <w:ind w:left="593"/>
                  </w:pPr>
                  <w:r>
                    <w:rPr>
                      <w:rFonts w:ascii="Times New Roman" w:hAnsi="Times New Roman" w:eastAsia="Times New Roman" w:cs="Times New Roman"/>
                      <w:b/>
                      <w:bCs/>
                      <w:spacing w:val="-7"/>
                    </w:rPr>
                    <w:t>2</w:t>
                  </w:r>
                  <w:r>
                    <w:rPr>
                      <w:rFonts w:ascii="Times New Roman" w:hAnsi="Times New Roman" w:eastAsia="Times New Roman" w:cs="Times New Roman"/>
                      <w:b/>
                      <w:bCs/>
                      <w:spacing w:val="-33"/>
                    </w:rPr>
                    <w:t xml:space="preserve"> </w:t>
                  </w:r>
                  <w:r>
                    <w:rPr>
                      <w:b/>
                      <w:bCs/>
                      <w:spacing w:val="-7"/>
                    </w:rPr>
                    <w:t>、排放标准</w:t>
                  </w:r>
                </w:p>
                <w:p w14:paraId="766796E4">
                  <w:pPr>
                    <w:pStyle w:val="6"/>
                    <w:spacing w:before="179" w:line="220" w:lineRule="auto"/>
                    <w:ind w:left="608"/>
                  </w:pPr>
                  <w:r>
                    <w:rPr>
                      <w:b/>
                      <w:bCs/>
                      <w:spacing w:val="-7"/>
                    </w:rPr>
                    <w:t>（</w:t>
                  </w:r>
                  <w:r>
                    <w:rPr>
                      <w:rFonts w:ascii="Times New Roman" w:hAnsi="Times New Roman" w:eastAsia="Times New Roman" w:cs="Times New Roman"/>
                      <w:b/>
                      <w:bCs/>
                      <w:spacing w:val="-7"/>
                    </w:rPr>
                    <w:t>1</w:t>
                  </w:r>
                  <w:r>
                    <w:rPr>
                      <w:b/>
                      <w:bCs/>
                      <w:spacing w:val="-7"/>
                    </w:rPr>
                    <w:t>）废气</w:t>
                  </w:r>
                </w:p>
                <w:p w14:paraId="1F722EAB">
                  <w:pPr>
                    <w:pStyle w:val="6"/>
                    <w:spacing w:before="182" w:line="346" w:lineRule="auto"/>
                    <w:ind w:left="128" w:right="11" w:firstLine="467"/>
                  </w:pPr>
                  <w:r>
                    <w:rPr>
                      <w:spacing w:val="8"/>
                    </w:rPr>
                    <w:t>施工期：施工期扬尘无组织排放浓度执行《大</w:t>
                  </w:r>
                  <w:r>
                    <w:rPr>
                      <w:spacing w:val="7"/>
                    </w:rPr>
                    <w:t>气污染物综合排放标准》</w:t>
                  </w:r>
                  <w:r>
                    <w:t xml:space="preserve"> </w:t>
                  </w:r>
                  <w:r>
                    <w:rPr>
                      <w:spacing w:val="-1"/>
                    </w:rPr>
                    <w:t>（</w:t>
                  </w:r>
                  <w:r>
                    <w:rPr>
                      <w:rFonts w:ascii="Times New Roman" w:hAnsi="Times New Roman" w:eastAsia="Times New Roman" w:cs="Times New Roman"/>
                      <w:spacing w:val="-1"/>
                    </w:rPr>
                    <w:t>GB16279-1996</w:t>
                  </w:r>
                  <w:r>
                    <w:rPr>
                      <w:spacing w:val="-1"/>
                    </w:rPr>
                    <w:t>）无组织排放标准，详见下表。</w:t>
                  </w:r>
                </w:p>
                <w:p w14:paraId="3BE539AD">
                  <w:pPr>
                    <w:pStyle w:val="6"/>
                    <w:spacing w:before="28" w:line="216" w:lineRule="auto"/>
                    <w:ind w:left="667"/>
                    <w:rPr>
                      <w:rFonts w:ascii="Times New Roman" w:hAnsi="Times New Roman" w:eastAsia="Times New Roman" w:cs="Times New Roman"/>
                      <w:sz w:val="13"/>
                      <w:szCs w:val="13"/>
                    </w:rPr>
                  </w:pPr>
                  <w:r>
                    <w:rPr>
                      <w:b/>
                      <w:bCs/>
                      <w:spacing w:val="8"/>
                      <w:sz w:val="20"/>
                      <w:szCs w:val="20"/>
                    </w:rPr>
                    <w:t>表</w:t>
                  </w:r>
                  <w:r>
                    <w:rPr>
                      <w:spacing w:val="-44"/>
                      <w:sz w:val="20"/>
                      <w:szCs w:val="20"/>
                    </w:rPr>
                    <w:t xml:space="preserve"> </w:t>
                  </w:r>
                  <w:r>
                    <w:rPr>
                      <w:rFonts w:ascii="Times New Roman" w:hAnsi="Times New Roman" w:eastAsia="Times New Roman" w:cs="Times New Roman"/>
                      <w:b/>
                      <w:bCs/>
                      <w:spacing w:val="8"/>
                      <w:sz w:val="20"/>
                      <w:szCs w:val="20"/>
                    </w:rPr>
                    <w:t xml:space="preserve">3-18  </w:t>
                  </w:r>
                  <w:r>
                    <w:rPr>
                      <w:b/>
                      <w:bCs/>
                      <w:spacing w:val="8"/>
                      <w:sz w:val="20"/>
                      <w:szCs w:val="20"/>
                    </w:rPr>
                    <w:t>大气污染物综合排放标准（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8"/>
                      <w:sz w:val="20"/>
                      <w:szCs w:val="20"/>
                    </w:rPr>
                    <w:t>16297-1996</w:t>
                  </w:r>
                  <w:r>
                    <w:rPr>
                      <w:b/>
                      <w:bCs/>
                      <w:spacing w:val="-8"/>
                      <w:sz w:val="20"/>
                      <w:szCs w:val="20"/>
                    </w:rPr>
                    <w:t>）（</w:t>
                  </w:r>
                  <w:r>
                    <w:rPr>
                      <w:b/>
                      <w:bCs/>
                      <w:spacing w:val="8"/>
                      <w:sz w:val="20"/>
                      <w:szCs w:val="20"/>
                    </w:rPr>
                    <w:t>摘</w:t>
                  </w:r>
                  <w:r>
                    <w:rPr>
                      <w:b/>
                      <w:bCs/>
                      <w:spacing w:val="7"/>
                      <w:sz w:val="20"/>
                      <w:szCs w:val="20"/>
                    </w:rPr>
                    <w:t>录）</w:t>
                  </w:r>
                  <w:r>
                    <w:rPr>
                      <w:spacing w:val="7"/>
                      <w:sz w:val="20"/>
                      <w:szCs w:val="20"/>
                    </w:rPr>
                    <w:t xml:space="preserve">  </w:t>
                  </w:r>
                  <w:r>
                    <w:rPr>
                      <w:b/>
                      <w:bCs/>
                      <w:spacing w:val="7"/>
                      <w:sz w:val="20"/>
                      <w:szCs w:val="20"/>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7"/>
                      <w:sz w:val="20"/>
                      <w:szCs w:val="20"/>
                    </w:rPr>
                    <w:t>/m</w:t>
                  </w:r>
                  <w:r>
                    <w:rPr>
                      <w:rFonts w:ascii="Times New Roman" w:hAnsi="Times New Roman" w:eastAsia="Times New Roman" w:cs="Times New Roman"/>
                      <w:b/>
                      <w:bCs/>
                      <w:spacing w:val="7"/>
                      <w:position w:val="6"/>
                      <w:sz w:val="13"/>
                      <w:szCs w:val="13"/>
                    </w:rPr>
                    <w:t>3</w:t>
                  </w:r>
                </w:p>
              </w:tc>
            </w:tr>
            <w:tr w14:paraId="355A7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876" w:type="dxa"/>
                  <w:gridSpan w:val="5"/>
                  <w:vAlign w:val="top"/>
                </w:tcPr>
                <w:p w14:paraId="3AC7BF60">
                  <w:pPr>
                    <w:pStyle w:val="6"/>
                    <w:spacing w:before="33" w:line="216" w:lineRule="auto"/>
                    <w:ind w:left="1794"/>
                    <w:rPr>
                      <w:sz w:val="20"/>
                      <w:szCs w:val="20"/>
                    </w:rPr>
                  </w:pPr>
                  <w:r>
                    <w:rPr>
                      <w:b/>
                      <w:bCs/>
                      <w:spacing w:val="2"/>
                      <w:sz w:val="20"/>
                      <w:szCs w:val="20"/>
                    </w:rPr>
                    <w:t>项目</w:t>
                  </w:r>
                </w:p>
              </w:tc>
              <w:tc>
                <w:tcPr>
                  <w:tcW w:w="2820" w:type="dxa"/>
                  <w:gridSpan w:val="5"/>
                  <w:vAlign w:val="top"/>
                </w:tcPr>
                <w:p w14:paraId="26448749">
                  <w:pPr>
                    <w:pStyle w:val="6"/>
                    <w:spacing w:before="33" w:line="216" w:lineRule="auto"/>
                    <w:ind w:left="1103"/>
                    <w:rPr>
                      <w:sz w:val="20"/>
                      <w:szCs w:val="20"/>
                    </w:rPr>
                  </w:pPr>
                  <w:r>
                    <w:rPr>
                      <w:b/>
                      <w:bCs/>
                      <w:spacing w:val="5"/>
                      <w:sz w:val="20"/>
                      <w:szCs w:val="20"/>
                    </w:rPr>
                    <w:t>监控点</w:t>
                  </w:r>
                </w:p>
              </w:tc>
              <w:tc>
                <w:tcPr>
                  <w:tcW w:w="1593" w:type="dxa"/>
                  <w:gridSpan w:val="3"/>
                  <w:vAlign w:val="top"/>
                </w:tcPr>
                <w:p w14:paraId="46A9A1C2">
                  <w:pPr>
                    <w:pStyle w:val="6"/>
                    <w:spacing w:before="33" w:line="216" w:lineRule="auto"/>
                    <w:ind w:left="484"/>
                    <w:rPr>
                      <w:sz w:val="20"/>
                      <w:szCs w:val="20"/>
                    </w:rPr>
                  </w:pPr>
                  <w:r>
                    <w:rPr>
                      <w:b/>
                      <w:bCs/>
                      <w:spacing w:val="5"/>
                      <w:sz w:val="20"/>
                      <w:szCs w:val="20"/>
                    </w:rPr>
                    <w:t>颗粒物</w:t>
                  </w:r>
                </w:p>
              </w:tc>
            </w:tr>
            <w:tr w14:paraId="1586D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876" w:type="dxa"/>
                  <w:gridSpan w:val="5"/>
                  <w:vAlign w:val="top"/>
                </w:tcPr>
                <w:p w14:paraId="2B61335B">
                  <w:pPr>
                    <w:pStyle w:val="6"/>
                    <w:spacing w:before="30" w:line="218" w:lineRule="auto"/>
                    <w:ind w:left="847"/>
                    <w:rPr>
                      <w:sz w:val="20"/>
                      <w:szCs w:val="20"/>
                    </w:rPr>
                  </w:pPr>
                  <w:r>
                    <w:rPr>
                      <w:spacing w:val="9"/>
                      <w:sz w:val="20"/>
                      <w:szCs w:val="20"/>
                    </w:rPr>
                    <w:t>无组织排放监控浓度限值</w:t>
                  </w:r>
                </w:p>
              </w:tc>
              <w:tc>
                <w:tcPr>
                  <w:tcW w:w="2820" w:type="dxa"/>
                  <w:gridSpan w:val="5"/>
                  <w:vAlign w:val="top"/>
                </w:tcPr>
                <w:p w14:paraId="07C36418">
                  <w:pPr>
                    <w:pStyle w:val="6"/>
                    <w:spacing w:before="30" w:line="218" w:lineRule="auto"/>
                    <w:ind w:left="577"/>
                    <w:rPr>
                      <w:sz w:val="20"/>
                      <w:szCs w:val="20"/>
                    </w:rPr>
                  </w:pPr>
                  <w:r>
                    <w:rPr>
                      <w:spacing w:val="8"/>
                      <w:sz w:val="20"/>
                      <w:szCs w:val="20"/>
                    </w:rPr>
                    <w:t>周界外浓度最高点</w:t>
                  </w:r>
                </w:p>
              </w:tc>
              <w:tc>
                <w:tcPr>
                  <w:tcW w:w="1593" w:type="dxa"/>
                  <w:gridSpan w:val="3"/>
                  <w:vAlign w:val="top"/>
                </w:tcPr>
                <w:p w14:paraId="6002D3CB">
                  <w:pPr>
                    <w:spacing w:before="66"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06D72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8289" w:type="dxa"/>
                  <w:gridSpan w:val="13"/>
                  <w:tcBorders>
                    <w:right w:val="nil"/>
                  </w:tcBorders>
                  <w:vAlign w:val="top"/>
                </w:tcPr>
                <w:p w14:paraId="3AE4BA8F">
                  <w:pPr>
                    <w:pStyle w:val="6"/>
                    <w:spacing w:before="35" w:line="345" w:lineRule="auto"/>
                    <w:ind w:left="128" w:firstLine="464"/>
                  </w:pPr>
                  <w:r>
                    <w:rPr>
                      <w:spacing w:val="-14"/>
                    </w:rPr>
                    <w:t>运营期：升压站内设置食堂，食堂废气执行《饮食业油烟排放标准（试行）》</w:t>
                  </w:r>
                  <w:r>
                    <w:rPr>
                      <w:spacing w:val="8"/>
                    </w:rPr>
                    <w:t xml:space="preserve"> </w:t>
                  </w:r>
                  <w:r>
                    <w:rPr>
                      <w:spacing w:val="-4"/>
                    </w:rPr>
                    <w:t>（</w:t>
                  </w:r>
                  <w:r>
                    <w:rPr>
                      <w:rFonts w:ascii="Times New Roman" w:hAnsi="Times New Roman" w:eastAsia="Times New Roman" w:cs="Times New Roman"/>
                      <w:spacing w:val="-4"/>
                    </w:rPr>
                    <w:t>GB18483-2001</w:t>
                  </w:r>
                  <w:r>
                    <w:rPr>
                      <w:spacing w:val="-4"/>
                    </w:rPr>
                    <w:t>）表</w:t>
                  </w:r>
                  <w:r>
                    <w:rPr>
                      <w:spacing w:val="-56"/>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0"/>
                      <w:w w:val="101"/>
                    </w:rPr>
                    <w:t xml:space="preserve"> </w:t>
                  </w:r>
                  <w:r>
                    <w:rPr>
                      <w:spacing w:val="-4"/>
                    </w:rPr>
                    <w:t>中小型标</w:t>
                  </w:r>
                  <w:r>
                    <w:rPr>
                      <w:spacing w:val="-5"/>
                    </w:rPr>
                    <w:t>准，标准限值见表</w:t>
                  </w:r>
                  <w:r>
                    <w:rPr>
                      <w:spacing w:val="-51"/>
                    </w:rPr>
                    <w:t xml:space="preserve"> </w:t>
                  </w:r>
                  <w:r>
                    <w:rPr>
                      <w:rFonts w:ascii="Times New Roman" w:hAnsi="Times New Roman" w:eastAsia="Times New Roman" w:cs="Times New Roman"/>
                      <w:spacing w:val="-5"/>
                    </w:rPr>
                    <w:t>3-19</w:t>
                  </w:r>
                  <w:r>
                    <w:rPr>
                      <w:spacing w:val="-5"/>
                    </w:rPr>
                    <w:t>。</w:t>
                  </w:r>
                </w:p>
                <w:p w14:paraId="5C8176C1">
                  <w:pPr>
                    <w:pStyle w:val="6"/>
                    <w:spacing w:before="32" w:line="217" w:lineRule="auto"/>
                    <w:ind w:left="1958"/>
                    <w:rPr>
                      <w:sz w:val="20"/>
                      <w:szCs w:val="20"/>
                    </w:rPr>
                  </w:pPr>
                  <w:r>
                    <w:rPr>
                      <w:b/>
                      <w:bCs/>
                      <w:spacing w:val="6"/>
                      <w:sz w:val="20"/>
                      <w:szCs w:val="20"/>
                    </w:rPr>
                    <w:t>表</w:t>
                  </w:r>
                  <w:r>
                    <w:rPr>
                      <w:spacing w:val="-31"/>
                      <w:sz w:val="20"/>
                      <w:szCs w:val="20"/>
                    </w:rPr>
                    <w:t xml:space="preserve"> </w:t>
                  </w:r>
                  <w:r>
                    <w:rPr>
                      <w:rFonts w:ascii="Times New Roman" w:hAnsi="Times New Roman" w:eastAsia="Times New Roman" w:cs="Times New Roman"/>
                      <w:b/>
                      <w:bCs/>
                      <w:spacing w:val="6"/>
                      <w:sz w:val="20"/>
                      <w:szCs w:val="20"/>
                    </w:rPr>
                    <w:t xml:space="preserve">3-19  </w:t>
                  </w:r>
                  <w:r>
                    <w:rPr>
                      <w:b/>
                      <w:bCs/>
                      <w:spacing w:val="6"/>
                      <w:sz w:val="20"/>
                      <w:szCs w:val="20"/>
                    </w:rPr>
                    <w:t>饮食业油烟排放标准（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6"/>
                      <w:sz w:val="20"/>
                      <w:szCs w:val="20"/>
                    </w:rPr>
                    <w:t>18483-2001</w:t>
                  </w:r>
                  <w:r>
                    <w:rPr>
                      <w:b/>
                      <w:bCs/>
                      <w:spacing w:val="6"/>
                      <w:sz w:val="20"/>
                      <w:szCs w:val="20"/>
                    </w:rPr>
                    <w:t>）</w:t>
                  </w:r>
                  <w:r>
                    <w:rPr>
                      <w:spacing w:val="6"/>
                      <w:sz w:val="20"/>
                      <w:szCs w:val="20"/>
                    </w:rPr>
                    <w:t xml:space="preserve"> </w:t>
                  </w:r>
                  <w:r>
                    <w:rPr>
                      <w:b/>
                      <w:bCs/>
                      <w:spacing w:val="6"/>
                      <w:sz w:val="20"/>
                      <w:szCs w:val="20"/>
                    </w:rPr>
                    <w:t>摘录</w:t>
                  </w:r>
                </w:p>
              </w:tc>
            </w:tr>
            <w:tr w14:paraId="490C2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10" w:type="dxa"/>
                  <w:gridSpan w:val="6"/>
                  <w:vAlign w:val="top"/>
                </w:tcPr>
                <w:p w14:paraId="497CB909">
                  <w:pPr>
                    <w:pStyle w:val="6"/>
                    <w:spacing w:before="33" w:line="216" w:lineRule="auto"/>
                    <w:ind w:left="1957"/>
                    <w:rPr>
                      <w:sz w:val="20"/>
                      <w:szCs w:val="20"/>
                    </w:rPr>
                  </w:pPr>
                  <w:r>
                    <w:rPr>
                      <w:b/>
                      <w:bCs/>
                      <w:spacing w:val="3"/>
                      <w:sz w:val="20"/>
                      <w:szCs w:val="20"/>
                    </w:rPr>
                    <w:t>规模</w:t>
                  </w:r>
                </w:p>
              </w:tc>
              <w:tc>
                <w:tcPr>
                  <w:tcW w:w="4079" w:type="dxa"/>
                  <w:gridSpan w:val="7"/>
                  <w:vAlign w:val="top"/>
                </w:tcPr>
                <w:p w14:paraId="17B10C11">
                  <w:pPr>
                    <w:pStyle w:val="6"/>
                    <w:spacing w:before="33" w:line="216" w:lineRule="auto"/>
                    <w:ind w:left="1839"/>
                    <w:rPr>
                      <w:sz w:val="20"/>
                      <w:szCs w:val="20"/>
                    </w:rPr>
                  </w:pPr>
                  <w:r>
                    <w:rPr>
                      <w:b/>
                      <w:bCs/>
                      <w:spacing w:val="1"/>
                      <w:sz w:val="20"/>
                      <w:szCs w:val="20"/>
                    </w:rPr>
                    <w:t>小型</w:t>
                  </w:r>
                </w:p>
              </w:tc>
            </w:tr>
            <w:tr w14:paraId="058D0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210" w:type="dxa"/>
                  <w:gridSpan w:val="6"/>
                  <w:vAlign w:val="top"/>
                </w:tcPr>
                <w:p w14:paraId="763F3FC0">
                  <w:pPr>
                    <w:pStyle w:val="6"/>
                    <w:spacing w:before="31" w:line="218" w:lineRule="auto"/>
                    <w:ind w:left="1122"/>
                    <w:rPr>
                      <w:sz w:val="20"/>
                      <w:szCs w:val="20"/>
                    </w:rPr>
                  </w:pPr>
                  <w:r>
                    <w:rPr>
                      <w:spacing w:val="8"/>
                      <w:sz w:val="20"/>
                      <w:szCs w:val="20"/>
                    </w:rPr>
                    <w:t>油烟最高允许排放浓度</w:t>
                  </w:r>
                </w:p>
              </w:tc>
              <w:tc>
                <w:tcPr>
                  <w:tcW w:w="4079" w:type="dxa"/>
                  <w:gridSpan w:val="7"/>
                  <w:vAlign w:val="top"/>
                </w:tcPr>
                <w:p w14:paraId="7FC444B7">
                  <w:pPr>
                    <w:spacing w:before="49" w:line="215" w:lineRule="auto"/>
                    <w:ind w:left="1631"/>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r>
            <w:tr w14:paraId="47A3C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10" w:type="dxa"/>
                  <w:gridSpan w:val="6"/>
                  <w:vAlign w:val="top"/>
                </w:tcPr>
                <w:p w14:paraId="12F92B66">
                  <w:pPr>
                    <w:pStyle w:val="6"/>
                    <w:spacing w:before="30" w:line="218" w:lineRule="auto"/>
                    <w:ind w:left="824"/>
                    <w:rPr>
                      <w:sz w:val="20"/>
                      <w:szCs w:val="20"/>
                    </w:rPr>
                  </w:pPr>
                  <w:r>
                    <w:rPr>
                      <w:spacing w:val="8"/>
                      <w:sz w:val="20"/>
                      <w:szCs w:val="20"/>
                    </w:rPr>
                    <w:t>净化设施最低去除效率（</w:t>
                  </w:r>
                  <w:r>
                    <w:rPr>
                      <w:rFonts w:ascii="Times New Roman" w:hAnsi="Times New Roman" w:eastAsia="Times New Roman" w:cs="Times New Roman"/>
                      <w:spacing w:val="8"/>
                      <w:sz w:val="20"/>
                      <w:szCs w:val="20"/>
                    </w:rPr>
                    <w:t>%</w:t>
                  </w:r>
                  <w:r>
                    <w:rPr>
                      <w:spacing w:val="8"/>
                      <w:sz w:val="20"/>
                      <w:szCs w:val="20"/>
                    </w:rPr>
                    <w:t>）</w:t>
                  </w:r>
                </w:p>
              </w:tc>
              <w:tc>
                <w:tcPr>
                  <w:tcW w:w="4079" w:type="dxa"/>
                  <w:gridSpan w:val="7"/>
                  <w:vAlign w:val="top"/>
                </w:tcPr>
                <w:p w14:paraId="11EFDA57">
                  <w:pPr>
                    <w:spacing w:before="67" w:line="195" w:lineRule="auto"/>
                    <w:ind w:left="194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14:paraId="119D6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8289" w:type="dxa"/>
                  <w:gridSpan w:val="13"/>
                  <w:tcBorders>
                    <w:bottom w:val="nil"/>
                    <w:right w:val="nil"/>
                  </w:tcBorders>
                  <w:vAlign w:val="top"/>
                </w:tcPr>
                <w:p w14:paraId="056C6EC6">
                  <w:pPr>
                    <w:pStyle w:val="6"/>
                    <w:spacing w:before="37" w:line="219" w:lineRule="auto"/>
                    <w:ind w:left="608"/>
                  </w:pPr>
                  <w:r>
                    <w:rPr>
                      <w:b/>
                      <w:bCs/>
                      <w:spacing w:val="-7"/>
                    </w:rPr>
                    <w:t>（</w:t>
                  </w:r>
                  <w:r>
                    <w:rPr>
                      <w:rFonts w:ascii="Times New Roman" w:hAnsi="Times New Roman" w:eastAsia="Times New Roman" w:cs="Times New Roman"/>
                      <w:b/>
                      <w:bCs/>
                      <w:spacing w:val="-7"/>
                    </w:rPr>
                    <w:t>2</w:t>
                  </w:r>
                  <w:r>
                    <w:rPr>
                      <w:b/>
                      <w:bCs/>
                      <w:spacing w:val="-7"/>
                    </w:rPr>
                    <w:t>）废水</w:t>
                  </w:r>
                </w:p>
                <w:p w14:paraId="4991EB07">
                  <w:pPr>
                    <w:pStyle w:val="6"/>
                    <w:spacing w:before="180" w:line="219" w:lineRule="auto"/>
                    <w:jc w:val="right"/>
                  </w:pPr>
                  <w:r>
                    <w:rPr>
                      <w:spacing w:val="-1"/>
                    </w:rPr>
                    <w:t>施工期：施工营场地食堂废水设置隔油池预处理后与施工人员生活污水、</w:t>
                  </w:r>
                </w:p>
              </w:tc>
            </w:tr>
          </w:tbl>
          <w:p w14:paraId="4AED5607">
            <w:pPr>
              <w:spacing w:line="14" w:lineRule="auto"/>
              <w:rPr>
                <w:rFonts w:ascii="Arial"/>
                <w:sz w:val="2"/>
              </w:rPr>
            </w:pPr>
            <w:r>
              <w:pict>
                <v:shape id="_x0000_s1077" o:spid="_x0000_s1077" style="position:absolute;left:0pt;margin-left:38.65pt;margin-top:137.6pt;height:30.5pt;width:0.25pt;mso-position-horizontal-relative:page;mso-position-vertical-relative:page;z-index:251720704;mso-width-relative:page;mso-height-relative:page;" filled="f" stroked="t" coordsize="5,610" path="m2,0l2,610e">
                  <v:fill on="f" focussize="0,0"/>
                  <v:stroke weight="0.24pt" color="#000000" miterlimit="2" joinstyle="bevel"/>
                  <v:imagedata o:title=""/>
                  <o:lock v:ext="edit"/>
                </v:shape>
              </w:pict>
            </w:r>
            <w:r>
              <w:pict>
                <v:shape id="_x0000_s1078" o:spid="_x0000_s1078" style="position:absolute;left:0pt;margin-left:38.75pt;margin-top:0.5pt;height:52.75pt;width:0.75pt;mso-position-horizontal-relative:page;mso-position-vertical-relative:page;z-index:251719680;mso-width-relative:page;mso-height-relative:page;" filled="f" stroked="t" coordsize="15,1055" path="m7,0l7,1054e">
                  <v:fill on="f" focussize="0,0"/>
                  <v:stroke weight="0.72pt" color="#000000" miterlimit="2" joinstyle="bevel"/>
                  <v:imagedata o:title=""/>
                  <o:lock v:ext="edit"/>
                </v:shape>
              </w:pict>
            </w:r>
          </w:p>
        </w:tc>
      </w:tr>
    </w:tbl>
    <w:p w14:paraId="2A30A862">
      <w:pPr>
        <w:rPr>
          <w:rFonts w:ascii="Arial"/>
          <w:sz w:val="21"/>
        </w:rPr>
      </w:pPr>
    </w:p>
    <w:p w14:paraId="0D1E7FAA">
      <w:pPr>
        <w:rPr>
          <w:rFonts w:ascii="Arial" w:hAnsi="Arial" w:eastAsia="Arial" w:cs="Arial"/>
          <w:sz w:val="21"/>
          <w:szCs w:val="21"/>
        </w:rPr>
        <w:sectPr>
          <w:footerReference r:id="rId104" w:type="default"/>
          <w:pgSz w:w="11906" w:h="16839"/>
          <w:pgMar w:top="1431" w:right="1413" w:bottom="1278" w:left="1413" w:header="0" w:footer="1116" w:gutter="0"/>
          <w:cols w:space="720" w:num="1"/>
        </w:sectPr>
      </w:pPr>
    </w:p>
    <w:p w14:paraId="4F8C7808">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0C9DC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5" w:hRule="atLeast"/>
        </w:trPr>
        <w:tc>
          <w:tcPr>
            <w:tcW w:w="668" w:type="dxa"/>
            <w:tcBorders>
              <w:right w:val="single" w:color="000000" w:sz="2" w:space="0"/>
            </w:tcBorders>
            <w:vAlign w:val="top"/>
          </w:tcPr>
          <w:p w14:paraId="01D3B17A">
            <w:pPr>
              <w:rPr>
                <w:rFonts w:ascii="Arial"/>
                <w:sz w:val="21"/>
              </w:rPr>
            </w:pPr>
          </w:p>
        </w:tc>
        <w:tc>
          <w:tcPr>
            <w:tcW w:w="8396" w:type="dxa"/>
            <w:tcBorders>
              <w:left w:val="single" w:color="000000" w:sz="2" w:space="0"/>
            </w:tcBorders>
            <w:vAlign w:val="top"/>
          </w:tcPr>
          <w:p w14:paraId="1762A564">
            <w:pPr>
              <w:pStyle w:val="6"/>
              <w:spacing w:before="30" w:line="346" w:lineRule="auto"/>
              <w:ind w:left="108" w:right="102"/>
            </w:pPr>
            <w:r>
              <w:t>施工废水合并进入沉淀池处理后回用于施工和场地洒水抑尘不外排。粪便污水</w:t>
            </w:r>
            <w:r>
              <w:rPr>
                <w:spacing w:val="14"/>
              </w:rPr>
              <w:t xml:space="preserve"> </w:t>
            </w:r>
            <w:r>
              <w:t>通过旱厕收集，定期清运用作植被恢复和场地绿化</w:t>
            </w:r>
            <w:r>
              <w:rPr>
                <w:spacing w:val="-1"/>
              </w:rPr>
              <w:t>肥料。故不设排放标准。</w:t>
            </w:r>
          </w:p>
          <w:p w14:paraId="2D476917">
            <w:pPr>
              <w:pStyle w:val="6"/>
              <w:spacing w:before="33" w:line="354" w:lineRule="auto"/>
              <w:ind w:left="109" w:right="102" w:firstLine="480"/>
              <w:jc w:val="both"/>
            </w:pPr>
            <w:r>
              <w:t>运营期：废水主要为升压站生活污水及光伏板清洁废水。升压站生活污水</w:t>
            </w:r>
            <w:r>
              <w:rPr>
                <w:spacing w:val="13"/>
              </w:rPr>
              <w:t xml:space="preserve"> </w:t>
            </w:r>
            <w:r>
              <w:t>产生后经过隔油池、化粪池、一体化污水处理设备处理，处理后达到《城市污</w:t>
            </w:r>
            <w:r>
              <w:rPr>
                <w:spacing w:val="11"/>
              </w:rPr>
              <w:t xml:space="preserve"> </w:t>
            </w:r>
            <w:r>
              <w:rPr>
                <w:spacing w:val="3"/>
              </w:rPr>
              <w:t>水再生利用 城市杂用水水质》（</w:t>
            </w:r>
            <w:r>
              <w:rPr>
                <w:rFonts w:ascii="Times New Roman" w:hAnsi="Times New Roman" w:eastAsia="Times New Roman" w:cs="Times New Roman"/>
              </w:rPr>
              <w:t>GB</w:t>
            </w:r>
            <w:r>
              <w:rPr>
                <w:rFonts w:ascii="Times New Roman" w:hAnsi="Times New Roman" w:eastAsia="Times New Roman" w:cs="Times New Roman"/>
                <w:spacing w:val="3"/>
              </w:rPr>
              <w:t>/T18920-2020</w:t>
            </w:r>
            <w:r>
              <w:rPr>
                <w:spacing w:val="3"/>
              </w:rPr>
              <w:t>）中</w:t>
            </w:r>
            <w:r>
              <w:rPr>
                <w:spacing w:val="2"/>
              </w:rPr>
              <w:t>城市绿化标准后回用于</w:t>
            </w:r>
            <w:r>
              <w:t xml:space="preserve"> </w:t>
            </w:r>
            <w:r>
              <w:rPr>
                <w:spacing w:val="-1"/>
              </w:rPr>
              <w:t>升压站绿化，不外排。回用标准限值见表</w:t>
            </w:r>
            <w:r>
              <w:rPr>
                <w:spacing w:val="-50"/>
              </w:rPr>
              <w:t xml:space="preserve"> </w:t>
            </w:r>
            <w:r>
              <w:rPr>
                <w:rFonts w:ascii="Times New Roman" w:hAnsi="Times New Roman" w:eastAsia="Times New Roman" w:cs="Times New Roman"/>
                <w:spacing w:val="-1"/>
              </w:rPr>
              <w:t>3-20</w:t>
            </w:r>
            <w:r>
              <w:rPr>
                <w:rFonts w:ascii="Times New Roman" w:hAnsi="Times New Roman" w:eastAsia="Times New Roman" w:cs="Times New Roman"/>
                <w:spacing w:val="-27"/>
              </w:rPr>
              <w:t xml:space="preserve"> </w:t>
            </w:r>
            <w:r>
              <w:rPr>
                <w:spacing w:val="-2"/>
              </w:rPr>
              <w:t>。生产废水为不含清洗剂的光伏</w:t>
            </w:r>
            <w:r>
              <w:t xml:space="preserve"> </w:t>
            </w:r>
            <w:r>
              <w:rPr>
                <w:spacing w:val="-1"/>
              </w:rPr>
              <w:t>板清洁废水，直接作为植物的生长用水，不外排。</w:t>
            </w:r>
          </w:p>
          <w:p w14:paraId="086F2F75">
            <w:pPr>
              <w:pStyle w:val="6"/>
              <w:spacing w:before="29" w:line="221" w:lineRule="auto"/>
              <w:ind w:left="834"/>
              <w:rPr>
                <w:sz w:val="20"/>
                <w:szCs w:val="20"/>
              </w:rPr>
            </w:pPr>
            <w:r>
              <w:rPr>
                <w:b/>
                <w:bCs/>
                <w:spacing w:val="7"/>
                <w:sz w:val="20"/>
                <w:szCs w:val="20"/>
              </w:rPr>
              <w:t>表</w:t>
            </w:r>
            <w:r>
              <w:rPr>
                <w:spacing w:val="-41"/>
                <w:sz w:val="20"/>
                <w:szCs w:val="20"/>
              </w:rPr>
              <w:t xml:space="preserve"> </w:t>
            </w:r>
            <w:r>
              <w:rPr>
                <w:rFonts w:ascii="Times New Roman" w:hAnsi="Times New Roman" w:eastAsia="Times New Roman" w:cs="Times New Roman"/>
                <w:b/>
                <w:bCs/>
                <w:spacing w:val="7"/>
                <w:sz w:val="20"/>
                <w:szCs w:val="20"/>
              </w:rPr>
              <w:t xml:space="preserve">3-20    </w:t>
            </w:r>
            <w:r>
              <w:rPr>
                <w:b/>
                <w:bCs/>
                <w:spacing w:val="7"/>
                <w:sz w:val="20"/>
                <w:szCs w:val="20"/>
              </w:rPr>
              <w:t>城市污水再生利用</w:t>
            </w:r>
            <w:r>
              <w:rPr>
                <w:spacing w:val="7"/>
                <w:sz w:val="20"/>
                <w:szCs w:val="20"/>
              </w:rPr>
              <w:t xml:space="preserve"> </w:t>
            </w:r>
            <w:r>
              <w:rPr>
                <w:b/>
                <w:bCs/>
                <w:spacing w:val="7"/>
                <w:sz w:val="20"/>
                <w:szCs w:val="20"/>
              </w:rPr>
              <w:t>城市杂用水水质</w:t>
            </w:r>
            <w:r>
              <w:rPr>
                <w:spacing w:val="7"/>
                <w:sz w:val="20"/>
                <w:szCs w:val="20"/>
              </w:rPr>
              <w:t xml:space="preserve"> </w:t>
            </w:r>
            <w:r>
              <w:rPr>
                <w:b/>
                <w:bCs/>
                <w:spacing w:val="7"/>
                <w:sz w:val="20"/>
                <w:szCs w:val="20"/>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7"/>
                <w:sz w:val="20"/>
                <w:szCs w:val="20"/>
              </w:rPr>
              <w:t>/L</w:t>
            </w:r>
            <w:r>
              <w:rPr>
                <w:b/>
                <w:bCs/>
                <w:spacing w:val="7"/>
                <w:sz w:val="20"/>
                <w:szCs w:val="20"/>
              </w:rPr>
              <w:t>（</w:t>
            </w:r>
            <w:r>
              <w:rPr>
                <w:rFonts w:ascii="Times New Roman" w:hAnsi="Times New Roman" w:eastAsia="Times New Roman" w:cs="Times New Roman"/>
                <w:b/>
                <w:bCs/>
                <w:sz w:val="20"/>
                <w:szCs w:val="20"/>
              </w:rPr>
              <w:t>pH</w:t>
            </w:r>
            <w:r>
              <w:rPr>
                <w:rFonts w:ascii="Times New Roman" w:hAnsi="Times New Roman" w:eastAsia="Times New Roman" w:cs="Times New Roman"/>
                <w:b/>
                <w:bCs/>
                <w:spacing w:val="7"/>
                <w:sz w:val="20"/>
                <w:szCs w:val="20"/>
              </w:rPr>
              <w:t xml:space="preserve"> </w:t>
            </w:r>
            <w:r>
              <w:rPr>
                <w:b/>
                <w:bCs/>
                <w:spacing w:val="7"/>
                <w:sz w:val="20"/>
                <w:szCs w:val="20"/>
              </w:rPr>
              <w:t>无量纲）</w:t>
            </w:r>
          </w:p>
          <w:p w14:paraId="0DF2F3A9">
            <w:pPr>
              <w:spacing w:line="17" w:lineRule="auto"/>
              <w:rPr>
                <w:rFonts w:ascii="Arial"/>
                <w:sz w:val="2"/>
              </w:rPr>
            </w:pPr>
          </w:p>
          <w:tbl>
            <w:tblPr>
              <w:tblStyle w:val="5"/>
              <w:tblW w:w="8174"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549"/>
              <w:gridCol w:w="541"/>
              <w:gridCol w:w="612"/>
              <w:gridCol w:w="751"/>
              <w:gridCol w:w="737"/>
              <w:gridCol w:w="438"/>
              <w:gridCol w:w="593"/>
              <w:gridCol w:w="831"/>
              <w:gridCol w:w="1805"/>
              <w:gridCol w:w="844"/>
            </w:tblGrid>
            <w:tr w14:paraId="27E60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473" w:type="dxa"/>
                  <w:textDirection w:val="tbRlV"/>
                  <w:vAlign w:val="top"/>
                </w:tcPr>
                <w:p w14:paraId="402907A8">
                  <w:pPr>
                    <w:pStyle w:val="6"/>
                    <w:spacing w:before="129" w:line="204" w:lineRule="auto"/>
                    <w:ind w:left="308"/>
                    <w:rPr>
                      <w:sz w:val="20"/>
                      <w:szCs w:val="20"/>
                    </w:rPr>
                  </w:pPr>
                  <w:r>
                    <w:rPr>
                      <w:b/>
                      <w:bCs/>
                      <w:spacing w:val="6"/>
                      <w:sz w:val="20"/>
                      <w:szCs w:val="20"/>
                    </w:rPr>
                    <w:t>项</w:t>
                  </w:r>
                  <w:r>
                    <w:rPr>
                      <w:spacing w:val="-38"/>
                      <w:sz w:val="20"/>
                      <w:szCs w:val="20"/>
                    </w:rPr>
                    <w:t xml:space="preserve"> </w:t>
                  </w:r>
                  <w:r>
                    <w:rPr>
                      <w:b/>
                      <w:bCs/>
                      <w:spacing w:val="6"/>
                      <w:position w:val="1"/>
                      <w:sz w:val="20"/>
                      <w:szCs w:val="20"/>
                    </w:rPr>
                    <w:t>目</w:t>
                  </w:r>
                </w:p>
              </w:tc>
              <w:tc>
                <w:tcPr>
                  <w:tcW w:w="549" w:type="dxa"/>
                  <w:vAlign w:val="top"/>
                </w:tcPr>
                <w:p w14:paraId="32DCDDF2">
                  <w:pPr>
                    <w:spacing w:line="304" w:lineRule="auto"/>
                    <w:rPr>
                      <w:rFonts w:ascii="Arial"/>
                      <w:sz w:val="21"/>
                    </w:rPr>
                  </w:pPr>
                </w:p>
                <w:p w14:paraId="7A9EC1C4">
                  <w:pPr>
                    <w:spacing w:before="57" w:line="194" w:lineRule="auto"/>
                    <w:ind w:left="13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541" w:type="dxa"/>
                  <w:textDirection w:val="tbRlV"/>
                  <w:vAlign w:val="top"/>
                </w:tcPr>
                <w:p w14:paraId="05944422">
                  <w:pPr>
                    <w:pStyle w:val="6"/>
                    <w:spacing w:before="165" w:line="217" w:lineRule="auto"/>
                    <w:ind w:left="308"/>
                    <w:rPr>
                      <w:sz w:val="20"/>
                      <w:szCs w:val="20"/>
                    </w:rPr>
                  </w:pPr>
                  <w:r>
                    <w:rPr>
                      <w:b/>
                      <w:bCs/>
                      <w:spacing w:val="6"/>
                      <w:sz w:val="20"/>
                      <w:szCs w:val="20"/>
                    </w:rPr>
                    <w:t>色</w:t>
                  </w:r>
                  <w:r>
                    <w:rPr>
                      <w:spacing w:val="-38"/>
                      <w:sz w:val="20"/>
                      <w:szCs w:val="20"/>
                    </w:rPr>
                    <w:t xml:space="preserve"> </w:t>
                  </w:r>
                  <w:r>
                    <w:rPr>
                      <w:b/>
                      <w:bCs/>
                      <w:spacing w:val="6"/>
                      <w:sz w:val="20"/>
                      <w:szCs w:val="20"/>
                    </w:rPr>
                    <w:t>度</w:t>
                  </w:r>
                </w:p>
              </w:tc>
              <w:tc>
                <w:tcPr>
                  <w:tcW w:w="612" w:type="dxa"/>
                  <w:vAlign w:val="top"/>
                </w:tcPr>
                <w:p w14:paraId="48D81EF3">
                  <w:pPr>
                    <w:spacing w:line="378" w:lineRule="auto"/>
                    <w:rPr>
                      <w:rFonts w:ascii="Arial"/>
                      <w:sz w:val="21"/>
                    </w:rPr>
                  </w:pPr>
                </w:p>
                <w:p w14:paraId="2E792369">
                  <w:pPr>
                    <w:pStyle w:val="6"/>
                    <w:spacing w:before="65" w:line="228" w:lineRule="auto"/>
                    <w:ind w:left="215"/>
                    <w:rPr>
                      <w:sz w:val="20"/>
                      <w:szCs w:val="20"/>
                    </w:rPr>
                  </w:pPr>
                  <w:r>
                    <w:rPr>
                      <w:b/>
                      <w:bCs/>
                      <w:spacing w:val="-3"/>
                      <w:sz w:val="20"/>
                      <w:szCs w:val="20"/>
                    </w:rPr>
                    <w:t>嗅</w:t>
                  </w:r>
                </w:p>
              </w:tc>
              <w:tc>
                <w:tcPr>
                  <w:tcW w:w="751" w:type="dxa"/>
                  <w:vAlign w:val="top"/>
                </w:tcPr>
                <w:p w14:paraId="79AAF5B8">
                  <w:pPr>
                    <w:pStyle w:val="6"/>
                    <w:spacing w:before="170" w:line="244" w:lineRule="auto"/>
                    <w:ind w:left="171" w:right="165"/>
                    <w:jc w:val="both"/>
                    <w:rPr>
                      <w:sz w:val="20"/>
                      <w:szCs w:val="20"/>
                    </w:rPr>
                  </w:pPr>
                  <w:r>
                    <w:rPr>
                      <w:b/>
                      <w:bCs/>
                      <w:spacing w:val="2"/>
                      <w:sz w:val="20"/>
                      <w:szCs w:val="20"/>
                    </w:rPr>
                    <w:t>溶解</w:t>
                  </w:r>
                  <w:r>
                    <w:rPr>
                      <w:sz w:val="20"/>
                      <w:szCs w:val="20"/>
                    </w:rPr>
                    <w:t xml:space="preserve"> </w:t>
                  </w:r>
                  <w:r>
                    <w:rPr>
                      <w:b/>
                      <w:bCs/>
                      <w:spacing w:val="2"/>
                      <w:sz w:val="20"/>
                      <w:szCs w:val="20"/>
                    </w:rPr>
                    <w:t>性总</w:t>
                  </w:r>
                  <w:r>
                    <w:rPr>
                      <w:sz w:val="20"/>
                      <w:szCs w:val="20"/>
                    </w:rPr>
                    <w:t xml:space="preserve"> </w:t>
                  </w:r>
                  <w:r>
                    <w:rPr>
                      <w:b/>
                      <w:bCs/>
                      <w:spacing w:val="2"/>
                      <w:sz w:val="20"/>
                      <w:szCs w:val="20"/>
                    </w:rPr>
                    <w:t>固体</w:t>
                  </w:r>
                </w:p>
              </w:tc>
              <w:tc>
                <w:tcPr>
                  <w:tcW w:w="737" w:type="dxa"/>
                  <w:vAlign w:val="top"/>
                </w:tcPr>
                <w:p w14:paraId="7697B213">
                  <w:pPr>
                    <w:spacing w:line="302" w:lineRule="auto"/>
                    <w:rPr>
                      <w:rFonts w:ascii="Arial"/>
                      <w:sz w:val="21"/>
                    </w:rPr>
                  </w:pPr>
                </w:p>
                <w:p w14:paraId="16D8E3EF">
                  <w:pPr>
                    <w:spacing w:before="57" w:line="320" w:lineRule="auto"/>
                    <w:ind w:left="334" w:right="142" w:hanging="194"/>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z w:val="20"/>
                      <w:szCs w:val="20"/>
                    </w:rPr>
                    <w:t xml:space="preserve"> </w:t>
                  </w:r>
                  <w:r>
                    <w:rPr>
                      <w:rFonts w:ascii="Times New Roman" w:hAnsi="Times New Roman" w:eastAsia="Times New Roman" w:cs="Times New Roman"/>
                      <w:b/>
                      <w:bCs/>
                      <w:sz w:val="13"/>
                      <w:szCs w:val="13"/>
                    </w:rPr>
                    <w:t>5</w:t>
                  </w:r>
                </w:p>
              </w:tc>
              <w:tc>
                <w:tcPr>
                  <w:tcW w:w="438" w:type="dxa"/>
                  <w:textDirection w:val="tbRlV"/>
                  <w:vAlign w:val="top"/>
                </w:tcPr>
                <w:p w14:paraId="57C1ECA5">
                  <w:pPr>
                    <w:pStyle w:val="6"/>
                    <w:spacing w:before="114" w:line="216" w:lineRule="auto"/>
                    <w:ind w:left="308"/>
                    <w:rPr>
                      <w:sz w:val="20"/>
                      <w:szCs w:val="20"/>
                    </w:rPr>
                  </w:pPr>
                  <w:r>
                    <w:rPr>
                      <w:b/>
                      <w:bCs/>
                      <w:spacing w:val="6"/>
                      <w:sz w:val="20"/>
                      <w:szCs w:val="20"/>
                    </w:rPr>
                    <w:t>氨</w:t>
                  </w:r>
                  <w:r>
                    <w:rPr>
                      <w:spacing w:val="-38"/>
                      <w:sz w:val="20"/>
                      <w:szCs w:val="20"/>
                    </w:rPr>
                    <w:t xml:space="preserve"> </w:t>
                  </w:r>
                  <w:r>
                    <w:rPr>
                      <w:b/>
                      <w:bCs/>
                      <w:spacing w:val="6"/>
                      <w:sz w:val="20"/>
                      <w:szCs w:val="20"/>
                    </w:rPr>
                    <w:t>氮</w:t>
                  </w:r>
                </w:p>
              </w:tc>
              <w:tc>
                <w:tcPr>
                  <w:tcW w:w="593" w:type="dxa"/>
                  <w:vAlign w:val="top"/>
                </w:tcPr>
                <w:p w14:paraId="35694DD9">
                  <w:pPr>
                    <w:spacing w:line="420" w:lineRule="auto"/>
                    <w:rPr>
                      <w:rFonts w:ascii="Arial"/>
                      <w:sz w:val="21"/>
                    </w:rPr>
                  </w:pPr>
                </w:p>
                <w:p w14:paraId="2A66ED44">
                  <w:pPr>
                    <w:spacing w:before="58" w:line="195" w:lineRule="auto"/>
                    <w:ind w:left="140"/>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DO</w:t>
                  </w:r>
                </w:p>
              </w:tc>
              <w:tc>
                <w:tcPr>
                  <w:tcW w:w="831" w:type="dxa"/>
                  <w:vAlign w:val="top"/>
                </w:tcPr>
                <w:p w14:paraId="1AD9C5DC">
                  <w:pPr>
                    <w:pStyle w:val="6"/>
                    <w:spacing w:before="38" w:line="242" w:lineRule="auto"/>
                    <w:ind w:left="211" w:right="203" w:firstLine="15"/>
                    <w:jc w:val="both"/>
                    <w:rPr>
                      <w:sz w:val="20"/>
                      <w:szCs w:val="20"/>
                    </w:rPr>
                  </w:pPr>
                  <w:r>
                    <w:rPr>
                      <w:b/>
                      <w:bCs/>
                      <w:spacing w:val="-5"/>
                      <w:sz w:val="20"/>
                      <w:szCs w:val="20"/>
                    </w:rPr>
                    <w:t>阴离</w:t>
                  </w:r>
                  <w:r>
                    <w:rPr>
                      <w:sz w:val="20"/>
                      <w:szCs w:val="20"/>
                    </w:rPr>
                    <w:t xml:space="preserve"> </w:t>
                  </w:r>
                  <w:r>
                    <w:rPr>
                      <w:b/>
                      <w:bCs/>
                      <w:spacing w:val="3"/>
                      <w:sz w:val="20"/>
                      <w:szCs w:val="20"/>
                    </w:rPr>
                    <w:t>子表</w:t>
                  </w:r>
                  <w:r>
                    <w:rPr>
                      <w:sz w:val="20"/>
                      <w:szCs w:val="20"/>
                    </w:rPr>
                    <w:t xml:space="preserve"> </w:t>
                  </w:r>
                  <w:r>
                    <w:rPr>
                      <w:b/>
                      <w:bCs/>
                      <w:spacing w:val="3"/>
                      <w:sz w:val="20"/>
                      <w:szCs w:val="20"/>
                    </w:rPr>
                    <w:t>面活</w:t>
                  </w:r>
                  <w:r>
                    <w:rPr>
                      <w:sz w:val="20"/>
                      <w:szCs w:val="20"/>
                    </w:rPr>
                    <w:t xml:space="preserve"> </w:t>
                  </w:r>
                  <w:r>
                    <w:rPr>
                      <w:b/>
                      <w:bCs/>
                      <w:spacing w:val="3"/>
                      <w:sz w:val="20"/>
                      <w:szCs w:val="20"/>
                    </w:rPr>
                    <w:t>性剂</w:t>
                  </w:r>
                </w:p>
              </w:tc>
              <w:tc>
                <w:tcPr>
                  <w:tcW w:w="1805" w:type="dxa"/>
                  <w:vAlign w:val="top"/>
                </w:tcPr>
                <w:p w14:paraId="130DEADF">
                  <w:pPr>
                    <w:spacing w:line="242" w:lineRule="auto"/>
                    <w:rPr>
                      <w:rFonts w:ascii="Arial"/>
                      <w:sz w:val="21"/>
                    </w:rPr>
                  </w:pPr>
                </w:p>
                <w:p w14:paraId="6A9A3AE9">
                  <w:pPr>
                    <w:pStyle w:val="6"/>
                    <w:spacing w:before="65" w:line="245" w:lineRule="auto"/>
                    <w:ind w:left="126" w:right="123" w:firstLine="153"/>
                    <w:rPr>
                      <w:sz w:val="20"/>
                      <w:szCs w:val="20"/>
                    </w:rPr>
                  </w:pPr>
                  <w:r>
                    <w:rPr>
                      <w:b/>
                      <w:bCs/>
                      <w:spacing w:val="6"/>
                      <w:sz w:val="20"/>
                      <w:szCs w:val="20"/>
                    </w:rPr>
                    <w:t>大肠埃希氏菌</w:t>
                  </w:r>
                  <w:r>
                    <w:rPr>
                      <w:spacing w:val="1"/>
                      <w:sz w:val="20"/>
                      <w:szCs w:val="20"/>
                    </w:rPr>
                    <w:t xml:space="preserve">  </w:t>
                  </w:r>
                  <w:r>
                    <w:rPr>
                      <w:b/>
                      <w:bCs/>
                      <w:spacing w:val="5"/>
                      <w:sz w:val="20"/>
                      <w:szCs w:val="20"/>
                    </w:rPr>
                    <w:t>（</w:t>
                  </w:r>
                  <w:r>
                    <w:rPr>
                      <w:rFonts w:ascii="Times New Roman" w:hAnsi="Times New Roman" w:eastAsia="Times New Roman" w:cs="Times New Roman"/>
                      <w:b/>
                      <w:bCs/>
                      <w:sz w:val="20"/>
                      <w:szCs w:val="20"/>
                    </w:rPr>
                    <w:t>MPN</w:t>
                  </w:r>
                  <w:r>
                    <w:rPr>
                      <w:rFonts w:ascii="Times New Roman" w:hAnsi="Times New Roman" w:eastAsia="Times New Roman" w:cs="Times New Roman"/>
                      <w:b/>
                      <w:bCs/>
                      <w:spacing w:val="5"/>
                      <w:sz w:val="20"/>
                      <w:szCs w:val="20"/>
                    </w:rPr>
                    <w:t>/100</w:t>
                  </w:r>
                  <w:r>
                    <w:rPr>
                      <w:rFonts w:ascii="Times New Roman" w:hAnsi="Times New Roman" w:eastAsia="Times New Roman" w:cs="Times New Roman"/>
                      <w:b/>
                      <w:bCs/>
                      <w:sz w:val="20"/>
                      <w:szCs w:val="20"/>
                    </w:rPr>
                    <w:t>mL</w:t>
                  </w:r>
                  <w:r>
                    <w:rPr>
                      <w:b/>
                      <w:bCs/>
                      <w:spacing w:val="5"/>
                      <w:sz w:val="20"/>
                      <w:szCs w:val="20"/>
                    </w:rPr>
                    <w:t>）</w:t>
                  </w:r>
                </w:p>
              </w:tc>
              <w:tc>
                <w:tcPr>
                  <w:tcW w:w="844" w:type="dxa"/>
                  <w:vAlign w:val="top"/>
                </w:tcPr>
                <w:p w14:paraId="37EBC298">
                  <w:pPr>
                    <w:spacing w:line="377" w:lineRule="auto"/>
                    <w:rPr>
                      <w:rFonts w:ascii="Arial"/>
                      <w:sz w:val="21"/>
                    </w:rPr>
                  </w:pPr>
                </w:p>
                <w:p w14:paraId="10B74750">
                  <w:pPr>
                    <w:pStyle w:val="6"/>
                    <w:spacing w:before="65" w:line="229" w:lineRule="auto"/>
                    <w:ind w:left="222"/>
                    <w:rPr>
                      <w:sz w:val="20"/>
                      <w:szCs w:val="20"/>
                    </w:rPr>
                  </w:pPr>
                  <w:r>
                    <w:rPr>
                      <w:b/>
                      <w:bCs/>
                      <w:spacing w:val="1"/>
                      <w:sz w:val="20"/>
                      <w:szCs w:val="20"/>
                    </w:rPr>
                    <w:t>总氯</w:t>
                  </w:r>
                </w:p>
              </w:tc>
            </w:tr>
            <w:tr w14:paraId="31494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473" w:type="dxa"/>
                  <w:textDirection w:val="tbRlV"/>
                  <w:vAlign w:val="top"/>
                </w:tcPr>
                <w:p w14:paraId="6E6AB5F7">
                  <w:pPr>
                    <w:pStyle w:val="6"/>
                    <w:spacing w:before="128" w:line="215" w:lineRule="auto"/>
                    <w:ind w:left="34"/>
                    <w:rPr>
                      <w:sz w:val="20"/>
                      <w:szCs w:val="20"/>
                    </w:rPr>
                  </w:pPr>
                  <w:r>
                    <w:rPr>
                      <w:spacing w:val="8"/>
                      <w:sz w:val="20"/>
                      <w:szCs w:val="20"/>
                    </w:rPr>
                    <w:t>绿</w:t>
                  </w:r>
                  <w:r>
                    <w:rPr>
                      <w:spacing w:val="-36"/>
                      <w:sz w:val="20"/>
                      <w:szCs w:val="20"/>
                    </w:rPr>
                    <w:t xml:space="preserve"> </w:t>
                  </w:r>
                  <w:r>
                    <w:rPr>
                      <w:spacing w:val="8"/>
                      <w:sz w:val="20"/>
                      <w:szCs w:val="20"/>
                    </w:rPr>
                    <w:t>化</w:t>
                  </w:r>
                  <w:r>
                    <w:rPr>
                      <w:spacing w:val="-38"/>
                      <w:sz w:val="20"/>
                      <w:szCs w:val="20"/>
                    </w:rPr>
                    <w:t xml:space="preserve"> </w:t>
                  </w:r>
                  <w:r>
                    <w:rPr>
                      <w:spacing w:val="8"/>
                      <w:sz w:val="20"/>
                      <w:szCs w:val="20"/>
                    </w:rPr>
                    <w:t>用</w:t>
                  </w:r>
                  <w:r>
                    <w:rPr>
                      <w:spacing w:val="-35"/>
                      <w:sz w:val="20"/>
                      <w:szCs w:val="20"/>
                    </w:rPr>
                    <w:t xml:space="preserve"> </w:t>
                  </w:r>
                  <w:r>
                    <w:rPr>
                      <w:spacing w:val="8"/>
                      <w:sz w:val="20"/>
                      <w:szCs w:val="20"/>
                    </w:rPr>
                    <w:t>水</w:t>
                  </w:r>
                </w:p>
              </w:tc>
              <w:tc>
                <w:tcPr>
                  <w:tcW w:w="549" w:type="dxa"/>
                  <w:vAlign w:val="top"/>
                </w:tcPr>
                <w:p w14:paraId="58BB9DE3">
                  <w:pPr>
                    <w:spacing w:line="418" w:lineRule="auto"/>
                    <w:rPr>
                      <w:rFonts w:ascii="Arial"/>
                      <w:sz w:val="21"/>
                    </w:rPr>
                  </w:pPr>
                </w:p>
                <w:p w14:paraId="024B43BC">
                  <w:pPr>
                    <w:spacing w:before="57" w:line="195" w:lineRule="auto"/>
                    <w:ind w:left="138"/>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541" w:type="dxa"/>
                  <w:vAlign w:val="top"/>
                </w:tcPr>
                <w:p w14:paraId="500D73D0">
                  <w:pPr>
                    <w:spacing w:line="299" w:lineRule="auto"/>
                    <w:rPr>
                      <w:rFonts w:ascii="Arial"/>
                      <w:sz w:val="21"/>
                    </w:rPr>
                  </w:pPr>
                </w:p>
                <w:p w14:paraId="38800204">
                  <w:pPr>
                    <w:spacing w:before="58" w:line="236" w:lineRule="auto"/>
                    <w:ind w:left="221" w:right="159" w:hanging="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z w:val="20"/>
                      <w:szCs w:val="20"/>
                    </w:rPr>
                    <w:t xml:space="preserve"> 0</w:t>
                  </w:r>
                </w:p>
              </w:tc>
              <w:tc>
                <w:tcPr>
                  <w:tcW w:w="612" w:type="dxa"/>
                  <w:textDirection w:val="tbRlV"/>
                  <w:vAlign w:val="top"/>
                </w:tcPr>
                <w:p w14:paraId="74D8F72E">
                  <w:pPr>
                    <w:pStyle w:val="6"/>
                    <w:spacing w:before="201" w:line="216" w:lineRule="auto"/>
                    <w:ind w:left="34"/>
                    <w:rPr>
                      <w:sz w:val="20"/>
                      <w:szCs w:val="20"/>
                    </w:rPr>
                  </w:pPr>
                  <w:r>
                    <w:rPr>
                      <w:spacing w:val="8"/>
                      <w:sz w:val="20"/>
                      <w:szCs w:val="20"/>
                    </w:rPr>
                    <w:t>无</w:t>
                  </w:r>
                  <w:r>
                    <w:rPr>
                      <w:spacing w:val="-36"/>
                      <w:sz w:val="20"/>
                      <w:szCs w:val="20"/>
                    </w:rPr>
                    <w:t xml:space="preserve"> </w:t>
                  </w:r>
                  <w:r>
                    <w:rPr>
                      <w:spacing w:val="8"/>
                      <w:sz w:val="20"/>
                      <w:szCs w:val="20"/>
                    </w:rPr>
                    <w:t>不</w:t>
                  </w:r>
                  <w:r>
                    <w:rPr>
                      <w:spacing w:val="-38"/>
                      <w:sz w:val="20"/>
                      <w:szCs w:val="20"/>
                    </w:rPr>
                    <w:t xml:space="preserve"> </w:t>
                  </w:r>
                  <w:r>
                    <w:rPr>
                      <w:spacing w:val="8"/>
                      <w:sz w:val="20"/>
                      <w:szCs w:val="20"/>
                    </w:rPr>
                    <w:t>快</w:t>
                  </w:r>
                  <w:r>
                    <w:rPr>
                      <w:spacing w:val="-35"/>
                      <w:sz w:val="20"/>
                      <w:szCs w:val="20"/>
                    </w:rPr>
                    <w:t xml:space="preserve"> </w:t>
                  </w:r>
                  <w:r>
                    <w:rPr>
                      <w:spacing w:val="8"/>
                      <w:sz w:val="20"/>
                      <w:szCs w:val="20"/>
                    </w:rPr>
                    <w:t>感</w:t>
                  </w:r>
                </w:p>
              </w:tc>
              <w:tc>
                <w:tcPr>
                  <w:tcW w:w="751" w:type="dxa"/>
                  <w:vAlign w:val="top"/>
                </w:tcPr>
                <w:p w14:paraId="4A7FB34A">
                  <w:pPr>
                    <w:spacing w:line="418" w:lineRule="auto"/>
                    <w:rPr>
                      <w:rFonts w:ascii="Arial"/>
                      <w:sz w:val="21"/>
                    </w:rPr>
                  </w:pPr>
                </w:p>
                <w:p w14:paraId="5FF92571">
                  <w:pPr>
                    <w:spacing w:before="58"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≤1000</w:t>
                  </w:r>
                </w:p>
              </w:tc>
              <w:tc>
                <w:tcPr>
                  <w:tcW w:w="737" w:type="dxa"/>
                  <w:vAlign w:val="top"/>
                </w:tcPr>
                <w:p w14:paraId="424A1E94">
                  <w:pPr>
                    <w:spacing w:line="418" w:lineRule="auto"/>
                    <w:rPr>
                      <w:rFonts w:ascii="Arial"/>
                      <w:sz w:val="21"/>
                    </w:rPr>
                  </w:pPr>
                </w:p>
                <w:p w14:paraId="4FC12E93">
                  <w:pPr>
                    <w:spacing w:before="58"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438" w:type="dxa"/>
                  <w:vAlign w:val="top"/>
                </w:tcPr>
                <w:p w14:paraId="5B2B2267">
                  <w:pPr>
                    <w:spacing w:line="418" w:lineRule="auto"/>
                    <w:rPr>
                      <w:rFonts w:ascii="Arial"/>
                      <w:sz w:val="21"/>
                    </w:rPr>
                  </w:pPr>
                </w:p>
                <w:p w14:paraId="7B14C920">
                  <w:pPr>
                    <w:spacing w:before="58"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w:t>
                  </w:r>
                </w:p>
              </w:tc>
              <w:tc>
                <w:tcPr>
                  <w:tcW w:w="593" w:type="dxa"/>
                  <w:vAlign w:val="top"/>
                </w:tcPr>
                <w:p w14:paraId="356BB6C4">
                  <w:pPr>
                    <w:spacing w:line="299" w:lineRule="auto"/>
                    <w:rPr>
                      <w:rFonts w:ascii="Arial"/>
                      <w:sz w:val="21"/>
                    </w:rPr>
                  </w:pPr>
                </w:p>
                <w:p w14:paraId="04BA2448">
                  <w:pPr>
                    <w:spacing w:before="58" w:line="236" w:lineRule="auto"/>
                    <w:ind w:left="248" w:right="158" w:hanging="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z w:val="20"/>
                      <w:szCs w:val="20"/>
                    </w:rPr>
                    <w:t xml:space="preserve"> 0</w:t>
                  </w:r>
                </w:p>
              </w:tc>
              <w:tc>
                <w:tcPr>
                  <w:tcW w:w="831" w:type="dxa"/>
                  <w:vAlign w:val="top"/>
                </w:tcPr>
                <w:p w14:paraId="7EF9911C">
                  <w:pPr>
                    <w:spacing w:line="418" w:lineRule="auto"/>
                    <w:rPr>
                      <w:rFonts w:ascii="Arial"/>
                      <w:sz w:val="21"/>
                    </w:rPr>
                  </w:pPr>
                </w:p>
                <w:p w14:paraId="0C85B1C5">
                  <w:pPr>
                    <w:spacing w:before="5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805" w:type="dxa"/>
                  <w:vAlign w:val="top"/>
                </w:tcPr>
                <w:p w14:paraId="466B2AD3">
                  <w:pPr>
                    <w:spacing w:line="374" w:lineRule="auto"/>
                    <w:rPr>
                      <w:rFonts w:ascii="Arial"/>
                      <w:sz w:val="21"/>
                    </w:rPr>
                  </w:pPr>
                </w:p>
                <w:p w14:paraId="60320BC5">
                  <w:pPr>
                    <w:pStyle w:val="6"/>
                    <w:spacing w:before="65" w:line="228" w:lineRule="auto"/>
                    <w:ind w:left="493"/>
                    <w:rPr>
                      <w:sz w:val="20"/>
                      <w:szCs w:val="20"/>
                    </w:rPr>
                  </w:pPr>
                  <w:r>
                    <w:rPr>
                      <w:spacing w:val="6"/>
                      <w:sz w:val="20"/>
                      <w:szCs w:val="20"/>
                    </w:rPr>
                    <w:t>不应检出</w:t>
                  </w:r>
                </w:p>
              </w:tc>
              <w:tc>
                <w:tcPr>
                  <w:tcW w:w="844" w:type="dxa"/>
                  <w:vAlign w:val="top"/>
                </w:tcPr>
                <w:p w14:paraId="221E9558">
                  <w:pPr>
                    <w:pStyle w:val="6"/>
                    <w:spacing w:before="31" w:line="246" w:lineRule="auto"/>
                    <w:ind w:left="217" w:right="210" w:firstLine="44"/>
                    <w:jc w:val="both"/>
                    <w:rPr>
                      <w:sz w:val="20"/>
                      <w:szCs w:val="20"/>
                    </w:rPr>
                  </w:pPr>
                  <w:r>
                    <w:rPr>
                      <w:rFonts w:ascii="Times New Roman" w:hAnsi="Times New Roman" w:eastAsia="Times New Roman" w:cs="Times New Roman"/>
                      <w:spacing w:val="1"/>
                      <w:position w:val="-1"/>
                      <w:sz w:val="20"/>
                      <w:szCs w:val="20"/>
                    </w:rPr>
                    <w:t>0.2</w:t>
                  </w:r>
                  <w:r>
                    <w:rPr>
                      <w:rFonts w:ascii="Times New Roman" w:hAnsi="Times New Roman" w:eastAsia="Times New Roman" w:cs="Times New Roman"/>
                      <w:spacing w:val="1"/>
                      <w:position w:val="5"/>
                      <w:sz w:val="13"/>
                      <w:szCs w:val="13"/>
                    </w:rPr>
                    <w:t xml:space="preserve">b  </w:t>
                  </w:r>
                  <w:r>
                    <w:rPr>
                      <w:spacing w:val="5"/>
                      <w:sz w:val="20"/>
                      <w:szCs w:val="20"/>
                    </w:rPr>
                    <w:t>（管</w:t>
                  </w:r>
                  <w:r>
                    <w:rPr>
                      <w:sz w:val="20"/>
                      <w:szCs w:val="20"/>
                    </w:rPr>
                    <w:t xml:space="preserve"> </w:t>
                  </w:r>
                  <w:r>
                    <w:rPr>
                      <w:spacing w:val="4"/>
                      <w:sz w:val="20"/>
                      <w:szCs w:val="20"/>
                    </w:rPr>
                    <w:t>网末</w:t>
                  </w:r>
                  <w:r>
                    <w:rPr>
                      <w:sz w:val="20"/>
                      <w:szCs w:val="20"/>
                    </w:rPr>
                    <w:t xml:space="preserve"> 端）</w:t>
                  </w:r>
                </w:p>
              </w:tc>
            </w:tr>
            <w:tr w14:paraId="6CD60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174" w:type="dxa"/>
                  <w:gridSpan w:val="11"/>
                  <w:vAlign w:val="top"/>
                </w:tcPr>
                <w:p w14:paraId="2E133D55">
                  <w:pPr>
                    <w:pStyle w:val="6"/>
                    <w:spacing w:before="70" w:line="221" w:lineRule="auto"/>
                    <w:ind w:left="116"/>
                    <w:rPr>
                      <w:sz w:val="20"/>
                      <w:szCs w:val="20"/>
                    </w:rPr>
                  </w:pPr>
                  <w:r>
                    <w:rPr>
                      <w:spacing w:val="7"/>
                      <w:sz w:val="20"/>
                      <w:szCs w:val="20"/>
                    </w:rPr>
                    <w:t>注：</w:t>
                  </w:r>
                  <w:r>
                    <w:rPr>
                      <w:rFonts w:ascii="Times New Roman" w:hAnsi="Times New Roman" w:eastAsia="Times New Roman" w:cs="Times New Roman"/>
                      <w:spacing w:val="7"/>
                      <w:position w:val="6"/>
                      <w:sz w:val="13"/>
                      <w:szCs w:val="13"/>
                    </w:rPr>
                    <w:t xml:space="preserve">b </w:t>
                  </w:r>
                  <w:r>
                    <w:rPr>
                      <w:spacing w:val="7"/>
                      <w:sz w:val="20"/>
                      <w:szCs w:val="20"/>
                    </w:rPr>
                    <w:t>用于城市绿化时，不应超过</w:t>
                  </w:r>
                  <w:r>
                    <w:rPr>
                      <w:spacing w:val="-35"/>
                      <w:sz w:val="20"/>
                      <w:szCs w:val="20"/>
                    </w:rPr>
                    <w:t xml:space="preserve"> </w:t>
                  </w:r>
                  <w:r>
                    <w:rPr>
                      <w:rFonts w:ascii="Times New Roman" w:hAnsi="Times New Roman" w:eastAsia="Times New Roman" w:cs="Times New Roman"/>
                      <w:spacing w:val="7"/>
                      <w:sz w:val="20"/>
                      <w:szCs w:val="20"/>
                    </w:rPr>
                    <w:t>2.5</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/L</w:t>
                  </w:r>
                  <w:r>
                    <w:rPr>
                      <w:spacing w:val="7"/>
                      <w:sz w:val="20"/>
                      <w:szCs w:val="20"/>
                    </w:rPr>
                    <w:t>。</w:t>
                  </w:r>
                </w:p>
              </w:tc>
            </w:tr>
          </w:tbl>
          <w:p w14:paraId="4E1B5556">
            <w:pPr>
              <w:pStyle w:val="6"/>
              <w:spacing w:before="36" w:line="220" w:lineRule="auto"/>
              <w:ind w:left="600"/>
            </w:pPr>
            <w:r>
              <w:rPr>
                <w:b/>
                <w:bCs/>
                <w:spacing w:val="-7"/>
              </w:rPr>
              <w:t>（</w:t>
            </w:r>
            <w:r>
              <w:rPr>
                <w:rFonts w:ascii="Times New Roman" w:hAnsi="Times New Roman" w:eastAsia="Times New Roman" w:cs="Times New Roman"/>
                <w:b/>
                <w:bCs/>
                <w:spacing w:val="-7"/>
              </w:rPr>
              <w:t>3</w:t>
            </w:r>
            <w:r>
              <w:rPr>
                <w:b/>
                <w:bCs/>
                <w:spacing w:val="-7"/>
              </w:rPr>
              <w:t>）噪声</w:t>
            </w:r>
          </w:p>
          <w:p w14:paraId="23D89EA8">
            <w:pPr>
              <w:pStyle w:val="6"/>
              <w:spacing w:before="179" w:line="345" w:lineRule="auto"/>
              <w:ind w:left="120" w:right="116" w:firstLine="467"/>
            </w:pPr>
            <w:r>
              <w:rPr>
                <w:spacing w:val="13"/>
              </w:rPr>
              <w:t>施工期：</w:t>
            </w:r>
            <w:r>
              <w:rPr>
                <w:spacing w:val="-30"/>
              </w:rPr>
              <w:t xml:space="preserve"> </w:t>
            </w:r>
            <w:r>
              <w:rPr>
                <w:spacing w:val="13"/>
              </w:rPr>
              <w:t>电站施工场界噪声执行《建筑施工场界环境噪声排放标准》</w:t>
            </w:r>
            <w:r>
              <w:t xml:space="preserve"> </w:t>
            </w:r>
            <w:r>
              <w:rPr>
                <w:spacing w:val="-2"/>
              </w:rPr>
              <w:t>（</w:t>
            </w:r>
            <w:r>
              <w:rPr>
                <w:rFonts w:ascii="Times New Roman" w:hAnsi="Times New Roman" w:eastAsia="Times New Roman" w:cs="Times New Roman"/>
                <w:spacing w:val="-2"/>
              </w:rPr>
              <w:t>GB12523-2011</w:t>
            </w:r>
            <w:r>
              <w:rPr>
                <w:spacing w:val="5"/>
              </w:rPr>
              <w:t>），</w:t>
            </w:r>
            <w:r>
              <w:rPr>
                <w:spacing w:val="-2"/>
              </w:rPr>
              <w:t>标准值详见下表。</w:t>
            </w:r>
          </w:p>
          <w:p w14:paraId="12871733">
            <w:pPr>
              <w:pStyle w:val="6"/>
              <w:spacing w:before="33" w:line="223" w:lineRule="auto"/>
              <w:ind w:left="1218"/>
              <w:rPr>
                <w:sz w:val="20"/>
                <w:szCs w:val="20"/>
              </w:rPr>
            </w:pPr>
            <w:r>
              <w:rPr>
                <w:b/>
                <w:bCs/>
                <w:spacing w:val="7"/>
                <w:sz w:val="20"/>
                <w:szCs w:val="20"/>
              </w:rPr>
              <w:t>表</w:t>
            </w:r>
            <w:r>
              <w:rPr>
                <w:spacing w:val="-41"/>
                <w:sz w:val="20"/>
                <w:szCs w:val="20"/>
              </w:rPr>
              <w:t xml:space="preserve"> </w:t>
            </w:r>
            <w:r>
              <w:rPr>
                <w:rFonts w:ascii="Times New Roman" w:hAnsi="Times New Roman" w:eastAsia="Times New Roman" w:cs="Times New Roman"/>
                <w:b/>
                <w:bCs/>
                <w:spacing w:val="7"/>
                <w:sz w:val="20"/>
                <w:szCs w:val="20"/>
              </w:rPr>
              <w:t xml:space="preserve">3-21    </w:t>
            </w:r>
            <w:r>
              <w:rPr>
                <w:b/>
                <w:bCs/>
                <w:spacing w:val="7"/>
                <w:sz w:val="20"/>
                <w:szCs w:val="20"/>
              </w:rPr>
              <w:t>建筑施工场界环境噪声排放（</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12</w:t>
            </w:r>
            <w:r>
              <w:rPr>
                <w:rFonts w:ascii="Times New Roman" w:hAnsi="Times New Roman" w:eastAsia="Times New Roman" w:cs="Times New Roman"/>
                <w:b/>
                <w:bCs/>
                <w:spacing w:val="6"/>
                <w:sz w:val="20"/>
                <w:szCs w:val="20"/>
              </w:rPr>
              <w:t>523-2011</w:t>
            </w:r>
            <w:r>
              <w:rPr>
                <w:b/>
                <w:bCs/>
                <w:spacing w:val="-8"/>
                <w:sz w:val="20"/>
                <w:szCs w:val="20"/>
              </w:rPr>
              <w:t>）（</w:t>
            </w:r>
            <w:r>
              <w:rPr>
                <w:b/>
                <w:bCs/>
                <w:spacing w:val="6"/>
                <w:sz w:val="20"/>
                <w:szCs w:val="20"/>
              </w:rPr>
              <w:t>摘录）</w:t>
            </w:r>
          </w:p>
          <w:tbl>
            <w:tblPr>
              <w:tblStyle w:val="5"/>
              <w:tblW w:w="8176"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43"/>
              <w:gridCol w:w="4233"/>
            </w:tblGrid>
            <w:tr w14:paraId="1B5A3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943" w:type="dxa"/>
                  <w:vAlign w:val="top"/>
                </w:tcPr>
                <w:p w14:paraId="674E6015">
                  <w:pPr>
                    <w:pStyle w:val="6"/>
                    <w:spacing w:before="36" w:line="216" w:lineRule="auto"/>
                    <w:ind w:left="1765"/>
                    <w:rPr>
                      <w:sz w:val="20"/>
                      <w:szCs w:val="20"/>
                    </w:rPr>
                  </w:pPr>
                  <w:r>
                    <w:rPr>
                      <w:b/>
                      <w:bCs/>
                      <w:spacing w:val="4"/>
                      <w:sz w:val="20"/>
                      <w:szCs w:val="20"/>
                    </w:rPr>
                    <w:t>昼间</w:t>
                  </w:r>
                </w:p>
              </w:tc>
              <w:tc>
                <w:tcPr>
                  <w:tcW w:w="4233" w:type="dxa"/>
                  <w:vAlign w:val="top"/>
                </w:tcPr>
                <w:p w14:paraId="61CBC1D2">
                  <w:pPr>
                    <w:pStyle w:val="6"/>
                    <w:spacing w:before="36" w:line="216" w:lineRule="auto"/>
                    <w:ind w:left="1913"/>
                    <w:rPr>
                      <w:sz w:val="20"/>
                      <w:szCs w:val="20"/>
                    </w:rPr>
                  </w:pPr>
                  <w:r>
                    <w:rPr>
                      <w:b/>
                      <w:bCs/>
                      <w:spacing w:val="2"/>
                      <w:sz w:val="20"/>
                      <w:szCs w:val="20"/>
                    </w:rPr>
                    <w:t>夜间</w:t>
                  </w:r>
                </w:p>
              </w:tc>
            </w:tr>
            <w:tr w14:paraId="43488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3943" w:type="dxa"/>
                  <w:vAlign w:val="top"/>
                </w:tcPr>
                <w:p w14:paraId="3C841B70">
                  <w:pPr>
                    <w:pStyle w:val="6"/>
                    <w:spacing w:before="35" w:line="216" w:lineRule="auto"/>
                    <w:ind w:left="1463"/>
                    <w:rPr>
                      <w:sz w:val="20"/>
                      <w:szCs w:val="20"/>
                    </w:rPr>
                  </w:pPr>
                  <w:r>
                    <w:rPr>
                      <w:rFonts w:ascii="Times New Roman" w:hAnsi="Times New Roman" w:eastAsia="Times New Roman" w:cs="Times New Roman"/>
                      <w:spacing w:val="6"/>
                      <w:sz w:val="20"/>
                      <w:szCs w:val="20"/>
                    </w:rPr>
                    <w:t>70</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6"/>
                      <w:sz w:val="20"/>
                      <w:szCs w:val="20"/>
                    </w:rPr>
                    <w:t>）</w:t>
                  </w:r>
                </w:p>
              </w:tc>
              <w:tc>
                <w:tcPr>
                  <w:tcW w:w="4233" w:type="dxa"/>
                  <w:vAlign w:val="top"/>
                </w:tcPr>
                <w:p w14:paraId="5A4F7910">
                  <w:pPr>
                    <w:pStyle w:val="6"/>
                    <w:spacing w:before="35" w:line="216" w:lineRule="auto"/>
                    <w:ind w:left="1609"/>
                    <w:rPr>
                      <w:sz w:val="20"/>
                      <w:szCs w:val="20"/>
                    </w:rPr>
                  </w:pPr>
                  <w:r>
                    <w:rPr>
                      <w:rFonts w:ascii="Times New Roman" w:hAnsi="Times New Roman" w:eastAsia="Times New Roman" w:cs="Times New Roman"/>
                      <w:spacing w:val="5"/>
                      <w:sz w:val="20"/>
                      <w:szCs w:val="20"/>
                    </w:rPr>
                    <w:t>55</w:t>
                  </w:r>
                  <w:r>
                    <w:rPr>
                      <w:rFonts w:ascii="Times New Roman" w:hAnsi="Times New Roman" w:eastAsia="Times New Roman" w:cs="Times New Roman"/>
                      <w:sz w:val="20"/>
                      <w:szCs w:val="20"/>
                    </w:rPr>
                    <w:t>dB</w:t>
                  </w:r>
                  <w:r>
                    <w:rPr>
                      <w:spacing w:val="5"/>
                      <w:sz w:val="20"/>
                      <w:szCs w:val="20"/>
                    </w:rPr>
                    <w:t>（</w:t>
                  </w:r>
                  <w:r>
                    <w:rPr>
                      <w:rFonts w:ascii="Times New Roman" w:hAnsi="Times New Roman" w:eastAsia="Times New Roman" w:cs="Times New Roman"/>
                      <w:spacing w:val="5"/>
                      <w:sz w:val="20"/>
                      <w:szCs w:val="20"/>
                    </w:rPr>
                    <w:t>A</w:t>
                  </w:r>
                  <w:r>
                    <w:rPr>
                      <w:spacing w:val="5"/>
                      <w:sz w:val="20"/>
                      <w:szCs w:val="20"/>
                    </w:rPr>
                    <w:t>）</w:t>
                  </w:r>
                </w:p>
              </w:tc>
            </w:tr>
          </w:tbl>
          <w:p w14:paraId="51A9D03F">
            <w:pPr>
              <w:pStyle w:val="6"/>
              <w:spacing w:before="36" w:line="350" w:lineRule="auto"/>
              <w:ind w:left="120" w:right="116" w:firstLine="468"/>
              <w:jc w:val="both"/>
            </w:pPr>
            <w:r>
              <w:rPr>
                <w:spacing w:val="36"/>
              </w:rPr>
              <w:t>运营期</w:t>
            </w:r>
            <w:r>
              <w:rPr>
                <w:spacing w:val="-34"/>
              </w:rPr>
              <w:t xml:space="preserve"> </w:t>
            </w:r>
            <w:r>
              <w:rPr>
                <w:spacing w:val="36"/>
              </w:rPr>
              <w:t>：</w:t>
            </w:r>
            <w:r>
              <w:rPr>
                <w:spacing w:val="-63"/>
              </w:rPr>
              <w:t xml:space="preserve"> </w:t>
            </w:r>
            <w:r>
              <w:rPr>
                <w:spacing w:val="36"/>
              </w:rPr>
              <w:t>光伏发电区执行《</w:t>
            </w:r>
            <w:r>
              <w:rPr>
                <w:spacing w:val="-36"/>
              </w:rPr>
              <w:t xml:space="preserve"> </w:t>
            </w:r>
            <w:r>
              <w:rPr>
                <w:spacing w:val="36"/>
              </w:rPr>
              <w:t>工业企业厂界环境噪声排放标准》</w:t>
            </w:r>
            <w:r>
              <w:t xml:space="preserve"> （</w:t>
            </w:r>
            <w:r>
              <w:rPr>
                <w:rFonts w:ascii="Times New Roman" w:hAnsi="Times New Roman" w:eastAsia="Times New Roman" w:cs="Times New Roman"/>
              </w:rPr>
              <w:t>GB12348-2008</w:t>
            </w:r>
            <w:r>
              <w:t>）</w:t>
            </w:r>
            <w:r>
              <w:rPr>
                <w:rFonts w:ascii="Times New Roman" w:hAnsi="Times New Roman" w:eastAsia="Times New Roman" w:cs="Times New Roman"/>
              </w:rPr>
              <w:t xml:space="preserve">1 </w:t>
            </w:r>
            <w:r>
              <w:t>类标准，升压站执行《工业企业厂界环境噪</w:t>
            </w:r>
            <w:r>
              <w:rPr>
                <w:spacing w:val="-1"/>
              </w:rPr>
              <w:t>声排放标准》</w:t>
            </w:r>
            <w:r>
              <w:t xml:space="preserve"> </w:t>
            </w:r>
            <w:r>
              <w:rPr>
                <w:spacing w:val="-1"/>
              </w:rPr>
              <w:t>（</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 xml:space="preserve">2 </w:t>
            </w:r>
            <w:r>
              <w:rPr>
                <w:spacing w:val="-1"/>
              </w:rPr>
              <w:t>类标准，标准限值见表</w:t>
            </w:r>
            <w:r>
              <w:rPr>
                <w:spacing w:val="-51"/>
              </w:rPr>
              <w:t xml:space="preserve"> </w:t>
            </w:r>
            <w:r>
              <w:rPr>
                <w:rFonts w:ascii="Times New Roman" w:hAnsi="Times New Roman" w:eastAsia="Times New Roman" w:cs="Times New Roman"/>
                <w:spacing w:val="-1"/>
              </w:rPr>
              <w:t>3-2</w:t>
            </w:r>
            <w:r>
              <w:rPr>
                <w:rFonts w:ascii="Times New Roman" w:hAnsi="Times New Roman" w:eastAsia="Times New Roman" w:cs="Times New Roman"/>
                <w:spacing w:val="-2"/>
              </w:rPr>
              <w:t>2</w:t>
            </w:r>
            <w:r>
              <w:rPr>
                <w:spacing w:val="-2"/>
              </w:rPr>
              <w:t>。</w:t>
            </w:r>
          </w:p>
          <w:p w14:paraId="44C1F45F">
            <w:pPr>
              <w:pStyle w:val="6"/>
              <w:spacing w:before="30" w:line="223" w:lineRule="auto"/>
              <w:ind w:left="1458"/>
              <w:rPr>
                <w:sz w:val="20"/>
                <w:szCs w:val="20"/>
              </w:rPr>
            </w:pPr>
            <w:r>
              <w:rPr>
                <w:b/>
                <w:bCs/>
                <w:spacing w:val="7"/>
                <w:sz w:val="20"/>
                <w:szCs w:val="20"/>
              </w:rPr>
              <w:t>表</w:t>
            </w:r>
            <w:r>
              <w:rPr>
                <w:spacing w:val="-44"/>
                <w:sz w:val="20"/>
                <w:szCs w:val="20"/>
              </w:rPr>
              <w:t xml:space="preserve"> </w:t>
            </w:r>
            <w:r>
              <w:rPr>
                <w:rFonts w:ascii="Times New Roman" w:hAnsi="Times New Roman" w:eastAsia="Times New Roman" w:cs="Times New Roman"/>
                <w:b/>
                <w:bCs/>
                <w:spacing w:val="7"/>
                <w:sz w:val="20"/>
                <w:szCs w:val="20"/>
              </w:rPr>
              <w:t xml:space="preserve">3-22    </w:t>
            </w:r>
            <w:r>
              <w:rPr>
                <w:b/>
                <w:bCs/>
                <w:spacing w:val="7"/>
                <w:sz w:val="20"/>
                <w:szCs w:val="20"/>
              </w:rPr>
              <w:t>工业企业厂界环境噪声排放标</w:t>
            </w:r>
            <w:r>
              <w:rPr>
                <w:b/>
                <w:bCs/>
                <w:spacing w:val="6"/>
                <w:sz w:val="20"/>
                <w:szCs w:val="20"/>
              </w:rPr>
              <w:t>准</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b/>
                <w:bCs/>
                <w:spacing w:val="6"/>
                <w:sz w:val="20"/>
                <w:szCs w:val="20"/>
              </w:rPr>
              <w:t>（</w:t>
            </w:r>
            <w:r>
              <w:rPr>
                <w:rFonts w:ascii="Times New Roman" w:hAnsi="Times New Roman" w:eastAsia="Times New Roman" w:cs="Times New Roman"/>
                <w:b/>
                <w:bCs/>
                <w:spacing w:val="6"/>
                <w:sz w:val="20"/>
                <w:szCs w:val="20"/>
              </w:rPr>
              <w:t>A</w:t>
            </w:r>
            <w:r>
              <w:rPr>
                <w:b/>
                <w:bCs/>
                <w:spacing w:val="6"/>
                <w:sz w:val="20"/>
                <w:szCs w:val="20"/>
              </w:rPr>
              <w:t>）</w:t>
            </w:r>
          </w:p>
          <w:tbl>
            <w:tblPr>
              <w:tblStyle w:val="5"/>
              <w:tblW w:w="8176"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24"/>
              <w:gridCol w:w="2725"/>
              <w:gridCol w:w="2727"/>
            </w:tblGrid>
            <w:tr w14:paraId="3F8B5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724" w:type="dxa"/>
                  <w:vAlign w:val="top"/>
                </w:tcPr>
                <w:p w14:paraId="66030990">
                  <w:pPr>
                    <w:pStyle w:val="6"/>
                    <w:spacing w:before="34" w:line="217" w:lineRule="auto"/>
                    <w:ind w:left="1156"/>
                    <w:rPr>
                      <w:sz w:val="20"/>
                      <w:szCs w:val="20"/>
                    </w:rPr>
                  </w:pPr>
                  <w:r>
                    <w:rPr>
                      <w:b/>
                      <w:bCs/>
                      <w:spacing w:val="3"/>
                      <w:sz w:val="20"/>
                      <w:szCs w:val="20"/>
                    </w:rPr>
                    <w:t>类别</w:t>
                  </w:r>
                </w:p>
              </w:tc>
              <w:tc>
                <w:tcPr>
                  <w:tcW w:w="2725" w:type="dxa"/>
                  <w:vAlign w:val="top"/>
                </w:tcPr>
                <w:p w14:paraId="1D1BE64D">
                  <w:pPr>
                    <w:pStyle w:val="6"/>
                    <w:spacing w:before="34" w:line="217" w:lineRule="auto"/>
                    <w:ind w:left="1155"/>
                    <w:rPr>
                      <w:sz w:val="20"/>
                      <w:szCs w:val="20"/>
                    </w:rPr>
                  </w:pPr>
                  <w:r>
                    <w:rPr>
                      <w:b/>
                      <w:bCs/>
                      <w:spacing w:val="4"/>
                      <w:sz w:val="20"/>
                      <w:szCs w:val="20"/>
                    </w:rPr>
                    <w:t>昼间</w:t>
                  </w:r>
                </w:p>
              </w:tc>
              <w:tc>
                <w:tcPr>
                  <w:tcW w:w="2727" w:type="dxa"/>
                  <w:vAlign w:val="top"/>
                </w:tcPr>
                <w:p w14:paraId="0C6C8253">
                  <w:pPr>
                    <w:pStyle w:val="6"/>
                    <w:spacing w:before="34" w:line="217" w:lineRule="auto"/>
                    <w:ind w:left="1161"/>
                    <w:rPr>
                      <w:sz w:val="20"/>
                      <w:szCs w:val="20"/>
                    </w:rPr>
                  </w:pPr>
                  <w:r>
                    <w:rPr>
                      <w:b/>
                      <w:bCs/>
                      <w:spacing w:val="2"/>
                      <w:sz w:val="20"/>
                      <w:szCs w:val="20"/>
                    </w:rPr>
                    <w:t>夜间</w:t>
                  </w:r>
                </w:p>
              </w:tc>
            </w:tr>
            <w:tr w14:paraId="56427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724" w:type="dxa"/>
                  <w:vAlign w:val="top"/>
                </w:tcPr>
                <w:p w14:paraId="6EBFFE85">
                  <w:pPr>
                    <w:pStyle w:val="6"/>
                    <w:spacing w:before="33" w:line="215" w:lineRule="auto"/>
                    <w:ind w:left="1199"/>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2"/>
                      <w:sz w:val="20"/>
                      <w:szCs w:val="20"/>
                    </w:rPr>
                    <w:t xml:space="preserve"> </w:t>
                  </w:r>
                  <w:r>
                    <w:rPr>
                      <w:spacing w:val="-10"/>
                      <w:sz w:val="20"/>
                      <w:szCs w:val="20"/>
                    </w:rPr>
                    <w:t>类</w:t>
                  </w:r>
                </w:p>
              </w:tc>
              <w:tc>
                <w:tcPr>
                  <w:tcW w:w="2725" w:type="dxa"/>
                  <w:vAlign w:val="top"/>
                </w:tcPr>
                <w:p w14:paraId="343A9895">
                  <w:pPr>
                    <w:spacing w:before="71" w:line="192" w:lineRule="auto"/>
                    <w:ind w:left="126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727" w:type="dxa"/>
                  <w:vAlign w:val="top"/>
                </w:tcPr>
                <w:p w14:paraId="6615058C">
                  <w:pPr>
                    <w:spacing w:before="68" w:line="195" w:lineRule="auto"/>
                    <w:ind w:left="1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5420E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724" w:type="dxa"/>
                  <w:vAlign w:val="top"/>
                </w:tcPr>
                <w:p w14:paraId="3DD52D95">
                  <w:pPr>
                    <w:pStyle w:val="6"/>
                    <w:spacing w:before="34" w:line="217" w:lineRule="auto"/>
                    <w:ind w:left="1179"/>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12"/>
                      <w:sz w:val="20"/>
                      <w:szCs w:val="20"/>
                    </w:rPr>
                    <w:t xml:space="preserve"> </w:t>
                  </w:r>
                  <w:r>
                    <w:rPr>
                      <w:sz w:val="20"/>
                      <w:szCs w:val="20"/>
                    </w:rPr>
                    <w:t>类</w:t>
                  </w:r>
                </w:p>
              </w:tc>
              <w:tc>
                <w:tcPr>
                  <w:tcW w:w="2725" w:type="dxa"/>
                  <w:vAlign w:val="top"/>
                </w:tcPr>
                <w:p w14:paraId="1E905728">
                  <w:pPr>
                    <w:spacing w:before="70" w:line="195" w:lineRule="auto"/>
                    <w:ind w:left="126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727" w:type="dxa"/>
                  <w:vAlign w:val="top"/>
                </w:tcPr>
                <w:p w14:paraId="27C403C2">
                  <w:pPr>
                    <w:spacing w:before="70" w:line="195" w:lineRule="auto"/>
                    <w:ind w:left="126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14:paraId="0670B502">
            <w:pPr>
              <w:pStyle w:val="6"/>
              <w:spacing w:before="35" w:line="220" w:lineRule="auto"/>
              <w:ind w:left="600"/>
            </w:pPr>
            <w:r>
              <w:rPr>
                <w:b/>
                <w:bCs/>
                <w:spacing w:val="-5"/>
              </w:rPr>
              <w:t>（</w:t>
            </w:r>
            <w:r>
              <w:rPr>
                <w:rFonts w:ascii="Times New Roman" w:hAnsi="Times New Roman" w:eastAsia="Times New Roman" w:cs="Times New Roman"/>
                <w:b/>
                <w:bCs/>
                <w:spacing w:val="-5"/>
              </w:rPr>
              <w:t>4</w:t>
            </w:r>
            <w:r>
              <w:rPr>
                <w:b/>
                <w:bCs/>
                <w:spacing w:val="-5"/>
              </w:rPr>
              <w:t>）固体废物</w:t>
            </w:r>
          </w:p>
          <w:p w14:paraId="4161105A">
            <w:pPr>
              <w:pStyle w:val="6"/>
              <w:spacing w:before="184" w:line="350" w:lineRule="auto"/>
              <w:ind w:left="120" w:firstLine="472"/>
              <w:jc w:val="both"/>
            </w:pPr>
            <w:r>
              <w:rPr>
                <w:spacing w:val="-4"/>
              </w:rPr>
              <w:t>一般工业固体废物贮存执行《一般工业固体废物贮存和填埋污染控制标准》</w:t>
            </w:r>
            <w:r>
              <w:rPr>
                <w:spacing w:val="4"/>
              </w:rPr>
              <w:t xml:space="preserve"> </w:t>
            </w:r>
            <w:r>
              <w:t>（</w:t>
            </w:r>
            <w:r>
              <w:rPr>
                <w:rFonts w:ascii="Times New Roman" w:hAnsi="Times New Roman" w:eastAsia="Times New Roman" w:cs="Times New Roman"/>
              </w:rPr>
              <w:t>GB</w:t>
            </w:r>
            <w:r>
              <w:rPr>
                <w:rFonts w:ascii="Times New Roman" w:hAnsi="Times New Roman" w:eastAsia="Times New Roman" w:cs="Times New Roman"/>
                <w:spacing w:val="31"/>
              </w:rPr>
              <w:t xml:space="preserve"> </w:t>
            </w:r>
            <w:r>
              <w:rPr>
                <w:rFonts w:ascii="Times New Roman" w:hAnsi="Times New Roman" w:eastAsia="Times New Roman" w:cs="Times New Roman"/>
              </w:rPr>
              <w:t>18599-2020</w:t>
            </w:r>
            <w:r>
              <w:t>）。危险废物贮存执行《危险废物贮存污染控制标准》（</w:t>
            </w:r>
            <w:r>
              <w:rPr>
                <w:rFonts w:ascii="Times New Roman" w:hAnsi="Times New Roman" w:eastAsia="Times New Roman" w:cs="Times New Roman"/>
              </w:rPr>
              <w:t xml:space="preserve">GB   </w:t>
            </w:r>
            <w:r>
              <w:rPr>
                <w:rFonts w:ascii="Times New Roman" w:hAnsi="Times New Roman" w:eastAsia="Times New Roman" w:cs="Times New Roman"/>
                <w:spacing w:val="-2"/>
              </w:rPr>
              <w:t>18597-2023</w:t>
            </w:r>
            <w:r>
              <w:rPr>
                <w:spacing w:val="-2"/>
              </w:rPr>
              <w:t>）的相关规定。</w:t>
            </w:r>
          </w:p>
          <w:p w14:paraId="340F54C7">
            <w:pPr>
              <w:pStyle w:val="6"/>
              <w:spacing w:before="33" w:line="219" w:lineRule="auto"/>
              <w:ind w:left="600"/>
            </w:pPr>
            <w:r>
              <w:rPr>
                <w:b/>
                <w:bCs/>
                <w:spacing w:val="-5"/>
              </w:rPr>
              <w:t>（</w:t>
            </w:r>
            <w:r>
              <w:rPr>
                <w:rFonts w:ascii="Times New Roman" w:hAnsi="Times New Roman" w:eastAsia="Times New Roman" w:cs="Times New Roman"/>
                <w:b/>
                <w:bCs/>
                <w:spacing w:val="-5"/>
              </w:rPr>
              <w:t>5</w:t>
            </w:r>
            <w:r>
              <w:rPr>
                <w:b/>
                <w:bCs/>
                <w:spacing w:val="-5"/>
              </w:rPr>
              <w:t>）电磁辐射</w:t>
            </w:r>
          </w:p>
          <w:p w14:paraId="5894D93A">
            <w:pPr>
              <w:pStyle w:val="6"/>
              <w:spacing w:before="183" w:line="219" w:lineRule="auto"/>
              <w:jc w:val="right"/>
            </w:pPr>
            <w:r>
              <w:rPr>
                <w:spacing w:val="-5"/>
              </w:rPr>
              <w:t>运营期电磁辐射按《电磁环境控制限值》（</w:t>
            </w:r>
            <w:r>
              <w:rPr>
                <w:rFonts w:ascii="Times New Roman" w:hAnsi="Times New Roman" w:eastAsia="Times New Roman" w:cs="Times New Roman"/>
                <w:spacing w:val="-5"/>
              </w:rPr>
              <w:t>GB</w:t>
            </w:r>
            <w:r>
              <w:rPr>
                <w:rFonts w:ascii="Times New Roman" w:hAnsi="Times New Roman" w:eastAsia="Times New Roman" w:cs="Times New Roman"/>
                <w:spacing w:val="31"/>
                <w:w w:val="101"/>
              </w:rPr>
              <w:t xml:space="preserve"> </w:t>
            </w:r>
            <w:r>
              <w:rPr>
                <w:rFonts w:ascii="Times New Roman" w:hAnsi="Times New Roman" w:eastAsia="Times New Roman" w:cs="Times New Roman"/>
                <w:spacing w:val="-5"/>
              </w:rPr>
              <w:t>8702-2014</w:t>
            </w:r>
            <w:r>
              <w:rPr>
                <w:spacing w:val="-5"/>
              </w:rPr>
              <w:t>）标准限值执行，</w:t>
            </w:r>
          </w:p>
        </w:tc>
      </w:tr>
    </w:tbl>
    <w:p w14:paraId="2D69DA9B">
      <w:pPr>
        <w:rPr>
          <w:rFonts w:ascii="Arial"/>
          <w:sz w:val="21"/>
        </w:rPr>
      </w:pPr>
    </w:p>
    <w:p w14:paraId="69F96524">
      <w:pPr>
        <w:rPr>
          <w:rFonts w:ascii="Arial" w:hAnsi="Arial" w:eastAsia="Arial" w:cs="Arial"/>
          <w:sz w:val="21"/>
          <w:szCs w:val="21"/>
        </w:rPr>
        <w:sectPr>
          <w:footerReference r:id="rId105" w:type="default"/>
          <w:pgSz w:w="11906" w:h="16839"/>
          <w:pgMar w:top="1431" w:right="1413" w:bottom="1278" w:left="1413" w:header="0" w:footer="1116" w:gutter="0"/>
          <w:cols w:space="720" w:num="1"/>
        </w:sectPr>
      </w:pPr>
    </w:p>
    <w:p w14:paraId="5F03816C">
      <w:pPr>
        <w:spacing w:line="99" w:lineRule="exact"/>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8"/>
        <w:gridCol w:w="8396"/>
      </w:tblGrid>
      <w:tr w14:paraId="0B10B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0" w:hRule="atLeast"/>
        </w:trPr>
        <w:tc>
          <w:tcPr>
            <w:tcW w:w="668" w:type="dxa"/>
            <w:tcBorders>
              <w:bottom w:val="single" w:color="000000" w:sz="2" w:space="0"/>
              <w:right w:val="single" w:color="000000" w:sz="2" w:space="0"/>
            </w:tcBorders>
            <w:vAlign w:val="top"/>
          </w:tcPr>
          <w:p w14:paraId="0B7DE4D0">
            <w:pPr>
              <w:rPr>
                <w:rFonts w:ascii="Arial"/>
                <w:sz w:val="21"/>
              </w:rPr>
            </w:pPr>
          </w:p>
        </w:tc>
        <w:tc>
          <w:tcPr>
            <w:tcW w:w="8396" w:type="dxa"/>
            <w:tcBorders>
              <w:left w:val="single" w:color="000000" w:sz="2" w:space="0"/>
              <w:bottom w:val="single" w:color="000000" w:sz="2" w:space="0"/>
            </w:tcBorders>
            <w:vAlign w:val="top"/>
          </w:tcPr>
          <w:p w14:paraId="171F86E3">
            <w:pPr>
              <w:pStyle w:val="6"/>
              <w:spacing w:before="30" w:line="342" w:lineRule="auto"/>
              <w:ind w:left="137" w:right="125" w:hanging="24"/>
            </w:pPr>
            <w:r>
              <w:rPr>
                <w:spacing w:val="-2"/>
              </w:rPr>
              <w:t>交流输变电工程工作频率为</w:t>
            </w:r>
            <w:r>
              <w:rPr>
                <w:spacing w:val="-38"/>
              </w:rPr>
              <w:t xml:space="preserve"> </w:t>
            </w:r>
            <w:r>
              <w:rPr>
                <w:rFonts w:ascii="Times New Roman" w:hAnsi="Times New Roman" w:eastAsia="Times New Roman" w:cs="Times New Roman"/>
                <w:spacing w:val="-2"/>
              </w:rPr>
              <w:t>0.05kHz</w:t>
            </w:r>
            <w:r>
              <w:rPr>
                <w:rFonts w:ascii="Times New Roman" w:hAnsi="Times New Roman" w:eastAsia="Times New Roman" w:cs="Times New Roman"/>
                <w:spacing w:val="-30"/>
              </w:rPr>
              <w:t xml:space="preserve"> </w:t>
            </w:r>
            <w:r>
              <w:rPr>
                <w:spacing w:val="-2"/>
              </w:rPr>
              <w:t>，则控制评价范围（升压站外</w:t>
            </w:r>
            <w:r>
              <w:rPr>
                <w:spacing w:val="-53"/>
              </w:rPr>
              <w:t xml:space="preserve"> </w:t>
            </w:r>
            <w:r>
              <w:rPr>
                <w:rFonts w:ascii="Times New Roman" w:hAnsi="Times New Roman" w:eastAsia="Times New Roman" w:cs="Times New Roman"/>
                <w:spacing w:val="-2"/>
              </w:rPr>
              <w:t>40m</w:t>
            </w:r>
            <w:r>
              <w:rPr>
                <w:rFonts w:ascii="Times New Roman" w:hAnsi="Times New Roman" w:eastAsia="Times New Roman" w:cs="Times New Roman"/>
                <w:spacing w:val="16"/>
              </w:rPr>
              <w:t xml:space="preserve"> </w:t>
            </w:r>
            <w:r>
              <w:rPr>
                <w:spacing w:val="-2"/>
              </w:rPr>
              <w:t>范围）</w:t>
            </w:r>
            <w:r>
              <w:t xml:space="preserve"> </w:t>
            </w:r>
            <w:r>
              <w:rPr>
                <w:spacing w:val="-5"/>
              </w:rPr>
              <w:t>内电磁强度</w:t>
            </w:r>
            <w:r>
              <w:rPr>
                <w:spacing w:val="-47"/>
              </w:rPr>
              <w:t xml:space="preserve"> </w:t>
            </w:r>
            <w:r>
              <w:rPr>
                <w:rFonts w:ascii="Times New Roman" w:hAnsi="Times New Roman" w:eastAsia="Times New Roman" w:cs="Times New Roman"/>
                <w:spacing w:val="-5"/>
              </w:rPr>
              <w:t>E</w:t>
            </w:r>
            <w:r>
              <w:rPr>
                <w:rFonts w:ascii="Times New Roman" w:hAnsi="Times New Roman" w:eastAsia="Times New Roman" w:cs="Times New Roman"/>
                <w:spacing w:val="16"/>
                <w:w w:val="101"/>
              </w:rPr>
              <w:t xml:space="preserve"> </w:t>
            </w:r>
            <w:r>
              <w:rPr>
                <w:spacing w:val="-5"/>
              </w:rPr>
              <w:t>小于</w:t>
            </w:r>
            <w:r>
              <w:rPr>
                <w:spacing w:val="-56"/>
              </w:rPr>
              <w:t xml:space="preserve"> </w:t>
            </w:r>
            <w:r>
              <w:rPr>
                <w:rFonts w:ascii="Times New Roman" w:hAnsi="Times New Roman" w:eastAsia="Times New Roman" w:cs="Times New Roman"/>
                <w:spacing w:val="-5"/>
              </w:rPr>
              <w:t>4000V/m</w:t>
            </w:r>
            <w:r>
              <w:rPr>
                <w:rFonts w:ascii="Times New Roman" w:hAnsi="Times New Roman" w:eastAsia="Times New Roman" w:cs="Times New Roman"/>
                <w:spacing w:val="-31"/>
              </w:rPr>
              <w:t xml:space="preserve"> </w:t>
            </w:r>
            <w:r>
              <w:rPr>
                <w:spacing w:val="-5"/>
              </w:rPr>
              <w:t>，磁感应强度</w:t>
            </w:r>
            <w:r>
              <w:rPr>
                <w:spacing w:val="-56"/>
              </w:rPr>
              <w:t xml:space="preserve"> </w:t>
            </w:r>
            <w:r>
              <w:rPr>
                <w:rFonts w:ascii="Times New Roman" w:hAnsi="Times New Roman" w:eastAsia="Times New Roman" w:cs="Times New Roman"/>
                <w:spacing w:val="-5"/>
              </w:rPr>
              <w:t>B</w:t>
            </w:r>
            <w:r>
              <w:rPr>
                <w:rFonts w:ascii="Times New Roman" w:hAnsi="Times New Roman" w:eastAsia="Times New Roman" w:cs="Times New Roman"/>
                <w:spacing w:val="15"/>
              </w:rPr>
              <w:t xml:space="preserve"> </w:t>
            </w:r>
            <w:r>
              <w:rPr>
                <w:spacing w:val="-5"/>
              </w:rPr>
              <w:t>小于</w:t>
            </w:r>
            <w:r>
              <w:rPr>
                <w:spacing w:val="-32"/>
              </w:rPr>
              <w:t xml:space="preserve"> </w:t>
            </w:r>
            <w:r>
              <w:rPr>
                <w:rFonts w:ascii="Times New Roman" w:hAnsi="Times New Roman" w:eastAsia="Times New Roman" w:cs="Times New Roman"/>
                <w:spacing w:val="-5"/>
              </w:rPr>
              <w:t>100μT</w:t>
            </w:r>
            <w:r>
              <w:rPr>
                <w:spacing w:val="-5"/>
              </w:rPr>
              <w:t>。</w:t>
            </w:r>
          </w:p>
        </w:tc>
      </w:tr>
      <w:tr w14:paraId="73F41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6" w:hRule="atLeast"/>
        </w:trPr>
        <w:tc>
          <w:tcPr>
            <w:tcW w:w="668" w:type="dxa"/>
            <w:tcBorders>
              <w:top w:val="single" w:color="000000" w:sz="2" w:space="0"/>
              <w:right w:val="single" w:color="000000" w:sz="2" w:space="0"/>
            </w:tcBorders>
            <w:textDirection w:val="tbRlV"/>
            <w:vAlign w:val="top"/>
          </w:tcPr>
          <w:p w14:paraId="31429F31">
            <w:pPr>
              <w:pStyle w:val="6"/>
              <w:spacing w:before="213" w:line="209" w:lineRule="auto"/>
              <w:ind w:left="1360"/>
            </w:pPr>
            <w:r>
              <w:rPr>
                <w:spacing w:val="35"/>
              </w:rPr>
              <w:t>其他</w:t>
            </w:r>
          </w:p>
        </w:tc>
        <w:tc>
          <w:tcPr>
            <w:tcW w:w="8396" w:type="dxa"/>
            <w:tcBorders>
              <w:top w:val="single" w:color="000000" w:sz="2" w:space="0"/>
              <w:left w:val="single" w:color="000000" w:sz="2" w:space="0"/>
            </w:tcBorders>
            <w:vAlign w:val="top"/>
          </w:tcPr>
          <w:p w14:paraId="0F8CE228">
            <w:pPr>
              <w:pStyle w:val="6"/>
              <w:spacing w:before="39" w:line="350" w:lineRule="auto"/>
              <w:ind w:left="108" w:right="102" w:firstLine="480"/>
            </w:pPr>
            <w:r>
              <w:rPr>
                <w:spacing w:val="-1"/>
              </w:rPr>
              <w:t>根据国务院《关于印发“十四五</w:t>
            </w:r>
            <w:r>
              <w:rPr>
                <w:spacing w:val="-88"/>
              </w:rPr>
              <w:t xml:space="preserve"> </w:t>
            </w:r>
            <w:r>
              <w:rPr>
                <w:spacing w:val="-1"/>
              </w:rPr>
              <w:t>”节能减排综合</w:t>
            </w:r>
            <w:r>
              <w:rPr>
                <w:spacing w:val="-2"/>
              </w:rPr>
              <w:t>工作方案的通知》（国发</w:t>
            </w:r>
            <w:r>
              <w:t xml:space="preserve"> </w:t>
            </w:r>
            <w:r>
              <w:rPr>
                <w:spacing w:val="-5"/>
              </w:rPr>
              <w:t>〔</w:t>
            </w:r>
            <w:r>
              <w:rPr>
                <w:rFonts w:ascii="Times New Roman" w:hAnsi="Times New Roman" w:eastAsia="Times New Roman" w:cs="Times New Roman"/>
                <w:spacing w:val="-5"/>
              </w:rPr>
              <w:t>2021</w:t>
            </w:r>
            <w:r>
              <w:rPr>
                <w:spacing w:val="-5"/>
              </w:rPr>
              <w:t>〕</w:t>
            </w:r>
            <w:r>
              <w:rPr>
                <w:rFonts w:ascii="Times New Roman" w:hAnsi="Times New Roman" w:eastAsia="Times New Roman" w:cs="Times New Roman"/>
                <w:spacing w:val="-5"/>
              </w:rPr>
              <w:t>33</w:t>
            </w:r>
            <w:r>
              <w:rPr>
                <w:rFonts w:ascii="Times New Roman" w:hAnsi="Times New Roman" w:eastAsia="Times New Roman" w:cs="Times New Roman"/>
                <w:spacing w:val="16"/>
              </w:rPr>
              <w:t xml:space="preserve"> </w:t>
            </w:r>
            <w:r>
              <w:rPr>
                <w:spacing w:val="-5"/>
              </w:rPr>
              <w:t>号</w:t>
            </w:r>
            <w:r>
              <w:rPr>
                <w:spacing w:val="1"/>
              </w:rPr>
              <w:t>），</w:t>
            </w:r>
            <w:r>
              <w:rPr>
                <w:spacing w:val="-5"/>
              </w:rPr>
              <w:t>需对</w:t>
            </w:r>
            <w:r>
              <w:rPr>
                <w:spacing w:val="-63"/>
              </w:rPr>
              <w:t xml:space="preserve"> </w:t>
            </w:r>
            <w:r>
              <w:rPr>
                <w:rFonts w:ascii="Times New Roman" w:hAnsi="Times New Roman" w:eastAsia="Times New Roman" w:cs="Times New Roman"/>
                <w:spacing w:val="-5"/>
              </w:rPr>
              <w:t>NOx</w:t>
            </w:r>
            <w:r>
              <w:rPr>
                <w:rFonts w:ascii="Times New Roman" w:hAnsi="Times New Roman" w:eastAsia="Times New Roman" w:cs="Times New Roman"/>
                <w:spacing w:val="-34"/>
              </w:rPr>
              <w:t xml:space="preserve"> </w:t>
            </w:r>
            <w:r>
              <w:rPr>
                <w:spacing w:val="-5"/>
              </w:rPr>
              <w:t>、挥发性有机物、</w:t>
            </w:r>
            <w:r>
              <w:rPr>
                <w:rFonts w:ascii="Times New Roman" w:hAnsi="Times New Roman" w:eastAsia="Times New Roman" w:cs="Times New Roman"/>
                <w:spacing w:val="-5"/>
              </w:rPr>
              <w:t>COD</w:t>
            </w:r>
            <w:r>
              <w:rPr>
                <w:rFonts w:ascii="Times New Roman" w:hAnsi="Times New Roman" w:eastAsia="Times New Roman" w:cs="Times New Roman"/>
                <w:spacing w:val="-34"/>
              </w:rPr>
              <w:t xml:space="preserve"> </w:t>
            </w:r>
            <w:r>
              <w:rPr>
                <w:spacing w:val="-5"/>
              </w:rPr>
              <w:t>、氨氮</w:t>
            </w:r>
            <w:r>
              <w:rPr>
                <w:spacing w:val="-56"/>
              </w:rPr>
              <w:t xml:space="preserve"> </w:t>
            </w:r>
            <w:r>
              <w:rPr>
                <w:rFonts w:ascii="Times New Roman" w:hAnsi="Times New Roman" w:eastAsia="Times New Roman" w:cs="Times New Roman"/>
                <w:spacing w:val="-5"/>
              </w:rPr>
              <w:t xml:space="preserve">4 </w:t>
            </w:r>
            <w:r>
              <w:rPr>
                <w:spacing w:val="-5"/>
              </w:rPr>
              <w:t>项污染物进行总量</w:t>
            </w:r>
            <w:r>
              <w:t xml:space="preserve"> </w:t>
            </w:r>
            <w:r>
              <w:rPr>
                <w:spacing w:val="-3"/>
              </w:rPr>
              <w:t>控制。</w:t>
            </w:r>
          </w:p>
          <w:p w14:paraId="46E69C5C">
            <w:pPr>
              <w:pStyle w:val="6"/>
              <w:spacing w:before="36" w:line="351" w:lineRule="auto"/>
              <w:ind w:left="110" w:right="40" w:firstLine="480"/>
              <w:jc w:val="both"/>
            </w:pPr>
            <w:r>
              <w:rPr>
                <w:spacing w:val="-5"/>
              </w:rPr>
              <w:t>本项目为光伏发电项目，结合拟建项目污染物排放特征，项目无废水外排，</w:t>
            </w:r>
            <w:r>
              <w:t xml:space="preserve"> 不设置废水总量控制指标；项目运营期无生产废气排放，不设废气总量控制指</w:t>
            </w:r>
            <w:r>
              <w:rPr>
                <w:spacing w:val="10"/>
              </w:rPr>
              <w:t xml:space="preserve"> </w:t>
            </w:r>
            <w:r>
              <w:rPr>
                <w:spacing w:val="-3"/>
              </w:rPr>
              <w:t>标；本项目固体废物处置率：</w:t>
            </w:r>
            <w:r>
              <w:rPr>
                <w:rFonts w:ascii="Times New Roman" w:hAnsi="Times New Roman" w:eastAsia="Times New Roman" w:cs="Times New Roman"/>
                <w:spacing w:val="-3"/>
              </w:rPr>
              <w:t>100%</w:t>
            </w:r>
            <w:r>
              <w:rPr>
                <w:rFonts w:ascii="Times New Roman" w:hAnsi="Times New Roman" w:eastAsia="Times New Roman" w:cs="Times New Roman"/>
                <w:spacing w:val="-20"/>
              </w:rPr>
              <w:t xml:space="preserve"> </w:t>
            </w:r>
            <w:r>
              <w:rPr>
                <w:spacing w:val="-3"/>
              </w:rPr>
              <w:t>。固体废物不纳入总量控制，故本次环评不</w:t>
            </w:r>
            <w:r>
              <w:t xml:space="preserve"> </w:t>
            </w:r>
            <w:r>
              <w:rPr>
                <w:spacing w:val="-2"/>
              </w:rPr>
              <w:t>需设总量指标。</w:t>
            </w:r>
          </w:p>
        </w:tc>
      </w:tr>
    </w:tbl>
    <w:p w14:paraId="01E432CC">
      <w:pPr>
        <w:rPr>
          <w:rFonts w:ascii="Arial"/>
          <w:sz w:val="21"/>
        </w:rPr>
      </w:pPr>
    </w:p>
    <w:p w14:paraId="46ADE17A">
      <w:pPr>
        <w:rPr>
          <w:rFonts w:ascii="Arial" w:hAnsi="Arial" w:eastAsia="Arial" w:cs="Arial"/>
          <w:sz w:val="21"/>
          <w:szCs w:val="21"/>
        </w:rPr>
        <w:sectPr>
          <w:footerReference r:id="rId106" w:type="default"/>
          <w:pgSz w:w="11906" w:h="16839"/>
          <w:pgMar w:top="1431" w:right="1413" w:bottom="1278" w:left="1413" w:header="0" w:footer="1116" w:gutter="0"/>
          <w:cols w:space="720" w:num="1"/>
        </w:sectPr>
      </w:pPr>
    </w:p>
    <w:p w14:paraId="1AE94657">
      <w:pPr>
        <w:spacing w:before="144" w:line="222" w:lineRule="auto"/>
        <w:ind w:left="3027"/>
        <w:outlineLvl w:val="0"/>
        <w:rPr>
          <w:rFonts w:ascii="黑体" w:hAnsi="黑体" w:eastAsia="黑体" w:cs="黑体"/>
          <w:sz w:val="30"/>
          <w:szCs w:val="30"/>
        </w:rPr>
      </w:pPr>
      <w:bookmarkStart w:id="17" w:name="bookmark10"/>
      <w:bookmarkEnd w:id="17"/>
      <w:bookmarkStart w:id="18" w:name="bookmark9"/>
      <w:bookmarkEnd w:id="18"/>
      <w:r>
        <w:rPr>
          <w:rFonts w:ascii="黑体" w:hAnsi="黑体" w:eastAsia="黑体" w:cs="黑体"/>
          <w:spacing w:val="-3"/>
          <w:sz w:val="30"/>
          <w:szCs w:val="30"/>
        </w:rPr>
        <w:t>四、生态环境影响分析</w:t>
      </w:r>
    </w:p>
    <w:p w14:paraId="3B280815">
      <w:pPr>
        <w:spacing w:line="223"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16457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9" w:hRule="atLeast"/>
        </w:trPr>
        <w:tc>
          <w:tcPr>
            <w:tcW w:w="339" w:type="dxa"/>
            <w:tcBorders>
              <w:right w:val="single" w:color="000000" w:sz="2" w:space="0"/>
            </w:tcBorders>
            <w:textDirection w:val="tbRlV"/>
            <w:vAlign w:val="top"/>
          </w:tcPr>
          <w:p w14:paraId="6432A00A">
            <w:pPr>
              <w:pStyle w:val="6"/>
              <w:spacing w:before="58" w:line="209" w:lineRule="auto"/>
              <w:ind w:left="4863"/>
            </w:pPr>
            <w:r>
              <w:rPr>
                <w:spacing w:val="24"/>
                <w:w w:val="117"/>
              </w:rPr>
              <w:t>施工期生态环境影响分析</w:t>
            </w:r>
          </w:p>
        </w:tc>
        <w:tc>
          <w:tcPr>
            <w:tcW w:w="8643" w:type="dxa"/>
            <w:tcBorders>
              <w:left w:val="single" w:color="000000" w:sz="2" w:space="0"/>
            </w:tcBorders>
            <w:vAlign w:val="top"/>
          </w:tcPr>
          <w:p w14:paraId="77753548">
            <w:pPr>
              <w:pStyle w:val="6"/>
              <w:spacing w:before="41" w:line="219" w:lineRule="auto"/>
              <w:ind w:left="593"/>
            </w:pPr>
            <w:r>
              <w:rPr>
                <w:rFonts w:ascii="Times New Roman" w:hAnsi="Times New Roman" w:eastAsia="Times New Roman" w:cs="Times New Roman"/>
                <w:b/>
                <w:bCs/>
                <w:spacing w:val="-5"/>
              </w:rPr>
              <w:t>1</w:t>
            </w:r>
            <w:r>
              <w:rPr>
                <w:rFonts w:ascii="Times New Roman" w:hAnsi="Times New Roman" w:eastAsia="Times New Roman" w:cs="Times New Roman"/>
                <w:b/>
                <w:bCs/>
                <w:spacing w:val="-28"/>
              </w:rPr>
              <w:t xml:space="preserve"> </w:t>
            </w:r>
            <w:r>
              <w:rPr>
                <w:b/>
                <w:bCs/>
                <w:spacing w:val="-5"/>
              </w:rPr>
              <w:t>、施工期产污环节及影响因素</w:t>
            </w:r>
          </w:p>
          <w:p w14:paraId="7C253496">
            <w:pPr>
              <w:pStyle w:val="6"/>
              <w:spacing w:before="180" w:line="219" w:lineRule="auto"/>
              <w:ind w:left="598"/>
            </w:pPr>
            <w:r>
              <w:rPr>
                <w:spacing w:val="-3"/>
              </w:rPr>
              <w:t>（</w:t>
            </w:r>
            <w:r>
              <w:rPr>
                <w:rFonts w:ascii="Times New Roman" w:hAnsi="Times New Roman" w:eastAsia="Times New Roman" w:cs="Times New Roman"/>
                <w:spacing w:val="-3"/>
              </w:rPr>
              <w:t>1</w:t>
            </w:r>
            <w:r>
              <w:rPr>
                <w:spacing w:val="-3"/>
              </w:rPr>
              <w:t>）施工期产污环节</w:t>
            </w:r>
          </w:p>
          <w:p w14:paraId="6F621FAE">
            <w:pPr>
              <w:pStyle w:val="6"/>
              <w:spacing w:before="179" w:line="347" w:lineRule="auto"/>
              <w:ind w:left="106" w:right="21" w:firstLine="480"/>
            </w:pPr>
            <w:r>
              <w:t>本项目施工期间施工内容包括光伏场区施工、升</w:t>
            </w:r>
            <w:r>
              <w:rPr>
                <w:spacing w:val="-1"/>
              </w:rPr>
              <w:t>压站施工，施工工艺流程及</w:t>
            </w:r>
            <w:r>
              <w:t xml:space="preserve">  </w:t>
            </w:r>
            <w:r>
              <w:rPr>
                <w:spacing w:val="-5"/>
              </w:rPr>
              <w:t>产污环节、具体施工方案见前面表二中“施工方案</w:t>
            </w:r>
            <w:r>
              <w:rPr>
                <w:spacing w:val="-77"/>
              </w:rPr>
              <w:t xml:space="preserve"> </w:t>
            </w:r>
            <w:r>
              <w:rPr>
                <w:spacing w:val="-5"/>
              </w:rPr>
              <w:t>”相应的内容，此处不再赘述。</w:t>
            </w:r>
          </w:p>
          <w:p w14:paraId="0AED9763">
            <w:pPr>
              <w:pStyle w:val="6"/>
              <w:spacing w:before="35" w:line="219" w:lineRule="auto"/>
              <w:ind w:left="598"/>
            </w:pPr>
            <w:r>
              <w:rPr>
                <w:spacing w:val="-2"/>
              </w:rPr>
              <w:t>（</w:t>
            </w:r>
            <w:r>
              <w:rPr>
                <w:rFonts w:ascii="Times New Roman" w:hAnsi="Times New Roman" w:eastAsia="Times New Roman" w:cs="Times New Roman"/>
                <w:spacing w:val="-2"/>
              </w:rPr>
              <w:t>2</w:t>
            </w:r>
            <w:r>
              <w:rPr>
                <w:spacing w:val="-2"/>
              </w:rPr>
              <w:t>）施工期污染影响因素</w:t>
            </w:r>
          </w:p>
          <w:p w14:paraId="543D8971">
            <w:pPr>
              <w:pStyle w:val="6"/>
              <w:spacing w:before="181" w:line="219" w:lineRule="auto"/>
              <w:ind w:left="590"/>
            </w:pPr>
            <w:r>
              <w:rPr>
                <w:spacing w:val="-1"/>
              </w:rPr>
              <w:t>项目施工期的污染影响因素如下表所示。</w:t>
            </w:r>
          </w:p>
          <w:p w14:paraId="663BA60A">
            <w:pPr>
              <w:pStyle w:val="6"/>
              <w:spacing w:before="178" w:line="223" w:lineRule="auto"/>
              <w:ind w:left="2627"/>
              <w:outlineLvl w:val="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4-1      </w:t>
            </w:r>
            <w:r>
              <w:rPr>
                <w:b/>
                <w:bCs/>
                <w:spacing w:val="5"/>
                <w:sz w:val="20"/>
                <w:szCs w:val="20"/>
              </w:rPr>
              <w:t>施工期污染影响因素一览表</w:t>
            </w:r>
          </w:p>
          <w:tbl>
            <w:tblPr>
              <w:tblStyle w:val="5"/>
              <w:tblW w:w="8418"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
              <w:gridCol w:w="2959"/>
              <w:gridCol w:w="3308"/>
              <w:gridCol w:w="1299"/>
            </w:tblGrid>
            <w:tr w14:paraId="1A978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52" w:type="dxa"/>
                  <w:vAlign w:val="top"/>
                </w:tcPr>
                <w:p w14:paraId="4ACADC8C">
                  <w:pPr>
                    <w:pStyle w:val="6"/>
                    <w:spacing w:before="33" w:line="235" w:lineRule="auto"/>
                    <w:ind w:left="220" w:right="214" w:firstLine="1"/>
                    <w:rPr>
                      <w:sz w:val="20"/>
                      <w:szCs w:val="20"/>
                    </w:rPr>
                  </w:pPr>
                  <w:r>
                    <w:rPr>
                      <w:b/>
                      <w:bCs/>
                      <w:spacing w:val="3"/>
                      <w:sz w:val="20"/>
                      <w:szCs w:val="20"/>
                    </w:rPr>
                    <w:t>污染</w:t>
                  </w:r>
                  <w:r>
                    <w:rPr>
                      <w:sz w:val="20"/>
                      <w:szCs w:val="20"/>
                    </w:rPr>
                    <w:t xml:space="preserve"> </w:t>
                  </w:r>
                  <w:r>
                    <w:rPr>
                      <w:b/>
                      <w:bCs/>
                      <w:spacing w:val="3"/>
                      <w:sz w:val="20"/>
                      <w:szCs w:val="20"/>
                    </w:rPr>
                    <w:t>类别</w:t>
                  </w:r>
                </w:p>
              </w:tc>
              <w:tc>
                <w:tcPr>
                  <w:tcW w:w="2959" w:type="dxa"/>
                  <w:vAlign w:val="top"/>
                </w:tcPr>
                <w:p w14:paraId="7609948A">
                  <w:pPr>
                    <w:pStyle w:val="6"/>
                    <w:spacing w:before="171" w:line="228" w:lineRule="auto"/>
                    <w:ind w:left="1170"/>
                    <w:rPr>
                      <w:sz w:val="20"/>
                      <w:szCs w:val="20"/>
                    </w:rPr>
                  </w:pPr>
                  <w:r>
                    <w:rPr>
                      <w:b/>
                      <w:bCs/>
                      <w:spacing w:val="5"/>
                      <w:sz w:val="20"/>
                      <w:szCs w:val="20"/>
                    </w:rPr>
                    <w:t>污染源</w:t>
                  </w:r>
                </w:p>
              </w:tc>
              <w:tc>
                <w:tcPr>
                  <w:tcW w:w="3308" w:type="dxa"/>
                  <w:vAlign w:val="top"/>
                </w:tcPr>
                <w:p w14:paraId="201B5E79">
                  <w:pPr>
                    <w:pStyle w:val="6"/>
                    <w:spacing w:before="171" w:line="228" w:lineRule="auto"/>
                    <w:ind w:left="1029"/>
                    <w:rPr>
                      <w:sz w:val="20"/>
                      <w:szCs w:val="20"/>
                    </w:rPr>
                  </w:pPr>
                  <w:r>
                    <w:rPr>
                      <w:b/>
                      <w:bCs/>
                      <w:spacing w:val="6"/>
                      <w:sz w:val="20"/>
                      <w:szCs w:val="20"/>
                    </w:rPr>
                    <w:t>主要污染因子</w:t>
                  </w:r>
                </w:p>
              </w:tc>
              <w:tc>
                <w:tcPr>
                  <w:tcW w:w="1299" w:type="dxa"/>
                  <w:vAlign w:val="top"/>
                </w:tcPr>
                <w:p w14:paraId="579D44E2">
                  <w:pPr>
                    <w:pStyle w:val="6"/>
                    <w:spacing w:before="170" w:line="228" w:lineRule="auto"/>
                    <w:ind w:left="234"/>
                    <w:rPr>
                      <w:sz w:val="20"/>
                      <w:szCs w:val="20"/>
                    </w:rPr>
                  </w:pPr>
                  <w:r>
                    <w:rPr>
                      <w:b/>
                      <w:bCs/>
                      <w:spacing w:val="6"/>
                      <w:sz w:val="20"/>
                      <w:szCs w:val="20"/>
                    </w:rPr>
                    <w:t>产生特征</w:t>
                  </w:r>
                </w:p>
              </w:tc>
            </w:tr>
            <w:tr w14:paraId="285E5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52" w:type="dxa"/>
                  <w:vMerge w:val="restart"/>
                  <w:tcBorders>
                    <w:bottom w:val="nil"/>
                  </w:tcBorders>
                  <w:vAlign w:val="top"/>
                </w:tcPr>
                <w:p w14:paraId="4E8DE938">
                  <w:pPr>
                    <w:spacing w:line="258" w:lineRule="auto"/>
                    <w:rPr>
                      <w:rFonts w:ascii="Arial"/>
                      <w:sz w:val="21"/>
                    </w:rPr>
                  </w:pPr>
                </w:p>
                <w:p w14:paraId="1B06BB29">
                  <w:pPr>
                    <w:spacing w:line="259" w:lineRule="auto"/>
                    <w:rPr>
                      <w:rFonts w:ascii="Arial"/>
                      <w:sz w:val="21"/>
                    </w:rPr>
                  </w:pPr>
                </w:p>
                <w:p w14:paraId="3395F71C">
                  <w:pPr>
                    <w:pStyle w:val="6"/>
                    <w:spacing w:before="65" w:line="228" w:lineRule="auto"/>
                    <w:ind w:left="220"/>
                    <w:rPr>
                      <w:sz w:val="20"/>
                      <w:szCs w:val="20"/>
                    </w:rPr>
                  </w:pPr>
                  <w:r>
                    <w:rPr>
                      <w:spacing w:val="5"/>
                      <w:sz w:val="20"/>
                      <w:szCs w:val="20"/>
                    </w:rPr>
                    <w:t>废气</w:t>
                  </w:r>
                </w:p>
              </w:tc>
              <w:tc>
                <w:tcPr>
                  <w:tcW w:w="2959" w:type="dxa"/>
                  <w:vAlign w:val="top"/>
                </w:tcPr>
                <w:p w14:paraId="37122D0C">
                  <w:pPr>
                    <w:pStyle w:val="6"/>
                    <w:spacing w:before="33" w:line="228" w:lineRule="auto"/>
                    <w:ind w:left="116"/>
                    <w:rPr>
                      <w:sz w:val="20"/>
                      <w:szCs w:val="20"/>
                    </w:rPr>
                  </w:pPr>
                  <w:r>
                    <w:rPr>
                      <w:spacing w:val="9"/>
                      <w:sz w:val="20"/>
                      <w:szCs w:val="20"/>
                    </w:rPr>
                    <w:t>施工作业（地表清理、场地平</w:t>
                  </w:r>
                </w:p>
                <w:p w14:paraId="34E476BF">
                  <w:pPr>
                    <w:pStyle w:val="6"/>
                    <w:spacing w:before="24" w:line="228" w:lineRule="auto"/>
                    <w:ind w:right="11"/>
                    <w:jc w:val="right"/>
                    <w:rPr>
                      <w:sz w:val="20"/>
                      <w:szCs w:val="20"/>
                    </w:rPr>
                  </w:pPr>
                  <w:r>
                    <w:rPr>
                      <w:spacing w:val="2"/>
                      <w:sz w:val="20"/>
                      <w:szCs w:val="20"/>
                    </w:rPr>
                    <w:t>整、基础开挖、配套设施建设、</w:t>
                  </w:r>
                </w:p>
                <w:p w14:paraId="0CAA9FE9">
                  <w:pPr>
                    <w:pStyle w:val="6"/>
                    <w:spacing w:before="24" w:line="217" w:lineRule="auto"/>
                    <w:ind w:left="537"/>
                    <w:rPr>
                      <w:sz w:val="20"/>
                      <w:szCs w:val="20"/>
                    </w:rPr>
                  </w:pPr>
                  <w:r>
                    <w:rPr>
                      <w:spacing w:val="8"/>
                      <w:sz w:val="20"/>
                      <w:szCs w:val="20"/>
                    </w:rPr>
                    <w:t>物料装卸及运输等）</w:t>
                  </w:r>
                </w:p>
              </w:tc>
              <w:tc>
                <w:tcPr>
                  <w:tcW w:w="3308" w:type="dxa"/>
                  <w:vAlign w:val="top"/>
                </w:tcPr>
                <w:p w14:paraId="57DECE8F">
                  <w:pPr>
                    <w:pStyle w:val="6"/>
                    <w:spacing w:before="167"/>
                    <w:ind w:left="327" w:right="141" w:hanging="213"/>
                    <w:rPr>
                      <w:sz w:val="20"/>
                      <w:szCs w:val="20"/>
                    </w:rPr>
                  </w:pPr>
                  <w:r>
                    <w:rPr>
                      <w:spacing w:val="7"/>
                      <w:sz w:val="20"/>
                      <w:szCs w:val="20"/>
                    </w:rPr>
                    <w:t>扬尘（</w:t>
                  </w:r>
                  <w:r>
                    <w:rPr>
                      <w:rFonts w:ascii="Times New Roman" w:hAnsi="Times New Roman" w:eastAsia="Times New Roman" w:cs="Times New Roman"/>
                      <w:sz w:val="20"/>
                      <w:szCs w:val="20"/>
                    </w:rPr>
                    <w:t>TSP</w:t>
                  </w:r>
                  <w:r>
                    <w:rPr>
                      <w:spacing w:val="7"/>
                      <w:sz w:val="20"/>
                      <w:szCs w:val="20"/>
                    </w:rPr>
                    <w:t>）、焊接废气（烟尘、</w:t>
                  </w:r>
                  <w:r>
                    <w:rPr>
                      <w:spacing w:val="10"/>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21"/>
                      <w:sz w:val="20"/>
                      <w:szCs w:val="20"/>
                    </w:rPr>
                    <w:t xml:space="preserve"> </w:t>
                  </w:r>
                  <w:r>
                    <w:rPr>
                      <w:spacing w:val="6"/>
                      <w:sz w:val="20"/>
                      <w:szCs w:val="20"/>
                    </w:rPr>
                    <w:t>、</w:t>
                  </w:r>
                  <w:r>
                    <w:rPr>
                      <w:rFonts w:ascii="Times New Roman" w:hAnsi="Times New Roman" w:eastAsia="Times New Roman" w:cs="Times New Roman"/>
                      <w:sz w:val="20"/>
                      <w:szCs w:val="20"/>
                    </w:rPr>
                    <w:t>CO</w:t>
                  </w:r>
                  <w:r>
                    <w:rPr>
                      <w:rFonts w:ascii="Times New Roman" w:hAnsi="Times New Roman" w:eastAsia="Times New Roman" w:cs="Times New Roman"/>
                      <w:spacing w:val="-25"/>
                      <w:sz w:val="20"/>
                      <w:szCs w:val="20"/>
                    </w:rPr>
                    <w:t xml:space="preserve"> </w:t>
                  </w:r>
                  <w:r>
                    <w:rPr>
                      <w:spacing w:val="6"/>
                      <w:sz w:val="20"/>
                      <w:szCs w:val="20"/>
                    </w:rPr>
                    <w:t>、</w:t>
                  </w:r>
                  <w:r>
                    <w:rPr>
                      <w:rFonts w:ascii="Times New Roman" w:hAnsi="Times New Roman" w:eastAsia="Times New Roman" w:cs="Times New Roman"/>
                      <w:sz w:val="20"/>
                      <w:szCs w:val="20"/>
                    </w:rPr>
                    <w:t>CO</w:t>
                  </w:r>
                  <w:r>
                    <w:rPr>
                      <w:rFonts w:ascii="Times New Roman" w:hAnsi="Times New Roman" w:eastAsia="Times New Roman" w:cs="Times New Roman"/>
                      <w:spacing w:val="6"/>
                      <w:position w:val="-1"/>
                      <w:sz w:val="13"/>
                      <w:szCs w:val="13"/>
                    </w:rPr>
                    <w:t xml:space="preserve">2 </w:t>
                  </w:r>
                  <w:r>
                    <w:rPr>
                      <w:spacing w:val="6"/>
                      <w:sz w:val="20"/>
                      <w:szCs w:val="20"/>
                    </w:rPr>
                    <w:t>及</w:t>
                  </w:r>
                  <w:r>
                    <w:rPr>
                      <w:spacing w:val="-37"/>
                      <w:sz w:val="20"/>
                      <w:szCs w:val="20"/>
                    </w:rPr>
                    <w:t xml:space="preserve"> </w:t>
                  </w:r>
                  <w:r>
                    <w:rPr>
                      <w:rFonts w:ascii="Times New Roman" w:hAnsi="Times New Roman" w:eastAsia="Times New Roman" w:cs="Times New Roman"/>
                      <w:sz w:val="20"/>
                      <w:szCs w:val="20"/>
                    </w:rPr>
                    <w:t>CHx</w:t>
                  </w:r>
                  <w:r>
                    <w:rPr>
                      <w:rFonts w:ascii="Times New Roman" w:hAnsi="Times New Roman" w:eastAsia="Times New Roman" w:cs="Times New Roman"/>
                      <w:spacing w:val="6"/>
                      <w:sz w:val="20"/>
                      <w:szCs w:val="20"/>
                    </w:rPr>
                    <w:t xml:space="preserve"> </w:t>
                  </w:r>
                  <w:r>
                    <w:rPr>
                      <w:spacing w:val="6"/>
                      <w:sz w:val="20"/>
                      <w:szCs w:val="20"/>
                    </w:rPr>
                    <w:t>等）</w:t>
                  </w:r>
                </w:p>
              </w:tc>
              <w:tc>
                <w:tcPr>
                  <w:tcW w:w="1299" w:type="dxa"/>
                  <w:vAlign w:val="top"/>
                </w:tcPr>
                <w:p w14:paraId="5A3B06BB">
                  <w:pPr>
                    <w:pStyle w:val="6"/>
                    <w:spacing w:before="304" w:line="228" w:lineRule="auto"/>
                    <w:ind w:left="42"/>
                    <w:rPr>
                      <w:sz w:val="20"/>
                      <w:szCs w:val="20"/>
                    </w:rPr>
                  </w:pPr>
                  <w:r>
                    <w:rPr>
                      <w:spacing w:val="5"/>
                      <w:sz w:val="20"/>
                      <w:szCs w:val="20"/>
                    </w:rPr>
                    <w:t>间歇，无组织</w:t>
                  </w:r>
                </w:p>
              </w:tc>
            </w:tr>
            <w:tr w14:paraId="7E7E2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52" w:type="dxa"/>
                  <w:vMerge w:val="continue"/>
                  <w:tcBorders>
                    <w:top w:val="nil"/>
                    <w:bottom w:val="nil"/>
                  </w:tcBorders>
                  <w:vAlign w:val="top"/>
                </w:tcPr>
                <w:p w14:paraId="38AC007F">
                  <w:pPr>
                    <w:rPr>
                      <w:rFonts w:ascii="Arial"/>
                      <w:sz w:val="21"/>
                    </w:rPr>
                  </w:pPr>
                </w:p>
              </w:tc>
              <w:tc>
                <w:tcPr>
                  <w:tcW w:w="2959" w:type="dxa"/>
                  <w:vAlign w:val="top"/>
                </w:tcPr>
                <w:p w14:paraId="770DB35F">
                  <w:pPr>
                    <w:pStyle w:val="6"/>
                    <w:spacing w:before="32" w:line="217" w:lineRule="auto"/>
                    <w:ind w:left="536"/>
                    <w:rPr>
                      <w:sz w:val="20"/>
                      <w:szCs w:val="20"/>
                    </w:rPr>
                  </w:pPr>
                  <w:r>
                    <w:rPr>
                      <w:spacing w:val="9"/>
                      <w:sz w:val="20"/>
                      <w:szCs w:val="20"/>
                    </w:rPr>
                    <w:t>施工机械及运输车辆</w:t>
                  </w:r>
                </w:p>
              </w:tc>
              <w:tc>
                <w:tcPr>
                  <w:tcW w:w="3308" w:type="dxa"/>
                  <w:vAlign w:val="top"/>
                </w:tcPr>
                <w:p w14:paraId="5A88278A">
                  <w:pPr>
                    <w:pStyle w:val="6"/>
                    <w:spacing w:before="32" w:line="217" w:lineRule="auto"/>
                    <w:ind w:left="261"/>
                    <w:rPr>
                      <w:sz w:val="20"/>
                      <w:szCs w:val="20"/>
                    </w:rPr>
                  </w:pPr>
                  <w:r>
                    <w:rPr>
                      <w:spacing w:val="6"/>
                      <w:sz w:val="20"/>
                      <w:szCs w:val="20"/>
                    </w:rPr>
                    <w:t>机械废气（</w:t>
                  </w:r>
                  <w:r>
                    <w:rPr>
                      <w:rFonts w:ascii="Times New Roman" w:hAnsi="Times New Roman" w:eastAsia="Times New Roman" w:cs="Times New Roman"/>
                      <w:sz w:val="20"/>
                      <w:szCs w:val="20"/>
                    </w:rPr>
                    <w:t>CO</w:t>
                  </w:r>
                  <w:r>
                    <w:rPr>
                      <w:rFonts w:ascii="Times New Roman" w:hAnsi="Times New Roman" w:eastAsia="Times New Roman" w:cs="Times New Roman"/>
                      <w:spacing w:val="-22"/>
                      <w:sz w:val="20"/>
                      <w:szCs w:val="20"/>
                    </w:rPr>
                    <w:t xml:space="preserve"> </w:t>
                  </w:r>
                  <w:r>
                    <w:rPr>
                      <w:spacing w:val="6"/>
                      <w:sz w:val="20"/>
                      <w:szCs w:val="20"/>
                    </w:rPr>
                    <w:t>、</w:t>
                  </w:r>
                  <w:r>
                    <w:rPr>
                      <w:rFonts w:ascii="Times New Roman" w:hAnsi="Times New Roman" w:eastAsia="Times New Roman" w:cs="Times New Roman"/>
                      <w:sz w:val="20"/>
                      <w:szCs w:val="20"/>
                    </w:rPr>
                    <w:t>NOx</w:t>
                  </w:r>
                  <w:r>
                    <w:rPr>
                      <w:rFonts w:ascii="Times New Roman" w:hAnsi="Times New Roman" w:eastAsia="Times New Roman" w:cs="Times New Roman"/>
                      <w:spacing w:val="-26"/>
                      <w:sz w:val="20"/>
                      <w:szCs w:val="20"/>
                    </w:rPr>
                    <w:t xml:space="preserve"> </w:t>
                  </w:r>
                  <w:r>
                    <w:rPr>
                      <w:spacing w:val="6"/>
                      <w:sz w:val="20"/>
                      <w:szCs w:val="20"/>
                    </w:rPr>
                    <w:t>、烃类）</w:t>
                  </w:r>
                </w:p>
              </w:tc>
              <w:tc>
                <w:tcPr>
                  <w:tcW w:w="1299" w:type="dxa"/>
                  <w:vAlign w:val="top"/>
                </w:tcPr>
                <w:p w14:paraId="32BAD8D6">
                  <w:pPr>
                    <w:pStyle w:val="6"/>
                    <w:spacing w:before="32" w:line="217" w:lineRule="auto"/>
                    <w:ind w:left="42"/>
                    <w:rPr>
                      <w:sz w:val="20"/>
                      <w:szCs w:val="20"/>
                    </w:rPr>
                  </w:pPr>
                  <w:r>
                    <w:rPr>
                      <w:spacing w:val="5"/>
                      <w:sz w:val="20"/>
                      <w:szCs w:val="20"/>
                    </w:rPr>
                    <w:t>间歇，无组织</w:t>
                  </w:r>
                </w:p>
              </w:tc>
            </w:tr>
            <w:tr w14:paraId="6EF4D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52" w:type="dxa"/>
                  <w:vMerge w:val="continue"/>
                  <w:tcBorders>
                    <w:top w:val="nil"/>
                  </w:tcBorders>
                  <w:vAlign w:val="top"/>
                </w:tcPr>
                <w:p w14:paraId="0996CC22">
                  <w:pPr>
                    <w:rPr>
                      <w:rFonts w:ascii="Arial"/>
                      <w:sz w:val="21"/>
                    </w:rPr>
                  </w:pPr>
                </w:p>
              </w:tc>
              <w:tc>
                <w:tcPr>
                  <w:tcW w:w="2959" w:type="dxa"/>
                  <w:vAlign w:val="top"/>
                </w:tcPr>
                <w:p w14:paraId="63E4D6B8">
                  <w:pPr>
                    <w:pStyle w:val="6"/>
                    <w:spacing w:before="33" w:line="216" w:lineRule="auto"/>
                    <w:ind w:left="1063"/>
                    <w:rPr>
                      <w:sz w:val="20"/>
                      <w:szCs w:val="20"/>
                    </w:rPr>
                  </w:pPr>
                  <w:r>
                    <w:rPr>
                      <w:spacing w:val="7"/>
                      <w:sz w:val="20"/>
                      <w:szCs w:val="20"/>
                    </w:rPr>
                    <w:t>食堂油烟</w:t>
                  </w:r>
                </w:p>
              </w:tc>
              <w:tc>
                <w:tcPr>
                  <w:tcW w:w="3308" w:type="dxa"/>
                  <w:vAlign w:val="top"/>
                </w:tcPr>
                <w:p w14:paraId="57C6C6C5">
                  <w:pPr>
                    <w:pStyle w:val="6"/>
                    <w:spacing w:before="33" w:line="216" w:lineRule="auto"/>
                    <w:ind w:left="1244"/>
                    <w:rPr>
                      <w:sz w:val="20"/>
                      <w:szCs w:val="20"/>
                    </w:rPr>
                  </w:pPr>
                  <w:r>
                    <w:rPr>
                      <w:spacing w:val="6"/>
                      <w:sz w:val="20"/>
                      <w:szCs w:val="20"/>
                    </w:rPr>
                    <w:t>油烟废气</w:t>
                  </w:r>
                </w:p>
              </w:tc>
              <w:tc>
                <w:tcPr>
                  <w:tcW w:w="1299" w:type="dxa"/>
                  <w:vAlign w:val="top"/>
                </w:tcPr>
                <w:p w14:paraId="0306B963">
                  <w:pPr>
                    <w:pStyle w:val="6"/>
                    <w:spacing w:before="33" w:line="216" w:lineRule="auto"/>
                    <w:ind w:left="42"/>
                    <w:rPr>
                      <w:sz w:val="20"/>
                      <w:szCs w:val="20"/>
                    </w:rPr>
                  </w:pPr>
                  <w:r>
                    <w:rPr>
                      <w:spacing w:val="5"/>
                      <w:sz w:val="20"/>
                      <w:szCs w:val="20"/>
                    </w:rPr>
                    <w:t>间歇，无组织</w:t>
                  </w:r>
                </w:p>
              </w:tc>
            </w:tr>
            <w:tr w14:paraId="1CF00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52" w:type="dxa"/>
                  <w:vMerge w:val="restart"/>
                  <w:tcBorders>
                    <w:bottom w:val="nil"/>
                  </w:tcBorders>
                  <w:vAlign w:val="top"/>
                </w:tcPr>
                <w:p w14:paraId="58D03095">
                  <w:pPr>
                    <w:spacing w:line="384" w:lineRule="auto"/>
                    <w:rPr>
                      <w:rFonts w:ascii="Arial"/>
                      <w:sz w:val="21"/>
                    </w:rPr>
                  </w:pPr>
                </w:p>
                <w:p w14:paraId="2E11CD5A">
                  <w:pPr>
                    <w:pStyle w:val="6"/>
                    <w:spacing w:before="65" w:line="228" w:lineRule="auto"/>
                    <w:ind w:left="220"/>
                    <w:rPr>
                      <w:sz w:val="20"/>
                      <w:szCs w:val="20"/>
                    </w:rPr>
                  </w:pPr>
                  <w:r>
                    <w:rPr>
                      <w:spacing w:val="5"/>
                      <w:sz w:val="20"/>
                      <w:szCs w:val="20"/>
                    </w:rPr>
                    <w:t>废水</w:t>
                  </w:r>
                </w:p>
              </w:tc>
              <w:tc>
                <w:tcPr>
                  <w:tcW w:w="2959" w:type="dxa"/>
                  <w:vAlign w:val="top"/>
                </w:tcPr>
                <w:p w14:paraId="24F31732">
                  <w:pPr>
                    <w:pStyle w:val="6"/>
                    <w:spacing w:before="34" w:line="215" w:lineRule="auto"/>
                    <w:ind w:left="1062"/>
                    <w:rPr>
                      <w:sz w:val="20"/>
                      <w:szCs w:val="20"/>
                    </w:rPr>
                  </w:pPr>
                  <w:r>
                    <w:rPr>
                      <w:spacing w:val="7"/>
                      <w:sz w:val="20"/>
                      <w:szCs w:val="20"/>
                    </w:rPr>
                    <w:t>施工废水</w:t>
                  </w:r>
                </w:p>
              </w:tc>
              <w:tc>
                <w:tcPr>
                  <w:tcW w:w="3308" w:type="dxa"/>
                  <w:vAlign w:val="top"/>
                </w:tcPr>
                <w:p w14:paraId="70CF4121">
                  <w:pPr>
                    <w:pStyle w:val="6"/>
                    <w:spacing w:before="34" w:line="215" w:lineRule="auto"/>
                    <w:ind w:left="1128"/>
                    <w:rPr>
                      <w:sz w:val="20"/>
                      <w:szCs w:val="20"/>
                    </w:rPr>
                  </w:pPr>
                  <w:r>
                    <w:rPr>
                      <w:rFonts w:ascii="Times New Roman" w:hAnsi="Times New Roman" w:eastAsia="Times New Roman" w:cs="Times New Roman"/>
                      <w:sz w:val="20"/>
                      <w:szCs w:val="20"/>
                    </w:rPr>
                    <w:t>SS</w:t>
                  </w:r>
                  <w:r>
                    <w:rPr>
                      <w:rFonts w:ascii="Times New Roman" w:hAnsi="Times New Roman" w:eastAsia="Times New Roman" w:cs="Times New Roman"/>
                      <w:spacing w:val="-25"/>
                      <w:sz w:val="20"/>
                      <w:szCs w:val="20"/>
                    </w:rPr>
                    <w:t xml:space="preserve"> </w:t>
                  </w:r>
                  <w:r>
                    <w:rPr>
                      <w:spacing w:val="2"/>
                      <w:sz w:val="20"/>
                      <w:szCs w:val="20"/>
                    </w:rPr>
                    <w:t>、石油类</w:t>
                  </w:r>
                </w:p>
              </w:tc>
              <w:tc>
                <w:tcPr>
                  <w:tcW w:w="1299" w:type="dxa"/>
                  <w:vAlign w:val="top"/>
                </w:tcPr>
                <w:p w14:paraId="30B6719D">
                  <w:pPr>
                    <w:pStyle w:val="6"/>
                    <w:spacing w:before="34" w:line="215" w:lineRule="auto"/>
                    <w:ind w:left="462"/>
                    <w:rPr>
                      <w:sz w:val="20"/>
                      <w:szCs w:val="20"/>
                    </w:rPr>
                  </w:pPr>
                  <w:r>
                    <w:rPr>
                      <w:spacing w:val="-4"/>
                      <w:sz w:val="20"/>
                      <w:szCs w:val="20"/>
                    </w:rPr>
                    <w:t>间歇</w:t>
                  </w:r>
                </w:p>
              </w:tc>
            </w:tr>
            <w:tr w14:paraId="612E9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52" w:type="dxa"/>
                  <w:vMerge w:val="continue"/>
                  <w:tcBorders>
                    <w:top w:val="nil"/>
                    <w:bottom w:val="nil"/>
                  </w:tcBorders>
                  <w:vAlign w:val="top"/>
                </w:tcPr>
                <w:p w14:paraId="613940E4">
                  <w:pPr>
                    <w:rPr>
                      <w:rFonts w:ascii="Arial"/>
                      <w:sz w:val="21"/>
                    </w:rPr>
                  </w:pPr>
                </w:p>
              </w:tc>
              <w:tc>
                <w:tcPr>
                  <w:tcW w:w="2959" w:type="dxa"/>
                  <w:vAlign w:val="top"/>
                </w:tcPr>
                <w:p w14:paraId="42015E18">
                  <w:pPr>
                    <w:pStyle w:val="6"/>
                    <w:spacing w:before="167" w:line="228" w:lineRule="auto"/>
                    <w:ind w:left="1065"/>
                    <w:rPr>
                      <w:sz w:val="20"/>
                      <w:szCs w:val="20"/>
                    </w:rPr>
                  </w:pPr>
                  <w:r>
                    <w:rPr>
                      <w:spacing w:val="6"/>
                      <w:sz w:val="20"/>
                      <w:szCs w:val="20"/>
                    </w:rPr>
                    <w:t>生活污水</w:t>
                  </w:r>
                </w:p>
              </w:tc>
              <w:tc>
                <w:tcPr>
                  <w:tcW w:w="3308" w:type="dxa"/>
                  <w:vAlign w:val="top"/>
                </w:tcPr>
                <w:p w14:paraId="4EE19592">
                  <w:pPr>
                    <w:pStyle w:val="6"/>
                    <w:spacing w:before="32" w:line="234" w:lineRule="auto"/>
                    <w:ind w:left="1345" w:right="133" w:hanging="1207"/>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18"/>
                      <w:sz w:val="20"/>
                      <w:szCs w:val="20"/>
                    </w:rPr>
                    <w:t xml:space="preserve"> </w:t>
                  </w:r>
                  <w:r>
                    <w:rPr>
                      <w:spacing w:val="3"/>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3"/>
                      <w:position w:val="-1"/>
                      <w:sz w:val="13"/>
                      <w:szCs w:val="13"/>
                    </w:rPr>
                    <w:t>5</w:t>
                  </w:r>
                  <w:r>
                    <w:rPr>
                      <w:rFonts w:ascii="Times New Roman" w:hAnsi="Times New Roman" w:eastAsia="Times New Roman" w:cs="Times New Roman"/>
                      <w:spacing w:val="-11"/>
                      <w:position w:val="-1"/>
                      <w:sz w:val="13"/>
                      <w:szCs w:val="13"/>
                    </w:rPr>
                    <w:t xml:space="preserve"> </w:t>
                  </w:r>
                  <w:r>
                    <w:rPr>
                      <w:spacing w:val="3"/>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3"/>
                      <w:sz w:val="13"/>
                      <w:szCs w:val="13"/>
                    </w:rPr>
                    <w:t>3</w:t>
                  </w:r>
                  <w:r>
                    <w:rPr>
                      <w:rFonts w:ascii="Times New Roman" w:hAnsi="Times New Roman" w:eastAsia="Times New Roman" w:cs="Times New Roman"/>
                      <w:spacing w:val="3"/>
                      <w:sz w:val="20"/>
                      <w:szCs w:val="20"/>
                    </w:rPr>
                    <w:t>-N</w:t>
                  </w:r>
                  <w:r>
                    <w:rPr>
                      <w:rFonts w:ascii="Times New Roman" w:hAnsi="Times New Roman" w:eastAsia="Times New Roman" w:cs="Times New Roman"/>
                      <w:spacing w:val="-25"/>
                      <w:sz w:val="20"/>
                      <w:szCs w:val="20"/>
                    </w:rPr>
                    <w:t xml:space="preserve"> </w:t>
                  </w:r>
                  <w:r>
                    <w:rPr>
                      <w:spacing w:val="3"/>
                      <w:sz w:val="20"/>
                      <w:szCs w:val="20"/>
                    </w:rPr>
                    <w:t>、动植</w:t>
                  </w:r>
                  <w:r>
                    <w:rPr>
                      <w:sz w:val="20"/>
                      <w:szCs w:val="20"/>
                    </w:rPr>
                    <w:t xml:space="preserve"> </w:t>
                  </w:r>
                  <w:r>
                    <w:rPr>
                      <w:spacing w:val="6"/>
                      <w:sz w:val="20"/>
                      <w:szCs w:val="20"/>
                    </w:rPr>
                    <w:t>物油等</w:t>
                  </w:r>
                </w:p>
              </w:tc>
              <w:tc>
                <w:tcPr>
                  <w:tcW w:w="1299" w:type="dxa"/>
                  <w:vAlign w:val="top"/>
                </w:tcPr>
                <w:p w14:paraId="01041EDD">
                  <w:pPr>
                    <w:pStyle w:val="6"/>
                    <w:spacing w:before="167" w:line="228" w:lineRule="auto"/>
                    <w:ind w:left="462"/>
                    <w:rPr>
                      <w:sz w:val="20"/>
                      <w:szCs w:val="20"/>
                    </w:rPr>
                  </w:pPr>
                  <w:r>
                    <w:rPr>
                      <w:spacing w:val="-4"/>
                      <w:sz w:val="20"/>
                      <w:szCs w:val="20"/>
                    </w:rPr>
                    <w:t>间歇</w:t>
                  </w:r>
                </w:p>
              </w:tc>
            </w:tr>
            <w:tr w14:paraId="5D328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52" w:type="dxa"/>
                  <w:vMerge w:val="continue"/>
                  <w:tcBorders>
                    <w:top w:val="nil"/>
                  </w:tcBorders>
                  <w:vAlign w:val="top"/>
                </w:tcPr>
                <w:p w14:paraId="5CD339EA">
                  <w:pPr>
                    <w:rPr>
                      <w:rFonts w:ascii="Arial"/>
                      <w:sz w:val="21"/>
                    </w:rPr>
                  </w:pPr>
                </w:p>
              </w:tc>
              <w:tc>
                <w:tcPr>
                  <w:tcW w:w="2959" w:type="dxa"/>
                  <w:vAlign w:val="top"/>
                </w:tcPr>
                <w:p w14:paraId="1F46FFF4">
                  <w:pPr>
                    <w:pStyle w:val="6"/>
                    <w:spacing w:before="33" w:line="216" w:lineRule="auto"/>
                    <w:ind w:left="862"/>
                    <w:rPr>
                      <w:sz w:val="20"/>
                      <w:szCs w:val="20"/>
                    </w:rPr>
                  </w:pPr>
                  <w:r>
                    <w:rPr>
                      <w:spacing w:val="6"/>
                      <w:sz w:val="20"/>
                      <w:szCs w:val="20"/>
                    </w:rPr>
                    <w:t>雨天地表径流</w:t>
                  </w:r>
                </w:p>
              </w:tc>
              <w:tc>
                <w:tcPr>
                  <w:tcW w:w="3308" w:type="dxa"/>
                  <w:vAlign w:val="top"/>
                </w:tcPr>
                <w:p w14:paraId="0955C084">
                  <w:pPr>
                    <w:spacing w:before="69" w:line="195" w:lineRule="auto"/>
                    <w:ind w:left="1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299" w:type="dxa"/>
                  <w:vAlign w:val="top"/>
                </w:tcPr>
                <w:p w14:paraId="0B714FE3">
                  <w:pPr>
                    <w:pStyle w:val="6"/>
                    <w:spacing w:before="33" w:line="216" w:lineRule="auto"/>
                    <w:ind w:left="462"/>
                    <w:rPr>
                      <w:sz w:val="20"/>
                      <w:szCs w:val="20"/>
                    </w:rPr>
                  </w:pPr>
                  <w:r>
                    <w:rPr>
                      <w:spacing w:val="-4"/>
                      <w:sz w:val="20"/>
                      <w:szCs w:val="20"/>
                    </w:rPr>
                    <w:t>间歇</w:t>
                  </w:r>
                </w:p>
              </w:tc>
            </w:tr>
            <w:tr w14:paraId="6B261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52" w:type="dxa"/>
                  <w:vMerge w:val="restart"/>
                  <w:tcBorders>
                    <w:bottom w:val="nil"/>
                  </w:tcBorders>
                  <w:vAlign w:val="top"/>
                </w:tcPr>
                <w:p w14:paraId="3874CAE4">
                  <w:pPr>
                    <w:pStyle w:val="6"/>
                    <w:spacing w:before="174" w:line="228" w:lineRule="auto"/>
                    <w:ind w:left="230"/>
                    <w:rPr>
                      <w:sz w:val="20"/>
                      <w:szCs w:val="20"/>
                    </w:rPr>
                  </w:pPr>
                  <w:r>
                    <w:rPr>
                      <w:spacing w:val="-1"/>
                      <w:sz w:val="20"/>
                      <w:szCs w:val="20"/>
                    </w:rPr>
                    <w:t>噪声</w:t>
                  </w:r>
                </w:p>
              </w:tc>
              <w:tc>
                <w:tcPr>
                  <w:tcW w:w="2959" w:type="dxa"/>
                  <w:vAlign w:val="top"/>
                </w:tcPr>
                <w:p w14:paraId="0B198A5C">
                  <w:pPr>
                    <w:pStyle w:val="6"/>
                    <w:spacing w:before="35" w:line="214" w:lineRule="auto"/>
                    <w:ind w:left="1062"/>
                    <w:rPr>
                      <w:sz w:val="20"/>
                      <w:szCs w:val="20"/>
                    </w:rPr>
                  </w:pPr>
                  <w:r>
                    <w:rPr>
                      <w:spacing w:val="7"/>
                      <w:sz w:val="20"/>
                      <w:szCs w:val="20"/>
                    </w:rPr>
                    <w:t>施工机械</w:t>
                  </w:r>
                </w:p>
              </w:tc>
              <w:tc>
                <w:tcPr>
                  <w:tcW w:w="3308" w:type="dxa"/>
                  <w:vAlign w:val="top"/>
                </w:tcPr>
                <w:p w14:paraId="6F24884C">
                  <w:pPr>
                    <w:pStyle w:val="6"/>
                    <w:spacing w:before="35" w:line="214" w:lineRule="auto"/>
                    <w:ind w:left="1240"/>
                    <w:rPr>
                      <w:sz w:val="20"/>
                      <w:szCs w:val="20"/>
                    </w:rPr>
                  </w:pPr>
                  <w:r>
                    <w:rPr>
                      <w:spacing w:val="7"/>
                      <w:sz w:val="20"/>
                      <w:szCs w:val="20"/>
                    </w:rPr>
                    <w:t>机械噪声</w:t>
                  </w:r>
                </w:p>
              </w:tc>
              <w:tc>
                <w:tcPr>
                  <w:tcW w:w="1299" w:type="dxa"/>
                  <w:vAlign w:val="top"/>
                </w:tcPr>
                <w:p w14:paraId="3E059622">
                  <w:pPr>
                    <w:pStyle w:val="6"/>
                    <w:spacing w:before="35" w:line="214" w:lineRule="auto"/>
                    <w:ind w:left="462"/>
                    <w:rPr>
                      <w:sz w:val="20"/>
                      <w:szCs w:val="20"/>
                    </w:rPr>
                  </w:pPr>
                  <w:r>
                    <w:rPr>
                      <w:spacing w:val="-4"/>
                      <w:sz w:val="20"/>
                      <w:szCs w:val="20"/>
                    </w:rPr>
                    <w:t>间歇</w:t>
                  </w:r>
                </w:p>
              </w:tc>
            </w:tr>
            <w:tr w14:paraId="54F9A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52" w:type="dxa"/>
                  <w:vMerge w:val="continue"/>
                  <w:tcBorders>
                    <w:top w:val="nil"/>
                  </w:tcBorders>
                  <w:vAlign w:val="top"/>
                </w:tcPr>
                <w:p w14:paraId="58C2BDC6">
                  <w:pPr>
                    <w:rPr>
                      <w:rFonts w:ascii="Arial"/>
                      <w:sz w:val="21"/>
                    </w:rPr>
                  </w:pPr>
                </w:p>
              </w:tc>
              <w:tc>
                <w:tcPr>
                  <w:tcW w:w="2959" w:type="dxa"/>
                  <w:vAlign w:val="top"/>
                </w:tcPr>
                <w:p w14:paraId="2E84D58D">
                  <w:pPr>
                    <w:pStyle w:val="6"/>
                    <w:spacing w:before="33" w:line="216" w:lineRule="auto"/>
                    <w:ind w:left="1063"/>
                    <w:rPr>
                      <w:sz w:val="20"/>
                      <w:szCs w:val="20"/>
                    </w:rPr>
                  </w:pPr>
                  <w:r>
                    <w:rPr>
                      <w:spacing w:val="7"/>
                      <w:sz w:val="20"/>
                      <w:szCs w:val="20"/>
                    </w:rPr>
                    <w:t>运输车辆</w:t>
                  </w:r>
                </w:p>
              </w:tc>
              <w:tc>
                <w:tcPr>
                  <w:tcW w:w="3308" w:type="dxa"/>
                  <w:vAlign w:val="top"/>
                </w:tcPr>
                <w:p w14:paraId="511C0C4B">
                  <w:pPr>
                    <w:pStyle w:val="6"/>
                    <w:spacing w:before="33" w:line="216" w:lineRule="auto"/>
                    <w:ind w:left="1245"/>
                    <w:rPr>
                      <w:sz w:val="20"/>
                      <w:szCs w:val="20"/>
                    </w:rPr>
                  </w:pPr>
                  <w:r>
                    <w:rPr>
                      <w:spacing w:val="6"/>
                      <w:sz w:val="20"/>
                      <w:szCs w:val="20"/>
                    </w:rPr>
                    <w:t>交通噪声</w:t>
                  </w:r>
                </w:p>
              </w:tc>
              <w:tc>
                <w:tcPr>
                  <w:tcW w:w="1299" w:type="dxa"/>
                  <w:vAlign w:val="top"/>
                </w:tcPr>
                <w:p w14:paraId="202C2957">
                  <w:pPr>
                    <w:pStyle w:val="6"/>
                    <w:spacing w:before="33" w:line="216" w:lineRule="auto"/>
                    <w:ind w:left="462"/>
                    <w:rPr>
                      <w:sz w:val="20"/>
                      <w:szCs w:val="20"/>
                    </w:rPr>
                  </w:pPr>
                  <w:r>
                    <w:rPr>
                      <w:spacing w:val="-4"/>
                      <w:sz w:val="20"/>
                      <w:szCs w:val="20"/>
                    </w:rPr>
                    <w:t>间歇</w:t>
                  </w:r>
                </w:p>
              </w:tc>
            </w:tr>
            <w:tr w14:paraId="3C70F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52" w:type="dxa"/>
                  <w:vMerge w:val="restart"/>
                  <w:tcBorders>
                    <w:bottom w:val="nil"/>
                  </w:tcBorders>
                  <w:vAlign w:val="top"/>
                </w:tcPr>
                <w:p w14:paraId="30929E1F">
                  <w:pPr>
                    <w:spacing w:line="392" w:lineRule="auto"/>
                    <w:rPr>
                      <w:rFonts w:ascii="Arial"/>
                      <w:sz w:val="21"/>
                    </w:rPr>
                  </w:pPr>
                </w:p>
                <w:p w14:paraId="0F74B58A">
                  <w:pPr>
                    <w:pStyle w:val="6"/>
                    <w:spacing w:before="65" w:line="228" w:lineRule="auto"/>
                    <w:ind w:left="238"/>
                    <w:rPr>
                      <w:sz w:val="20"/>
                      <w:szCs w:val="20"/>
                    </w:rPr>
                  </w:pPr>
                  <w:r>
                    <w:rPr>
                      <w:spacing w:val="-5"/>
                      <w:sz w:val="20"/>
                      <w:szCs w:val="20"/>
                    </w:rPr>
                    <w:t>固废</w:t>
                  </w:r>
                </w:p>
              </w:tc>
              <w:tc>
                <w:tcPr>
                  <w:tcW w:w="2959" w:type="dxa"/>
                  <w:vAlign w:val="top"/>
                </w:tcPr>
                <w:p w14:paraId="0EE6FF3A">
                  <w:pPr>
                    <w:pStyle w:val="6"/>
                    <w:spacing w:before="35" w:line="214" w:lineRule="auto"/>
                    <w:ind w:left="748"/>
                    <w:rPr>
                      <w:sz w:val="20"/>
                      <w:szCs w:val="20"/>
                    </w:rPr>
                  </w:pPr>
                  <w:r>
                    <w:rPr>
                      <w:spacing w:val="8"/>
                      <w:sz w:val="20"/>
                      <w:szCs w:val="20"/>
                    </w:rPr>
                    <w:t>场地平整及开挖</w:t>
                  </w:r>
                </w:p>
              </w:tc>
              <w:tc>
                <w:tcPr>
                  <w:tcW w:w="3308" w:type="dxa"/>
                  <w:vAlign w:val="top"/>
                </w:tcPr>
                <w:p w14:paraId="4E1F3C2B">
                  <w:pPr>
                    <w:pStyle w:val="6"/>
                    <w:spacing w:before="35" w:line="214" w:lineRule="auto"/>
                    <w:ind w:left="1347"/>
                    <w:rPr>
                      <w:sz w:val="20"/>
                      <w:szCs w:val="20"/>
                    </w:rPr>
                  </w:pPr>
                  <w:r>
                    <w:rPr>
                      <w:spacing w:val="6"/>
                      <w:sz w:val="20"/>
                      <w:szCs w:val="20"/>
                    </w:rPr>
                    <w:t>土石方</w:t>
                  </w:r>
                </w:p>
              </w:tc>
              <w:tc>
                <w:tcPr>
                  <w:tcW w:w="1299" w:type="dxa"/>
                  <w:vAlign w:val="top"/>
                </w:tcPr>
                <w:p w14:paraId="1CF4A9A9">
                  <w:pPr>
                    <w:pStyle w:val="6"/>
                    <w:spacing w:before="35" w:line="214" w:lineRule="auto"/>
                    <w:ind w:left="462"/>
                    <w:rPr>
                      <w:sz w:val="20"/>
                      <w:szCs w:val="20"/>
                    </w:rPr>
                  </w:pPr>
                  <w:r>
                    <w:rPr>
                      <w:spacing w:val="-4"/>
                      <w:sz w:val="20"/>
                      <w:szCs w:val="20"/>
                    </w:rPr>
                    <w:t>间歇</w:t>
                  </w:r>
                </w:p>
              </w:tc>
            </w:tr>
            <w:tr w14:paraId="132E5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52" w:type="dxa"/>
                  <w:vMerge w:val="continue"/>
                  <w:tcBorders>
                    <w:top w:val="nil"/>
                    <w:bottom w:val="nil"/>
                  </w:tcBorders>
                  <w:vAlign w:val="top"/>
                </w:tcPr>
                <w:p w14:paraId="1B0D328B">
                  <w:pPr>
                    <w:rPr>
                      <w:rFonts w:ascii="Arial"/>
                      <w:sz w:val="21"/>
                    </w:rPr>
                  </w:pPr>
                </w:p>
              </w:tc>
              <w:tc>
                <w:tcPr>
                  <w:tcW w:w="2959" w:type="dxa"/>
                  <w:vAlign w:val="top"/>
                </w:tcPr>
                <w:p w14:paraId="27733C75">
                  <w:pPr>
                    <w:pStyle w:val="6"/>
                    <w:spacing w:before="36" w:line="214" w:lineRule="auto"/>
                    <w:ind w:left="1275"/>
                    <w:rPr>
                      <w:sz w:val="20"/>
                      <w:szCs w:val="20"/>
                    </w:rPr>
                  </w:pPr>
                  <w:r>
                    <w:rPr>
                      <w:spacing w:val="4"/>
                      <w:sz w:val="20"/>
                      <w:szCs w:val="20"/>
                    </w:rPr>
                    <w:t>土建</w:t>
                  </w:r>
                </w:p>
              </w:tc>
              <w:tc>
                <w:tcPr>
                  <w:tcW w:w="3308" w:type="dxa"/>
                  <w:vAlign w:val="top"/>
                </w:tcPr>
                <w:p w14:paraId="7BFFE630">
                  <w:pPr>
                    <w:pStyle w:val="6"/>
                    <w:spacing w:before="36" w:line="214" w:lineRule="auto"/>
                    <w:ind w:left="1243"/>
                    <w:rPr>
                      <w:sz w:val="20"/>
                      <w:szCs w:val="20"/>
                    </w:rPr>
                  </w:pPr>
                  <w:r>
                    <w:rPr>
                      <w:spacing w:val="6"/>
                      <w:sz w:val="20"/>
                      <w:szCs w:val="20"/>
                    </w:rPr>
                    <w:t>建筑垃圾</w:t>
                  </w:r>
                </w:p>
              </w:tc>
              <w:tc>
                <w:tcPr>
                  <w:tcW w:w="1299" w:type="dxa"/>
                  <w:vAlign w:val="top"/>
                </w:tcPr>
                <w:p w14:paraId="40C3EE0B">
                  <w:pPr>
                    <w:pStyle w:val="6"/>
                    <w:spacing w:before="36" w:line="214" w:lineRule="auto"/>
                    <w:ind w:left="462"/>
                    <w:rPr>
                      <w:sz w:val="20"/>
                      <w:szCs w:val="20"/>
                    </w:rPr>
                  </w:pPr>
                  <w:r>
                    <w:rPr>
                      <w:spacing w:val="-4"/>
                      <w:sz w:val="20"/>
                      <w:szCs w:val="20"/>
                    </w:rPr>
                    <w:t>间歇</w:t>
                  </w:r>
                </w:p>
              </w:tc>
            </w:tr>
            <w:tr w14:paraId="2AB9E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52" w:type="dxa"/>
                  <w:vMerge w:val="continue"/>
                  <w:tcBorders>
                    <w:top w:val="nil"/>
                    <w:bottom w:val="nil"/>
                  </w:tcBorders>
                  <w:vAlign w:val="top"/>
                </w:tcPr>
                <w:p w14:paraId="2B5FAFA4">
                  <w:pPr>
                    <w:rPr>
                      <w:rFonts w:ascii="Arial"/>
                      <w:sz w:val="21"/>
                    </w:rPr>
                  </w:pPr>
                </w:p>
              </w:tc>
              <w:tc>
                <w:tcPr>
                  <w:tcW w:w="2959" w:type="dxa"/>
                  <w:vAlign w:val="top"/>
                </w:tcPr>
                <w:p w14:paraId="3035E8E1">
                  <w:pPr>
                    <w:pStyle w:val="6"/>
                    <w:spacing w:before="36" w:line="216" w:lineRule="auto"/>
                    <w:ind w:left="1066"/>
                    <w:rPr>
                      <w:sz w:val="20"/>
                      <w:szCs w:val="20"/>
                    </w:rPr>
                  </w:pPr>
                  <w:r>
                    <w:rPr>
                      <w:spacing w:val="6"/>
                      <w:sz w:val="20"/>
                      <w:szCs w:val="20"/>
                    </w:rPr>
                    <w:t>设备安装</w:t>
                  </w:r>
                </w:p>
              </w:tc>
              <w:tc>
                <w:tcPr>
                  <w:tcW w:w="3308" w:type="dxa"/>
                  <w:vAlign w:val="top"/>
                </w:tcPr>
                <w:p w14:paraId="3B63A6DE">
                  <w:pPr>
                    <w:pStyle w:val="6"/>
                    <w:spacing w:before="36" w:line="216" w:lineRule="auto"/>
                    <w:ind w:left="1029"/>
                    <w:rPr>
                      <w:sz w:val="20"/>
                      <w:szCs w:val="20"/>
                    </w:rPr>
                  </w:pPr>
                  <w:r>
                    <w:rPr>
                      <w:spacing w:val="8"/>
                      <w:sz w:val="20"/>
                      <w:szCs w:val="20"/>
                    </w:rPr>
                    <w:t>废弃设备零件</w:t>
                  </w:r>
                </w:p>
              </w:tc>
              <w:tc>
                <w:tcPr>
                  <w:tcW w:w="1299" w:type="dxa"/>
                  <w:vAlign w:val="top"/>
                </w:tcPr>
                <w:p w14:paraId="68CE6200">
                  <w:pPr>
                    <w:pStyle w:val="6"/>
                    <w:spacing w:before="36" w:line="216" w:lineRule="auto"/>
                    <w:ind w:left="462"/>
                    <w:rPr>
                      <w:sz w:val="20"/>
                      <w:szCs w:val="20"/>
                    </w:rPr>
                  </w:pPr>
                  <w:r>
                    <w:rPr>
                      <w:spacing w:val="-4"/>
                      <w:sz w:val="20"/>
                      <w:szCs w:val="20"/>
                    </w:rPr>
                    <w:t>间歇</w:t>
                  </w:r>
                </w:p>
              </w:tc>
            </w:tr>
            <w:tr w14:paraId="62319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52" w:type="dxa"/>
                  <w:vMerge w:val="continue"/>
                  <w:tcBorders>
                    <w:top w:val="nil"/>
                  </w:tcBorders>
                  <w:vAlign w:val="top"/>
                </w:tcPr>
                <w:p w14:paraId="293E850E">
                  <w:pPr>
                    <w:rPr>
                      <w:rFonts w:ascii="Arial"/>
                      <w:sz w:val="21"/>
                    </w:rPr>
                  </w:pPr>
                </w:p>
              </w:tc>
              <w:tc>
                <w:tcPr>
                  <w:tcW w:w="2959" w:type="dxa"/>
                  <w:vAlign w:val="top"/>
                </w:tcPr>
                <w:p w14:paraId="23F4C784">
                  <w:pPr>
                    <w:pStyle w:val="6"/>
                    <w:spacing w:before="33" w:line="219" w:lineRule="auto"/>
                    <w:ind w:left="1062"/>
                    <w:rPr>
                      <w:sz w:val="20"/>
                      <w:szCs w:val="20"/>
                    </w:rPr>
                  </w:pPr>
                  <w:r>
                    <w:rPr>
                      <w:spacing w:val="7"/>
                      <w:sz w:val="20"/>
                      <w:szCs w:val="20"/>
                    </w:rPr>
                    <w:t>施工人员</w:t>
                  </w:r>
                </w:p>
              </w:tc>
              <w:tc>
                <w:tcPr>
                  <w:tcW w:w="3308" w:type="dxa"/>
                  <w:vAlign w:val="top"/>
                </w:tcPr>
                <w:p w14:paraId="6E9545E9">
                  <w:pPr>
                    <w:pStyle w:val="6"/>
                    <w:spacing w:before="33" w:line="219" w:lineRule="auto"/>
                    <w:ind w:left="402"/>
                    <w:rPr>
                      <w:sz w:val="20"/>
                      <w:szCs w:val="20"/>
                    </w:rPr>
                  </w:pPr>
                  <w:r>
                    <w:rPr>
                      <w:spacing w:val="8"/>
                      <w:sz w:val="20"/>
                      <w:szCs w:val="20"/>
                    </w:rPr>
                    <w:t>生活垃圾、餐厨废物、粪便</w:t>
                  </w:r>
                </w:p>
              </w:tc>
              <w:tc>
                <w:tcPr>
                  <w:tcW w:w="1299" w:type="dxa"/>
                  <w:vAlign w:val="top"/>
                </w:tcPr>
                <w:p w14:paraId="63DEB23E">
                  <w:pPr>
                    <w:pStyle w:val="6"/>
                    <w:spacing w:before="33" w:line="219" w:lineRule="auto"/>
                    <w:ind w:left="462"/>
                    <w:rPr>
                      <w:sz w:val="20"/>
                      <w:szCs w:val="20"/>
                    </w:rPr>
                  </w:pPr>
                  <w:r>
                    <w:rPr>
                      <w:spacing w:val="-4"/>
                      <w:sz w:val="20"/>
                      <w:szCs w:val="20"/>
                    </w:rPr>
                    <w:t>间歇</w:t>
                  </w:r>
                </w:p>
              </w:tc>
            </w:tr>
          </w:tbl>
          <w:p w14:paraId="6D630193">
            <w:pPr>
              <w:pStyle w:val="6"/>
              <w:spacing w:before="36" w:line="219" w:lineRule="auto"/>
              <w:ind w:left="598"/>
            </w:pPr>
            <w:r>
              <w:rPr>
                <w:spacing w:val="-2"/>
              </w:rPr>
              <w:t>（</w:t>
            </w:r>
            <w:r>
              <w:rPr>
                <w:rFonts w:ascii="Times New Roman" w:hAnsi="Times New Roman" w:eastAsia="Times New Roman" w:cs="Times New Roman"/>
                <w:spacing w:val="-2"/>
              </w:rPr>
              <w:t>3</w:t>
            </w:r>
            <w:r>
              <w:rPr>
                <w:spacing w:val="-2"/>
              </w:rPr>
              <w:t>）施工期生态环境影响因素</w:t>
            </w:r>
          </w:p>
          <w:p w14:paraId="2E71378C">
            <w:pPr>
              <w:pStyle w:val="6"/>
              <w:spacing w:before="180" w:line="347" w:lineRule="auto"/>
              <w:ind w:left="109" w:right="135" w:firstLine="477"/>
            </w:pPr>
            <w:r>
              <w:t>根据本工程的特点、施工工艺，分析工程施工阶段</w:t>
            </w:r>
            <w:r>
              <w:rPr>
                <w:spacing w:val="-1"/>
              </w:rPr>
              <w:t>对项目周围的生态影响因</w:t>
            </w:r>
            <w:r>
              <w:t xml:space="preserve"> </w:t>
            </w:r>
            <w:r>
              <w:rPr>
                <w:spacing w:val="-1"/>
              </w:rPr>
              <w:t>素。项目施工期生态环境影响因素见下表。</w:t>
            </w:r>
          </w:p>
          <w:p w14:paraId="1791EF3E">
            <w:pPr>
              <w:pStyle w:val="6"/>
              <w:spacing w:before="30" w:line="222" w:lineRule="auto"/>
              <w:ind w:left="2547"/>
              <w:rPr>
                <w:sz w:val="20"/>
                <w:szCs w:val="20"/>
              </w:rPr>
            </w:pPr>
            <w:r>
              <w:rPr>
                <w:b/>
                <w:bCs/>
                <w:spacing w:val="6"/>
                <w:sz w:val="20"/>
                <w:szCs w:val="20"/>
              </w:rPr>
              <w:t>表</w:t>
            </w:r>
            <w:r>
              <w:rPr>
                <w:rFonts w:ascii="Times New Roman" w:hAnsi="Times New Roman" w:eastAsia="Times New Roman" w:cs="Times New Roman"/>
                <w:b/>
                <w:bCs/>
                <w:spacing w:val="6"/>
                <w:sz w:val="20"/>
                <w:szCs w:val="20"/>
              </w:rPr>
              <w:t xml:space="preserve">4-2      </w:t>
            </w:r>
            <w:r>
              <w:rPr>
                <w:b/>
                <w:bCs/>
                <w:spacing w:val="6"/>
                <w:sz w:val="20"/>
                <w:szCs w:val="20"/>
              </w:rPr>
              <w:t>项目施工期生态环境影响因素</w:t>
            </w:r>
          </w:p>
          <w:tbl>
            <w:tblPr>
              <w:tblStyle w:val="5"/>
              <w:tblW w:w="842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09"/>
              <w:gridCol w:w="4006"/>
              <w:gridCol w:w="1709"/>
            </w:tblGrid>
            <w:tr w14:paraId="63B75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709" w:type="dxa"/>
                  <w:vAlign w:val="top"/>
                </w:tcPr>
                <w:p w14:paraId="4B2CD994">
                  <w:pPr>
                    <w:pStyle w:val="6"/>
                    <w:spacing w:before="37" w:line="216" w:lineRule="auto"/>
                    <w:ind w:left="730"/>
                    <w:rPr>
                      <w:sz w:val="20"/>
                      <w:szCs w:val="20"/>
                    </w:rPr>
                  </w:pPr>
                  <w:r>
                    <w:rPr>
                      <w:b/>
                      <w:bCs/>
                      <w:spacing w:val="6"/>
                      <w:sz w:val="20"/>
                      <w:szCs w:val="20"/>
                    </w:rPr>
                    <w:t>工程建设活动</w:t>
                  </w:r>
                </w:p>
              </w:tc>
              <w:tc>
                <w:tcPr>
                  <w:tcW w:w="4006" w:type="dxa"/>
                  <w:vAlign w:val="top"/>
                </w:tcPr>
                <w:p w14:paraId="1A4FA493">
                  <w:pPr>
                    <w:pStyle w:val="6"/>
                    <w:spacing w:before="37" w:line="216" w:lineRule="auto"/>
                    <w:ind w:left="1378"/>
                    <w:rPr>
                      <w:sz w:val="20"/>
                      <w:szCs w:val="20"/>
                    </w:rPr>
                  </w:pPr>
                  <w:r>
                    <w:rPr>
                      <w:b/>
                      <w:bCs/>
                      <w:spacing w:val="6"/>
                      <w:sz w:val="20"/>
                      <w:szCs w:val="20"/>
                    </w:rPr>
                    <w:t>生态影响因素</w:t>
                  </w:r>
                </w:p>
              </w:tc>
              <w:tc>
                <w:tcPr>
                  <w:tcW w:w="1709" w:type="dxa"/>
                  <w:vAlign w:val="top"/>
                </w:tcPr>
                <w:p w14:paraId="15B901D6">
                  <w:pPr>
                    <w:pStyle w:val="6"/>
                    <w:spacing w:before="37" w:line="216" w:lineRule="auto"/>
                    <w:ind w:left="437"/>
                    <w:rPr>
                      <w:sz w:val="20"/>
                      <w:szCs w:val="20"/>
                    </w:rPr>
                  </w:pPr>
                  <w:r>
                    <w:rPr>
                      <w:b/>
                      <w:bCs/>
                      <w:spacing w:val="6"/>
                      <w:sz w:val="20"/>
                      <w:szCs w:val="20"/>
                    </w:rPr>
                    <w:t>影响因子</w:t>
                  </w:r>
                </w:p>
              </w:tc>
            </w:tr>
            <w:tr w14:paraId="32523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709" w:type="dxa"/>
                  <w:vAlign w:val="top"/>
                </w:tcPr>
                <w:p w14:paraId="6AAA0DB6">
                  <w:pPr>
                    <w:pStyle w:val="6"/>
                    <w:spacing w:before="166" w:line="228" w:lineRule="auto"/>
                    <w:ind w:left="522"/>
                    <w:rPr>
                      <w:sz w:val="20"/>
                      <w:szCs w:val="20"/>
                    </w:rPr>
                  </w:pPr>
                  <w:r>
                    <w:rPr>
                      <w:spacing w:val="8"/>
                      <w:sz w:val="20"/>
                      <w:szCs w:val="20"/>
                    </w:rPr>
                    <w:t>土建及土石方工程</w:t>
                  </w:r>
                </w:p>
              </w:tc>
              <w:tc>
                <w:tcPr>
                  <w:tcW w:w="4006" w:type="dxa"/>
                  <w:vAlign w:val="top"/>
                </w:tcPr>
                <w:p w14:paraId="202E7037">
                  <w:pPr>
                    <w:pStyle w:val="6"/>
                    <w:spacing w:before="30" w:line="234" w:lineRule="auto"/>
                    <w:ind w:left="851" w:right="165" w:hanging="731"/>
                    <w:rPr>
                      <w:sz w:val="20"/>
                      <w:szCs w:val="20"/>
                    </w:rPr>
                  </w:pPr>
                  <w:r>
                    <w:rPr>
                      <w:spacing w:val="6"/>
                      <w:sz w:val="20"/>
                      <w:szCs w:val="20"/>
                    </w:rPr>
                    <w:t>永久占用土地、改变土地利用现状功能；</w:t>
                  </w:r>
                  <w:r>
                    <w:rPr>
                      <w:spacing w:val="5"/>
                      <w:sz w:val="20"/>
                      <w:szCs w:val="20"/>
                    </w:rPr>
                    <w:t xml:space="preserve"> </w:t>
                  </w:r>
                  <w:r>
                    <w:rPr>
                      <w:spacing w:val="9"/>
                      <w:sz w:val="20"/>
                      <w:szCs w:val="20"/>
                    </w:rPr>
                    <w:t>破坏地表植被、水土流失</w:t>
                  </w:r>
                </w:p>
              </w:tc>
              <w:tc>
                <w:tcPr>
                  <w:tcW w:w="1709" w:type="dxa"/>
                  <w:vMerge w:val="restart"/>
                  <w:tcBorders>
                    <w:bottom w:val="nil"/>
                  </w:tcBorders>
                  <w:vAlign w:val="top"/>
                </w:tcPr>
                <w:p w14:paraId="39E06456">
                  <w:pPr>
                    <w:spacing w:line="247" w:lineRule="auto"/>
                    <w:rPr>
                      <w:rFonts w:ascii="Arial"/>
                      <w:sz w:val="21"/>
                    </w:rPr>
                  </w:pPr>
                </w:p>
                <w:p w14:paraId="442EC6DF">
                  <w:pPr>
                    <w:pStyle w:val="6"/>
                    <w:spacing w:before="65"/>
                    <w:ind w:left="125" w:right="117"/>
                    <w:rPr>
                      <w:sz w:val="20"/>
                      <w:szCs w:val="20"/>
                    </w:rPr>
                  </w:pPr>
                  <w:r>
                    <w:rPr>
                      <w:spacing w:val="8"/>
                      <w:sz w:val="20"/>
                      <w:szCs w:val="20"/>
                    </w:rPr>
                    <w:t>植被、植物、土</w:t>
                  </w:r>
                  <w:r>
                    <w:rPr>
                      <w:spacing w:val="2"/>
                      <w:sz w:val="20"/>
                      <w:szCs w:val="20"/>
                    </w:rPr>
                    <w:t xml:space="preserve"> </w:t>
                  </w:r>
                  <w:r>
                    <w:rPr>
                      <w:spacing w:val="7"/>
                      <w:sz w:val="20"/>
                      <w:szCs w:val="20"/>
                    </w:rPr>
                    <w:t>地利用、动物、</w:t>
                  </w:r>
                </w:p>
                <w:p w14:paraId="26E82EA5">
                  <w:pPr>
                    <w:pStyle w:val="6"/>
                    <w:spacing w:before="23" w:line="228" w:lineRule="auto"/>
                    <w:ind w:left="442"/>
                    <w:rPr>
                      <w:sz w:val="20"/>
                      <w:szCs w:val="20"/>
                    </w:rPr>
                  </w:pPr>
                  <w:r>
                    <w:rPr>
                      <w:spacing w:val="6"/>
                      <w:sz w:val="20"/>
                      <w:szCs w:val="20"/>
                    </w:rPr>
                    <w:t>水土流失</w:t>
                  </w:r>
                </w:p>
              </w:tc>
            </w:tr>
            <w:tr w14:paraId="72F70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709" w:type="dxa"/>
                  <w:vAlign w:val="top"/>
                </w:tcPr>
                <w:p w14:paraId="17A4CD39">
                  <w:pPr>
                    <w:pStyle w:val="6"/>
                    <w:spacing w:before="33" w:line="215" w:lineRule="auto"/>
                    <w:ind w:left="203"/>
                    <w:rPr>
                      <w:sz w:val="20"/>
                      <w:szCs w:val="20"/>
                    </w:rPr>
                  </w:pPr>
                  <w:r>
                    <w:rPr>
                      <w:spacing w:val="9"/>
                      <w:sz w:val="20"/>
                      <w:szCs w:val="20"/>
                    </w:rPr>
                    <w:t>施工机械及施工车辆运输</w:t>
                  </w:r>
                </w:p>
              </w:tc>
              <w:tc>
                <w:tcPr>
                  <w:tcW w:w="4006" w:type="dxa"/>
                  <w:vAlign w:val="top"/>
                </w:tcPr>
                <w:p w14:paraId="29436E3A">
                  <w:pPr>
                    <w:pStyle w:val="6"/>
                    <w:spacing w:before="33" w:line="215" w:lineRule="auto"/>
                    <w:ind w:left="538"/>
                    <w:rPr>
                      <w:sz w:val="20"/>
                      <w:szCs w:val="20"/>
                    </w:rPr>
                  </w:pPr>
                  <w:r>
                    <w:rPr>
                      <w:spacing w:val="9"/>
                      <w:sz w:val="20"/>
                      <w:szCs w:val="20"/>
                    </w:rPr>
                    <w:t>对周围动物活动及栖息造成影响</w:t>
                  </w:r>
                </w:p>
              </w:tc>
              <w:tc>
                <w:tcPr>
                  <w:tcW w:w="1709" w:type="dxa"/>
                  <w:vMerge w:val="continue"/>
                  <w:tcBorders>
                    <w:top w:val="nil"/>
                    <w:bottom w:val="nil"/>
                  </w:tcBorders>
                  <w:vAlign w:val="top"/>
                </w:tcPr>
                <w:p w14:paraId="6D585312">
                  <w:pPr>
                    <w:rPr>
                      <w:rFonts w:ascii="Arial"/>
                      <w:sz w:val="21"/>
                    </w:rPr>
                  </w:pPr>
                </w:p>
              </w:tc>
            </w:tr>
            <w:tr w14:paraId="050C5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709" w:type="dxa"/>
                  <w:vAlign w:val="top"/>
                </w:tcPr>
                <w:p w14:paraId="6A31B7EC">
                  <w:pPr>
                    <w:pStyle w:val="6"/>
                    <w:spacing w:before="169" w:line="228" w:lineRule="auto"/>
                    <w:ind w:left="729"/>
                    <w:rPr>
                      <w:sz w:val="20"/>
                      <w:szCs w:val="20"/>
                    </w:rPr>
                  </w:pPr>
                  <w:r>
                    <w:rPr>
                      <w:spacing w:val="8"/>
                      <w:sz w:val="20"/>
                      <w:szCs w:val="20"/>
                    </w:rPr>
                    <w:t>施工临时占地</w:t>
                  </w:r>
                </w:p>
              </w:tc>
              <w:tc>
                <w:tcPr>
                  <w:tcW w:w="4006" w:type="dxa"/>
                  <w:vAlign w:val="top"/>
                </w:tcPr>
                <w:p w14:paraId="10976956">
                  <w:pPr>
                    <w:pStyle w:val="6"/>
                    <w:spacing w:before="35" w:line="234" w:lineRule="auto"/>
                    <w:ind w:left="852" w:right="165" w:hanging="722"/>
                    <w:rPr>
                      <w:sz w:val="20"/>
                      <w:szCs w:val="20"/>
                    </w:rPr>
                  </w:pPr>
                  <w:r>
                    <w:rPr>
                      <w:spacing w:val="5"/>
                      <w:sz w:val="20"/>
                      <w:szCs w:val="20"/>
                    </w:rPr>
                    <w:t>临时占用部分土地，改变土地利用功能；</w:t>
                  </w:r>
                  <w:r>
                    <w:rPr>
                      <w:spacing w:val="13"/>
                      <w:sz w:val="20"/>
                      <w:szCs w:val="20"/>
                    </w:rPr>
                    <w:t xml:space="preserve"> </w:t>
                  </w:r>
                  <w:r>
                    <w:rPr>
                      <w:spacing w:val="9"/>
                      <w:sz w:val="20"/>
                      <w:szCs w:val="20"/>
                    </w:rPr>
                    <w:t>破坏地表植被、水土流失</w:t>
                  </w:r>
                </w:p>
              </w:tc>
              <w:tc>
                <w:tcPr>
                  <w:tcW w:w="1709" w:type="dxa"/>
                  <w:vMerge w:val="continue"/>
                  <w:tcBorders>
                    <w:top w:val="nil"/>
                  </w:tcBorders>
                  <w:vAlign w:val="top"/>
                </w:tcPr>
                <w:p w14:paraId="67AD6656">
                  <w:pPr>
                    <w:rPr>
                      <w:rFonts w:ascii="Arial"/>
                      <w:sz w:val="21"/>
                    </w:rPr>
                  </w:pPr>
                </w:p>
              </w:tc>
            </w:tr>
          </w:tbl>
          <w:p w14:paraId="4DB8309D">
            <w:pPr>
              <w:pStyle w:val="6"/>
              <w:spacing w:before="36" w:line="220" w:lineRule="auto"/>
              <w:ind w:left="583"/>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、环境影响分析</w:t>
            </w:r>
          </w:p>
          <w:p w14:paraId="3C416ABD">
            <w:pPr>
              <w:pStyle w:val="6"/>
              <w:spacing w:before="182" w:line="220" w:lineRule="auto"/>
              <w:ind w:left="598"/>
            </w:pPr>
            <w:r>
              <w:rPr>
                <w:spacing w:val="-2"/>
              </w:rPr>
              <w:t>（</w:t>
            </w:r>
            <w:r>
              <w:rPr>
                <w:rFonts w:ascii="Times New Roman" w:hAnsi="Times New Roman" w:eastAsia="Times New Roman" w:cs="Times New Roman"/>
                <w:spacing w:val="-2"/>
              </w:rPr>
              <w:t>1</w:t>
            </w:r>
            <w:r>
              <w:rPr>
                <w:spacing w:val="-2"/>
              </w:rPr>
              <w:t>）生态环境影响分析</w:t>
            </w:r>
          </w:p>
          <w:p w14:paraId="617AB9C6">
            <w:pPr>
              <w:pStyle w:val="6"/>
              <w:spacing w:before="180" w:line="220" w:lineRule="auto"/>
              <w:ind w:left="605"/>
            </w:pPr>
            <w:r>
              <w:rPr>
                <w:rFonts w:ascii="Times New Roman" w:hAnsi="Times New Roman" w:eastAsia="Times New Roman" w:cs="Times New Roman"/>
                <w:spacing w:val="-3"/>
              </w:rPr>
              <w:t>1</w:t>
            </w:r>
            <w:r>
              <w:rPr>
                <w:spacing w:val="-3"/>
              </w:rPr>
              <w:t>）对土地利用的影响分析</w:t>
            </w:r>
          </w:p>
          <w:p w14:paraId="3619737E">
            <w:pPr>
              <w:pStyle w:val="6"/>
              <w:spacing w:before="179" w:line="219" w:lineRule="auto"/>
              <w:ind w:left="586"/>
            </w:pPr>
            <w:r>
              <w:rPr>
                <w:spacing w:val="-4"/>
              </w:rPr>
              <w:t>根据项目总体布局，项目实际总占地面积</w:t>
            </w:r>
            <w:r>
              <w:rPr>
                <w:spacing w:val="-32"/>
              </w:rPr>
              <w:t xml:space="preserve"> </w:t>
            </w:r>
            <w:r>
              <w:rPr>
                <w:rFonts w:ascii="Times New Roman" w:hAnsi="Times New Roman" w:eastAsia="Times New Roman" w:cs="Times New Roman"/>
                <w:spacing w:val="-4"/>
              </w:rPr>
              <w:t>14</w:t>
            </w:r>
            <w:r>
              <w:rPr>
                <w:rFonts w:ascii="Times New Roman" w:hAnsi="Times New Roman" w:eastAsia="Times New Roman" w:cs="Times New Roman"/>
                <w:spacing w:val="-5"/>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1304hm</w:t>
            </w:r>
            <w:r>
              <w:rPr>
                <w:rFonts w:ascii="Times New Roman" w:hAnsi="Times New Roman" w:eastAsia="Times New Roman" w:cs="Times New Roman"/>
                <w:spacing w:val="-5"/>
                <w:position w:val="7"/>
                <w:sz w:val="15"/>
                <w:szCs w:val="15"/>
              </w:rPr>
              <w:t>2</w:t>
            </w:r>
            <w:r>
              <w:rPr>
                <w:spacing w:val="-5"/>
              </w:rPr>
              <w:t>，按占地性质，永久占</w:t>
            </w:r>
          </w:p>
        </w:tc>
      </w:tr>
    </w:tbl>
    <w:p w14:paraId="7D3788AD">
      <w:pPr>
        <w:rPr>
          <w:rFonts w:ascii="Arial"/>
          <w:sz w:val="21"/>
        </w:rPr>
      </w:pPr>
    </w:p>
    <w:p w14:paraId="5136FC17">
      <w:pPr>
        <w:rPr>
          <w:rFonts w:ascii="Arial" w:hAnsi="Arial" w:eastAsia="Arial" w:cs="Arial"/>
          <w:sz w:val="21"/>
          <w:szCs w:val="21"/>
        </w:rPr>
        <w:sectPr>
          <w:footerReference r:id="rId107" w:type="default"/>
          <w:pgSz w:w="11906" w:h="16839"/>
          <w:pgMar w:top="1431" w:right="1454" w:bottom="1278" w:left="1454" w:header="0" w:footer="1116" w:gutter="0"/>
          <w:cols w:space="720" w:num="1"/>
        </w:sectPr>
      </w:pPr>
    </w:p>
    <w:p w14:paraId="7C523B4D">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7656A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3" w:hRule="atLeast"/>
        </w:trPr>
        <w:tc>
          <w:tcPr>
            <w:tcW w:w="339" w:type="dxa"/>
            <w:tcBorders>
              <w:right w:val="single" w:color="000000" w:sz="2" w:space="0"/>
            </w:tcBorders>
            <w:vAlign w:val="top"/>
          </w:tcPr>
          <w:p w14:paraId="7820D0E9">
            <w:pPr>
              <w:rPr>
                <w:rFonts w:ascii="Arial"/>
                <w:sz w:val="21"/>
              </w:rPr>
            </w:pPr>
          </w:p>
        </w:tc>
        <w:tc>
          <w:tcPr>
            <w:tcW w:w="8643" w:type="dxa"/>
            <w:tcBorders>
              <w:left w:val="single" w:color="000000" w:sz="2" w:space="0"/>
            </w:tcBorders>
            <w:vAlign w:val="top"/>
          </w:tcPr>
          <w:p w14:paraId="64F915C8">
            <w:pPr>
              <w:pStyle w:val="6"/>
              <w:spacing w:before="37" w:line="356" w:lineRule="auto"/>
              <w:ind w:left="104" w:right="102" w:firstLine="1"/>
              <w:jc w:val="both"/>
            </w:pPr>
            <w:r>
              <w:rPr>
                <w:spacing w:val="-3"/>
              </w:rPr>
              <w:t>地</w:t>
            </w:r>
            <w:r>
              <w:rPr>
                <w:spacing w:val="-36"/>
              </w:rPr>
              <w:t xml:space="preserve"> </w:t>
            </w:r>
            <w:r>
              <w:rPr>
                <w:rFonts w:ascii="Times New Roman" w:hAnsi="Times New Roman" w:eastAsia="Times New Roman" w:cs="Times New Roman"/>
                <w:spacing w:val="-3"/>
              </w:rPr>
              <w:t>3.4547hm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spacing w:val="-3"/>
              </w:rPr>
              <w:t>，临时占地</w:t>
            </w:r>
            <w:r>
              <w:rPr>
                <w:spacing w:val="-32"/>
              </w:rPr>
              <w:t xml:space="preserve"> </w:t>
            </w:r>
            <w:r>
              <w:rPr>
                <w:rFonts w:ascii="Times New Roman" w:hAnsi="Times New Roman" w:eastAsia="Times New Roman" w:cs="Times New Roman"/>
                <w:spacing w:val="-3"/>
              </w:rPr>
              <w:t>136.6757hm</w:t>
            </w:r>
            <w:r>
              <w:rPr>
                <w:rFonts w:ascii="Times New Roman" w:hAnsi="Times New Roman" w:eastAsia="Times New Roman" w:cs="Times New Roman"/>
                <w:spacing w:val="-3"/>
                <w:position w:val="7"/>
                <w:sz w:val="15"/>
                <w:szCs w:val="15"/>
              </w:rPr>
              <w:t xml:space="preserve">2 </w:t>
            </w:r>
            <w:r>
              <w:rPr>
                <w:spacing w:val="-3"/>
              </w:rPr>
              <w:t>。项目不占用基本农田及生态保护红线，涉</w:t>
            </w:r>
            <w:r>
              <w:t xml:space="preserve"> </w:t>
            </w:r>
            <w:r>
              <w:rPr>
                <w:spacing w:val="-3"/>
              </w:rPr>
              <w:t>及</w:t>
            </w:r>
            <w:r>
              <w:rPr>
                <w:spacing w:val="-51"/>
              </w:rPr>
              <w:t xml:space="preserve"> </w:t>
            </w:r>
            <w:r>
              <w:rPr>
                <w:rFonts w:ascii="Times New Roman" w:hAnsi="Times New Roman" w:eastAsia="Times New Roman" w:cs="Times New Roman"/>
                <w:spacing w:val="-3"/>
              </w:rPr>
              <w:t>0.0789hm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0"/>
                <w:w w:val="101"/>
                <w:position w:val="8"/>
                <w:sz w:val="15"/>
                <w:szCs w:val="15"/>
              </w:rPr>
              <w:t xml:space="preserve"> </w:t>
            </w:r>
            <w:r>
              <w:rPr>
                <w:spacing w:val="-3"/>
              </w:rPr>
              <w:t>林地为永久用地，为塔基占用；永久使用</w:t>
            </w:r>
            <w:r>
              <w:rPr>
                <w:spacing w:val="-50"/>
              </w:rPr>
              <w:t xml:space="preserve"> </w:t>
            </w:r>
            <w:r>
              <w:rPr>
                <w:rFonts w:ascii="Times New Roman" w:hAnsi="Times New Roman" w:eastAsia="Times New Roman" w:cs="Times New Roman"/>
                <w:spacing w:val="-3"/>
              </w:rPr>
              <w:t>3.3104hm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3"/>
                <w:w w:val="101"/>
                <w:position w:val="8"/>
                <w:sz w:val="15"/>
                <w:szCs w:val="15"/>
              </w:rPr>
              <w:t xml:space="preserve"> </w:t>
            </w:r>
            <w:r>
              <w:rPr>
                <w:spacing w:val="-3"/>
              </w:rPr>
              <w:t>草地，</w:t>
            </w:r>
            <w:r>
              <w:rPr>
                <w:spacing w:val="-4"/>
              </w:rPr>
              <w:t>分别为进</w:t>
            </w:r>
            <w:r>
              <w:t xml:space="preserve"> </w:t>
            </w:r>
            <w:r>
              <w:rPr>
                <w:spacing w:val="-1"/>
              </w:rPr>
              <w:t>场道路</w:t>
            </w:r>
            <w:r>
              <w:rPr>
                <w:spacing w:val="-22"/>
              </w:rPr>
              <w:t xml:space="preserve"> </w:t>
            </w:r>
            <w:r>
              <w:rPr>
                <w:rFonts w:ascii="Times New Roman" w:hAnsi="Times New Roman" w:eastAsia="Times New Roman" w:cs="Times New Roman"/>
                <w:spacing w:val="-1"/>
              </w:rPr>
              <w:t>1.3843hm</w:t>
            </w:r>
            <w:r>
              <w:rPr>
                <w:rFonts w:ascii="Times New Roman" w:hAnsi="Times New Roman" w:eastAsia="Times New Roman" w:cs="Times New Roman"/>
                <w:spacing w:val="-1"/>
                <w:position w:val="7"/>
                <w:sz w:val="15"/>
                <w:szCs w:val="15"/>
              </w:rPr>
              <w:t xml:space="preserve">2 </w:t>
            </w:r>
            <w:r>
              <w:rPr>
                <w:spacing w:val="-1"/>
              </w:rPr>
              <w:t>、升压站</w:t>
            </w:r>
            <w:r>
              <w:rPr>
                <w:spacing w:val="-25"/>
              </w:rPr>
              <w:t xml:space="preserve"> </w:t>
            </w:r>
            <w:r>
              <w:rPr>
                <w:rFonts w:ascii="Times New Roman" w:hAnsi="Times New Roman" w:eastAsia="Times New Roman" w:cs="Times New Roman"/>
                <w:spacing w:val="-1"/>
              </w:rPr>
              <w:t>1.3785hm</w:t>
            </w:r>
            <w:r>
              <w:rPr>
                <w:rFonts w:ascii="Times New Roman" w:hAnsi="Times New Roman" w:eastAsia="Times New Roman" w:cs="Times New Roman"/>
                <w:spacing w:val="-1"/>
                <w:position w:val="7"/>
                <w:sz w:val="15"/>
                <w:szCs w:val="15"/>
              </w:rPr>
              <w:t xml:space="preserve">2 </w:t>
            </w:r>
            <w:r>
              <w:rPr>
                <w:spacing w:val="-1"/>
              </w:rPr>
              <w:t>、塔基</w:t>
            </w:r>
            <w:r>
              <w:rPr>
                <w:spacing w:val="-44"/>
              </w:rPr>
              <w:t xml:space="preserve"> </w:t>
            </w:r>
            <w:r>
              <w:rPr>
                <w:rFonts w:ascii="Times New Roman" w:hAnsi="Times New Roman" w:eastAsia="Times New Roman" w:cs="Times New Roman"/>
                <w:spacing w:val="-2"/>
              </w:rPr>
              <w:t>0.2913hm</w:t>
            </w:r>
            <w:r>
              <w:rPr>
                <w:rFonts w:ascii="Times New Roman" w:hAnsi="Times New Roman" w:eastAsia="Times New Roman" w:cs="Times New Roman"/>
                <w:spacing w:val="-2"/>
                <w:position w:val="7"/>
                <w:sz w:val="15"/>
                <w:szCs w:val="15"/>
              </w:rPr>
              <w:t xml:space="preserve">2 </w:t>
            </w:r>
            <w:r>
              <w:rPr>
                <w:spacing w:val="-2"/>
              </w:rPr>
              <w:t>、箱变</w:t>
            </w:r>
            <w:r>
              <w:rPr>
                <w:spacing w:val="-41"/>
              </w:rPr>
              <w:t xml:space="preserve"> </w:t>
            </w:r>
            <w:r>
              <w:rPr>
                <w:rFonts w:ascii="Times New Roman" w:hAnsi="Times New Roman" w:eastAsia="Times New Roman" w:cs="Times New Roman"/>
                <w:spacing w:val="-2"/>
              </w:rPr>
              <w:t>0.2563hm</w:t>
            </w:r>
            <w:r>
              <w:rPr>
                <w:rFonts w:ascii="Times New Roman" w:hAnsi="Times New Roman" w:eastAsia="Times New Roman" w:cs="Times New Roman"/>
                <w:spacing w:val="-2"/>
                <w:position w:val="7"/>
                <w:sz w:val="15"/>
                <w:szCs w:val="15"/>
              </w:rPr>
              <w:t xml:space="preserve">2 </w:t>
            </w:r>
            <w:r>
              <w:rPr>
                <w:spacing w:val="-2"/>
              </w:rPr>
              <w:t>；草地</w:t>
            </w:r>
            <w:r>
              <w:t xml:space="preserve"> </w:t>
            </w:r>
            <w:r>
              <w:rPr>
                <w:rFonts w:ascii="Times New Roman" w:hAnsi="Times New Roman" w:eastAsia="Times New Roman" w:cs="Times New Roman"/>
                <w:spacing w:val="-1"/>
              </w:rPr>
              <w:t>130.6703hm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2"/>
                <w:position w:val="8"/>
                <w:sz w:val="15"/>
                <w:szCs w:val="15"/>
              </w:rPr>
              <w:t xml:space="preserve"> </w:t>
            </w:r>
            <w:r>
              <w:rPr>
                <w:spacing w:val="-1"/>
              </w:rPr>
              <w:t>为临时用地，为光伏</w:t>
            </w:r>
            <w:r>
              <w:rPr>
                <w:spacing w:val="-2"/>
              </w:rPr>
              <w:t>组件占用；非林草地</w:t>
            </w:r>
            <w:r>
              <w:rPr>
                <w:spacing w:val="-50"/>
              </w:rPr>
              <w:t xml:space="preserve"> </w:t>
            </w:r>
            <w:r>
              <w:rPr>
                <w:rFonts w:ascii="Times New Roman" w:hAnsi="Times New Roman" w:eastAsia="Times New Roman" w:cs="Times New Roman"/>
                <w:spacing w:val="-2"/>
              </w:rPr>
              <w:t>6.0708hm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4"/>
                <w:w w:val="102"/>
                <w:position w:val="8"/>
                <w:sz w:val="15"/>
                <w:szCs w:val="15"/>
              </w:rPr>
              <w:t xml:space="preserve"> </w:t>
            </w:r>
            <w:r>
              <w:rPr>
                <w:spacing w:val="-2"/>
              </w:rPr>
              <w:t>大部分是临时用</w:t>
            </w:r>
            <w:r>
              <w:t xml:space="preserve"> </w:t>
            </w:r>
            <w:r>
              <w:rPr>
                <w:spacing w:val="-1"/>
              </w:rPr>
              <w:t>地为光伏组件占用，其余是永久用地为塔基、进场道路、箱变占用。</w:t>
            </w:r>
            <w:r>
              <w:rPr>
                <w:spacing w:val="-63"/>
              </w:rPr>
              <w:t xml:space="preserve"> </w:t>
            </w:r>
            <w:r>
              <w:rPr>
                <w:spacing w:val="-1"/>
              </w:rPr>
              <w:t>目前《化桃</w:t>
            </w:r>
            <w:r>
              <w:t xml:space="preserve"> </w:t>
            </w:r>
            <w:r>
              <w:rPr>
                <w:spacing w:val="1"/>
              </w:rPr>
              <w:t>箐光伏发电项目使用林地可行性报告》、《化桃箐光伏发</w:t>
            </w:r>
            <w:r>
              <w:t xml:space="preserve">电项目使用草地可行性 </w:t>
            </w:r>
            <w:r>
              <w:rPr>
                <w:spacing w:val="1"/>
              </w:rPr>
              <w:t>报告》正在送审中，建设单位承诺在取得准许使用林地、</w:t>
            </w:r>
            <w:r>
              <w:t xml:space="preserve">草地手续后再进行涉及 </w:t>
            </w:r>
            <w:r>
              <w:rPr>
                <w:spacing w:val="-1"/>
              </w:rPr>
              <w:t>占用林地、草地范围的工程内容施工。</w:t>
            </w:r>
          </w:p>
          <w:p w14:paraId="097C671E">
            <w:pPr>
              <w:pStyle w:val="6"/>
              <w:spacing w:before="35" w:line="218" w:lineRule="auto"/>
              <w:ind w:left="590"/>
            </w:pPr>
            <w:r>
              <w:rPr>
                <w:spacing w:val="-1"/>
              </w:rPr>
              <w:t>项目用地范围主要占评价区的土地类型情况见下表。</w:t>
            </w:r>
          </w:p>
          <w:p w14:paraId="45AC43C5">
            <w:pPr>
              <w:pStyle w:val="6"/>
              <w:spacing w:before="178" w:line="223" w:lineRule="auto"/>
              <w:ind w:left="2151"/>
              <w:rPr>
                <w:sz w:val="20"/>
                <w:szCs w:val="20"/>
              </w:rPr>
            </w:pPr>
            <w:r>
              <w:rPr>
                <w:b/>
                <w:bCs/>
                <w:spacing w:val="6"/>
                <w:sz w:val="20"/>
                <w:szCs w:val="20"/>
              </w:rPr>
              <w:t>表</w:t>
            </w:r>
            <w:r>
              <w:rPr>
                <w:spacing w:val="-29"/>
                <w:sz w:val="20"/>
                <w:szCs w:val="20"/>
              </w:rPr>
              <w:t xml:space="preserve"> </w:t>
            </w:r>
            <w:r>
              <w:rPr>
                <w:rFonts w:ascii="Times New Roman" w:hAnsi="Times New Roman" w:eastAsia="Times New Roman" w:cs="Times New Roman"/>
                <w:b/>
                <w:bCs/>
                <w:spacing w:val="6"/>
                <w:sz w:val="20"/>
                <w:szCs w:val="20"/>
              </w:rPr>
              <w:t xml:space="preserve">4-3    </w:t>
            </w:r>
            <w:r>
              <w:rPr>
                <w:b/>
                <w:bCs/>
                <w:spacing w:val="6"/>
                <w:sz w:val="20"/>
                <w:szCs w:val="20"/>
              </w:rPr>
              <w:t>用地范围主要占评价区的土地类型情况</w:t>
            </w:r>
          </w:p>
          <w:tbl>
            <w:tblPr>
              <w:tblStyle w:val="5"/>
              <w:tblW w:w="8423"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7"/>
              <w:gridCol w:w="1682"/>
              <w:gridCol w:w="2472"/>
              <w:gridCol w:w="1392"/>
              <w:gridCol w:w="1400"/>
            </w:tblGrid>
            <w:tr w14:paraId="6BB7F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3159" w:type="dxa"/>
                  <w:gridSpan w:val="2"/>
                  <w:vAlign w:val="top"/>
                </w:tcPr>
                <w:p w14:paraId="65D3F79E">
                  <w:pPr>
                    <w:pStyle w:val="6"/>
                    <w:spacing w:before="43" w:line="222" w:lineRule="auto"/>
                    <w:ind w:left="425"/>
                    <w:rPr>
                      <w:sz w:val="20"/>
                      <w:szCs w:val="20"/>
                    </w:rPr>
                  </w:pPr>
                  <w:r>
                    <w:rPr>
                      <w:b/>
                      <w:bCs/>
                      <w:spacing w:val="7"/>
                      <w:sz w:val="20"/>
                      <w:szCs w:val="20"/>
                    </w:rPr>
                    <w:t>评价区土地利用现状类型</w:t>
                  </w:r>
                </w:p>
              </w:tc>
              <w:tc>
                <w:tcPr>
                  <w:tcW w:w="2472" w:type="dxa"/>
                  <w:vMerge w:val="restart"/>
                  <w:tcBorders>
                    <w:bottom w:val="nil"/>
                  </w:tcBorders>
                  <w:vAlign w:val="top"/>
                </w:tcPr>
                <w:p w14:paraId="0BBB53B9">
                  <w:pPr>
                    <w:pStyle w:val="6"/>
                    <w:spacing w:before="190" w:line="226" w:lineRule="auto"/>
                    <w:ind w:left="112"/>
                    <w:rPr>
                      <w:sz w:val="20"/>
                      <w:szCs w:val="20"/>
                    </w:rPr>
                  </w:pPr>
                  <w:r>
                    <w:rPr>
                      <w:b/>
                      <w:bCs/>
                      <w:spacing w:val="7"/>
                      <w:sz w:val="20"/>
                      <w:szCs w:val="20"/>
                    </w:rPr>
                    <w:t>评价范围内面积（</w:t>
                  </w:r>
                  <w:r>
                    <w:rPr>
                      <w:rFonts w:ascii="Times New Roman" w:hAnsi="Times New Roman" w:eastAsia="Times New Roman" w:cs="Times New Roman"/>
                      <w:b/>
                      <w:bCs/>
                      <w:sz w:val="20"/>
                      <w:szCs w:val="20"/>
                    </w:rPr>
                    <w:t>hm</w:t>
                  </w:r>
                  <w:r>
                    <w:rPr>
                      <w:rFonts w:ascii="Times New Roman" w:hAnsi="Times New Roman" w:eastAsia="Times New Roman" w:cs="Times New Roman"/>
                      <w:b/>
                      <w:bCs/>
                      <w:spacing w:val="7"/>
                      <w:position w:val="6"/>
                      <w:sz w:val="13"/>
                      <w:szCs w:val="13"/>
                    </w:rPr>
                    <w:t>2</w:t>
                  </w:r>
                  <w:r>
                    <w:rPr>
                      <w:b/>
                      <w:bCs/>
                      <w:spacing w:val="7"/>
                      <w:sz w:val="20"/>
                      <w:szCs w:val="20"/>
                    </w:rPr>
                    <w:t>）</w:t>
                  </w:r>
                </w:p>
              </w:tc>
              <w:tc>
                <w:tcPr>
                  <w:tcW w:w="2792" w:type="dxa"/>
                  <w:gridSpan w:val="2"/>
                  <w:vAlign w:val="top"/>
                </w:tcPr>
                <w:p w14:paraId="6265259C">
                  <w:pPr>
                    <w:pStyle w:val="6"/>
                    <w:spacing w:before="43" w:line="222" w:lineRule="auto"/>
                    <w:ind w:left="877"/>
                    <w:rPr>
                      <w:sz w:val="20"/>
                      <w:szCs w:val="20"/>
                    </w:rPr>
                  </w:pPr>
                  <w:r>
                    <w:rPr>
                      <w:b/>
                      <w:bCs/>
                      <w:spacing w:val="5"/>
                      <w:sz w:val="20"/>
                      <w:szCs w:val="20"/>
                    </w:rPr>
                    <w:t>项目区占地</w:t>
                  </w:r>
                </w:p>
              </w:tc>
            </w:tr>
            <w:tr w14:paraId="158A7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77" w:type="dxa"/>
                  <w:vAlign w:val="top"/>
                </w:tcPr>
                <w:p w14:paraId="1296E511">
                  <w:pPr>
                    <w:pStyle w:val="6"/>
                    <w:spacing w:before="37" w:line="224" w:lineRule="auto"/>
                    <w:ind w:left="432"/>
                    <w:rPr>
                      <w:sz w:val="20"/>
                      <w:szCs w:val="20"/>
                    </w:rPr>
                  </w:pPr>
                  <w:r>
                    <w:rPr>
                      <w:b/>
                      <w:bCs/>
                      <w:spacing w:val="4"/>
                      <w:sz w:val="20"/>
                      <w:szCs w:val="20"/>
                    </w:rPr>
                    <w:t>一级类</w:t>
                  </w:r>
                </w:p>
              </w:tc>
              <w:tc>
                <w:tcPr>
                  <w:tcW w:w="1682" w:type="dxa"/>
                  <w:vAlign w:val="top"/>
                </w:tcPr>
                <w:p w14:paraId="56DB4FE0">
                  <w:pPr>
                    <w:pStyle w:val="6"/>
                    <w:spacing w:before="37" w:line="224" w:lineRule="auto"/>
                    <w:ind w:left="531"/>
                    <w:rPr>
                      <w:sz w:val="20"/>
                      <w:szCs w:val="20"/>
                    </w:rPr>
                  </w:pPr>
                  <w:r>
                    <w:rPr>
                      <w:b/>
                      <w:bCs/>
                      <w:spacing w:val="4"/>
                      <w:sz w:val="20"/>
                      <w:szCs w:val="20"/>
                    </w:rPr>
                    <w:t>二级类</w:t>
                  </w:r>
                </w:p>
              </w:tc>
              <w:tc>
                <w:tcPr>
                  <w:tcW w:w="2472" w:type="dxa"/>
                  <w:vMerge w:val="continue"/>
                  <w:tcBorders>
                    <w:top w:val="nil"/>
                  </w:tcBorders>
                  <w:vAlign w:val="top"/>
                </w:tcPr>
                <w:p w14:paraId="7E76A8B4">
                  <w:pPr>
                    <w:rPr>
                      <w:rFonts w:ascii="Arial"/>
                      <w:sz w:val="21"/>
                    </w:rPr>
                  </w:pPr>
                </w:p>
              </w:tc>
              <w:tc>
                <w:tcPr>
                  <w:tcW w:w="1392" w:type="dxa"/>
                  <w:vAlign w:val="top"/>
                </w:tcPr>
                <w:p w14:paraId="64C2C351">
                  <w:pPr>
                    <w:pStyle w:val="6"/>
                    <w:spacing w:before="37" w:line="224" w:lineRule="auto"/>
                    <w:ind w:left="293"/>
                    <w:rPr>
                      <w:sz w:val="20"/>
                      <w:szCs w:val="20"/>
                    </w:rPr>
                  </w:pPr>
                  <w:r>
                    <w:rPr>
                      <w:b/>
                      <w:bCs/>
                      <w:spacing w:val="3"/>
                      <w:sz w:val="20"/>
                      <w:szCs w:val="20"/>
                    </w:rPr>
                    <w:t>临时占用</w:t>
                  </w:r>
                </w:p>
              </w:tc>
              <w:tc>
                <w:tcPr>
                  <w:tcW w:w="1400" w:type="dxa"/>
                  <w:vAlign w:val="top"/>
                </w:tcPr>
                <w:p w14:paraId="12B491F0">
                  <w:pPr>
                    <w:pStyle w:val="6"/>
                    <w:spacing w:before="37" w:line="224" w:lineRule="auto"/>
                    <w:ind w:left="285"/>
                    <w:rPr>
                      <w:sz w:val="20"/>
                      <w:szCs w:val="20"/>
                    </w:rPr>
                  </w:pPr>
                  <w:r>
                    <w:rPr>
                      <w:b/>
                      <w:bCs/>
                      <w:spacing w:val="6"/>
                      <w:sz w:val="20"/>
                      <w:szCs w:val="20"/>
                    </w:rPr>
                    <w:t>永久占用</w:t>
                  </w:r>
                </w:p>
              </w:tc>
            </w:tr>
            <w:tr w14:paraId="5769B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77" w:type="dxa"/>
                  <w:vMerge w:val="restart"/>
                  <w:tcBorders>
                    <w:bottom w:val="nil"/>
                  </w:tcBorders>
                  <w:vAlign w:val="top"/>
                </w:tcPr>
                <w:p w14:paraId="7A8B88E1">
                  <w:pPr>
                    <w:spacing w:line="265" w:lineRule="auto"/>
                    <w:rPr>
                      <w:rFonts w:ascii="Arial"/>
                      <w:sz w:val="21"/>
                    </w:rPr>
                  </w:pPr>
                </w:p>
                <w:p w14:paraId="0FF3B057">
                  <w:pPr>
                    <w:pStyle w:val="6"/>
                    <w:spacing w:before="65" w:line="228" w:lineRule="auto"/>
                    <w:ind w:left="536"/>
                    <w:rPr>
                      <w:sz w:val="20"/>
                      <w:szCs w:val="20"/>
                    </w:rPr>
                  </w:pPr>
                  <w:r>
                    <w:rPr>
                      <w:spacing w:val="3"/>
                      <w:sz w:val="20"/>
                      <w:szCs w:val="20"/>
                    </w:rPr>
                    <w:t>草地</w:t>
                  </w:r>
                </w:p>
              </w:tc>
              <w:tc>
                <w:tcPr>
                  <w:tcW w:w="1682" w:type="dxa"/>
                  <w:vAlign w:val="top"/>
                </w:tcPr>
                <w:p w14:paraId="1209CAC7">
                  <w:pPr>
                    <w:pStyle w:val="6"/>
                    <w:spacing w:before="37" w:line="224" w:lineRule="auto"/>
                    <w:ind w:left="321"/>
                    <w:rPr>
                      <w:sz w:val="20"/>
                      <w:szCs w:val="20"/>
                    </w:rPr>
                  </w:pPr>
                  <w:r>
                    <w:rPr>
                      <w:spacing w:val="7"/>
                      <w:sz w:val="20"/>
                      <w:szCs w:val="20"/>
                    </w:rPr>
                    <w:t>人工牧草地</w:t>
                  </w:r>
                </w:p>
              </w:tc>
              <w:tc>
                <w:tcPr>
                  <w:tcW w:w="2472" w:type="dxa"/>
                  <w:vAlign w:val="top"/>
                </w:tcPr>
                <w:p w14:paraId="698BF1BD">
                  <w:pPr>
                    <w:spacing w:before="73" w:line="195" w:lineRule="auto"/>
                    <w:ind w:left="9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85.4756</w:t>
                  </w:r>
                </w:p>
              </w:tc>
              <w:tc>
                <w:tcPr>
                  <w:tcW w:w="1392" w:type="dxa"/>
                  <w:vAlign w:val="top"/>
                </w:tcPr>
                <w:p w14:paraId="31BE6CA3">
                  <w:pPr>
                    <w:rPr>
                      <w:rFonts w:ascii="Arial"/>
                      <w:sz w:val="21"/>
                    </w:rPr>
                  </w:pPr>
                </w:p>
              </w:tc>
              <w:tc>
                <w:tcPr>
                  <w:tcW w:w="1400" w:type="dxa"/>
                  <w:vAlign w:val="top"/>
                </w:tcPr>
                <w:p w14:paraId="37CEC9EC">
                  <w:pPr>
                    <w:rPr>
                      <w:rFonts w:ascii="Arial"/>
                      <w:sz w:val="21"/>
                    </w:rPr>
                  </w:pPr>
                </w:p>
              </w:tc>
            </w:tr>
            <w:tr w14:paraId="276DD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477" w:type="dxa"/>
                  <w:vMerge w:val="continue"/>
                  <w:tcBorders>
                    <w:top w:val="nil"/>
                    <w:bottom w:val="nil"/>
                  </w:tcBorders>
                  <w:vAlign w:val="top"/>
                </w:tcPr>
                <w:p w14:paraId="0FC8F0E3">
                  <w:pPr>
                    <w:rPr>
                      <w:rFonts w:ascii="Arial"/>
                      <w:sz w:val="21"/>
                    </w:rPr>
                  </w:pPr>
                </w:p>
              </w:tc>
              <w:tc>
                <w:tcPr>
                  <w:tcW w:w="1682" w:type="dxa"/>
                  <w:vAlign w:val="top"/>
                </w:tcPr>
                <w:p w14:paraId="64F7286E">
                  <w:pPr>
                    <w:pStyle w:val="6"/>
                    <w:spacing w:before="37" w:line="223" w:lineRule="auto"/>
                    <w:ind w:left="426"/>
                    <w:rPr>
                      <w:sz w:val="20"/>
                      <w:szCs w:val="20"/>
                    </w:rPr>
                  </w:pPr>
                  <w:r>
                    <w:rPr>
                      <w:spacing w:val="7"/>
                      <w:sz w:val="20"/>
                      <w:szCs w:val="20"/>
                    </w:rPr>
                    <w:t>其他草地</w:t>
                  </w:r>
                </w:p>
              </w:tc>
              <w:tc>
                <w:tcPr>
                  <w:tcW w:w="2472" w:type="dxa"/>
                  <w:vAlign w:val="top"/>
                </w:tcPr>
                <w:p w14:paraId="3980B780">
                  <w:pPr>
                    <w:spacing w:before="73" w:line="195" w:lineRule="auto"/>
                    <w:ind w:left="8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48.5051</w:t>
                  </w:r>
                </w:p>
              </w:tc>
              <w:tc>
                <w:tcPr>
                  <w:tcW w:w="1392" w:type="dxa"/>
                  <w:vAlign w:val="top"/>
                </w:tcPr>
                <w:p w14:paraId="0FA9DFB3">
                  <w:pPr>
                    <w:rPr>
                      <w:rFonts w:ascii="Arial"/>
                      <w:sz w:val="21"/>
                    </w:rPr>
                  </w:pPr>
                </w:p>
              </w:tc>
              <w:tc>
                <w:tcPr>
                  <w:tcW w:w="1400" w:type="dxa"/>
                  <w:vAlign w:val="top"/>
                </w:tcPr>
                <w:p w14:paraId="54939B85">
                  <w:pPr>
                    <w:rPr>
                      <w:rFonts w:ascii="Arial"/>
                      <w:sz w:val="21"/>
                    </w:rPr>
                  </w:pPr>
                </w:p>
              </w:tc>
            </w:tr>
            <w:tr w14:paraId="247F1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477" w:type="dxa"/>
                  <w:vMerge w:val="continue"/>
                  <w:tcBorders>
                    <w:top w:val="nil"/>
                  </w:tcBorders>
                  <w:vAlign w:val="top"/>
                </w:tcPr>
                <w:p w14:paraId="1892C8B7">
                  <w:pPr>
                    <w:rPr>
                      <w:rFonts w:ascii="Arial"/>
                      <w:sz w:val="21"/>
                    </w:rPr>
                  </w:pPr>
                </w:p>
              </w:tc>
              <w:tc>
                <w:tcPr>
                  <w:tcW w:w="1682" w:type="dxa"/>
                  <w:vAlign w:val="top"/>
                </w:tcPr>
                <w:p w14:paraId="01D49E30">
                  <w:pPr>
                    <w:pStyle w:val="6"/>
                    <w:spacing w:before="38" w:line="223" w:lineRule="auto"/>
                    <w:ind w:left="639"/>
                    <w:rPr>
                      <w:sz w:val="20"/>
                      <w:szCs w:val="20"/>
                    </w:rPr>
                  </w:pPr>
                  <w:r>
                    <w:rPr>
                      <w:spacing w:val="2"/>
                      <w:sz w:val="20"/>
                      <w:szCs w:val="20"/>
                    </w:rPr>
                    <w:t>小计</w:t>
                  </w:r>
                </w:p>
              </w:tc>
              <w:tc>
                <w:tcPr>
                  <w:tcW w:w="2472" w:type="dxa"/>
                  <w:vAlign w:val="top"/>
                </w:tcPr>
                <w:p w14:paraId="79F56FEE">
                  <w:pPr>
                    <w:spacing w:before="74" w:line="195" w:lineRule="auto"/>
                    <w:ind w:left="8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133.9807</w:t>
                  </w:r>
                </w:p>
              </w:tc>
              <w:tc>
                <w:tcPr>
                  <w:tcW w:w="1392" w:type="dxa"/>
                  <w:vAlign w:val="top"/>
                </w:tcPr>
                <w:p w14:paraId="4A96F17E">
                  <w:pPr>
                    <w:spacing w:before="74"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130.6703</w:t>
                  </w:r>
                </w:p>
              </w:tc>
              <w:tc>
                <w:tcPr>
                  <w:tcW w:w="1400" w:type="dxa"/>
                  <w:vAlign w:val="top"/>
                </w:tcPr>
                <w:p w14:paraId="1AE99843">
                  <w:pPr>
                    <w:spacing w:before="74"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3.3104</w:t>
                  </w:r>
                </w:p>
              </w:tc>
            </w:tr>
            <w:tr w14:paraId="28528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477" w:type="dxa"/>
                  <w:vMerge w:val="restart"/>
                  <w:tcBorders>
                    <w:bottom w:val="nil"/>
                  </w:tcBorders>
                  <w:vAlign w:val="top"/>
                </w:tcPr>
                <w:p w14:paraId="38065C9C">
                  <w:pPr>
                    <w:spacing w:line="288" w:lineRule="auto"/>
                    <w:rPr>
                      <w:rFonts w:ascii="Arial"/>
                      <w:sz w:val="21"/>
                    </w:rPr>
                  </w:pPr>
                </w:p>
                <w:p w14:paraId="2E30D396">
                  <w:pPr>
                    <w:pStyle w:val="6"/>
                    <w:spacing w:before="65" w:line="228" w:lineRule="auto"/>
                    <w:ind w:left="535"/>
                    <w:rPr>
                      <w:sz w:val="20"/>
                      <w:szCs w:val="20"/>
                    </w:rPr>
                  </w:pPr>
                  <w:r>
                    <w:rPr>
                      <w:spacing w:val="4"/>
                      <w:sz w:val="20"/>
                      <w:szCs w:val="20"/>
                    </w:rPr>
                    <w:t>林地</w:t>
                  </w:r>
                </w:p>
              </w:tc>
              <w:tc>
                <w:tcPr>
                  <w:tcW w:w="1682" w:type="dxa"/>
                  <w:vAlign w:val="top"/>
                </w:tcPr>
                <w:p w14:paraId="0459ED21">
                  <w:pPr>
                    <w:pStyle w:val="6"/>
                    <w:spacing w:before="45" w:line="228" w:lineRule="auto"/>
                    <w:ind w:left="426"/>
                    <w:rPr>
                      <w:sz w:val="20"/>
                      <w:szCs w:val="20"/>
                    </w:rPr>
                  </w:pPr>
                  <w:r>
                    <w:rPr>
                      <w:spacing w:val="7"/>
                      <w:sz w:val="20"/>
                      <w:szCs w:val="20"/>
                    </w:rPr>
                    <w:t>乔木林地</w:t>
                  </w:r>
                </w:p>
              </w:tc>
              <w:tc>
                <w:tcPr>
                  <w:tcW w:w="2472" w:type="dxa"/>
                  <w:vAlign w:val="top"/>
                </w:tcPr>
                <w:p w14:paraId="583AEC46">
                  <w:pPr>
                    <w:spacing w:before="82" w:line="195" w:lineRule="auto"/>
                    <w:ind w:left="9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0.0294</w:t>
                  </w:r>
                </w:p>
              </w:tc>
              <w:tc>
                <w:tcPr>
                  <w:tcW w:w="1392" w:type="dxa"/>
                  <w:vAlign w:val="top"/>
                </w:tcPr>
                <w:p w14:paraId="42DB3ECD">
                  <w:pPr>
                    <w:rPr>
                      <w:rFonts w:ascii="Arial"/>
                      <w:sz w:val="21"/>
                    </w:rPr>
                  </w:pPr>
                </w:p>
              </w:tc>
              <w:tc>
                <w:tcPr>
                  <w:tcW w:w="1400" w:type="dxa"/>
                  <w:vAlign w:val="top"/>
                </w:tcPr>
                <w:p w14:paraId="4498DDDF">
                  <w:pPr>
                    <w:rPr>
                      <w:rFonts w:ascii="Arial"/>
                      <w:sz w:val="21"/>
                    </w:rPr>
                  </w:pPr>
                </w:p>
              </w:tc>
            </w:tr>
            <w:tr w14:paraId="3EE88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477" w:type="dxa"/>
                  <w:vMerge w:val="continue"/>
                  <w:tcBorders>
                    <w:top w:val="nil"/>
                    <w:bottom w:val="nil"/>
                  </w:tcBorders>
                  <w:vAlign w:val="top"/>
                </w:tcPr>
                <w:p w14:paraId="11938549">
                  <w:pPr>
                    <w:rPr>
                      <w:rFonts w:ascii="Arial"/>
                      <w:sz w:val="21"/>
                    </w:rPr>
                  </w:pPr>
                </w:p>
              </w:tc>
              <w:tc>
                <w:tcPr>
                  <w:tcW w:w="1682" w:type="dxa"/>
                  <w:vAlign w:val="top"/>
                </w:tcPr>
                <w:p w14:paraId="0ADFAEEF">
                  <w:pPr>
                    <w:pStyle w:val="6"/>
                    <w:spacing w:before="46" w:line="228" w:lineRule="auto"/>
                    <w:ind w:left="426"/>
                    <w:rPr>
                      <w:sz w:val="20"/>
                      <w:szCs w:val="20"/>
                    </w:rPr>
                  </w:pPr>
                  <w:r>
                    <w:rPr>
                      <w:spacing w:val="7"/>
                      <w:sz w:val="20"/>
                      <w:szCs w:val="20"/>
                    </w:rPr>
                    <w:t>其他林地</w:t>
                  </w:r>
                </w:p>
              </w:tc>
              <w:tc>
                <w:tcPr>
                  <w:tcW w:w="2472" w:type="dxa"/>
                  <w:vAlign w:val="top"/>
                </w:tcPr>
                <w:p w14:paraId="20DFC656">
                  <w:pPr>
                    <w:spacing w:before="85" w:line="195" w:lineRule="auto"/>
                    <w:ind w:left="9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0.0495</w:t>
                  </w:r>
                </w:p>
              </w:tc>
              <w:tc>
                <w:tcPr>
                  <w:tcW w:w="1392" w:type="dxa"/>
                  <w:vAlign w:val="top"/>
                </w:tcPr>
                <w:p w14:paraId="32ED958A">
                  <w:pPr>
                    <w:rPr>
                      <w:rFonts w:ascii="Arial"/>
                      <w:sz w:val="21"/>
                    </w:rPr>
                  </w:pPr>
                </w:p>
              </w:tc>
              <w:tc>
                <w:tcPr>
                  <w:tcW w:w="1400" w:type="dxa"/>
                  <w:vAlign w:val="top"/>
                </w:tcPr>
                <w:p w14:paraId="55042AE5">
                  <w:pPr>
                    <w:rPr>
                      <w:rFonts w:ascii="Arial"/>
                      <w:sz w:val="21"/>
                    </w:rPr>
                  </w:pPr>
                </w:p>
              </w:tc>
            </w:tr>
            <w:tr w14:paraId="01C5F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477" w:type="dxa"/>
                  <w:vMerge w:val="continue"/>
                  <w:tcBorders>
                    <w:top w:val="nil"/>
                  </w:tcBorders>
                  <w:vAlign w:val="top"/>
                </w:tcPr>
                <w:p w14:paraId="4E22A1D8">
                  <w:pPr>
                    <w:rPr>
                      <w:rFonts w:ascii="Arial"/>
                      <w:sz w:val="21"/>
                    </w:rPr>
                  </w:pPr>
                </w:p>
              </w:tc>
              <w:tc>
                <w:tcPr>
                  <w:tcW w:w="1682" w:type="dxa"/>
                  <w:vAlign w:val="top"/>
                </w:tcPr>
                <w:p w14:paraId="30C7D5BF">
                  <w:pPr>
                    <w:pStyle w:val="6"/>
                    <w:spacing w:before="47" w:line="228" w:lineRule="auto"/>
                    <w:ind w:left="639"/>
                    <w:rPr>
                      <w:sz w:val="20"/>
                      <w:szCs w:val="20"/>
                    </w:rPr>
                  </w:pPr>
                  <w:r>
                    <w:rPr>
                      <w:spacing w:val="2"/>
                      <w:sz w:val="20"/>
                      <w:szCs w:val="20"/>
                    </w:rPr>
                    <w:t>小计</w:t>
                  </w:r>
                </w:p>
              </w:tc>
              <w:tc>
                <w:tcPr>
                  <w:tcW w:w="2472" w:type="dxa"/>
                  <w:vAlign w:val="top"/>
                </w:tcPr>
                <w:p w14:paraId="4CB108A5">
                  <w:pPr>
                    <w:spacing w:before="85" w:line="195" w:lineRule="auto"/>
                    <w:ind w:left="9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0.0789</w:t>
                  </w:r>
                </w:p>
              </w:tc>
              <w:tc>
                <w:tcPr>
                  <w:tcW w:w="1392" w:type="dxa"/>
                  <w:vAlign w:val="top"/>
                </w:tcPr>
                <w:p w14:paraId="74BC1064">
                  <w:pPr>
                    <w:rPr>
                      <w:rFonts w:ascii="Arial"/>
                      <w:sz w:val="21"/>
                    </w:rPr>
                  </w:pPr>
                </w:p>
              </w:tc>
              <w:tc>
                <w:tcPr>
                  <w:tcW w:w="1400" w:type="dxa"/>
                  <w:vAlign w:val="top"/>
                </w:tcPr>
                <w:p w14:paraId="2FE09647">
                  <w:pPr>
                    <w:spacing w:before="85"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0.0789</w:t>
                  </w:r>
                </w:p>
              </w:tc>
            </w:tr>
            <w:tr w14:paraId="52EB4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3159" w:type="dxa"/>
                  <w:gridSpan w:val="2"/>
                  <w:vAlign w:val="top"/>
                </w:tcPr>
                <w:p w14:paraId="5132078C">
                  <w:pPr>
                    <w:pStyle w:val="6"/>
                    <w:spacing w:before="42" w:line="219" w:lineRule="auto"/>
                    <w:ind w:left="1168"/>
                    <w:rPr>
                      <w:sz w:val="20"/>
                      <w:szCs w:val="20"/>
                    </w:rPr>
                  </w:pPr>
                  <w:r>
                    <w:rPr>
                      <w:spacing w:val="6"/>
                      <w:sz w:val="20"/>
                      <w:szCs w:val="20"/>
                    </w:rPr>
                    <w:t>非林草地</w:t>
                  </w:r>
                </w:p>
              </w:tc>
              <w:tc>
                <w:tcPr>
                  <w:tcW w:w="2472" w:type="dxa"/>
                  <w:vAlign w:val="top"/>
                </w:tcPr>
                <w:p w14:paraId="043EAD2C">
                  <w:pPr>
                    <w:spacing w:before="79" w:line="195" w:lineRule="auto"/>
                    <w:ind w:left="9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6.0708</w:t>
                  </w:r>
                </w:p>
              </w:tc>
              <w:tc>
                <w:tcPr>
                  <w:tcW w:w="1392" w:type="dxa"/>
                  <w:vAlign w:val="top"/>
                </w:tcPr>
                <w:p w14:paraId="294E0592">
                  <w:pPr>
                    <w:spacing w:before="79"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6.0054</w:t>
                  </w:r>
                </w:p>
              </w:tc>
              <w:tc>
                <w:tcPr>
                  <w:tcW w:w="1400" w:type="dxa"/>
                  <w:vAlign w:val="top"/>
                </w:tcPr>
                <w:p w14:paraId="3B319D9B">
                  <w:pPr>
                    <w:spacing w:before="79"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0.0654</w:t>
                  </w:r>
                </w:p>
              </w:tc>
            </w:tr>
            <w:tr w14:paraId="2C0F8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3159" w:type="dxa"/>
                  <w:gridSpan w:val="2"/>
                  <w:vAlign w:val="top"/>
                </w:tcPr>
                <w:p w14:paraId="0006618C">
                  <w:pPr>
                    <w:pStyle w:val="6"/>
                    <w:spacing w:before="35" w:line="218" w:lineRule="auto"/>
                    <w:ind w:left="1382"/>
                    <w:rPr>
                      <w:sz w:val="20"/>
                      <w:szCs w:val="20"/>
                    </w:rPr>
                  </w:pPr>
                  <w:r>
                    <w:rPr>
                      <w:spacing w:val="2"/>
                      <w:sz w:val="20"/>
                      <w:szCs w:val="20"/>
                    </w:rPr>
                    <w:t>总计</w:t>
                  </w:r>
                </w:p>
              </w:tc>
              <w:tc>
                <w:tcPr>
                  <w:tcW w:w="2472" w:type="dxa"/>
                  <w:vAlign w:val="top"/>
                </w:tcPr>
                <w:p w14:paraId="3EDDA90E">
                  <w:pPr>
                    <w:spacing w:before="72" w:line="195" w:lineRule="auto"/>
                    <w:ind w:left="8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140.1304</w:t>
                  </w:r>
                </w:p>
              </w:tc>
              <w:tc>
                <w:tcPr>
                  <w:tcW w:w="1392" w:type="dxa"/>
                  <w:vAlign w:val="top"/>
                </w:tcPr>
                <w:p w14:paraId="35FEA0A9">
                  <w:pPr>
                    <w:spacing w:before="72"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136.6757</w:t>
                  </w:r>
                </w:p>
              </w:tc>
              <w:tc>
                <w:tcPr>
                  <w:tcW w:w="1400" w:type="dxa"/>
                  <w:vAlign w:val="top"/>
                </w:tcPr>
                <w:p w14:paraId="5EC9A80B">
                  <w:pPr>
                    <w:spacing w:before="72"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3.4547</w:t>
                  </w:r>
                </w:p>
              </w:tc>
            </w:tr>
          </w:tbl>
          <w:p w14:paraId="391BBBAF">
            <w:pPr>
              <w:pStyle w:val="6"/>
              <w:spacing w:before="34" w:line="354" w:lineRule="auto"/>
              <w:ind w:left="106" w:right="102" w:firstLine="509"/>
              <w:jc w:val="both"/>
            </w:pPr>
            <w:r>
              <w:rPr>
                <w:spacing w:val="-3"/>
              </w:rPr>
              <w:t>由上表可知，项目占地以草地为主，占总用地面积的</w:t>
            </w:r>
            <w:r>
              <w:rPr>
                <w:spacing w:val="-38"/>
              </w:rPr>
              <w:t xml:space="preserve"> </w:t>
            </w:r>
            <w:r>
              <w:rPr>
                <w:rFonts w:ascii="Times New Roman" w:hAnsi="Times New Roman" w:eastAsia="Times New Roman" w:cs="Times New Roman"/>
                <w:spacing w:val="-3"/>
              </w:rPr>
              <w:t>95.61%</w:t>
            </w:r>
            <w:r>
              <w:rPr>
                <w:spacing w:val="-3"/>
              </w:rPr>
              <w:t>；其次是非林草</w:t>
            </w:r>
            <w:r>
              <w:t xml:space="preserve"> </w:t>
            </w:r>
            <w:r>
              <w:rPr>
                <w:spacing w:val="-1"/>
              </w:rPr>
              <w:t>地，</w:t>
            </w:r>
            <w:r>
              <w:rPr>
                <w:spacing w:val="-68"/>
              </w:rPr>
              <w:t xml:space="preserve"> </w:t>
            </w:r>
            <w:r>
              <w:rPr>
                <w:spacing w:val="-1"/>
              </w:rPr>
              <w:t>占总用地比例为</w:t>
            </w:r>
            <w:r>
              <w:rPr>
                <w:spacing w:val="-54"/>
              </w:rPr>
              <w:t xml:space="preserve"> </w:t>
            </w:r>
            <w:r>
              <w:rPr>
                <w:rFonts w:ascii="Times New Roman" w:hAnsi="Times New Roman" w:eastAsia="Times New Roman" w:cs="Times New Roman"/>
                <w:spacing w:val="-1"/>
              </w:rPr>
              <w:t>4.33%</w:t>
            </w:r>
            <w:r>
              <w:rPr>
                <w:spacing w:val="-1"/>
              </w:rPr>
              <w:t>；最后是林</w:t>
            </w:r>
            <w:r>
              <w:rPr>
                <w:spacing w:val="-2"/>
              </w:rPr>
              <w:t>地，</w:t>
            </w:r>
            <w:r>
              <w:rPr>
                <w:spacing w:val="-67"/>
              </w:rPr>
              <w:t xml:space="preserve"> </w:t>
            </w:r>
            <w:r>
              <w:rPr>
                <w:spacing w:val="-2"/>
              </w:rPr>
              <w:t>占总用地比例为</w:t>
            </w:r>
            <w:r>
              <w:rPr>
                <w:spacing w:val="-48"/>
              </w:rPr>
              <w:t xml:space="preserve"> </w:t>
            </w:r>
            <w:r>
              <w:rPr>
                <w:rFonts w:ascii="Times New Roman" w:hAnsi="Times New Roman" w:eastAsia="Times New Roman" w:cs="Times New Roman"/>
                <w:spacing w:val="-2"/>
              </w:rPr>
              <w:t>0.06%</w:t>
            </w:r>
            <w:r>
              <w:rPr>
                <w:rFonts w:ascii="Times New Roman" w:hAnsi="Times New Roman" w:eastAsia="Times New Roman" w:cs="Times New Roman"/>
                <w:spacing w:val="-24"/>
              </w:rPr>
              <w:t xml:space="preserve"> </w:t>
            </w:r>
            <w:r>
              <w:rPr>
                <w:spacing w:val="-2"/>
              </w:rPr>
              <w:t>。工程占地以</w:t>
            </w:r>
            <w:r>
              <w:t xml:space="preserve"> </w:t>
            </w:r>
            <w:r>
              <w:rPr>
                <w:spacing w:val="-4"/>
              </w:rPr>
              <w:t>临时占地为主，主要包括光伏阵列区用地，面积约</w:t>
            </w:r>
            <w:r>
              <w:rPr>
                <w:spacing w:val="-32"/>
              </w:rPr>
              <w:t xml:space="preserve"> </w:t>
            </w:r>
            <w:r>
              <w:rPr>
                <w:rFonts w:ascii="Times New Roman" w:hAnsi="Times New Roman" w:eastAsia="Times New Roman" w:cs="Times New Roman"/>
                <w:spacing w:val="-4"/>
              </w:rPr>
              <w:t>136.67</w:t>
            </w:r>
            <w:r>
              <w:rPr>
                <w:rFonts w:ascii="Times New Roman" w:hAnsi="Times New Roman" w:eastAsia="Times New Roman" w:cs="Times New Roman"/>
                <w:spacing w:val="-5"/>
              </w:rPr>
              <w:t>57hm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10"/>
                <w:position w:val="8"/>
                <w:sz w:val="15"/>
                <w:szCs w:val="15"/>
              </w:rPr>
              <w:t xml:space="preserve"> </w:t>
            </w:r>
            <w:r>
              <w:rPr>
                <w:spacing w:val="-5"/>
              </w:rPr>
              <w:t>，占工程总用地面</w:t>
            </w:r>
            <w:r>
              <w:t xml:space="preserve"> </w:t>
            </w:r>
            <w:r>
              <w:rPr>
                <w:spacing w:val="-3"/>
              </w:rPr>
              <w:t>积的</w:t>
            </w:r>
            <w:r>
              <w:rPr>
                <w:spacing w:val="-50"/>
              </w:rPr>
              <w:t xml:space="preserve"> </w:t>
            </w:r>
            <w:r>
              <w:rPr>
                <w:rFonts w:ascii="Times New Roman" w:hAnsi="Times New Roman" w:eastAsia="Times New Roman" w:cs="Times New Roman"/>
                <w:spacing w:val="-3"/>
              </w:rPr>
              <w:t>97.53%</w:t>
            </w:r>
            <w:r>
              <w:rPr>
                <w:spacing w:val="-3"/>
              </w:rPr>
              <w:t>；永久占地主要包括升压站、</w:t>
            </w:r>
            <w:r>
              <w:rPr>
                <w:rFonts w:ascii="Times New Roman" w:hAnsi="Times New Roman" w:eastAsia="Times New Roman" w:cs="Times New Roman"/>
                <w:spacing w:val="-3"/>
              </w:rPr>
              <w:t xml:space="preserve">35kv </w:t>
            </w:r>
            <w:r>
              <w:rPr>
                <w:spacing w:val="-3"/>
              </w:rPr>
              <w:t>集电线路塔基、进场道路</w:t>
            </w:r>
            <w:r>
              <w:rPr>
                <w:spacing w:val="-4"/>
              </w:rPr>
              <w:t>、箱变等</w:t>
            </w:r>
            <w:r>
              <w:t xml:space="preserve"> </w:t>
            </w:r>
            <w:r>
              <w:rPr>
                <w:spacing w:val="-1"/>
              </w:rPr>
              <w:t>总计永久占地面积</w:t>
            </w:r>
            <w:r>
              <w:rPr>
                <w:spacing w:val="-50"/>
              </w:rPr>
              <w:t xml:space="preserve"> </w:t>
            </w:r>
            <w:r>
              <w:rPr>
                <w:rFonts w:ascii="Times New Roman" w:hAnsi="Times New Roman" w:eastAsia="Times New Roman" w:cs="Times New Roman"/>
                <w:spacing w:val="-1"/>
              </w:rPr>
              <w:t>3.4547hm</w:t>
            </w:r>
            <w:r>
              <w:rPr>
                <w:rFonts w:ascii="Times New Roman" w:hAnsi="Times New Roman" w:eastAsia="Times New Roman" w:cs="Times New Roman"/>
                <w:spacing w:val="-1"/>
                <w:position w:val="8"/>
                <w:sz w:val="15"/>
                <w:szCs w:val="15"/>
              </w:rPr>
              <w:t xml:space="preserve">2 </w:t>
            </w:r>
            <w:r>
              <w:rPr>
                <w:spacing w:val="-1"/>
              </w:rPr>
              <w:t>。工程不</w:t>
            </w:r>
            <w:r>
              <w:rPr>
                <w:spacing w:val="-2"/>
              </w:rPr>
              <w:t>占用耕地、基本农田及生态保护红线。</w:t>
            </w:r>
          </w:p>
          <w:p w14:paraId="13281B72">
            <w:pPr>
              <w:pStyle w:val="6"/>
              <w:spacing w:before="33" w:line="354" w:lineRule="auto"/>
              <w:ind w:left="106" w:right="102" w:firstLine="482"/>
              <w:jc w:val="both"/>
            </w:pPr>
            <w:r>
              <w:rPr>
                <w:spacing w:val="1"/>
              </w:rPr>
              <w:t>工程施工占地改变了原有土地利用的性质和功</w:t>
            </w:r>
            <w:r>
              <w:t xml:space="preserve">能。永久占地部分将永久性的 </w:t>
            </w:r>
            <w:r>
              <w:rPr>
                <w:spacing w:val="1"/>
              </w:rPr>
              <w:t>改变原有土地性质，在项目服务期内是无法恢</w:t>
            </w:r>
            <w:r>
              <w:t xml:space="preserve">复的；临时占地在施工结束后即可 </w:t>
            </w:r>
            <w:r>
              <w:rPr>
                <w:spacing w:val="8"/>
              </w:rPr>
              <w:t>通过恢复植被和土地复垦等措施使其原来土地的性</w:t>
            </w:r>
            <w:r>
              <w:rPr>
                <w:spacing w:val="7"/>
              </w:rPr>
              <w:t>质和功能得到一定程度的恢</w:t>
            </w:r>
            <w:r>
              <w:t xml:space="preserve"> </w:t>
            </w:r>
            <w:r>
              <w:rPr>
                <w:spacing w:val="-4"/>
              </w:rPr>
              <w:t>复。本工程施工占地中林地和草地</w:t>
            </w:r>
            <w:r>
              <w:rPr>
                <w:spacing w:val="-17"/>
              </w:rPr>
              <w:t xml:space="preserve"> </w:t>
            </w:r>
            <w:r>
              <w:rPr>
                <w:rFonts w:ascii="Times New Roman" w:hAnsi="Times New Roman" w:eastAsia="Times New Roman" w:cs="Times New Roman"/>
                <w:spacing w:val="-4"/>
              </w:rPr>
              <w:t>134.0596hm</w:t>
            </w:r>
            <w:r>
              <w:rPr>
                <w:rFonts w:ascii="Times New Roman" w:hAnsi="Times New Roman" w:eastAsia="Times New Roman" w:cs="Times New Roman"/>
                <w:spacing w:val="-4"/>
                <w:position w:val="8"/>
                <w:sz w:val="15"/>
                <w:szCs w:val="15"/>
              </w:rPr>
              <w:t>2</w:t>
            </w:r>
            <w:r>
              <w:rPr>
                <w:spacing w:val="-4"/>
              </w:rPr>
              <w:t>，这将使其原有生态功能丧失，对</w:t>
            </w:r>
            <w:r>
              <w:t xml:space="preserve"> </w:t>
            </w:r>
            <w:r>
              <w:rPr>
                <w:spacing w:val="-1"/>
              </w:rPr>
              <w:t>当地生态环境造成一定不利影响。</w:t>
            </w:r>
          </w:p>
          <w:p w14:paraId="2B6CF4E3">
            <w:pPr>
              <w:pStyle w:val="6"/>
              <w:spacing w:before="35" w:line="350" w:lineRule="auto"/>
              <w:ind w:left="106" w:right="102" w:firstLine="509"/>
              <w:jc w:val="both"/>
            </w:pPr>
            <w:r>
              <w:rPr>
                <w:spacing w:val="-4"/>
              </w:rPr>
              <w:t>由于施工永久占地面积不大，仅</w:t>
            </w:r>
            <w:r>
              <w:rPr>
                <w:spacing w:val="-41"/>
              </w:rPr>
              <w:t xml:space="preserve"> </w:t>
            </w:r>
            <w:r>
              <w:rPr>
                <w:rFonts w:ascii="Times New Roman" w:hAnsi="Times New Roman" w:eastAsia="Times New Roman" w:cs="Times New Roman"/>
                <w:spacing w:val="-4"/>
              </w:rPr>
              <w:t>3.4547hm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9"/>
                <w:position w:val="8"/>
                <w:sz w:val="15"/>
                <w:szCs w:val="15"/>
              </w:rPr>
              <w:t xml:space="preserve"> </w:t>
            </w:r>
            <w:r>
              <w:rPr>
                <w:spacing w:val="-4"/>
              </w:rPr>
              <w:t>，占总用地面积的</w:t>
            </w:r>
            <w:r>
              <w:rPr>
                <w:spacing w:val="-55"/>
              </w:rPr>
              <w:t xml:space="preserve"> </w:t>
            </w:r>
            <w:r>
              <w:rPr>
                <w:rFonts w:ascii="Times New Roman" w:hAnsi="Times New Roman" w:eastAsia="Times New Roman" w:cs="Times New Roman"/>
                <w:spacing w:val="-4"/>
              </w:rPr>
              <w:t>2.47%</w:t>
            </w:r>
            <w:r>
              <w:rPr>
                <w:spacing w:val="-4"/>
              </w:rPr>
              <w:t>。永久占</w:t>
            </w:r>
            <w:r>
              <w:t xml:space="preserve"> </w:t>
            </w:r>
            <w:r>
              <w:rPr>
                <w:spacing w:val="1"/>
              </w:rPr>
              <w:t>用的土地以草地和林地为主，除占地的直接损失外，</w:t>
            </w:r>
            <w:r>
              <w:t xml:space="preserve">工程施工不会对该区域的土 </w:t>
            </w:r>
            <w:r>
              <w:rPr>
                <w:spacing w:val="-1"/>
              </w:rPr>
              <w:t>地利用造成明显的影响。</w:t>
            </w:r>
          </w:p>
        </w:tc>
      </w:tr>
    </w:tbl>
    <w:p w14:paraId="080CCBC8">
      <w:pPr>
        <w:rPr>
          <w:rFonts w:ascii="Arial"/>
          <w:sz w:val="21"/>
        </w:rPr>
      </w:pPr>
    </w:p>
    <w:p w14:paraId="4B6667A1">
      <w:pPr>
        <w:rPr>
          <w:rFonts w:ascii="Arial" w:hAnsi="Arial" w:eastAsia="Arial" w:cs="Arial"/>
          <w:sz w:val="21"/>
          <w:szCs w:val="21"/>
        </w:rPr>
        <w:sectPr>
          <w:footerReference r:id="rId108" w:type="default"/>
          <w:pgSz w:w="11906" w:h="16839"/>
          <w:pgMar w:top="1431" w:right="1454" w:bottom="1278" w:left="1454" w:header="0" w:footer="1116" w:gutter="0"/>
          <w:cols w:space="720" w:num="1"/>
        </w:sectPr>
      </w:pPr>
    </w:p>
    <w:p w14:paraId="68149FC5">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6D81D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02" w:hRule="atLeast"/>
        </w:trPr>
        <w:tc>
          <w:tcPr>
            <w:tcW w:w="339" w:type="dxa"/>
            <w:tcBorders>
              <w:right w:val="single" w:color="000000" w:sz="2" w:space="0"/>
            </w:tcBorders>
            <w:vAlign w:val="top"/>
          </w:tcPr>
          <w:p w14:paraId="7E3AF1AB">
            <w:pPr>
              <w:rPr>
                <w:rFonts w:ascii="Arial"/>
                <w:sz w:val="21"/>
              </w:rPr>
            </w:pPr>
          </w:p>
        </w:tc>
        <w:tc>
          <w:tcPr>
            <w:tcW w:w="8643" w:type="dxa"/>
            <w:tcBorders>
              <w:left w:val="single" w:color="000000" w:sz="2" w:space="0"/>
            </w:tcBorders>
            <w:vAlign w:val="top"/>
          </w:tcPr>
          <w:p w14:paraId="5C1B5116">
            <w:pPr>
              <w:pStyle w:val="6"/>
              <w:spacing w:before="42" w:line="352" w:lineRule="auto"/>
              <w:ind w:left="105" w:right="102" w:firstLine="483"/>
              <w:jc w:val="both"/>
            </w:pPr>
            <w:r>
              <w:rPr>
                <w:spacing w:val="1"/>
              </w:rPr>
              <w:t>为减少项目建设占地对土地利用的不利影响，</w:t>
            </w:r>
            <w:r>
              <w:t xml:space="preserve">建设单位在征地过程中应办理 </w:t>
            </w:r>
            <w:r>
              <w:rPr>
                <w:spacing w:val="1"/>
              </w:rPr>
              <w:t>相关土地和林地审批，并缴纳政府规定的林地补</w:t>
            </w:r>
            <w:r>
              <w:t xml:space="preserve">偿费。施工结束后应尽快采取措 </w:t>
            </w:r>
            <w:r>
              <w:rPr>
                <w:spacing w:val="1"/>
              </w:rPr>
              <w:t>施恢复工程施工期间临时占用的草地和灌木林地，将对</w:t>
            </w:r>
            <w:r>
              <w:t xml:space="preserve">土地利用的不利影响降到 </w:t>
            </w:r>
            <w:r>
              <w:rPr>
                <w:spacing w:val="-2"/>
              </w:rPr>
              <w:t>最低限度。</w:t>
            </w:r>
          </w:p>
          <w:p w14:paraId="40240DFD">
            <w:pPr>
              <w:pStyle w:val="6"/>
              <w:spacing w:before="36" w:line="350" w:lineRule="auto"/>
              <w:ind w:left="107" w:right="40" w:firstLine="480"/>
              <w:jc w:val="both"/>
            </w:pPr>
            <w:r>
              <w:rPr>
                <w:spacing w:val="1"/>
              </w:rPr>
              <w:t>而且本项目占地全部为租用当地各村委会的</w:t>
            </w:r>
            <w:r>
              <w:t xml:space="preserve">流转土地，项目服务期满使用结 </w:t>
            </w:r>
            <w:r>
              <w:rPr>
                <w:spacing w:val="-4"/>
              </w:rPr>
              <w:t>束后将进行恢复、交还，恢复至原有土地性质。对土</w:t>
            </w:r>
            <w:r>
              <w:rPr>
                <w:spacing w:val="-5"/>
              </w:rPr>
              <w:t>地利用的影响将进一步减小，</w:t>
            </w:r>
            <w:r>
              <w:t xml:space="preserve"> </w:t>
            </w:r>
            <w:r>
              <w:rPr>
                <w:spacing w:val="-1"/>
              </w:rPr>
              <w:t>随着使用权流转结束而消失。</w:t>
            </w:r>
          </w:p>
          <w:p w14:paraId="61F22966">
            <w:pPr>
              <w:pStyle w:val="6"/>
              <w:spacing w:before="33" w:line="219" w:lineRule="auto"/>
              <w:ind w:left="582"/>
            </w:pPr>
            <w:r>
              <w:rPr>
                <w:rFonts w:ascii="Times New Roman" w:hAnsi="Times New Roman" w:eastAsia="Times New Roman" w:cs="Times New Roman"/>
                <w:spacing w:val="-1"/>
              </w:rPr>
              <w:t>2</w:t>
            </w:r>
            <w:r>
              <w:rPr>
                <w:spacing w:val="-1"/>
              </w:rPr>
              <w:t>）对植被及植物的影响分析</w:t>
            </w:r>
          </w:p>
          <w:p w14:paraId="1396D5F9">
            <w:pPr>
              <w:pStyle w:val="6"/>
              <w:spacing w:before="182" w:line="218" w:lineRule="auto"/>
              <w:ind w:left="590"/>
            </w:pPr>
            <w:r>
              <w:rPr>
                <w:spacing w:val="-1"/>
              </w:rPr>
              <w:t>项目用地范围主要占评价区的植被类型情况见下表。</w:t>
            </w:r>
          </w:p>
          <w:p w14:paraId="3215D209">
            <w:pPr>
              <w:pStyle w:val="6"/>
              <w:spacing w:before="178" w:line="223" w:lineRule="auto"/>
              <w:ind w:left="2151"/>
              <w:rPr>
                <w:sz w:val="20"/>
                <w:szCs w:val="20"/>
              </w:rPr>
            </w:pPr>
            <w:r>
              <w:rPr>
                <w:b/>
                <w:bCs/>
                <w:spacing w:val="6"/>
                <w:sz w:val="20"/>
                <w:szCs w:val="20"/>
              </w:rPr>
              <w:t>表</w:t>
            </w:r>
            <w:r>
              <w:rPr>
                <w:spacing w:val="-29"/>
                <w:sz w:val="20"/>
                <w:szCs w:val="20"/>
              </w:rPr>
              <w:t xml:space="preserve"> </w:t>
            </w:r>
            <w:r>
              <w:rPr>
                <w:rFonts w:ascii="Times New Roman" w:hAnsi="Times New Roman" w:eastAsia="Times New Roman" w:cs="Times New Roman"/>
                <w:b/>
                <w:bCs/>
                <w:spacing w:val="6"/>
                <w:sz w:val="20"/>
                <w:szCs w:val="20"/>
              </w:rPr>
              <w:t xml:space="preserve">4-4    </w:t>
            </w:r>
            <w:r>
              <w:rPr>
                <w:b/>
                <w:bCs/>
                <w:spacing w:val="6"/>
                <w:sz w:val="20"/>
                <w:szCs w:val="20"/>
              </w:rPr>
              <w:t>用地范围主要占评价区的土地类型情况</w:t>
            </w:r>
          </w:p>
          <w:tbl>
            <w:tblPr>
              <w:tblStyle w:val="5"/>
              <w:tblW w:w="843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3"/>
              <w:gridCol w:w="2051"/>
              <w:gridCol w:w="1950"/>
              <w:gridCol w:w="1959"/>
            </w:tblGrid>
            <w:tr w14:paraId="6274D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473" w:type="dxa"/>
                  <w:vMerge w:val="restart"/>
                  <w:tcBorders>
                    <w:bottom w:val="nil"/>
                  </w:tcBorders>
                  <w:vAlign w:val="top"/>
                </w:tcPr>
                <w:p w14:paraId="7BF4B5F4">
                  <w:pPr>
                    <w:pStyle w:val="6"/>
                    <w:spacing w:before="175" w:line="228" w:lineRule="auto"/>
                    <w:ind w:left="820"/>
                    <w:rPr>
                      <w:sz w:val="20"/>
                      <w:szCs w:val="20"/>
                    </w:rPr>
                  </w:pPr>
                  <w:r>
                    <w:rPr>
                      <w:b/>
                      <w:bCs/>
                      <w:spacing w:val="6"/>
                      <w:sz w:val="20"/>
                      <w:szCs w:val="20"/>
                    </w:rPr>
                    <w:t>植被类型</w:t>
                  </w:r>
                </w:p>
              </w:tc>
              <w:tc>
                <w:tcPr>
                  <w:tcW w:w="2051" w:type="dxa"/>
                  <w:vMerge w:val="restart"/>
                  <w:tcBorders>
                    <w:bottom w:val="nil"/>
                  </w:tcBorders>
                  <w:vAlign w:val="top"/>
                </w:tcPr>
                <w:p w14:paraId="11AD52AE">
                  <w:pPr>
                    <w:pStyle w:val="6"/>
                    <w:spacing w:before="175" w:line="226" w:lineRule="auto"/>
                    <w:ind w:left="112"/>
                    <w:rPr>
                      <w:sz w:val="20"/>
                      <w:szCs w:val="20"/>
                    </w:rPr>
                  </w:pPr>
                  <w:r>
                    <w:rPr>
                      <w:b/>
                      <w:bCs/>
                      <w:spacing w:val="7"/>
                      <w:sz w:val="20"/>
                      <w:szCs w:val="20"/>
                    </w:rPr>
                    <w:t>评价区面积（</w:t>
                  </w:r>
                  <w:r>
                    <w:rPr>
                      <w:rFonts w:ascii="Times New Roman" w:hAnsi="Times New Roman" w:eastAsia="Times New Roman" w:cs="Times New Roman"/>
                      <w:b/>
                      <w:bCs/>
                      <w:sz w:val="20"/>
                      <w:szCs w:val="20"/>
                    </w:rPr>
                    <w:t>hm</w:t>
                  </w:r>
                  <w:r>
                    <w:rPr>
                      <w:rFonts w:ascii="Times New Roman" w:hAnsi="Times New Roman" w:eastAsia="Times New Roman" w:cs="Times New Roman"/>
                      <w:b/>
                      <w:bCs/>
                      <w:spacing w:val="7"/>
                      <w:position w:val="6"/>
                      <w:sz w:val="13"/>
                      <w:szCs w:val="13"/>
                    </w:rPr>
                    <w:t>2</w:t>
                  </w:r>
                  <w:r>
                    <w:rPr>
                      <w:b/>
                      <w:bCs/>
                      <w:spacing w:val="7"/>
                      <w:sz w:val="20"/>
                      <w:szCs w:val="20"/>
                    </w:rPr>
                    <w:t>）</w:t>
                  </w:r>
                </w:p>
              </w:tc>
              <w:tc>
                <w:tcPr>
                  <w:tcW w:w="3909" w:type="dxa"/>
                  <w:gridSpan w:val="2"/>
                  <w:vAlign w:val="top"/>
                </w:tcPr>
                <w:p w14:paraId="0B96B29F">
                  <w:pPr>
                    <w:pStyle w:val="6"/>
                    <w:spacing w:before="35" w:line="218" w:lineRule="auto"/>
                    <w:ind w:left="1541"/>
                    <w:rPr>
                      <w:sz w:val="20"/>
                      <w:szCs w:val="20"/>
                    </w:rPr>
                  </w:pPr>
                  <w:r>
                    <w:rPr>
                      <w:b/>
                      <w:bCs/>
                      <w:spacing w:val="5"/>
                      <w:sz w:val="20"/>
                      <w:szCs w:val="20"/>
                    </w:rPr>
                    <w:t>项目占地</w:t>
                  </w:r>
                </w:p>
              </w:tc>
            </w:tr>
            <w:tr w14:paraId="70367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473" w:type="dxa"/>
                  <w:vMerge w:val="continue"/>
                  <w:tcBorders>
                    <w:top w:val="nil"/>
                  </w:tcBorders>
                  <w:vAlign w:val="top"/>
                </w:tcPr>
                <w:p w14:paraId="09319ADC">
                  <w:pPr>
                    <w:rPr>
                      <w:rFonts w:ascii="Arial"/>
                      <w:sz w:val="21"/>
                    </w:rPr>
                  </w:pPr>
                </w:p>
              </w:tc>
              <w:tc>
                <w:tcPr>
                  <w:tcW w:w="2051" w:type="dxa"/>
                  <w:vMerge w:val="continue"/>
                  <w:tcBorders>
                    <w:top w:val="nil"/>
                  </w:tcBorders>
                  <w:vAlign w:val="top"/>
                </w:tcPr>
                <w:p w14:paraId="7E331C8E">
                  <w:pPr>
                    <w:rPr>
                      <w:rFonts w:ascii="Arial"/>
                      <w:sz w:val="21"/>
                    </w:rPr>
                  </w:pPr>
                </w:p>
              </w:tc>
              <w:tc>
                <w:tcPr>
                  <w:tcW w:w="1950" w:type="dxa"/>
                  <w:vAlign w:val="top"/>
                </w:tcPr>
                <w:p w14:paraId="786AA7D5">
                  <w:pPr>
                    <w:pStyle w:val="6"/>
                    <w:spacing w:before="31" w:line="216" w:lineRule="auto"/>
                    <w:ind w:left="572"/>
                    <w:rPr>
                      <w:sz w:val="20"/>
                      <w:szCs w:val="20"/>
                    </w:rPr>
                  </w:pPr>
                  <w:r>
                    <w:rPr>
                      <w:b/>
                      <w:bCs/>
                      <w:spacing w:val="3"/>
                      <w:sz w:val="20"/>
                      <w:szCs w:val="20"/>
                    </w:rPr>
                    <w:t>临时占用</w:t>
                  </w:r>
                </w:p>
              </w:tc>
              <w:tc>
                <w:tcPr>
                  <w:tcW w:w="1959" w:type="dxa"/>
                  <w:vAlign w:val="top"/>
                </w:tcPr>
                <w:p w14:paraId="4C20C001">
                  <w:pPr>
                    <w:pStyle w:val="6"/>
                    <w:spacing w:before="31" w:line="216" w:lineRule="auto"/>
                    <w:ind w:left="563"/>
                    <w:rPr>
                      <w:sz w:val="20"/>
                      <w:szCs w:val="20"/>
                    </w:rPr>
                  </w:pPr>
                  <w:r>
                    <w:rPr>
                      <w:b/>
                      <w:bCs/>
                      <w:spacing w:val="6"/>
                      <w:sz w:val="20"/>
                      <w:szCs w:val="20"/>
                    </w:rPr>
                    <w:t>永久占用</w:t>
                  </w:r>
                </w:p>
              </w:tc>
            </w:tr>
            <w:tr w14:paraId="17C4B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73" w:type="dxa"/>
                  <w:vAlign w:val="top"/>
                </w:tcPr>
                <w:p w14:paraId="0396FD54">
                  <w:pPr>
                    <w:pStyle w:val="6"/>
                    <w:spacing w:before="31" w:line="217" w:lineRule="auto"/>
                    <w:ind w:left="405"/>
                    <w:rPr>
                      <w:sz w:val="20"/>
                      <w:szCs w:val="20"/>
                    </w:rPr>
                  </w:pPr>
                  <w:r>
                    <w:rPr>
                      <w:spacing w:val="8"/>
                      <w:sz w:val="20"/>
                      <w:szCs w:val="20"/>
                    </w:rPr>
                    <w:t>半湿润常绿阔叶林</w:t>
                  </w:r>
                </w:p>
              </w:tc>
              <w:tc>
                <w:tcPr>
                  <w:tcW w:w="2051" w:type="dxa"/>
                  <w:vAlign w:val="top"/>
                </w:tcPr>
                <w:p w14:paraId="696851E7">
                  <w:pPr>
                    <w:spacing w:before="68"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278.460</w:t>
                  </w:r>
                </w:p>
              </w:tc>
              <w:tc>
                <w:tcPr>
                  <w:tcW w:w="1950" w:type="dxa"/>
                  <w:vAlign w:val="top"/>
                </w:tcPr>
                <w:p w14:paraId="3D11EE58">
                  <w:pPr>
                    <w:rPr>
                      <w:rFonts w:ascii="Arial"/>
                      <w:sz w:val="21"/>
                    </w:rPr>
                  </w:pPr>
                </w:p>
              </w:tc>
              <w:tc>
                <w:tcPr>
                  <w:tcW w:w="1959" w:type="dxa"/>
                  <w:vAlign w:val="top"/>
                </w:tcPr>
                <w:p w14:paraId="33D4CC21">
                  <w:pPr>
                    <w:spacing w:before="68"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0.0347</w:t>
                  </w:r>
                </w:p>
              </w:tc>
            </w:tr>
            <w:tr w14:paraId="55F16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73" w:type="dxa"/>
                  <w:vAlign w:val="top"/>
                </w:tcPr>
                <w:p w14:paraId="022B727C">
                  <w:pPr>
                    <w:pStyle w:val="6"/>
                    <w:spacing w:before="33" w:line="216" w:lineRule="auto"/>
                    <w:ind w:left="201"/>
                    <w:rPr>
                      <w:sz w:val="20"/>
                      <w:szCs w:val="20"/>
                    </w:rPr>
                  </w:pPr>
                  <w:r>
                    <w:rPr>
                      <w:spacing w:val="8"/>
                      <w:sz w:val="20"/>
                      <w:szCs w:val="20"/>
                    </w:rPr>
                    <w:t>暖温性硬叶常绿阔叶林</w:t>
                  </w:r>
                </w:p>
              </w:tc>
              <w:tc>
                <w:tcPr>
                  <w:tcW w:w="2051" w:type="dxa"/>
                  <w:vAlign w:val="top"/>
                </w:tcPr>
                <w:p w14:paraId="60D48CB2">
                  <w:pPr>
                    <w:spacing w:before="69" w:line="195" w:lineRule="auto"/>
                    <w:ind w:left="708"/>
                    <w:rPr>
                      <w:rFonts w:ascii="Times New Roman" w:hAnsi="Times New Roman" w:eastAsia="Times New Roman" w:cs="Times New Roman"/>
                      <w:sz w:val="20"/>
                      <w:szCs w:val="20"/>
                    </w:rPr>
                  </w:pPr>
                  <w:r>
                    <w:rPr>
                      <w:rFonts w:ascii="Times New Roman" w:hAnsi="Times New Roman" w:eastAsia="Times New Roman" w:cs="Times New Roman"/>
                      <w:sz w:val="20"/>
                      <w:szCs w:val="20"/>
                    </w:rPr>
                    <w:t>112.472</w:t>
                  </w:r>
                </w:p>
              </w:tc>
              <w:tc>
                <w:tcPr>
                  <w:tcW w:w="1950" w:type="dxa"/>
                  <w:vAlign w:val="top"/>
                </w:tcPr>
                <w:p w14:paraId="7A3F1A5D">
                  <w:pPr>
                    <w:rPr>
                      <w:rFonts w:ascii="Arial"/>
                      <w:sz w:val="21"/>
                    </w:rPr>
                  </w:pPr>
                </w:p>
              </w:tc>
              <w:tc>
                <w:tcPr>
                  <w:tcW w:w="1959" w:type="dxa"/>
                  <w:vAlign w:val="top"/>
                </w:tcPr>
                <w:p w14:paraId="62262D5E">
                  <w:pPr>
                    <w:rPr>
                      <w:rFonts w:ascii="Arial"/>
                      <w:sz w:val="21"/>
                    </w:rPr>
                  </w:pPr>
                </w:p>
              </w:tc>
            </w:tr>
            <w:tr w14:paraId="67310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73" w:type="dxa"/>
                  <w:vAlign w:val="top"/>
                </w:tcPr>
                <w:p w14:paraId="46C2C203">
                  <w:pPr>
                    <w:pStyle w:val="6"/>
                    <w:spacing w:before="31" w:line="217" w:lineRule="auto"/>
                    <w:ind w:left="410"/>
                    <w:rPr>
                      <w:sz w:val="20"/>
                      <w:szCs w:val="20"/>
                    </w:rPr>
                  </w:pPr>
                  <w:r>
                    <w:rPr>
                      <w:spacing w:val="7"/>
                      <w:sz w:val="20"/>
                      <w:szCs w:val="20"/>
                    </w:rPr>
                    <w:t>暖温性落叶阔叶林</w:t>
                  </w:r>
                </w:p>
              </w:tc>
              <w:tc>
                <w:tcPr>
                  <w:tcW w:w="2051" w:type="dxa"/>
                  <w:vAlign w:val="top"/>
                </w:tcPr>
                <w:p w14:paraId="519FDFE5">
                  <w:pPr>
                    <w:spacing w:before="68" w:line="195" w:lineRule="auto"/>
                    <w:ind w:left="7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195.396</w:t>
                  </w:r>
                </w:p>
              </w:tc>
              <w:tc>
                <w:tcPr>
                  <w:tcW w:w="1950" w:type="dxa"/>
                  <w:vAlign w:val="top"/>
                </w:tcPr>
                <w:p w14:paraId="4A144A2F">
                  <w:pPr>
                    <w:rPr>
                      <w:rFonts w:ascii="Arial"/>
                      <w:sz w:val="21"/>
                    </w:rPr>
                  </w:pPr>
                </w:p>
              </w:tc>
              <w:tc>
                <w:tcPr>
                  <w:tcW w:w="1959" w:type="dxa"/>
                  <w:vAlign w:val="top"/>
                </w:tcPr>
                <w:p w14:paraId="621D6404">
                  <w:pPr>
                    <w:spacing w:before="68"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0.0182</w:t>
                  </w:r>
                </w:p>
              </w:tc>
            </w:tr>
            <w:tr w14:paraId="254AB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73" w:type="dxa"/>
                  <w:vAlign w:val="top"/>
                </w:tcPr>
                <w:p w14:paraId="457C5860">
                  <w:pPr>
                    <w:pStyle w:val="6"/>
                    <w:spacing w:before="33" w:line="216" w:lineRule="auto"/>
                    <w:ind w:left="621"/>
                    <w:rPr>
                      <w:sz w:val="20"/>
                      <w:szCs w:val="20"/>
                    </w:rPr>
                  </w:pPr>
                  <w:r>
                    <w:rPr>
                      <w:spacing w:val="6"/>
                      <w:sz w:val="20"/>
                      <w:szCs w:val="20"/>
                    </w:rPr>
                    <w:t>暖温性针叶林</w:t>
                  </w:r>
                </w:p>
              </w:tc>
              <w:tc>
                <w:tcPr>
                  <w:tcW w:w="2051" w:type="dxa"/>
                  <w:vAlign w:val="top"/>
                </w:tcPr>
                <w:p w14:paraId="5083FCCE">
                  <w:pPr>
                    <w:spacing w:before="69"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201.148</w:t>
                  </w:r>
                </w:p>
              </w:tc>
              <w:tc>
                <w:tcPr>
                  <w:tcW w:w="1950" w:type="dxa"/>
                  <w:vAlign w:val="top"/>
                </w:tcPr>
                <w:p w14:paraId="1B9F1E90">
                  <w:pPr>
                    <w:rPr>
                      <w:rFonts w:ascii="Arial"/>
                      <w:sz w:val="21"/>
                    </w:rPr>
                  </w:pPr>
                </w:p>
              </w:tc>
              <w:tc>
                <w:tcPr>
                  <w:tcW w:w="1959" w:type="dxa"/>
                  <w:vAlign w:val="top"/>
                </w:tcPr>
                <w:p w14:paraId="657C05DD">
                  <w:pPr>
                    <w:spacing w:before="69"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0.0260</w:t>
                  </w:r>
                </w:p>
              </w:tc>
            </w:tr>
            <w:tr w14:paraId="65546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73" w:type="dxa"/>
                  <w:vAlign w:val="top"/>
                </w:tcPr>
                <w:p w14:paraId="0D70BDEE">
                  <w:pPr>
                    <w:pStyle w:val="6"/>
                    <w:spacing w:before="35" w:line="214" w:lineRule="auto"/>
                    <w:ind w:left="410"/>
                    <w:rPr>
                      <w:sz w:val="20"/>
                      <w:szCs w:val="20"/>
                    </w:rPr>
                  </w:pPr>
                  <w:r>
                    <w:rPr>
                      <w:spacing w:val="7"/>
                      <w:sz w:val="20"/>
                      <w:szCs w:val="20"/>
                    </w:rPr>
                    <w:t>暖温性石灰岩灌丛</w:t>
                  </w:r>
                </w:p>
              </w:tc>
              <w:tc>
                <w:tcPr>
                  <w:tcW w:w="2051" w:type="dxa"/>
                  <w:vAlign w:val="top"/>
                </w:tcPr>
                <w:p w14:paraId="7CE150D4">
                  <w:pPr>
                    <w:spacing w:before="70"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72.315</w:t>
                  </w:r>
                </w:p>
              </w:tc>
              <w:tc>
                <w:tcPr>
                  <w:tcW w:w="1950" w:type="dxa"/>
                  <w:vAlign w:val="top"/>
                </w:tcPr>
                <w:p w14:paraId="0D55396B">
                  <w:pPr>
                    <w:spacing w:before="70" w:line="195" w:lineRule="auto"/>
                    <w:ind w:left="6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45.1947</w:t>
                  </w:r>
                </w:p>
              </w:tc>
              <w:tc>
                <w:tcPr>
                  <w:tcW w:w="1959" w:type="dxa"/>
                  <w:vAlign w:val="top"/>
                </w:tcPr>
                <w:p w14:paraId="3DE1A19F">
                  <w:pPr>
                    <w:spacing w:before="70"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0.2563</w:t>
                  </w:r>
                </w:p>
              </w:tc>
            </w:tr>
            <w:tr w14:paraId="57047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73" w:type="dxa"/>
                  <w:vAlign w:val="top"/>
                </w:tcPr>
                <w:p w14:paraId="4F416C64">
                  <w:pPr>
                    <w:pStyle w:val="6"/>
                    <w:spacing w:before="33" w:line="216" w:lineRule="auto"/>
                    <w:ind w:left="305"/>
                    <w:rPr>
                      <w:sz w:val="20"/>
                      <w:szCs w:val="20"/>
                    </w:rPr>
                  </w:pPr>
                  <w:r>
                    <w:rPr>
                      <w:spacing w:val="8"/>
                      <w:sz w:val="20"/>
                      <w:szCs w:val="20"/>
                    </w:rPr>
                    <w:t>暖温性稀树灌木草丛</w:t>
                  </w:r>
                </w:p>
              </w:tc>
              <w:tc>
                <w:tcPr>
                  <w:tcW w:w="2051" w:type="dxa"/>
                  <w:vAlign w:val="top"/>
                </w:tcPr>
                <w:p w14:paraId="254E7E3A">
                  <w:pPr>
                    <w:spacing w:before="69"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369.681</w:t>
                  </w:r>
                </w:p>
              </w:tc>
              <w:tc>
                <w:tcPr>
                  <w:tcW w:w="1950" w:type="dxa"/>
                  <w:vAlign w:val="top"/>
                </w:tcPr>
                <w:p w14:paraId="569FE564">
                  <w:pPr>
                    <w:spacing w:before="69"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85.4756</w:t>
                  </w:r>
                </w:p>
              </w:tc>
              <w:tc>
                <w:tcPr>
                  <w:tcW w:w="1959" w:type="dxa"/>
                  <w:vAlign w:val="top"/>
                </w:tcPr>
                <w:p w14:paraId="26D36A84">
                  <w:pPr>
                    <w:spacing w:before="69" w:line="195" w:lineRule="auto"/>
                    <w:ind w:left="712"/>
                    <w:rPr>
                      <w:rFonts w:ascii="Times New Roman" w:hAnsi="Times New Roman" w:eastAsia="Times New Roman" w:cs="Times New Roman"/>
                      <w:sz w:val="20"/>
                      <w:szCs w:val="20"/>
                    </w:rPr>
                  </w:pPr>
                  <w:r>
                    <w:rPr>
                      <w:rFonts w:ascii="Times New Roman" w:hAnsi="Times New Roman" w:eastAsia="Times New Roman" w:cs="Times New Roman"/>
                      <w:sz w:val="20"/>
                      <w:szCs w:val="20"/>
                    </w:rPr>
                    <w:t>1.3785</w:t>
                  </w:r>
                </w:p>
              </w:tc>
            </w:tr>
            <w:tr w14:paraId="22A7D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73" w:type="dxa"/>
                  <w:vAlign w:val="top"/>
                </w:tcPr>
                <w:p w14:paraId="5B35C346">
                  <w:pPr>
                    <w:pStyle w:val="6"/>
                    <w:spacing w:before="35" w:line="214" w:lineRule="auto"/>
                    <w:ind w:left="824"/>
                    <w:rPr>
                      <w:sz w:val="20"/>
                      <w:szCs w:val="20"/>
                    </w:rPr>
                  </w:pPr>
                  <w:r>
                    <w:rPr>
                      <w:spacing w:val="6"/>
                      <w:sz w:val="20"/>
                      <w:szCs w:val="20"/>
                    </w:rPr>
                    <w:t>人工植被</w:t>
                  </w:r>
                </w:p>
              </w:tc>
              <w:tc>
                <w:tcPr>
                  <w:tcW w:w="2051" w:type="dxa"/>
                  <w:vAlign w:val="top"/>
                </w:tcPr>
                <w:p w14:paraId="7BF81DE3">
                  <w:pPr>
                    <w:spacing w:before="70"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78.222</w:t>
                  </w:r>
                </w:p>
              </w:tc>
              <w:tc>
                <w:tcPr>
                  <w:tcW w:w="1950" w:type="dxa"/>
                  <w:vAlign w:val="top"/>
                </w:tcPr>
                <w:p w14:paraId="5B63BDAF">
                  <w:pPr>
                    <w:rPr>
                      <w:rFonts w:ascii="Arial"/>
                      <w:sz w:val="21"/>
                    </w:rPr>
                  </w:pPr>
                </w:p>
              </w:tc>
              <w:tc>
                <w:tcPr>
                  <w:tcW w:w="1959" w:type="dxa"/>
                  <w:vAlign w:val="top"/>
                </w:tcPr>
                <w:p w14:paraId="1F34CCCF">
                  <w:pPr>
                    <w:spacing w:before="70"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0.0582</w:t>
                  </w:r>
                </w:p>
              </w:tc>
            </w:tr>
            <w:tr w14:paraId="736F5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73" w:type="dxa"/>
                  <w:vAlign w:val="top"/>
                </w:tcPr>
                <w:p w14:paraId="6A7C528E">
                  <w:pPr>
                    <w:pStyle w:val="6"/>
                    <w:spacing w:before="36" w:line="213" w:lineRule="auto"/>
                    <w:ind w:left="825"/>
                    <w:rPr>
                      <w:sz w:val="20"/>
                      <w:szCs w:val="20"/>
                    </w:rPr>
                  </w:pPr>
                  <w:r>
                    <w:rPr>
                      <w:spacing w:val="6"/>
                      <w:sz w:val="20"/>
                      <w:szCs w:val="20"/>
                    </w:rPr>
                    <w:t>建设用地</w:t>
                  </w:r>
                </w:p>
              </w:tc>
              <w:tc>
                <w:tcPr>
                  <w:tcW w:w="2051" w:type="dxa"/>
                  <w:vAlign w:val="top"/>
                </w:tcPr>
                <w:p w14:paraId="6B29140F">
                  <w:pPr>
                    <w:spacing w:before="71" w:line="195"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85.744</w:t>
                  </w:r>
                </w:p>
              </w:tc>
              <w:tc>
                <w:tcPr>
                  <w:tcW w:w="1950" w:type="dxa"/>
                  <w:vAlign w:val="top"/>
                </w:tcPr>
                <w:p w14:paraId="296DACA8">
                  <w:pPr>
                    <w:spacing w:before="71" w:line="195"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0.1430</w:t>
                  </w:r>
                </w:p>
              </w:tc>
              <w:tc>
                <w:tcPr>
                  <w:tcW w:w="1959" w:type="dxa"/>
                  <w:vAlign w:val="top"/>
                </w:tcPr>
                <w:p w14:paraId="15FE23EA">
                  <w:pPr>
                    <w:spacing w:before="71" w:line="195" w:lineRule="auto"/>
                    <w:ind w:left="712"/>
                    <w:rPr>
                      <w:rFonts w:ascii="Times New Roman" w:hAnsi="Times New Roman" w:eastAsia="Times New Roman" w:cs="Times New Roman"/>
                      <w:sz w:val="20"/>
                      <w:szCs w:val="20"/>
                    </w:rPr>
                  </w:pPr>
                  <w:r>
                    <w:rPr>
                      <w:rFonts w:ascii="Times New Roman" w:hAnsi="Times New Roman" w:eastAsia="Times New Roman" w:cs="Times New Roman"/>
                      <w:sz w:val="20"/>
                      <w:szCs w:val="20"/>
                    </w:rPr>
                    <w:t>1.3843</w:t>
                  </w:r>
                </w:p>
              </w:tc>
            </w:tr>
            <w:tr w14:paraId="76D4F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73" w:type="dxa"/>
                  <w:vAlign w:val="top"/>
                </w:tcPr>
                <w:p w14:paraId="0F1914BD">
                  <w:pPr>
                    <w:pStyle w:val="6"/>
                    <w:spacing w:before="35" w:line="214" w:lineRule="auto"/>
                    <w:ind w:left="716"/>
                    <w:rPr>
                      <w:sz w:val="20"/>
                      <w:szCs w:val="20"/>
                    </w:rPr>
                  </w:pPr>
                  <w:r>
                    <w:rPr>
                      <w:spacing w:val="8"/>
                      <w:sz w:val="20"/>
                      <w:szCs w:val="20"/>
                    </w:rPr>
                    <w:t>裸岩石砾地</w:t>
                  </w:r>
                </w:p>
              </w:tc>
              <w:tc>
                <w:tcPr>
                  <w:tcW w:w="2051" w:type="dxa"/>
                  <w:vAlign w:val="top"/>
                </w:tcPr>
                <w:p w14:paraId="0E6C3B4B">
                  <w:pPr>
                    <w:spacing w:before="70" w:line="195" w:lineRule="auto"/>
                    <w:ind w:left="7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147.014</w:t>
                  </w:r>
                </w:p>
              </w:tc>
              <w:tc>
                <w:tcPr>
                  <w:tcW w:w="1950" w:type="dxa"/>
                  <w:vAlign w:val="top"/>
                </w:tcPr>
                <w:p w14:paraId="0E616445">
                  <w:pPr>
                    <w:spacing w:before="70"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5.8624</w:t>
                  </w:r>
                </w:p>
              </w:tc>
              <w:tc>
                <w:tcPr>
                  <w:tcW w:w="1959" w:type="dxa"/>
                  <w:vAlign w:val="top"/>
                </w:tcPr>
                <w:p w14:paraId="02ECDC1A">
                  <w:pPr>
                    <w:rPr>
                      <w:rFonts w:ascii="Arial"/>
                      <w:sz w:val="21"/>
                    </w:rPr>
                  </w:pPr>
                </w:p>
              </w:tc>
            </w:tr>
            <w:tr w14:paraId="72ECF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473" w:type="dxa"/>
                  <w:vAlign w:val="top"/>
                </w:tcPr>
                <w:p w14:paraId="78485CCA">
                  <w:pPr>
                    <w:pStyle w:val="6"/>
                    <w:spacing w:before="35" w:line="217" w:lineRule="auto"/>
                    <w:ind w:left="1039"/>
                    <w:rPr>
                      <w:sz w:val="20"/>
                      <w:szCs w:val="20"/>
                    </w:rPr>
                  </w:pPr>
                  <w:r>
                    <w:rPr>
                      <w:spacing w:val="2"/>
                      <w:sz w:val="20"/>
                      <w:szCs w:val="20"/>
                    </w:rPr>
                    <w:t>总计</w:t>
                  </w:r>
                </w:p>
              </w:tc>
              <w:tc>
                <w:tcPr>
                  <w:tcW w:w="2051" w:type="dxa"/>
                  <w:vAlign w:val="top"/>
                </w:tcPr>
                <w:p w14:paraId="201FE132">
                  <w:pPr>
                    <w:spacing w:before="71"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1540.453</w:t>
                  </w:r>
                </w:p>
              </w:tc>
              <w:tc>
                <w:tcPr>
                  <w:tcW w:w="1950" w:type="dxa"/>
                  <w:vAlign w:val="top"/>
                </w:tcPr>
                <w:p w14:paraId="1C57FA62">
                  <w:pPr>
                    <w:spacing w:before="71" w:line="195"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136.6757</w:t>
                  </w:r>
                </w:p>
              </w:tc>
              <w:tc>
                <w:tcPr>
                  <w:tcW w:w="1959" w:type="dxa"/>
                  <w:vAlign w:val="top"/>
                </w:tcPr>
                <w:p w14:paraId="1FAF4917">
                  <w:pPr>
                    <w:spacing w:before="71"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3.4547</w:t>
                  </w:r>
                </w:p>
              </w:tc>
            </w:tr>
          </w:tbl>
          <w:p w14:paraId="0859C0BD">
            <w:pPr>
              <w:pStyle w:val="6"/>
              <w:spacing w:before="39" w:line="356" w:lineRule="auto"/>
              <w:ind w:left="106" w:right="40" w:firstLine="484"/>
              <w:jc w:val="both"/>
            </w:pPr>
            <w:r>
              <w:t>受工程建设影响的天然植物主要是暖温性石灰岩灌丛中常见的一些灌木和草</w:t>
            </w:r>
            <w:r>
              <w:rPr>
                <w:spacing w:val="18"/>
              </w:rPr>
              <w:t xml:space="preserve"> </w:t>
            </w:r>
            <w:r>
              <w:rPr>
                <w:spacing w:val="-4"/>
              </w:rPr>
              <w:t>本植物，主要有云南松、旱茅、蕨等，上述植物均为寻</w:t>
            </w:r>
            <w:r>
              <w:rPr>
                <w:spacing w:val="-5"/>
              </w:rPr>
              <w:t>甸县当地的常见植被类型，</w:t>
            </w:r>
            <w:r>
              <w:t xml:space="preserve"> </w:t>
            </w:r>
            <w:r>
              <w:rPr>
                <w:spacing w:val="1"/>
              </w:rPr>
              <w:t>并且较大程度受到区域人为活动影响，也呈现</w:t>
            </w:r>
            <w:r>
              <w:t xml:space="preserve">明显的次生化。该植被类型在植物 </w:t>
            </w:r>
            <w:r>
              <w:rPr>
                <w:spacing w:val="1"/>
              </w:rPr>
              <w:t>物种多样性等方面较森林植被低，且受季节变</w:t>
            </w:r>
            <w:r>
              <w:t xml:space="preserve">化影响较大，工程建设对该植被类 </w:t>
            </w:r>
            <w:r>
              <w:rPr>
                <w:spacing w:val="1"/>
              </w:rPr>
              <w:t>型的占用不会对当地植被总体造成很大影响。</w:t>
            </w:r>
            <w:r>
              <w:t xml:space="preserve">工程施工期间人员的活动势必对植 </w:t>
            </w:r>
            <w:r>
              <w:rPr>
                <w:spacing w:val="1"/>
              </w:rPr>
              <w:t>被和植物造成了一定的影响，但是项目区分布</w:t>
            </w:r>
            <w:r>
              <w:t xml:space="preserve">的植物群落和植物种类在寻甸县的 </w:t>
            </w:r>
            <w:r>
              <w:rPr>
                <w:spacing w:val="1"/>
              </w:rPr>
              <w:t>其他区域以及云南省的许多区域都可以发现，</w:t>
            </w:r>
            <w:r>
              <w:t xml:space="preserve">因此这种影响不会导致植物群落和 </w:t>
            </w:r>
            <w:r>
              <w:rPr>
                <w:spacing w:val="1"/>
              </w:rPr>
              <w:t>植被的消失；而且建设单位将通过人工措施恢</w:t>
            </w:r>
            <w:r>
              <w:t xml:space="preserve">复受到影响的植被，在及时采取恢 </w:t>
            </w:r>
            <w:r>
              <w:rPr>
                <w:spacing w:val="-1"/>
              </w:rPr>
              <w:t>复措施后，项目施工对植被的影响是可以接受的。</w:t>
            </w:r>
          </w:p>
          <w:p w14:paraId="4EA5540B">
            <w:pPr>
              <w:pStyle w:val="6"/>
              <w:spacing w:before="34" w:line="350" w:lineRule="auto"/>
              <w:ind w:left="107" w:right="21" w:firstLine="480"/>
              <w:jc w:val="both"/>
            </w:pPr>
            <w:r>
              <w:rPr>
                <w:spacing w:val="1"/>
              </w:rPr>
              <w:t>此外，项目区将会架起大量的太阳能光伏组</w:t>
            </w:r>
            <w:r>
              <w:t xml:space="preserve">件，这些组件遮光影响大面积的 </w:t>
            </w:r>
            <w:r>
              <w:rPr>
                <w:spacing w:val="1"/>
              </w:rPr>
              <w:t>区域。受太阳能光伏组件遮挡，喜阳的禾本</w:t>
            </w:r>
            <w:r>
              <w:t xml:space="preserve">科植物将受到较大的不利影响，耐阴 </w:t>
            </w:r>
            <w:r>
              <w:rPr>
                <w:spacing w:val="-4"/>
              </w:rPr>
              <w:t>植物受影响不明显，喜阴植物由于适宜生境增加，个体数量将有一定程度的增多。</w:t>
            </w:r>
          </w:p>
        </w:tc>
      </w:tr>
    </w:tbl>
    <w:p w14:paraId="2D5C882C">
      <w:pPr>
        <w:rPr>
          <w:rFonts w:ascii="Arial"/>
          <w:sz w:val="21"/>
        </w:rPr>
      </w:pPr>
    </w:p>
    <w:p w14:paraId="7E197779">
      <w:pPr>
        <w:rPr>
          <w:rFonts w:ascii="Arial" w:hAnsi="Arial" w:eastAsia="Arial" w:cs="Arial"/>
          <w:sz w:val="21"/>
          <w:szCs w:val="21"/>
        </w:rPr>
        <w:sectPr>
          <w:footerReference r:id="rId109" w:type="default"/>
          <w:pgSz w:w="11906" w:h="16839"/>
          <w:pgMar w:top="1431" w:right="1454" w:bottom="1278" w:left="1454" w:header="0" w:footer="1116" w:gutter="0"/>
          <w:cols w:space="720" w:num="1"/>
        </w:sectPr>
      </w:pPr>
    </w:p>
    <w:p w14:paraId="2A7C4C4B">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25BE6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6" w:hRule="atLeast"/>
        </w:trPr>
        <w:tc>
          <w:tcPr>
            <w:tcW w:w="339" w:type="dxa"/>
            <w:tcBorders>
              <w:right w:val="single" w:color="000000" w:sz="2" w:space="0"/>
            </w:tcBorders>
            <w:vAlign w:val="top"/>
          </w:tcPr>
          <w:p w14:paraId="2517577A">
            <w:pPr>
              <w:rPr>
                <w:rFonts w:ascii="Arial"/>
                <w:sz w:val="21"/>
              </w:rPr>
            </w:pPr>
          </w:p>
        </w:tc>
        <w:tc>
          <w:tcPr>
            <w:tcW w:w="8643" w:type="dxa"/>
            <w:tcBorders>
              <w:left w:val="single" w:color="000000" w:sz="2" w:space="0"/>
            </w:tcBorders>
            <w:vAlign w:val="top"/>
          </w:tcPr>
          <w:p w14:paraId="1F98A3EE">
            <w:pPr>
              <w:pStyle w:val="6"/>
              <w:spacing w:before="40" w:line="352" w:lineRule="auto"/>
              <w:ind w:left="107" w:right="104" w:firstLine="479"/>
            </w:pPr>
            <w:r>
              <w:rPr>
                <w:spacing w:val="1"/>
              </w:rPr>
              <w:t>根据现场调查，评价区域没有国家和云南省重</w:t>
            </w:r>
            <w:r>
              <w:t xml:space="preserve">点保护野生植物种类分布，也 </w:t>
            </w:r>
            <w:r>
              <w:rPr>
                <w:spacing w:val="1"/>
              </w:rPr>
              <w:t>没有调查到地方狭域特有植物种类分布。工</w:t>
            </w:r>
            <w:r>
              <w:t xml:space="preserve">程建设以临时占地为主，且以次生草 </w:t>
            </w:r>
            <w:r>
              <w:rPr>
                <w:spacing w:val="1"/>
              </w:rPr>
              <w:t>丛植被为主，造成的植物资源影响有限，不</w:t>
            </w:r>
            <w:r>
              <w:t xml:space="preserve">会造成任何植物种类项目区域栖息地 </w:t>
            </w:r>
            <w:r>
              <w:rPr>
                <w:spacing w:val="-1"/>
              </w:rPr>
              <w:t>的丧失，不造成任何植物种类在评价区的消失。</w:t>
            </w:r>
          </w:p>
          <w:p w14:paraId="7C383E96">
            <w:pPr>
              <w:pStyle w:val="6"/>
              <w:spacing w:before="38" w:line="352" w:lineRule="auto"/>
              <w:ind w:left="106" w:right="104" w:firstLine="485"/>
            </w:pPr>
            <w:r>
              <w:t>另外，因工程建设施工和运营，项目周边人为活动将加剧，特别是施工期施</w:t>
            </w:r>
            <w:r>
              <w:rPr>
                <w:spacing w:val="14"/>
              </w:rPr>
              <w:t xml:space="preserve"> </w:t>
            </w:r>
            <w:r>
              <w:rPr>
                <w:spacing w:val="1"/>
              </w:rPr>
              <w:t>工人员的活动可能导致项目周边的林草火灾的</w:t>
            </w:r>
            <w:r>
              <w:t xml:space="preserve">发生，一旦发生，将给周边自然生 </w:t>
            </w:r>
            <w:r>
              <w:rPr>
                <w:spacing w:val="1"/>
              </w:rPr>
              <w:t>态系统带来严重的破坏性影响。需采取严格的</w:t>
            </w:r>
            <w:r>
              <w:t xml:space="preserve">施工管理措施，严禁野外用火，防 </w:t>
            </w:r>
            <w:r>
              <w:rPr>
                <w:spacing w:val="-1"/>
              </w:rPr>
              <w:t>范因工程建设带来的山林火灾，总体上其风险是可控的。</w:t>
            </w:r>
          </w:p>
          <w:p w14:paraId="1A7099CB">
            <w:pPr>
              <w:pStyle w:val="6"/>
              <w:spacing w:before="35" w:line="352" w:lineRule="auto"/>
              <w:ind w:left="106" w:right="104" w:firstLine="482"/>
            </w:pPr>
            <w:r>
              <w:t>综上，项目施工占地使部分植物遭到了破坏，导致了这些植物种群数量的减</w:t>
            </w:r>
            <w:r>
              <w:rPr>
                <w:spacing w:val="17"/>
              </w:rPr>
              <w:t xml:space="preserve"> </w:t>
            </w:r>
            <w:r>
              <w:rPr>
                <w:spacing w:val="1"/>
              </w:rPr>
              <w:t>少和分布生境的减小，但这些物种在寻甸县境</w:t>
            </w:r>
            <w:r>
              <w:t xml:space="preserve">内广为分布，本工程不会造成任何 </w:t>
            </w:r>
            <w:r>
              <w:rPr>
                <w:spacing w:val="1"/>
              </w:rPr>
              <w:t>物种的灭绝，所产生的影响是有限的、局部的</w:t>
            </w:r>
            <w:r>
              <w:t xml:space="preserve">。工程建设可能造成的山林火灾风 </w:t>
            </w:r>
            <w:r>
              <w:rPr>
                <w:spacing w:val="-1"/>
              </w:rPr>
              <w:t>险，在采取措施后其风险是可控的。</w:t>
            </w:r>
          </w:p>
          <w:p w14:paraId="1ABA9F63">
            <w:pPr>
              <w:pStyle w:val="6"/>
              <w:spacing w:before="37" w:line="219" w:lineRule="auto"/>
              <w:ind w:left="587"/>
            </w:pPr>
            <w:r>
              <w:rPr>
                <w:rFonts w:ascii="Times New Roman" w:hAnsi="Times New Roman" w:eastAsia="Times New Roman" w:cs="Times New Roman"/>
                <w:spacing w:val="-1"/>
              </w:rPr>
              <w:t>3</w:t>
            </w:r>
            <w:r>
              <w:rPr>
                <w:spacing w:val="-1"/>
              </w:rPr>
              <w:t>）对公益林的影响分析</w:t>
            </w:r>
          </w:p>
          <w:p w14:paraId="2D24A53E">
            <w:pPr>
              <w:pStyle w:val="6"/>
              <w:spacing w:before="179" w:line="353" w:lineRule="auto"/>
              <w:ind w:left="109" w:right="102" w:firstLine="477"/>
            </w:pPr>
            <w:r>
              <w:rPr>
                <w:spacing w:val="1"/>
              </w:rPr>
              <w:t>根据林业部门的查询意见和设计单位提供资料</w:t>
            </w:r>
            <w:r>
              <w:t xml:space="preserve">，工程不涉及占用国家级一级 </w:t>
            </w:r>
            <w:r>
              <w:rPr>
                <w:spacing w:val="-3"/>
              </w:rPr>
              <w:t>公益林和国家二级公益林中的国有林地，永久占用国家二级公益林</w:t>
            </w:r>
            <w:r>
              <w:rPr>
                <w:spacing w:val="-52"/>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4"/>
              </w:rPr>
              <w:t>.0205hm</w:t>
            </w:r>
            <w:r>
              <w:rPr>
                <w:rFonts w:ascii="Times New Roman" w:hAnsi="Times New Roman" w:eastAsia="Times New Roman" w:cs="Times New Roman"/>
                <w:spacing w:val="-4"/>
                <w:position w:val="8"/>
                <w:sz w:val="15"/>
                <w:szCs w:val="15"/>
              </w:rPr>
              <w:t>2</w:t>
            </w:r>
            <w:r>
              <w:rPr>
                <w:spacing w:val="-4"/>
              </w:rPr>
              <w:t>，永</w:t>
            </w:r>
            <w:r>
              <w:t xml:space="preserve"> </w:t>
            </w:r>
            <w:r>
              <w:rPr>
                <w:spacing w:val="-2"/>
              </w:rPr>
              <w:t>久占用省级公益林</w:t>
            </w:r>
            <w:r>
              <w:rPr>
                <w:spacing w:val="-52"/>
              </w:rPr>
              <w:t xml:space="preserve"> </w:t>
            </w:r>
            <w:r>
              <w:rPr>
                <w:rFonts w:ascii="Times New Roman" w:hAnsi="Times New Roman" w:eastAsia="Times New Roman" w:cs="Times New Roman"/>
                <w:spacing w:val="-2"/>
              </w:rPr>
              <w:t>0.0214hm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9"/>
                <w:position w:val="8"/>
                <w:sz w:val="15"/>
                <w:szCs w:val="15"/>
              </w:rPr>
              <w:t xml:space="preserve"> </w:t>
            </w:r>
            <w:r>
              <w:rPr>
                <w:spacing w:val="-2"/>
              </w:rPr>
              <w:t>，永久占用其他公益林</w:t>
            </w:r>
            <w:r>
              <w:rPr>
                <w:spacing w:val="-52"/>
              </w:rPr>
              <w:t xml:space="preserve"> </w:t>
            </w:r>
            <w:r>
              <w:rPr>
                <w:rFonts w:ascii="Times New Roman" w:hAnsi="Times New Roman" w:eastAsia="Times New Roman" w:cs="Times New Roman"/>
                <w:spacing w:val="-2"/>
              </w:rPr>
              <w:t>0.0127hm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9"/>
                <w:position w:val="8"/>
                <w:sz w:val="15"/>
                <w:szCs w:val="15"/>
              </w:rPr>
              <w:t xml:space="preserve"> </w:t>
            </w:r>
            <w:r>
              <w:rPr>
                <w:spacing w:val="-3"/>
              </w:rPr>
              <w:t>，工程占地将会对</w:t>
            </w:r>
            <w:r>
              <w:t xml:space="preserve"> </w:t>
            </w:r>
            <w:r>
              <w:rPr>
                <w:spacing w:val="-1"/>
              </w:rPr>
              <w:t>国家二级公益林、省级公益林和其他公益林造成影响。</w:t>
            </w:r>
          </w:p>
          <w:p w14:paraId="4F2D5658">
            <w:pPr>
              <w:pStyle w:val="6"/>
              <w:spacing w:before="31" w:line="356" w:lineRule="auto"/>
              <w:ind w:left="106" w:right="40" w:firstLine="482"/>
            </w:pPr>
            <w:r>
              <w:t>从林业部门的调查结果可知，本项目评价区分布的公益林较多，且分布较为</w:t>
            </w:r>
            <w:r>
              <w:rPr>
                <w:spacing w:val="17"/>
              </w:rPr>
              <w:t xml:space="preserve"> </w:t>
            </w:r>
            <w:r>
              <w:rPr>
                <w:spacing w:val="1"/>
              </w:rPr>
              <w:t>集中，项目建设将不可避免的占用光伏电站所</w:t>
            </w:r>
            <w:r>
              <w:t xml:space="preserve">在区域分布的国家二级公益林、省 </w:t>
            </w:r>
            <w:r>
              <w:rPr>
                <w:spacing w:val="1"/>
              </w:rPr>
              <w:t>级公益林、其他公益林。根据《化桃箐光伏发</w:t>
            </w:r>
            <w:r>
              <w:t xml:space="preserve">电项目使用林地可行性报告》，项 </w:t>
            </w:r>
            <w:r>
              <w:rPr>
                <w:spacing w:val="1"/>
              </w:rPr>
              <w:t>目使用林地类型认定为乔木林地和其他林地，</w:t>
            </w:r>
            <w:r>
              <w:t xml:space="preserve">拟建项目范围内未发现国家和地方 </w:t>
            </w:r>
            <w:r>
              <w:rPr>
                <w:spacing w:val="1"/>
              </w:rPr>
              <w:t>重点保护的野生动植物，其它动植物的主要活</w:t>
            </w:r>
            <w:r>
              <w:t xml:space="preserve">动生境和生态环境受工程建设影响 </w:t>
            </w:r>
            <w:r>
              <w:rPr>
                <w:spacing w:val="-7"/>
              </w:rPr>
              <w:t>甚小；项目会降低项目区及周边区域的森林覆盖率，做好林地“</w:t>
            </w:r>
            <w:r>
              <w:rPr>
                <w:spacing w:val="-56"/>
              </w:rPr>
              <w:t xml:space="preserve"> </w:t>
            </w:r>
            <w:r>
              <w:rPr>
                <w:spacing w:val="-7"/>
              </w:rPr>
              <w:t>占补平衡</w:t>
            </w:r>
            <w:r>
              <w:rPr>
                <w:spacing w:val="-88"/>
              </w:rPr>
              <w:t xml:space="preserve"> </w:t>
            </w:r>
            <w:r>
              <w:rPr>
                <w:spacing w:val="-7"/>
              </w:rPr>
              <w:t>”工作，</w:t>
            </w:r>
            <w:r>
              <w:t xml:space="preserve"> </w:t>
            </w:r>
            <w:r>
              <w:rPr>
                <w:spacing w:val="1"/>
              </w:rPr>
              <w:t>可以解决林地总量减少的问题，因此虽有部分</w:t>
            </w:r>
            <w:r>
              <w:t>林地被改变用途，其数量上会有所 减少，但不会对项目区内的动物物种、种群</w:t>
            </w:r>
            <w:r>
              <w:rPr>
                <w:spacing w:val="-1"/>
              </w:rPr>
              <w:t>数量及其生境产生影响。</w:t>
            </w:r>
          </w:p>
          <w:p w14:paraId="169D1DF4">
            <w:pPr>
              <w:pStyle w:val="6"/>
              <w:spacing w:before="37" w:line="352" w:lineRule="auto"/>
              <w:ind w:left="108" w:right="104" w:firstLine="496"/>
            </w:pPr>
            <w:r>
              <w:t>因公益林的主管部门为林业部门，光伏电站占用部分国家二级公益林和省级</w:t>
            </w:r>
            <w:r>
              <w:rPr>
                <w:spacing w:val="2"/>
              </w:rPr>
              <w:t xml:space="preserve"> </w:t>
            </w:r>
            <w:r>
              <w:t>公益林和其他公益林，建设单位正在按照相关的法律法规的要求进行报审，严格</w:t>
            </w:r>
            <w:r>
              <w:rPr>
                <w:spacing w:val="18"/>
              </w:rPr>
              <w:t xml:space="preserve"> </w:t>
            </w:r>
            <w:r>
              <w:t>按照《国家级公益林管理办法》、《云南省地方公益林管理办法》、《森林法》</w:t>
            </w:r>
            <w:r>
              <w:rPr>
                <w:spacing w:val="9"/>
              </w:rPr>
              <w:t xml:space="preserve"> </w:t>
            </w:r>
            <w:r>
              <w:t>等相关法律、法规执行；严格按照属地林草局出具的意见中相关要求执行；项目</w:t>
            </w:r>
          </w:p>
        </w:tc>
      </w:tr>
    </w:tbl>
    <w:p w14:paraId="51D45AFE">
      <w:pPr>
        <w:rPr>
          <w:rFonts w:ascii="Arial"/>
          <w:sz w:val="21"/>
        </w:rPr>
      </w:pPr>
    </w:p>
    <w:p w14:paraId="698F0093">
      <w:pPr>
        <w:rPr>
          <w:rFonts w:ascii="Arial" w:hAnsi="Arial" w:eastAsia="Arial" w:cs="Arial"/>
          <w:sz w:val="21"/>
          <w:szCs w:val="21"/>
        </w:rPr>
        <w:sectPr>
          <w:footerReference r:id="rId110" w:type="default"/>
          <w:pgSz w:w="11906" w:h="16839"/>
          <w:pgMar w:top="1431" w:right="1454" w:bottom="1278" w:left="1454" w:header="0" w:footer="1116" w:gutter="0"/>
          <w:cols w:space="720" w:num="1"/>
        </w:sectPr>
      </w:pPr>
    </w:p>
    <w:p w14:paraId="39841667">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76051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6" w:hRule="atLeast"/>
        </w:trPr>
        <w:tc>
          <w:tcPr>
            <w:tcW w:w="339" w:type="dxa"/>
            <w:tcBorders>
              <w:right w:val="single" w:color="000000" w:sz="2" w:space="0"/>
            </w:tcBorders>
            <w:vAlign w:val="top"/>
          </w:tcPr>
          <w:p w14:paraId="5FC7A941">
            <w:pPr>
              <w:rPr>
                <w:rFonts w:ascii="Arial"/>
                <w:sz w:val="21"/>
              </w:rPr>
            </w:pPr>
          </w:p>
        </w:tc>
        <w:tc>
          <w:tcPr>
            <w:tcW w:w="8643" w:type="dxa"/>
            <w:tcBorders>
              <w:left w:val="single" w:color="000000" w:sz="2" w:space="0"/>
            </w:tcBorders>
            <w:vAlign w:val="top"/>
          </w:tcPr>
          <w:p w14:paraId="276622AE">
            <w:pPr>
              <w:pStyle w:val="6"/>
              <w:spacing w:before="42" w:line="344" w:lineRule="auto"/>
              <w:ind w:left="105" w:right="21"/>
            </w:pPr>
            <w:r>
              <w:rPr>
                <w:spacing w:val="-4"/>
              </w:rPr>
              <w:t>所涉及和占用的林地必须依法办理用地审核审批、林木采伐审批手续后方可实施。</w:t>
            </w:r>
            <w:r>
              <w:rPr>
                <w:spacing w:val="7"/>
              </w:rPr>
              <w:t xml:space="preserve"> </w:t>
            </w:r>
            <w:r>
              <w:rPr>
                <w:spacing w:val="-1"/>
              </w:rPr>
              <w:t>截止本评价编制时，未发现未批先占违法使用林地情况。</w:t>
            </w:r>
          </w:p>
          <w:p w14:paraId="21D982BC">
            <w:pPr>
              <w:pStyle w:val="6"/>
              <w:spacing w:before="36" w:line="220" w:lineRule="auto"/>
              <w:ind w:left="581"/>
            </w:pPr>
            <w:r>
              <w:rPr>
                <w:rFonts w:ascii="Times New Roman" w:hAnsi="Times New Roman" w:eastAsia="Times New Roman" w:cs="Times New Roman"/>
                <w:spacing w:val="-1"/>
              </w:rPr>
              <w:t>4</w:t>
            </w:r>
            <w:r>
              <w:rPr>
                <w:spacing w:val="-1"/>
              </w:rPr>
              <w:t>）对动物的影响分析</w:t>
            </w:r>
          </w:p>
          <w:p w14:paraId="2BFBB8B3">
            <w:pPr>
              <w:pStyle w:val="6"/>
              <w:spacing w:before="181" w:line="347" w:lineRule="auto"/>
              <w:ind w:left="113" w:right="102" w:firstLine="421"/>
            </w:pPr>
            <w:r>
              <w:rPr>
                <w:spacing w:val="2"/>
              </w:rPr>
              <w:t>本项目建设对野生动物的影响主要是项目施工期带来的影响，包括项目占地</w:t>
            </w:r>
            <w:r>
              <w:rPr>
                <w:spacing w:val="8"/>
              </w:rPr>
              <w:t xml:space="preserve"> </w:t>
            </w:r>
            <w:r>
              <w:rPr>
                <w:spacing w:val="-1"/>
              </w:rPr>
              <w:t>带来的影响和施工活动带来的影响。</w:t>
            </w:r>
          </w:p>
          <w:p w14:paraId="7B5E4CF6">
            <w:pPr>
              <w:pStyle w:val="6"/>
              <w:spacing w:before="34" w:line="356" w:lineRule="auto"/>
              <w:ind w:left="105" w:right="21" w:firstLine="480"/>
            </w:pPr>
            <w:r>
              <w:rPr>
                <w:spacing w:val="1"/>
              </w:rPr>
              <w:t>在施工期，项目占地、临时道路和施工生产办公区等占</w:t>
            </w:r>
            <w:r>
              <w:t xml:space="preserve">用原有陆栖脊椎野生 </w:t>
            </w:r>
            <w:r>
              <w:rPr>
                <w:spacing w:val="-4"/>
              </w:rPr>
              <w:t>动物的栖息生境，使其栖息和活动场所缩小，如小型穴居哺乳类和爬行类的洞穴、</w:t>
            </w:r>
            <w:r>
              <w:rPr>
                <w:spacing w:val="8"/>
              </w:rPr>
              <w:t xml:space="preserve"> </w:t>
            </w:r>
            <w:r>
              <w:rPr>
                <w:spacing w:val="1"/>
              </w:rPr>
              <w:t>鸟类巢区的生境将遭到破坏，少数动物的生活和</w:t>
            </w:r>
            <w:r>
              <w:t xml:space="preserve">繁殖活动将受到一定影响。结果 </w:t>
            </w:r>
            <w:r>
              <w:rPr>
                <w:spacing w:val="1"/>
              </w:rPr>
              <w:t>迫使原栖息在该区域的动物迁往其他适宜的生境</w:t>
            </w:r>
            <w:r>
              <w:t xml:space="preserve">，动物种群数量在一段时间内将 </w:t>
            </w:r>
            <w:r>
              <w:rPr>
                <w:spacing w:val="1"/>
              </w:rPr>
              <w:t>会有一定波动，但这一类型的影响不会导致当地物种的</w:t>
            </w:r>
            <w:r>
              <w:t xml:space="preserve">灭绝和消失。本项目占用 </w:t>
            </w:r>
            <w:r>
              <w:rPr>
                <w:spacing w:val="1"/>
              </w:rPr>
              <w:t>和破坏的植被类型较为简单，在这些生境中生活</w:t>
            </w:r>
            <w:r>
              <w:t xml:space="preserve">的野生动物的种类和数量都比较 </w:t>
            </w:r>
            <w:r>
              <w:rPr>
                <w:spacing w:val="1"/>
              </w:rPr>
              <w:t>贫乏，现场调查时未发现当地分布的特有种类和保护种类，物种多样性不丰富，</w:t>
            </w:r>
            <w:r>
              <w:rPr>
                <w:spacing w:val="15"/>
              </w:rPr>
              <w:t xml:space="preserve"> </w:t>
            </w:r>
            <w:r>
              <w:rPr>
                <w:spacing w:val="1"/>
              </w:rPr>
              <w:t>而且区域内分布的这些动物的活动性较强，均为</w:t>
            </w:r>
            <w:r>
              <w:t xml:space="preserve">区域广泛分布物种，因此，本项 </w:t>
            </w:r>
            <w:r>
              <w:rPr>
                <w:spacing w:val="-1"/>
              </w:rPr>
              <w:t>目建设对区域野生动物的影响较小。</w:t>
            </w:r>
          </w:p>
          <w:p w14:paraId="03F0BFBD">
            <w:pPr>
              <w:pStyle w:val="6"/>
              <w:spacing w:before="36" w:line="356" w:lineRule="auto"/>
              <w:ind w:left="104" w:right="21" w:firstLine="485"/>
            </w:pPr>
            <w:r>
              <w:t>项目实施对陆生野生脊椎动物的影响在以下三方面：①施工对动物生境的干</w:t>
            </w:r>
            <w:r>
              <w:rPr>
                <w:spacing w:val="16"/>
              </w:rPr>
              <w:t xml:space="preserve"> </w:t>
            </w:r>
            <w:r>
              <w:rPr>
                <w:spacing w:val="1"/>
              </w:rPr>
              <w:t>扰和破坏，如施工砍伐树木对动物栖息地的破坏等；②施</w:t>
            </w:r>
            <w:r>
              <w:t xml:space="preserve">工人员的人为干扰；③ </w:t>
            </w:r>
            <w:r>
              <w:rPr>
                <w:spacing w:val="1"/>
              </w:rPr>
              <w:t>施工噪声对动物生境的破坏以及对动物的惊吓、驱</w:t>
            </w:r>
            <w:r>
              <w:t xml:space="preserve">赶等。影响的结果将使得大部 </w:t>
            </w:r>
            <w:r>
              <w:rPr>
                <w:spacing w:val="1"/>
              </w:rPr>
              <w:t>分动物迁移他处，远离施工影响范围。在评价区有较多的</w:t>
            </w:r>
            <w:r>
              <w:t xml:space="preserve">鸟类，偶尔会进入项目 </w:t>
            </w:r>
            <w:r>
              <w:rPr>
                <w:spacing w:val="1"/>
              </w:rPr>
              <w:t>区，鸟类具有较强的趋避能力，会飞离项目区，重</w:t>
            </w:r>
            <w:r>
              <w:t xml:space="preserve">新寻找周边新的适宜生境和栖 </w:t>
            </w:r>
            <w:r>
              <w:rPr>
                <w:spacing w:val="-4"/>
              </w:rPr>
              <w:t>息地，因此，在施工期上述鸟类受到施工干扰，将减少到项目区附近觅食、活动。</w:t>
            </w:r>
            <w:r>
              <w:rPr>
                <w:spacing w:val="9"/>
              </w:rPr>
              <w:t xml:space="preserve"> </w:t>
            </w:r>
            <w:r>
              <w:rPr>
                <w:spacing w:val="1"/>
              </w:rPr>
              <w:t>但以上鸟类运动能力较强，生境范围在寻甸县广泛分布，</w:t>
            </w:r>
            <w:r>
              <w:t xml:space="preserve">项目施工不会造成当地 </w:t>
            </w:r>
            <w:r>
              <w:rPr>
                <w:spacing w:val="1"/>
              </w:rPr>
              <w:t>鸟类物种灭绝或数量锐减，也不会造成鸟类多样性</w:t>
            </w:r>
            <w:r>
              <w:t xml:space="preserve">的明显降低，因此，只要加强 </w:t>
            </w:r>
            <w:r>
              <w:rPr>
                <w:spacing w:val="-1"/>
              </w:rPr>
              <w:t>施工管理，项目建设对鸟类的影响小。</w:t>
            </w:r>
          </w:p>
          <w:p w14:paraId="7F15A106">
            <w:pPr>
              <w:pStyle w:val="6"/>
              <w:spacing w:before="36" w:line="219" w:lineRule="auto"/>
              <w:ind w:left="588"/>
            </w:pPr>
            <w:r>
              <w:rPr>
                <w:rFonts w:ascii="Times New Roman" w:hAnsi="Times New Roman" w:eastAsia="Times New Roman" w:cs="Times New Roman"/>
                <w:spacing w:val="-2"/>
              </w:rPr>
              <w:t>5</w:t>
            </w:r>
            <w:r>
              <w:rPr>
                <w:spacing w:val="-2"/>
              </w:rPr>
              <w:t>）水土流失影响分析</w:t>
            </w:r>
          </w:p>
          <w:p w14:paraId="04E28DD4">
            <w:pPr>
              <w:pStyle w:val="6"/>
              <w:spacing w:before="180" w:line="353" w:lineRule="auto"/>
              <w:ind w:left="105" w:right="40" w:firstLine="482"/>
            </w:pPr>
            <w:r>
              <w:rPr>
                <w:spacing w:val="-5"/>
              </w:rPr>
              <w:t>光伏发电站项目建设过程中，项目征地范围内的地表将受到不同程度的破坏，</w:t>
            </w:r>
            <w:r>
              <w:rPr>
                <w:spacing w:val="12"/>
              </w:rPr>
              <w:t xml:space="preserve"> </w:t>
            </w:r>
            <w:r>
              <w:rPr>
                <w:spacing w:val="1"/>
              </w:rPr>
              <w:t>局部地貌将发生较大的改变，如不采取水土保持措施，</w:t>
            </w:r>
            <w:r>
              <w:t xml:space="preserve">会造成开挖形成裸露地面 </w:t>
            </w:r>
            <w:r>
              <w:rPr>
                <w:spacing w:val="1"/>
              </w:rPr>
              <w:t>产生水土流失，很容易对区域土地生产力、区域生态环</w:t>
            </w:r>
            <w:r>
              <w:t xml:space="preserve">境、工程本身等造成不同 </w:t>
            </w:r>
            <w:r>
              <w:rPr>
                <w:spacing w:val="-2"/>
              </w:rPr>
              <w:t>程度的危害。</w:t>
            </w:r>
          </w:p>
          <w:p w14:paraId="0099CBBF">
            <w:pPr>
              <w:pStyle w:val="6"/>
              <w:spacing w:before="31" w:line="219" w:lineRule="auto"/>
              <w:ind w:left="587"/>
            </w:pPr>
            <w:r>
              <w:rPr>
                <w:spacing w:val="1"/>
              </w:rPr>
              <w:t>本项目太阳能电池阵列虽占地面积大，但光</w:t>
            </w:r>
            <w:r>
              <w:t>伏场区仅支架基础等施工时对地</w:t>
            </w:r>
          </w:p>
        </w:tc>
      </w:tr>
    </w:tbl>
    <w:p w14:paraId="41FCCF5B">
      <w:pPr>
        <w:rPr>
          <w:rFonts w:ascii="Arial"/>
          <w:sz w:val="21"/>
        </w:rPr>
      </w:pPr>
    </w:p>
    <w:p w14:paraId="5F65916F">
      <w:pPr>
        <w:rPr>
          <w:rFonts w:ascii="Arial" w:hAnsi="Arial" w:eastAsia="Arial" w:cs="Arial"/>
          <w:sz w:val="21"/>
          <w:szCs w:val="21"/>
        </w:rPr>
        <w:sectPr>
          <w:footerReference r:id="rId111" w:type="default"/>
          <w:pgSz w:w="11906" w:h="16839"/>
          <w:pgMar w:top="1431" w:right="1454" w:bottom="1278" w:left="1454" w:header="0" w:footer="1116" w:gutter="0"/>
          <w:cols w:space="720" w:num="1"/>
        </w:sectPr>
      </w:pPr>
    </w:p>
    <w:p w14:paraId="034A7B14">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3F040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6" w:hRule="atLeast"/>
        </w:trPr>
        <w:tc>
          <w:tcPr>
            <w:tcW w:w="339" w:type="dxa"/>
            <w:tcBorders>
              <w:right w:val="single" w:color="000000" w:sz="2" w:space="0"/>
            </w:tcBorders>
            <w:vAlign w:val="top"/>
          </w:tcPr>
          <w:p w14:paraId="1D24B717">
            <w:pPr>
              <w:rPr>
                <w:rFonts w:ascii="Arial"/>
                <w:sz w:val="21"/>
              </w:rPr>
            </w:pPr>
          </w:p>
        </w:tc>
        <w:tc>
          <w:tcPr>
            <w:tcW w:w="8643" w:type="dxa"/>
            <w:tcBorders>
              <w:left w:val="single" w:color="000000" w:sz="2" w:space="0"/>
            </w:tcBorders>
            <w:vAlign w:val="top"/>
          </w:tcPr>
          <w:p w14:paraId="1EF597D1">
            <w:pPr>
              <w:pStyle w:val="6"/>
              <w:spacing w:before="43" w:line="355" w:lineRule="auto"/>
              <w:ind w:left="107" w:right="40"/>
            </w:pPr>
            <w:r>
              <w:rPr>
                <w:spacing w:val="1"/>
              </w:rPr>
              <w:t>面有扰动，总扰动面积较小，太阳能电池板</w:t>
            </w:r>
            <w:r>
              <w:t xml:space="preserve">下进行生态恢复，基本不会造成水土 </w:t>
            </w:r>
            <w:r>
              <w:rPr>
                <w:spacing w:val="1"/>
              </w:rPr>
              <w:t>流失。另外，由于一些施工临时性工程，如场内道路、表土堆场、施工营场地，</w:t>
            </w:r>
            <w:r>
              <w:rPr>
                <w:spacing w:val="13"/>
              </w:rPr>
              <w:t xml:space="preserve"> </w:t>
            </w:r>
            <w:r>
              <w:rPr>
                <w:spacing w:val="1"/>
              </w:rPr>
              <w:t>若防治不当，会新增区域水土流失量，对区域造成</w:t>
            </w:r>
            <w:r>
              <w:t xml:space="preserve">水土流失影响。根据项目水保 </w:t>
            </w:r>
            <w:r>
              <w:rPr>
                <w:spacing w:val="-4"/>
              </w:rPr>
              <w:t>方案中的效益分析，本项目水土保持措施实施后，通</w:t>
            </w:r>
            <w:r>
              <w:rPr>
                <w:spacing w:val="-5"/>
              </w:rPr>
              <w:t>过各种防治措施的有效实施，</w:t>
            </w:r>
            <w:r>
              <w:t xml:space="preserve"> </w:t>
            </w:r>
            <w:r>
              <w:rPr>
                <w:spacing w:val="-2"/>
              </w:rPr>
              <w:t>使工程占地区域内水土流失治理度可达</w:t>
            </w:r>
            <w:r>
              <w:rPr>
                <w:spacing w:val="-50"/>
              </w:rPr>
              <w:t xml:space="preserve"> </w:t>
            </w:r>
            <w:r>
              <w:rPr>
                <w:rFonts w:ascii="Times New Roman" w:hAnsi="Times New Roman" w:eastAsia="Times New Roman" w:cs="Times New Roman"/>
                <w:spacing w:val="-2"/>
              </w:rPr>
              <w:t>99.53%</w:t>
            </w:r>
            <w:r>
              <w:rPr>
                <w:spacing w:val="-2"/>
              </w:rPr>
              <w:t>，</w:t>
            </w:r>
            <w:r>
              <w:rPr>
                <w:spacing w:val="-3"/>
              </w:rPr>
              <w:t>土壤流失控制比可达</w:t>
            </w:r>
            <w:r>
              <w:rPr>
                <w:spacing w:val="-32"/>
              </w:rPr>
              <w:t xml:space="preserve"> </w:t>
            </w:r>
            <w:r>
              <w:rPr>
                <w:rFonts w:ascii="Times New Roman" w:hAnsi="Times New Roman" w:eastAsia="Times New Roman" w:cs="Times New Roman"/>
                <w:spacing w:val="-3"/>
              </w:rPr>
              <w:t>1.04</w:t>
            </w:r>
            <w:r>
              <w:rPr>
                <w:spacing w:val="-3"/>
              </w:rPr>
              <w:t>，渣土</w:t>
            </w:r>
            <w:r>
              <w:t xml:space="preserve"> </w:t>
            </w:r>
            <w:r>
              <w:rPr>
                <w:spacing w:val="-2"/>
              </w:rPr>
              <w:t>防护率可达</w:t>
            </w:r>
            <w:r>
              <w:rPr>
                <w:spacing w:val="-48"/>
              </w:rPr>
              <w:t xml:space="preserve"> </w:t>
            </w:r>
            <w:r>
              <w:rPr>
                <w:rFonts w:ascii="Times New Roman" w:hAnsi="Times New Roman" w:eastAsia="Times New Roman" w:cs="Times New Roman"/>
                <w:spacing w:val="-2"/>
              </w:rPr>
              <w:t>99.55%</w:t>
            </w:r>
            <w:r>
              <w:rPr>
                <w:rFonts w:ascii="Times New Roman" w:hAnsi="Times New Roman" w:eastAsia="Times New Roman" w:cs="Times New Roman"/>
                <w:spacing w:val="-29"/>
              </w:rPr>
              <w:t xml:space="preserve"> </w:t>
            </w:r>
            <w:r>
              <w:rPr>
                <w:spacing w:val="-2"/>
              </w:rPr>
              <w:t>，表土保护率可达</w:t>
            </w:r>
            <w:r>
              <w:rPr>
                <w:spacing w:val="-51"/>
              </w:rPr>
              <w:t xml:space="preserve"> </w:t>
            </w:r>
            <w:r>
              <w:rPr>
                <w:rFonts w:ascii="Times New Roman" w:hAnsi="Times New Roman" w:eastAsia="Times New Roman" w:cs="Times New Roman"/>
                <w:spacing w:val="-2"/>
              </w:rPr>
              <w:t>99.5</w:t>
            </w:r>
            <w:r>
              <w:rPr>
                <w:rFonts w:ascii="Times New Roman" w:hAnsi="Times New Roman" w:eastAsia="Times New Roman" w:cs="Times New Roman"/>
                <w:spacing w:val="-3"/>
              </w:rPr>
              <w:t>0%</w:t>
            </w:r>
            <w:r>
              <w:rPr>
                <w:rFonts w:ascii="Times New Roman" w:hAnsi="Times New Roman" w:eastAsia="Times New Roman" w:cs="Times New Roman"/>
                <w:spacing w:val="-29"/>
              </w:rPr>
              <w:t xml:space="preserve"> </w:t>
            </w:r>
            <w:r>
              <w:rPr>
                <w:spacing w:val="-3"/>
              </w:rPr>
              <w:t>，林草植被覆盖率可达</w:t>
            </w:r>
            <w:r>
              <w:rPr>
                <w:spacing w:val="-48"/>
              </w:rPr>
              <w:t xml:space="preserve"> </w:t>
            </w:r>
            <w:r>
              <w:rPr>
                <w:rFonts w:ascii="Times New Roman" w:hAnsi="Times New Roman" w:eastAsia="Times New Roman" w:cs="Times New Roman"/>
                <w:spacing w:val="-3"/>
              </w:rPr>
              <w:t>99.76%</w:t>
            </w:r>
            <w:r>
              <w:rPr>
                <w:rFonts w:ascii="Times New Roman" w:hAnsi="Times New Roman" w:eastAsia="Times New Roman" w:cs="Times New Roman"/>
                <w:spacing w:val="-29"/>
              </w:rPr>
              <w:t xml:space="preserve"> </w:t>
            </w:r>
            <w:r>
              <w:rPr>
                <w:spacing w:val="-3"/>
              </w:rPr>
              <w:t>，林</w:t>
            </w:r>
            <w:r>
              <w:t xml:space="preserve"> </w:t>
            </w:r>
            <w:r>
              <w:rPr>
                <w:spacing w:val="-2"/>
              </w:rPr>
              <w:t>草覆盖率可达</w:t>
            </w:r>
            <w:r>
              <w:rPr>
                <w:spacing w:val="-45"/>
              </w:rPr>
              <w:t xml:space="preserve"> </w:t>
            </w:r>
            <w:r>
              <w:rPr>
                <w:rFonts w:ascii="Times New Roman" w:hAnsi="Times New Roman" w:eastAsia="Times New Roman" w:cs="Times New Roman"/>
                <w:spacing w:val="-2"/>
              </w:rPr>
              <w:t>67.41%</w:t>
            </w:r>
            <w:r>
              <w:rPr>
                <w:rFonts w:ascii="Times New Roman" w:hAnsi="Times New Roman" w:eastAsia="Times New Roman" w:cs="Times New Roman"/>
                <w:spacing w:val="-32"/>
              </w:rPr>
              <w:t xml:space="preserve"> </w:t>
            </w:r>
            <w:r>
              <w:rPr>
                <w:spacing w:val="-2"/>
              </w:rPr>
              <w:t>，本项目六项指标均达到防治要求。</w:t>
            </w:r>
          </w:p>
          <w:p w14:paraId="0396F8D8">
            <w:pPr>
              <w:pStyle w:val="6"/>
              <w:spacing w:before="32" w:line="354" w:lineRule="auto"/>
              <w:ind w:left="104" w:right="102" w:firstLine="500"/>
            </w:pPr>
            <w:r>
              <w:t>因此，在项目施工中应高度重视水土保持工作，严格按照水土保持有关要求</w:t>
            </w:r>
            <w:r>
              <w:rPr>
                <w:spacing w:val="4"/>
              </w:rPr>
              <w:t xml:space="preserve"> </w:t>
            </w:r>
            <w:r>
              <w:rPr>
                <w:spacing w:val="1"/>
              </w:rPr>
              <w:t>进行设计施工，做好土石方挖填规划，选择好表土</w:t>
            </w:r>
            <w:r>
              <w:t xml:space="preserve">堆放区，做好对表土堆场拦挡 </w:t>
            </w:r>
            <w:r>
              <w:rPr>
                <w:spacing w:val="1"/>
              </w:rPr>
              <w:t>和覆盖等水土防护措施，施地场地周围建设截排水沟，下</w:t>
            </w:r>
            <w:r>
              <w:t xml:space="preserve">游设置沉沙池，最大限 </w:t>
            </w:r>
            <w:r>
              <w:rPr>
                <w:spacing w:val="1"/>
              </w:rPr>
              <w:t>度地减少水土流失。经采取水保方案提出的工程、植物、</w:t>
            </w:r>
            <w:r>
              <w:t xml:space="preserve">临时措施后，项目建设 </w:t>
            </w:r>
            <w:r>
              <w:rPr>
                <w:spacing w:val="-1"/>
              </w:rPr>
              <w:t>产生的水土流失在可控范围内，对区域影响不大。</w:t>
            </w:r>
          </w:p>
          <w:p w14:paraId="22DAEBEE">
            <w:pPr>
              <w:pStyle w:val="6"/>
              <w:spacing w:before="36" w:line="219" w:lineRule="auto"/>
              <w:ind w:left="587"/>
            </w:pPr>
            <w:r>
              <w:rPr>
                <w:rFonts w:ascii="Times New Roman" w:hAnsi="Times New Roman" w:eastAsia="Times New Roman" w:cs="Times New Roman"/>
                <w:spacing w:val="-2"/>
              </w:rPr>
              <w:t>6</w:t>
            </w:r>
            <w:r>
              <w:rPr>
                <w:spacing w:val="-2"/>
              </w:rPr>
              <w:t>）景观影响</w:t>
            </w:r>
          </w:p>
          <w:p w14:paraId="40388B8B">
            <w:pPr>
              <w:pStyle w:val="6"/>
              <w:spacing w:before="180" w:line="351" w:lineRule="auto"/>
              <w:ind w:left="107" w:right="104" w:firstLine="482"/>
            </w:pPr>
            <w:r>
              <w:t>项目光伏电站场址区基本为草地和非林草地，景观斑块颜色、样式单一。电</w:t>
            </w:r>
            <w:r>
              <w:rPr>
                <w:spacing w:val="16"/>
              </w:rPr>
              <w:t xml:space="preserve"> </w:t>
            </w:r>
            <w:r>
              <w:rPr>
                <w:spacing w:val="1"/>
              </w:rPr>
              <w:t>站建成后，光伏发电系统构成一个独特的人</w:t>
            </w:r>
            <w:r>
              <w:t xml:space="preserve">文景观，排列整齐的太阳能板与绿色 </w:t>
            </w:r>
            <w:r>
              <w:rPr>
                <w:spacing w:val="-1"/>
              </w:rPr>
              <w:t>的山地草坡融为一体，区域视觉景观依然单一化。</w:t>
            </w:r>
          </w:p>
          <w:p w14:paraId="7D878938">
            <w:pPr>
              <w:pStyle w:val="6"/>
              <w:spacing w:before="32" w:line="352" w:lineRule="auto"/>
              <w:ind w:left="106" w:right="104" w:firstLine="483"/>
            </w:pPr>
            <w:r>
              <w:t>该项目用地范围多为山顶平缓地带；在设计光伏组件的布局时，尽量依山势</w:t>
            </w:r>
            <w:r>
              <w:rPr>
                <w:spacing w:val="16"/>
              </w:rPr>
              <w:t xml:space="preserve"> </w:t>
            </w:r>
            <w:r>
              <w:rPr>
                <w:spacing w:val="1"/>
              </w:rPr>
              <w:t>布置，加上太阳能光伏板朝向天空，安装倾角</w:t>
            </w:r>
            <w:r>
              <w:t xml:space="preserve">不会面向地面，在视觉上不面向人 </w:t>
            </w:r>
            <w:r>
              <w:rPr>
                <w:spacing w:val="1"/>
              </w:rPr>
              <w:t>眼，光伏板不会反光，以减少对景观在形态上</w:t>
            </w:r>
            <w:r>
              <w:t xml:space="preserve">的影响；且项目区域无特殊景点， </w:t>
            </w:r>
            <w:r>
              <w:rPr>
                <w:spacing w:val="-1"/>
              </w:rPr>
              <w:t>因此，光伏建设对区域景观影响较小。</w:t>
            </w:r>
          </w:p>
          <w:p w14:paraId="75978C65">
            <w:pPr>
              <w:pStyle w:val="6"/>
              <w:spacing w:before="36" w:line="221" w:lineRule="auto"/>
              <w:ind w:left="586"/>
            </w:pPr>
            <w:r>
              <w:rPr>
                <w:rFonts w:ascii="Times New Roman" w:hAnsi="Times New Roman" w:eastAsia="Times New Roman" w:cs="Times New Roman"/>
                <w:spacing w:val="-2"/>
              </w:rPr>
              <w:t>7</w:t>
            </w:r>
            <w:r>
              <w:rPr>
                <w:spacing w:val="-2"/>
              </w:rPr>
              <w:t>）生态影响结论</w:t>
            </w:r>
          </w:p>
          <w:p w14:paraId="6499845D">
            <w:pPr>
              <w:pStyle w:val="6"/>
              <w:spacing w:before="180" w:line="355" w:lineRule="auto"/>
              <w:ind w:left="106" w:right="104" w:firstLine="482"/>
            </w:pPr>
            <w:r>
              <w:t>综合上述分析，受工程影响的植被类型、植物种类、陆栖动物物种在项目区</w:t>
            </w:r>
            <w:r>
              <w:rPr>
                <w:spacing w:val="17"/>
              </w:rPr>
              <w:t xml:space="preserve"> </w:t>
            </w:r>
            <w:r>
              <w:rPr>
                <w:spacing w:val="1"/>
              </w:rPr>
              <w:t>内外广泛分布，工程建设占地不会对植被造成</w:t>
            </w:r>
            <w:r>
              <w:t xml:space="preserve">毁灭性的破坏，也不会造成某个物 </w:t>
            </w:r>
            <w:r>
              <w:rPr>
                <w:spacing w:val="1"/>
              </w:rPr>
              <w:t>种的濒危和灭绝，更不会造成任何物种的消失</w:t>
            </w:r>
            <w:r>
              <w:t xml:space="preserve">，野生动物活动能力强对其影响较 </w:t>
            </w:r>
            <w:r>
              <w:rPr>
                <w:spacing w:val="1"/>
              </w:rPr>
              <w:t>小。其不利影响仅限于局部，不会随时间推移</w:t>
            </w:r>
            <w:r>
              <w:t xml:space="preserve">而扩大。在采取相应的生态环境保 </w:t>
            </w:r>
            <w:r>
              <w:rPr>
                <w:spacing w:val="1"/>
              </w:rPr>
              <w:t>护措施后，本项目建设对区域植物、植被、陆</w:t>
            </w:r>
            <w:r>
              <w:t xml:space="preserve">栖脊椎动物、土地利用、景观的影 </w:t>
            </w:r>
            <w:r>
              <w:rPr>
                <w:spacing w:val="-3"/>
              </w:rPr>
              <w:t>响较小。</w:t>
            </w:r>
          </w:p>
          <w:p w14:paraId="5A3BC1C7">
            <w:pPr>
              <w:pStyle w:val="6"/>
              <w:spacing w:before="33" w:line="219" w:lineRule="auto"/>
              <w:ind w:left="598"/>
            </w:pPr>
            <w:r>
              <w:rPr>
                <w:b/>
                <w:bCs/>
                <w:spacing w:val="-3"/>
              </w:rPr>
              <w:t>（</w:t>
            </w:r>
            <w:r>
              <w:rPr>
                <w:rFonts w:ascii="Times New Roman" w:hAnsi="Times New Roman" w:eastAsia="Times New Roman" w:cs="Times New Roman"/>
                <w:b/>
                <w:bCs/>
                <w:spacing w:val="-3"/>
              </w:rPr>
              <w:t>2</w:t>
            </w:r>
            <w:r>
              <w:rPr>
                <w:b/>
                <w:bCs/>
                <w:spacing w:val="-3"/>
              </w:rPr>
              <w:t>）对生态红线和永久基本农田的影响</w:t>
            </w:r>
          </w:p>
          <w:p w14:paraId="677BC988">
            <w:pPr>
              <w:pStyle w:val="6"/>
              <w:spacing w:before="181" w:line="220" w:lineRule="auto"/>
              <w:ind w:left="605"/>
            </w:pPr>
            <w:r>
              <w:rPr>
                <w:rFonts w:ascii="Times New Roman" w:hAnsi="Times New Roman" w:eastAsia="Times New Roman" w:cs="Times New Roman"/>
                <w:spacing w:val="-3"/>
              </w:rPr>
              <w:t>1</w:t>
            </w:r>
            <w:r>
              <w:rPr>
                <w:spacing w:val="-3"/>
              </w:rPr>
              <w:t>）生态保护红线位置关系</w:t>
            </w:r>
          </w:p>
        </w:tc>
      </w:tr>
    </w:tbl>
    <w:p w14:paraId="00FF7FC2">
      <w:pPr>
        <w:rPr>
          <w:rFonts w:ascii="Arial"/>
          <w:sz w:val="21"/>
        </w:rPr>
      </w:pPr>
    </w:p>
    <w:p w14:paraId="0507107D">
      <w:pPr>
        <w:rPr>
          <w:rFonts w:ascii="Arial" w:hAnsi="Arial" w:eastAsia="Arial" w:cs="Arial"/>
          <w:sz w:val="21"/>
          <w:szCs w:val="21"/>
        </w:rPr>
        <w:sectPr>
          <w:footerReference r:id="rId112" w:type="default"/>
          <w:pgSz w:w="11906" w:h="16839"/>
          <w:pgMar w:top="1431" w:right="1454" w:bottom="1278" w:left="1454" w:header="0" w:footer="1116" w:gutter="0"/>
          <w:cols w:space="720" w:num="1"/>
        </w:sectPr>
      </w:pPr>
    </w:p>
    <w:p w14:paraId="6A51E17A">
      <w:pPr>
        <w:spacing w:line="99" w:lineRule="exact"/>
      </w:pPr>
    </w:p>
    <w:tbl>
      <w:tblPr>
        <w:tblStyle w:val="5"/>
        <w:tblW w:w="89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5"/>
      </w:tblGrid>
      <w:tr w14:paraId="70C6A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6" w:hRule="atLeast"/>
        </w:trPr>
        <w:tc>
          <w:tcPr>
            <w:tcW w:w="339" w:type="dxa"/>
            <w:tcBorders>
              <w:right w:val="single" w:color="000000" w:sz="2" w:space="0"/>
            </w:tcBorders>
            <w:vAlign w:val="top"/>
          </w:tcPr>
          <w:p w14:paraId="629C2B52">
            <w:pPr>
              <w:rPr>
                <w:rFonts w:ascii="Arial"/>
                <w:sz w:val="21"/>
              </w:rPr>
            </w:pPr>
          </w:p>
        </w:tc>
        <w:tc>
          <w:tcPr>
            <w:tcW w:w="8645" w:type="dxa"/>
            <w:tcBorders>
              <w:left w:val="single" w:color="000000" w:sz="2" w:space="0"/>
            </w:tcBorders>
            <w:vAlign w:val="top"/>
          </w:tcPr>
          <w:p w14:paraId="2AF07F97">
            <w:pPr>
              <w:pStyle w:val="6"/>
              <w:spacing w:before="42" w:line="352" w:lineRule="auto"/>
              <w:ind w:left="106" w:right="104" w:firstLine="480"/>
            </w:pPr>
            <w:r>
              <w:t>根据叠图分析，项目用地不占用生态保护红线、永</w:t>
            </w:r>
            <w:r>
              <w:rPr>
                <w:spacing w:val="-1"/>
              </w:rPr>
              <w:t>久基本农田。项目部分光</w:t>
            </w:r>
            <w:r>
              <w:t xml:space="preserve"> </w:t>
            </w:r>
            <w:r>
              <w:rPr>
                <w:spacing w:val="-3"/>
              </w:rPr>
              <w:t>伏板区距离永久基本农田较近，区块</w:t>
            </w:r>
            <w:r>
              <w:rPr>
                <w:spacing w:val="-32"/>
              </w:rPr>
              <w:t xml:space="preserve"> </w:t>
            </w:r>
            <w:r>
              <w:rPr>
                <w:rFonts w:ascii="Times New Roman" w:hAnsi="Times New Roman" w:eastAsia="Times New Roman" w:cs="Times New Roman"/>
                <w:spacing w:val="-3"/>
              </w:rPr>
              <w:t>13</w:t>
            </w:r>
            <w:r>
              <w:rPr>
                <w:rFonts w:ascii="Times New Roman" w:hAnsi="Times New Roman" w:eastAsia="Times New Roman" w:cs="Times New Roman"/>
                <w:spacing w:val="18"/>
                <w:w w:val="101"/>
              </w:rPr>
              <w:t xml:space="preserve"> </w:t>
            </w:r>
            <w:r>
              <w:rPr>
                <w:spacing w:val="-3"/>
              </w:rPr>
              <w:t>东</w:t>
            </w:r>
            <w:r>
              <w:rPr>
                <w:spacing w:val="-4"/>
              </w:rPr>
              <w:t>侧、区块</w:t>
            </w:r>
            <w:r>
              <w:rPr>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14</w:t>
            </w:r>
            <w:r>
              <w:rPr>
                <w:rFonts w:ascii="Times New Roman" w:hAnsi="Times New Roman" w:eastAsia="Times New Roman" w:cs="Times New Roman"/>
                <w:spacing w:val="18"/>
              </w:rPr>
              <w:t xml:space="preserve"> </w:t>
            </w:r>
            <w:r>
              <w:rPr>
                <w:spacing w:val="-4"/>
              </w:rPr>
              <w:t>东南侧紧邻永久基本</w:t>
            </w:r>
            <w:r>
              <w:t xml:space="preserve"> </w:t>
            </w:r>
            <w:r>
              <w:rPr>
                <w:spacing w:val="-4"/>
              </w:rPr>
              <w:t>农田，区块</w:t>
            </w:r>
            <w:r>
              <w:rPr>
                <w:spacing w:val="-55"/>
              </w:rPr>
              <w:t xml:space="preserve"> </w:t>
            </w:r>
            <w:r>
              <w:rPr>
                <w:rFonts w:ascii="Times New Roman" w:hAnsi="Times New Roman" w:eastAsia="Times New Roman" w:cs="Times New Roman"/>
                <w:spacing w:val="-4"/>
              </w:rPr>
              <w:t xml:space="preserve">2 </w:t>
            </w:r>
            <w:r>
              <w:rPr>
                <w:spacing w:val="-4"/>
              </w:rPr>
              <w:t>南侧</w:t>
            </w:r>
            <w:r>
              <w:rPr>
                <w:spacing w:val="-32"/>
              </w:rPr>
              <w:t xml:space="preserve"> </w:t>
            </w:r>
            <w:r>
              <w:rPr>
                <w:rFonts w:ascii="Times New Roman" w:hAnsi="Times New Roman" w:eastAsia="Times New Roman" w:cs="Times New Roman"/>
                <w:spacing w:val="-4"/>
              </w:rPr>
              <w:t>1.2m</w:t>
            </w:r>
            <w:r>
              <w:rPr>
                <w:rFonts w:ascii="Times New Roman" w:hAnsi="Times New Roman" w:eastAsia="Times New Roman" w:cs="Times New Roman"/>
                <w:spacing w:val="15"/>
              </w:rPr>
              <w:t xml:space="preserve"> </w:t>
            </w:r>
            <w:r>
              <w:rPr>
                <w:spacing w:val="-4"/>
              </w:rPr>
              <w:t>处为生态保护红线，生态红线类型为高原湖泊及牛栏江上</w:t>
            </w:r>
            <w:r>
              <w:t xml:space="preserve"> </w:t>
            </w:r>
            <w:r>
              <w:rPr>
                <w:spacing w:val="-1"/>
              </w:rPr>
              <w:t>游水源涵养生态保护红线。</w:t>
            </w:r>
          </w:p>
          <w:p w14:paraId="29D0B1A0">
            <w:pPr>
              <w:pStyle w:val="6"/>
              <w:spacing w:before="36" w:line="219" w:lineRule="auto"/>
              <w:ind w:left="582"/>
            </w:pPr>
            <w:r>
              <w:rPr>
                <w:rFonts w:ascii="Times New Roman" w:hAnsi="Times New Roman" w:eastAsia="Times New Roman" w:cs="Times New Roman"/>
                <w:spacing w:val="-1"/>
              </w:rPr>
              <w:t>2</w:t>
            </w:r>
            <w:r>
              <w:rPr>
                <w:spacing w:val="-1"/>
              </w:rPr>
              <w:t>）生态保护红线服务功能</w:t>
            </w:r>
          </w:p>
          <w:p w14:paraId="45665F1D">
            <w:pPr>
              <w:pStyle w:val="6"/>
              <w:spacing w:before="181" w:line="356" w:lineRule="auto"/>
              <w:ind w:left="105" w:right="23" w:firstLine="482"/>
            </w:pPr>
            <w:r>
              <w:t>按照生态系统服务功能，生态保护红线分为三</w:t>
            </w:r>
            <w:r>
              <w:rPr>
                <w:spacing w:val="-1"/>
              </w:rPr>
              <w:t>大类型：生物多样性维护、水</w:t>
            </w:r>
            <w:r>
              <w:t xml:space="preserve">  </w:t>
            </w:r>
            <w:r>
              <w:rPr>
                <w:spacing w:val="-3"/>
              </w:rPr>
              <w:t>源涵养、水土保持，共有</w:t>
            </w:r>
            <w:r>
              <w:rPr>
                <w:spacing w:val="-32"/>
              </w:rPr>
              <w:t xml:space="preserve"> </w:t>
            </w:r>
            <w:r>
              <w:rPr>
                <w:rFonts w:ascii="Times New Roman" w:hAnsi="Times New Roman" w:eastAsia="Times New Roman" w:cs="Times New Roman"/>
                <w:spacing w:val="-3"/>
              </w:rPr>
              <w:t xml:space="preserve">11 </w:t>
            </w:r>
            <w:r>
              <w:rPr>
                <w:spacing w:val="-3"/>
              </w:rPr>
              <w:t>个分区，分别是：滇西</w:t>
            </w:r>
            <w:r>
              <w:rPr>
                <w:spacing w:val="-4"/>
              </w:rPr>
              <w:t>北高山峡谷生物多样性维护与</w:t>
            </w:r>
            <w:r>
              <w:t xml:space="preserve"> 水源涵养、哀牢山</w:t>
            </w:r>
            <w:r>
              <w:rPr>
                <w:rFonts w:ascii="Times New Roman" w:hAnsi="Times New Roman" w:eastAsia="Times New Roman" w:cs="Times New Roman"/>
              </w:rPr>
              <w:t>—</w:t>
            </w:r>
            <w:r>
              <w:t>无量山山地生物多样性维护与水土保</w:t>
            </w:r>
            <w:r>
              <w:rPr>
                <w:spacing w:val="-1"/>
              </w:rPr>
              <w:t>持、南部边境热带森林</w:t>
            </w:r>
            <w:r>
              <w:t xml:space="preserve">  生物多样性维护、大盈江</w:t>
            </w:r>
            <w:r>
              <w:rPr>
                <w:rFonts w:ascii="Times New Roman" w:hAnsi="Times New Roman" w:eastAsia="Times New Roman" w:cs="Times New Roman"/>
              </w:rPr>
              <w:t>—</w:t>
            </w:r>
            <w:r>
              <w:t>瑞丽江水源涵养、高原湖泊及牛栏江上游水源涵养、</w:t>
            </w:r>
            <w:r>
              <w:rPr>
                <w:spacing w:val="16"/>
              </w:rPr>
              <w:t xml:space="preserve"> </w:t>
            </w:r>
            <w:r>
              <w:t>珠江上游及滇东南喀斯特地带水土保持、怒江下游水土保</w:t>
            </w:r>
            <w:r>
              <w:rPr>
                <w:spacing w:val="-1"/>
              </w:rPr>
              <w:t>持、澜沧江中山峡谷水</w:t>
            </w:r>
            <w:r>
              <w:t xml:space="preserve">  </w:t>
            </w:r>
            <w:r>
              <w:rPr>
                <w:spacing w:val="-4"/>
              </w:rPr>
              <w:t>土保持、金沙江干热河谷及山原水土保持、金沙江下游</w:t>
            </w:r>
            <w:r>
              <w:rPr>
                <w:rFonts w:ascii="Times New Roman" w:hAnsi="Times New Roman" w:eastAsia="Times New Roman" w:cs="Times New Roman"/>
                <w:spacing w:val="-4"/>
              </w:rPr>
              <w:t>—</w:t>
            </w:r>
            <w:r>
              <w:rPr>
                <w:spacing w:val="-4"/>
              </w:rPr>
              <w:t>小江流域水土流失控制、</w:t>
            </w:r>
            <w:r>
              <w:rPr>
                <w:spacing w:val="8"/>
              </w:rPr>
              <w:t xml:space="preserve"> </w:t>
            </w:r>
            <w:r>
              <w:t>红河（元江）干热河谷及山原水土保持生态保护红线区。</w:t>
            </w:r>
            <w:r>
              <w:rPr>
                <w:spacing w:val="-1"/>
              </w:rPr>
              <w:t>根据叠图分析，本项目</w:t>
            </w:r>
            <w:r>
              <w:t xml:space="preserve">  附近的生态保护红线类型为高原湖泊及牛栏江上游水源涵</w:t>
            </w:r>
            <w:r>
              <w:rPr>
                <w:spacing w:val="-1"/>
              </w:rPr>
              <w:t>养生态保护红线，主导</w:t>
            </w:r>
            <w:r>
              <w:t xml:space="preserve">  </w:t>
            </w:r>
            <w:r>
              <w:rPr>
                <w:spacing w:val="-2"/>
              </w:rPr>
              <w:t>功能为水源涵养。</w:t>
            </w:r>
          </w:p>
          <w:p w14:paraId="24DE532B">
            <w:pPr>
              <w:pStyle w:val="6"/>
              <w:spacing w:before="35" w:line="220" w:lineRule="auto"/>
              <w:ind w:left="587"/>
            </w:pPr>
            <w:r>
              <w:rPr>
                <w:rFonts w:ascii="Times New Roman" w:hAnsi="Times New Roman" w:eastAsia="Times New Roman" w:cs="Times New Roman"/>
                <w:spacing w:val="-1"/>
              </w:rPr>
              <w:t>3</w:t>
            </w:r>
            <w:r>
              <w:rPr>
                <w:spacing w:val="-1"/>
              </w:rPr>
              <w:t>）对生态保护红线的影响分析</w:t>
            </w:r>
          </w:p>
          <w:p w14:paraId="023228EC">
            <w:pPr>
              <w:pStyle w:val="6"/>
              <w:spacing w:before="186" w:line="356" w:lineRule="auto"/>
              <w:ind w:left="106" w:firstLine="471"/>
            </w:pPr>
            <w:r>
              <w:rPr>
                <w:spacing w:val="-4"/>
              </w:rPr>
              <w:t>施工过程中应严格控制施工扰动范围，禁止施工扰动区域超出项目用地范围</w:t>
            </w:r>
            <w:r>
              <w:t xml:space="preserve">   </w:t>
            </w:r>
            <w:r>
              <w:rPr>
                <w:spacing w:val="-4"/>
              </w:rPr>
              <w:t>线，在做好各项文明施工、做好植被恢复及水土保持设施等措施的前提下，工程</w:t>
            </w:r>
            <w:r>
              <w:t xml:space="preserve">   </w:t>
            </w:r>
            <w:r>
              <w:rPr>
                <w:spacing w:val="-4"/>
              </w:rPr>
              <w:t>建设不会造成生态保护红线内动植物种群的大幅度减少，也不会破坏其生境。施</w:t>
            </w:r>
            <w:r>
              <w:t xml:space="preserve">   </w:t>
            </w:r>
            <w:r>
              <w:rPr>
                <w:spacing w:val="-5"/>
              </w:rPr>
              <w:t>工结束后，将对区域进行植被恢复，同时也恢复了</w:t>
            </w:r>
            <w:r>
              <w:rPr>
                <w:spacing w:val="-6"/>
              </w:rPr>
              <w:t>其原有的生态环境功能。同时，</w:t>
            </w:r>
            <w:r>
              <w:t xml:space="preserve"> </w:t>
            </w:r>
            <w:r>
              <w:rPr>
                <w:spacing w:val="-4"/>
              </w:rPr>
              <w:t>项目设计光伏板区与围栏间隔一定距离，主要工程施工均在围栏内进行，项目建</w:t>
            </w:r>
            <w:r>
              <w:t xml:space="preserve">   </w:t>
            </w:r>
            <w:r>
              <w:rPr>
                <w:spacing w:val="-4"/>
              </w:rPr>
              <w:t>设光伏板区之前将围栏范围划定，可有效避免越线施工及对围栏外生态保护红线</w:t>
            </w:r>
            <w:r>
              <w:t xml:space="preserve">   </w:t>
            </w:r>
            <w:r>
              <w:rPr>
                <w:spacing w:val="-4"/>
              </w:rPr>
              <w:t>内动植物的影响及扰动，因此，工程建设基本不会对生态保护红线内的水源涵养</w:t>
            </w:r>
            <w:r>
              <w:t xml:space="preserve">   </w:t>
            </w:r>
            <w:r>
              <w:rPr>
                <w:spacing w:val="-4"/>
              </w:rPr>
              <w:t>功能造成影响；项目建设过程中严格落实环、水保提出的截排水等水土流失和种</w:t>
            </w:r>
            <w:r>
              <w:t xml:space="preserve">   </w:t>
            </w:r>
            <w:r>
              <w:rPr>
                <w:spacing w:val="-4"/>
              </w:rPr>
              <w:t>植牧草、植树等植被恢复措施后，不会对生态保护红线的主导功能为“水源涵养</w:t>
            </w:r>
            <w:r>
              <w:rPr>
                <w:spacing w:val="-89"/>
              </w:rPr>
              <w:t xml:space="preserve"> </w:t>
            </w:r>
            <w:r>
              <w:rPr>
                <w:spacing w:val="-4"/>
              </w:rPr>
              <w:t>”</w:t>
            </w:r>
            <w:r>
              <w:t xml:space="preserve"> </w:t>
            </w:r>
            <w:r>
              <w:rPr>
                <w:spacing w:val="-5"/>
              </w:rPr>
              <w:t>产生影响。</w:t>
            </w:r>
          </w:p>
          <w:p w14:paraId="6A194B81">
            <w:pPr>
              <w:pStyle w:val="6"/>
              <w:spacing w:before="38" w:line="352" w:lineRule="auto"/>
              <w:ind w:left="106" w:right="137" w:firstLine="485"/>
              <w:jc w:val="both"/>
            </w:pPr>
            <w:r>
              <w:rPr>
                <w:spacing w:val="-1"/>
              </w:rPr>
              <w:t>另外施工期噪声可能会对生态保护红线区域野生动物产生扰动影响，会使其</w:t>
            </w:r>
            <w:r>
              <w:rPr>
                <w:spacing w:val="16"/>
              </w:rPr>
              <w:t xml:space="preserve"> </w:t>
            </w:r>
            <w:r>
              <w:t>离开现有的生活区域，但该区周边环境较为类似，区域</w:t>
            </w:r>
            <w:r>
              <w:rPr>
                <w:spacing w:val="-1"/>
              </w:rPr>
              <w:t>仍有较多类似生境可满足</w:t>
            </w:r>
            <w:r>
              <w:t xml:space="preserve"> 野生动物栖息、觅食、活动。本项目施工期较短，随施</w:t>
            </w:r>
            <w:r>
              <w:rPr>
                <w:spacing w:val="-1"/>
              </w:rPr>
              <w:t>工结束，施工期噪声影响</w:t>
            </w:r>
            <w:r>
              <w:t xml:space="preserve"> 消失；运营期噪声主要为箱变、逆变噪声影响，但箱变</w:t>
            </w:r>
            <w:r>
              <w:rPr>
                <w:spacing w:val="-1"/>
              </w:rPr>
              <w:t>、逆变距生态保护红线距</w:t>
            </w:r>
          </w:p>
        </w:tc>
      </w:tr>
    </w:tbl>
    <w:p w14:paraId="5EE094BF">
      <w:pPr>
        <w:rPr>
          <w:rFonts w:ascii="Arial"/>
          <w:sz w:val="21"/>
        </w:rPr>
      </w:pPr>
    </w:p>
    <w:p w14:paraId="3ED79426">
      <w:pPr>
        <w:rPr>
          <w:rFonts w:ascii="Arial" w:hAnsi="Arial" w:eastAsia="Arial" w:cs="Arial"/>
          <w:sz w:val="21"/>
          <w:szCs w:val="21"/>
        </w:rPr>
        <w:sectPr>
          <w:footerReference r:id="rId113" w:type="default"/>
          <w:pgSz w:w="11906" w:h="16839"/>
          <w:pgMar w:top="1431" w:right="1451" w:bottom="1278" w:left="1454" w:header="0" w:footer="1116" w:gutter="0"/>
          <w:cols w:space="720" w:num="1"/>
        </w:sectPr>
      </w:pPr>
    </w:p>
    <w:p w14:paraId="74F232D5">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6128F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6" w:hRule="atLeast"/>
        </w:trPr>
        <w:tc>
          <w:tcPr>
            <w:tcW w:w="339" w:type="dxa"/>
            <w:tcBorders>
              <w:right w:val="single" w:color="000000" w:sz="2" w:space="0"/>
            </w:tcBorders>
            <w:vAlign w:val="top"/>
          </w:tcPr>
          <w:p w14:paraId="7BAE8606">
            <w:pPr>
              <w:rPr>
                <w:rFonts w:ascii="Arial"/>
                <w:sz w:val="21"/>
              </w:rPr>
            </w:pPr>
          </w:p>
        </w:tc>
        <w:tc>
          <w:tcPr>
            <w:tcW w:w="8643" w:type="dxa"/>
            <w:tcBorders>
              <w:left w:val="single" w:color="000000" w:sz="2" w:space="0"/>
            </w:tcBorders>
            <w:vAlign w:val="top"/>
          </w:tcPr>
          <w:p w14:paraId="53E61B90">
            <w:pPr>
              <w:pStyle w:val="6"/>
              <w:spacing w:before="40" w:line="345" w:lineRule="auto"/>
              <w:ind w:left="106" w:right="135" w:firstLine="3"/>
            </w:pPr>
            <w:r>
              <w:t>离远，箱变、逆变噪声对生态红线区域噪声贡</w:t>
            </w:r>
            <w:r>
              <w:rPr>
                <w:spacing w:val="-1"/>
              </w:rPr>
              <w:t>献值较小，加上动物对噪声有一定</w:t>
            </w:r>
            <w:r>
              <w:t xml:space="preserve"> 适应能力，因此本工程噪声对生态保护红线区域</w:t>
            </w:r>
            <w:r>
              <w:rPr>
                <w:spacing w:val="-1"/>
              </w:rPr>
              <w:t>野生动物扰动影响较小。</w:t>
            </w:r>
          </w:p>
          <w:p w14:paraId="5166516D">
            <w:pPr>
              <w:pStyle w:val="6"/>
              <w:spacing w:before="34" w:line="219" w:lineRule="auto"/>
              <w:ind w:left="581"/>
            </w:pPr>
            <w:r>
              <w:rPr>
                <w:rFonts w:ascii="Times New Roman" w:hAnsi="Times New Roman" w:eastAsia="Times New Roman" w:cs="Times New Roman"/>
                <w:spacing w:val="-1"/>
              </w:rPr>
              <w:t>4</w:t>
            </w:r>
            <w:r>
              <w:rPr>
                <w:spacing w:val="-1"/>
              </w:rPr>
              <w:t>）对永久基本农田的影响分析</w:t>
            </w:r>
          </w:p>
          <w:p w14:paraId="00F7B4F1">
            <w:pPr>
              <w:pStyle w:val="6"/>
              <w:spacing w:before="181" w:line="353" w:lineRule="auto"/>
              <w:ind w:left="107" w:right="135" w:firstLine="480"/>
            </w:pPr>
            <w:r>
              <w:t>本项目选址已完全避让永久基本农田区域，工程</w:t>
            </w:r>
            <w:r>
              <w:rPr>
                <w:spacing w:val="-1"/>
              </w:rPr>
              <w:t>建设及运营不会使基本农田</w:t>
            </w:r>
            <w:r>
              <w:t xml:space="preserve"> 数量、面积等发生变化，因此施工过程中应严格控制</w:t>
            </w:r>
            <w:r>
              <w:rPr>
                <w:spacing w:val="-1"/>
              </w:rPr>
              <w:t>施工扰动范围，禁止施工扰</w:t>
            </w:r>
            <w:r>
              <w:t xml:space="preserve"> 动区域超出项目用地范围，在做好各项文明施工、做</w:t>
            </w:r>
            <w:r>
              <w:rPr>
                <w:spacing w:val="-1"/>
              </w:rPr>
              <w:t>好植被恢复及水土保持设施</w:t>
            </w:r>
            <w:r>
              <w:t xml:space="preserve"> </w:t>
            </w:r>
            <w:r>
              <w:rPr>
                <w:spacing w:val="-1"/>
              </w:rPr>
              <w:t>等措施的前提下，项目建设不会对永久基本农田产生不利影响。</w:t>
            </w:r>
          </w:p>
          <w:p w14:paraId="5005A999">
            <w:pPr>
              <w:pStyle w:val="6"/>
              <w:spacing w:before="33" w:line="348" w:lineRule="auto"/>
              <w:ind w:left="113" w:right="135" w:firstLine="476"/>
            </w:pPr>
            <w:r>
              <w:t>综上，本项目建设运营对生态保护红线、永</w:t>
            </w:r>
            <w:r>
              <w:rPr>
                <w:spacing w:val="-1"/>
              </w:rPr>
              <w:t>久基本农田的结构、功能影响较</w:t>
            </w:r>
            <w:r>
              <w:t xml:space="preserve"> </w:t>
            </w:r>
            <w:r>
              <w:rPr>
                <w:spacing w:val="-8"/>
              </w:rPr>
              <w:t>小。</w:t>
            </w:r>
          </w:p>
          <w:p w14:paraId="0C6F31BF">
            <w:pPr>
              <w:pStyle w:val="6"/>
              <w:spacing w:before="29" w:line="220" w:lineRule="auto"/>
              <w:ind w:left="598"/>
            </w:pPr>
            <w:r>
              <w:rPr>
                <w:spacing w:val="-2"/>
              </w:rPr>
              <w:t>（</w:t>
            </w:r>
            <w:r>
              <w:rPr>
                <w:rFonts w:ascii="Times New Roman" w:hAnsi="Times New Roman" w:eastAsia="Times New Roman" w:cs="Times New Roman"/>
                <w:spacing w:val="-2"/>
              </w:rPr>
              <w:t>2</w:t>
            </w:r>
            <w:r>
              <w:rPr>
                <w:spacing w:val="-2"/>
              </w:rPr>
              <w:t>）大气环境影响分析</w:t>
            </w:r>
          </w:p>
          <w:p w14:paraId="7DC30DBB">
            <w:pPr>
              <w:pStyle w:val="6"/>
              <w:spacing w:before="181" w:line="345" w:lineRule="auto"/>
              <w:ind w:left="106" w:right="102" w:firstLine="483"/>
            </w:pPr>
            <w:r>
              <w:rPr>
                <w:spacing w:val="1"/>
              </w:rPr>
              <w:t>项目施工期大气污染物主要是施工扬尘、光</w:t>
            </w:r>
            <w:r>
              <w:t xml:space="preserve">伏支架焊接、物料运输扬尘、装 </w:t>
            </w:r>
            <w:r>
              <w:rPr>
                <w:spacing w:val="-1"/>
              </w:rPr>
              <w:t>修废气、食堂油烟、施工机械和运输车辆产生的废气。</w:t>
            </w:r>
          </w:p>
          <w:p w14:paraId="61E6DE21">
            <w:pPr>
              <w:pStyle w:val="6"/>
              <w:spacing w:before="38" w:line="221" w:lineRule="auto"/>
              <w:ind w:left="605"/>
            </w:pPr>
            <w:r>
              <w:rPr>
                <w:rFonts w:ascii="Times New Roman" w:hAnsi="Times New Roman" w:eastAsia="Times New Roman" w:cs="Times New Roman"/>
                <w:spacing w:val="-5"/>
              </w:rPr>
              <w:t>1</w:t>
            </w:r>
            <w:r>
              <w:rPr>
                <w:spacing w:val="-5"/>
              </w:rPr>
              <w:t>）施工扬尘</w:t>
            </w:r>
          </w:p>
          <w:p w14:paraId="036EFC4A">
            <w:pPr>
              <w:pStyle w:val="6"/>
              <w:spacing w:before="177" w:line="353" w:lineRule="auto"/>
              <w:ind w:left="106" w:right="102" w:firstLine="483"/>
            </w:pPr>
            <w:r>
              <w:t>项目的扬尘主要是由道路的修建、地基开挖、建材装卸等施工作业，以及施</w:t>
            </w:r>
            <w:r>
              <w:rPr>
                <w:spacing w:val="16"/>
              </w:rPr>
              <w:t xml:space="preserve"> </w:t>
            </w:r>
            <w:r>
              <w:rPr>
                <w:spacing w:val="1"/>
              </w:rPr>
              <w:t>工形成的裸土面而产生，再就是施工车辆运送</w:t>
            </w:r>
            <w:r>
              <w:t>施工材料过程引起的扬尘及道路粉 尘。主要污染物为</w:t>
            </w:r>
            <w:r>
              <w:rPr>
                <w:spacing w:val="-50"/>
              </w:rPr>
              <w:t xml:space="preserve"> </w:t>
            </w:r>
            <w:r>
              <w:rPr>
                <w:rFonts w:ascii="Times New Roman" w:hAnsi="Times New Roman" w:eastAsia="Times New Roman" w:cs="Times New Roman"/>
              </w:rPr>
              <w:t>TSP</w:t>
            </w:r>
            <w:r>
              <w:rPr>
                <w:rFonts w:ascii="Times New Roman" w:hAnsi="Times New Roman" w:eastAsia="Times New Roman" w:cs="Times New Roman"/>
                <w:spacing w:val="-30"/>
              </w:rPr>
              <w:t xml:space="preserve"> </w:t>
            </w:r>
            <w:r>
              <w:t>，不含有毒有害的特殊污染物质</w:t>
            </w:r>
            <w:r>
              <w:rPr>
                <w:spacing w:val="-1"/>
              </w:rPr>
              <w:t>。粉尘呈无组织排放，其</w:t>
            </w:r>
            <w:r>
              <w:t xml:space="preserve"> </w:t>
            </w:r>
            <w:r>
              <w:rPr>
                <w:spacing w:val="-1"/>
              </w:rPr>
              <w:t>产生强度与施工方式、气象条件有关。</w:t>
            </w:r>
          </w:p>
          <w:p w14:paraId="2255EB9A">
            <w:pPr>
              <w:pStyle w:val="6"/>
              <w:spacing w:before="31" w:line="354" w:lineRule="auto"/>
              <w:ind w:left="105" w:right="67" w:firstLine="480"/>
              <w:jc w:val="both"/>
            </w:pPr>
            <w:r>
              <w:rPr>
                <w:spacing w:val="8"/>
              </w:rPr>
              <w:t>施工作业中产生的扬尘对环境空气造成的影响大小取决于产生量和气候条</w:t>
            </w:r>
            <w:r>
              <w:rPr>
                <w:spacing w:val="5"/>
              </w:rPr>
              <w:t xml:space="preserve"> </w:t>
            </w:r>
            <w:r>
              <w:rPr>
                <w:spacing w:val="1"/>
              </w:rPr>
              <w:t>件，影响面主要集中在施工场地</w:t>
            </w:r>
            <w:r>
              <w:rPr>
                <w:spacing w:val="-40"/>
              </w:rPr>
              <w:t xml:space="preserve"> </w:t>
            </w:r>
            <w:r>
              <w:rPr>
                <w:rFonts w:ascii="Times New Roman" w:hAnsi="Times New Roman" w:eastAsia="Times New Roman" w:cs="Times New Roman"/>
                <w:spacing w:val="1"/>
              </w:rPr>
              <w:t>200m</w:t>
            </w:r>
            <w:r>
              <w:rPr>
                <w:rFonts w:ascii="Times New Roman" w:hAnsi="Times New Roman" w:eastAsia="Times New Roman" w:cs="Times New Roman"/>
                <w:spacing w:val="19"/>
              </w:rPr>
              <w:t xml:space="preserve"> </w:t>
            </w:r>
            <w:r>
              <w:rPr>
                <w:spacing w:val="1"/>
              </w:rPr>
              <w:t>范围内。据有关资料，当风速大于</w:t>
            </w:r>
            <w:r>
              <w:rPr>
                <w:spacing w:val="-48"/>
              </w:rPr>
              <w:t xml:space="preserve"> </w:t>
            </w:r>
            <w:r>
              <w:rPr>
                <w:rFonts w:ascii="Times New Roman" w:hAnsi="Times New Roman" w:eastAsia="Times New Roman" w:cs="Times New Roman"/>
                <w:spacing w:val="1"/>
              </w:rPr>
              <w:t>3.0m/s</w:t>
            </w:r>
            <w:r>
              <w:rPr>
                <w:rFonts w:ascii="Times New Roman" w:hAnsi="Times New Roman" w:eastAsia="Times New Roman" w:cs="Times New Roman"/>
              </w:rPr>
              <w:t xml:space="preserve"> </w:t>
            </w:r>
            <w:r>
              <w:rPr>
                <w:spacing w:val="1"/>
              </w:rPr>
              <w:t>时，地面将产生扬尘。另外，进出施工场地的运</w:t>
            </w:r>
            <w:r>
              <w:t xml:space="preserve">输车辆也会造成施工作业场所近 </w:t>
            </w:r>
            <w:r>
              <w:rPr>
                <w:spacing w:val="-2"/>
              </w:rPr>
              <w:t>地面粉尘浓度升高，运输车辆引起的扬尘对路边</w:t>
            </w:r>
            <w:r>
              <w:rPr>
                <w:spacing w:val="-47"/>
              </w:rPr>
              <w:t xml:space="preserve"> </w:t>
            </w:r>
            <w:r>
              <w:rPr>
                <w:rFonts w:ascii="Times New Roman" w:hAnsi="Times New Roman" w:eastAsia="Times New Roman" w:cs="Times New Roman"/>
                <w:spacing w:val="-2"/>
              </w:rPr>
              <w:t>30m</w:t>
            </w:r>
            <w:r>
              <w:rPr>
                <w:rFonts w:ascii="Times New Roman" w:hAnsi="Times New Roman" w:eastAsia="Times New Roman" w:cs="Times New Roman"/>
                <w:spacing w:val="16"/>
              </w:rPr>
              <w:t xml:space="preserve"> </w:t>
            </w:r>
            <w:r>
              <w:rPr>
                <w:spacing w:val="-2"/>
              </w:rPr>
              <w:t>范围内影响较大，而且形成</w:t>
            </w:r>
            <w:r>
              <w:t xml:space="preserve"> </w:t>
            </w:r>
            <w:r>
              <w:rPr>
                <w:spacing w:val="-3"/>
              </w:rPr>
              <w:t>线性污染，路边的</w:t>
            </w:r>
            <w:r>
              <w:rPr>
                <w:spacing w:val="-52"/>
              </w:rPr>
              <w:t xml:space="preserve"> </w:t>
            </w:r>
            <w:r>
              <w:rPr>
                <w:rFonts w:ascii="Times New Roman" w:hAnsi="Times New Roman" w:eastAsia="Times New Roman" w:cs="Times New Roman"/>
                <w:spacing w:val="-3"/>
              </w:rPr>
              <w:t xml:space="preserve">TSP </w:t>
            </w:r>
            <w:r>
              <w:rPr>
                <w:spacing w:val="-3"/>
              </w:rPr>
              <w:t>浓度可达</w:t>
            </w:r>
            <w:r>
              <w:rPr>
                <w:spacing w:val="-32"/>
              </w:rPr>
              <w:t xml:space="preserve"> </w:t>
            </w:r>
            <w:r>
              <w:rPr>
                <w:rFonts w:ascii="Times New Roman" w:hAnsi="Times New Roman" w:eastAsia="Times New Roman" w:cs="Times New Roman"/>
                <w:spacing w:val="-3"/>
              </w:rPr>
              <w:t>10mg/m</w:t>
            </w:r>
            <w:r>
              <w:rPr>
                <w:rFonts w:ascii="Times New Roman" w:hAnsi="Times New Roman" w:eastAsia="Times New Roman" w:cs="Times New Roman"/>
                <w:spacing w:val="-3"/>
                <w:position w:val="7"/>
                <w:sz w:val="15"/>
                <w:szCs w:val="15"/>
              </w:rPr>
              <w:t xml:space="preserve">3  </w:t>
            </w:r>
            <w:r>
              <w:rPr>
                <w:spacing w:val="-3"/>
              </w:rPr>
              <w:t>以上，一般浓度范围在</w:t>
            </w:r>
            <w:r>
              <w:rPr>
                <w:spacing w:val="-32"/>
              </w:rPr>
              <w:t xml:space="preserve"> </w:t>
            </w:r>
            <w:r>
              <w:rPr>
                <w:rFonts w:ascii="Times New Roman" w:hAnsi="Times New Roman" w:eastAsia="Times New Roman" w:cs="Times New Roman"/>
                <w:spacing w:val="-3"/>
              </w:rPr>
              <w:t>1.5</w:t>
            </w:r>
            <w:r>
              <w:rPr>
                <w:spacing w:val="-3"/>
              </w:rPr>
              <w:t>～</w:t>
            </w:r>
            <w:r>
              <w:rPr>
                <w:rFonts w:ascii="Times New Roman" w:hAnsi="Times New Roman" w:eastAsia="Times New Roman" w:cs="Times New Roman"/>
                <w:spacing w:val="-3"/>
              </w:rPr>
              <w:t>30mg/</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spacing w:val="-4"/>
              </w:rPr>
              <w:t>。</w:t>
            </w:r>
          </w:p>
          <w:p w14:paraId="7771CE77">
            <w:pPr>
              <w:pStyle w:val="6"/>
              <w:spacing w:before="35" w:line="355" w:lineRule="auto"/>
              <w:ind w:left="105" w:right="102" w:firstLine="480"/>
              <w:jc w:val="both"/>
            </w:pPr>
            <w:r>
              <w:rPr>
                <w:spacing w:val="1"/>
              </w:rPr>
              <w:t>根据项目大气环境保护目标一览表可知，项目在进行</w:t>
            </w:r>
            <w:r>
              <w:t xml:space="preserve">不同片区施工时，会涉 </w:t>
            </w:r>
            <w:r>
              <w:rPr>
                <w:spacing w:val="2"/>
              </w:rPr>
              <w:t>及</w:t>
            </w:r>
            <w:r>
              <w:rPr>
                <w:spacing w:val="-53"/>
              </w:rPr>
              <w:t xml:space="preserve"> </w:t>
            </w:r>
            <w:r>
              <w:rPr>
                <w:rFonts w:ascii="Times New Roman" w:hAnsi="Times New Roman" w:eastAsia="Times New Roman" w:cs="Times New Roman"/>
                <w:spacing w:val="2"/>
              </w:rPr>
              <w:t xml:space="preserve">200m </w:t>
            </w:r>
            <w:r>
              <w:rPr>
                <w:spacing w:val="2"/>
              </w:rPr>
              <w:t>影响范围内相应的敏感目标，施工中若不采取扬尘防治</w:t>
            </w:r>
            <w:r>
              <w:rPr>
                <w:spacing w:val="1"/>
              </w:rPr>
              <w:t>措施，将对其产</w:t>
            </w:r>
            <w:r>
              <w:t xml:space="preserve"> </w:t>
            </w:r>
            <w:r>
              <w:rPr>
                <w:spacing w:val="1"/>
              </w:rPr>
              <w:t>生扬尘影响，因此项目施工时应对场地进行洒水降尘，</w:t>
            </w:r>
            <w:r>
              <w:t xml:space="preserve">堆场进行遮盖，由于光伏 </w:t>
            </w:r>
            <w:r>
              <w:rPr>
                <w:spacing w:val="1"/>
              </w:rPr>
              <w:t>板施工作业面呈点状和线状，不会造成大面积地表裸露</w:t>
            </w:r>
            <w:r>
              <w:t xml:space="preserve">，且施工作业扬尘产生仅 </w:t>
            </w:r>
            <w:r>
              <w:rPr>
                <w:spacing w:val="1"/>
              </w:rPr>
              <w:t>在施工作业时产生，施工作业结束后施工作业扬</w:t>
            </w:r>
            <w:r>
              <w:t xml:space="preserve">尘随之消失，施工作业扬尘只是 </w:t>
            </w:r>
            <w:r>
              <w:rPr>
                <w:spacing w:val="-1"/>
              </w:rPr>
              <w:t>暂时的。因此项目施工作业扬尘对周围环境空气影响较小。</w:t>
            </w:r>
          </w:p>
          <w:p w14:paraId="5334D2BE">
            <w:pPr>
              <w:pStyle w:val="6"/>
              <w:spacing w:before="32" w:line="219" w:lineRule="auto"/>
              <w:ind w:left="582"/>
            </w:pPr>
            <w:r>
              <w:rPr>
                <w:rFonts w:ascii="Times New Roman" w:hAnsi="Times New Roman" w:eastAsia="Times New Roman" w:cs="Times New Roman"/>
                <w:spacing w:val="-1"/>
              </w:rPr>
              <w:t>2</w:t>
            </w:r>
            <w:r>
              <w:rPr>
                <w:spacing w:val="-1"/>
              </w:rPr>
              <w:t>）光伏支架焊接废气</w:t>
            </w:r>
          </w:p>
        </w:tc>
      </w:tr>
    </w:tbl>
    <w:p w14:paraId="57446587">
      <w:pPr>
        <w:rPr>
          <w:rFonts w:ascii="Arial"/>
          <w:sz w:val="21"/>
        </w:rPr>
      </w:pPr>
    </w:p>
    <w:p w14:paraId="0F7D4A38">
      <w:pPr>
        <w:rPr>
          <w:rFonts w:ascii="Arial" w:hAnsi="Arial" w:eastAsia="Arial" w:cs="Arial"/>
          <w:sz w:val="21"/>
          <w:szCs w:val="21"/>
        </w:rPr>
        <w:sectPr>
          <w:footerReference r:id="rId114" w:type="default"/>
          <w:pgSz w:w="11906" w:h="16839"/>
          <w:pgMar w:top="1431" w:right="1454" w:bottom="1278" w:left="1454" w:header="0" w:footer="1116" w:gutter="0"/>
          <w:cols w:space="720" w:num="1"/>
        </w:sectPr>
      </w:pPr>
    </w:p>
    <w:p w14:paraId="3414C871">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2F5DB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6" w:hRule="atLeast"/>
        </w:trPr>
        <w:tc>
          <w:tcPr>
            <w:tcW w:w="339" w:type="dxa"/>
            <w:tcBorders>
              <w:right w:val="single" w:color="000000" w:sz="2" w:space="0"/>
            </w:tcBorders>
            <w:vAlign w:val="top"/>
          </w:tcPr>
          <w:p w14:paraId="59725B6A">
            <w:pPr>
              <w:rPr>
                <w:rFonts w:ascii="Arial"/>
                <w:sz w:val="21"/>
              </w:rPr>
            </w:pPr>
          </w:p>
        </w:tc>
        <w:tc>
          <w:tcPr>
            <w:tcW w:w="8643" w:type="dxa"/>
            <w:tcBorders>
              <w:left w:val="single" w:color="000000" w:sz="2" w:space="0"/>
            </w:tcBorders>
            <w:vAlign w:val="top"/>
          </w:tcPr>
          <w:p w14:paraId="286DFC4E">
            <w:pPr>
              <w:pStyle w:val="6"/>
              <w:spacing w:before="45" w:line="354" w:lineRule="auto"/>
              <w:ind w:left="105" w:right="102" w:firstLine="481"/>
              <w:jc w:val="both"/>
            </w:pPr>
            <w:r>
              <w:rPr>
                <w:spacing w:val="1"/>
              </w:rPr>
              <w:t>本项目光伏片区进行光伏支架基础施工时会</w:t>
            </w:r>
            <w:r>
              <w:t xml:space="preserve">对支架连接部分进行焊接，焊接 </w:t>
            </w:r>
            <w:r>
              <w:rPr>
                <w:spacing w:val="-3"/>
              </w:rPr>
              <w:t>过程中会产生废气，其中的污染物主要有烟尘、</w:t>
            </w:r>
            <w:r>
              <w:rPr>
                <w:rFonts w:ascii="Times New Roman" w:hAnsi="Times New Roman" w:eastAsia="Times New Roman" w:cs="Times New Roman"/>
                <w:spacing w:val="-3"/>
              </w:rPr>
              <w:t>NOx</w:t>
            </w:r>
            <w:r>
              <w:rPr>
                <w:spacing w:val="-3"/>
              </w:rPr>
              <w:t>、</w:t>
            </w:r>
            <w:r>
              <w:rPr>
                <w:rFonts w:ascii="Times New Roman" w:hAnsi="Times New Roman" w:eastAsia="Times New Roman" w:cs="Times New Roman"/>
                <w:spacing w:val="-4"/>
              </w:rPr>
              <w:t>CO</w:t>
            </w:r>
            <w:r>
              <w:rPr>
                <w:spacing w:val="-4"/>
              </w:rPr>
              <w:t>、</w:t>
            </w:r>
            <w:r>
              <w:rPr>
                <w:rFonts w:ascii="Times New Roman" w:hAnsi="Times New Roman" w:eastAsia="Times New Roman" w:cs="Times New Roman"/>
                <w:spacing w:val="-4"/>
              </w:rPr>
              <w:t>CO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1"/>
                <w:position w:val="-1"/>
                <w:sz w:val="15"/>
                <w:szCs w:val="15"/>
              </w:rPr>
              <w:t xml:space="preserve"> </w:t>
            </w:r>
            <w:r>
              <w:rPr>
                <w:spacing w:val="-4"/>
              </w:rPr>
              <w:t>及</w:t>
            </w:r>
            <w:r>
              <w:rPr>
                <w:spacing w:val="-52"/>
              </w:rPr>
              <w:t xml:space="preserve"> </w:t>
            </w:r>
            <w:r>
              <w:rPr>
                <w:rFonts w:ascii="Times New Roman" w:hAnsi="Times New Roman" w:eastAsia="Times New Roman" w:cs="Times New Roman"/>
                <w:spacing w:val="-4"/>
              </w:rPr>
              <w:t xml:space="preserve">CHx </w:t>
            </w:r>
            <w:r>
              <w:rPr>
                <w:spacing w:val="-4"/>
              </w:rPr>
              <w:t>等，会对</w:t>
            </w:r>
            <w:r>
              <w:t xml:space="preserve"> </w:t>
            </w:r>
            <w:r>
              <w:rPr>
                <w:spacing w:val="1"/>
              </w:rPr>
              <w:t>区域环境空气造成一定影响。但光伏支架焊接废</w:t>
            </w:r>
            <w:r>
              <w:t xml:space="preserve">气产生具有间断性产生、产生量 </w:t>
            </w:r>
            <w:r>
              <w:rPr>
                <w:spacing w:val="1"/>
              </w:rPr>
              <w:t>较小、产生点相对分散、易被稀释扩散等特点。</w:t>
            </w:r>
            <w:r>
              <w:t xml:space="preserve">项目区为山地丘陵地形，周边无 </w:t>
            </w:r>
            <w:r>
              <w:rPr>
                <w:spacing w:val="1"/>
              </w:rPr>
              <w:t>特别高的山体，有利于大气扩散，一般情况下，</w:t>
            </w:r>
            <w:r>
              <w:t>光伏支架焊接所产生的废气污染 在空气中经自然扩散和稀释后，对项目区域的</w:t>
            </w:r>
            <w:r>
              <w:rPr>
                <w:spacing w:val="-1"/>
              </w:rPr>
              <w:t>环境空气质量影响小。</w:t>
            </w:r>
          </w:p>
          <w:p w14:paraId="4A31CE8A">
            <w:pPr>
              <w:pStyle w:val="6"/>
              <w:spacing w:before="36" w:line="219" w:lineRule="auto"/>
              <w:ind w:left="587"/>
            </w:pPr>
            <w:r>
              <w:rPr>
                <w:rFonts w:ascii="Times New Roman" w:hAnsi="Times New Roman" w:eastAsia="Times New Roman" w:cs="Times New Roman"/>
                <w:spacing w:val="-2"/>
              </w:rPr>
              <w:t>3</w:t>
            </w:r>
            <w:r>
              <w:rPr>
                <w:spacing w:val="-2"/>
              </w:rPr>
              <w:t>）物料运输扬尘</w:t>
            </w:r>
          </w:p>
          <w:p w14:paraId="6BBA549A">
            <w:pPr>
              <w:pStyle w:val="6"/>
              <w:spacing w:before="180" w:line="356" w:lineRule="auto"/>
              <w:ind w:left="106" w:right="40" w:firstLine="478"/>
            </w:pPr>
            <w:r>
              <w:rPr>
                <w:spacing w:val="1"/>
              </w:rPr>
              <w:t>进出施工场地的运输车辆产生的运输扬尘与车型、</w:t>
            </w:r>
            <w:r>
              <w:t xml:space="preserve">车速、车流量、风速、道 </w:t>
            </w:r>
            <w:r>
              <w:rPr>
                <w:spacing w:val="-2"/>
              </w:rPr>
              <w:t>路表面积尘量、尘土湿度等因素有关，对路边</w:t>
            </w:r>
            <w:r>
              <w:rPr>
                <w:spacing w:val="-48"/>
              </w:rPr>
              <w:t xml:space="preserve"> </w:t>
            </w:r>
            <w:r>
              <w:rPr>
                <w:rFonts w:ascii="Times New Roman" w:hAnsi="Times New Roman" w:eastAsia="Times New Roman" w:cs="Times New Roman"/>
                <w:spacing w:val="-2"/>
              </w:rPr>
              <w:t>30m</w:t>
            </w:r>
            <w:r>
              <w:rPr>
                <w:rFonts w:ascii="Times New Roman" w:hAnsi="Times New Roman" w:eastAsia="Times New Roman" w:cs="Times New Roman"/>
                <w:spacing w:val="16"/>
              </w:rPr>
              <w:t xml:space="preserve"> </w:t>
            </w:r>
            <w:r>
              <w:rPr>
                <w:spacing w:val="-2"/>
              </w:rPr>
              <w:t>范围内影响较大，形成线性污</w:t>
            </w:r>
            <w:r>
              <w:t xml:space="preserve"> </w:t>
            </w:r>
            <w:r>
              <w:rPr>
                <w:spacing w:val="1"/>
              </w:rPr>
              <w:t>染。相关资料表明，在同样路面清洁程度条件</w:t>
            </w:r>
            <w:r>
              <w:t xml:space="preserve">下，车速越快，扬尘量越大；而在 </w:t>
            </w:r>
            <w:r>
              <w:rPr>
                <w:spacing w:val="-1"/>
              </w:rPr>
              <w:t>同样车速情况下，路面越脏，扬尘量越大。路边的</w:t>
            </w:r>
            <w:r>
              <w:rPr>
                <w:spacing w:val="-52"/>
              </w:rPr>
              <w:t xml:space="preserve"> </w:t>
            </w:r>
            <w:r>
              <w:rPr>
                <w:rFonts w:ascii="Times New Roman" w:hAnsi="Times New Roman" w:eastAsia="Times New Roman" w:cs="Times New Roman"/>
                <w:spacing w:val="-1"/>
              </w:rPr>
              <w:t xml:space="preserve">TSP </w:t>
            </w:r>
            <w:r>
              <w:rPr>
                <w:spacing w:val="-1"/>
              </w:rPr>
              <w:t>浓度可</w:t>
            </w:r>
            <w:r>
              <w:rPr>
                <w:spacing w:val="-2"/>
              </w:rPr>
              <w:t>达</w:t>
            </w:r>
            <w:r>
              <w:rPr>
                <w:spacing w:val="-32"/>
              </w:rPr>
              <w:t xml:space="preserve"> </w:t>
            </w:r>
            <w:r>
              <w:rPr>
                <w:rFonts w:ascii="Times New Roman" w:hAnsi="Times New Roman" w:eastAsia="Times New Roman" w:cs="Times New Roman"/>
                <w:spacing w:val="-2"/>
              </w:rPr>
              <w:t>10mg/m</w:t>
            </w:r>
            <w:r>
              <w:rPr>
                <w:rFonts w:ascii="Times New Roman" w:hAnsi="Times New Roman" w:eastAsia="Times New Roman" w:cs="Times New Roman"/>
                <w:spacing w:val="-2"/>
                <w:position w:val="8"/>
                <w:sz w:val="15"/>
                <w:szCs w:val="15"/>
              </w:rPr>
              <w:t xml:space="preserve">3  </w:t>
            </w:r>
            <w:r>
              <w:rPr>
                <w:spacing w:val="-2"/>
              </w:rPr>
              <w:t>以上，</w:t>
            </w:r>
            <w:r>
              <w:t xml:space="preserve"> </w:t>
            </w:r>
            <w:r>
              <w:rPr>
                <w:spacing w:val="-2"/>
              </w:rPr>
              <w:t>一般浓度范围在</w:t>
            </w:r>
            <w:r>
              <w:rPr>
                <w:spacing w:val="-28"/>
              </w:rPr>
              <w:t xml:space="preserve"> </w:t>
            </w:r>
            <w:r>
              <w:rPr>
                <w:rFonts w:ascii="Times New Roman" w:hAnsi="Times New Roman" w:eastAsia="Times New Roman" w:cs="Times New Roman"/>
                <w:spacing w:val="-2"/>
              </w:rPr>
              <w:t>1.5</w:t>
            </w:r>
            <w:r>
              <w:rPr>
                <w:spacing w:val="-2"/>
              </w:rPr>
              <w:t>～</w:t>
            </w:r>
            <w:r>
              <w:rPr>
                <w:rFonts w:ascii="Times New Roman" w:hAnsi="Times New Roman" w:eastAsia="Times New Roman" w:cs="Times New Roman"/>
                <w:spacing w:val="-2"/>
              </w:rPr>
              <w:t>30mg/m</w:t>
            </w:r>
            <w:r>
              <w:rPr>
                <w:rFonts w:ascii="Times New Roman" w:hAnsi="Times New Roman" w:eastAsia="Times New Roman" w:cs="Times New Roman"/>
                <w:spacing w:val="-2"/>
                <w:position w:val="8"/>
                <w:sz w:val="15"/>
                <w:szCs w:val="15"/>
              </w:rPr>
              <w:t xml:space="preserve">3 </w:t>
            </w:r>
            <w:r>
              <w:rPr>
                <w:spacing w:val="-2"/>
              </w:rPr>
              <w:t>。此外，物料拉运或堆放过程中，车辆货斗遮盖不</w:t>
            </w:r>
            <w:r>
              <w:t xml:space="preserve"> </w:t>
            </w:r>
            <w:r>
              <w:rPr>
                <w:spacing w:val="1"/>
              </w:rPr>
              <w:t>严密也会产生粉尘污染，项目部分运输道路穿</w:t>
            </w:r>
            <w:r>
              <w:t xml:space="preserve">过村庄，运输途中产生的扬尘会对 </w:t>
            </w:r>
            <w:r>
              <w:rPr>
                <w:spacing w:val="1"/>
              </w:rPr>
              <w:t>居民产生一定影响。项目施工期在施工场地出</w:t>
            </w:r>
            <w:r>
              <w:t xml:space="preserve">入口处设置沉淀池，对进出施工场 </w:t>
            </w:r>
            <w:r>
              <w:rPr>
                <w:spacing w:val="-4"/>
              </w:rPr>
              <w:t>地车辆轮胎进行冲洗，保持车辆轮胎清洁，在很大程度</w:t>
            </w:r>
            <w:r>
              <w:rPr>
                <w:spacing w:val="-5"/>
              </w:rPr>
              <w:t>上能减少运输扬尘的产生，</w:t>
            </w:r>
            <w:r>
              <w:t xml:space="preserve"> </w:t>
            </w:r>
            <w:r>
              <w:rPr>
                <w:spacing w:val="1"/>
              </w:rPr>
              <w:t>且物料运输扬尘产生仅在施工期产生，施工结</w:t>
            </w:r>
            <w:r>
              <w:t xml:space="preserve">束后随之消失，物料运输扬尘只是 </w:t>
            </w:r>
            <w:r>
              <w:rPr>
                <w:spacing w:val="-1"/>
              </w:rPr>
              <w:t>暂时的。因此，项目物料运输扬尘对周围环境空气影响较小。</w:t>
            </w:r>
          </w:p>
          <w:p w14:paraId="027472AE">
            <w:pPr>
              <w:pStyle w:val="6"/>
              <w:spacing w:before="40" w:line="220" w:lineRule="auto"/>
              <w:ind w:left="581"/>
            </w:pPr>
            <w:r>
              <w:rPr>
                <w:rFonts w:ascii="Times New Roman" w:hAnsi="Times New Roman" w:eastAsia="Times New Roman" w:cs="Times New Roman"/>
                <w:spacing w:val="-1"/>
              </w:rPr>
              <w:t>4</w:t>
            </w:r>
            <w:r>
              <w:rPr>
                <w:spacing w:val="-1"/>
              </w:rPr>
              <w:t>）施工期食堂油烟</w:t>
            </w:r>
          </w:p>
          <w:p w14:paraId="228F9D6E">
            <w:pPr>
              <w:pStyle w:val="6"/>
              <w:spacing w:before="181" w:line="350" w:lineRule="auto"/>
              <w:ind w:left="106" w:right="40" w:firstLine="479"/>
            </w:pPr>
            <w:r>
              <w:rPr>
                <w:spacing w:val="-7"/>
              </w:rPr>
              <w:t>施工期仅在区块</w:t>
            </w:r>
            <w:r>
              <w:rPr>
                <w:spacing w:val="-34"/>
              </w:rPr>
              <w:t xml:space="preserve"> </w:t>
            </w:r>
            <w:r>
              <w:rPr>
                <w:rFonts w:ascii="Times New Roman" w:hAnsi="Times New Roman" w:eastAsia="Times New Roman" w:cs="Times New Roman"/>
                <w:spacing w:val="-7"/>
              </w:rPr>
              <w:t>8</w:t>
            </w:r>
            <w:r>
              <w:rPr>
                <w:rFonts w:ascii="Times New Roman" w:hAnsi="Times New Roman" w:eastAsia="Times New Roman" w:cs="Times New Roman"/>
                <w:spacing w:val="38"/>
              </w:rPr>
              <w:t xml:space="preserve"> </w:t>
            </w:r>
            <w:r>
              <w:rPr>
                <w:spacing w:val="-7"/>
              </w:rPr>
              <w:t>内设置</w:t>
            </w:r>
            <w:r>
              <w:rPr>
                <w:spacing w:val="-32"/>
              </w:rPr>
              <w:t xml:space="preserve"> </w:t>
            </w:r>
            <w:r>
              <w:rPr>
                <w:rFonts w:ascii="Times New Roman" w:hAnsi="Times New Roman" w:eastAsia="Times New Roman" w:cs="Times New Roman"/>
                <w:spacing w:val="-7"/>
              </w:rPr>
              <w:t xml:space="preserve">1 </w:t>
            </w:r>
            <w:r>
              <w:rPr>
                <w:spacing w:val="-7"/>
              </w:rPr>
              <w:t>个施工营场地，场地内设有食堂，设置</w:t>
            </w:r>
            <w:r>
              <w:rPr>
                <w:spacing w:val="-55"/>
              </w:rPr>
              <w:t xml:space="preserve"> </w:t>
            </w:r>
            <w:r>
              <w:rPr>
                <w:rFonts w:ascii="Times New Roman" w:hAnsi="Times New Roman" w:eastAsia="Times New Roman" w:cs="Times New Roman"/>
                <w:spacing w:val="-7"/>
              </w:rPr>
              <w:t xml:space="preserve">2 </w:t>
            </w:r>
            <w:r>
              <w:rPr>
                <w:spacing w:val="-7"/>
              </w:rPr>
              <w:t>个灶台，</w:t>
            </w:r>
            <w:r>
              <w:t xml:space="preserve"> </w:t>
            </w:r>
            <w:r>
              <w:rPr>
                <w:spacing w:val="-3"/>
              </w:rPr>
              <w:t>供</w:t>
            </w:r>
            <w:r>
              <w:rPr>
                <w:spacing w:val="-46"/>
              </w:rPr>
              <w:t xml:space="preserve"> </w:t>
            </w:r>
            <w:r>
              <w:rPr>
                <w:rFonts w:ascii="Times New Roman" w:hAnsi="Times New Roman" w:eastAsia="Times New Roman" w:cs="Times New Roman"/>
                <w:spacing w:val="-3"/>
              </w:rPr>
              <w:t xml:space="preserve">50 </w:t>
            </w:r>
            <w:r>
              <w:rPr>
                <w:spacing w:val="-3"/>
              </w:rPr>
              <w:t>人就餐。食堂使用液化气和电能，产生油烟量很少，且为间歇性排放。油烟</w:t>
            </w:r>
            <w:r>
              <w:t xml:space="preserve"> 经抽油烟机处理后，通过专用油烟管道排放，对</w:t>
            </w:r>
            <w:r>
              <w:rPr>
                <w:spacing w:val="-1"/>
              </w:rPr>
              <w:t>周围环境空气影响较小。</w:t>
            </w:r>
          </w:p>
          <w:p w14:paraId="24D3C9B7">
            <w:pPr>
              <w:pStyle w:val="6"/>
              <w:spacing w:before="36" w:line="219" w:lineRule="auto"/>
              <w:ind w:left="588"/>
            </w:pPr>
            <w:r>
              <w:rPr>
                <w:rFonts w:ascii="Times New Roman" w:hAnsi="Times New Roman" w:eastAsia="Times New Roman" w:cs="Times New Roman"/>
                <w:spacing w:val="-2"/>
              </w:rPr>
              <w:t>5</w:t>
            </w:r>
            <w:r>
              <w:rPr>
                <w:spacing w:val="-2"/>
              </w:rPr>
              <w:t>）施工机械和车辆废气</w:t>
            </w:r>
          </w:p>
          <w:p w14:paraId="7C7D24BF">
            <w:pPr>
              <w:pStyle w:val="6"/>
              <w:spacing w:before="181" w:line="355" w:lineRule="auto"/>
              <w:ind w:left="106" w:right="102" w:firstLine="480"/>
            </w:pPr>
            <w:r>
              <w:rPr>
                <w:spacing w:val="1"/>
              </w:rPr>
              <w:t>本项目施工期运输车辆及其它燃油机械施工</w:t>
            </w:r>
            <w:r>
              <w:t>时产生的废气其中的污染物主要 有烟尘、</w:t>
            </w:r>
            <w:r>
              <w:rPr>
                <w:rFonts w:ascii="Times New Roman" w:hAnsi="Times New Roman" w:eastAsia="Times New Roman" w:cs="Times New Roman"/>
              </w:rPr>
              <w:t>NOx</w:t>
            </w:r>
            <w:r>
              <w:rPr>
                <w:rFonts w:ascii="Times New Roman" w:hAnsi="Times New Roman" w:eastAsia="Times New Roman" w:cs="Times New Roman"/>
                <w:spacing w:val="-34"/>
              </w:rPr>
              <w:t xml:space="preserve"> </w:t>
            </w:r>
            <w:r>
              <w:t>、</w:t>
            </w:r>
            <w:r>
              <w:rPr>
                <w:rFonts w:ascii="Times New Roman" w:hAnsi="Times New Roman" w:eastAsia="Times New Roman" w:cs="Times New Roman"/>
              </w:rPr>
              <w:t xml:space="preserve">CO </w:t>
            </w:r>
            <w:r>
              <w:t>及</w:t>
            </w:r>
            <w:r>
              <w:rPr>
                <w:spacing w:val="-49"/>
              </w:rPr>
              <w:t xml:space="preserve"> </w:t>
            </w:r>
            <w:r>
              <w:rPr>
                <w:rFonts w:ascii="Times New Roman" w:hAnsi="Times New Roman" w:eastAsia="Times New Roman" w:cs="Times New Roman"/>
              </w:rPr>
              <w:t xml:space="preserve">CHx </w:t>
            </w:r>
            <w:r>
              <w:t>等，会对环境空气造成一定影响。</w:t>
            </w:r>
            <w:r>
              <w:rPr>
                <w:spacing w:val="-1"/>
              </w:rPr>
              <w:t>施工机械废气具有</w:t>
            </w:r>
            <w:r>
              <w:t xml:space="preserve"> </w:t>
            </w:r>
            <w:r>
              <w:rPr>
                <w:spacing w:val="1"/>
              </w:rPr>
              <w:t>间断性产生、产生量较小、产生点相对分散、</w:t>
            </w:r>
            <w:r>
              <w:t xml:space="preserve">易被稀释扩散等特点。项目区处于 </w:t>
            </w:r>
            <w:r>
              <w:rPr>
                <w:spacing w:val="1"/>
              </w:rPr>
              <w:t>半山坡地形，周边无特别高的山体，有利于大</w:t>
            </w:r>
            <w:r>
              <w:t xml:space="preserve">气扩散，一般情况下，施工机械和 </w:t>
            </w:r>
            <w:r>
              <w:rPr>
                <w:spacing w:val="1"/>
              </w:rPr>
              <w:t>运输车辆所产生的废气污染在空气中经自然扩</w:t>
            </w:r>
            <w:r>
              <w:t xml:space="preserve">散和稀释后，对项目区域的空气环 </w:t>
            </w:r>
            <w:r>
              <w:rPr>
                <w:spacing w:val="-2"/>
              </w:rPr>
              <w:t>境质量影响小。</w:t>
            </w:r>
          </w:p>
          <w:p w14:paraId="139E2217">
            <w:pPr>
              <w:pStyle w:val="6"/>
              <w:spacing w:before="32" w:line="219" w:lineRule="auto"/>
              <w:ind w:left="587"/>
            </w:pPr>
            <w:r>
              <w:rPr>
                <w:rFonts w:ascii="Times New Roman" w:hAnsi="Times New Roman" w:eastAsia="Times New Roman" w:cs="Times New Roman"/>
                <w:spacing w:val="-2"/>
              </w:rPr>
              <w:t>6</w:t>
            </w:r>
            <w:r>
              <w:rPr>
                <w:spacing w:val="-2"/>
              </w:rPr>
              <w:t>）装修废气</w:t>
            </w:r>
          </w:p>
        </w:tc>
      </w:tr>
    </w:tbl>
    <w:p w14:paraId="47037428">
      <w:pPr>
        <w:rPr>
          <w:rFonts w:ascii="Arial"/>
          <w:sz w:val="21"/>
        </w:rPr>
      </w:pPr>
    </w:p>
    <w:p w14:paraId="471B25E0">
      <w:pPr>
        <w:rPr>
          <w:rFonts w:ascii="Arial" w:hAnsi="Arial" w:eastAsia="Arial" w:cs="Arial"/>
          <w:sz w:val="21"/>
          <w:szCs w:val="21"/>
        </w:rPr>
        <w:sectPr>
          <w:footerReference r:id="rId115" w:type="default"/>
          <w:pgSz w:w="11906" w:h="16839"/>
          <w:pgMar w:top="1431" w:right="1454" w:bottom="1278" w:left="1454" w:header="0" w:footer="1116" w:gutter="0"/>
          <w:cols w:space="720" w:num="1"/>
        </w:sectPr>
      </w:pPr>
    </w:p>
    <w:p w14:paraId="058082AA">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0F426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6" w:hRule="atLeast"/>
        </w:trPr>
        <w:tc>
          <w:tcPr>
            <w:tcW w:w="339" w:type="dxa"/>
            <w:tcBorders>
              <w:right w:val="single" w:color="000000" w:sz="2" w:space="0"/>
            </w:tcBorders>
            <w:vAlign w:val="top"/>
          </w:tcPr>
          <w:p w14:paraId="635E8AEE">
            <w:pPr>
              <w:rPr>
                <w:rFonts w:ascii="Arial"/>
                <w:sz w:val="21"/>
              </w:rPr>
            </w:pPr>
          </w:p>
        </w:tc>
        <w:tc>
          <w:tcPr>
            <w:tcW w:w="8643" w:type="dxa"/>
            <w:tcBorders>
              <w:left w:val="single" w:color="000000" w:sz="2" w:space="0"/>
            </w:tcBorders>
            <w:vAlign w:val="top"/>
          </w:tcPr>
          <w:p w14:paraId="29D3C68C">
            <w:pPr>
              <w:pStyle w:val="6"/>
              <w:spacing w:before="42" w:line="349" w:lineRule="auto"/>
              <w:ind w:left="105" w:right="102" w:firstLine="480"/>
              <w:jc w:val="both"/>
            </w:pPr>
            <w:r>
              <w:rPr>
                <w:spacing w:val="1"/>
              </w:rPr>
              <w:t>施工期的室内装修主要为升压站综合楼、仓库等装修。</w:t>
            </w:r>
            <w:r>
              <w:t xml:space="preserve">在装修过程中焊接和 </w:t>
            </w:r>
            <w:r>
              <w:rPr>
                <w:spacing w:val="1"/>
              </w:rPr>
              <w:t>粉刷过程中会产生少量装修废气，产生量少，装</w:t>
            </w:r>
            <w:r>
              <w:t xml:space="preserve">修时间较短，装修废气随着装修 </w:t>
            </w:r>
            <w:r>
              <w:rPr>
                <w:spacing w:val="-2"/>
              </w:rPr>
              <w:t>的结束而消失。</w:t>
            </w:r>
          </w:p>
          <w:p w14:paraId="011F17D1">
            <w:pPr>
              <w:pStyle w:val="6"/>
              <w:spacing w:before="37" w:line="219" w:lineRule="auto"/>
              <w:ind w:left="598"/>
            </w:pPr>
            <w:r>
              <w:rPr>
                <w:spacing w:val="-3"/>
              </w:rPr>
              <w:t>（</w:t>
            </w:r>
            <w:r>
              <w:rPr>
                <w:rFonts w:ascii="Times New Roman" w:hAnsi="Times New Roman" w:eastAsia="Times New Roman" w:cs="Times New Roman"/>
                <w:spacing w:val="-3"/>
              </w:rPr>
              <w:t>3</w:t>
            </w:r>
            <w:r>
              <w:rPr>
                <w:spacing w:val="-3"/>
              </w:rPr>
              <w:t>）水环境影响分析</w:t>
            </w:r>
          </w:p>
          <w:p w14:paraId="15648B43">
            <w:pPr>
              <w:pStyle w:val="6"/>
              <w:spacing w:before="183" w:line="219" w:lineRule="auto"/>
              <w:ind w:left="585"/>
            </w:pPr>
            <w:r>
              <w:t>施工期间产生的废水主要为施工废水、生活</w:t>
            </w:r>
            <w:r>
              <w:rPr>
                <w:spacing w:val="-1"/>
              </w:rPr>
              <w:t>污水和雨天地表径流。</w:t>
            </w:r>
          </w:p>
          <w:p w14:paraId="6B4107DD">
            <w:pPr>
              <w:pStyle w:val="6"/>
              <w:spacing w:before="180" w:line="219" w:lineRule="auto"/>
              <w:ind w:left="605"/>
            </w:pPr>
            <w:r>
              <w:rPr>
                <w:rFonts w:ascii="Times New Roman" w:hAnsi="Times New Roman" w:eastAsia="Times New Roman" w:cs="Times New Roman"/>
                <w:spacing w:val="-3"/>
              </w:rPr>
              <w:t>1</w:t>
            </w:r>
            <w:r>
              <w:rPr>
                <w:spacing w:val="-3"/>
              </w:rPr>
              <w:t>）施工废水影响分析</w:t>
            </w:r>
          </w:p>
          <w:p w14:paraId="233F1491">
            <w:pPr>
              <w:pStyle w:val="6"/>
              <w:spacing w:before="184" w:line="344" w:lineRule="auto"/>
              <w:ind w:left="105" w:right="104" w:firstLine="484"/>
            </w:pPr>
            <w:r>
              <w:t>项目施工时，施工废水主要为桩基、箱变油坑构筑物等混凝土养护时产生的</w:t>
            </w:r>
            <w:r>
              <w:rPr>
                <w:spacing w:val="16"/>
              </w:rPr>
              <w:t xml:space="preserve"> </w:t>
            </w:r>
            <w:r>
              <w:rPr>
                <w:spacing w:val="-1"/>
              </w:rPr>
              <w:t>废水，以及施工机械设备冲洗废水。</w:t>
            </w:r>
          </w:p>
          <w:p w14:paraId="5ABFF5B7">
            <w:pPr>
              <w:pStyle w:val="6"/>
              <w:spacing w:before="38" w:line="219" w:lineRule="auto"/>
              <w:ind w:left="589"/>
            </w:pPr>
            <w:r>
              <w:rPr>
                <w:spacing w:val="-2"/>
              </w:rPr>
              <w:t>混凝土养护废水主要污染物为</w:t>
            </w:r>
            <w:r>
              <w:rPr>
                <w:spacing w:val="-34"/>
              </w:rPr>
              <w:t xml:space="preserve"> </w:t>
            </w:r>
            <w:r>
              <w:rPr>
                <w:rFonts w:ascii="Times New Roman" w:hAnsi="Times New Roman" w:eastAsia="Times New Roman" w:cs="Times New Roman"/>
                <w:spacing w:val="-2"/>
              </w:rPr>
              <w:t>SS</w:t>
            </w:r>
            <w:r>
              <w:rPr>
                <w:rFonts w:ascii="Times New Roman" w:hAnsi="Times New Roman" w:eastAsia="Times New Roman" w:cs="Times New Roman"/>
                <w:spacing w:val="-32"/>
              </w:rPr>
              <w:t xml:space="preserve"> </w:t>
            </w:r>
            <w:r>
              <w:rPr>
                <w:spacing w:val="-2"/>
              </w:rPr>
              <w:t>，该废水在养护过程中全部蒸发，不外排。</w:t>
            </w:r>
          </w:p>
          <w:p w14:paraId="039936E6">
            <w:pPr>
              <w:pStyle w:val="6"/>
              <w:spacing w:before="184" w:line="356" w:lineRule="auto"/>
              <w:ind w:left="104" w:right="40" w:firstLine="480"/>
            </w:pPr>
            <w:r>
              <w:rPr>
                <w:spacing w:val="-9"/>
              </w:rPr>
              <w:t>施工机械设备冲洗废水参照《云南省地方标准 用水定额》（</w:t>
            </w:r>
            <w:r>
              <w:rPr>
                <w:rFonts w:ascii="Times New Roman" w:hAnsi="Times New Roman" w:eastAsia="Times New Roman" w:cs="Times New Roman"/>
                <w:spacing w:val="-9"/>
              </w:rPr>
              <w:t>DB53/T168-2019</w:t>
            </w:r>
            <w:r>
              <w:rPr>
                <w:spacing w:val="-54"/>
                <w:w w:val="86"/>
              </w:rPr>
              <w:t>），</w:t>
            </w:r>
            <w:r>
              <w:rPr>
                <w:spacing w:val="3"/>
              </w:rPr>
              <w:t xml:space="preserve"> </w:t>
            </w:r>
            <w:r>
              <w:t>建筑业用水定额，房屋工程建筑框架结构以每</w:t>
            </w:r>
            <w:r>
              <w:rPr>
                <w:spacing w:val="-30"/>
              </w:rPr>
              <w:t xml:space="preserve"> </w:t>
            </w:r>
            <w:r>
              <w:rPr>
                <w:rFonts w:ascii="Times New Roman" w:hAnsi="Times New Roman" w:eastAsia="Times New Roman" w:cs="Times New Roman"/>
              </w:rPr>
              <w:t>1m</w:t>
            </w:r>
            <w:r>
              <w:rPr>
                <w:rFonts w:ascii="Times New Roman" w:hAnsi="Times New Roman" w:eastAsia="Times New Roman" w:cs="Times New Roman"/>
                <w:position w:val="8"/>
                <w:sz w:val="15"/>
                <w:szCs w:val="15"/>
              </w:rPr>
              <w:t>2</w:t>
            </w:r>
            <w:r>
              <w:rPr>
                <w:rFonts w:ascii="Times New Roman" w:hAnsi="Times New Roman" w:eastAsia="Times New Roman" w:cs="Times New Roman"/>
                <w:spacing w:val="17"/>
                <w:w w:val="101"/>
                <w:position w:val="8"/>
                <w:sz w:val="15"/>
                <w:szCs w:val="15"/>
              </w:rPr>
              <w:t xml:space="preserve"> </w:t>
            </w:r>
            <w:r>
              <w:t>建筑面积总用水量为</w:t>
            </w:r>
            <w:r>
              <w:rPr>
                <w:spacing w:val="-30"/>
              </w:rPr>
              <w:t xml:space="preserve"> </w:t>
            </w:r>
            <w:r>
              <w:rPr>
                <w:rFonts w:ascii="Times New Roman" w:hAnsi="Times New Roman" w:eastAsia="Times New Roman" w:cs="Times New Roman"/>
              </w:rPr>
              <w:t>1</w:t>
            </w:r>
            <w:r>
              <w:rPr>
                <w:rFonts w:ascii="Times New Roman" w:hAnsi="Times New Roman" w:eastAsia="Times New Roman" w:cs="Times New Roman"/>
                <w:spacing w:val="-1"/>
              </w:rPr>
              <w:t>.5m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2"/>
                <w:position w:val="8"/>
                <w:sz w:val="15"/>
                <w:szCs w:val="15"/>
              </w:rPr>
              <w:t xml:space="preserve"> </w:t>
            </w:r>
            <w:r>
              <w:rPr>
                <w:spacing w:val="-1"/>
              </w:rPr>
              <w:t>估</w:t>
            </w:r>
            <w:r>
              <w:t xml:space="preserve"> </w:t>
            </w:r>
            <w:r>
              <w:rPr>
                <w:spacing w:val="1"/>
              </w:rPr>
              <w:t>算，废水产生量按用水量的</w:t>
            </w:r>
            <w:r>
              <w:rPr>
                <w:rFonts w:ascii="Times New Roman" w:hAnsi="Times New Roman" w:eastAsia="Times New Roman" w:cs="Times New Roman"/>
                <w:spacing w:val="1"/>
              </w:rPr>
              <w:t>5%</w:t>
            </w:r>
            <w:r>
              <w:rPr>
                <w:spacing w:val="1"/>
              </w:rPr>
              <w:t>估算，本项目建筑面积为</w:t>
            </w:r>
            <w:r>
              <w:rPr>
                <w:spacing w:val="-56"/>
              </w:rPr>
              <w:t xml:space="preserve"> </w:t>
            </w:r>
            <w:r>
              <w:rPr>
                <w:rFonts w:ascii="Times New Roman" w:hAnsi="Times New Roman" w:eastAsia="Times New Roman" w:cs="Times New Roman"/>
                <w:spacing w:val="1"/>
              </w:rPr>
              <w:t>4012.88m</w:t>
            </w:r>
            <w:r>
              <w:rPr>
                <w:rFonts w:ascii="Times New Roman" w:hAnsi="Times New Roman" w:eastAsia="Times New Roman" w:cs="Times New Roman"/>
                <w:spacing w:val="1"/>
                <w:position w:val="8"/>
                <w:sz w:val="15"/>
                <w:szCs w:val="15"/>
              </w:rPr>
              <w:t>2</w:t>
            </w:r>
            <w:r>
              <w:rPr>
                <w:spacing w:val="1"/>
              </w:rPr>
              <w:t>（包括</w:t>
            </w:r>
            <w:r>
              <w:t xml:space="preserve">升压站 </w:t>
            </w:r>
            <w:r>
              <w:rPr>
                <w:spacing w:val="-2"/>
              </w:rPr>
              <w:t>综合楼、附属用房等</w:t>
            </w:r>
            <w:r>
              <w:rPr>
                <w:spacing w:val="-21"/>
              </w:rPr>
              <w:t>），</w:t>
            </w:r>
            <w:r>
              <w:rPr>
                <w:spacing w:val="-2"/>
              </w:rPr>
              <w:t>则本项目施工总用水量约</w:t>
            </w:r>
            <w:r>
              <w:rPr>
                <w:spacing w:val="-49"/>
              </w:rPr>
              <w:t xml:space="preserve"> </w:t>
            </w:r>
            <w:r>
              <w:rPr>
                <w:rFonts w:ascii="Times New Roman" w:hAnsi="Times New Roman" w:eastAsia="Times New Roman" w:cs="Times New Roman"/>
                <w:spacing w:val="-2"/>
              </w:rPr>
              <w:t>6019.32m</w:t>
            </w:r>
            <w:r>
              <w:rPr>
                <w:rFonts w:ascii="Times New Roman" w:hAnsi="Times New Roman" w:eastAsia="Times New Roman" w:cs="Times New Roman"/>
                <w:spacing w:val="-3"/>
                <w:position w:val="8"/>
                <w:sz w:val="15"/>
                <w:szCs w:val="15"/>
              </w:rPr>
              <w:t>3</w:t>
            </w:r>
            <w:r>
              <w:rPr>
                <w:spacing w:val="-3"/>
              </w:rPr>
              <w:t>，废水的产生量约为</w:t>
            </w:r>
            <w:r>
              <w:t xml:space="preserve"> </w:t>
            </w:r>
            <w:r>
              <w:rPr>
                <w:rFonts w:ascii="Times New Roman" w:hAnsi="Times New Roman" w:eastAsia="Times New Roman" w:cs="Times New Roman"/>
              </w:rPr>
              <w:t>300.97m</w:t>
            </w:r>
            <w:r>
              <w:rPr>
                <w:rFonts w:ascii="Times New Roman" w:hAnsi="Times New Roman" w:eastAsia="Times New Roman" w:cs="Times New Roman"/>
                <w:position w:val="7"/>
                <w:sz w:val="15"/>
                <w:szCs w:val="15"/>
              </w:rPr>
              <w:t xml:space="preserve">3 </w:t>
            </w:r>
            <w:r>
              <w:t>。项目房屋构筑物施工期为</w:t>
            </w:r>
            <w:r>
              <w:rPr>
                <w:spacing w:val="-46"/>
              </w:rPr>
              <w:t xml:space="preserve"> </w:t>
            </w:r>
            <w:r>
              <w:rPr>
                <w:rFonts w:ascii="Times New Roman" w:hAnsi="Times New Roman" w:eastAsia="Times New Roman" w:cs="Times New Roman"/>
              </w:rPr>
              <w:t xml:space="preserve">3 </w:t>
            </w:r>
            <w:r>
              <w:t>个月，每天产生量约</w:t>
            </w:r>
            <w:r>
              <w:rPr>
                <w:spacing w:val="-48"/>
              </w:rPr>
              <w:t xml:space="preserve"> </w:t>
            </w:r>
            <w:r>
              <w:rPr>
                <w:rFonts w:ascii="Times New Roman" w:hAnsi="Times New Roman" w:eastAsia="Times New Roman" w:cs="Times New Roman"/>
              </w:rPr>
              <w:t>3.34m</w:t>
            </w:r>
            <w:r>
              <w:rPr>
                <w:rFonts w:ascii="Times New Roman" w:hAnsi="Times New Roman" w:eastAsia="Times New Roman" w:cs="Times New Roman"/>
                <w:position w:val="7"/>
                <w:sz w:val="15"/>
                <w:szCs w:val="15"/>
              </w:rPr>
              <w:t>3</w:t>
            </w:r>
            <w:r>
              <w:rPr>
                <w:rFonts w:ascii="Times New Roman" w:hAnsi="Times New Roman" w:eastAsia="Times New Roman" w:cs="Times New Roman"/>
              </w:rPr>
              <w:t>/d</w:t>
            </w:r>
            <w:r>
              <w:rPr>
                <w:rFonts w:ascii="Times New Roman" w:hAnsi="Times New Roman" w:eastAsia="Times New Roman" w:cs="Times New Roman"/>
                <w:spacing w:val="-29"/>
              </w:rPr>
              <w:t xml:space="preserve"> </w:t>
            </w:r>
            <w:r>
              <w:t xml:space="preserve">，其中主要 </w:t>
            </w:r>
            <w:r>
              <w:rPr>
                <w:spacing w:val="-2"/>
              </w:rPr>
              <w:t>污染因子为</w:t>
            </w:r>
            <w:r>
              <w:rPr>
                <w:spacing w:val="-45"/>
              </w:rPr>
              <w:t xml:space="preserve"> </w:t>
            </w:r>
            <w:r>
              <w:rPr>
                <w:rFonts w:ascii="Times New Roman" w:hAnsi="Times New Roman" w:eastAsia="Times New Roman" w:cs="Times New Roman"/>
                <w:spacing w:val="-2"/>
              </w:rPr>
              <w:t>SS</w:t>
            </w:r>
            <w:r>
              <w:rPr>
                <w:spacing w:val="-2"/>
              </w:rPr>
              <w:t>，悬浮物浓度为</w:t>
            </w:r>
            <w:r>
              <w:rPr>
                <w:spacing w:val="-48"/>
              </w:rPr>
              <w:t xml:space="preserve"> </w:t>
            </w:r>
            <w:r>
              <w:rPr>
                <w:rFonts w:ascii="Times New Roman" w:hAnsi="Times New Roman" w:eastAsia="Times New Roman" w:cs="Times New Roman"/>
                <w:spacing w:val="-2"/>
              </w:rPr>
              <w:t>500mg/</w:t>
            </w:r>
            <w:r>
              <w:rPr>
                <w:rFonts w:ascii="Times New Roman" w:hAnsi="Times New Roman" w:eastAsia="Times New Roman" w:cs="Times New Roman"/>
                <w:spacing w:val="-3"/>
              </w:rPr>
              <w:t>L</w:t>
            </w:r>
            <w:r>
              <w:rPr>
                <w:spacing w:val="-3"/>
              </w:rPr>
              <w:t>～</w:t>
            </w:r>
            <w:r>
              <w:rPr>
                <w:rFonts w:ascii="Times New Roman" w:hAnsi="Times New Roman" w:eastAsia="Times New Roman" w:cs="Times New Roman"/>
                <w:spacing w:val="-3"/>
              </w:rPr>
              <w:t>2000mg/L</w:t>
            </w:r>
            <w:r>
              <w:rPr>
                <w:spacing w:val="-3"/>
              </w:rPr>
              <w:t>。项目拟在升压站施工场区设</w:t>
            </w:r>
            <w:r>
              <w:t xml:space="preserve"> </w:t>
            </w:r>
            <w:r>
              <w:rPr>
                <w:spacing w:val="-12"/>
              </w:rPr>
              <w:t>置</w:t>
            </w:r>
            <w:r>
              <w:rPr>
                <w:spacing w:val="-31"/>
              </w:rPr>
              <w:t xml:space="preserve"> </w:t>
            </w:r>
            <w:r>
              <w:rPr>
                <w:rFonts w:ascii="Times New Roman" w:hAnsi="Times New Roman" w:eastAsia="Times New Roman" w:cs="Times New Roman"/>
                <w:spacing w:val="-12"/>
              </w:rPr>
              <w:t>1</w:t>
            </w:r>
            <w:r>
              <w:rPr>
                <w:rFonts w:ascii="Times New Roman" w:hAnsi="Times New Roman" w:eastAsia="Times New Roman" w:cs="Times New Roman"/>
                <w:spacing w:val="14"/>
              </w:rPr>
              <w:t xml:space="preserve"> </w:t>
            </w:r>
            <w:r>
              <w:rPr>
                <w:spacing w:val="-12"/>
              </w:rPr>
              <w:t>座</w:t>
            </w:r>
            <w:r>
              <w:rPr>
                <w:spacing w:val="-49"/>
              </w:rPr>
              <w:t xml:space="preserve"> </w:t>
            </w:r>
            <w:r>
              <w:rPr>
                <w:rFonts w:ascii="Times New Roman" w:hAnsi="Times New Roman" w:eastAsia="Times New Roman" w:cs="Times New Roman"/>
                <w:spacing w:val="-12"/>
              </w:rPr>
              <w:t>5m</w:t>
            </w:r>
            <w:r>
              <w:rPr>
                <w:rFonts w:ascii="Times New Roman" w:hAnsi="Times New Roman" w:eastAsia="Times New Roman" w:cs="Times New Roman"/>
                <w:position w:val="8"/>
                <w:sz w:val="15"/>
                <w:szCs w:val="15"/>
              </w:rPr>
              <w:t>3</w:t>
            </w:r>
            <w:r>
              <w:rPr>
                <w:rFonts w:ascii="Times New Roman" w:hAnsi="Times New Roman" w:eastAsia="Times New Roman" w:cs="Times New Roman"/>
                <w:spacing w:val="31"/>
                <w:w w:val="102"/>
                <w:position w:val="8"/>
                <w:sz w:val="15"/>
                <w:szCs w:val="15"/>
              </w:rPr>
              <w:t xml:space="preserve"> </w:t>
            </w:r>
            <w:r>
              <w:t xml:space="preserve">的沉淀池，用于处理施工废水，产生的施工废水经沉淀池处理后，全 </w:t>
            </w:r>
            <w:r>
              <w:rPr>
                <w:spacing w:val="1"/>
              </w:rPr>
              <w:t>部回用于施工用水和场地洒水降尘，不外排，对周</w:t>
            </w:r>
            <w:r>
              <w:t xml:space="preserve">围水环境影响小。沉淀池的容 </w:t>
            </w:r>
            <w:r>
              <w:rPr>
                <w:spacing w:val="-4"/>
              </w:rPr>
              <w:t>积应满足废水在池内停留时间</w:t>
            </w:r>
            <w:r>
              <w:rPr>
                <w:spacing w:val="-32"/>
              </w:rPr>
              <w:t xml:space="preserve"> </w:t>
            </w:r>
            <w:r>
              <w:rPr>
                <w:rFonts w:ascii="Times New Roman" w:hAnsi="Times New Roman" w:eastAsia="Times New Roman" w:cs="Times New Roman"/>
                <w:spacing w:val="-4"/>
              </w:rPr>
              <w:t>12h-24</w:t>
            </w:r>
            <w:r>
              <w:rPr>
                <w:rFonts w:ascii="Times New Roman" w:hAnsi="Times New Roman" w:eastAsia="Times New Roman" w:cs="Times New Roman"/>
                <w:spacing w:val="-5"/>
              </w:rPr>
              <w:t xml:space="preserve">h </w:t>
            </w:r>
            <w:r>
              <w:rPr>
                <w:spacing w:val="-5"/>
              </w:rPr>
              <w:t>要求，考虑</w:t>
            </w:r>
            <w:r>
              <w:rPr>
                <w:spacing w:val="-31"/>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14"/>
              </w:rPr>
              <w:t xml:space="preserve"> </w:t>
            </w:r>
            <w:r>
              <w:rPr>
                <w:spacing w:val="-5"/>
              </w:rPr>
              <w:t>安全系数，即沉淀池不得小</w:t>
            </w:r>
            <w:r>
              <w:t xml:space="preserve"> </w:t>
            </w:r>
            <w:r>
              <w:rPr>
                <w:spacing w:val="-3"/>
              </w:rPr>
              <w:t>于</w:t>
            </w:r>
            <w:r>
              <w:rPr>
                <w:spacing w:val="-51"/>
              </w:rPr>
              <w:t xml:space="preserve"> </w:t>
            </w:r>
            <w:r>
              <w:rPr>
                <w:rFonts w:ascii="Times New Roman" w:hAnsi="Times New Roman" w:eastAsia="Times New Roman" w:cs="Times New Roman"/>
                <w:spacing w:val="-3"/>
              </w:rPr>
              <w:t>4m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0"/>
                <w:position w:val="7"/>
                <w:sz w:val="15"/>
                <w:szCs w:val="15"/>
              </w:rPr>
              <w:t xml:space="preserve"> </w:t>
            </w:r>
            <w:r>
              <w:rPr>
                <w:spacing w:val="-3"/>
              </w:rPr>
              <w:t>，</w:t>
            </w:r>
            <w:r>
              <w:rPr>
                <w:rFonts w:ascii="Times New Roman" w:hAnsi="Times New Roman" w:eastAsia="Times New Roman" w:cs="Times New Roman"/>
                <w:spacing w:val="-3"/>
              </w:rPr>
              <w:t>5m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2"/>
                <w:position w:val="7"/>
                <w:sz w:val="15"/>
                <w:szCs w:val="15"/>
              </w:rPr>
              <w:t xml:space="preserve"> </w:t>
            </w:r>
            <w:r>
              <w:rPr>
                <w:spacing w:val="-3"/>
              </w:rPr>
              <w:t>的沉淀池满足施工废水处理需求。</w:t>
            </w:r>
          </w:p>
          <w:p w14:paraId="3286E504">
            <w:pPr>
              <w:pStyle w:val="6"/>
              <w:spacing w:before="37" w:line="219" w:lineRule="auto"/>
              <w:ind w:left="582"/>
            </w:pPr>
            <w:r>
              <w:rPr>
                <w:rFonts w:ascii="Times New Roman" w:hAnsi="Times New Roman" w:eastAsia="Times New Roman" w:cs="Times New Roman"/>
                <w:spacing w:val="-1"/>
              </w:rPr>
              <w:t>2</w:t>
            </w:r>
            <w:r>
              <w:rPr>
                <w:spacing w:val="-1"/>
              </w:rPr>
              <w:t>）施工生活污水</w:t>
            </w:r>
          </w:p>
          <w:p w14:paraId="04FC8650">
            <w:pPr>
              <w:pStyle w:val="6"/>
              <w:spacing w:before="188" w:line="355" w:lineRule="auto"/>
              <w:ind w:left="97" w:firstLine="492"/>
            </w:pPr>
            <w:r>
              <w:t>项目施工高峰期施工人员约为</w:t>
            </w:r>
            <w:r>
              <w:rPr>
                <w:spacing w:val="-47"/>
              </w:rPr>
              <w:t xml:space="preserve"> </w:t>
            </w:r>
            <w:r>
              <w:rPr>
                <w:rFonts w:ascii="Times New Roman" w:hAnsi="Times New Roman" w:eastAsia="Times New Roman" w:cs="Times New Roman"/>
              </w:rPr>
              <w:t xml:space="preserve">300 </w:t>
            </w:r>
            <w:r>
              <w:t xml:space="preserve">人，项目在施工营场地内设置生活区，其  </w:t>
            </w:r>
            <w:r>
              <w:rPr>
                <w:spacing w:val="-4"/>
              </w:rPr>
              <w:t>中约</w:t>
            </w:r>
            <w:r>
              <w:rPr>
                <w:rFonts w:ascii="Times New Roman" w:hAnsi="Times New Roman" w:eastAsia="Times New Roman" w:cs="Times New Roman"/>
                <w:spacing w:val="-4"/>
              </w:rPr>
              <w:t xml:space="preserve">50 </w:t>
            </w:r>
            <w:r>
              <w:rPr>
                <w:spacing w:val="-4"/>
              </w:rPr>
              <w:t>人在施工营场地食宿，食宿的施工人员生活</w:t>
            </w:r>
            <w:r>
              <w:rPr>
                <w:spacing w:val="-5"/>
              </w:rPr>
              <w:t>用水量参照《云南省用水定额》</w:t>
            </w:r>
            <w:r>
              <w:t xml:space="preserve"> </w:t>
            </w:r>
            <w:r>
              <w:rPr>
                <w:spacing w:val="-7"/>
              </w:rPr>
              <w:t>（</w:t>
            </w:r>
            <w:r>
              <w:rPr>
                <w:rFonts w:ascii="Times New Roman" w:hAnsi="Times New Roman" w:eastAsia="Times New Roman" w:cs="Times New Roman"/>
                <w:spacing w:val="-7"/>
              </w:rPr>
              <w:t>DB53/T168-2019</w:t>
            </w:r>
            <w:r>
              <w:rPr>
                <w:spacing w:val="-7"/>
              </w:rPr>
              <w:t>）中的“农村</w:t>
            </w:r>
            <w:r>
              <w:rPr>
                <w:spacing w:val="-70"/>
              </w:rPr>
              <w:t xml:space="preserve"> </w:t>
            </w:r>
            <w:r>
              <w:rPr>
                <w:spacing w:val="-7"/>
              </w:rPr>
              <w:t>”定额，取</w:t>
            </w:r>
            <w:r>
              <w:rPr>
                <w:spacing w:val="-50"/>
              </w:rPr>
              <w:t xml:space="preserve"> </w:t>
            </w:r>
            <w:r>
              <w:rPr>
                <w:rFonts w:ascii="Times New Roman" w:hAnsi="Times New Roman" w:eastAsia="Times New Roman" w:cs="Times New Roman"/>
                <w:spacing w:val="-7"/>
              </w:rPr>
              <w:t>90L/</w:t>
            </w:r>
            <w:r>
              <w:rPr>
                <w:spacing w:val="-7"/>
              </w:rPr>
              <w:t>人</w:t>
            </w:r>
            <w:r>
              <w:rPr>
                <w:rFonts w:ascii="Times New Roman" w:hAnsi="Times New Roman" w:eastAsia="Times New Roman" w:cs="Times New Roman"/>
                <w:spacing w:val="-7"/>
              </w:rPr>
              <w:t>·d</w:t>
            </w:r>
            <w:r>
              <w:rPr>
                <w:spacing w:val="-7"/>
              </w:rPr>
              <w:t>，不食宿的用水量取</w:t>
            </w:r>
            <w:r>
              <w:rPr>
                <w:spacing w:val="-49"/>
              </w:rPr>
              <w:t xml:space="preserve"> </w:t>
            </w:r>
            <w:r>
              <w:rPr>
                <w:rFonts w:ascii="Times New Roman" w:hAnsi="Times New Roman" w:eastAsia="Times New Roman" w:cs="Times New Roman"/>
                <w:spacing w:val="-7"/>
              </w:rPr>
              <w:t>55L/</w:t>
            </w:r>
            <w:r>
              <w:rPr>
                <w:spacing w:val="-7"/>
              </w:rPr>
              <w:t>（人</w:t>
            </w:r>
            <w:r>
              <w:t xml:space="preserve">  </w:t>
            </w:r>
            <w:r>
              <w:rPr>
                <w:rFonts w:ascii="Times New Roman" w:hAnsi="Times New Roman" w:eastAsia="Times New Roman" w:cs="Times New Roman"/>
              </w:rPr>
              <w:t>/d</w:t>
            </w:r>
            <w:r>
              <w:rPr>
                <w:spacing w:val="11"/>
              </w:rPr>
              <w:t>），</w:t>
            </w:r>
            <w:r>
              <w:t>则用水量为</w:t>
            </w:r>
            <w:r>
              <w:rPr>
                <w:spacing w:val="-26"/>
              </w:rPr>
              <w:t xml:space="preserve"> </w:t>
            </w:r>
            <w:r>
              <w:rPr>
                <w:rFonts w:ascii="Times New Roman" w:hAnsi="Times New Roman" w:eastAsia="Times New Roman" w:cs="Times New Roman"/>
              </w:rPr>
              <w:t>18.25m</w:t>
            </w:r>
            <w:r>
              <w:rPr>
                <w:rFonts w:ascii="Times New Roman" w:hAnsi="Times New Roman" w:eastAsia="Times New Roman" w:cs="Times New Roman"/>
                <w:position w:val="8"/>
                <w:sz w:val="15"/>
                <w:szCs w:val="15"/>
              </w:rPr>
              <w:t>3</w:t>
            </w:r>
            <w:r>
              <w:rPr>
                <w:rFonts w:ascii="Times New Roman" w:hAnsi="Times New Roman" w:eastAsia="Times New Roman" w:cs="Times New Roman"/>
              </w:rPr>
              <w:t>/d</w:t>
            </w:r>
            <w:r>
              <w:t>（按最大量核算</w:t>
            </w:r>
            <w:r>
              <w:rPr>
                <w:spacing w:val="11"/>
              </w:rPr>
              <w:t>），</w:t>
            </w:r>
            <w:r>
              <w:t>废水产生系</w:t>
            </w:r>
            <w:r>
              <w:rPr>
                <w:spacing w:val="-1"/>
              </w:rPr>
              <w:t>数取</w:t>
            </w:r>
            <w:r>
              <w:rPr>
                <w:spacing w:val="-49"/>
              </w:rPr>
              <w:t xml:space="preserve"> </w:t>
            </w:r>
            <w:r>
              <w:rPr>
                <w:rFonts w:ascii="Times New Roman" w:hAnsi="Times New Roman" w:eastAsia="Times New Roman" w:cs="Times New Roman"/>
                <w:spacing w:val="-1"/>
              </w:rPr>
              <w:t>0.8</w:t>
            </w:r>
            <w:r>
              <w:rPr>
                <w:rFonts w:ascii="Times New Roman" w:hAnsi="Times New Roman" w:eastAsia="Times New Roman" w:cs="Times New Roman"/>
                <w:spacing w:val="-26"/>
              </w:rPr>
              <w:t xml:space="preserve"> </w:t>
            </w:r>
            <w:r>
              <w:rPr>
                <w:spacing w:val="-1"/>
              </w:rPr>
              <w:t>，则废水量</w:t>
            </w:r>
            <w:r>
              <w:t xml:space="preserve">  </w:t>
            </w:r>
            <w:r>
              <w:rPr>
                <w:spacing w:val="-3"/>
              </w:rPr>
              <w:t>为</w:t>
            </w:r>
            <w:r>
              <w:rPr>
                <w:spacing w:val="-20"/>
              </w:rPr>
              <w:t xml:space="preserve"> </w:t>
            </w:r>
            <w:r>
              <w:rPr>
                <w:rFonts w:ascii="Times New Roman" w:hAnsi="Times New Roman" w:eastAsia="Times New Roman" w:cs="Times New Roman"/>
                <w:spacing w:val="-3"/>
              </w:rPr>
              <w:t>14.6m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27"/>
              </w:rPr>
              <w:t xml:space="preserve"> </w:t>
            </w:r>
            <w:r>
              <w:rPr>
                <w:spacing w:val="-3"/>
              </w:rPr>
              <w:t>。生活污水水质较为简单，其中</w:t>
            </w:r>
            <w:r>
              <w:rPr>
                <w:spacing w:val="-52"/>
              </w:rPr>
              <w:t xml:space="preserve"> </w:t>
            </w:r>
            <w:r>
              <w:rPr>
                <w:rFonts w:ascii="Times New Roman" w:hAnsi="Times New Roman" w:eastAsia="Times New Roman" w:cs="Times New Roman"/>
                <w:spacing w:val="-3"/>
              </w:rPr>
              <w:t>COD400mg/L</w:t>
            </w:r>
            <w:r>
              <w:rPr>
                <w:rFonts w:ascii="Times New Roman" w:hAnsi="Times New Roman" w:eastAsia="Times New Roman" w:cs="Times New Roman"/>
                <w:spacing w:val="-28"/>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3"/>
              </w:rPr>
              <w:t>200mg/L</w:t>
            </w:r>
            <w:r>
              <w:rPr>
                <w:rFonts w:ascii="Times New Roman" w:hAnsi="Times New Roman" w:eastAsia="Times New Roman" w:cs="Times New Roman"/>
                <w:spacing w:val="-29"/>
              </w:rPr>
              <w:t xml:space="preserve"> </w:t>
            </w:r>
            <w:r>
              <w:rPr>
                <w:spacing w:val="-3"/>
              </w:rPr>
              <w:t>，氨氮</w:t>
            </w:r>
            <w:r>
              <w:t xml:space="preserve">  </w:t>
            </w:r>
            <w:r>
              <w:rPr>
                <w:rFonts w:ascii="Times New Roman" w:hAnsi="Times New Roman" w:eastAsia="Times New Roman" w:cs="Times New Roman"/>
              </w:rPr>
              <w:t>30mg/L</w:t>
            </w:r>
            <w:r>
              <w:rPr>
                <w:rFonts w:ascii="Times New Roman" w:hAnsi="Times New Roman" w:eastAsia="Times New Roman" w:cs="Times New Roman"/>
                <w:spacing w:val="-25"/>
              </w:rPr>
              <w:t xml:space="preserve"> </w:t>
            </w:r>
            <w:r>
              <w:t>，</w:t>
            </w:r>
            <w:r>
              <w:rPr>
                <w:rFonts w:ascii="Times New Roman" w:hAnsi="Times New Roman" w:eastAsia="Times New Roman" w:cs="Times New Roman"/>
              </w:rPr>
              <w:t>SS200mg/L</w:t>
            </w:r>
            <w:r>
              <w:rPr>
                <w:rFonts w:ascii="Times New Roman" w:hAnsi="Times New Roman" w:eastAsia="Times New Roman" w:cs="Times New Roman"/>
                <w:spacing w:val="-25"/>
              </w:rPr>
              <w:t xml:space="preserve"> </w:t>
            </w:r>
            <w:r>
              <w:t xml:space="preserve">。为避免生活污水给环境带来的污染，根据项目施工布置， </w:t>
            </w:r>
            <w:r>
              <w:rPr>
                <w:spacing w:val="-3"/>
              </w:rPr>
              <w:t>在生活区设置隔油池和沉淀池，食堂废水经隔油池预处理后与施工人员生活污水、</w:t>
            </w:r>
            <w:r>
              <w:rPr>
                <w:spacing w:val="2"/>
              </w:rPr>
              <w:t xml:space="preserve"> </w:t>
            </w:r>
            <w:r>
              <w:t>施工废水合并进入沉淀池处理后回用于施工和场地洒水抑尘不外排。拟设置</w:t>
            </w:r>
            <w:r>
              <w:rPr>
                <w:spacing w:val="-32"/>
              </w:rPr>
              <w:t xml:space="preserve"> </w:t>
            </w:r>
            <w:r>
              <w:rPr>
                <w:rFonts w:ascii="Times New Roman" w:hAnsi="Times New Roman" w:eastAsia="Times New Roman" w:cs="Times New Roman"/>
              </w:rPr>
              <w:t xml:space="preserve">5 </w:t>
            </w:r>
            <w:r>
              <w:t>座  旱厕（其中升压站区设置</w:t>
            </w:r>
            <w:r>
              <w:rPr>
                <w:spacing w:val="-30"/>
              </w:rPr>
              <w:t xml:space="preserve"> </w:t>
            </w:r>
            <w:r>
              <w:rPr>
                <w:rFonts w:ascii="Times New Roman" w:hAnsi="Times New Roman" w:eastAsia="Times New Roman" w:cs="Times New Roman"/>
              </w:rPr>
              <w:t xml:space="preserve">1 </w:t>
            </w:r>
            <w:r>
              <w:t>座，光伏片区设置</w:t>
            </w:r>
            <w:r>
              <w:rPr>
                <w:spacing w:val="-56"/>
              </w:rPr>
              <w:t xml:space="preserve"> </w:t>
            </w:r>
            <w:r>
              <w:rPr>
                <w:rFonts w:ascii="Times New Roman" w:hAnsi="Times New Roman" w:eastAsia="Times New Roman" w:cs="Times New Roman"/>
              </w:rPr>
              <w:t xml:space="preserve">4 </w:t>
            </w:r>
            <w:r>
              <w:t>座，其他光伏</w:t>
            </w:r>
            <w:r>
              <w:rPr>
                <w:spacing w:val="-1"/>
              </w:rPr>
              <w:t>片区施工人员如厕</w:t>
            </w:r>
          </w:p>
        </w:tc>
      </w:tr>
    </w:tbl>
    <w:p w14:paraId="3E3A89A5">
      <w:pPr>
        <w:rPr>
          <w:rFonts w:ascii="Arial"/>
          <w:sz w:val="21"/>
        </w:rPr>
      </w:pPr>
    </w:p>
    <w:p w14:paraId="0F8F781E">
      <w:pPr>
        <w:rPr>
          <w:rFonts w:ascii="Arial" w:hAnsi="Arial" w:eastAsia="Arial" w:cs="Arial"/>
          <w:sz w:val="21"/>
          <w:szCs w:val="21"/>
        </w:rPr>
        <w:sectPr>
          <w:footerReference r:id="rId116" w:type="default"/>
          <w:pgSz w:w="11906" w:h="16839"/>
          <w:pgMar w:top="1431" w:right="1454" w:bottom="1278" w:left="1454" w:header="0" w:footer="1116" w:gutter="0"/>
          <w:cols w:space="720" w:num="1"/>
        </w:sectPr>
      </w:pPr>
    </w:p>
    <w:p w14:paraId="526CFDAA">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2CBC0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6" w:hRule="atLeast"/>
        </w:trPr>
        <w:tc>
          <w:tcPr>
            <w:tcW w:w="339" w:type="dxa"/>
            <w:tcBorders>
              <w:right w:val="single" w:color="000000" w:sz="2" w:space="0"/>
            </w:tcBorders>
            <w:vAlign w:val="top"/>
          </w:tcPr>
          <w:p w14:paraId="18547FFB">
            <w:pPr>
              <w:rPr>
                <w:rFonts w:ascii="Arial"/>
                <w:sz w:val="21"/>
              </w:rPr>
            </w:pPr>
          </w:p>
        </w:tc>
        <w:tc>
          <w:tcPr>
            <w:tcW w:w="8643" w:type="dxa"/>
            <w:tcBorders>
              <w:left w:val="single" w:color="000000" w:sz="2" w:space="0"/>
            </w:tcBorders>
            <w:vAlign w:val="top"/>
          </w:tcPr>
          <w:p w14:paraId="06EBBDE0">
            <w:pPr>
              <w:pStyle w:val="6"/>
              <w:spacing w:before="40" w:line="345" w:lineRule="auto"/>
              <w:ind w:left="108" w:right="102"/>
            </w:pPr>
            <w:r>
              <w:rPr>
                <w:spacing w:val="1"/>
              </w:rPr>
              <w:t>依托周边居民点）收集施工人员产生的粪便污水</w:t>
            </w:r>
            <w:r>
              <w:t xml:space="preserve">，定期清运用作植被恢复和场地 </w:t>
            </w:r>
            <w:r>
              <w:rPr>
                <w:spacing w:val="-3"/>
              </w:rPr>
              <w:t>绿化肥料。</w:t>
            </w:r>
          </w:p>
          <w:p w14:paraId="4035FD71">
            <w:pPr>
              <w:pStyle w:val="6"/>
              <w:spacing w:before="35" w:line="219" w:lineRule="auto"/>
              <w:ind w:left="587"/>
            </w:pPr>
            <w:r>
              <w:rPr>
                <w:rFonts w:ascii="Times New Roman" w:hAnsi="Times New Roman" w:eastAsia="Times New Roman" w:cs="Times New Roman"/>
                <w:spacing w:val="-1"/>
              </w:rPr>
              <w:t>3</w:t>
            </w:r>
            <w:r>
              <w:rPr>
                <w:spacing w:val="-1"/>
              </w:rPr>
              <w:t>）雨天形成地表径流污染的影响分析</w:t>
            </w:r>
          </w:p>
          <w:p w14:paraId="458D5419">
            <w:pPr>
              <w:pStyle w:val="6"/>
              <w:spacing w:before="180" w:line="357" w:lineRule="auto"/>
              <w:ind w:left="104" w:right="21" w:firstLine="480"/>
            </w:pPr>
            <w:r>
              <w:rPr>
                <w:spacing w:val="1"/>
              </w:rPr>
              <w:t>在施工期遇到下大雨，雨水冲刷项目场内道路修</w:t>
            </w:r>
            <w:r>
              <w:t xml:space="preserve">建、基础开挖会形成的裸露 </w:t>
            </w:r>
            <w:r>
              <w:rPr>
                <w:spacing w:val="1"/>
              </w:rPr>
              <w:t>面，形成地表径流，夹杂浮土、建筑砂石、石油类</w:t>
            </w:r>
            <w:r>
              <w:t xml:space="preserve">及其它地表固体污染物。当其 </w:t>
            </w:r>
            <w:r>
              <w:rPr>
                <w:spacing w:val="1"/>
              </w:rPr>
              <w:t>进入水体后会造成水体污染，致使水体水质下降。</w:t>
            </w:r>
            <w:r>
              <w:t xml:space="preserve">由于项目场地区域坡陡，面积 </w:t>
            </w:r>
            <w:r>
              <w:rPr>
                <w:spacing w:val="-4"/>
              </w:rPr>
              <w:t>较大，地表径流产生量较大，但项目动土部分主要为场区道路、升压站、逆变器、</w:t>
            </w:r>
            <w:r>
              <w:rPr>
                <w:spacing w:val="9"/>
              </w:rPr>
              <w:t xml:space="preserve"> </w:t>
            </w:r>
            <w:r>
              <w:rPr>
                <w:spacing w:val="1"/>
              </w:rPr>
              <w:t>集电线路及少量光伏列阵支架施工，动土面积相对</w:t>
            </w:r>
            <w:r>
              <w:t xml:space="preserve">较小，径流的面源污染相对较 </w:t>
            </w:r>
            <w:r>
              <w:rPr>
                <w:spacing w:val="-2"/>
              </w:rPr>
              <w:t>小。雨天形成的地表径流会通过低洼处流入附近箐沟，其污染物主要为</w:t>
            </w:r>
            <w:r>
              <w:rPr>
                <w:spacing w:val="-45"/>
              </w:rPr>
              <w:t xml:space="preserve"> </w:t>
            </w:r>
            <w:r>
              <w:rPr>
                <w:rFonts w:ascii="Times New Roman" w:hAnsi="Times New Roman" w:eastAsia="Times New Roman" w:cs="Times New Roman"/>
                <w:spacing w:val="-3"/>
              </w:rPr>
              <w:t>SS</w:t>
            </w:r>
            <w:r>
              <w:rPr>
                <w:spacing w:val="-3"/>
              </w:rPr>
              <w:t>。为减</w:t>
            </w:r>
            <w:r>
              <w:t xml:space="preserve"> </w:t>
            </w:r>
            <w:r>
              <w:rPr>
                <w:spacing w:val="1"/>
              </w:rPr>
              <w:t>小施工期雨天径流对水环境的影响，项目应落实水</w:t>
            </w:r>
            <w:r>
              <w:t xml:space="preserve">土保持措施，在光伏阵列区浆 </w:t>
            </w:r>
            <w:r>
              <w:rPr>
                <w:spacing w:val="-7"/>
              </w:rPr>
              <w:t>砌石排水沟</w:t>
            </w:r>
            <w:r>
              <w:rPr>
                <w:spacing w:val="-32"/>
              </w:rPr>
              <w:t xml:space="preserve"> </w:t>
            </w:r>
            <w:r>
              <w:rPr>
                <w:rFonts w:ascii="Times New Roman" w:hAnsi="Times New Roman" w:eastAsia="Times New Roman" w:cs="Times New Roman"/>
                <w:spacing w:val="-7"/>
              </w:rPr>
              <w:t>18750m</w:t>
            </w:r>
            <w:r>
              <w:rPr>
                <w:spacing w:val="-7"/>
              </w:rPr>
              <w:t>，沉砂池</w:t>
            </w:r>
            <w:r>
              <w:rPr>
                <w:spacing w:val="-55"/>
              </w:rPr>
              <w:t xml:space="preserve"> </w:t>
            </w:r>
            <w:r>
              <w:rPr>
                <w:rFonts w:ascii="Times New Roman" w:hAnsi="Times New Roman" w:eastAsia="Times New Roman" w:cs="Times New Roman"/>
                <w:spacing w:val="-7"/>
              </w:rPr>
              <w:t xml:space="preserve">20 </w:t>
            </w:r>
            <w:r>
              <w:rPr>
                <w:spacing w:val="-7"/>
              </w:rPr>
              <w:t>座，升压站区混</w:t>
            </w:r>
            <w:r>
              <w:rPr>
                <w:spacing w:val="-8"/>
              </w:rPr>
              <w:t>凝土截水沟</w:t>
            </w:r>
            <w:r>
              <w:rPr>
                <w:spacing w:val="-50"/>
              </w:rPr>
              <w:t xml:space="preserve"> </w:t>
            </w:r>
            <w:r>
              <w:rPr>
                <w:rFonts w:ascii="Times New Roman" w:hAnsi="Times New Roman" w:eastAsia="Times New Roman" w:cs="Times New Roman"/>
                <w:spacing w:val="-8"/>
              </w:rPr>
              <w:t>380m</w:t>
            </w:r>
            <w:r>
              <w:rPr>
                <w:spacing w:val="-8"/>
              </w:rPr>
              <w:t>，施工营场地区：</w:t>
            </w:r>
            <w:r>
              <w:t xml:space="preserve"> </w:t>
            </w:r>
            <w:r>
              <w:rPr>
                <w:spacing w:val="-5"/>
              </w:rPr>
              <w:t>临时排水沟</w:t>
            </w:r>
            <w:r>
              <w:rPr>
                <w:spacing w:val="-51"/>
              </w:rPr>
              <w:t xml:space="preserve"> </w:t>
            </w:r>
            <w:r>
              <w:rPr>
                <w:rFonts w:ascii="Times New Roman" w:hAnsi="Times New Roman" w:eastAsia="Times New Roman" w:cs="Times New Roman"/>
                <w:spacing w:val="-5"/>
              </w:rPr>
              <w:t>400m</w:t>
            </w:r>
            <w:r>
              <w:rPr>
                <w:spacing w:val="-5"/>
              </w:rPr>
              <w:t>，沉沙池</w:t>
            </w:r>
            <w:r>
              <w:rPr>
                <w:spacing w:val="-56"/>
              </w:rPr>
              <w:t xml:space="preserve"> </w:t>
            </w:r>
            <w:r>
              <w:rPr>
                <w:rFonts w:ascii="Times New Roman" w:hAnsi="Times New Roman" w:eastAsia="Times New Roman" w:cs="Times New Roman"/>
                <w:spacing w:val="-5"/>
              </w:rPr>
              <w:t xml:space="preserve">4 </w:t>
            </w:r>
            <w:r>
              <w:rPr>
                <w:spacing w:val="-5"/>
              </w:rPr>
              <w:t>座，临时覆盖</w:t>
            </w:r>
            <w:r>
              <w:rPr>
                <w:spacing w:val="-55"/>
              </w:rPr>
              <w:t xml:space="preserve"> </w:t>
            </w:r>
            <w:r>
              <w:rPr>
                <w:rFonts w:ascii="Times New Roman" w:hAnsi="Times New Roman" w:eastAsia="Times New Roman" w:cs="Times New Roman"/>
                <w:spacing w:val="-5"/>
              </w:rPr>
              <w:t>200m</w:t>
            </w:r>
            <w:r>
              <w:rPr>
                <w:rFonts w:ascii="Times New Roman" w:hAnsi="Times New Roman" w:eastAsia="Times New Roman" w:cs="Times New Roman"/>
                <w:spacing w:val="-5"/>
                <w:position w:val="8"/>
                <w:sz w:val="15"/>
                <w:szCs w:val="15"/>
              </w:rPr>
              <w:t>2</w:t>
            </w:r>
            <w:r>
              <w:rPr>
                <w:spacing w:val="-5"/>
              </w:rPr>
              <w:t>，临时铺垫</w:t>
            </w:r>
            <w:r>
              <w:rPr>
                <w:spacing w:val="-48"/>
              </w:rPr>
              <w:t xml:space="preserve"> </w:t>
            </w:r>
            <w:r>
              <w:rPr>
                <w:rFonts w:ascii="Times New Roman" w:hAnsi="Times New Roman" w:eastAsia="Times New Roman" w:cs="Times New Roman"/>
                <w:spacing w:val="-5"/>
              </w:rPr>
              <w:t>500m</w:t>
            </w:r>
            <w:r>
              <w:rPr>
                <w:rFonts w:ascii="Times New Roman" w:hAnsi="Times New Roman" w:eastAsia="Times New Roman" w:cs="Times New Roman"/>
                <w:spacing w:val="-5"/>
                <w:position w:val="8"/>
                <w:sz w:val="15"/>
                <w:szCs w:val="15"/>
              </w:rPr>
              <w:t>2</w:t>
            </w:r>
            <w:r>
              <w:rPr>
                <w:spacing w:val="-5"/>
              </w:rPr>
              <w:t>；表土堆场区：</w:t>
            </w:r>
            <w:r>
              <w:t xml:space="preserve"> </w:t>
            </w:r>
            <w:r>
              <w:rPr>
                <w:spacing w:val="-5"/>
              </w:rPr>
              <w:t>临时排水沟</w:t>
            </w:r>
            <w:r>
              <w:rPr>
                <w:spacing w:val="-32"/>
              </w:rPr>
              <w:t xml:space="preserve"> </w:t>
            </w:r>
            <w:r>
              <w:rPr>
                <w:rFonts w:ascii="Times New Roman" w:hAnsi="Times New Roman" w:eastAsia="Times New Roman" w:cs="Times New Roman"/>
                <w:spacing w:val="-5"/>
              </w:rPr>
              <w:t>170m</w:t>
            </w:r>
            <w:r>
              <w:rPr>
                <w:spacing w:val="-5"/>
              </w:rPr>
              <w:t>，沉砂池</w:t>
            </w:r>
            <w:r>
              <w:rPr>
                <w:spacing w:val="-55"/>
              </w:rPr>
              <w:t xml:space="preserve"> </w:t>
            </w:r>
            <w:r>
              <w:rPr>
                <w:rFonts w:ascii="Times New Roman" w:hAnsi="Times New Roman" w:eastAsia="Times New Roman" w:cs="Times New Roman"/>
                <w:spacing w:val="-5"/>
              </w:rPr>
              <w:t xml:space="preserve">2 </w:t>
            </w:r>
            <w:r>
              <w:rPr>
                <w:spacing w:val="-5"/>
              </w:rPr>
              <w:t>座，临时拦挡</w:t>
            </w:r>
            <w:r>
              <w:rPr>
                <w:spacing w:val="-32"/>
              </w:rPr>
              <w:t xml:space="preserve"> </w:t>
            </w:r>
            <w:r>
              <w:rPr>
                <w:rFonts w:ascii="Times New Roman" w:hAnsi="Times New Roman" w:eastAsia="Times New Roman" w:cs="Times New Roman"/>
                <w:spacing w:val="-5"/>
              </w:rPr>
              <w:t>130m</w:t>
            </w:r>
            <w:r>
              <w:rPr>
                <w:rFonts w:ascii="Times New Roman" w:hAnsi="Times New Roman" w:eastAsia="Times New Roman" w:cs="Times New Roman"/>
                <w:spacing w:val="-30"/>
              </w:rPr>
              <w:t xml:space="preserve"> </w:t>
            </w:r>
            <w:r>
              <w:rPr>
                <w:spacing w:val="-5"/>
              </w:rPr>
              <w:t>，临时覆盖</w:t>
            </w:r>
            <w:r>
              <w:rPr>
                <w:spacing w:val="-32"/>
              </w:rPr>
              <w:t xml:space="preserve"> </w:t>
            </w:r>
            <w:r>
              <w:rPr>
                <w:rFonts w:ascii="Times New Roman" w:hAnsi="Times New Roman" w:eastAsia="Times New Roman" w:cs="Times New Roman"/>
                <w:spacing w:val="-5"/>
              </w:rPr>
              <w:t>1000</w:t>
            </w:r>
            <w:r>
              <w:rPr>
                <w:rFonts w:ascii="Times New Roman" w:hAnsi="Times New Roman" w:eastAsia="Times New Roman" w:cs="Times New Roman"/>
                <w:spacing w:val="-6"/>
              </w:rPr>
              <w:t>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9"/>
                <w:position w:val="8"/>
                <w:sz w:val="15"/>
                <w:szCs w:val="15"/>
              </w:rPr>
              <w:t xml:space="preserve"> </w:t>
            </w:r>
            <w:r>
              <w:rPr>
                <w:spacing w:val="-6"/>
              </w:rPr>
              <w:t>；场区雨水经</w:t>
            </w:r>
            <w:r>
              <w:t xml:space="preserve"> </w:t>
            </w:r>
            <w:r>
              <w:rPr>
                <w:spacing w:val="-2"/>
              </w:rPr>
              <w:t>沉沙池沉淀处理后全部回用于施工过程及场地洒水降尘，不外排，雨</w:t>
            </w:r>
            <w:r>
              <w:rPr>
                <w:spacing w:val="-3"/>
              </w:rPr>
              <w:t>水径流中</w:t>
            </w:r>
            <w:r>
              <w:rPr>
                <w:spacing w:val="-45"/>
              </w:rPr>
              <w:t xml:space="preserve"> </w:t>
            </w:r>
            <w:r>
              <w:rPr>
                <w:rFonts w:ascii="Times New Roman" w:hAnsi="Times New Roman" w:eastAsia="Times New Roman" w:cs="Times New Roman"/>
                <w:spacing w:val="-3"/>
              </w:rPr>
              <w:t>SS</w:t>
            </w:r>
            <w:r>
              <w:rPr>
                <w:rFonts w:ascii="Times New Roman" w:hAnsi="Times New Roman" w:eastAsia="Times New Roman" w:cs="Times New Roman"/>
              </w:rPr>
              <w:t xml:space="preserve">  </w:t>
            </w:r>
            <w:r>
              <w:rPr>
                <w:spacing w:val="-1"/>
              </w:rPr>
              <w:t>的浓度将大幅度降低，对周围地表水体的影响小。</w:t>
            </w:r>
          </w:p>
          <w:p w14:paraId="5189641C">
            <w:pPr>
              <w:pStyle w:val="6"/>
              <w:spacing w:before="38" w:line="349" w:lineRule="auto"/>
              <w:ind w:left="105" w:right="104" w:firstLine="481"/>
            </w:pPr>
            <w:r>
              <w:rPr>
                <w:spacing w:val="1"/>
              </w:rPr>
              <w:t>此外，项目施工还应加强管理，粉状物料用</w:t>
            </w:r>
            <w:r>
              <w:t xml:space="preserve">袋装后搭设防雨工棚存放，做好 </w:t>
            </w:r>
            <w:r>
              <w:rPr>
                <w:spacing w:val="1"/>
              </w:rPr>
              <w:t>施工机械的日常维修保养，杜绝跑、冒、滴、漏</w:t>
            </w:r>
            <w:r>
              <w:t xml:space="preserve">现象，尽量减少施工期降雨冲刷 </w:t>
            </w:r>
            <w:r>
              <w:rPr>
                <w:spacing w:val="-2"/>
              </w:rPr>
              <w:t>产生的影响。</w:t>
            </w:r>
          </w:p>
          <w:p w14:paraId="7171ED85">
            <w:pPr>
              <w:pStyle w:val="6"/>
              <w:spacing w:before="37" w:line="219" w:lineRule="auto"/>
              <w:ind w:left="581"/>
            </w:pPr>
            <w:r>
              <w:rPr>
                <w:rFonts w:ascii="Times New Roman" w:hAnsi="Times New Roman" w:eastAsia="Times New Roman" w:cs="Times New Roman"/>
                <w:spacing w:val="-1"/>
              </w:rPr>
              <w:t>4</w:t>
            </w:r>
            <w:r>
              <w:rPr>
                <w:spacing w:val="-1"/>
              </w:rPr>
              <w:t>）对地表水的影响分析</w:t>
            </w:r>
          </w:p>
          <w:p w14:paraId="18F83AAD">
            <w:pPr>
              <w:pStyle w:val="6"/>
              <w:spacing w:before="180" w:line="347" w:lineRule="auto"/>
              <w:ind w:left="107" w:right="102" w:firstLine="482"/>
            </w:pPr>
            <w:r>
              <w:rPr>
                <w:spacing w:val="1"/>
              </w:rPr>
              <w:t>项目位于牛栏江流域重点水源涵养区，项目</w:t>
            </w:r>
            <w:r>
              <w:t xml:space="preserve">所有片区阵列及升压站都不位于 </w:t>
            </w:r>
            <w:r>
              <w:rPr>
                <w:spacing w:val="-1"/>
              </w:rPr>
              <w:t>化桃箐水库饮用水水源保护区汇水区。</w:t>
            </w:r>
          </w:p>
          <w:p w14:paraId="50E3FD06">
            <w:pPr>
              <w:pStyle w:val="6"/>
              <w:spacing w:before="34" w:line="217" w:lineRule="auto"/>
              <w:ind w:left="585"/>
            </w:pPr>
            <w:r>
              <w:t>①对昆明市寻甸县河口镇化桃箐水库饮用水</w:t>
            </w:r>
            <w:r>
              <w:rPr>
                <w:spacing w:val="-1"/>
              </w:rPr>
              <w:t>水源保护区的影响分析</w:t>
            </w:r>
          </w:p>
          <w:p w14:paraId="2F4487E9">
            <w:pPr>
              <w:pStyle w:val="6"/>
              <w:spacing w:before="185" w:line="355" w:lineRule="auto"/>
              <w:ind w:left="105" w:right="21" w:firstLine="484"/>
            </w:pPr>
            <w:r>
              <w:rPr>
                <w:spacing w:val="1"/>
              </w:rPr>
              <w:t>项目所有片区阵列及升压站都不位于化桃箐水库饮用水水源保护区汇水区，</w:t>
            </w:r>
            <w:r>
              <w:rPr>
                <w:spacing w:val="15"/>
              </w:rPr>
              <w:t xml:space="preserve"> </w:t>
            </w:r>
            <w:r>
              <w:rPr>
                <w:spacing w:val="-4"/>
              </w:rPr>
              <w:t>项目施工废水及生活污水均经处理后回用，不外排，不会对化桃箐水库产生影响。</w:t>
            </w:r>
            <w:r>
              <w:rPr>
                <w:spacing w:val="8"/>
              </w:rPr>
              <w:t xml:space="preserve"> </w:t>
            </w:r>
            <w:r>
              <w:rPr>
                <w:spacing w:val="1"/>
              </w:rPr>
              <w:t>项目产生的建筑垃圾等定点收集，及时清运，严</w:t>
            </w:r>
            <w:r>
              <w:t xml:space="preserve">禁倾倒至化桃箐水库饮用水水源 </w:t>
            </w:r>
            <w:r>
              <w:rPr>
                <w:spacing w:val="1"/>
              </w:rPr>
              <w:t>保护区范围内。本工程建设土石方平衡，不外借土石方</w:t>
            </w:r>
            <w:r>
              <w:t xml:space="preserve">，也不产生永久弃渣，不 </w:t>
            </w:r>
            <w:r>
              <w:rPr>
                <w:spacing w:val="1"/>
              </w:rPr>
              <w:t>在水源保护区汇水区内设置弃渣场和表土堆场，</w:t>
            </w:r>
            <w:r>
              <w:t xml:space="preserve">其施工弃渣不会因雨水冲刷等原 </w:t>
            </w:r>
            <w:r>
              <w:rPr>
                <w:spacing w:val="1"/>
              </w:rPr>
              <w:t>因进入水源保护地内箐沟，不会对保护区内水质造成不</w:t>
            </w:r>
            <w:r>
              <w:t>利影响。同时施工过程中 加强施工人员的环保教育，严禁在周围地表水体内清</w:t>
            </w:r>
            <w:r>
              <w:rPr>
                <w:spacing w:val="-1"/>
              </w:rPr>
              <w:t>洗车辆、建筑材料等。</w:t>
            </w:r>
          </w:p>
        </w:tc>
      </w:tr>
    </w:tbl>
    <w:p w14:paraId="3566CCE2">
      <w:pPr>
        <w:rPr>
          <w:rFonts w:ascii="Arial"/>
          <w:sz w:val="21"/>
        </w:rPr>
      </w:pPr>
    </w:p>
    <w:p w14:paraId="68B34AF0">
      <w:pPr>
        <w:rPr>
          <w:rFonts w:ascii="Arial" w:hAnsi="Arial" w:eastAsia="Arial" w:cs="Arial"/>
          <w:sz w:val="21"/>
          <w:szCs w:val="21"/>
        </w:rPr>
        <w:sectPr>
          <w:footerReference r:id="rId117" w:type="default"/>
          <w:pgSz w:w="11906" w:h="16839"/>
          <w:pgMar w:top="1431" w:right="1454" w:bottom="1278" w:left="1454" w:header="0" w:footer="1116" w:gutter="0"/>
          <w:cols w:space="720" w:num="1"/>
        </w:sectPr>
      </w:pPr>
    </w:p>
    <w:p w14:paraId="7C06F994">
      <w:pPr>
        <w:spacing w:line="99" w:lineRule="exact"/>
      </w:pPr>
    </w:p>
    <w:tbl>
      <w:tblPr>
        <w:tblStyle w:val="5"/>
        <w:tblW w:w="8982"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82"/>
      </w:tblGrid>
      <w:tr w14:paraId="53247EF9">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442" w:hRule="atLeast"/>
        </w:trPr>
        <w:tc>
          <w:tcPr>
            <w:tcW w:w="8982" w:type="dxa"/>
            <w:vAlign w:val="top"/>
          </w:tcPr>
          <w:p w14:paraId="69ADC372">
            <w:pPr>
              <w:spacing w:line="43" w:lineRule="auto"/>
              <w:rPr>
                <w:rFonts w:ascii="Arial"/>
                <w:sz w:val="2"/>
              </w:rPr>
            </w:pPr>
          </w:p>
          <w:tbl>
            <w:tblPr>
              <w:tblStyle w:val="5"/>
              <w:tblW w:w="8540" w:type="dxa"/>
              <w:tblInd w:w="3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0"/>
              <w:gridCol w:w="1312"/>
              <w:gridCol w:w="2555"/>
              <w:gridCol w:w="2573"/>
            </w:tblGrid>
            <w:tr w14:paraId="100D7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8" w:hRule="atLeast"/>
              </w:trPr>
              <w:tc>
                <w:tcPr>
                  <w:tcW w:w="8540" w:type="dxa"/>
                  <w:gridSpan w:val="4"/>
                  <w:tcBorders>
                    <w:top w:val="nil"/>
                    <w:right w:val="nil"/>
                  </w:tcBorders>
                  <w:vAlign w:val="top"/>
                </w:tcPr>
                <w:p w14:paraId="449A8A0E">
                  <w:pPr>
                    <w:pStyle w:val="6"/>
                    <w:spacing w:before="37" w:line="217" w:lineRule="auto"/>
                    <w:ind w:left="594"/>
                  </w:pPr>
                  <w:r>
                    <w:rPr>
                      <w:spacing w:val="-1"/>
                    </w:rPr>
                    <w:t>②对牛栏江重点水源涵养区的影响分析</w:t>
                  </w:r>
                </w:p>
                <w:p w14:paraId="3DF6FC78">
                  <w:pPr>
                    <w:pStyle w:val="6"/>
                    <w:spacing w:before="181" w:line="357" w:lineRule="auto"/>
                    <w:ind w:left="115" w:firstLine="480"/>
                  </w:pPr>
                  <w:r>
                    <w:rPr>
                      <w:spacing w:val="-2"/>
                    </w:rPr>
                    <w:t>项目用地主要为其他草地和林地等，正在办理关于拟规划光伏发电项目用地</w:t>
                  </w:r>
                  <w:r>
                    <w:rPr>
                      <w:spacing w:val="5"/>
                    </w:rPr>
                    <w:t xml:space="preserve"> </w:t>
                  </w:r>
                  <w:r>
                    <w:rPr>
                      <w:spacing w:val="-2"/>
                    </w:rPr>
                    <w:t>的审查意见。同时，项目占用林草地将依法依规办理使用林地草地手续，严禁未</w:t>
                  </w:r>
                  <w:r>
                    <w:rPr>
                      <w:spacing w:val="12"/>
                    </w:rPr>
                    <w:t xml:space="preserve"> </w:t>
                  </w:r>
                  <w:r>
                    <w:rPr>
                      <w:spacing w:val="-2"/>
                    </w:rPr>
                    <w:t>批先占林地草地，不涉及盗伐、滥伐林木和破坏草地情况。施工期土石方优先进</w:t>
                  </w:r>
                  <w:r>
                    <w:rPr>
                      <w:spacing w:val="9"/>
                    </w:rPr>
                    <w:t xml:space="preserve"> </w:t>
                  </w:r>
                  <w:r>
                    <w:rPr>
                      <w:spacing w:val="-2"/>
                    </w:rPr>
                    <w:t>行回填，产生余弃方全部进入规划弃渣场规范堆存，施工结束后弃渣场及时压实</w:t>
                  </w:r>
                  <w:r>
                    <w:rPr>
                      <w:spacing w:val="9"/>
                    </w:rPr>
                    <w:t xml:space="preserve"> </w:t>
                  </w:r>
                  <w:r>
                    <w:rPr>
                      <w:spacing w:val="-2"/>
                    </w:rPr>
                    <w:t>恢复。产生的少量施工废水收集沉淀后全部回用，无废水排放。项目施工期建设</w:t>
                  </w:r>
                  <w:r>
                    <w:rPr>
                      <w:spacing w:val="9"/>
                    </w:rPr>
                    <w:t xml:space="preserve"> </w:t>
                  </w:r>
                  <w:r>
                    <w:rPr>
                      <w:spacing w:val="-6"/>
                    </w:rPr>
                    <w:t>符合《云南省牛栏江保护条例》中针对重点水源涵养区管理的要求。工程内</w:t>
                  </w:r>
                  <w:r>
                    <w:rPr>
                      <w:spacing w:val="-7"/>
                    </w:rPr>
                    <w:t>容少、</w:t>
                  </w:r>
                  <w:r>
                    <w:t xml:space="preserve"> </w:t>
                  </w:r>
                  <w:r>
                    <w:rPr>
                      <w:spacing w:val="-2"/>
                    </w:rPr>
                    <w:t>工期短。施工前应提前在施工场地下游修建截排水沟和沉沙池等设施，以降低雨</w:t>
                  </w:r>
                  <w:r>
                    <w:rPr>
                      <w:spacing w:val="9"/>
                    </w:rPr>
                    <w:t xml:space="preserve"> </w:t>
                  </w:r>
                  <w:r>
                    <w:rPr>
                      <w:spacing w:val="-2"/>
                    </w:rPr>
                    <w:t>季径流排水泥沙含量，减轻对地表水体水质产生影响。施工期雨天形成的地表径</w:t>
                  </w:r>
                  <w:r>
                    <w:rPr>
                      <w:spacing w:val="9"/>
                    </w:rPr>
                    <w:t xml:space="preserve"> </w:t>
                  </w:r>
                  <w:r>
                    <w:rPr>
                      <w:spacing w:val="-4"/>
                    </w:rPr>
                    <w:t>流污染物主要为</w:t>
                  </w:r>
                  <w:r>
                    <w:rPr>
                      <w:spacing w:val="-45"/>
                    </w:rPr>
                    <w:t xml:space="preserve"> </w:t>
                  </w:r>
                  <w:r>
                    <w:rPr>
                      <w:rFonts w:ascii="Times New Roman" w:hAnsi="Times New Roman" w:eastAsia="Times New Roman" w:cs="Times New Roman"/>
                      <w:spacing w:val="-4"/>
                    </w:rPr>
                    <w:t>SS</w:t>
                  </w:r>
                  <w:r>
                    <w:rPr>
                      <w:spacing w:val="-4"/>
                    </w:rPr>
                    <w:t>，通过截排水设施、沉沙</w:t>
                  </w:r>
                  <w:r>
                    <w:rPr>
                      <w:spacing w:val="-5"/>
                    </w:rPr>
                    <w:t>池等收集处理后对区域地表水环境影</w:t>
                  </w:r>
                  <w:r>
                    <w:t xml:space="preserve"> </w:t>
                  </w:r>
                  <w:r>
                    <w:rPr>
                      <w:spacing w:val="-6"/>
                    </w:rPr>
                    <w:t>响不大。施工期应加强废水的收集处理措施管理，杜绝雨季径流直接进入外</w:t>
                  </w:r>
                  <w:r>
                    <w:rPr>
                      <w:spacing w:val="-7"/>
                    </w:rPr>
                    <w:t>环境。</w:t>
                  </w:r>
                  <w:r>
                    <w:t xml:space="preserve"> </w:t>
                  </w:r>
                  <w:r>
                    <w:rPr>
                      <w:spacing w:val="-2"/>
                    </w:rPr>
                    <w:t>项目产生的建筑垃圾等应定点收集，及时清运，严禁倾倒至周边水体箐沟内。同</w:t>
                  </w:r>
                  <w:r>
                    <w:rPr>
                      <w:spacing w:val="9"/>
                    </w:rPr>
                    <w:t xml:space="preserve"> </w:t>
                  </w:r>
                  <w:r>
                    <w:rPr>
                      <w:spacing w:val="-2"/>
                    </w:rPr>
                    <w:t>时施工过程中加强施工人员的环保教育，严禁在周围地表水体内清洗车辆、建筑</w:t>
                  </w:r>
                  <w:r>
                    <w:rPr>
                      <w:spacing w:val="9"/>
                    </w:rPr>
                    <w:t xml:space="preserve"> </w:t>
                  </w:r>
                  <w:r>
                    <w:rPr>
                      <w:spacing w:val="-3"/>
                    </w:rPr>
                    <w:t>材料等。施工期对牛栏江重点水源涵养区的影响小。</w:t>
                  </w:r>
                </w:p>
                <w:p w14:paraId="1A3DEF60">
                  <w:pPr>
                    <w:pStyle w:val="6"/>
                    <w:spacing w:before="36" w:line="220" w:lineRule="auto"/>
                    <w:ind w:left="607"/>
                  </w:pPr>
                  <w:r>
                    <w:rPr>
                      <w:spacing w:val="-3"/>
                    </w:rPr>
                    <w:t>（</w:t>
                  </w:r>
                  <w:r>
                    <w:rPr>
                      <w:rFonts w:ascii="Times New Roman" w:hAnsi="Times New Roman" w:eastAsia="Times New Roman" w:cs="Times New Roman"/>
                      <w:spacing w:val="-3"/>
                    </w:rPr>
                    <w:t>4</w:t>
                  </w:r>
                  <w:r>
                    <w:rPr>
                      <w:spacing w:val="-3"/>
                    </w:rPr>
                    <w:t>）声环境影响分析</w:t>
                  </w:r>
                </w:p>
                <w:p w14:paraId="5841ABD3">
                  <w:pPr>
                    <w:pStyle w:val="6"/>
                    <w:spacing w:before="181" w:line="219" w:lineRule="auto"/>
                    <w:ind w:left="544"/>
                  </w:pPr>
                  <w:r>
                    <w:rPr>
                      <w:spacing w:val="-1"/>
                      <w:sz w:val="20"/>
                      <w:szCs w:val="20"/>
                    </w:rPr>
                    <w:t>（</w:t>
                  </w:r>
                  <w:r>
                    <w:rPr>
                      <w:rFonts w:ascii="Times New Roman" w:hAnsi="Times New Roman" w:eastAsia="Times New Roman" w:cs="Times New Roman"/>
                      <w:spacing w:val="-1"/>
                    </w:rPr>
                    <w:t>1</w:t>
                  </w:r>
                  <w:r>
                    <w:rPr>
                      <w:spacing w:val="-1"/>
                    </w:rPr>
                    <w:t>）机械设备噪声影响分析</w:t>
                  </w:r>
                </w:p>
                <w:p w14:paraId="249AE078">
                  <w:pPr>
                    <w:pStyle w:val="6"/>
                    <w:spacing w:before="181" w:line="217" w:lineRule="auto"/>
                    <w:ind w:left="595"/>
                  </w:pPr>
                  <w:r>
                    <w:rPr>
                      <w:spacing w:val="-2"/>
                    </w:rPr>
                    <w:t>①噪声源强</w:t>
                  </w:r>
                </w:p>
                <w:p w14:paraId="7BD239BD">
                  <w:pPr>
                    <w:pStyle w:val="6"/>
                    <w:spacing w:before="182" w:line="353" w:lineRule="auto"/>
                    <w:ind w:left="115" w:firstLine="484"/>
                    <w:jc w:val="both"/>
                  </w:pPr>
                  <w:r>
                    <w:t>项目施工期间噪声源主要为机械噪声，施工建设过程中将使用挖掘机、运输</w:t>
                  </w:r>
                  <w:r>
                    <w:rPr>
                      <w:spacing w:val="16"/>
                    </w:rPr>
                    <w:t xml:space="preserve"> </w:t>
                  </w:r>
                  <w:r>
                    <w:rPr>
                      <w:spacing w:val="1"/>
                    </w:rPr>
                    <w:t>车辆等噪声较大的设备及车辆进行施工，参考《</w:t>
                  </w:r>
                  <w:r>
                    <w:t xml:space="preserve">环境噪声与振动控制工程技术导 </w:t>
                  </w:r>
                  <w:r>
                    <w:rPr>
                      <w:spacing w:val="2"/>
                    </w:rPr>
                    <w:t>则》（</w:t>
                  </w:r>
                  <w:r>
                    <w:rPr>
                      <w:rFonts w:ascii="Times New Roman" w:hAnsi="Times New Roman" w:eastAsia="Times New Roman" w:cs="Times New Roman"/>
                    </w:rPr>
                    <w:t>HJ</w:t>
                  </w:r>
                  <w:r>
                    <w:rPr>
                      <w:rFonts w:ascii="Times New Roman" w:hAnsi="Times New Roman" w:eastAsia="Times New Roman" w:cs="Times New Roman"/>
                      <w:spacing w:val="2"/>
                    </w:rPr>
                    <w:t xml:space="preserve"> 2034-2013</w:t>
                  </w:r>
                  <w:r>
                    <w:rPr>
                      <w:spacing w:val="2"/>
                    </w:rPr>
                    <w:t>）中常见施工噪声设备源强，再结合本项目的建设特点，各</w:t>
                  </w:r>
                  <w:r>
                    <w:rPr>
                      <w:spacing w:val="16"/>
                    </w:rPr>
                    <w:t xml:space="preserve"> </w:t>
                  </w:r>
                  <w:r>
                    <w:rPr>
                      <w:spacing w:val="-1"/>
                    </w:rPr>
                    <w:t>施工阶段的主要噪声源及其声级见下表。</w:t>
                  </w:r>
                </w:p>
                <w:p w14:paraId="4E080B85">
                  <w:pPr>
                    <w:pStyle w:val="6"/>
                    <w:spacing w:before="31" w:line="215" w:lineRule="auto"/>
                    <w:ind w:left="2432"/>
                    <w:rPr>
                      <w:sz w:val="20"/>
                      <w:szCs w:val="20"/>
                    </w:rPr>
                  </w:pPr>
                  <w:r>
                    <w:rPr>
                      <w:b/>
                      <w:bCs/>
                      <w:spacing w:val="6"/>
                      <w:sz w:val="20"/>
                      <w:szCs w:val="20"/>
                    </w:rPr>
                    <w:t>表</w:t>
                  </w:r>
                  <w:r>
                    <w:rPr>
                      <w:spacing w:val="-39"/>
                      <w:sz w:val="20"/>
                      <w:szCs w:val="20"/>
                    </w:rPr>
                    <w:t xml:space="preserve"> </w:t>
                  </w:r>
                  <w:r>
                    <w:rPr>
                      <w:rFonts w:ascii="Times New Roman" w:hAnsi="Times New Roman" w:eastAsia="Times New Roman" w:cs="Times New Roman"/>
                      <w:b/>
                      <w:bCs/>
                      <w:spacing w:val="6"/>
                      <w:sz w:val="20"/>
                      <w:szCs w:val="20"/>
                    </w:rPr>
                    <w:t xml:space="preserve">4-5    </w:t>
                  </w:r>
                  <w:r>
                    <w:rPr>
                      <w:b/>
                      <w:bCs/>
                      <w:spacing w:val="6"/>
                      <w:sz w:val="20"/>
                      <w:szCs w:val="20"/>
                    </w:rPr>
                    <w:t>主要噪声源强</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b/>
                      <w:bCs/>
                      <w:spacing w:val="5"/>
                      <w:sz w:val="20"/>
                      <w:szCs w:val="20"/>
                    </w:rPr>
                    <w:t>（</w:t>
                  </w:r>
                  <w:r>
                    <w:rPr>
                      <w:rFonts w:ascii="Times New Roman" w:hAnsi="Times New Roman" w:eastAsia="Times New Roman" w:cs="Times New Roman"/>
                      <w:b/>
                      <w:bCs/>
                      <w:spacing w:val="5"/>
                      <w:sz w:val="20"/>
                      <w:szCs w:val="20"/>
                    </w:rPr>
                    <w:t>A</w:t>
                  </w:r>
                  <w:r>
                    <w:rPr>
                      <w:b/>
                      <w:bCs/>
                      <w:spacing w:val="5"/>
                      <w:sz w:val="20"/>
                      <w:szCs w:val="20"/>
                    </w:rPr>
                    <w:t>）</w:t>
                  </w:r>
                </w:p>
              </w:tc>
            </w:tr>
            <w:tr w14:paraId="28334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100" w:type="dxa"/>
                  <w:vAlign w:val="top"/>
                </w:tcPr>
                <w:p w14:paraId="3896C50F">
                  <w:pPr>
                    <w:pStyle w:val="6"/>
                    <w:spacing w:before="28" w:line="216" w:lineRule="auto"/>
                    <w:ind w:left="694"/>
                    <w:rPr>
                      <w:sz w:val="20"/>
                      <w:szCs w:val="20"/>
                    </w:rPr>
                  </w:pPr>
                  <w:r>
                    <w:rPr>
                      <w:b/>
                      <w:bCs/>
                      <w:spacing w:val="5"/>
                      <w:sz w:val="20"/>
                      <w:szCs w:val="20"/>
                    </w:rPr>
                    <w:t>设备名称</w:t>
                  </w:r>
                </w:p>
              </w:tc>
              <w:tc>
                <w:tcPr>
                  <w:tcW w:w="1312" w:type="dxa"/>
                  <w:vAlign w:val="top"/>
                </w:tcPr>
                <w:p w14:paraId="43085BAA">
                  <w:pPr>
                    <w:pStyle w:val="6"/>
                    <w:spacing w:before="28" w:line="216" w:lineRule="auto"/>
                    <w:ind w:left="135"/>
                    <w:rPr>
                      <w:sz w:val="20"/>
                      <w:szCs w:val="20"/>
                    </w:rPr>
                  </w:pPr>
                  <w:r>
                    <w:rPr>
                      <w:b/>
                      <w:bCs/>
                      <w:spacing w:val="4"/>
                      <w:sz w:val="20"/>
                      <w:szCs w:val="20"/>
                    </w:rPr>
                    <w:t>数量（台）</w:t>
                  </w:r>
                </w:p>
              </w:tc>
              <w:tc>
                <w:tcPr>
                  <w:tcW w:w="2555" w:type="dxa"/>
                  <w:vAlign w:val="top"/>
                </w:tcPr>
                <w:p w14:paraId="7D77FE7B">
                  <w:pPr>
                    <w:pStyle w:val="6"/>
                    <w:spacing w:before="28" w:line="216" w:lineRule="auto"/>
                    <w:ind w:left="90"/>
                    <w:rPr>
                      <w:sz w:val="20"/>
                      <w:szCs w:val="20"/>
                    </w:rPr>
                  </w:pPr>
                  <w:r>
                    <w:rPr>
                      <w:b/>
                      <w:bCs/>
                      <w:spacing w:val="6"/>
                      <w:sz w:val="20"/>
                      <w:szCs w:val="20"/>
                    </w:rPr>
                    <w:t>单台设备噪声源强（</w:t>
                  </w:r>
                  <w:r>
                    <w:rPr>
                      <w:rFonts w:ascii="Times New Roman" w:hAnsi="Times New Roman" w:eastAsia="Times New Roman" w:cs="Times New Roman"/>
                      <w:b/>
                      <w:bCs/>
                      <w:spacing w:val="6"/>
                      <w:sz w:val="20"/>
                      <w:szCs w:val="20"/>
                    </w:rPr>
                    <w:t>1m</w:t>
                  </w:r>
                  <w:r>
                    <w:rPr>
                      <w:b/>
                      <w:bCs/>
                      <w:spacing w:val="6"/>
                      <w:sz w:val="20"/>
                      <w:szCs w:val="20"/>
                    </w:rPr>
                    <w:t>）</w:t>
                  </w:r>
                </w:p>
              </w:tc>
              <w:tc>
                <w:tcPr>
                  <w:tcW w:w="2573" w:type="dxa"/>
                  <w:vAlign w:val="top"/>
                </w:tcPr>
                <w:p w14:paraId="6ACFFFCC">
                  <w:pPr>
                    <w:pStyle w:val="6"/>
                    <w:spacing w:before="28" w:line="216" w:lineRule="auto"/>
                    <w:ind w:left="99"/>
                    <w:rPr>
                      <w:sz w:val="20"/>
                      <w:szCs w:val="20"/>
                    </w:rPr>
                  </w:pPr>
                  <w:r>
                    <w:rPr>
                      <w:b/>
                      <w:bCs/>
                      <w:spacing w:val="6"/>
                      <w:sz w:val="20"/>
                      <w:szCs w:val="20"/>
                    </w:rPr>
                    <w:t>单台设备噪声源强（</w:t>
                  </w:r>
                  <w:r>
                    <w:rPr>
                      <w:rFonts w:ascii="Times New Roman" w:hAnsi="Times New Roman" w:eastAsia="Times New Roman" w:cs="Times New Roman"/>
                      <w:b/>
                      <w:bCs/>
                      <w:spacing w:val="6"/>
                      <w:sz w:val="20"/>
                      <w:szCs w:val="20"/>
                    </w:rPr>
                    <w:t>5m</w:t>
                  </w:r>
                  <w:r>
                    <w:rPr>
                      <w:b/>
                      <w:bCs/>
                      <w:spacing w:val="6"/>
                      <w:sz w:val="20"/>
                      <w:szCs w:val="20"/>
                    </w:rPr>
                    <w:t>）</w:t>
                  </w:r>
                </w:p>
              </w:tc>
            </w:tr>
            <w:tr w14:paraId="6ACD1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100" w:type="dxa"/>
                  <w:vAlign w:val="top"/>
                </w:tcPr>
                <w:p w14:paraId="0862EDE7">
                  <w:pPr>
                    <w:pStyle w:val="6"/>
                    <w:spacing w:before="29" w:line="215" w:lineRule="auto"/>
                    <w:ind w:left="797"/>
                    <w:rPr>
                      <w:sz w:val="20"/>
                      <w:szCs w:val="20"/>
                    </w:rPr>
                  </w:pPr>
                  <w:r>
                    <w:rPr>
                      <w:spacing w:val="6"/>
                      <w:sz w:val="20"/>
                      <w:szCs w:val="20"/>
                    </w:rPr>
                    <w:t>起重机</w:t>
                  </w:r>
                </w:p>
              </w:tc>
              <w:tc>
                <w:tcPr>
                  <w:tcW w:w="1312" w:type="dxa"/>
                  <w:vAlign w:val="top"/>
                </w:tcPr>
                <w:p w14:paraId="4E48D3E7">
                  <w:pPr>
                    <w:spacing w:before="65"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555" w:type="dxa"/>
                  <w:vAlign w:val="top"/>
                </w:tcPr>
                <w:p w14:paraId="4DB1BE05">
                  <w:pPr>
                    <w:spacing w:before="65" w:line="195" w:lineRule="auto"/>
                    <w:ind w:left="1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109</w:t>
                  </w:r>
                </w:p>
              </w:tc>
              <w:tc>
                <w:tcPr>
                  <w:tcW w:w="2573" w:type="dxa"/>
                  <w:vAlign w:val="top"/>
                </w:tcPr>
                <w:p w14:paraId="740166A1">
                  <w:pPr>
                    <w:spacing w:before="65" w:line="195" w:lineRule="auto"/>
                    <w:ind w:left="1187"/>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r>
            <w:tr w14:paraId="35AA1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100" w:type="dxa"/>
                  <w:vAlign w:val="top"/>
                </w:tcPr>
                <w:p w14:paraId="7A775754">
                  <w:pPr>
                    <w:pStyle w:val="6"/>
                    <w:spacing w:before="27" w:line="217" w:lineRule="auto"/>
                    <w:ind w:left="273"/>
                    <w:rPr>
                      <w:sz w:val="20"/>
                      <w:szCs w:val="20"/>
                    </w:rPr>
                  </w:pPr>
                  <w:r>
                    <w:rPr>
                      <w:spacing w:val="8"/>
                      <w:sz w:val="20"/>
                      <w:szCs w:val="20"/>
                    </w:rPr>
                    <w:t>混凝土搅拌运输车</w:t>
                  </w:r>
                </w:p>
              </w:tc>
              <w:tc>
                <w:tcPr>
                  <w:tcW w:w="1312" w:type="dxa"/>
                  <w:vAlign w:val="top"/>
                </w:tcPr>
                <w:p w14:paraId="382EC0E2">
                  <w:pPr>
                    <w:spacing w:before="64" w:line="195" w:lineRule="auto"/>
                    <w:ind w:left="60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555" w:type="dxa"/>
                  <w:vAlign w:val="top"/>
                </w:tcPr>
                <w:p w14:paraId="3A13321A">
                  <w:pPr>
                    <w:spacing w:before="64" w:line="195" w:lineRule="auto"/>
                    <w:ind w:left="1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w:t>
                  </w:r>
                </w:p>
              </w:tc>
              <w:tc>
                <w:tcPr>
                  <w:tcW w:w="2573" w:type="dxa"/>
                  <w:vAlign w:val="top"/>
                </w:tcPr>
                <w:p w14:paraId="08276739">
                  <w:pPr>
                    <w:spacing w:before="64" w:line="195" w:lineRule="auto"/>
                    <w:ind w:left="11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r>
            <w:tr w14:paraId="293F2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100" w:type="dxa"/>
                  <w:vAlign w:val="top"/>
                </w:tcPr>
                <w:p w14:paraId="312AC82D">
                  <w:pPr>
                    <w:pStyle w:val="6"/>
                    <w:spacing w:before="29" w:line="215" w:lineRule="auto"/>
                    <w:ind w:left="796"/>
                    <w:rPr>
                      <w:sz w:val="20"/>
                      <w:szCs w:val="20"/>
                    </w:rPr>
                  </w:pPr>
                  <w:r>
                    <w:rPr>
                      <w:spacing w:val="6"/>
                      <w:sz w:val="20"/>
                      <w:szCs w:val="20"/>
                    </w:rPr>
                    <w:t>推土机</w:t>
                  </w:r>
                </w:p>
              </w:tc>
              <w:tc>
                <w:tcPr>
                  <w:tcW w:w="1312" w:type="dxa"/>
                  <w:vAlign w:val="top"/>
                </w:tcPr>
                <w:p w14:paraId="03786CB7">
                  <w:pPr>
                    <w:spacing w:before="64"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555" w:type="dxa"/>
                  <w:vAlign w:val="top"/>
                </w:tcPr>
                <w:p w14:paraId="7C2D5125">
                  <w:pPr>
                    <w:spacing w:before="64" w:line="195" w:lineRule="auto"/>
                    <w:ind w:left="1178"/>
                    <w:rPr>
                      <w:rFonts w:ascii="Times New Roman" w:hAnsi="Times New Roman" w:eastAsia="Times New Roman" w:cs="Times New Roman"/>
                      <w:sz w:val="20"/>
                      <w:szCs w:val="20"/>
                    </w:rPr>
                  </w:pPr>
                  <w:r>
                    <w:rPr>
                      <w:rFonts w:ascii="Times New Roman" w:hAnsi="Times New Roman" w:eastAsia="Times New Roman" w:cs="Times New Roman"/>
                      <w:sz w:val="20"/>
                      <w:szCs w:val="20"/>
                    </w:rPr>
                    <w:t>99</w:t>
                  </w:r>
                </w:p>
              </w:tc>
              <w:tc>
                <w:tcPr>
                  <w:tcW w:w="2573" w:type="dxa"/>
                  <w:vAlign w:val="top"/>
                </w:tcPr>
                <w:p w14:paraId="271AEC5B">
                  <w:pPr>
                    <w:spacing w:before="64" w:line="195"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r>
            <w:tr w14:paraId="63268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100" w:type="dxa"/>
                  <w:vAlign w:val="top"/>
                </w:tcPr>
                <w:p w14:paraId="5851341F">
                  <w:pPr>
                    <w:pStyle w:val="6"/>
                    <w:spacing w:before="30" w:line="214" w:lineRule="auto"/>
                    <w:ind w:left="612"/>
                    <w:rPr>
                      <w:sz w:val="20"/>
                      <w:szCs w:val="20"/>
                    </w:rPr>
                  </w:pPr>
                  <w:r>
                    <w:rPr>
                      <w:spacing w:val="3"/>
                      <w:sz w:val="20"/>
                      <w:szCs w:val="20"/>
                    </w:rPr>
                    <w:t>内燃压路机</w:t>
                  </w:r>
                </w:p>
              </w:tc>
              <w:tc>
                <w:tcPr>
                  <w:tcW w:w="1312" w:type="dxa"/>
                  <w:vAlign w:val="top"/>
                </w:tcPr>
                <w:p w14:paraId="2F4ED8E5">
                  <w:pPr>
                    <w:spacing w:before="65" w:line="195" w:lineRule="auto"/>
                    <w:ind w:left="6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55" w:type="dxa"/>
                  <w:vAlign w:val="top"/>
                </w:tcPr>
                <w:p w14:paraId="738CC2A3">
                  <w:pPr>
                    <w:spacing w:before="65" w:line="195" w:lineRule="auto"/>
                    <w:ind w:left="11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573" w:type="dxa"/>
                  <w:vAlign w:val="top"/>
                </w:tcPr>
                <w:p w14:paraId="06E00BA1">
                  <w:pPr>
                    <w:spacing w:before="65" w:line="195" w:lineRule="auto"/>
                    <w:ind w:left="1188"/>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r>
            <w:tr w14:paraId="59C17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100" w:type="dxa"/>
                  <w:vAlign w:val="top"/>
                </w:tcPr>
                <w:p w14:paraId="14623A70">
                  <w:pPr>
                    <w:pStyle w:val="6"/>
                    <w:spacing w:before="28" w:line="216" w:lineRule="auto"/>
                    <w:ind w:left="588"/>
                    <w:rPr>
                      <w:sz w:val="20"/>
                      <w:szCs w:val="20"/>
                    </w:rPr>
                  </w:pPr>
                  <w:r>
                    <w:rPr>
                      <w:spacing w:val="7"/>
                      <w:sz w:val="20"/>
                      <w:szCs w:val="20"/>
                    </w:rPr>
                    <w:t>反铲挖掘机</w:t>
                  </w:r>
                </w:p>
              </w:tc>
              <w:tc>
                <w:tcPr>
                  <w:tcW w:w="1312" w:type="dxa"/>
                  <w:vAlign w:val="top"/>
                </w:tcPr>
                <w:p w14:paraId="27A68939">
                  <w:pPr>
                    <w:spacing w:before="64" w:line="195" w:lineRule="auto"/>
                    <w:ind w:left="60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555" w:type="dxa"/>
                  <w:vAlign w:val="top"/>
                </w:tcPr>
                <w:p w14:paraId="25C61A9B">
                  <w:pPr>
                    <w:spacing w:before="64" w:line="195" w:lineRule="auto"/>
                    <w:ind w:left="1178"/>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c>
                <w:tcPr>
                  <w:tcW w:w="2573" w:type="dxa"/>
                  <w:vAlign w:val="top"/>
                </w:tcPr>
                <w:p w14:paraId="6324E7B3">
                  <w:pPr>
                    <w:spacing w:before="64" w:line="195"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r>
            <w:tr w14:paraId="27E23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100" w:type="dxa"/>
                  <w:vAlign w:val="top"/>
                </w:tcPr>
                <w:p w14:paraId="08A3006A">
                  <w:pPr>
                    <w:pStyle w:val="6"/>
                    <w:spacing w:before="26" w:line="217" w:lineRule="auto"/>
                    <w:ind w:left="585"/>
                    <w:rPr>
                      <w:sz w:val="20"/>
                      <w:szCs w:val="20"/>
                    </w:rPr>
                  </w:pPr>
                  <w:r>
                    <w:rPr>
                      <w:spacing w:val="8"/>
                      <w:sz w:val="20"/>
                      <w:szCs w:val="20"/>
                    </w:rPr>
                    <w:t>钢筋调直机</w:t>
                  </w:r>
                </w:p>
              </w:tc>
              <w:tc>
                <w:tcPr>
                  <w:tcW w:w="1312" w:type="dxa"/>
                  <w:vAlign w:val="top"/>
                </w:tcPr>
                <w:p w14:paraId="485A9EE1">
                  <w:pPr>
                    <w:spacing w:before="62" w:line="195" w:lineRule="auto"/>
                    <w:ind w:left="6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55" w:type="dxa"/>
                  <w:vAlign w:val="top"/>
                </w:tcPr>
                <w:p w14:paraId="2028066D">
                  <w:pPr>
                    <w:spacing w:before="62" w:line="195" w:lineRule="auto"/>
                    <w:ind w:left="1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w:t>
                  </w:r>
                </w:p>
              </w:tc>
              <w:tc>
                <w:tcPr>
                  <w:tcW w:w="2573" w:type="dxa"/>
                  <w:vAlign w:val="top"/>
                </w:tcPr>
                <w:p w14:paraId="0C108598">
                  <w:pPr>
                    <w:spacing w:before="65" w:line="192" w:lineRule="auto"/>
                    <w:ind w:left="11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14:paraId="389D5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100" w:type="dxa"/>
                  <w:vAlign w:val="top"/>
                </w:tcPr>
                <w:p w14:paraId="366B7731">
                  <w:pPr>
                    <w:pStyle w:val="6"/>
                    <w:spacing w:before="28" w:line="216" w:lineRule="auto"/>
                    <w:ind w:left="585"/>
                    <w:rPr>
                      <w:sz w:val="20"/>
                      <w:szCs w:val="20"/>
                    </w:rPr>
                  </w:pPr>
                  <w:r>
                    <w:rPr>
                      <w:spacing w:val="8"/>
                      <w:sz w:val="20"/>
                      <w:szCs w:val="20"/>
                    </w:rPr>
                    <w:t>钢筋切断机</w:t>
                  </w:r>
                </w:p>
              </w:tc>
              <w:tc>
                <w:tcPr>
                  <w:tcW w:w="1312" w:type="dxa"/>
                  <w:vAlign w:val="top"/>
                </w:tcPr>
                <w:p w14:paraId="793EBED2">
                  <w:pPr>
                    <w:spacing w:before="64" w:line="195" w:lineRule="auto"/>
                    <w:ind w:left="6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55" w:type="dxa"/>
                  <w:vAlign w:val="top"/>
                </w:tcPr>
                <w:p w14:paraId="06F99A83">
                  <w:pPr>
                    <w:spacing w:before="64" w:line="195" w:lineRule="auto"/>
                    <w:ind w:left="1178"/>
                    <w:rPr>
                      <w:rFonts w:ascii="Times New Roman" w:hAnsi="Times New Roman" w:eastAsia="Times New Roman" w:cs="Times New Roman"/>
                      <w:sz w:val="20"/>
                      <w:szCs w:val="20"/>
                    </w:rPr>
                  </w:pPr>
                  <w:r>
                    <w:rPr>
                      <w:rFonts w:ascii="Times New Roman" w:hAnsi="Times New Roman" w:eastAsia="Times New Roman" w:cs="Times New Roman"/>
                      <w:sz w:val="20"/>
                      <w:szCs w:val="20"/>
                    </w:rPr>
                    <w:t>94</w:t>
                  </w:r>
                </w:p>
              </w:tc>
              <w:tc>
                <w:tcPr>
                  <w:tcW w:w="2573" w:type="dxa"/>
                  <w:vAlign w:val="top"/>
                </w:tcPr>
                <w:p w14:paraId="0D98BFED">
                  <w:pPr>
                    <w:spacing w:before="64" w:line="195"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14:paraId="388E4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100" w:type="dxa"/>
                  <w:vAlign w:val="top"/>
                </w:tcPr>
                <w:p w14:paraId="0AC37474">
                  <w:pPr>
                    <w:pStyle w:val="6"/>
                    <w:spacing w:before="30" w:line="215" w:lineRule="auto"/>
                    <w:ind w:left="585"/>
                    <w:rPr>
                      <w:sz w:val="20"/>
                      <w:szCs w:val="20"/>
                    </w:rPr>
                  </w:pPr>
                  <w:r>
                    <w:rPr>
                      <w:spacing w:val="8"/>
                      <w:sz w:val="20"/>
                      <w:szCs w:val="20"/>
                    </w:rPr>
                    <w:t>钢筋弯曲机</w:t>
                  </w:r>
                </w:p>
              </w:tc>
              <w:tc>
                <w:tcPr>
                  <w:tcW w:w="1312" w:type="dxa"/>
                  <w:vAlign w:val="top"/>
                </w:tcPr>
                <w:p w14:paraId="0EE6B456">
                  <w:pPr>
                    <w:spacing w:before="65" w:line="195" w:lineRule="auto"/>
                    <w:ind w:left="6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55" w:type="dxa"/>
                  <w:vAlign w:val="top"/>
                </w:tcPr>
                <w:p w14:paraId="773D8BFB">
                  <w:pPr>
                    <w:spacing w:before="65" w:line="195" w:lineRule="auto"/>
                    <w:ind w:left="1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w:t>
                  </w:r>
                </w:p>
              </w:tc>
              <w:tc>
                <w:tcPr>
                  <w:tcW w:w="2573" w:type="dxa"/>
                  <w:vAlign w:val="top"/>
                </w:tcPr>
                <w:p w14:paraId="6AA55A68">
                  <w:pPr>
                    <w:spacing w:before="68" w:line="192" w:lineRule="auto"/>
                    <w:ind w:left="11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14:paraId="1690B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100" w:type="dxa"/>
                  <w:vAlign w:val="top"/>
                </w:tcPr>
                <w:p w14:paraId="1B657B29">
                  <w:pPr>
                    <w:pStyle w:val="6"/>
                    <w:spacing w:before="27" w:line="216" w:lineRule="auto"/>
                    <w:ind w:left="820"/>
                    <w:rPr>
                      <w:sz w:val="20"/>
                      <w:szCs w:val="20"/>
                    </w:rPr>
                  </w:pPr>
                  <w:r>
                    <w:rPr>
                      <w:spacing w:val="-2"/>
                      <w:sz w:val="20"/>
                      <w:szCs w:val="20"/>
                    </w:rPr>
                    <w:t>电焊机</w:t>
                  </w:r>
                </w:p>
              </w:tc>
              <w:tc>
                <w:tcPr>
                  <w:tcW w:w="1312" w:type="dxa"/>
                  <w:vAlign w:val="top"/>
                </w:tcPr>
                <w:p w14:paraId="283EADE0">
                  <w:pPr>
                    <w:spacing w:before="63" w:line="195" w:lineRule="auto"/>
                    <w:ind w:left="61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555" w:type="dxa"/>
                  <w:vAlign w:val="top"/>
                </w:tcPr>
                <w:p w14:paraId="4269F5B8">
                  <w:pPr>
                    <w:spacing w:before="63" w:line="195" w:lineRule="auto"/>
                    <w:ind w:left="1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104</w:t>
                  </w:r>
                </w:p>
              </w:tc>
              <w:tc>
                <w:tcPr>
                  <w:tcW w:w="2573" w:type="dxa"/>
                  <w:vAlign w:val="top"/>
                </w:tcPr>
                <w:p w14:paraId="5D3988A5">
                  <w:pPr>
                    <w:spacing w:before="63" w:line="195" w:lineRule="auto"/>
                    <w:ind w:left="1187"/>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14:paraId="3877E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100" w:type="dxa"/>
                  <w:vAlign w:val="top"/>
                </w:tcPr>
                <w:p w14:paraId="4DA7ECAD">
                  <w:pPr>
                    <w:pStyle w:val="6"/>
                    <w:spacing w:before="29" w:line="216" w:lineRule="auto"/>
                    <w:ind w:left="481"/>
                    <w:rPr>
                      <w:sz w:val="20"/>
                      <w:szCs w:val="20"/>
                    </w:rPr>
                  </w:pPr>
                  <w:r>
                    <w:rPr>
                      <w:spacing w:val="8"/>
                      <w:sz w:val="20"/>
                      <w:szCs w:val="20"/>
                    </w:rPr>
                    <w:t>钎入式振捣器</w:t>
                  </w:r>
                </w:p>
              </w:tc>
              <w:tc>
                <w:tcPr>
                  <w:tcW w:w="1312" w:type="dxa"/>
                  <w:vAlign w:val="top"/>
                </w:tcPr>
                <w:p w14:paraId="3C8440A5">
                  <w:pPr>
                    <w:spacing w:before="67" w:line="192" w:lineRule="auto"/>
                    <w:ind w:left="60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555" w:type="dxa"/>
                  <w:vAlign w:val="top"/>
                </w:tcPr>
                <w:p w14:paraId="5192DF27">
                  <w:pPr>
                    <w:spacing w:before="64" w:line="195" w:lineRule="auto"/>
                    <w:ind w:left="1178"/>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2573" w:type="dxa"/>
                  <w:vAlign w:val="top"/>
                </w:tcPr>
                <w:p w14:paraId="6AB5676F">
                  <w:pPr>
                    <w:spacing w:before="64" w:line="195"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r>
            <w:tr w14:paraId="551F5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2100" w:type="dxa"/>
                  <w:tcBorders>
                    <w:bottom w:val="nil"/>
                  </w:tcBorders>
                  <w:vAlign w:val="top"/>
                </w:tcPr>
                <w:p w14:paraId="065170EE">
                  <w:pPr>
                    <w:pStyle w:val="6"/>
                    <w:spacing w:before="26" w:line="227" w:lineRule="auto"/>
                    <w:ind w:left="796"/>
                    <w:rPr>
                      <w:sz w:val="20"/>
                      <w:szCs w:val="20"/>
                    </w:rPr>
                  </w:pPr>
                  <w:r>
                    <w:rPr>
                      <w:spacing w:val="6"/>
                      <w:sz w:val="20"/>
                      <w:szCs w:val="20"/>
                    </w:rPr>
                    <w:t>钻孔机</w:t>
                  </w:r>
                </w:p>
              </w:tc>
              <w:tc>
                <w:tcPr>
                  <w:tcW w:w="1312" w:type="dxa"/>
                  <w:tcBorders>
                    <w:bottom w:val="nil"/>
                  </w:tcBorders>
                  <w:vAlign w:val="top"/>
                </w:tcPr>
                <w:p w14:paraId="485DF184">
                  <w:pPr>
                    <w:spacing w:before="62"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555" w:type="dxa"/>
                  <w:tcBorders>
                    <w:bottom w:val="nil"/>
                  </w:tcBorders>
                  <w:vAlign w:val="top"/>
                </w:tcPr>
                <w:p w14:paraId="0292D019">
                  <w:pPr>
                    <w:spacing w:before="62" w:line="195" w:lineRule="auto"/>
                    <w:ind w:left="1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109</w:t>
                  </w:r>
                </w:p>
              </w:tc>
              <w:tc>
                <w:tcPr>
                  <w:tcW w:w="2573" w:type="dxa"/>
                  <w:tcBorders>
                    <w:bottom w:val="nil"/>
                  </w:tcBorders>
                  <w:vAlign w:val="top"/>
                </w:tcPr>
                <w:p w14:paraId="016AF732">
                  <w:pPr>
                    <w:spacing w:before="62" w:line="195" w:lineRule="auto"/>
                    <w:ind w:left="1187"/>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r>
          </w:tbl>
          <w:p w14:paraId="42CDA4A0">
            <w:pPr>
              <w:spacing w:line="14" w:lineRule="auto"/>
              <w:rPr>
                <w:rFonts w:ascii="Arial"/>
                <w:sz w:val="2"/>
              </w:rPr>
            </w:pPr>
          </w:p>
        </w:tc>
      </w:tr>
    </w:tbl>
    <w:p w14:paraId="6AA136F2">
      <w:pPr>
        <w:rPr>
          <w:rFonts w:ascii="Arial"/>
          <w:sz w:val="21"/>
        </w:rPr>
      </w:pPr>
    </w:p>
    <w:p w14:paraId="2499324C">
      <w:pPr>
        <w:rPr>
          <w:rFonts w:ascii="Arial" w:hAnsi="Arial" w:eastAsia="Arial" w:cs="Arial"/>
          <w:sz w:val="21"/>
          <w:szCs w:val="21"/>
        </w:rPr>
        <w:sectPr>
          <w:footerReference r:id="rId118" w:type="default"/>
          <w:pgSz w:w="11906" w:h="16839"/>
          <w:pgMar w:top="1431" w:right="1454" w:bottom="1278" w:left="1454" w:header="0" w:footer="1116" w:gutter="0"/>
          <w:cols w:space="720" w:num="1"/>
        </w:sectPr>
      </w:pPr>
    </w:p>
    <w:p w14:paraId="19E26A06">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73A75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9" w:hRule="atLeast"/>
        </w:trPr>
        <w:tc>
          <w:tcPr>
            <w:tcW w:w="339" w:type="dxa"/>
            <w:tcBorders>
              <w:right w:val="single" w:color="000000" w:sz="2" w:space="0"/>
            </w:tcBorders>
            <w:vAlign w:val="top"/>
          </w:tcPr>
          <w:p w14:paraId="4B61B9FF">
            <w:pPr>
              <w:rPr>
                <w:rFonts w:ascii="Arial"/>
                <w:sz w:val="21"/>
              </w:rPr>
            </w:pPr>
          </w:p>
        </w:tc>
        <w:tc>
          <w:tcPr>
            <w:tcW w:w="8643" w:type="dxa"/>
            <w:tcBorders>
              <w:left w:val="single" w:color="000000" w:sz="2" w:space="0"/>
            </w:tcBorders>
            <w:vAlign w:val="top"/>
          </w:tcPr>
          <w:p w14:paraId="7957CEA0">
            <w:pPr>
              <w:pStyle w:val="6"/>
              <w:spacing w:before="41" w:line="217" w:lineRule="auto"/>
              <w:ind w:left="524"/>
            </w:pPr>
            <w:r>
              <w:rPr>
                <w:spacing w:val="-1"/>
              </w:rPr>
              <w:t>②施工机械噪声预测模型</w:t>
            </w:r>
          </w:p>
          <w:p w14:paraId="4CB05F8C">
            <w:pPr>
              <w:pStyle w:val="6"/>
              <w:spacing w:before="183" w:line="350" w:lineRule="auto"/>
              <w:ind w:left="105" w:right="102" w:firstLine="480"/>
            </w:pPr>
            <w:r>
              <w:rPr>
                <w:spacing w:val="1"/>
              </w:rPr>
              <w:t>施工机械噪声源基本是在半自由场中的点声源传</w:t>
            </w:r>
            <w:r>
              <w:t xml:space="preserve">播，且声源基本均为裸露声 </w:t>
            </w:r>
            <w:r>
              <w:rPr>
                <w:spacing w:val="-1"/>
              </w:rPr>
              <w:t>源，本次评价采用《环境影响评价技术导则 声环境》（</w:t>
            </w:r>
            <w:r>
              <w:rPr>
                <w:rFonts w:ascii="Times New Roman" w:hAnsi="Times New Roman" w:eastAsia="Times New Roman" w:cs="Times New Roman"/>
                <w:spacing w:val="-1"/>
              </w:rPr>
              <w:t>HJ2.4-2021</w:t>
            </w:r>
            <w:r>
              <w:rPr>
                <w:spacing w:val="-1"/>
              </w:rPr>
              <w:t>）中户外点声</w:t>
            </w:r>
            <w:r>
              <w:rPr>
                <w:spacing w:val="18"/>
              </w:rPr>
              <w:t xml:space="preserve"> </w:t>
            </w:r>
            <w:r>
              <w:rPr>
                <w:spacing w:val="-1"/>
              </w:rPr>
              <w:t>源的几何发散衰减基本公式进行预测。</w:t>
            </w:r>
          </w:p>
          <w:p w14:paraId="3E1A09E6">
            <w:pPr>
              <w:pStyle w:val="6"/>
              <w:spacing w:before="37" w:line="219" w:lineRule="auto"/>
              <w:ind w:left="586"/>
            </w:pPr>
            <w:r>
              <w:rPr>
                <w:spacing w:val="-2"/>
              </w:rPr>
              <w:t>计算公式：</w:t>
            </w:r>
          </w:p>
          <w:p w14:paraId="045D6B5F">
            <w:pPr>
              <w:spacing w:before="120" w:line="323" w:lineRule="exact"/>
              <w:ind w:left="2180"/>
              <w:rPr>
                <w:rFonts w:ascii="Times New Roman" w:hAnsi="Times New Roman" w:eastAsia="Times New Roman" w:cs="Times New Roman"/>
                <w:sz w:val="24"/>
                <w:szCs w:val="24"/>
              </w:rPr>
            </w:pPr>
            <w:r>
              <w:rPr>
                <w:rFonts w:ascii="Times New Roman" w:hAnsi="Times New Roman" w:eastAsia="Times New Roman" w:cs="Times New Roman"/>
                <w:position w:val="4"/>
                <w:sz w:val="24"/>
                <w:szCs w:val="24"/>
              </w:rPr>
              <w:t>L</w:t>
            </w:r>
            <w:r>
              <w:rPr>
                <w:rFonts w:ascii="Times New Roman" w:hAnsi="Times New Roman" w:eastAsia="Times New Roman" w:cs="Times New Roman"/>
                <w:position w:val="3"/>
                <w:sz w:val="15"/>
                <w:szCs w:val="15"/>
              </w:rPr>
              <w:t>p</w:t>
            </w:r>
            <w:r>
              <w:rPr>
                <w:rFonts w:ascii="Times New Roman" w:hAnsi="Times New Roman" w:eastAsia="Times New Roman" w:cs="Times New Roman"/>
                <w:spacing w:val="1"/>
                <w:position w:val="4"/>
                <w:sz w:val="24"/>
                <w:szCs w:val="24"/>
              </w:rPr>
              <w:t>(r)=</w:t>
            </w:r>
            <w:r>
              <w:rPr>
                <w:rFonts w:ascii="Times New Roman" w:hAnsi="Times New Roman" w:eastAsia="Times New Roman" w:cs="Times New Roman"/>
                <w:position w:val="4"/>
                <w:sz w:val="24"/>
                <w:szCs w:val="24"/>
              </w:rPr>
              <w:t>L</w:t>
            </w:r>
            <w:r>
              <w:rPr>
                <w:rFonts w:ascii="Times New Roman" w:hAnsi="Times New Roman" w:eastAsia="Times New Roman" w:cs="Times New Roman"/>
                <w:position w:val="3"/>
                <w:sz w:val="15"/>
                <w:szCs w:val="15"/>
              </w:rPr>
              <w:t>p</w:t>
            </w:r>
            <w:r>
              <w:rPr>
                <w:rFonts w:ascii="Times New Roman" w:hAnsi="Times New Roman" w:eastAsia="Times New Roman" w:cs="Times New Roman"/>
                <w:spacing w:val="1"/>
                <w:position w:val="4"/>
                <w:sz w:val="24"/>
                <w:szCs w:val="24"/>
              </w:rPr>
              <w:t>(r</w:t>
            </w:r>
            <w:r>
              <w:rPr>
                <w:rFonts w:ascii="Times New Roman" w:hAnsi="Times New Roman" w:eastAsia="Times New Roman" w:cs="Times New Roman"/>
                <w:spacing w:val="1"/>
                <w:position w:val="4"/>
                <w:sz w:val="15"/>
                <w:szCs w:val="15"/>
              </w:rPr>
              <w:t>0</w:t>
            </w:r>
            <w:r>
              <w:rPr>
                <w:rFonts w:ascii="Times New Roman" w:hAnsi="Times New Roman" w:eastAsia="Times New Roman" w:cs="Times New Roman"/>
                <w:spacing w:val="1"/>
                <w:position w:val="4"/>
                <w:sz w:val="24"/>
                <w:szCs w:val="24"/>
              </w:rPr>
              <w:t>)+</w:t>
            </w:r>
            <w:r>
              <w:rPr>
                <w:rFonts w:ascii="Times New Roman" w:hAnsi="Times New Roman" w:eastAsia="Times New Roman" w:cs="Times New Roman"/>
                <w:position w:val="4"/>
                <w:sz w:val="24"/>
                <w:szCs w:val="24"/>
              </w:rPr>
              <w:t>D</w:t>
            </w:r>
            <w:r>
              <w:rPr>
                <w:rFonts w:ascii="Times New Roman" w:hAnsi="Times New Roman" w:eastAsia="Times New Roman" w:cs="Times New Roman"/>
                <w:position w:val="4"/>
                <w:sz w:val="15"/>
                <w:szCs w:val="15"/>
              </w:rPr>
              <w:t>C</w:t>
            </w:r>
            <w:r>
              <w:rPr>
                <w:rFonts w:ascii="Times New Roman" w:hAnsi="Times New Roman" w:eastAsia="Times New Roman" w:cs="Times New Roman"/>
                <w:spacing w:val="1"/>
                <w:position w:val="4"/>
                <w:sz w:val="24"/>
                <w:szCs w:val="24"/>
              </w:rPr>
              <w:t>-(</w:t>
            </w:r>
            <w:r>
              <w:rPr>
                <w:rFonts w:ascii="Times New Roman" w:hAnsi="Times New Roman" w:eastAsia="Times New Roman" w:cs="Times New Roman"/>
                <w:position w:val="4"/>
                <w:sz w:val="24"/>
                <w:szCs w:val="24"/>
              </w:rPr>
              <w:t>A</w:t>
            </w:r>
            <w:r>
              <w:rPr>
                <w:rFonts w:ascii="Times New Roman" w:hAnsi="Times New Roman" w:eastAsia="Times New Roman" w:cs="Times New Roman"/>
                <w:position w:val="3"/>
                <w:sz w:val="15"/>
                <w:szCs w:val="15"/>
              </w:rPr>
              <w:t>div</w:t>
            </w:r>
            <w:r>
              <w:rPr>
                <w:rFonts w:ascii="Times New Roman" w:hAnsi="Times New Roman" w:eastAsia="Times New Roman" w:cs="Times New Roman"/>
                <w:spacing w:val="1"/>
                <w:position w:val="4"/>
                <w:sz w:val="24"/>
                <w:szCs w:val="24"/>
              </w:rPr>
              <w:t>+</w:t>
            </w:r>
            <w:r>
              <w:rPr>
                <w:rFonts w:ascii="Times New Roman" w:hAnsi="Times New Roman" w:eastAsia="Times New Roman" w:cs="Times New Roman"/>
                <w:position w:val="4"/>
                <w:sz w:val="24"/>
                <w:szCs w:val="24"/>
              </w:rPr>
              <w:t>A</w:t>
            </w:r>
            <w:r>
              <w:rPr>
                <w:rFonts w:ascii="Times New Roman" w:hAnsi="Times New Roman" w:eastAsia="Times New Roman" w:cs="Times New Roman"/>
                <w:position w:val="3"/>
                <w:sz w:val="15"/>
                <w:szCs w:val="15"/>
              </w:rPr>
              <w:t>atm</w:t>
            </w:r>
            <w:r>
              <w:rPr>
                <w:rFonts w:ascii="Times New Roman" w:hAnsi="Times New Roman" w:eastAsia="Times New Roman" w:cs="Times New Roman"/>
                <w:spacing w:val="33"/>
                <w:w w:val="102"/>
                <w:position w:val="3"/>
                <w:sz w:val="15"/>
                <w:szCs w:val="15"/>
              </w:rPr>
              <w:t xml:space="preserve"> </w:t>
            </w:r>
            <w:r>
              <w:rPr>
                <w:rFonts w:ascii="Times New Roman" w:hAnsi="Times New Roman" w:eastAsia="Times New Roman" w:cs="Times New Roman"/>
                <w:spacing w:val="1"/>
                <w:position w:val="4"/>
                <w:sz w:val="24"/>
                <w:szCs w:val="24"/>
              </w:rPr>
              <w:t>+</w:t>
            </w:r>
            <w:r>
              <w:rPr>
                <w:rFonts w:ascii="Times New Roman" w:hAnsi="Times New Roman" w:eastAsia="Times New Roman" w:cs="Times New Roman"/>
                <w:position w:val="4"/>
                <w:sz w:val="24"/>
                <w:szCs w:val="24"/>
              </w:rPr>
              <w:t>A</w:t>
            </w:r>
            <w:r>
              <w:rPr>
                <w:rFonts w:ascii="Times New Roman" w:hAnsi="Times New Roman" w:eastAsia="Times New Roman" w:cs="Times New Roman"/>
                <w:position w:val="3"/>
                <w:sz w:val="15"/>
                <w:szCs w:val="15"/>
              </w:rPr>
              <w:t>gr</w:t>
            </w:r>
            <w:r>
              <w:rPr>
                <w:rFonts w:ascii="Times New Roman" w:hAnsi="Times New Roman" w:eastAsia="Times New Roman" w:cs="Times New Roman"/>
                <w:spacing w:val="26"/>
                <w:w w:val="102"/>
                <w:position w:val="3"/>
                <w:sz w:val="15"/>
                <w:szCs w:val="15"/>
              </w:rPr>
              <w:t xml:space="preserve"> </w:t>
            </w:r>
            <w:r>
              <w:rPr>
                <w:rFonts w:ascii="Times New Roman" w:hAnsi="Times New Roman" w:eastAsia="Times New Roman" w:cs="Times New Roman"/>
                <w:spacing w:val="1"/>
                <w:position w:val="4"/>
                <w:sz w:val="24"/>
                <w:szCs w:val="24"/>
              </w:rPr>
              <w:t>+</w:t>
            </w:r>
            <w:r>
              <w:rPr>
                <w:rFonts w:ascii="Times New Roman" w:hAnsi="Times New Roman" w:eastAsia="Times New Roman" w:cs="Times New Roman"/>
                <w:position w:val="4"/>
                <w:sz w:val="24"/>
                <w:szCs w:val="24"/>
              </w:rPr>
              <w:t>A</w:t>
            </w:r>
            <w:r>
              <w:rPr>
                <w:rFonts w:ascii="Times New Roman" w:hAnsi="Times New Roman" w:eastAsia="Times New Roman" w:cs="Times New Roman"/>
                <w:position w:val="3"/>
                <w:sz w:val="15"/>
                <w:szCs w:val="15"/>
              </w:rPr>
              <w:t>bar</w:t>
            </w:r>
            <w:r>
              <w:rPr>
                <w:rFonts w:ascii="Times New Roman" w:hAnsi="Times New Roman" w:eastAsia="Times New Roman" w:cs="Times New Roman"/>
                <w:spacing w:val="26"/>
                <w:w w:val="102"/>
                <w:position w:val="3"/>
                <w:sz w:val="15"/>
                <w:szCs w:val="15"/>
              </w:rPr>
              <w:t xml:space="preserve"> </w:t>
            </w:r>
            <w:r>
              <w:rPr>
                <w:rFonts w:ascii="Times New Roman" w:hAnsi="Times New Roman" w:eastAsia="Times New Roman" w:cs="Times New Roman"/>
                <w:spacing w:val="1"/>
                <w:position w:val="4"/>
                <w:sz w:val="24"/>
                <w:szCs w:val="24"/>
              </w:rPr>
              <w:t>+</w:t>
            </w:r>
            <w:r>
              <w:rPr>
                <w:rFonts w:ascii="Times New Roman" w:hAnsi="Times New Roman" w:eastAsia="Times New Roman" w:cs="Times New Roman"/>
                <w:spacing w:val="-11"/>
                <w:position w:val="4"/>
                <w:sz w:val="24"/>
                <w:szCs w:val="24"/>
              </w:rPr>
              <w:t xml:space="preserve"> </w:t>
            </w:r>
            <w:r>
              <w:rPr>
                <w:rFonts w:ascii="Times New Roman" w:hAnsi="Times New Roman" w:eastAsia="Times New Roman" w:cs="Times New Roman"/>
                <w:position w:val="4"/>
                <w:sz w:val="24"/>
                <w:szCs w:val="24"/>
              </w:rPr>
              <w:t>A</w:t>
            </w:r>
            <w:r>
              <w:rPr>
                <w:rFonts w:ascii="Times New Roman" w:hAnsi="Times New Roman" w:eastAsia="Times New Roman" w:cs="Times New Roman"/>
                <w:position w:val="4"/>
                <w:sz w:val="15"/>
                <w:szCs w:val="15"/>
              </w:rPr>
              <w:t>misc</w:t>
            </w:r>
            <w:r>
              <w:rPr>
                <w:rFonts w:ascii="Times New Roman" w:hAnsi="Times New Roman" w:eastAsia="Times New Roman" w:cs="Times New Roman"/>
                <w:spacing w:val="1"/>
                <w:position w:val="4"/>
                <w:sz w:val="24"/>
                <w:szCs w:val="24"/>
              </w:rPr>
              <w:t>)</w:t>
            </w:r>
          </w:p>
          <w:p w14:paraId="76E54386">
            <w:pPr>
              <w:pStyle w:val="6"/>
              <w:spacing w:before="152" w:line="220" w:lineRule="auto"/>
              <w:ind w:left="591"/>
            </w:pPr>
            <w:r>
              <w:rPr>
                <w:spacing w:val="-5"/>
              </w:rPr>
              <w:t>式中：</w:t>
            </w:r>
          </w:p>
          <w:p w14:paraId="2DD403FB">
            <w:pPr>
              <w:pStyle w:val="6"/>
              <w:spacing w:before="179" w:line="212" w:lineRule="auto"/>
              <w:ind w:left="1062"/>
            </w:pP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p</w:t>
            </w:r>
            <w:r>
              <w:rPr>
                <w:rFonts w:ascii="Times New Roman" w:hAnsi="Times New Roman" w:eastAsia="Times New Roman" w:cs="Times New Roman"/>
                <w:spacing w:val="-1"/>
              </w:rPr>
              <w:t xml:space="preserve">(r)  </w:t>
            </w:r>
            <w:r>
              <w:rPr>
                <w:spacing w:val="-1"/>
              </w:rPr>
              <w:t>——预测点处声压级，</w:t>
            </w:r>
            <w:r>
              <w:rPr>
                <w:rFonts w:ascii="Times New Roman" w:hAnsi="Times New Roman" w:eastAsia="Times New Roman" w:cs="Times New Roman"/>
                <w:spacing w:val="-1"/>
              </w:rPr>
              <w:t>dB</w:t>
            </w:r>
            <w:r>
              <w:rPr>
                <w:spacing w:val="-1"/>
              </w:rPr>
              <w:t>；</w:t>
            </w:r>
          </w:p>
          <w:p w14:paraId="47E8EB83">
            <w:pPr>
              <w:pStyle w:val="6"/>
              <w:spacing w:before="193" w:line="211" w:lineRule="auto"/>
              <w:ind w:left="1062"/>
            </w:pP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rPr>
              <w:t>(r</w:t>
            </w:r>
            <w:r>
              <w:rPr>
                <w:rFonts w:ascii="Times New Roman" w:hAnsi="Times New Roman" w:eastAsia="Times New Roman" w:cs="Times New Roman"/>
                <w:sz w:val="15"/>
                <w:szCs w:val="15"/>
              </w:rPr>
              <w:t>0</w:t>
            </w:r>
            <w:r>
              <w:rPr>
                <w:rFonts w:ascii="Times New Roman" w:hAnsi="Times New Roman" w:eastAsia="Times New Roman" w:cs="Times New Roman"/>
              </w:rPr>
              <w:t>)</w:t>
            </w:r>
            <w:r>
              <w:t>——参考位置</w:t>
            </w:r>
            <w:r>
              <w:rPr>
                <w:spacing w:val="-58"/>
              </w:rPr>
              <w:t xml:space="preserve"> </w:t>
            </w:r>
            <w:r>
              <w:rPr>
                <w:rFonts w:ascii="Times New Roman" w:hAnsi="Times New Roman" w:eastAsia="Times New Roman" w:cs="Times New Roman"/>
              </w:rPr>
              <w:t xml:space="preserve">r0 </w:t>
            </w:r>
            <w:r>
              <w:t>处的声压级，</w:t>
            </w:r>
            <w:r>
              <w:rPr>
                <w:rFonts w:ascii="Times New Roman" w:hAnsi="Times New Roman" w:eastAsia="Times New Roman" w:cs="Times New Roman"/>
                <w:spacing w:val="-1"/>
              </w:rPr>
              <w:t>dB</w:t>
            </w:r>
            <w:r>
              <w:rPr>
                <w:spacing w:val="-1"/>
              </w:rPr>
              <w:t>；</w:t>
            </w:r>
          </w:p>
          <w:p w14:paraId="4FF3A19D">
            <w:pPr>
              <w:pStyle w:val="6"/>
              <w:spacing w:before="190" w:line="347" w:lineRule="auto"/>
              <w:ind w:left="126" w:right="101" w:firstLine="935"/>
            </w:pPr>
            <w:r>
              <w:rPr>
                <w:rFonts w:ascii="Times New Roman" w:hAnsi="Times New Roman" w:eastAsia="Times New Roman" w:cs="Times New Roman"/>
                <w:spacing w:val="-4"/>
              </w:rPr>
              <w:t>D</w:t>
            </w:r>
            <w:r>
              <w:rPr>
                <w:rFonts w:ascii="Times New Roman" w:hAnsi="Times New Roman" w:eastAsia="Times New Roman" w:cs="Times New Roman"/>
                <w:spacing w:val="-4"/>
                <w:position w:val="-1"/>
                <w:sz w:val="15"/>
                <w:szCs w:val="15"/>
              </w:rPr>
              <w:t>C</w:t>
            </w:r>
            <w:r>
              <w:rPr>
                <w:spacing w:val="-4"/>
              </w:rPr>
              <w:t>——指向性校正，它描述点声源的等效连续声压级与产生声功率级</w:t>
            </w:r>
            <w:r>
              <w:rPr>
                <w:spacing w:val="-41"/>
              </w:rPr>
              <w:t xml:space="preserve"> </w:t>
            </w:r>
            <w:r>
              <w:rPr>
                <w:rFonts w:ascii="Times New Roman" w:hAnsi="Times New Roman" w:eastAsia="Times New Roman" w:cs="Times New Roman"/>
                <w:spacing w:val="-4"/>
              </w:rPr>
              <w:t>L</w:t>
            </w:r>
            <w:r>
              <w:rPr>
                <w:rFonts w:ascii="Times New Roman" w:hAnsi="Times New Roman" w:eastAsia="Times New Roman" w:cs="Times New Roman"/>
                <w:spacing w:val="-4"/>
                <w:position w:val="-1"/>
                <w:sz w:val="15"/>
                <w:szCs w:val="15"/>
              </w:rPr>
              <w:t>W</w:t>
            </w:r>
            <w:r>
              <w:rPr>
                <w:rFonts w:ascii="Times New Roman" w:hAnsi="Times New Roman" w:eastAsia="Times New Roman" w:cs="Times New Roman"/>
                <w:position w:val="-1"/>
                <w:sz w:val="15"/>
                <w:szCs w:val="15"/>
              </w:rPr>
              <w:t xml:space="preserve"> </w:t>
            </w:r>
            <w:r>
              <w:rPr>
                <w:spacing w:val="-2"/>
              </w:rPr>
              <w:t>的全向点声源在规定方向的声级的偏差程度，</w:t>
            </w:r>
            <w:r>
              <w:rPr>
                <w:rFonts w:ascii="Times New Roman" w:hAnsi="Times New Roman" w:eastAsia="Times New Roman" w:cs="Times New Roman"/>
                <w:spacing w:val="-2"/>
              </w:rPr>
              <w:t>dB</w:t>
            </w:r>
            <w:r>
              <w:rPr>
                <w:spacing w:val="-2"/>
              </w:rPr>
              <w:t>；</w:t>
            </w:r>
          </w:p>
          <w:p w14:paraId="156AC107">
            <w:pPr>
              <w:pStyle w:val="6"/>
              <w:spacing w:before="32" w:line="219" w:lineRule="auto"/>
              <w:ind w:left="1059"/>
            </w:pPr>
            <w:r>
              <w:rPr>
                <w:rFonts w:ascii="Times New Roman" w:hAnsi="Times New Roman" w:eastAsia="Times New Roman" w:cs="Times New Roman"/>
              </w:rPr>
              <w:t>A</w:t>
            </w:r>
            <w:r>
              <w:rPr>
                <w:rFonts w:ascii="Times New Roman" w:hAnsi="Times New Roman" w:eastAsia="Times New Roman" w:cs="Times New Roman"/>
                <w:position w:val="-1"/>
                <w:sz w:val="15"/>
                <w:szCs w:val="15"/>
              </w:rPr>
              <w:t>div</w:t>
            </w:r>
            <w:r>
              <w:t>——几何发散引起的衰减，</w:t>
            </w:r>
            <w:r>
              <w:rPr>
                <w:rFonts w:ascii="Times New Roman" w:hAnsi="Times New Roman" w:eastAsia="Times New Roman" w:cs="Times New Roman"/>
              </w:rPr>
              <w:t>dB</w:t>
            </w:r>
            <w:r>
              <w:t>；</w:t>
            </w:r>
          </w:p>
          <w:p w14:paraId="5E1FB0AF">
            <w:pPr>
              <w:pStyle w:val="6"/>
              <w:spacing w:before="184" w:line="347" w:lineRule="auto"/>
              <w:ind w:left="1059" w:right="3830"/>
            </w:pPr>
            <w:r>
              <w:rPr>
                <w:rFonts w:ascii="Times New Roman" w:hAnsi="Times New Roman" w:eastAsia="Times New Roman" w:cs="Times New Roman"/>
                <w:spacing w:val="-3"/>
              </w:rPr>
              <w:t>A</w:t>
            </w:r>
            <w:r>
              <w:rPr>
                <w:rFonts w:ascii="Times New Roman" w:hAnsi="Times New Roman" w:eastAsia="Times New Roman" w:cs="Times New Roman"/>
                <w:spacing w:val="-3"/>
                <w:position w:val="-1"/>
                <w:sz w:val="15"/>
                <w:szCs w:val="15"/>
              </w:rPr>
              <w:t>atm</w:t>
            </w:r>
            <w:r>
              <w:rPr>
                <w:spacing w:val="-3"/>
              </w:rPr>
              <w:t>——大气吸收引起的衰减，</w:t>
            </w:r>
            <w:r>
              <w:rPr>
                <w:rFonts w:ascii="Times New Roman" w:hAnsi="Times New Roman" w:eastAsia="Times New Roman" w:cs="Times New Roman"/>
                <w:spacing w:val="-3"/>
              </w:rPr>
              <w:t>dB</w:t>
            </w:r>
            <w:r>
              <w:rPr>
                <w:spacing w:val="-3"/>
              </w:rPr>
              <w:t>；</w:t>
            </w:r>
            <w:r>
              <w:t xml:space="preserve"> </w:t>
            </w:r>
            <w:r>
              <w:rPr>
                <w:rFonts w:ascii="Times New Roman" w:hAnsi="Times New Roman" w:eastAsia="Times New Roman" w:cs="Times New Roman"/>
              </w:rPr>
              <w:t>A</w:t>
            </w:r>
            <w:r>
              <w:rPr>
                <w:rFonts w:ascii="Times New Roman" w:hAnsi="Times New Roman" w:eastAsia="Times New Roman" w:cs="Times New Roman"/>
                <w:position w:val="-1"/>
                <w:sz w:val="15"/>
                <w:szCs w:val="15"/>
              </w:rPr>
              <w:t>gr</w:t>
            </w:r>
            <w:r>
              <w:t>——地面效应引起的衰减，</w:t>
            </w:r>
            <w:r>
              <w:rPr>
                <w:rFonts w:ascii="Times New Roman" w:hAnsi="Times New Roman" w:eastAsia="Times New Roman" w:cs="Times New Roman"/>
              </w:rPr>
              <w:t>dB</w:t>
            </w:r>
            <w:r>
              <w:t>；</w:t>
            </w:r>
          </w:p>
          <w:p w14:paraId="0A72DDBD">
            <w:pPr>
              <w:pStyle w:val="6"/>
              <w:spacing w:before="31" w:line="219" w:lineRule="auto"/>
              <w:ind w:left="1059"/>
            </w:pPr>
            <w:r>
              <w:rPr>
                <w:rFonts w:ascii="Times New Roman" w:hAnsi="Times New Roman" w:eastAsia="Times New Roman" w:cs="Times New Roman"/>
              </w:rPr>
              <w:t>A</w:t>
            </w:r>
            <w:r>
              <w:rPr>
                <w:rFonts w:ascii="Times New Roman" w:hAnsi="Times New Roman" w:eastAsia="Times New Roman" w:cs="Times New Roman"/>
                <w:position w:val="-1"/>
                <w:sz w:val="15"/>
                <w:szCs w:val="15"/>
              </w:rPr>
              <w:t>bar</w:t>
            </w:r>
            <w:r>
              <w:t>——障碍物屏蔽引起的衰减，</w:t>
            </w:r>
            <w:r>
              <w:rPr>
                <w:rFonts w:ascii="Times New Roman" w:hAnsi="Times New Roman" w:eastAsia="Times New Roman" w:cs="Times New Roman"/>
              </w:rPr>
              <w:t>dB</w:t>
            </w:r>
            <w:r>
              <w:t>；</w:t>
            </w:r>
          </w:p>
          <w:p w14:paraId="28500E9D">
            <w:pPr>
              <w:pStyle w:val="6"/>
              <w:spacing w:before="181" w:line="220" w:lineRule="auto"/>
              <w:ind w:left="1059"/>
            </w:pPr>
            <w:r>
              <w:rPr>
                <w:rFonts w:ascii="Times New Roman" w:hAnsi="Times New Roman" w:eastAsia="Times New Roman" w:cs="Times New Roman"/>
              </w:rPr>
              <w:t>A</w:t>
            </w:r>
            <w:r>
              <w:rPr>
                <w:rFonts w:ascii="Times New Roman" w:hAnsi="Times New Roman" w:eastAsia="Times New Roman" w:cs="Times New Roman"/>
                <w:position w:val="-1"/>
                <w:sz w:val="15"/>
                <w:szCs w:val="15"/>
              </w:rPr>
              <w:t>misc</w:t>
            </w:r>
            <w:r>
              <w:t>——其它多方面效应引起的衰减，</w:t>
            </w:r>
            <w:r>
              <w:rPr>
                <w:rFonts w:ascii="Times New Roman" w:hAnsi="Times New Roman" w:eastAsia="Times New Roman" w:cs="Times New Roman"/>
              </w:rPr>
              <w:t>dB</w:t>
            </w:r>
            <w:r>
              <w:t>。</w:t>
            </w:r>
          </w:p>
          <w:p w14:paraId="79374622">
            <w:pPr>
              <w:pStyle w:val="6"/>
              <w:spacing w:before="182" w:line="219" w:lineRule="auto"/>
              <w:ind w:left="855"/>
            </w:pPr>
            <w:r>
              <w:rPr>
                <w:spacing w:val="-2"/>
              </w:rPr>
              <w:t>由上述公式计算出施工场地噪声预测结果见表</w:t>
            </w:r>
            <w:r>
              <w:rPr>
                <w:spacing w:val="-53"/>
              </w:rPr>
              <w:t xml:space="preserve"> </w:t>
            </w:r>
            <w:r>
              <w:rPr>
                <w:rFonts w:ascii="Times New Roman" w:hAnsi="Times New Roman" w:eastAsia="Times New Roman" w:cs="Times New Roman"/>
                <w:spacing w:val="-2"/>
              </w:rPr>
              <w:t>4-6</w:t>
            </w:r>
            <w:r>
              <w:rPr>
                <w:spacing w:val="-2"/>
              </w:rPr>
              <w:t>。</w:t>
            </w:r>
          </w:p>
          <w:p w14:paraId="36DFE69F">
            <w:pPr>
              <w:pStyle w:val="6"/>
              <w:spacing w:before="176" w:line="224" w:lineRule="auto"/>
              <w:ind w:left="2053"/>
              <w:rPr>
                <w:sz w:val="20"/>
                <w:szCs w:val="20"/>
              </w:rPr>
            </w:pPr>
            <w:r>
              <w:rPr>
                <w:b/>
                <w:bCs/>
                <w:spacing w:val="7"/>
                <w:sz w:val="20"/>
                <w:szCs w:val="20"/>
              </w:rPr>
              <w:t>表</w:t>
            </w:r>
            <w:r>
              <w:rPr>
                <w:spacing w:val="-40"/>
                <w:sz w:val="20"/>
                <w:szCs w:val="20"/>
              </w:rPr>
              <w:t xml:space="preserve"> </w:t>
            </w:r>
            <w:r>
              <w:rPr>
                <w:rFonts w:ascii="Times New Roman" w:hAnsi="Times New Roman" w:eastAsia="Times New Roman" w:cs="Times New Roman"/>
                <w:b/>
                <w:bCs/>
                <w:spacing w:val="7"/>
                <w:sz w:val="20"/>
                <w:szCs w:val="20"/>
              </w:rPr>
              <w:t xml:space="preserve">4-6  </w:t>
            </w:r>
            <w:r>
              <w:rPr>
                <w:b/>
                <w:bCs/>
                <w:spacing w:val="7"/>
                <w:sz w:val="20"/>
                <w:szCs w:val="20"/>
              </w:rPr>
              <w:t>距声源不同距离处的噪声值</w:t>
            </w:r>
            <w:r>
              <w:rPr>
                <w:spacing w:val="7"/>
                <w:sz w:val="20"/>
                <w:szCs w:val="20"/>
              </w:rPr>
              <w:t xml:space="preserve">  </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b/>
                <w:bCs/>
                <w:spacing w:val="6"/>
                <w:sz w:val="20"/>
                <w:szCs w:val="20"/>
              </w:rPr>
              <w:t>（</w:t>
            </w:r>
            <w:r>
              <w:rPr>
                <w:rFonts w:ascii="Times New Roman" w:hAnsi="Times New Roman" w:eastAsia="Times New Roman" w:cs="Times New Roman"/>
                <w:b/>
                <w:bCs/>
                <w:spacing w:val="6"/>
                <w:sz w:val="20"/>
                <w:szCs w:val="20"/>
              </w:rPr>
              <w:t>A</w:t>
            </w:r>
            <w:r>
              <w:rPr>
                <w:b/>
                <w:bCs/>
                <w:spacing w:val="6"/>
                <w:sz w:val="20"/>
                <w:szCs w:val="20"/>
              </w:rPr>
              <w:t>）</w:t>
            </w:r>
          </w:p>
          <w:tbl>
            <w:tblPr>
              <w:tblStyle w:val="5"/>
              <w:tblW w:w="8418"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0"/>
              <w:gridCol w:w="558"/>
              <w:gridCol w:w="642"/>
              <w:gridCol w:w="601"/>
              <w:gridCol w:w="601"/>
              <w:gridCol w:w="656"/>
              <w:gridCol w:w="654"/>
              <w:gridCol w:w="825"/>
              <w:gridCol w:w="778"/>
              <w:gridCol w:w="705"/>
              <w:gridCol w:w="708"/>
            </w:tblGrid>
            <w:tr w14:paraId="59A03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690" w:type="dxa"/>
                  <w:vAlign w:val="top"/>
                </w:tcPr>
                <w:p w14:paraId="002E500A">
                  <w:pPr>
                    <w:pStyle w:val="6"/>
                    <w:spacing w:before="31" w:line="216" w:lineRule="auto"/>
                    <w:ind w:left="431"/>
                    <w:rPr>
                      <w:sz w:val="20"/>
                      <w:szCs w:val="20"/>
                    </w:rPr>
                  </w:pPr>
                  <w:r>
                    <w:rPr>
                      <w:b/>
                      <w:bCs/>
                      <w:spacing w:val="5"/>
                      <w:sz w:val="20"/>
                      <w:szCs w:val="20"/>
                    </w:rPr>
                    <w:t>设备名称</w:t>
                  </w:r>
                </w:p>
              </w:tc>
              <w:tc>
                <w:tcPr>
                  <w:tcW w:w="558" w:type="dxa"/>
                  <w:vAlign w:val="top"/>
                </w:tcPr>
                <w:p w14:paraId="15ADB1EF">
                  <w:pPr>
                    <w:spacing w:before="67" w:line="195" w:lineRule="auto"/>
                    <w:ind w:left="14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1m</w:t>
                  </w:r>
                </w:p>
              </w:tc>
              <w:tc>
                <w:tcPr>
                  <w:tcW w:w="642" w:type="dxa"/>
                  <w:vAlign w:val="top"/>
                </w:tcPr>
                <w:p w14:paraId="170279F5">
                  <w:pPr>
                    <w:spacing w:before="69" w:line="192" w:lineRule="auto"/>
                    <w:ind w:left="185"/>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5m</w:t>
                  </w:r>
                </w:p>
              </w:tc>
              <w:tc>
                <w:tcPr>
                  <w:tcW w:w="601" w:type="dxa"/>
                  <w:vAlign w:val="top"/>
                </w:tcPr>
                <w:p w14:paraId="2402D821">
                  <w:pPr>
                    <w:spacing w:before="66" w:line="195" w:lineRule="auto"/>
                    <w:ind w:left="118"/>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10m</w:t>
                  </w:r>
                </w:p>
              </w:tc>
              <w:tc>
                <w:tcPr>
                  <w:tcW w:w="601" w:type="dxa"/>
                  <w:vAlign w:val="top"/>
                </w:tcPr>
                <w:p w14:paraId="478D3BA0">
                  <w:pPr>
                    <w:spacing w:before="66" w:line="195" w:lineRule="auto"/>
                    <w:ind w:left="10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20m</w:t>
                  </w:r>
                </w:p>
              </w:tc>
              <w:tc>
                <w:tcPr>
                  <w:tcW w:w="656" w:type="dxa"/>
                  <w:vAlign w:val="top"/>
                </w:tcPr>
                <w:p w14:paraId="6B276A49">
                  <w:pPr>
                    <w:spacing w:before="66" w:line="195" w:lineRule="auto"/>
                    <w:ind w:left="13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50m</w:t>
                  </w:r>
                </w:p>
              </w:tc>
              <w:tc>
                <w:tcPr>
                  <w:tcW w:w="654" w:type="dxa"/>
                  <w:vAlign w:val="top"/>
                </w:tcPr>
                <w:p w14:paraId="633E365C">
                  <w:pPr>
                    <w:spacing w:before="66" w:line="195" w:lineRule="auto"/>
                    <w:ind w:left="13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60m</w:t>
                  </w:r>
                </w:p>
              </w:tc>
              <w:tc>
                <w:tcPr>
                  <w:tcW w:w="825" w:type="dxa"/>
                  <w:vAlign w:val="top"/>
                </w:tcPr>
                <w:p w14:paraId="7CEBDE19">
                  <w:pPr>
                    <w:spacing w:before="66" w:line="195" w:lineRule="auto"/>
                    <w:ind w:left="17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100m</w:t>
                  </w:r>
                </w:p>
              </w:tc>
              <w:tc>
                <w:tcPr>
                  <w:tcW w:w="778" w:type="dxa"/>
                  <w:vAlign w:val="top"/>
                </w:tcPr>
                <w:p w14:paraId="2138EE91">
                  <w:pPr>
                    <w:spacing w:before="66" w:line="195" w:lineRule="auto"/>
                    <w:ind w:left="15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150m</w:t>
                  </w:r>
                </w:p>
              </w:tc>
              <w:tc>
                <w:tcPr>
                  <w:tcW w:w="705" w:type="dxa"/>
                  <w:vAlign w:val="top"/>
                </w:tcPr>
                <w:p w14:paraId="7F283B44">
                  <w:pPr>
                    <w:spacing w:before="66" w:line="195" w:lineRule="auto"/>
                    <w:ind w:left="11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200m</w:t>
                  </w:r>
                </w:p>
              </w:tc>
              <w:tc>
                <w:tcPr>
                  <w:tcW w:w="708" w:type="dxa"/>
                  <w:vAlign w:val="top"/>
                </w:tcPr>
                <w:p w14:paraId="65C181C8">
                  <w:pPr>
                    <w:spacing w:before="66" w:line="195" w:lineRule="auto"/>
                    <w:ind w:left="112"/>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300m</w:t>
                  </w:r>
                </w:p>
              </w:tc>
            </w:tr>
            <w:tr w14:paraId="44C54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690" w:type="dxa"/>
                  <w:vAlign w:val="top"/>
                </w:tcPr>
                <w:p w14:paraId="41A39414">
                  <w:pPr>
                    <w:pStyle w:val="6"/>
                    <w:spacing w:before="41" w:line="227" w:lineRule="auto"/>
                    <w:ind w:left="534"/>
                    <w:rPr>
                      <w:sz w:val="20"/>
                      <w:szCs w:val="20"/>
                    </w:rPr>
                  </w:pPr>
                  <w:r>
                    <w:rPr>
                      <w:spacing w:val="6"/>
                      <w:sz w:val="20"/>
                      <w:szCs w:val="20"/>
                    </w:rPr>
                    <w:t>起重机</w:t>
                  </w:r>
                </w:p>
              </w:tc>
              <w:tc>
                <w:tcPr>
                  <w:tcW w:w="558" w:type="dxa"/>
                  <w:vAlign w:val="top"/>
                </w:tcPr>
                <w:p w14:paraId="5A05F005">
                  <w:pPr>
                    <w:spacing w:before="79"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109</w:t>
                  </w:r>
                </w:p>
              </w:tc>
              <w:tc>
                <w:tcPr>
                  <w:tcW w:w="642" w:type="dxa"/>
                  <w:vAlign w:val="top"/>
                </w:tcPr>
                <w:p w14:paraId="7E58F5C4">
                  <w:pPr>
                    <w:spacing w:before="79"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601" w:type="dxa"/>
                  <w:vAlign w:val="top"/>
                </w:tcPr>
                <w:p w14:paraId="6CA1FF4D">
                  <w:pPr>
                    <w:spacing w:before="79"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w:t>
                  </w:r>
                </w:p>
              </w:tc>
              <w:tc>
                <w:tcPr>
                  <w:tcW w:w="601" w:type="dxa"/>
                  <w:vAlign w:val="top"/>
                </w:tcPr>
                <w:p w14:paraId="23F8A5F8">
                  <w:pPr>
                    <w:spacing w:before="79"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656" w:type="dxa"/>
                  <w:vAlign w:val="top"/>
                </w:tcPr>
                <w:p w14:paraId="1671B116">
                  <w:pPr>
                    <w:spacing w:before="82" w:line="192"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54" w:type="dxa"/>
                  <w:vAlign w:val="top"/>
                </w:tcPr>
                <w:p w14:paraId="344DE867">
                  <w:pPr>
                    <w:spacing w:before="7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825" w:type="dxa"/>
                  <w:vAlign w:val="top"/>
                </w:tcPr>
                <w:p w14:paraId="7EE616C7">
                  <w:pPr>
                    <w:spacing w:before="79"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778" w:type="dxa"/>
                  <w:vAlign w:val="top"/>
                </w:tcPr>
                <w:p w14:paraId="745AB4AA">
                  <w:pPr>
                    <w:spacing w:before="7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05" w:type="dxa"/>
                  <w:vAlign w:val="top"/>
                </w:tcPr>
                <w:p w14:paraId="5E66053E">
                  <w:pPr>
                    <w:spacing w:before="79"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708" w:type="dxa"/>
                  <w:vAlign w:val="top"/>
                </w:tcPr>
                <w:p w14:paraId="48A81F2B">
                  <w:pPr>
                    <w:spacing w:before="79" w:line="195"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r>
            <w:tr w14:paraId="4B86F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690" w:type="dxa"/>
                  <w:vAlign w:val="top"/>
                </w:tcPr>
                <w:p w14:paraId="260D62C9">
                  <w:pPr>
                    <w:pStyle w:val="6"/>
                    <w:spacing w:before="28" w:line="233" w:lineRule="auto"/>
                    <w:ind w:left="746" w:right="110" w:hanging="630"/>
                    <w:rPr>
                      <w:sz w:val="20"/>
                      <w:szCs w:val="20"/>
                    </w:rPr>
                  </w:pPr>
                  <w:r>
                    <w:rPr>
                      <w:spacing w:val="8"/>
                      <w:sz w:val="20"/>
                      <w:szCs w:val="20"/>
                    </w:rPr>
                    <w:t>混凝土搅拌运输</w:t>
                  </w:r>
                  <w:r>
                    <w:rPr>
                      <w:spacing w:val="1"/>
                      <w:sz w:val="20"/>
                      <w:szCs w:val="20"/>
                    </w:rPr>
                    <w:t xml:space="preserve"> </w:t>
                  </w:r>
                  <w:r>
                    <w:rPr>
                      <w:sz w:val="20"/>
                      <w:szCs w:val="20"/>
                    </w:rPr>
                    <w:t>车</w:t>
                  </w:r>
                </w:p>
              </w:tc>
              <w:tc>
                <w:tcPr>
                  <w:tcW w:w="558" w:type="dxa"/>
                  <w:vAlign w:val="top"/>
                </w:tcPr>
                <w:p w14:paraId="6C54DFA0">
                  <w:pPr>
                    <w:spacing w:before="200"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w:t>
                  </w:r>
                </w:p>
              </w:tc>
              <w:tc>
                <w:tcPr>
                  <w:tcW w:w="642" w:type="dxa"/>
                  <w:vAlign w:val="top"/>
                </w:tcPr>
                <w:p w14:paraId="4DACC1A3">
                  <w:pPr>
                    <w:spacing w:before="20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601" w:type="dxa"/>
                  <w:vAlign w:val="top"/>
                </w:tcPr>
                <w:p w14:paraId="7B101E74">
                  <w:pPr>
                    <w:spacing w:before="200"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601" w:type="dxa"/>
                  <w:vAlign w:val="top"/>
                </w:tcPr>
                <w:p w14:paraId="79F895C1">
                  <w:pPr>
                    <w:spacing w:before="200"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56" w:type="dxa"/>
                  <w:vAlign w:val="top"/>
                </w:tcPr>
                <w:p w14:paraId="492E775B">
                  <w:pPr>
                    <w:spacing w:before="200"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654" w:type="dxa"/>
                  <w:vAlign w:val="top"/>
                </w:tcPr>
                <w:p w14:paraId="23957DFB">
                  <w:pPr>
                    <w:spacing w:before="200"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25" w:type="dxa"/>
                  <w:vAlign w:val="top"/>
                </w:tcPr>
                <w:p w14:paraId="12ABAB29">
                  <w:pPr>
                    <w:spacing w:before="200"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778" w:type="dxa"/>
                  <w:vAlign w:val="top"/>
                </w:tcPr>
                <w:p w14:paraId="08C45BE7">
                  <w:pPr>
                    <w:spacing w:before="201"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705" w:type="dxa"/>
                  <w:vAlign w:val="top"/>
                </w:tcPr>
                <w:p w14:paraId="556ED907">
                  <w:pPr>
                    <w:spacing w:before="200"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08" w:type="dxa"/>
                  <w:vAlign w:val="top"/>
                </w:tcPr>
                <w:p w14:paraId="551ED32A">
                  <w:pPr>
                    <w:spacing w:before="200"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r>
            <w:tr w14:paraId="47A26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690" w:type="dxa"/>
                  <w:vAlign w:val="top"/>
                </w:tcPr>
                <w:p w14:paraId="39C4B9E4">
                  <w:pPr>
                    <w:pStyle w:val="6"/>
                    <w:spacing w:before="31" w:line="218" w:lineRule="auto"/>
                    <w:ind w:left="533"/>
                    <w:rPr>
                      <w:sz w:val="20"/>
                      <w:szCs w:val="20"/>
                    </w:rPr>
                  </w:pPr>
                  <w:r>
                    <w:rPr>
                      <w:spacing w:val="6"/>
                      <w:sz w:val="20"/>
                      <w:szCs w:val="20"/>
                    </w:rPr>
                    <w:t>推土机</w:t>
                  </w:r>
                </w:p>
              </w:tc>
              <w:tc>
                <w:tcPr>
                  <w:tcW w:w="558" w:type="dxa"/>
                  <w:vAlign w:val="top"/>
                </w:tcPr>
                <w:p w14:paraId="6F3B9351">
                  <w:pPr>
                    <w:spacing w:before="70"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99</w:t>
                  </w:r>
                </w:p>
              </w:tc>
              <w:tc>
                <w:tcPr>
                  <w:tcW w:w="642" w:type="dxa"/>
                  <w:vAlign w:val="top"/>
                </w:tcPr>
                <w:p w14:paraId="52134A51">
                  <w:pPr>
                    <w:spacing w:before="70"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601" w:type="dxa"/>
                  <w:vAlign w:val="top"/>
                </w:tcPr>
                <w:p w14:paraId="2DD37974">
                  <w:pPr>
                    <w:spacing w:before="70"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601" w:type="dxa"/>
                  <w:vAlign w:val="top"/>
                </w:tcPr>
                <w:p w14:paraId="320FA4F2">
                  <w:pPr>
                    <w:spacing w:before="70"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656" w:type="dxa"/>
                  <w:vAlign w:val="top"/>
                </w:tcPr>
                <w:p w14:paraId="43D33D18">
                  <w:pPr>
                    <w:spacing w:before="7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654" w:type="dxa"/>
                  <w:vAlign w:val="top"/>
                </w:tcPr>
                <w:p w14:paraId="23B4EB60">
                  <w:pPr>
                    <w:spacing w:before="70"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825" w:type="dxa"/>
                  <w:vAlign w:val="top"/>
                </w:tcPr>
                <w:p w14:paraId="157AD94E">
                  <w:pPr>
                    <w:spacing w:before="70"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78" w:type="dxa"/>
                  <w:vAlign w:val="top"/>
                </w:tcPr>
                <w:p w14:paraId="70D4CDDC">
                  <w:pPr>
                    <w:spacing w:before="73" w:line="192"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705" w:type="dxa"/>
                  <w:vAlign w:val="top"/>
                </w:tcPr>
                <w:p w14:paraId="71249742">
                  <w:pPr>
                    <w:spacing w:before="70"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708" w:type="dxa"/>
                  <w:vAlign w:val="top"/>
                </w:tcPr>
                <w:p w14:paraId="5268312F">
                  <w:pPr>
                    <w:spacing w:before="7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r>
            <w:tr w14:paraId="1CA21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690" w:type="dxa"/>
                  <w:vAlign w:val="top"/>
                </w:tcPr>
                <w:p w14:paraId="5B2634DA">
                  <w:pPr>
                    <w:pStyle w:val="6"/>
                    <w:spacing w:before="32" w:line="213" w:lineRule="auto"/>
                    <w:ind w:left="350"/>
                    <w:rPr>
                      <w:sz w:val="20"/>
                      <w:szCs w:val="20"/>
                    </w:rPr>
                  </w:pPr>
                  <w:r>
                    <w:rPr>
                      <w:spacing w:val="3"/>
                      <w:sz w:val="20"/>
                      <w:szCs w:val="20"/>
                    </w:rPr>
                    <w:t>内燃压路机</w:t>
                  </w:r>
                </w:p>
              </w:tc>
              <w:tc>
                <w:tcPr>
                  <w:tcW w:w="558" w:type="dxa"/>
                  <w:vAlign w:val="top"/>
                </w:tcPr>
                <w:p w14:paraId="5FD5AA5A">
                  <w:pPr>
                    <w:spacing w:before="6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42" w:type="dxa"/>
                  <w:vAlign w:val="top"/>
                </w:tcPr>
                <w:p w14:paraId="61DCFD59">
                  <w:pPr>
                    <w:spacing w:before="6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601" w:type="dxa"/>
                  <w:vAlign w:val="top"/>
                </w:tcPr>
                <w:p w14:paraId="7678B212">
                  <w:pPr>
                    <w:spacing w:before="6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01" w:type="dxa"/>
                  <w:vAlign w:val="top"/>
                </w:tcPr>
                <w:p w14:paraId="4E1314FE">
                  <w:pPr>
                    <w:spacing w:before="68"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656" w:type="dxa"/>
                  <w:vAlign w:val="top"/>
                </w:tcPr>
                <w:p w14:paraId="36CC9D78">
                  <w:pPr>
                    <w:spacing w:before="6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654" w:type="dxa"/>
                  <w:vAlign w:val="top"/>
                </w:tcPr>
                <w:p w14:paraId="6D21FF40">
                  <w:pPr>
                    <w:spacing w:before="6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825" w:type="dxa"/>
                  <w:vAlign w:val="top"/>
                </w:tcPr>
                <w:p w14:paraId="22F44AB7">
                  <w:pPr>
                    <w:spacing w:before="68"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778" w:type="dxa"/>
                  <w:vAlign w:val="top"/>
                </w:tcPr>
                <w:p w14:paraId="125A8EB7">
                  <w:pPr>
                    <w:spacing w:before="6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705" w:type="dxa"/>
                  <w:vAlign w:val="top"/>
                </w:tcPr>
                <w:p w14:paraId="73EA4DFC">
                  <w:pPr>
                    <w:spacing w:before="6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708" w:type="dxa"/>
                  <w:vAlign w:val="top"/>
                </w:tcPr>
                <w:p w14:paraId="0890AE60">
                  <w:pPr>
                    <w:spacing w:before="6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559A8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690" w:type="dxa"/>
                  <w:vAlign w:val="top"/>
                </w:tcPr>
                <w:p w14:paraId="713F10A6">
                  <w:pPr>
                    <w:pStyle w:val="6"/>
                    <w:spacing w:before="34" w:line="219" w:lineRule="auto"/>
                    <w:ind w:left="325"/>
                    <w:rPr>
                      <w:sz w:val="20"/>
                      <w:szCs w:val="20"/>
                    </w:rPr>
                  </w:pPr>
                  <w:r>
                    <w:rPr>
                      <w:spacing w:val="7"/>
                      <w:sz w:val="20"/>
                      <w:szCs w:val="20"/>
                    </w:rPr>
                    <w:t>反铲挖掘机</w:t>
                  </w:r>
                </w:p>
              </w:tc>
              <w:tc>
                <w:tcPr>
                  <w:tcW w:w="558" w:type="dxa"/>
                  <w:vAlign w:val="top"/>
                </w:tcPr>
                <w:p w14:paraId="55AD80DF">
                  <w:pPr>
                    <w:spacing w:before="71"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c>
                <w:tcPr>
                  <w:tcW w:w="642" w:type="dxa"/>
                  <w:vAlign w:val="top"/>
                </w:tcPr>
                <w:p w14:paraId="46922A5A">
                  <w:pPr>
                    <w:spacing w:before="7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601" w:type="dxa"/>
                  <w:vAlign w:val="top"/>
                </w:tcPr>
                <w:p w14:paraId="18C05670">
                  <w:pPr>
                    <w:spacing w:before="71"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601" w:type="dxa"/>
                  <w:vAlign w:val="top"/>
                </w:tcPr>
                <w:p w14:paraId="7530F750">
                  <w:pPr>
                    <w:spacing w:before="71"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56" w:type="dxa"/>
                  <w:vAlign w:val="top"/>
                </w:tcPr>
                <w:p w14:paraId="6048DDED">
                  <w:pPr>
                    <w:spacing w:before="7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654" w:type="dxa"/>
                  <w:vAlign w:val="top"/>
                </w:tcPr>
                <w:p w14:paraId="1DCAB5F3">
                  <w:pPr>
                    <w:spacing w:before="71"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25" w:type="dxa"/>
                  <w:vAlign w:val="top"/>
                </w:tcPr>
                <w:p w14:paraId="29EEC8BB">
                  <w:pPr>
                    <w:spacing w:before="7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778" w:type="dxa"/>
                  <w:vAlign w:val="top"/>
                </w:tcPr>
                <w:p w14:paraId="66149C1E">
                  <w:pPr>
                    <w:spacing w:before="71"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705" w:type="dxa"/>
                  <w:vAlign w:val="top"/>
                </w:tcPr>
                <w:p w14:paraId="6B035577">
                  <w:pPr>
                    <w:spacing w:before="71"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08" w:type="dxa"/>
                  <w:vAlign w:val="top"/>
                </w:tcPr>
                <w:p w14:paraId="5676E438">
                  <w:pPr>
                    <w:spacing w:before="71"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r>
            <w:tr w14:paraId="2DCDA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690" w:type="dxa"/>
                  <w:vAlign w:val="top"/>
                </w:tcPr>
                <w:p w14:paraId="16E04883">
                  <w:pPr>
                    <w:pStyle w:val="6"/>
                    <w:spacing w:before="35" w:line="219" w:lineRule="auto"/>
                    <w:ind w:left="323"/>
                    <w:rPr>
                      <w:sz w:val="20"/>
                      <w:szCs w:val="20"/>
                    </w:rPr>
                  </w:pPr>
                  <w:r>
                    <w:rPr>
                      <w:spacing w:val="8"/>
                      <w:sz w:val="20"/>
                      <w:szCs w:val="20"/>
                    </w:rPr>
                    <w:t>钢筋调直机</w:t>
                  </w:r>
                </w:p>
              </w:tc>
              <w:tc>
                <w:tcPr>
                  <w:tcW w:w="558" w:type="dxa"/>
                  <w:vAlign w:val="top"/>
                </w:tcPr>
                <w:p w14:paraId="77D0D1CF">
                  <w:pPr>
                    <w:spacing w:before="72"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w:t>
                  </w:r>
                </w:p>
              </w:tc>
              <w:tc>
                <w:tcPr>
                  <w:tcW w:w="642" w:type="dxa"/>
                  <w:vAlign w:val="top"/>
                </w:tcPr>
                <w:p w14:paraId="1A716E8E">
                  <w:pPr>
                    <w:spacing w:before="75" w:line="192"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01" w:type="dxa"/>
                  <w:vAlign w:val="top"/>
                </w:tcPr>
                <w:p w14:paraId="449B2D57">
                  <w:pPr>
                    <w:spacing w:before="72"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601" w:type="dxa"/>
                  <w:vAlign w:val="top"/>
                </w:tcPr>
                <w:p w14:paraId="0E64621B">
                  <w:pPr>
                    <w:spacing w:before="72"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656" w:type="dxa"/>
                  <w:vAlign w:val="top"/>
                </w:tcPr>
                <w:p w14:paraId="4C2206D3">
                  <w:pPr>
                    <w:spacing w:before="75" w:line="192"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54" w:type="dxa"/>
                  <w:vAlign w:val="top"/>
                </w:tcPr>
                <w:p w14:paraId="771D02AC">
                  <w:pPr>
                    <w:spacing w:before="7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825" w:type="dxa"/>
                  <w:vAlign w:val="top"/>
                </w:tcPr>
                <w:p w14:paraId="7A1B0995">
                  <w:pPr>
                    <w:spacing w:before="7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778" w:type="dxa"/>
                  <w:vAlign w:val="top"/>
                </w:tcPr>
                <w:p w14:paraId="4FD57836">
                  <w:pPr>
                    <w:spacing w:before="72"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05" w:type="dxa"/>
                  <w:vAlign w:val="top"/>
                </w:tcPr>
                <w:p w14:paraId="26596265">
                  <w:pPr>
                    <w:spacing w:before="72"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708" w:type="dxa"/>
                  <w:vAlign w:val="top"/>
                </w:tcPr>
                <w:p w14:paraId="7CD73B26">
                  <w:pPr>
                    <w:spacing w:before="72"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r>
            <w:tr w14:paraId="3720D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690" w:type="dxa"/>
                  <w:vAlign w:val="top"/>
                </w:tcPr>
                <w:p w14:paraId="03E274AD">
                  <w:pPr>
                    <w:pStyle w:val="6"/>
                    <w:spacing w:before="35" w:line="219" w:lineRule="auto"/>
                    <w:ind w:left="323"/>
                    <w:rPr>
                      <w:sz w:val="20"/>
                      <w:szCs w:val="20"/>
                    </w:rPr>
                  </w:pPr>
                  <w:r>
                    <w:rPr>
                      <w:spacing w:val="8"/>
                      <w:sz w:val="20"/>
                      <w:szCs w:val="20"/>
                    </w:rPr>
                    <w:t>钢筋切断机</w:t>
                  </w:r>
                </w:p>
              </w:tc>
              <w:tc>
                <w:tcPr>
                  <w:tcW w:w="558" w:type="dxa"/>
                  <w:vAlign w:val="top"/>
                </w:tcPr>
                <w:p w14:paraId="656F1A9B">
                  <w:pPr>
                    <w:spacing w:before="72"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94</w:t>
                  </w:r>
                </w:p>
              </w:tc>
              <w:tc>
                <w:tcPr>
                  <w:tcW w:w="642" w:type="dxa"/>
                  <w:vAlign w:val="top"/>
                </w:tcPr>
                <w:p w14:paraId="6C00891C">
                  <w:pPr>
                    <w:spacing w:before="72"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601" w:type="dxa"/>
                  <w:vAlign w:val="top"/>
                </w:tcPr>
                <w:p w14:paraId="50635463">
                  <w:pPr>
                    <w:spacing w:before="72"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601" w:type="dxa"/>
                  <w:vAlign w:val="top"/>
                </w:tcPr>
                <w:p w14:paraId="5F3021C4">
                  <w:pPr>
                    <w:spacing w:before="72"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656" w:type="dxa"/>
                  <w:vAlign w:val="top"/>
                </w:tcPr>
                <w:p w14:paraId="06CCCAEB">
                  <w:pPr>
                    <w:spacing w:before="7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54" w:type="dxa"/>
                  <w:vAlign w:val="top"/>
                </w:tcPr>
                <w:p w14:paraId="0B2A5DE5">
                  <w:pPr>
                    <w:spacing w:before="7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825" w:type="dxa"/>
                  <w:vAlign w:val="top"/>
                </w:tcPr>
                <w:p w14:paraId="5D800253">
                  <w:pPr>
                    <w:spacing w:before="7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778" w:type="dxa"/>
                  <w:vAlign w:val="top"/>
                </w:tcPr>
                <w:p w14:paraId="0B2C1DF4">
                  <w:pPr>
                    <w:spacing w:before="7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05" w:type="dxa"/>
                  <w:vAlign w:val="top"/>
                </w:tcPr>
                <w:p w14:paraId="7F40F959">
                  <w:pPr>
                    <w:spacing w:before="72"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708" w:type="dxa"/>
                  <w:vAlign w:val="top"/>
                </w:tcPr>
                <w:p w14:paraId="6D8CD468">
                  <w:pPr>
                    <w:spacing w:before="72"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47984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690" w:type="dxa"/>
                  <w:vAlign w:val="top"/>
                </w:tcPr>
                <w:p w14:paraId="47752AC8">
                  <w:pPr>
                    <w:pStyle w:val="6"/>
                    <w:spacing w:before="35" w:line="218" w:lineRule="auto"/>
                    <w:ind w:left="323"/>
                    <w:rPr>
                      <w:sz w:val="20"/>
                      <w:szCs w:val="20"/>
                    </w:rPr>
                  </w:pPr>
                  <w:r>
                    <w:rPr>
                      <w:spacing w:val="8"/>
                      <w:sz w:val="20"/>
                      <w:szCs w:val="20"/>
                    </w:rPr>
                    <w:t>钢筋弯曲机</w:t>
                  </w:r>
                </w:p>
              </w:tc>
              <w:tc>
                <w:tcPr>
                  <w:tcW w:w="558" w:type="dxa"/>
                  <w:vAlign w:val="top"/>
                </w:tcPr>
                <w:p w14:paraId="63FA868A">
                  <w:pPr>
                    <w:spacing w:before="72"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w:t>
                  </w:r>
                </w:p>
              </w:tc>
              <w:tc>
                <w:tcPr>
                  <w:tcW w:w="642" w:type="dxa"/>
                  <w:vAlign w:val="top"/>
                </w:tcPr>
                <w:p w14:paraId="1FC09BEA">
                  <w:pPr>
                    <w:spacing w:before="75" w:line="192"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01" w:type="dxa"/>
                  <w:vAlign w:val="top"/>
                </w:tcPr>
                <w:p w14:paraId="2884E3D7">
                  <w:pPr>
                    <w:spacing w:before="72"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601" w:type="dxa"/>
                  <w:vAlign w:val="top"/>
                </w:tcPr>
                <w:p w14:paraId="01F91DD5">
                  <w:pPr>
                    <w:spacing w:before="72"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656" w:type="dxa"/>
                  <w:vAlign w:val="top"/>
                </w:tcPr>
                <w:p w14:paraId="3CF762C3">
                  <w:pPr>
                    <w:spacing w:before="75" w:line="192"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54" w:type="dxa"/>
                  <w:vAlign w:val="top"/>
                </w:tcPr>
                <w:p w14:paraId="0EED1364">
                  <w:pPr>
                    <w:spacing w:before="7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825" w:type="dxa"/>
                  <w:vAlign w:val="top"/>
                </w:tcPr>
                <w:p w14:paraId="72ECFAC5">
                  <w:pPr>
                    <w:spacing w:before="7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778" w:type="dxa"/>
                  <w:vAlign w:val="top"/>
                </w:tcPr>
                <w:p w14:paraId="2E8B2373">
                  <w:pPr>
                    <w:spacing w:before="72"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05" w:type="dxa"/>
                  <w:vAlign w:val="top"/>
                </w:tcPr>
                <w:p w14:paraId="5BE70CA6">
                  <w:pPr>
                    <w:spacing w:before="72"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708" w:type="dxa"/>
                  <w:vAlign w:val="top"/>
                </w:tcPr>
                <w:p w14:paraId="724D7A3A">
                  <w:pPr>
                    <w:spacing w:before="72"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r>
            <w:tr w14:paraId="0ED0B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690" w:type="dxa"/>
                  <w:vAlign w:val="top"/>
                </w:tcPr>
                <w:p w14:paraId="2C66AC9D">
                  <w:pPr>
                    <w:pStyle w:val="6"/>
                    <w:spacing w:before="36" w:line="218" w:lineRule="auto"/>
                    <w:ind w:left="558"/>
                    <w:rPr>
                      <w:sz w:val="20"/>
                      <w:szCs w:val="20"/>
                    </w:rPr>
                  </w:pPr>
                  <w:r>
                    <w:rPr>
                      <w:spacing w:val="-2"/>
                      <w:sz w:val="20"/>
                      <w:szCs w:val="20"/>
                    </w:rPr>
                    <w:t>电焊机</w:t>
                  </w:r>
                </w:p>
              </w:tc>
              <w:tc>
                <w:tcPr>
                  <w:tcW w:w="558" w:type="dxa"/>
                  <w:vAlign w:val="top"/>
                </w:tcPr>
                <w:p w14:paraId="5A231AC8">
                  <w:pPr>
                    <w:spacing w:before="7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104</w:t>
                  </w:r>
                </w:p>
              </w:tc>
              <w:tc>
                <w:tcPr>
                  <w:tcW w:w="642" w:type="dxa"/>
                  <w:vAlign w:val="top"/>
                </w:tcPr>
                <w:p w14:paraId="08EBB09F">
                  <w:pPr>
                    <w:spacing w:before="73"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601" w:type="dxa"/>
                  <w:vAlign w:val="top"/>
                </w:tcPr>
                <w:p w14:paraId="36656891">
                  <w:pPr>
                    <w:spacing w:before="73"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601" w:type="dxa"/>
                  <w:vAlign w:val="top"/>
                </w:tcPr>
                <w:p w14:paraId="607EC7FB">
                  <w:pPr>
                    <w:spacing w:before="73"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56" w:type="dxa"/>
                  <w:vAlign w:val="top"/>
                </w:tcPr>
                <w:p w14:paraId="361ADB43">
                  <w:pPr>
                    <w:spacing w:before="73"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54" w:type="dxa"/>
                  <w:vAlign w:val="top"/>
                </w:tcPr>
                <w:p w14:paraId="6E8A19AB">
                  <w:pPr>
                    <w:spacing w:before="73"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825" w:type="dxa"/>
                  <w:vAlign w:val="top"/>
                </w:tcPr>
                <w:p w14:paraId="1896D2F2">
                  <w:pPr>
                    <w:spacing w:before="73"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778" w:type="dxa"/>
                  <w:vAlign w:val="top"/>
                </w:tcPr>
                <w:p w14:paraId="22DBAA55">
                  <w:pPr>
                    <w:spacing w:before="73" w:line="195"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05" w:type="dxa"/>
                  <w:vAlign w:val="top"/>
                </w:tcPr>
                <w:p w14:paraId="218722E3">
                  <w:pPr>
                    <w:spacing w:before="73"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708" w:type="dxa"/>
                  <w:vAlign w:val="top"/>
                </w:tcPr>
                <w:p w14:paraId="60F25913">
                  <w:pPr>
                    <w:spacing w:before="7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r>
            <w:tr w14:paraId="18F20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690" w:type="dxa"/>
                  <w:vAlign w:val="top"/>
                </w:tcPr>
                <w:p w14:paraId="5407C720">
                  <w:pPr>
                    <w:pStyle w:val="6"/>
                    <w:spacing w:before="36" w:line="217" w:lineRule="auto"/>
                    <w:ind w:left="219"/>
                    <w:rPr>
                      <w:sz w:val="20"/>
                      <w:szCs w:val="20"/>
                    </w:rPr>
                  </w:pPr>
                  <w:r>
                    <w:rPr>
                      <w:spacing w:val="8"/>
                      <w:sz w:val="20"/>
                      <w:szCs w:val="20"/>
                    </w:rPr>
                    <w:t>钎入式振捣器</w:t>
                  </w:r>
                </w:p>
              </w:tc>
              <w:tc>
                <w:tcPr>
                  <w:tcW w:w="558" w:type="dxa"/>
                  <w:vAlign w:val="top"/>
                </w:tcPr>
                <w:p w14:paraId="3309BA97">
                  <w:pPr>
                    <w:spacing w:before="73"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642" w:type="dxa"/>
                  <w:vAlign w:val="top"/>
                </w:tcPr>
                <w:p w14:paraId="3E2B6FD6">
                  <w:pPr>
                    <w:spacing w:before="7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601" w:type="dxa"/>
                  <w:vAlign w:val="top"/>
                </w:tcPr>
                <w:p w14:paraId="33D7088D">
                  <w:pPr>
                    <w:spacing w:before="73"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01" w:type="dxa"/>
                  <w:vAlign w:val="top"/>
                </w:tcPr>
                <w:p w14:paraId="2A71CDAB">
                  <w:pPr>
                    <w:spacing w:before="73"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656" w:type="dxa"/>
                  <w:vAlign w:val="top"/>
                </w:tcPr>
                <w:p w14:paraId="648BC543">
                  <w:pPr>
                    <w:spacing w:before="73"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654" w:type="dxa"/>
                  <w:vAlign w:val="top"/>
                </w:tcPr>
                <w:p w14:paraId="7C465181">
                  <w:pPr>
                    <w:spacing w:before="73"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825" w:type="dxa"/>
                  <w:vAlign w:val="top"/>
                </w:tcPr>
                <w:p w14:paraId="496BC17F">
                  <w:pPr>
                    <w:spacing w:before="73"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778" w:type="dxa"/>
                  <w:vAlign w:val="top"/>
                </w:tcPr>
                <w:p w14:paraId="65B3C3D4">
                  <w:pPr>
                    <w:spacing w:before="7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705" w:type="dxa"/>
                  <w:vAlign w:val="top"/>
                </w:tcPr>
                <w:p w14:paraId="1C92D542">
                  <w:pPr>
                    <w:spacing w:before="73"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708" w:type="dxa"/>
                  <w:vAlign w:val="top"/>
                </w:tcPr>
                <w:p w14:paraId="16897103">
                  <w:pPr>
                    <w:spacing w:before="73"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r>
            <w:tr w14:paraId="3FDD7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690" w:type="dxa"/>
                  <w:vAlign w:val="top"/>
                </w:tcPr>
                <w:p w14:paraId="28B002B6">
                  <w:pPr>
                    <w:pStyle w:val="6"/>
                    <w:spacing w:before="37" w:line="219" w:lineRule="auto"/>
                    <w:ind w:left="533"/>
                    <w:rPr>
                      <w:sz w:val="20"/>
                      <w:szCs w:val="20"/>
                    </w:rPr>
                  </w:pPr>
                  <w:r>
                    <w:rPr>
                      <w:spacing w:val="6"/>
                      <w:sz w:val="20"/>
                      <w:szCs w:val="20"/>
                    </w:rPr>
                    <w:t>钻孔机</w:t>
                  </w:r>
                </w:p>
              </w:tc>
              <w:tc>
                <w:tcPr>
                  <w:tcW w:w="558" w:type="dxa"/>
                  <w:vAlign w:val="top"/>
                </w:tcPr>
                <w:p w14:paraId="46F915F5">
                  <w:pPr>
                    <w:spacing w:before="74"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109</w:t>
                  </w:r>
                </w:p>
              </w:tc>
              <w:tc>
                <w:tcPr>
                  <w:tcW w:w="642" w:type="dxa"/>
                  <w:vAlign w:val="top"/>
                </w:tcPr>
                <w:p w14:paraId="38FF9252">
                  <w:pPr>
                    <w:spacing w:before="74"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601" w:type="dxa"/>
                  <w:vAlign w:val="top"/>
                </w:tcPr>
                <w:p w14:paraId="6F86F146">
                  <w:pPr>
                    <w:spacing w:before="74"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w:t>
                  </w:r>
                </w:p>
              </w:tc>
              <w:tc>
                <w:tcPr>
                  <w:tcW w:w="601" w:type="dxa"/>
                  <w:vAlign w:val="top"/>
                </w:tcPr>
                <w:p w14:paraId="7EC6B45F">
                  <w:pPr>
                    <w:spacing w:before="74"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656" w:type="dxa"/>
                  <w:vAlign w:val="top"/>
                </w:tcPr>
                <w:p w14:paraId="69EC92B8">
                  <w:pPr>
                    <w:spacing w:before="77" w:line="192"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54" w:type="dxa"/>
                  <w:vAlign w:val="top"/>
                </w:tcPr>
                <w:p w14:paraId="58D94243">
                  <w:pPr>
                    <w:spacing w:before="7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825" w:type="dxa"/>
                  <w:vAlign w:val="top"/>
                </w:tcPr>
                <w:p w14:paraId="1D50AE16">
                  <w:pPr>
                    <w:spacing w:before="74"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778" w:type="dxa"/>
                  <w:vAlign w:val="top"/>
                </w:tcPr>
                <w:p w14:paraId="29A7655B">
                  <w:pPr>
                    <w:spacing w:before="7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05" w:type="dxa"/>
                  <w:vAlign w:val="top"/>
                </w:tcPr>
                <w:p w14:paraId="72319194">
                  <w:pPr>
                    <w:spacing w:before="74"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708" w:type="dxa"/>
                  <w:vAlign w:val="top"/>
                </w:tcPr>
                <w:p w14:paraId="18B08001">
                  <w:pPr>
                    <w:spacing w:before="7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r>
          </w:tbl>
          <w:p w14:paraId="5414F796">
            <w:pPr>
              <w:pStyle w:val="6"/>
              <w:spacing w:before="36" w:line="350" w:lineRule="auto"/>
              <w:ind w:left="105" w:right="104" w:firstLine="480"/>
              <w:jc w:val="both"/>
            </w:pPr>
            <w:r>
              <w:rPr>
                <w:spacing w:val="1"/>
              </w:rPr>
              <w:t>根据预测结果，施工机械中噪声影响较大的设</w:t>
            </w:r>
            <w:r>
              <w:t xml:space="preserve">备是打夯机等。移动声源设备 </w:t>
            </w:r>
            <w:r>
              <w:rPr>
                <w:spacing w:val="1"/>
              </w:rPr>
              <w:t>在不考虑噪声叠加影响的情况下，单台设备运行时，距施工点</w:t>
            </w:r>
            <w:r>
              <w:rPr>
                <w:spacing w:val="-30"/>
              </w:rPr>
              <w:t xml:space="preserve"> </w:t>
            </w:r>
            <w:r>
              <w:rPr>
                <w:rFonts w:ascii="Times New Roman" w:hAnsi="Times New Roman" w:eastAsia="Times New Roman" w:cs="Times New Roman"/>
              </w:rPr>
              <w:t>100m</w:t>
            </w:r>
            <w:r>
              <w:rPr>
                <w:rFonts w:ascii="Times New Roman" w:hAnsi="Times New Roman" w:eastAsia="Times New Roman" w:cs="Times New Roman"/>
                <w:spacing w:val="18"/>
              </w:rPr>
              <w:t xml:space="preserve"> </w:t>
            </w:r>
            <w:r>
              <w:t>外昼间可达 《建筑施工场界环境噪声排放限值》（</w:t>
            </w:r>
            <w:r>
              <w:rPr>
                <w:rFonts w:ascii="Times New Roman" w:hAnsi="Times New Roman" w:eastAsia="Times New Roman" w:cs="Times New Roman"/>
              </w:rPr>
              <w:t>GB12523-2011</w:t>
            </w:r>
            <w:r>
              <w:t>）</w:t>
            </w:r>
            <w:r>
              <w:rPr>
                <w:rFonts w:ascii="Times New Roman" w:hAnsi="Times New Roman" w:eastAsia="Times New Roman" w:cs="Times New Roman"/>
              </w:rPr>
              <w:t>70dB</w:t>
            </w:r>
            <w:r>
              <w:t>（</w:t>
            </w:r>
            <w:r>
              <w:rPr>
                <w:rFonts w:ascii="Times New Roman" w:hAnsi="Times New Roman" w:eastAsia="Times New Roman" w:cs="Times New Roman"/>
              </w:rPr>
              <w:t>A</w:t>
            </w:r>
            <w:r>
              <w:t>）的</w:t>
            </w:r>
            <w:r>
              <w:rPr>
                <w:spacing w:val="-1"/>
              </w:rPr>
              <w:t>要求，夜间</w:t>
            </w:r>
          </w:p>
        </w:tc>
      </w:tr>
    </w:tbl>
    <w:p w14:paraId="5B7B19CD">
      <w:pPr>
        <w:rPr>
          <w:rFonts w:ascii="Arial"/>
          <w:sz w:val="21"/>
        </w:rPr>
      </w:pPr>
    </w:p>
    <w:p w14:paraId="25A67067">
      <w:pPr>
        <w:rPr>
          <w:rFonts w:ascii="Arial" w:hAnsi="Arial" w:eastAsia="Arial" w:cs="Arial"/>
          <w:sz w:val="21"/>
          <w:szCs w:val="21"/>
        </w:rPr>
        <w:sectPr>
          <w:footerReference r:id="rId119" w:type="default"/>
          <w:pgSz w:w="11906" w:h="16839"/>
          <w:pgMar w:top="1431" w:right="1454" w:bottom="1278" w:left="1454" w:header="0" w:footer="1116" w:gutter="0"/>
          <w:cols w:space="720" w:num="1"/>
        </w:sectPr>
      </w:pPr>
    </w:p>
    <w:p w14:paraId="3754F7C0">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1786D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5" w:hRule="atLeast"/>
        </w:trPr>
        <w:tc>
          <w:tcPr>
            <w:tcW w:w="339" w:type="dxa"/>
            <w:tcBorders>
              <w:right w:val="single" w:color="000000" w:sz="2" w:space="0"/>
            </w:tcBorders>
            <w:vAlign w:val="top"/>
          </w:tcPr>
          <w:p w14:paraId="3693E868">
            <w:pPr>
              <w:rPr>
                <w:rFonts w:ascii="Arial"/>
                <w:sz w:val="21"/>
              </w:rPr>
            </w:pPr>
          </w:p>
        </w:tc>
        <w:tc>
          <w:tcPr>
            <w:tcW w:w="8643" w:type="dxa"/>
            <w:tcBorders>
              <w:left w:val="single" w:color="000000" w:sz="2" w:space="0"/>
            </w:tcBorders>
            <w:vAlign w:val="top"/>
          </w:tcPr>
          <w:p w14:paraId="0E4A9401">
            <w:pPr>
              <w:pStyle w:val="6"/>
              <w:spacing w:before="42" w:line="352" w:lineRule="auto"/>
              <w:ind w:left="104" w:right="102" w:firstLine="5"/>
              <w:jc w:val="both"/>
            </w:pPr>
            <w:r>
              <w:rPr>
                <w:spacing w:val="-3"/>
              </w:rPr>
              <w:t>不施工。项目施工边界</w:t>
            </w:r>
            <w:r>
              <w:rPr>
                <w:spacing w:val="-32"/>
              </w:rPr>
              <w:t xml:space="preserve"> </w:t>
            </w:r>
            <w:r>
              <w:rPr>
                <w:rFonts w:ascii="Times New Roman" w:hAnsi="Times New Roman" w:eastAsia="Times New Roman" w:cs="Times New Roman"/>
                <w:spacing w:val="-3"/>
              </w:rPr>
              <w:t>100m</w:t>
            </w:r>
            <w:r>
              <w:rPr>
                <w:rFonts w:ascii="Times New Roman" w:hAnsi="Times New Roman" w:eastAsia="Times New Roman" w:cs="Times New Roman"/>
                <w:spacing w:val="15"/>
                <w:w w:val="101"/>
              </w:rPr>
              <w:t xml:space="preserve"> </w:t>
            </w:r>
            <w:r>
              <w:rPr>
                <w:spacing w:val="-3"/>
              </w:rPr>
              <w:t>范围内敏感点为水冒天村散</w:t>
            </w:r>
            <w:r>
              <w:rPr>
                <w:spacing w:val="-4"/>
              </w:rPr>
              <w:t>户（</w:t>
            </w:r>
            <w:r>
              <w:rPr>
                <w:rFonts w:ascii="Times New Roman" w:hAnsi="Times New Roman" w:eastAsia="Times New Roman" w:cs="Times New Roman"/>
                <w:spacing w:val="-4"/>
              </w:rPr>
              <w:t>53m</w:t>
            </w:r>
            <w:r>
              <w:rPr>
                <w:spacing w:val="-4"/>
              </w:rPr>
              <w:t>）、鲁纳散户</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rPr>
              <w:t xml:space="preserve"> </w:t>
            </w:r>
            <w:r>
              <w:rPr>
                <w:spacing w:val="2"/>
              </w:rPr>
              <w:t>（</w:t>
            </w:r>
            <w:r>
              <w:rPr>
                <w:rFonts w:ascii="Times New Roman" w:hAnsi="Times New Roman" w:eastAsia="Times New Roman" w:cs="Times New Roman"/>
                <w:spacing w:val="2"/>
              </w:rPr>
              <w:t>31m</w:t>
            </w:r>
            <w:r>
              <w:rPr>
                <w:spacing w:val="2"/>
              </w:rPr>
              <w:t>）、鲁纳散户</w:t>
            </w:r>
            <w:r>
              <w:rPr>
                <w:spacing w:val="-54"/>
              </w:rPr>
              <w:t xml:space="preserve"> </w:t>
            </w:r>
            <w:r>
              <w:rPr>
                <w:rFonts w:ascii="Times New Roman" w:hAnsi="Times New Roman" w:eastAsia="Times New Roman" w:cs="Times New Roman"/>
                <w:spacing w:val="2"/>
              </w:rPr>
              <w:t>4</w:t>
            </w:r>
            <w:r>
              <w:rPr>
                <w:spacing w:val="2"/>
              </w:rPr>
              <w:t>（</w:t>
            </w:r>
            <w:r>
              <w:rPr>
                <w:rFonts w:ascii="Times New Roman" w:hAnsi="Times New Roman" w:eastAsia="Times New Roman" w:cs="Times New Roman"/>
                <w:spacing w:val="2"/>
              </w:rPr>
              <w:t>3m</w:t>
            </w:r>
            <w:r>
              <w:rPr>
                <w:spacing w:val="2"/>
              </w:rPr>
              <w:t>）为避免对周边居民产生影响，</w:t>
            </w:r>
            <w:r>
              <w:rPr>
                <w:spacing w:val="1"/>
              </w:rPr>
              <w:t>施工时应在居民点一</w:t>
            </w:r>
            <w:r>
              <w:t xml:space="preserve"> </w:t>
            </w:r>
            <w:r>
              <w:rPr>
                <w:spacing w:val="1"/>
              </w:rPr>
              <w:t>侧设置临时围挡，设置临时围挡后施工噪声对以上</w:t>
            </w:r>
            <w:r>
              <w:t>居民点的昼间噪声能满足符合 《建筑施工场界环境噪声排放标准》（</w:t>
            </w:r>
            <w:r>
              <w:rPr>
                <w:rFonts w:ascii="Times New Roman" w:hAnsi="Times New Roman" w:eastAsia="Times New Roman" w:cs="Times New Roman"/>
              </w:rPr>
              <w:t>GB</w:t>
            </w:r>
            <w:r>
              <w:rPr>
                <w:rFonts w:ascii="Times New Roman" w:hAnsi="Times New Roman" w:eastAsia="Times New Roman" w:cs="Times New Roman"/>
                <w:spacing w:val="-1"/>
              </w:rPr>
              <w:t>12523-2011</w:t>
            </w:r>
            <w:r>
              <w:rPr>
                <w:spacing w:val="-1"/>
              </w:rPr>
              <w:t>）的限值要求。</w:t>
            </w:r>
          </w:p>
          <w:p w14:paraId="7C7C3AAF">
            <w:pPr>
              <w:pStyle w:val="6"/>
              <w:spacing w:before="34" w:line="345" w:lineRule="auto"/>
              <w:ind w:left="109" w:right="135" w:firstLine="480"/>
            </w:pPr>
            <w:r>
              <w:rPr>
                <w:spacing w:val="-1"/>
              </w:rPr>
              <w:t>项目夜间不进行施工，对居民的夜间休息基本不产生影响。项目建设周期较</w:t>
            </w:r>
            <w:r>
              <w:rPr>
                <w:spacing w:val="18"/>
              </w:rPr>
              <w:t xml:space="preserve"> </w:t>
            </w:r>
            <w:r>
              <w:t>短，不会对周边环境产生长期影响，随着施工结</w:t>
            </w:r>
            <w:r>
              <w:rPr>
                <w:spacing w:val="-1"/>
              </w:rPr>
              <w:t>束，施工噪声污染将随之消失。</w:t>
            </w:r>
          </w:p>
          <w:p w14:paraId="0EF466F7">
            <w:pPr>
              <w:pStyle w:val="6"/>
              <w:spacing w:before="32" w:line="223" w:lineRule="auto"/>
              <w:ind w:left="1369"/>
              <w:rPr>
                <w:sz w:val="20"/>
                <w:szCs w:val="20"/>
              </w:rPr>
            </w:pPr>
            <w:r>
              <w:rPr>
                <w:b/>
                <w:bCs/>
                <w:spacing w:val="7"/>
                <w:sz w:val="20"/>
                <w:szCs w:val="20"/>
              </w:rPr>
              <w:t>表</w:t>
            </w:r>
            <w:r>
              <w:rPr>
                <w:spacing w:val="-42"/>
                <w:sz w:val="20"/>
                <w:szCs w:val="20"/>
              </w:rPr>
              <w:t xml:space="preserve"> </w:t>
            </w:r>
            <w:r>
              <w:rPr>
                <w:rFonts w:ascii="Times New Roman" w:hAnsi="Times New Roman" w:eastAsia="Times New Roman" w:cs="Times New Roman"/>
                <w:b/>
                <w:bCs/>
                <w:spacing w:val="7"/>
                <w:sz w:val="20"/>
                <w:szCs w:val="20"/>
              </w:rPr>
              <w:t xml:space="preserve">4-7    </w:t>
            </w:r>
            <w:r>
              <w:rPr>
                <w:b/>
                <w:bCs/>
                <w:spacing w:val="7"/>
                <w:sz w:val="20"/>
                <w:szCs w:val="20"/>
              </w:rPr>
              <w:t>距声源不同距离处多台设备的叠加噪声值</w:t>
            </w:r>
            <w:r>
              <w:rPr>
                <w:spacing w:val="7"/>
                <w:sz w:val="20"/>
                <w:szCs w:val="20"/>
              </w:rPr>
              <w:t xml:space="preserve">   </w:t>
            </w:r>
            <w:r>
              <w:rPr>
                <w:b/>
                <w:bCs/>
                <w:spacing w:val="7"/>
                <w:sz w:val="20"/>
                <w:szCs w:val="20"/>
              </w:rPr>
              <w:t>单</w:t>
            </w:r>
            <w:r>
              <w:rPr>
                <w:b/>
                <w:bCs/>
                <w:spacing w:val="6"/>
                <w:sz w:val="20"/>
                <w:szCs w:val="20"/>
              </w:rPr>
              <w:t>位：</w:t>
            </w:r>
            <w:r>
              <w:rPr>
                <w:rFonts w:ascii="Times New Roman" w:hAnsi="Times New Roman" w:eastAsia="Times New Roman" w:cs="Times New Roman"/>
                <w:b/>
                <w:bCs/>
                <w:sz w:val="20"/>
                <w:szCs w:val="20"/>
              </w:rPr>
              <w:t>dB</w:t>
            </w:r>
            <w:r>
              <w:rPr>
                <w:b/>
                <w:bCs/>
                <w:spacing w:val="6"/>
                <w:sz w:val="20"/>
                <w:szCs w:val="20"/>
              </w:rPr>
              <w:t>（</w:t>
            </w:r>
            <w:r>
              <w:rPr>
                <w:rFonts w:ascii="Times New Roman" w:hAnsi="Times New Roman" w:eastAsia="Times New Roman" w:cs="Times New Roman"/>
                <w:b/>
                <w:bCs/>
                <w:spacing w:val="6"/>
                <w:sz w:val="20"/>
                <w:szCs w:val="20"/>
              </w:rPr>
              <w:t>A</w:t>
            </w:r>
            <w:r>
              <w:rPr>
                <w:b/>
                <w:bCs/>
                <w:spacing w:val="6"/>
                <w:sz w:val="20"/>
                <w:szCs w:val="20"/>
              </w:rPr>
              <w:t>）</w:t>
            </w:r>
          </w:p>
          <w:tbl>
            <w:tblPr>
              <w:tblStyle w:val="5"/>
              <w:tblW w:w="8421"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8"/>
              <w:gridCol w:w="622"/>
              <w:gridCol w:w="756"/>
              <w:gridCol w:w="737"/>
              <w:gridCol w:w="737"/>
              <w:gridCol w:w="737"/>
              <w:gridCol w:w="737"/>
              <w:gridCol w:w="786"/>
              <w:gridCol w:w="786"/>
              <w:gridCol w:w="786"/>
              <w:gridCol w:w="789"/>
            </w:tblGrid>
            <w:tr w14:paraId="7C7BA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948" w:type="dxa"/>
                  <w:vAlign w:val="top"/>
                </w:tcPr>
                <w:p w14:paraId="46618035">
                  <w:pPr>
                    <w:pStyle w:val="6"/>
                    <w:spacing w:before="30" w:line="233" w:lineRule="auto"/>
                    <w:ind w:left="369" w:right="157" w:hanging="204"/>
                    <w:rPr>
                      <w:sz w:val="20"/>
                      <w:szCs w:val="20"/>
                    </w:rPr>
                  </w:pPr>
                  <w:r>
                    <w:rPr>
                      <w:b/>
                      <w:bCs/>
                      <w:spacing w:val="4"/>
                      <w:sz w:val="20"/>
                      <w:szCs w:val="20"/>
                    </w:rPr>
                    <w:t>设备名</w:t>
                  </w:r>
                  <w:r>
                    <w:rPr>
                      <w:sz w:val="20"/>
                      <w:szCs w:val="20"/>
                    </w:rPr>
                    <w:t xml:space="preserve"> </w:t>
                  </w:r>
                  <w:r>
                    <w:rPr>
                      <w:b/>
                      <w:bCs/>
                      <w:spacing w:val="-1"/>
                      <w:sz w:val="20"/>
                      <w:szCs w:val="20"/>
                    </w:rPr>
                    <w:t>称</w:t>
                  </w:r>
                </w:p>
              </w:tc>
              <w:tc>
                <w:tcPr>
                  <w:tcW w:w="622" w:type="dxa"/>
                  <w:vAlign w:val="top"/>
                </w:tcPr>
                <w:p w14:paraId="5D7CD181">
                  <w:pPr>
                    <w:spacing w:before="205" w:line="192" w:lineRule="auto"/>
                    <w:ind w:left="17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5m</w:t>
                  </w:r>
                </w:p>
              </w:tc>
              <w:tc>
                <w:tcPr>
                  <w:tcW w:w="756" w:type="dxa"/>
                  <w:vAlign w:val="top"/>
                </w:tcPr>
                <w:p w14:paraId="7180257A">
                  <w:pPr>
                    <w:spacing w:before="202" w:line="195" w:lineRule="auto"/>
                    <w:ind w:left="19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10m</w:t>
                  </w:r>
                </w:p>
              </w:tc>
              <w:tc>
                <w:tcPr>
                  <w:tcW w:w="737" w:type="dxa"/>
                  <w:vAlign w:val="top"/>
                </w:tcPr>
                <w:p w14:paraId="66B81F58">
                  <w:pPr>
                    <w:spacing w:before="202" w:line="195" w:lineRule="auto"/>
                    <w:ind w:left="17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20m</w:t>
                  </w:r>
                </w:p>
              </w:tc>
              <w:tc>
                <w:tcPr>
                  <w:tcW w:w="737" w:type="dxa"/>
                  <w:vAlign w:val="top"/>
                </w:tcPr>
                <w:p w14:paraId="504E6A42">
                  <w:pPr>
                    <w:spacing w:before="202" w:line="195" w:lineRule="auto"/>
                    <w:ind w:left="17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30m</w:t>
                  </w:r>
                </w:p>
              </w:tc>
              <w:tc>
                <w:tcPr>
                  <w:tcW w:w="737" w:type="dxa"/>
                  <w:vAlign w:val="top"/>
                </w:tcPr>
                <w:p w14:paraId="27AEA54D">
                  <w:pPr>
                    <w:spacing w:before="202" w:line="195" w:lineRule="auto"/>
                    <w:ind w:left="17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40m</w:t>
                  </w:r>
                </w:p>
              </w:tc>
              <w:tc>
                <w:tcPr>
                  <w:tcW w:w="737" w:type="dxa"/>
                  <w:vAlign w:val="top"/>
                </w:tcPr>
                <w:p w14:paraId="458B8E2A">
                  <w:pPr>
                    <w:spacing w:before="205" w:line="192" w:lineRule="auto"/>
                    <w:ind w:left="179"/>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55m</w:t>
                  </w:r>
                </w:p>
              </w:tc>
              <w:tc>
                <w:tcPr>
                  <w:tcW w:w="786" w:type="dxa"/>
                  <w:vAlign w:val="top"/>
                </w:tcPr>
                <w:p w14:paraId="5B98DAF5">
                  <w:pPr>
                    <w:spacing w:before="202" w:line="195" w:lineRule="auto"/>
                    <w:ind w:left="15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100m</w:t>
                  </w:r>
                </w:p>
              </w:tc>
              <w:tc>
                <w:tcPr>
                  <w:tcW w:w="786" w:type="dxa"/>
                  <w:vAlign w:val="top"/>
                </w:tcPr>
                <w:p w14:paraId="21E004D7">
                  <w:pPr>
                    <w:spacing w:before="202" w:line="195" w:lineRule="auto"/>
                    <w:ind w:left="16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150m</w:t>
                  </w:r>
                </w:p>
              </w:tc>
              <w:tc>
                <w:tcPr>
                  <w:tcW w:w="786" w:type="dxa"/>
                  <w:vAlign w:val="top"/>
                </w:tcPr>
                <w:p w14:paraId="4B54BEAE">
                  <w:pPr>
                    <w:spacing w:before="202" w:line="195" w:lineRule="auto"/>
                    <w:ind w:left="15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200m</w:t>
                  </w:r>
                </w:p>
              </w:tc>
              <w:tc>
                <w:tcPr>
                  <w:tcW w:w="789" w:type="dxa"/>
                  <w:vAlign w:val="top"/>
                </w:tcPr>
                <w:p w14:paraId="7297FF76">
                  <w:pPr>
                    <w:spacing w:before="202" w:line="195" w:lineRule="auto"/>
                    <w:ind w:left="150"/>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300m</w:t>
                  </w:r>
                </w:p>
              </w:tc>
            </w:tr>
            <w:tr w14:paraId="2AF92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948" w:type="dxa"/>
                  <w:vAlign w:val="top"/>
                </w:tcPr>
                <w:p w14:paraId="3ADBEE49">
                  <w:pPr>
                    <w:pStyle w:val="6"/>
                    <w:spacing w:before="74" w:line="256" w:lineRule="auto"/>
                    <w:ind w:left="268" w:right="159" w:hanging="108"/>
                    <w:rPr>
                      <w:sz w:val="20"/>
                      <w:szCs w:val="20"/>
                    </w:rPr>
                  </w:pPr>
                  <w:r>
                    <w:rPr>
                      <w:spacing w:val="7"/>
                      <w:sz w:val="20"/>
                      <w:szCs w:val="20"/>
                    </w:rPr>
                    <w:t>钢筋调</w:t>
                  </w:r>
                  <w:r>
                    <w:rPr>
                      <w:sz w:val="20"/>
                      <w:szCs w:val="20"/>
                    </w:rPr>
                    <w:t xml:space="preserve"> </w:t>
                  </w:r>
                  <w:r>
                    <w:rPr>
                      <w:spacing w:val="3"/>
                      <w:sz w:val="20"/>
                      <w:szCs w:val="20"/>
                    </w:rPr>
                    <w:t>直机</w:t>
                  </w:r>
                </w:p>
              </w:tc>
              <w:tc>
                <w:tcPr>
                  <w:tcW w:w="622" w:type="dxa"/>
                  <w:vAlign w:val="top"/>
                </w:tcPr>
                <w:p w14:paraId="2B3AAF51">
                  <w:pPr>
                    <w:spacing w:before="253" w:line="192"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756" w:type="dxa"/>
                  <w:vAlign w:val="top"/>
                </w:tcPr>
                <w:p w14:paraId="383F65DE">
                  <w:pPr>
                    <w:spacing w:before="25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737" w:type="dxa"/>
                  <w:vAlign w:val="top"/>
                </w:tcPr>
                <w:p w14:paraId="0CB880E2">
                  <w:pPr>
                    <w:spacing w:before="250"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737" w:type="dxa"/>
                  <w:vAlign w:val="top"/>
                </w:tcPr>
                <w:p w14:paraId="6720727D">
                  <w:pPr>
                    <w:spacing w:before="25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37" w:type="dxa"/>
                  <w:vAlign w:val="top"/>
                </w:tcPr>
                <w:p w14:paraId="59CFDFF6">
                  <w:pPr>
                    <w:spacing w:before="253"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737" w:type="dxa"/>
                  <w:vAlign w:val="top"/>
                </w:tcPr>
                <w:p w14:paraId="429BC8A7">
                  <w:pPr>
                    <w:spacing w:before="250"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786" w:type="dxa"/>
                  <w:vAlign w:val="top"/>
                </w:tcPr>
                <w:p w14:paraId="041A40AA">
                  <w:pPr>
                    <w:spacing w:before="250"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786" w:type="dxa"/>
                  <w:vAlign w:val="top"/>
                </w:tcPr>
                <w:p w14:paraId="7A443A1E">
                  <w:pPr>
                    <w:spacing w:before="25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86" w:type="dxa"/>
                  <w:vAlign w:val="top"/>
                </w:tcPr>
                <w:p w14:paraId="3845A76A">
                  <w:pPr>
                    <w:spacing w:before="250"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789" w:type="dxa"/>
                  <w:vAlign w:val="top"/>
                </w:tcPr>
                <w:p w14:paraId="7E9AFC0E">
                  <w:pPr>
                    <w:spacing w:before="25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r>
            <w:tr w14:paraId="2C1D9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948" w:type="dxa"/>
                  <w:vAlign w:val="top"/>
                </w:tcPr>
                <w:p w14:paraId="4464D5CC">
                  <w:pPr>
                    <w:pStyle w:val="6"/>
                    <w:spacing w:before="76" w:line="255" w:lineRule="auto"/>
                    <w:ind w:left="275" w:right="159" w:hanging="115"/>
                    <w:rPr>
                      <w:sz w:val="20"/>
                      <w:szCs w:val="20"/>
                    </w:rPr>
                  </w:pPr>
                  <w:r>
                    <w:rPr>
                      <w:spacing w:val="7"/>
                      <w:sz w:val="20"/>
                      <w:szCs w:val="20"/>
                    </w:rPr>
                    <w:t>钢筋切</w:t>
                  </w:r>
                  <w:r>
                    <w:rPr>
                      <w:sz w:val="20"/>
                      <w:szCs w:val="20"/>
                    </w:rPr>
                    <w:t xml:space="preserve"> 断机</w:t>
                  </w:r>
                </w:p>
              </w:tc>
              <w:tc>
                <w:tcPr>
                  <w:tcW w:w="622" w:type="dxa"/>
                  <w:vAlign w:val="top"/>
                </w:tcPr>
                <w:p w14:paraId="1DE1B67E">
                  <w:pPr>
                    <w:spacing w:before="251"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756" w:type="dxa"/>
                  <w:vAlign w:val="top"/>
                </w:tcPr>
                <w:p w14:paraId="330E03BB">
                  <w:pPr>
                    <w:spacing w:before="251"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737" w:type="dxa"/>
                  <w:vAlign w:val="top"/>
                </w:tcPr>
                <w:p w14:paraId="2ABC7F6B">
                  <w:pPr>
                    <w:spacing w:before="25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737" w:type="dxa"/>
                  <w:vAlign w:val="top"/>
                </w:tcPr>
                <w:p w14:paraId="04827E6F">
                  <w:pPr>
                    <w:spacing w:before="25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737" w:type="dxa"/>
                  <w:vAlign w:val="top"/>
                </w:tcPr>
                <w:p w14:paraId="3E047622">
                  <w:pPr>
                    <w:spacing w:before="25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737" w:type="dxa"/>
                  <w:vAlign w:val="top"/>
                </w:tcPr>
                <w:p w14:paraId="6B6D2759">
                  <w:pPr>
                    <w:spacing w:before="251"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86" w:type="dxa"/>
                  <w:vAlign w:val="top"/>
                </w:tcPr>
                <w:p w14:paraId="72D72DE6">
                  <w:pPr>
                    <w:spacing w:before="25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786" w:type="dxa"/>
                  <w:vAlign w:val="top"/>
                </w:tcPr>
                <w:p w14:paraId="52FD237B">
                  <w:pPr>
                    <w:spacing w:before="25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86" w:type="dxa"/>
                  <w:vAlign w:val="top"/>
                </w:tcPr>
                <w:p w14:paraId="472FF3C1">
                  <w:pPr>
                    <w:spacing w:before="251"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789" w:type="dxa"/>
                  <w:vAlign w:val="top"/>
                </w:tcPr>
                <w:p w14:paraId="05E16EB1">
                  <w:pPr>
                    <w:spacing w:before="251"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55E3F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948" w:type="dxa"/>
                  <w:vAlign w:val="top"/>
                </w:tcPr>
                <w:p w14:paraId="53AAB154">
                  <w:pPr>
                    <w:pStyle w:val="6"/>
                    <w:spacing w:before="78" w:line="254" w:lineRule="auto"/>
                    <w:ind w:left="291" w:right="159" w:hanging="131"/>
                    <w:rPr>
                      <w:sz w:val="20"/>
                      <w:szCs w:val="20"/>
                    </w:rPr>
                  </w:pPr>
                  <w:r>
                    <w:rPr>
                      <w:spacing w:val="7"/>
                      <w:sz w:val="20"/>
                      <w:szCs w:val="20"/>
                    </w:rPr>
                    <w:t>钢筋弯</w:t>
                  </w:r>
                  <w:r>
                    <w:rPr>
                      <w:sz w:val="20"/>
                      <w:szCs w:val="20"/>
                    </w:rPr>
                    <w:t xml:space="preserve"> </w:t>
                  </w:r>
                  <w:r>
                    <w:rPr>
                      <w:spacing w:val="-8"/>
                      <w:sz w:val="20"/>
                      <w:szCs w:val="20"/>
                    </w:rPr>
                    <w:t>曲机</w:t>
                  </w:r>
                </w:p>
              </w:tc>
              <w:tc>
                <w:tcPr>
                  <w:tcW w:w="622" w:type="dxa"/>
                  <w:vAlign w:val="top"/>
                </w:tcPr>
                <w:p w14:paraId="3C7E3FC8">
                  <w:pPr>
                    <w:spacing w:before="256" w:line="192"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756" w:type="dxa"/>
                  <w:vAlign w:val="top"/>
                </w:tcPr>
                <w:p w14:paraId="12408987">
                  <w:pPr>
                    <w:spacing w:before="25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737" w:type="dxa"/>
                  <w:vAlign w:val="top"/>
                </w:tcPr>
                <w:p w14:paraId="43C72517">
                  <w:pPr>
                    <w:spacing w:before="253"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737" w:type="dxa"/>
                  <w:vAlign w:val="top"/>
                </w:tcPr>
                <w:p w14:paraId="78A359ED">
                  <w:pPr>
                    <w:spacing w:before="253"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737" w:type="dxa"/>
                  <w:vAlign w:val="top"/>
                </w:tcPr>
                <w:p w14:paraId="00529833">
                  <w:pPr>
                    <w:spacing w:before="256"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737" w:type="dxa"/>
                  <w:vAlign w:val="top"/>
                </w:tcPr>
                <w:p w14:paraId="5698A8F4">
                  <w:pPr>
                    <w:spacing w:before="25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786" w:type="dxa"/>
                  <w:vAlign w:val="top"/>
                </w:tcPr>
                <w:p w14:paraId="61A0C02E">
                  <w:pPr>
                    <w:spacing w:before="253"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786" w:type="dxa"/>
                  <w:vAlign w:val="top"/>
                </w:tcPr>
                <w:p w14:paraId="16F0CCA7">
                  <w:pPr>
                    <w:spacing w:before="253"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86" w:type="dxa"/>
                  <w:vAlign w:val="top"/>
                </w:tcPr>
                <w:p w14:paraId="6122C239">
                  <w:pPr>
                    <w:spacing w:before="253"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789" w:type="dxa"/>
                  <w:vAlign w:val="top"/>
                </w:tcPr>
                <w:p w14:paraId="220A05FC">
                  <w:pPr>
                    <w:spacing w:before="25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r>
            <w:tr w14:paraId="2570C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48" w:type="dxa"/>
                  <w:vAlign w:val="top"/>
                </w:tcPr>
                <w:p w14:paraId="3D910E6C">
                  <w:pPr>
                    <w:pStyle w:val="6"/>
                    <w:spacing w:before="76" w:line="216" w:lineRule="auto"/>
                    <w:ind w:left="166"/>
                    <w:rPr>
                      <w:sz w:val="20"/>
                      <w:szCs w:val="20"/>
                    </w:rPr>
                  </w:pPr>
                  <w:r>
                    <w:rPr>
                      <w:spacing w:val="5"/>
                      <w:sz w:val="20"/>
                      <w:szCs w:val="20"/>
                    </w:rPr>
                    <w:t>叠加值</w:t>
                  </w:r>
                </w:p>
              </w:tc>
              <w:tc>
                <w:tcPr>
                  <w:tcW w:w="622" w:type="dxa"/>
                  <w:vAlign w:val="top"/>
                </w:tcPr>
                <w:p w14:paraId="41BB34C9">
                  <w:pPr>
                    <w:spacing w:before="94"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81</w:t>
                  </w:r>
                </w:p>
              </w:tc>
              <w:tc>
                <w:tcPr>
                  <w:tcW w:w="756" w:type="dxa"/>
                  <w:vAlign w:val="top"/>
                </w:tcPr>
                <w:p w14:paraId="0F7B303A">
                  <w:pPr>
                    <w:spacing w:before="97" w:line="192"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737" w:type="dxa"/>
                  <w:vAlign w:val="top"/>
                </w:tcPr>
                <w:p w14:paraId="37F15787">
                  <w:pPr>
                    <w:spacing w:before="9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737" w:type="dxa"/>
                  <w:vAlign w:val="top"/>
                </w:tcPr>
                <w:p w14:paraId="36AEC5FF">
                  <w:pPr>
                    <w:spacing w:before="9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37" w:type="dxa"/>
                  <w:vAlign w:val="top"/>
                </w:tcPr>
                <w:p w14:paraId="1F66F355">
                  <w:pPr>
                    <w:spacing w:before="9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737" w:type="dxa"/>
                  <w:vAlign w:val="top"/>
                </w:tcPr>
                <w:p w14:paraId="3673F87B">
                  <w:pPr>
                    <w:spacing w:before="9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786" w:type="dxa"/>
                  <w:vAlign w:val="top"/>
                </w:tcPr>
                <w:p w14:paraId="32C9020D">
                  <w:pPr>
                    <w:spacing w:before="97" w:line="192"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786" w:type="dxa"/>
                  <w:vAlign w:val="top"/>
                </w:tcPr>
                <w:p w14:paraId="7D82CFC1">
                  <w:pPr>
                    <w:spacing w:before="94"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786" w:type="dxa"/>
                  <w:vAlign w:val="top"/>
                </w:tcPr>
                <w:p w14:paraId="317996B3">
                  <w:pPr>
                    <w:spacing w:before="9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789" w:type="dxa"/>
                  <w:vAlign w:val="top"/>
                </w:tcPr>
                <w:p w14:paraId="1DA068ED">
                  <w:pPr>
                    <w:spacing w:before="94"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bl>
          <w:p w14:paraId="5C0710D2">
            <w:pPr>
              <w:pStyle w:val="6"/>
              <w:spacing w:before="32" w:line="356" w:lineRule="auto"/>
              <w:ind w:left="105" w:right="2" w:firstLine="484"/>
            </w:pPr>
            <w:r>
              <w:rPr>
                <w:spacing w:val="-4"/>
              </w:rPr>
              <w:t>项目施工场地多台机械设备同时作业时，产生的噪声会叠加。根据预测结果，</w:t>
            </w:r>
            <w:r>
              <w:rPr>
                <w:spacing w:val="14"/>
              </w:rPr>
              <w:t xml:space="preserve"> </w:t>
            </w:r>
            <w:r>
              <w:rPr>
                <w:spacing w:val="-2"/>
              </w:rPr>
              <w:t>在考虑噪声叠加影响的情况下，昼间在距施工机械</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
              </w:rPr>
              <w:t>0m</w:t>
            </w:r>
            <w:r>
              <w:rPr>
                <w:rFonts w:ascii="Times New Roman" w:hAnsi="Times New Roman" w:eastAsia="Times New Roman" w:cs="Times New Roman"/>
                <w:spacing w:val="37"/>
              </w:rPr>
              <w:t xml:space="preserve"> </w:t>
            </w:r>
            <w:r>
              <w:rPr>
                <w:spacing w:val="-3"/>
              </w:rPr>
              <w:t>以外的区域可达到《建筑</w:t>
            </w:r>
            <w:r>
              <w:t xml:space="preserve"> </w:t>
            </w:r>
            <w:r>
              <w:rPr>
                <w:spacing w:val="-1"/>
              </w:rPr>
              <w:t>施工场界环境噪声排放标准》（</w:t>
            </w:r>
            <w:r>
              <w:rPr>
                <w:rFonts w:ascii="Times New Roman" w:hAnsi="Times New Roman" w:eastAsia="Times New Roman" w:cs="Times New Roman"/>
                <w:spacing w:val="-1"/>
              </w:rPr>
              <w:t>GB12523-2011</w:t>
            </w:r>
            <w:r>
              <w:rPr>
                <w:spacing w:val="-1"/>
              </w:rPr>
              <w:t>）的要求。距离项目施工场地较近</w:t>
            </w:r>
            <w:r>
              <w:rPr>
                <w:spacing w:val="11"/>
              </w:rPr>
              <w:t xml:space="preserve"> </w:t>
            </w:r>
            <w:r>
              <w:rPr>
                <w:spacing w:val="-3"/>
              </w:rPr>
              <w:t>的保护目标为鲁纳散户</w:t>
            </w:r>
            <w:r>
              <w:rPr>
                <w:spacing w:val="-30"/>
              </w:rPr>
              <w:t xml:space="preserve"> </w:t>
            </w:r>
            <w:r>
              <w:rPr>
                <w:rFonts w:ascii="Times New Roman" w:hAnsi="Times New Roman" w:eastAsia="Times New Roman" w:cs="Times New Roman"/>
                <w:spacing w:val="-3"/>
              </w:rPr>
              <w:t>1</w:t>
            </w:r>
            <w:r>
              <w:rPr>
                <w:spacing w:val="-3"/>
              </w:rPr>
              <w:t>（</w:t>
            </w:r>
            <w:r>
              <w:rPr>
                <w:rFonts w:ascii="Times New Roman" w:hAnsi="Times New Roman" w:eastAsia="Times New Roman" w:cs="Times New Roman"/>
                <w:spacing w:val="-3"/>
              </w:rPr>
              <w:t>31m</w:t>
            </w:r>
            <w:r>
              <w:rPr>
                <w:spacing w:val="-3"/>
              </w:rPr>
              <w:t>）、鲁纳散户</w:t>
            </w:r>
            <w:r>
              <w:rPr>
                <w:spacing w:val="-57"/>
              </w:rPr>
              <w:t xml:space="preserve"> </w:t>
            </w:r>
            <w:r>
              <w:rPr>
                <w:rFonts w:ascii="Times New Roman" w:hAnsi="Times New Roman" w:eastAsia="Times New Roman" w:cs="Times New Roman"/>
                <w:spacing w:val="-3"/>
              </w:rPr>
              <w:t>4</w:t>
            </w:r>
            <w:r>
              <w:rPr>
                <w:spacing w:val="-3"/>
              </w:rPr>
              <w:t>（</w:t>
            </w:r>
            <w:r>
              <w:rPr>
                <w:rFonts w:ascii="Times New Roman" w:hAnsi="Times New Roman" w:eastAsia="Times New Roman" w:cs="Times New Roman"/>
                <w:spacing w:val="-3"/>
              </w:rPr>
              <w:t>3m</w:t>
            </w:r>
            <w:r>
              <w:rPr>
                <w:spacing w:val="-13"/>
              </w:rPr>
              <w:t>），</w:t>
            </w:r>
            <w:r>
              <w:rPr>
                <w:spacing w:val="-3"/>
              </w:rPr>
              <w:t>施工</w:t>
            </w:r>
            <w:r>
              <w:rPr>
                <w:spacing w:val="-4"/>
              </w:rPr>
              <w:t>区靠近敏感点一侧外</w:t>
            </w:r>
            <w:r>
              <w:t xml:space="preserve"> </w:t>
            </w:r>
            <w:r>
              <w:rPr>
                <w:spacing w:val="-1"/>
              </w:rPr>
              <w:t>围设置临时移动声屏障，并对设备进行减震垫安装后可</w:t>
            </w:r>
            <w:r>
              <w:rPr>
                <w:spacing w:val="-2"/>
              </w:rPr>
              <w:t>减少</w:t>
            </w:r>
            <w:r>
              <w:rPr>
                <w:spacing w:val="-32"/>
              </w:rPr>
              <w:t xml:space="preserve"> </w:t>
            </w:r>
            <w:r>
              <w:rPr>
                <w:rFonts w:ascii="Times New Roman" w:hAnsi="Times New Roman" w:eastAsia="Times New Roman" w:cs="Times New Roman"/>
                <w:spacing w:val="-2"/>
              </w:rPr>
              <w:t>15dB</w:t>
            </w:r>
            <w:r>
              <w:rPr>
                <w:spacing w:val="-2"/>
              </w:rPr>
              <w:t>（</w:t>
            </w:r>
            <w:r>
              <w:rPr>
                <w:rFonts w:ascii="Times New Roman" w:hAnsi="Times New Roman" w:eastAsia="Times New Roman" w:cs="Times New Roman"/>
                <w:spacing w:val="-2"/>
              </w:rPr>
              <w:t>A</w:t>
            </w:r>
            <w:r>
              <w:rPr>
                <w:spacing w:val="4"/>
              </w:rPr>
              <w:t>），</w:t>
            </w:r>
            <w:r>
              <w:rPr>
                <w:spacing w:val="-2"/>
              </w:rPr>
              <w:t>昼间噪</w:t>
            </w:r>
            <w:r>
              <w:t xml:space="preserve"> </w:t>
            </w:r>
            <w:r>
              <w:rPr>
                <w:spacing w:val="-10"/>
              </w:rPr>
              <w:t>声</w:t>
            </w:r>
            <w:r>
              <w:rPr>
                <w:spacing w:val="-60"/>
              </w:rPr>
              <w:t xml:space="preserve"> </w:t>
            </w:r>
            <w:r>
              <w:rPr>
                <w:rFonts w:ascii="Times New Roman" w:hAnsi="Times New Roman" w:eastAsia="Times New Roman" w:cs="Times New Roman"/>
                <w:spacing w:val="-10"/>
              </w:rPr>
              <w:t>5m</w:t>
            </w:r>
            <w:r>
              <w:rPr>
                <w:spacing w:val="-10"/>
              </w:rPr>
              <w:t>处降为</w:t>
            </w:r>
            <w:r>
              <w:rPr>
                <w:spacing w:val="-64"/>
              </w:rPr>
              <w:t xml:space="preserve"> </w:t>
            </w:r>
            <w:r>
              <w:rPr>
                <w:rFonts w:ascii="Times New Roman" w:hAnsi="Times New Roman" w:eastAsia="Times New Roman" w:cs="Times New Roman"/>
                <w:spacing w:val="-10"/>
              </w:rPr>
              <w:t>66dB(A)</w:t>
            </w:r>
            <w:r>
              <w:rPr>
                <w:spacing w:val="-10"/>
              </w:rPr>
              <w:t>，能达到《建筑施工场界环境噪声排放标</w:t>
            </w:r>
            <w:r>
              <w:rPr>
                <w:spacing w:val="-11"/>
              </w:rPr>
              <w:t>准》（</w:t>
            </w:r>
            <w:r>
              <w:rPr>
                <w:rFonts w:ascii="Times New Roman" w:hAnsi="Times New Roman" w:eastAsia="Times New Roman" w:cs="Times New Roman"/>
                <w:spacing w:val="-11"/>
              </w:rPr>
              <w:t>GB12523-2011</w:t>
            </w:r>
            <w:r>
              <w:rPr>
                <w:spacing w:val="-11"/>
              </w:rPr>
              <w:t>）</w:t>
            </w:r>
            <w:r>
              <w:t xml:space="preserve"> </w:t>
            </w:r>
            <w:r>
              <w:rPr>
                <w:spacing w:val="1"/>
              </w:rPr>
              <w:t>的限值要求，夜间不施工，因此设置围挡后施工</w:t>
            </w:r>
            <w:r>
              <w:t xml:space="preserve">场地的噪声对声环境敏感点的影  </w:t>
            </w:r>
            <w:r>
              <w:rPr>
                <w:spacing w:val="-2"/>
              </w:rPr>
              <w:t>响较小，可接受。</w:t>
            </w:r>
          </w:p>
          <w:p w14:paraId="2A950C5C">
            <w:pPr>
              <w:pStyle w:val="6"/>
              <w:spacing w:before="36" w:line="220" w:lineRule="auto"/>
              <w:ind w:left="598"/>
            </w:pPr>
            <w:r>
              <w:rPr>
                <w:spacing w:val="-2"/>
              </w:rPr>
              <w:t>（</w:t>
            </w:r>
            <w:r>
              <w:rPr>
                <w:rFonts w:ascii="Times New Roman" w:hAnsi="Times New Roman" w:eastAsia="Times New Roman" w:cs="Times New Roman"/>
                <w:spacing w:val="-2"/>
              </w:rPr>
              <w:t>2</w:t>
            </w:r>
            <w:r>
              <w:rPr>
                <w:spacing w:val="-2"/>
              </w:rPr>
              <w:t>）施工交通噪声影响</w:t>
            </w:r>
          </w:p>
          <w:p w14:paraId="2E021CB0">
            <w:pPr>
              <w:pStyle w:val="6"/>
              <w:spacing w:before="183" w:line="355" w:lineRule="auto"/>
              <w:ind w:left="105" w:right="40" w:firstLine="510"/>
            </w:pPr>
            <w:r>
              <w:t>由于项目运输将利用周边道路，因此运输交通噪声会对</w:t>
            </w:r>
            <w:r>
              <w:rPr>
                <w:spacing w:val="-1"/>
              </w:rPr>
              <w:t>周边道路两侧居民有</w:t>
            </w:r>
            <w:r>
              <w:t xml:space="preserve"> </w:t>
            </w:r>
            <w:r>
              <w:rPr>
                <w:spacing w:val="1"/>
              </w:rPr>
              <w:t>一定影响。由于项目施工期间运输噪声源强较大</w:t>
            </w:r>
            <w:r>
              <w:t xml:space="preserve">，夜间影响较为突出，容易引发 </w:t>
            </w:r>
            <w:r>
              <w:rPr>
                <w:spacing w:val="1"/>
              </w:rPr>
              <w:t>扰民纠纷，因此必须采取必要的管理措施，减缓</w:t>
            </w:r>
            <w:r>
              <w:t xml:space="preserve">施工期运输噪声的影响。项目合 </w:t>
            </w:r>
            <w:r>
              <w:rPr>
                <w:spacing w:val="1"/>
              </w:rPr>
              <w:t>理安排施工作业时间，夜间运输车辆不通过村庄</w:t>
            </w:r>
            <w:r>
              <w:t xml:space="preserve">等敏感点；合理规划施工期运输 </w:t>
            </w:r>
            <w:r>
              <w:rPr>
                <w:spacing w:val="-4"/>
              </w:rPr>
              <w:t>道路，尽量避开沿线村庄等敏感点；运输车辆应限制行驶</w:t>
            </w:r>
            <w:r>
              <w:rPr>
                <w:spacing w:val="-5"/>
              </w:rPr>
              <w:t>速度、尽可能减少鸣笛，</w:t>
            </w:r>
            <w:r>
              <w:t xml:space="preserve"> </w:t>
            </w:r>
            <w:r>
              <w:rPr>
                <w:spacing w:val="-4"/>
              </w:rPr>
              <w:t>尤其是在晚间和午休时间；加强各类运输车辆的维护和保</w:t>
            </w:r>
            <w:r>
              <w:rPr>
                <w:spacing w:val="-5"/>
              </w:rPr>
              <w:t>养，保持其良好的工况，</w:t>
            </w:r>
            <w:r>
              <w:t xml:space="preserve"> </w:t>
            </w:r>
            <w:r>
              <w:rPr>
                <w:spacing w:val="1"/>
              </w:rPr>
              <w:t>以便从根本上降低噪声源强。项目施工期交通噪</w:t>
            </w:r>
            <w:r>
              <w:t>声影响是暂时和短期行为，施工</w:t>
            </w:r>
          </w:p>
        </w:tc>
      </w:tr>
    </w:tbl>
    <w:p w14:paraId="31634117">
      <w:pPr>
        <w:rPr>
          <w:rFonts w:ascii="Arial"/>
          <w:sz w:val="21"/>
        </w:rPr>
      </w:pPr>
    </w:p>
    <w:p w14:paraId="45B47838">
      <w:pPr>
        <w:rPr>
          <w:rFonts w:ascii="Arial" w:hAnsi="Arial" w:eastAsia="Arial" w:cs="Arial"/>
          <w:sz w:val="21"/>
          <w:szCs w:val="21"/>
        </w:rPr>
        <w:sectPr>
          <w:footerReference r:id="rId120" w:type="default"/>
          <w:pgSz w:w="11906" w:h="16839"/>
          <w:pgMar w:top="1431" w:right="1454" w:bottom="1278" w:left="1454" w:header="0" w:footer="1116" w:gutter="0"/>
          <w:cols w:space="720" w:num="1"/>
        </w:sectPr>
      </w:pPr>
    </w:p>
    <w:p w14:paraId="2F131F43">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176F0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6" w:hRule="atLeast"/>
        </w:trPr>
        <w:tc>
          <w:tcPr>
            <w:tcW w:w="339" w:type="dxa"/>
            <w:tcBorders>
              <w:right w:val="single" w:color="000000" w:sz="2" w:space="0"/>
            </w:tcBorders>
            <w:vAlign w:val="top"/>
          </w:tcPr>
          <w:p w14:paraId="05AF6909">
            <w:pPr>
              <w:rPr>
                <w:rFonts w:ascii="Arial"/>
                <w:sz w:val="21"/>
              </w:rPr>
            </w:pPr>
          </w:p>
        </w:tc>
        <w:tc>
          <w:tcPr>
            <w:tcW w:w="8643" w:type="dxa"/>
            <w:tcBorders>
              <w:left w:val="single" w:color="000000" w:sz="2" w:space="0"/>
            </w:tcBorders>
            <w:vAlign w:val="top"/>
          </w:tcPr>
          <w:p w14:paraId="50E7FB5F">
            <w:pPr>
              <w:pStyle w:val="6"/>
              <w:spacing w:before="41" w:line="219" w:lineRule="auto"/>
              <w:ind w:left="106"/>
            </w:pPr>
            <w:r>
              <w:rPr>
                <w:spacing w:val="-1"/>
              </w:rPr>
              <w:t>运输结束即消失，通过采取合理防治措施后对环境影响小。</w:t>
            </w:r>
          </w:p>
          <w:p w14:paraId="10A9A318">
            <w:pPr>
              <w:pStyle w:val="6"/>
              <w:spacing w:before="180" w:line="219" w:lineRule="auto"/>
              <w:jc w:val="right"/>
            </w:pPr>
            <w:r>
              <w:rPr>
                <w:spacing w:val="-5"/>
              </w:rPr>
              <w:t>因此，本项目施工期噪声对周围声环境影响小，将随施工活动的结束而消失。</w:t>
            </w:r>
          </w:p>
          <w:p w14:paraId="11AFC8F6">
            <w:pPr>
              <w:pStyle w:val="6"/>
              <w:spacing w:before="181" w:line="220" w:lineRule="auto"/>
              <w:ind w:left="598"/>
            </w:pPr>
            <w:r>
              <w:rPr>
                <w:spacing w:val="-2"/>
              </w:rPr>
              <w:t>（</w:t>
            </w:r>
            <w:r>
              <w:rPr>
                <w:rFonts w:ascii="Times New Roman" w:hAnsi="Times New Roman" w:eastAsia="Times New Roman" w:cs="Times New Roman"/>
                <w:spacing w:val="-2"/>
              </w:rPr>
              <w:t>5</w:t>
            </w:r>
            <w:r>
              <w:rPr>
                <w:spacing w:val="-2"/>
              </w:rPr>
              <w:t>）固体废物影响分析</w:t>
            </w:r>
          </w:p>
          <w:p w14:paraId="67E304F6">
            <w:pPr>
              <w:pStyle w:val="6"/>
              <w:spacing w:before="181" w:line="347" w:lineRule="auto"/>
              <w:ind w:left="105" w:right="141" w:firstLine="484"/>
            </w:pPr>
            <w:r>
              <w:rPr>
                <w:spacing w:val="-1"/>
              </w:rPr>
              <w:t>项目施工期固体废物主要为土石方、建筑垃圾、废弃设备零件、包装废物、</w:t>
            </w:r>
            <w:r>
              <w:rPr>
                <w:spacing w:val="12"/>
              </w:rPr>
              <w:t xml:space="preserve"> </w:t>
            </w:r>
            <w:r>
              <w:rPr>
                <w:spacing w:val="-1"/>
              </w:rPr>
              <w:t>施工人员的生活垃圾、餐厨废物、隔油池废油和粪便等。</w:t>
            </w:r>
          </w:p>
          <w:p w14:paraId="5007BE3F">
            <w:pPr>
              <w:pStyle w:val="6"/>
              <w:spacing w:before="31" w:line="221" w:lineRule="auto"/>
              <w:ind w:left="605"/>
            </w:pPr>
            <w:r>
              <w:rPr>
                <w:rFonts w:ascii="Times New Roman" w:hAnsi="Times New Roman" w:eastAsia="Times New Roman" w:cs="Times New Roman"/>
                <w:spacing w:val="-6"/>
              </w:rPr>
              <w:t>1</w:t>
            </w:r>
            <w:r>
              <w:rPr>
                <w:spacing w:val="-6"/>
              </w:rPr>
              <w:t>）土石方</w:t>
            </w:r>
          </w:p>
          <w:p w14:paraId="1E906635">
            <w:pPr>
              <w:pStyle w:val="6"/>
              <w:spacing w:before="182" w:line="352" w:lineRule="auto"/>
              <w:ind w:left="99" w:right="86" w:firstLine="488"/>
            </w:pPr>
            <w:r>
              <w:t>本项目建设过程中共产生开挖土石方</w:t>
            </w:r>
            <w:r>
              <w:rPr>
                <w:spacing w:val="-53"/>
              </w:rPr>
              <w:t xml:space="preserve"> </w:t>
            </w:r>
            <w:r>
              <w:rPr>
                <w:rFonts w:ascii="Times New Roman" w:hAnsi="Times New Roman" w:eastAsia="Times New Roman" w:cs="Times New Roman"/>
              </w:rPr>
              <w:t>27.2645</w:t>
            </w:r>
            <w:r>
              <w:rPr>
                <w:rFonts w:ascii="Times New Roman" w:hAnsi="Times New Roman" w:eastAsia="Times New Roman" w:cs="Times New Roman"/>
                <w:spacing w:val="17"/>
              </w:rPr>
              <w:t xml:space="preserve"> </w:t>
            </w:r>
            <w:r>
              <w:t>万</w:t>
            </w:r>
            <w:r>
              <w:rPr>
                <w:spacing w:val="-56"/>
              </w:rPr>
              <w:t xml:space="preserve"> </w:t>
            </w:r>
            <w:r>
              <w:rPr>
                <w:rFonts w:ascii="Times New Roman" w:hAnsi="Times New Roman" w:eastAsia="Times New Roman" w:cs="Times New Roman"/>
              </w:rPr>
              <w:t>m</w:t>
            </w:r>
            <w:r>
              <w:rPr>
                <w:rFonts w:ascii="Times New Roman" w:hAnsi="Times New Roman" w:eastAsia="Times New Roman" w:cs="Times New Roman"/>
                <w:position w:val="8"/>
                <w:sz w:val="15"/>
                <w:szCs w:val="15"/>
              </w:rPr>
              <w:t>3</w:t>
            </w:r>
            <w:r>
              <w:t>（其中表土剥离</w:t>
            </w:r>
            <w:r>
              <w:rPr>
                <w:spacing w:val="-45"/>
              </w:rPr>
              <w:t xml:space="preserve"> </w:t>
            </w:r>
            <w:r>
              <w:rPr>
                <w:rFonts w:ascii="Times New Roman" w:hAnsi="Times New Roman" w:eastAsia="Times New Roman" w:cs="Times New Roman"/>
              </w:rPr>
              <w:t>9.307</w:t>
            </w:r>
            <w:r>
              <w:rPr>
                <w:rFonts w:ascii="Times New Roman" w:hAnsi="Times New Roman" w:eastAsia="Times New Roman" w:cs="Times New Roman"/>
                <w:spacing w:val="17"/>
              </w:rPr>
              <w:t xml:space="preserve"> </w:t>
            </w:r>
            <w:r>
              <w:t xml:space="preserve">万 </w:t>
            </w:r>
            <w:r>
              <w:rPr>
                <w:rFonts w:ascii="Times New Roman" w:hAnsi="Times New Roman" w:eastAsia="Times New Roman" w:cs="Times New Roman"/>
                <w:spacing w:val="-7"/>
              </w:rPr>
              <w:t>m</w:t>
            </w:r>
            <w:r>
              <w:rPr>
                <w:rFonts w:ascii="Times New Roman" w:hAnsi="Times New Roman" w:eastAsia="Times New Roman" w:cs="Times New Roman"/>
                <w:spacing w:val="-7"/>
                <w:position w:val="7"/>
                <w:sz w:val="15"/>
                <w:szCs w:val="15"/>
              </w:rPr>
              <w:t>3</w:t>
            </w:r>
            <w:r>
              <w:rPr>
                <w:spacing w:val="-7"/>
              </w:rPr>
              <w:t>，一般土石方开挖</w:t>
            </w:r>
            <w:r>
              <w:rPr>
                <w:spacing w:val="-32"/>
              </w:rPr>
              <w:t xml:space="preserve"> </w:t>
            </w:r>
            <w:r>
              <w:rPr>
                <w:rFonts w:ascii="Times New Roman" w:hAnsi="Times New Roman" w:eastAsia="Times New Roman" w:cs="Times New Roman"/>
                <w:spacing w:val="-7"/>
              </w:rPr>
              <w:t>17.9575</w:t>
            </w:r>
            <w:r>
              <w:rPr>
                <w:rFonts w:ascii="Times New Roman" w:hAnsi="Times New Roman" w:eastAsia="Times New Roman" w:cs="Times New Roman"/>
                <w:spacing w:val="15"/>
                <w:w w:val="101"/>
              </w:rPr>
              <w:t xml:space="preserve"> </w:t>
            </w:r>
            <w:r>
              <w:rPr>
                <w:spacing w:val="-7"/>
              </w:rPr>
              <w:t>万</w:t>
            </w:r>
            <w:r>
              <w:rPr>
                <w:spacing w:val="-59"/>
              </w:rPr>
              <w:t xml:space="preserve"> </w:t>
            </w:r>
            <w:r>
              <w:rPr>
                <w:rFonts w:ascii="Times New Roman" w:hAnsi="Times New Roman" w:eastAsia="Times New Roman" w:cs="Times New Roman"/>
                <w:spacing w:val="-7"/>
              </w:rPr>
              <w:t>m</w:t>
            </w:r>
            <w:r>
              <w:rPr>
                <w:rFonts w:ascii="Times New Roman" w:hAnsi="Times New Roman" w:eastAsia="Times New Roman" w:cs="Times New Roman"/>
                <w:spacing w:val="-7"/>
                <w:position w:val="7"/>
                <w:sz w:val="15"/>
                <w:szCs w:val="15"/>
              </w:rPr>
              <w:t>3</w:t>
            </w:r>
            <w:r>
              <w:rPr>
                <w:spacing w:val="-58"/>
                <w:w w:val="93"/>
              </w:rPr>
              <w:t>），</w:t>
            </w:r>
            <w:r>
              <w:rPr>
                <w:spacing w:val="-7"/>
              </w:rPr>
              <w:t>回填利用</w:t>
            </w:r>
            <w:r>
              <w:rPr>
                <w:spacing w:val="-55"/>
              </w:rPr>
              <w:t xml:space="preserve"> </w:t>
            </w:r>
            <w:r>
              <w:rPr>
                <w:rFonts w:ascii="Times New Roman" w:hAnsi="Times New Roman" w:eastAsia="Times New Roman" w:cs="Times New Roman"/>
                <w:spacing w:val="-7"/>
              </w:rPr>
              <w:t>27.2645</w:t>
            </w:r>
            <w:r>
              <w:rPr>
                <w:rFonts w:ascii="Times New Roman" w:hAnsi="Times New Roman" w:eastAsia="Times New Roman" w:cs="Times New Roman"/>
                <w:spacing w:val="16"/>
              </w:rPr>
              <w:t xml:space="preserve"> </w:t>
            </w:r>
            <w:r>
              <w:rPr>
                <w:spacing w:val="-7"/>
              </w:rPr>
              <w:t>万</w:t>
            </w:r>
            <w:r>
              <w:rPr>
                <w:spacing w:val="-58"/>
              </w:rPr>
              <w:t xml:space="preserve"> </w:t>
            </w:r>
            <w:r>
              <w:rPr>
                <w:rFonts w:ascii="Times New Roman" w:hAnsi="Times New Roman" w:eastAsia="Times New Roman" w:cs="Times New Roman"/>
                <w:spacing w:val="-7"/>
              </w:rPr>
              <w:t>m</w:t>
            </w:r>
            <w:r>
              <w:rPr>
                <w:rFonts w:ascii="Times New Roman" w:hAnsi="Times New Roman" w:eastAsia="Times New Roman" w:cs="Times New Roman"/>
                <w:spacing w:val="-7"/>
                <w:position w:val="7"/>
                <w:sz w:val="15"/>
                <w:szCs w:val="15"/>
              </w:rPr>
              <w:t>3</w:t>
            </w:r>
            <w:r>
              <w:rPr>
                <w:spacing w:val="-7"/>
              </w:rPr>
              <w:t>（其中表土回覆</w:t>
            </w:r>
            <w:r>
              <w:rPr>
                <w:spacing w:val="-51"/>
              </w:rPr>
              <w:t xml:space="preserve"> </w:t>
            </w:r>
            <w:r>
              <w:rPr>
                <w:rFonts w:ascii="Times New Roman" w:hAnsi="Times New Roman" w:eastAsia="Times New Roman" w:cs="Times New Roman"/>
                <w:spacing w:val="-7"/>
              </w:rPr>
              <w:t>9.307</w:t>
            </w:r>
            <w:r>
              <w:rPr>
                <w:rFonts w:ascii="Times New Roman" w:hAnsi="Times New Roman" w:eastAsia="Times New Roman" w:cs="Times New Roman"/>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9"/>
                <w:position w:val="8"/>
                <w:sz w:val="15"/>
                <w:szCs w:val="15"/>
              </w:rPr>
              <w:t xml:space="preserve"> </w:t>
            </w:r>
            <w:r>
              <w:rPr>
                <w:spacing w:val="-4"/>
              </w:rPr>
              <w:t>，一般土石方回填</w:t>
            </w:r>
            <w:r>
              <w:rPr>
                <w:spacing w:val="-32"/>
              </w:rPr>
              <w:t xml:space="preserve"> </w:t>
            </w:r>
            <w:r>
              <w:rPr>
                <w:rFonts w:ascii="Times New Roman" w:hAnsi="Times New Roman" w:eastAsia="Times New Roman" w:cs="Times New Roman"/>
                <w:spacing w:val="-4"/>
              </w:rPr>
              <w:t>17.9575</w:t>
            </w:r>
            <w:r>
              <w:rPr>
                <w:rFonts w:ascii="Times New Roman" w:hAnsi="Times New Roman" w:eastAsia="Times New Roman" w:cs="Times New Roman"/>
                <w:spacing w:val="15"/>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8"/>
                <w:sz w:val="15"/>
                <w:szCs w:val="15"/>
              </w:rPr>
              <w:t xml:space="preserve">3 </w:t>
            </w:r>
            <w:r>
              <w:rPr>
                <w:spacing w:val="-4"/>
              </w:rPr>
              <w:t>）。工程建设土石方平衡，不</w:t>
            </w:r>
            <w:r>
              <w:rPr>
                <w:spacing w:val="-5"/>
              </w:rPr>
              <w:t>外借土石方，</w:t>
            </w:r>
            <w:r>
              <w:t xml:space="preserve"> </w:t>
            </w:r>
            <w:r>
              <w:rPr>
                <w:spacing w:val="-1"/>
              </w:rPr>
              <w:t>也不产生永久弃渣。</w:t>
            </w:r>
          </w:p>
          <w:p w14:paraId="2AF23BE5">
            <w:pPr>
              <w:pStyle w:val="6"/>
              <w:spacing w:before="36" w:line="219" w:lineRule="auto"/>
              <w:ind w:left="590"/>
            </w:pPr>
            <w:r>
              <w:rPr>
                <w:spacing w:val="-1"/>
              </w:rPr>
              <w:t>项目施工期土石方平衡及流向详见表</w:t>
            </w:r>
            <w:r>
              <w:rPr>
                <w:spacing w:val="-49"/>
              </w:rPr>
              <w:t xml:space="preserve"> </w:t>
            </w:r>
            <w:r>
              <w:rPr>
                <w:rFonts w:ascii="Times New Roman" w:hAnsi="Times New Roman" w:eastAsia="Times New Roman" w:cs="Times New Roman"/>
                <w:spacing w:val="-1"/>
              </w:rPr>
              <w:t>4-8</w:t>
            </w:r>
            <w:r>
              <w:rPr>
                <w:spacing w:val="-1"/>
              </w:rPr>
              <w:t>（见下一页）。</w:t>
            </w:r>
          </w:p>
          <w:p w14:paraId="01185E62">
            <w:pPr>
              <w:pStyle w:val="6"/>
              <w:spacing w:before="181" w:line="220" w:lineRule="auto"/>
              <w:ind w:left="582"/>
            </w:pPr>
            <w:r>
              <w:rPr>
                <w:rFonts w:ascii="Times New Roman" w:hAnsi="Times New Roman" w:eastAsia="Times New Roman" w:cs="Times New Roman"/>
                <w:spacing w:val="-1"/>
              </w:rPr>
              <w:t>2</w:t>
            </w:r>
            <w:r>
              <w:rPr>
                <w:spacing w:val="-1"/>
              </w:rPr>
              <w:t>）建筑垃圾</w:t>
            </w:r>
          </w:p>
          <w:p w14:paraId="28192CAF">
            <w:pPr>
              <w:pStyle w:val="6"/>
              <w:spacing w:before="179" w:line="349" w:lineRule="auto"/>
              <w:ind w:left="108" w:right="102" w:firstLine="477"/>
            </w:pPr>
            <w:r>
              <w:rPr>
                <w:spacing w:val="1"/>
              </w:rPr>
              <w:t>施工建筑垃圾主要指建筑修筑、材料运输、基础</w:t>
            </w:r>
            <w:r>
              <w:t>工程施工期间产生的废弃建 筑材料以及材料加工区产生的固体废物，如砂石、水泥、混凝土等。参照《昆明</w:t>
            </w:r>
            <w:r>
              <w:rPr>
                <w:spacing w:val="18"/>
              </w:rPr>
              <w:t xml:space="preserve"> </w:t>
            </w:r>
            <w:r>
              <w:rPr>
                <w:spacing w:val="-2"/>
              </w:rPr>
              <w:t>市城市建筑垃圾管理实施办法实施细则（修订）》（</w:t>
            </w:r>
            <w:r>
              <w:rPr>
                <w:rFonts w:ascii="Times New Roman" w:hAnsi="Times New Roman" w:eastAsia="Times New Roman" w:cs="Times New Roman"/>
                <w:spacing w:val="-2"/>
              </w:rPr>
              <w:t xml:space="preserve">2018 </w:t>
            </w:r>
            <w:r>
              <w:rPr>
                <w:spacing w:val="-2"/>
              </w:rPr>
              <w:t>年）“</w:t>
            </w:r>
            <w:r>
              <w:rPr>
                <w:spacing w:val="-88"/>
              </w:rPr>
              <w:t xml:space="preserve"> </w:t>
            </w:r>
            <w:r>
              <w:rPr>
                <w:spacing w:val="-2"/>
              </w:rPr>
              <w:t>附件</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5"/>
              </w:rPr>
              <w:t xml:space="preserve"> </w:t>
            </w:r>
            <w:r>
              <w:rPr>
                <w:spacing w:val="-2"/>
              </w:rPr>
              <w:t>”中对建</w:t>
            </w:r>
            <w:r>
              <w:t xml:space="preserve"> </w:t>
            </w:r>
            <w:r>
              <w:rPr>
                <w:spacing w:val="-3"/>
              </w:rPr>
              <w:t>筑垃圾产生量的计算标准，房屋主体施工产生建筑垃圾量</w:t>
            </w:r>
            <w:r>
              <w:rPr>
                <w:rFonts w:ascii="Times New Roman" w:hAnsi="Times New Roman" w:eastAsia="Times New Roman" w:cs="Times New Roman"/>
                <w:spacing w:val="-3"/>
              </w:rPr>
              <w:t>=</w:t>
            </w:r>
            <w:r>
              <w:rPr>
                <w:spacing w:val="-3"/>
              </w:rPr>
              <w:t>建筑面</w:t>
            </w:r>
            <w:r>
              <w:rPr>
                <w:spacing w:val="-4"/>
              </w:rPr>
              <w:t>积×单位面积建</w:t>
            </w:r>
            <w:r>
              <w:t xml:space="preserve"> </w:t>
            </w:r>
            <w:r>
              <w:rPr>
                <w:spacing w:val="-1"/>
              </w:rPr>
              <w:t>筑废弃物量，其中，钢筋混凝土结构每平方米产生建筑垃圾量为</w:t>
            </w:r>
            <w:r>
              <w:rPr>
                <w:spacing w:val="-34"/>
              </w:rPr>
              <w:t xml:space="preserve"> </w:t>
            </w:r>
            <w:r>
              <w:rPr>
                <w:rFonts w:ascii="Times New Roman" w:hAnsi="Times New Roman" w:eastAsia="Times New Roman" w:cs="Times New Roman"/>
                <w:spacing w:val="-1"/>
              </w:rPr>
              <w:t>0.02m</w:t>
            </w:r>
            <w:r>
              <w:rPr>
                <w:rFonts w:ascii="Times New Roman" w:hAnsi="Times New Roman" w:eastAsia="Times New Roman" w:cs="Times New Roman"/>
                <w:spacing w:val="-1"/>
                <w:position w:val="8"/>
                <w:sz w:val="15"/>
                <w:szCs w:val="15"/>
              </w:rPr>
              <w:t>3</w:t>
            </w:r>
            <w:r>
              <w:rPr>
                <w:spacing w:val="-1"/>
              </w:rPr>
              <w:t>。</w:t>
            </w:r>
          </w:p>
          <w:p w14:paraId="541FE022">
            <w:pPr>
              <w:pStyle w:val="6"/>
              <w:spacing w:before="68" w:line="350" w:lineRule="auto"/>
              <w:ind w:left="107" w:right="102" w:firstLine="568"/>
            </w:pPr>
            <w:r>
              <w:rPr>
                <w:spacing w:val="-2"/>
              </w:rPr>
              <w:t>本项目光伏板区施工不建设建筑物，基本无建筑垃圾产生。升压站区总建筑</w:t>
            </w:r>
            <w:r>
              <w:t xml:space="preserve"> 面积约为</w:t>
            </w:r>
            <w:r>
              <w:rPr>
                <w:spacing w:val="-54"/>
              </w:rPr>
              <w:t xml:space="preserve"> </w:t>
            </w:r>
            <w:r>
              <w:rPr>
                <w:rFonts w:ascii="Times New Roman" w:hAnsi="Times New Roman" w:eastAsia="Times New Roman" w:cs="Times New Roman"/>
              </w:rPr>
              <w:t>4012.88m2</w:t>
            </w:r>
            <w:r>
              <w:rPr>
                <w:rFonts w:ascii="Times New Roman" w:hAnsi="Times New Roman" w:eastAsia="Times New Roman" w:cs="Times New Roman"/>
                <w:spacing w:val="-31"/>
              </w:rPr>
              <w:t xml:space="preserve"> </w:t>
            </w:r>
            <w:r>
              <w:t>，建筑垃圾产</w:t>
            </w:r>
            <w:r>
              <w:rPr>
                <w:spacing w:val="-1"/>
              </w:rPr>
              <w:t>生量按</w:t>
            </w:r>
            <w:r>
              <w:rPr>
                <w:spacing w:val="-51"/>
              </w:rPr>
              <w:t xml:space="preserve"> </w:t>
            </w:r>
            <w:r>
              <w:rPr>
                <w:rFonts w:ascii="Times New Roman" w:hAnsi="Times New Roman" w:eastAsia="Times New Roman" w:cs="Times New Roman"/>
                <w:spacing w:val="-1"/>
              </w:rPr>
              <w:t>0.02m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2"/>
                <w:position w:val="7"/>
                <w:sz w:val="15"/>
                <w:szCs w:val="15"/>
              </w:rPr>
              <w:t xml:space="preserve"> </w:t>
            </w:r>
            <w:r>
              <w:rPr>
                <w:spacing w:val="-1"/>
              </w:rPr>
              <w:t>计，建筑垃圾比重按</w:t>
            </w:r>
            <w:r>
              <w:rPr>
                <w:spacing w:val="-55"/>
              </w:rPr>
              <w:t xml:space="preserve"> </w:t>
            </w:r>
            <w:r>
              <w:rPr>
                <w:rFonts w:ascii="Times New Roman" w:hAnsi="Times New Roman" w:eastAsia="Times New Roman" w:cs="Times New Roman"/>
                <w:spacing w:val="-1"/>
              </w:rPr>
              <w:t>2t/m</w:t>
            </w:r>
            <w:r>
              <w:rPr>
                <w:rFonts w:ascii="Times New Roman" w:hAnsi="Times New Roman" w:eastAsia="Times New Roman" w:cs="Times New Roman"/>
                <w:spacing w:val="-1"/>
                <w:position w:val="7"/>
                <w:sz w:val="15"/>
                <w:szCs w:val="15"/>
              </w:rPr>
              <w:t xml:space="preserve">3 </w:t>
            </w:r>
            <w:r>
              <w:rPr>
                <w:spacing w:val="-1"/>
              </w:rPr>
              <w:t>进</w:t>
            </w:r>
            <w:r>
              <w:t xml:space="preserve"> </w:t>
            </w:r>
            <w:r>
              <w:rPr>
                <w:spacing w:val="-2"/>
              </w:rPr>
              <w:t>行计算，则施工期建筑垃圾产生量约为</w:t>
            </w:r>
            <w:r>
              <w:rPr>
                <w:spacing w:val="-22"/>
              </w:rPr>
              <w:t xml:space="preserve"> </w:t>
            </w:r>
            <w:r>
              <w:rPr>
                <w:rFonts w:ascii="Times New Roman" w:hAnsi="Times New Roman" w:eastAsia="Times New Roman" w:cs="Times New Roman"/>
                <w:spacing w:val="-2"/>
              </w:rPr>
              <w:t>122.97t</w:t>
            </w:r>
            <w:r>
              <w:rPr>
                <w:spacing w:val="-2"/>
              </w:rPr>
              <w:t>。</w:t>
            </w:r>
          </w:p>
          <w:p w14:paraId="7B07B98E">
            <w:pPr>
              <w:pStyle w:val="6"/>
              <w:spacing w:before="36" w:line="350" w:lineRule="auto"/>
              <w:ind w:left="108" w:right="31" w:firstLine="479"/>
            </w:pPr>
            <w:r>
              <w:t>此外，项目施工结束后对施工场地建筑进行拆除</w:t>
            </w:r>
            <w:r>
              <w:rPr>
                <w:spacing w:val="-1"/>
              </w:rPr>
              <w:t>（项目临时设施建筑面积约</w:t>
            </w:r>
            <w:r>
              <w:t xml:space="preserve">  </w:t>
            </w:r>
            <w:r>
              <w:rPr>
                <w:rFonts w:ascii="Times New Roman" w:hAnsi="Times New Roman" w:eastAsia="Times New Roman" w:cs="Times New Roman"/>
                <w:spacing w:val="1"/>
              </w:rPr>
              <w:t>5000m</w:t>
            </w:r>
            <w:r>
              <w:rPr>
                <w:rFonts w:ascii="Times New Roman" w:hAnsi="Times New Roman" w:eastAsia="Times New Roman" w:cs="Times New Roman"/>
                <w:spacing w:val="1"/>
                <w:position w:val="7"/>
                <w:sz w:val="15"/>
                <w:szCs w:val="15"/>
              </w:rPr>
              <w:t xml:space="preserve">2 </w:t>
            </w:r>
            <w:r>
              <w:rPr>
                <w:spacing w:val="-6"/>
              </w:rPr>
              <w:t>），</w:t>
            </w:r>
            <w:r>
              <w:rPr>
                <w:spacing w:val="1"/>
              </w:rPr>
              <w:t>将会产生建筑垃圾，建筑垃圾产生量按</w:t>
            </w:r>
            <w:r>
              <w:rPr>
                <w:spacing w:val="-49"/>
              </w:rPr>
              <w:t xml:space="preserve"> </w:t>
            </w:r>
            <w:r>
              <w:rPr>
                <w:rFonts w:ascii="Times New Roman" w:hAnsi="Times New Roman" w:eastAsia="Times New Roman" w:cs="Times New Roman"/>
                <w:spacing w:val="1"/>
              </w:rPr>
              <w:t>0.02m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4"/>
                <w:w w:val="101"/>
                <w:position w:val="7"/>
                <w:sz w:val="15"/>
                <w:szCs w:val="15"/>
              </w:rPr>
              <w:t xml:space="preserve"> </w:t>
            </w:r>
            <w:r>
              <w:rPr>
                <w:spacing w:val="1"/>
              </w:rPr>
              <w:t>计，建筑垃圾比重</w:t>
            </w:r>
            <w:r>
              <w:t xml:space="preserve"> </w:t>
            </w:r>
            <w:r>
              <w:rPr>
                <w:spacing w:val="-1"/>
              </w:rPr>
              <w:t>按</w:t>
            </w:r>
            <w:r>
              <w:rPr>
                <w:spacing w:val="-55"/>
              </w:rPr>
              <w:t xml:space="preserve"> </w:t>
            </w:r>
            <w:r>
              <w:rPr>
                <w:rFonts w:ascii="Times New Roman" w:hAnsi="Times New Roman" w:eastAsia="Times New Roman" w:cs="Times New Roman"/>
                <w:spacing w:val="-1"/>
              </w:rPr>
              <w:t>2t/m</w:t>
            </w:r>
            <w:r>
              <w:rPr>
                <w:rFonts w:ascii="Times New Roman" w:hAnsi="Times New Roman" w:eastAsia="Times New Roman" w:cs="Times New Roman"/>
                <w:spacing w:val="-1"/>
                <w:position w:val="8"/>
                <w:sz w:val="15"/>
                <w:szCs w:val="15"/>
              </w:rPr>
              <w:t xml:space="preserve">3 </w:t>
            </w:r>
            <w:r>
              <w:rPr>
                <w:spacing w:val="-1"/>
              </w:rPr>
              <w:t>进行计算，则对施工场地建筑进行拆除</w:t>
            </w:r>
            <w:r>
              <w:rPr>
                <w:spacing w:val="-2"/>
              </w:rPr>
              <w:t>将产生建筑垃圾产生量约为</w:t>
            </w:r>
            <w:r>
              <w:rPr>
                <w:spacing w:val="-55"/>
              </w:rPr>
              <w:t xml:space="preserve"> </w:t>
            </w:r>
            <w:r>
              <w:rPr>
                <w:rFonts w:ascii="Times New Roman" w:hAnsi="Times New Roman" w:eastAsia="Times New Roman" w:cs="Times New Roman"/>
                <w:spacing w:val="-2"/>
              </w:rPr>
              <w:t>200t</w:t>
            </w:r>
            <w:r>
              <w:rPr>
                <w:spacing w:val="-2"/>
              </w:rPr>
              <w:t>。</w:t>
            </w:r>
          </w:p>
          <w:p w14:paraId="014AC0AB">
            <w:pPr>
              <w:pStyle w:val="6"/>
              <w:spacing w:before="36" w:line="350" w:lineRule="auto"/>
              <w:ind w:left="108" w:right="102" w:firstLine="480"/>
            </w:pPr>
            <w:r>
              <w:rPr>
                <w:spacing w:val="-2"/>
              </w:rPr>
              <w:t>综上，项目施工期建筑垃圾总产生量为</w:t>
            </w:r>
            <w:r>
              <w:rPr>
                <w:spacing w:val="-50"/>
              </w:rPr>
              <w:t xml:space="preserve"> </w:t>
            </w:r>
            <w:r>
              <w:rPr>
                <w:rFonts w:ascii="Times New Roman" w:hAnsi="Times New Roman" w:eastAsia="Times New Roman" w:cs="Times New Roman"/>
                <w:spacing w:val="-2"/>
              </w:rPr>
              <w:t>322.</w:t>
            </w:r>
            <w:r>
              <w:rPr>
                <w:rFonts w:ascii="Times New Roman" w:hAnsi="Times New Roman" w:eastAsia="Times New Roman" w:cs="Times New Roman"/>
                <w:spacing w:val="-3"/>
              </w:rPr>
              <w:t>97t</w:t>
            </w:r>
            <w:r>
              <w:rPr>
                <w:rFonts w:ascii="Times New Roman" w:hAnsi="Times New Roman" w:eastAsia="Times New Roman" w:cs="Times New Roman"/>
                <w:spacing w:val="-27"/>
              </w:rPr>
              <w:t xml:space="preserve"> </w:t>
            </w:r>
            <w:r>
              <w:rPr>
                <w:spacing w:val="-3"/>
              </w:rPr>
              <w:t>。项目建筑垃圾拟分类收集，</w:t>
            </w:r>
            <w:r>
              <w:t xml:space="preserve"> </w:t>
            </w:r>
            <w:r>
              <w:rPr>
                <w:spacing w:val="1"/>
              </w:rPr>
              <w:t>可回收利用的外售相应收购商，不可回收部分委</w:t>
            </w:r>
            <w:r>
              <w:t xml:space="preserve">托施工单位清运至合法弃渣场规 </w:t>
            </w:r>
            <w:r>
              <w:rPr>
                <w:spacing w:val="-1"/>
              </w:rPr>
              <w:t>范处置，采取上述措施后，不会对环境造成污染影响。</w:t>
            </w:r>
          </w:p>
          <w:p w14:paraId="653C305F">
            <w:pPr>
              <w:pStyle w:val="6"/>
              <w:spacing w:before="35" w:line="219" w:lineRule="auto"/>
              <w:ind w:left="587"/>
            </w:pPr>
            <w:r>
              <w:rPr>
                <w:rFonts w:ascii="Times New Roman" w:hAnsi="Times New Roman" w:eastAsia="Times New Roman" w:cs="Times New Roman"/>
                <w:spacing w:val="-2"/>
              </w:rPr>
              <w:t>3</w:t>
            </w:r>
            <w:r>
              <w:rPr>
                <w:spacing w:val="-2"/>
              </w:rPr>
              <w:t>）废弃设备零件</w:t>
            </w:r>
          </w:p>
          <w:p w14:paraId="4F13029A">
            <w:pPr>
              <w:pStyle w:val="6"/>
              <w:spacing w:before="182" w:line="345" w:lineRule="auto"/>
              <w:ind w:left="109" w:right="104" w:firstLine="480"/>
            </w:pPr>
            <w:r>
              <w:t>项目在光伏组件安装、电气设备安装过程中，会产生少量废弃设备零件，该</w:t>
            </w:r>
            <w:r>
              <w:rPr>
                <w:spacing w:val="16"/>
              </w:rPr>
              <w:t xml:space="preserve"> </w:t>
            </w:r>
            <w:r>
              <w:rPr>
                <w:spacing w:val="-1"/>
              </w:rPr>
              <w:t>部分废弃设备零件经收集后，可回收利用。</w:t>
            </w:r>
          </w:p>
        </w:tc>
      </w:tr>
    </w:tbl>
    <w:p w14:paraId="208B5F16">
      <w:pPr>
        <w:rPr>
          <w:rFonts w:ascii="Arial"/>
          <w:sz w:val="21"/>
        </w:rPr>
      </w:pPr>
    </w:p>
    <w:p w14:paraId="6D9C5BBE">
      <w:pPr>
        <w:rPr>
          <w:rFonts w:ascii="Arial" w:hAnsi="Arial" w:eastAsia="Arial" w:cs="Arial"/>
          <w:sz w:val="21"/>
          <w:szCs w:val="21"/>
        </w:rPr>
        <w:sectPr>
          <w:footerReference r:id="rId121" w:type="default"/>
          <w:pgSz w:w="11906" w:h="16839"/>
          <w:pgMar w:top="1431" w:right="1454" w:bottom="1278" w:left="1454" w:header="0" w:footer="1116" w:gutter="0"/>
          <w:cols w:space="720" w:num="1"/>
        </w:sectPr>
      </w:pPr>
    </w:p>
    <w:p w14:paraId="7527C63C">
      <w:pPr>
        <w:spacing w:line="99" w:lineRule="exact"/>
      </w:pPr>
    </w:p>
    <w:tbl>
      <w:tblPr>
        <w:tblStyle w:val="5"/>
        <w:tblW w:w="898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
        <w:gridCol w:w="8643"/>
      </w:tblGrid>
      <w:tr w14:paraId="6C4A4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12" w:hRule="atLeast"/>
        </w:trPr>
        <w:tc>
          <w:tcPr>
            <w:tcW w:w="339" w:type="dxa"/>
            <w:tcBorders>
              <w:right w:val="single" w:color="000000" w:sz="2" w:space="0"/>
            </w:tcBorders>
            <w:vAlign w:val="top"/>
          </w:tcPr>
          <w:p w14:paraId="4E69BC7B">
            <w:pPr>
              <w:rPr>
                <w:rFonts w:ascii="Arial"/>
                <w:sz w:val="21"/>
              </w:rPr>
            </w:pPr>
          </w:p>
        </w:tc>
        <w:tc>
          <w:tcPr>
            <w:tcW w:w="8643" w:type="dxa"/>
            <w:tcBorders>
              <w:left w:val="single" w:color="000000" w:sz="2" w:space="0"/>
            </w:tcBorders>
            <w:vAlign w:val="top"/>
          </w:tcPr>
          <w:p w14:paraId="5EFD6288">
            <w:pPr>
              <w:pStyle w:val="6"/>
              <w:spacing w:before="41" w:line="220" w:lineRule="auto"/>
              <w:ind w:left="581"/>
            </w:pPr>
            <w:r>
              <w:rPr>
                <w:rFonts w:ascii="Times New Roman" w:hAnsi="Times New Roman" w:eastAsia="Times New Roman" w:cs="Times New Roman"/>
                <w:spacing w:val="-1"/>
              </w:rPr>
              <w:t>4</w:t>
            </w:r>
            <w:r>
              <w:rPr>
                <w:spacing w:val="-1"/>
              </w:rPr>
              <w:t>）包装废物</w:t>
            </w:r>
          </w:p>
          <w:p w14:paraId="30A309F5">
            <w:pPr>
              <w:pStyle w:val="6"/>
              <w:spacing w:before="179" w:line="350" w:lineRule="auto"/>
              <w:ind w:left="105" w:right="104" w:firstLine="420"/>
            </w:pPr>
            <w:r>
              <w:rPr>
                <w:spacing w:val="2"/>
              </w:rPr>
              <w:t>施工期入场光伏板等零部件拆箱会产生包装箱、包装袋、废纸、废泡沫等，</w:t>
            </w:r>
            <w:r>
              <w:rPr>
                <w:spacing w:val="15"/>
              </w:rPr>
              <w:t xml:space="preserve"> </w:t>
            </w:r>
            <w:r>
              <w:rPr>
                <w:spacing w:val="1"/>
              </w:rPr>
              <w:t>包装废物材质一般包括木材、纸板、塑料等，均</w:t>
            </w:r>
            <w:r>
              <w:t xml:space="preserve">可回收利用。施工期产生的包装 </w:t>
            </w:r>
            <w:r>
              <w:rPr>
                <w:spacing w:val="-1"/>
              </w:rPr>
              <w:t>废物收集后进行分类，均交由废品回收机构进行循环利用。</w:t>
            </w:r>
          </w:p>
          <w:p w14:paraId="4F04C45D">
            <w:pPr>
              <w:pStyle w:val="6"/>
              <w:spacing w:before="37" w:line="219" w:lineRule="auto"/>
              <w:ind w:left="588"/>
            </w:pPr>
            <w:r>
              <w:rPr>
                <w:rFonts w:ascii="Times New Roman" w:hAnsi="Times New Roman" w:eastAsia="Times New Roman" w:cs="Times New Roman"/>
                <w:spacing w:val="-1"/>
              </w:rPr>
              <w:t>5</w:t>
            </w:r>
            <w:r>
              <w:rPr>
                <w:spacing w:val="-1"/>
              </w:rPr>
              <w:t>）生活垃圾、餐厨废物、隔油池废油及粪便</w:t>
            </w:r>
          </w:p>
          <w:p w14:paraId="160944EB">
            <w:pPr>
              <w:pStyle w:val="6"/>
              <w:spacing w:before="183" w:line="351" w:lineRule="auto"/>
              <w:ind w:left="108" w:right="66" w:firstLine="481"/>
            </w:pPr>
            <w:r>
              <w:rPr>
                <w:spacing w:val="-2"/>
              </w:rPr>
              <w:t>项目施工高峰期施工人员为</w:t>
            </w:r>
            <w:r>
              <w:rPr>
                <w:spacing w:val="-39"/>
              </w:rPr>
              <w:t xml:space="preserve"> </w:t>
            </w:r>
            <w:r>
              <w:rPr>
                <w:rFonts w:ascii="Times New Roman" w:hAnsi="Times New Roman" w:eastAsia="Times New Roman" w:cs="Times New Roman"/>
                <w:spacing w:val="-2"/>
              </w:rPr>
              <w:t xml:space="preserve">300 </w:t>
            </w:r>
            <w:r>
              <w:rPr>
                <w:spacing w:val="-2"/>
              </w:rPr>
              <w:t>人，项目</w:t>
            </w:r>
            <w:r>
              <w:rPr>
                <w:rFonts w:ascii="Times New Roman" w:hAnsi="Times New Roman" w:eastAsia="Times New Roman" w:cs="Times New Roman"/>
                <w:spacing w:val="-2"/>
              </w:rPr>
              <w:t>4#</w:t>
            </w:r>
            <w:r>
              <w:rPr>
                <w:spacing w:val="-2"/>
              </w:rPr>
              <w:t>施工营场地设置生活区，其中</w:t>
            </w:r>
            <w:r>
              <w:rPr>
                <w:spacing w:val="-48"/>
              </w:rPr>
              <w:t xml:space="preserve"> </w:t>
            </w:r>
            <w:r>
              <w:rPr>
                <w:rFonts w:ascii="Times New Roman" w:hAnsi="Times New Roman" w:eastAsia="Times New Roman" w:cs="Times New Roman"/>
                <w:spacing w:val="-2"/>
              </w:rPr>
              <w:t>50</w:t>
            </w:r>
            <w:r>
              <w:rPr>
                <w:rFonts w:ascii="Times New Roman" w:hAnsi="Times New Roman" w:eastAsia="Times New Roman" w:cs="Times New Roman"/>
              </w:rPr>
              <w:t xml:space="preserve"> </w:t>
            </w:r>
            <w:r>
              <w:rPr>
                <w:spacing w:val="-5"/>
              </w:rPr>
              <w:t>人在施工营场地食宿，食宿的施工人员生活垃圾产生量按</w:t>
            </w:r>
            <w:r>
              <w:rPr>
                <w:spacing w:val="-23"/>
              </w:rPr>
              <w:t xml:space="preserve"> </w:t>
            </w:r>
            <w:r>
              <w:rPr>
                <w:rFonts w:ascii="Times New Roman" w:hAnsi="Times New Roman" w:eastAsia="Times New Roman" w:cs="Times New Roman"/>
                <w:spacing w:val="-5"/>
              </w:rPr>
              <w:t>1.0kg/</w:t>
            </w:r>
            <w:r>
              <w:rPr>
                <w:spacing w:val="-5"/>
              </w:rPr>
              <w:t>人</w:t>
            </w:r>
            <w:r>
              <w:rPr>
                <w:spacing w:val="-28"/>
              </w:rPr>
              <w:t xml:space="preserve"> </w:t>
            </w:r>
            <w:r>
              <w:rPr>
                <w:spacing w:val="-5"/>
              </w:rPr>
              <w:t>·</w:t>
            </w:r>
            <w:r>
              <w:rPr>
                <w:rFonts w:ascii="Times New Roman" w:hAnsi="Times New Roman" w:eastAsia="Times New Roman" w:cs="Times New Roman"/>
                <w:spacing w:val="-5"/>
              </w:rPr>
              <w:t xml:space="preserve">d </w:t>
            </w:r>
            <w:r>
              <w:rPr>
                <w:spacing w:val="-5"/>
              </w:rPr>
              <w:t>进行估算，</w:t>
            </w:r>
            <w:r>
              <w:t xml:space="preserve"> </w:t>
            </w:r>
            <w:r>
              <w:rPr>
                <w:spacing w:val="-4"/>
              </w:rPr>
              <w:t>不食宿的按</w:t>
            </w:r>
            <w:r>
              <w:rPr>
                <w:spacing w:val="-49"/>
              </w:rPr>
              <w:t xml:space="preserve"> </w:t>
            </w:r>
            <w:r>
              <w:rPr>
                <w:rFonts w:ascii="Times New Roman" w:hAnsi="Times New Roman" w:eastAsia="Times New Roman" w:cs="Times New Roman"/>
                <w:spacing w:val="-4"/>
              </w:rPr>
              <w:t>0.5kg/</w:t>
            </w:r>
            <w:r>
              <w:rPr>
                <w:spacing w:val="-4"/>
              </w:rPr>
              <w:t>人</w:t>
            </w:r>
            <w:r>
              <w:rPr>
                <w:spacing w:val="-28"/>
              </w:rPr>
              <w:t xml:space="preserve"> </w:t>
            </w:r>
            <w:r>
              <w:rPr>
                <w:spacing w:val="-4"/>
              </w:rPr>
              <w:t>·</w:t>
            </w:r>
            <w:r>
              <w:rPr>
                <w:rFonts w:ascii="Times New Roman" w:hAnsi="Times New Roman" w:eastAsia="Times New Roman" w:cs="Times New Roman"/>
                <w:spacing w:val="-4"/>
              </w:rPr>
              <w:t xml:space="preserve">d </w:t>
            </w:r>
            <w:r>
              <w:rPr>
                <w:spacing w:val="-4"/>
              </w:rPr>
              <w:t>估算，则项目施工期生活垃圾产生量为</w:t>
            </w:r>
            <w:r>
              <w:rPr>
                <w:spacing w:val="-49"/>
              </w:rPr>
              <w:t xml:space="preserve"> </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175t/d</w:t>
            </w:r>
            <w:r>
              <w:rPr>
                <w:rFonts w:ascii="Times New Roman" w:hAnsi="Times New Roman" w:eastAsia="Times New Roman" w:cs="Times New Roman"/>
                <w:spacing w:val="-28"/>
              </w:rPr>
              <w:t xml:space="preserve"> </w:t>
            </w:r>
            <w:r>
              <w:rPr>
                <w:spacing w:val="-4"/>
              </w:rPr>
              <w:t>。该部分</w:t>
            </w:r>
            <w:r>
              <w:t xml:space="preserve"> </w:t>
            </w:r>
            <w:r>
              <w:rPr>
                <w:spacing w:val="-2"/>
              </w:rPr>
              <w:t>垃圾实行“</w:t>
            </w:r>
            <w:r>
              <w:rPr>
                <w:spacing w:val="-64"/>
              </w:rPr>
              <w:t xml:space="preserve"> </w:t>
            </w:r>
            <w:r>
              <w:rPr>
                <w:spacing w:val="-2"/>
              </w:rPr>
              <w:t>日产日清</w:t>
            </w:r>
            <w:r>
              <w:rPr>
                <w:spacing w:val="-85"/>
              </w:rPr>
              <w:t xml:space="preserve"> </w:t>
            </w:r>
            <w:r>
              <w:rPr>
                <w:spacing w:val="-2"/>
              </w:rPr>
              <w:t>”，能回收利用的回收利用，不能回收利用的委托当地环卫</w:t>
            </w:r>
            <w:r>
              <w:t xml:space="preserve"> </w:t>
            </w:r>
            <w:r>
              <w:rPr>
                <w:spacing w:val="-1"/>
              </w:rPr>
              <w:t>部门统一处置；其中餐厨废物分类收集后委托有资质的单位处置。</w:t>
            </w:r>
          </w:p>
          <w:p w14:paraId="2994AE71">
            <w:pPr>
              <w:pStyle w:val="6"/>
              <w:spacing w:before="51" w:line="343" w:lineRule="auto"/>
              <w:ind w:left="106" w:right="135" w:firstLine="483"/>
            </w:pPr>
            <w:r>
              <w:rPr>
                <w:spacing w:val="-1"/>
              </w:rPr>
              <w:t>项目施工期隔油池产生的废油脂委托有资质的单位处置，旱厕产生的粪便委</w:t>
            </w:r>
            <w:r>
              <w:rPr>
                <w:spacing w:val="18"/>
              </w:rPr>
              <w:t xml:space="preserve"> </w:t>
            </w:r>
            <w:r>
              <w:rPr>
                <w:spacing w:val="-1"/>
              </w:rPr>
              <w:t>托周边村民清掏作为农肥使用。</w:t>
            </w:r>
          </w:p>
        </w:tc>
      </w:tr>
    </w:tbl>
    <w:p w14:paraId="6E9B0B90">
      <w:pPr>
        <w:rPr>
          <w:rFonts w:ascii="Arial"/>
          <w:sz w:val="21"/>
        </w:rPr>
      </w:pPr>
    </w:p>
    <w:p w14:paraId="4A394AB3">
      <w:pPr>
        <w:rPr>
          <w:rFonts w:ascii="Arial" w:hAnsi="Arial" w:eastAsia="Arial" w:cs="Arial"/>
          <w:sz w:val="21"/>
          <w:szCs w:val="21"/>
        </w:rPr>
        <w:sectPr>
          <w:footerReference r:id="rId122" w:type="default"/>
          <w:pgSz w:w="11906" w:h="16839"/>
          <w:pgMar w:top="1431" w:right="1454" w:bottom="1278" w:left="1454" w:header="0" w:footer="1116" w:gutter="0"/>
          <w:cols w:space="720" w:num="1"/>
        </w:sectPr>
      </w:pPr>
    </w:p>
    <w:p w14:paraId="1C488831">
      <w:pPr>
        <w:spacing w:before="18"/>
      </w:pPr>
      <w:r>
        <w:drawing>
          <wp:anchor distT="0" distB="0" distL="0" distR="0" simplePos="0" relativeHeight="251721728" behindDoc="0" locked="0" layoutInCell="0" allowOverlap="1">
            <wp:simplePos x="0" y="0"/>
            <wp:positionH relativeFrom="page">
              <wp:posOffset>9758680</wp:posOffset>
            </wp:positionH>
            <wp:positionV relativeFrom="page">
              <wp:posOffset>1169035</wp:posOffset>
            </wp:positionV>
            <wp:extent cx="18415" cy="531939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2"/>
                    <a:stretch>
                      <a:fillRect/>
                    </a:stretch>
                  </pic:blipFill>
                  <pic:spPr>
                    <a:xfrm>
                      <a:off x="0" y="0"/>
                      <a:ext cx="18287" cy="5319522"/>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914400</wp:posOffset>
            </wp:positionH>
            <wp:positionV relativeFrom="page">
              <wp:posOffset>1150620</wp:posOffset>
            </wp:positionV>
            <wp:extent cx="18415" cy="533781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23"/>
                    <a:stretch>
                      <a:fillRect/>
                    </a:stretch>
                  </pic:blipFill>
                  <pic:spPr>
                    <a:xfrm>
                      <a:off x="0" y="0"/>
                      <a:ext cx="18288" cy="5337810"/>
                    </a:xfrm>
                    <a:prstGeom prst="rect">
                      <a:avLst/>
                    </a:prstGeom>
                  </pic:spPr>
                </pic:pic>
              </a:graphicData>
            </a:graphic>
          </wp:anchor>
        </w:drawing>
      </w:r>
    </w:p>
    <w:p w14:paraId="22ADA23D">
      <w:pPr>
        <w:spacing w:before="18"/>
      </w:pPr>
    </w:p>
    <w:tbl>
      <w:tblPr>
        <w:tblStyle w:val="5"/>
        <w:tblW w:w="1417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1812"/>
        <w:gridCol w:w="750"/>
        <w:gridCol w:w="875"/>
        <w:gridCol w:w="949"/>
        <w:gridCol w:w="887"/>
        <w:gridCol w:w="999"/>
        <w:gridCol w:w="938"/>
        <w:gridCol w:w="887"/>
        <w:gridCol w:w="1030"/>
        <w:gridCol w:w="697"/>
        <w:gridCol w:w="772"/>
        <w:gridCol w:w="625"/>
        <w:gridCol w:w="650"/>
        <w:gridCol w:w="638"/>
        <w:gridCol w:w="668"/>
      </w:tblGrid>
      <w:tr w14:paraId="6AA66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14178" w:type="dxa"/>
            <w:gridSpan w:val="16"/>
            <w:tcBorders>
              <w:top w:val="single" w:color="000000" w:sz="2" w:space="0"/>
              <w:left w:val="single" w:color="000000" w:sz="2" w:space="0"/>
              <w:bottom w:val="single" w:color="000000" w:sz="10" w:space="0"/>
              <w:right w:val="single" w:color="000000" w:sz="2" w:space="0"/>
            </w:tcBorders>
            <w:vAlign w:val="top"/>
          </w:tcPr>
          <w:p w14:paraId="56585FDB">
            <w:pPr>
              <w:pStyle w:val="6"/>
              <w:spacing w:before="37" w:line="225" w:lineRule="auto"/>
              <w:ind w:left="5409"/>
              <w:rPr>
                <w:rFonts w:ascii="Times New Roman" w:hAnsi="Times New Roman" w:eastAsia="Times New Roman" w:cs="Times New Roman"/>
                <w:sz w:val="13"/>
                <w:szCs w:val="13"/>
              </w:rPr>
            </w:pPr>
            <w:r>
              <w:rPr>
                <w:b/>
                <w:bCs/>
                <w:spacing w:val="5"/>
                <w:sz w:val="20"/>
                <w:szCs w:val="20"/>
              </w:rPr>
              <w:t>表</w:t>
            </w:r>
            <w:r>
              <w:rPr>
                <w:rFonts w:ascii="Times New Roman" w:hAnsi="Times New Roman" w:eastAsia="Times New Roman" w:cs="Times New Roman"/>
                <w:b/>
                <w:bCs/>
                <w:spacing w:val="5"/>
                <w:sz w:val="20"/>
                <w:szCs w:val="20"/>
              </w:rPr>
              <w:t xml:space="preserve">4-8        </w:t>
            </w:r>
            <w:r>
              <w:rPr>
                <w:b/>
                <w:bCs/>
                <w:spacing w:val="5"/>
                <w:sz w:val="20"/>
                <w:szCs w:val="20"/>
              </w:rPr>
              <w:t>土石方平衡表</w:t>
            </w:r>
            <w:r>
              <w:rPr>
                <w:spacing w:val="5"/>
                <w:sz w:val="20"/>
                <w:szCs w:val="20"/>
              </w:rPr>
              <w:t xml:space="preserve"> </w:t>
            </w:r>
            <w:r>
              <w:rPr>
                <w:b/>
                <w:bCs/>
                <w:spacing w:val="5"/>
                <w:sz w:val="20"/>
                <w:szCs w:val="20"/>
              </w:rPr>
              <w:t>单位：万</w:t>
            </w:r>
            <w:r>
              <w:rPr>
                <w:rFonts w:ascii="Times New Roman" w:hAnsi="Times New Roman" w:eastAsia="Times New Roman" w:cs="Times New Roman"/>
                <w:b/>
                <w:bCs/>
                <w:spacing w:val="5"/>
                <w:sz w:val="20"/>
                <w:szCs w:val="20"/>
              </w:rPr>
              <w:t>m</w:t>
            </w:r>
            <w:r>
              <w:rPr>
                <w:rFonts w:ascii="Times New Roman" w:hAnsi="Times New Roman" w:eastAsia="Times New Roman" w:cs="Times New Roman"/>
                <w:b/>
                <w:bCs/>
                <w:spacing w:val="5"/>
                <w:position w:val="6"/>
                <w:sz w:val="13"/>
                <w:szCs w:val="13"/>
              </w:rPr>
              <w:t>3</w:t>
            </w:r>
          </w:p>
        </w:tc>
      </w:tr>
      <w:tr w14:paraId="37800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01" w:type="dxa"/>
            <w:vMerge w:val="restart"/>
            <w:tcBorders>
              <w:top w:val="single" w:color="000000" w:sz="10" w:space="0"/>
              <w:left w:val="single" w:color="000000" w:sz="2" w:space="0"/>
              <w:bottom w:val="nil"/>
            </w:tcBorders>
            <w:vAlign w:val="top"/>
          </w:tcPr>
          <w:p w14:paraId="38F58CDA">
            <w:pPr>
              <w:pStyle w:val="6"/>
              <w:spacing w:before="164" w:line="242" w:lineRule="auto"/>
              <w:ind w:left="476" w:right="117" w:hanging="220"/>
              <w:rPr>
                <w:sz w:val="20"/>
                <w:szCs w:val="20"/>
              </w:rPr>
            </w:pPr>
            <w:r>
              <w:rPr>
                <w:b/>
                <w:bCs/>
                <w:spacing w:val="4"/>
                <w:sz w:val="20"/>
                <w:szCs w:val="20"/>
              </w:rPr>
              <w:t>项目分</w:t>
            </w:r>
            <w:r>
              <w:rPr>
                <w:sz w:val="20"/>
                <w:szCs w:val="20"/>
              </w:rPr>
              <w:t xml:space="preserve"> </w:t>
            </w:r>
            <w:r>
              <w:rPr>
                <w:b/>
                <w:bCs/>
                <w:spacing w:val="-3"/>
                <w:sz w:val="20"/>
                <w:szCs w:val="20"/>
              </w:rPr>
              <w:t>区</w:t>
            </w:r>
          </w:p>
        </w:tc>
        <w:tc>
          <w:tcPr>
            <w:tcW w:w="1812" w:type="dxa"/>
            <w:vMerge w:val="restart"/>
            <w:tcBorders>
              <w:top w:val="single" w:color="000000" w:sz="10" w:space="0"/>
              <w:bottom w:val="nil"/>
            </w:tcBorders>
            <w:vAlign w:val="top"/>
          </w:tcPr>
          <w:p w14:paraId="64A11A50">
            <w:pPr>
              <w:pStyle w:val="6"/>
              <w:spacing w:before="301" w:line="228" w:lineRule="auto"/>
              <w:ind w:left="698"/>
              <w:rPr>
                <w:sz w:val="20"/>
                <w:szCs w:val="20"/>
              </w:rPr>
            </w:pPr>
            <w:r>
              <w:rPr>
                <w:b/>
                <w:bCs/>
                <w:spacing w:val="2"/>
                <w:sz w:val="20"/>
                <w:szCs w:val="20"/>
              </w:rPr>
              <w:t>分类</w:t>
            </w:r>
          </w:p>
        </w:tc>
        <w:tc>
          <w:tcPr>
            <w:tcW w:w="2574" w:type="dxa"/>
            <w:gridSpan w:val="3"/>
            <w:tcBorders>
              <w:top w:val="single" w:color="000000" w:sz="10" w:space="0"/>
            </w:tcBorders>
            <w:vAlign w:val="top"/>
          </w:tcPr>
          <w:p w14:paraId="059F5FD9">
            <w:pPr>
              <w:pStyle w:val="6"/>
              <w:spacing w:before="21" w:line="220" w:lineRule="auto"/>
              <w:ind w:left="1077"/>
              <w:rPr>
                <w:sz w:val="20"/>
                <w:szCs w:val="20"/>
              </w:rPr>
            </w:pPr>
            <w:r>
              <w:rPr>
                <w:b/>
                <w:bCs/>
                <w:spacing w:val="4"/>
                <w:sz w:val="20"/>
                <w:szCs w:val="20"/>
              </w:rPr>
              <w:t>挖方</w:t>
            </w:r>
          </w:p>
        </w:tc>
        <w:tc>
          <w:tcPr>
            <w:tcW w:w="2824" w:type="dxa"/>
            <w:gridSpan w:val="3"/>
            <w:tcBorders>
              <w:top w:val="single" w:color="000000" w:sz="10" w:space="0"/>
            </w:tcBorders>
            <w:vAlign w:val="top"/>
          </w:tcPr>
          <w:p w14:paraId="76254438">
            <w:pPr>
              <w:pStyle w:val="6"/>
              <w:spacing w:before="21" w:line="220" w:lineRule="auto"/>
              <w:ind w:left="1205"/>
              <w:rPr>
                <w:sz w:val="20"/>
                <w:szCs w:val="20"/>
              </w:rPr>
            </w:pPr>
            <w:r>
              <w:rPr>
                <w:b/>
                <w:bCs/>
                <w:spacing w:val="3"/>
                <w:sz w:val="20"/>
                <w:szCs w:val="20"/>
              </w:rPr>
              <w:t>填方</w:t>
            </w:r>
          </w:p>
        </w:tc>
        <w:tc>
          <w:tcPr>
            <w:tcW w:w="1917" w:type="dxa"/>
            <w:gridSpan w:val="2"/>
            <w:tcBorders>
              <w:top w:val="single" w:color="000000" w:sz="10" w:space="0"/>
            </w:tcBorders>
            <w:vAlign w:val="top"/>
          </w:tcPr>
          <w:p w14:paraId="5D0C21AE">
            <w:pPr>
              <w:pStyle w:val="6"/>
              <w:spacing w:before="21" w:line="220" w:lineRule="auto"/>
              <w:ind w:left="752"/>
              <w:rPr>
                <w:sz w:val="20"/>
                <w:szCs w:val="20"/>
              </w:rPr>
            </w:pPr>
            <w:r>
              <w:rPr>
                <w:b/>
                <w:bCs/>
                <w:spacing w:val="3"/>
                <w:sz w:val="20"/>
                <w:szCs w:val="20"/>
              </w:rPr>
              <w:t>调入</w:t>
            </w:r>
          </w:p>
        </w:tc>
        <w:tc>
          <w:tcPr>
            <w:tcW w:w="1469" w:type="dxa"/>
            <w:gridSpan w:val="2"/>
            <w:tcBorders>
              <w:top w:val="single" w:color="000000" w:sz="10" w:space="0"/>
            </w:tcBorders>
            <w:vAlign w:val="top"/>
          </w:tcPr>
          <w:p w14:paraId="7EC99C90">
            <w:pPr>
              <w:pStyle w:val="6"/>
              <w:spacing w:before="21" w:line="220" w:lineRule="auto"/>
              <w:ind w:left="530"/>
              <w:rPr>
                <w:sz w:val="20"/>
                <w:szCs w:val="20"/>
              </w:rPr>
            </w:pPr>
            <w:r>
              <w:rPr>
                <w:b/>
                <w:bCs/>
                <w:spacing w:val="3"/>
                <w:sz w:val="20"/>
                <w:szCs w:val="20"/>
              </w:rPr>
              <w:t>调出</w:t>
            </w:r>
          </w:p>
        </w:tc>
        <w:tc>
          <w:tcPr>
            <w:tcW w:w="1275" w:type="dxa"/>
            <w:gridSpan w:val="2"/>
            <w:tcBorders>
              <w:top w:val="single" w:color="000000" w:sz="10" w:space="0"/>
            </w:tcBorders>
            <w:vAlign w:val="top"/>
          </w:tcPr>
          <w:p w14:paraId="0E30C5B5">
            <w:pPr>
              <w:pStyle w:val="6"/>
              <w:spacing w:before="21" w:line="220" w:lineRule="auto"/>
              <w:ind w:left="436"/>
              <w:rPr>
                <w:sz w:val="20"/>
                <w:szCs w:val="20"/>
              </w:rPr>
            </w:pPr>
            <w:r>
              <w:rPr>
                <w:b/>
                <w:bCs/>
                <w:spacing w:val="1"/>
                <w:sz w:val="20"/>
                <w:szCs w:val="20"/>
              </w:rPr>
              <w:t>外借</w:t>
            </w:r>
          </w:p>
        </w:tc>
        <w:tc>
          <w:tcPr>
            <w:tcW w:w="1306" w:type="dxa"/>
            <w:gridSpan w:val="2"/>
            <w:tcBorders>
              <w:top w:val="single" w:color="000000" w:sz="10" w:space="0"/>
              <w:right w:val="single" w:color="000000" w:sz="2" w:space="0"/>
            </w:tcBorders>
            <w:vAlign w:val="top"/>
          </w:tcPr>
          <w:p w14:paraId="1EDD6A35">
            <w:pPr>
              <w:pStyle w:val="6"/>
              <w:spacing w:before="21" w:line="220" w:lineRule="auto"/>
              <w:ind w:left="383"/>
              <w:rPr>
                <w:sz w:val="20"/>
                <w:szCs w:val="20"/>
              </w:rPr>
            </w:pPr>
            <w:r>
              <w:rPr>
                <w:b/>
                <w:bCs/>
                <w:spacing w:val="4"/>
                <w:sz w:val="20"/>
                <w:szCs w:val="20"/>
              </w:rPr>
              <w:t>废弃</w:t>
            </w:r>
          </w:p>
        </w:tc>
      </w:tr>
      <w:tr w14:paraId="31CE9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01" w:type="dxa"/>
            <w:vMerge w:val="continue"/>
            <w:tcBorders>
              <w:top w:val="nil"/>
              <w:left w:val="single" w:color="000000" w:sz="2" w:space="0"/>
            </w:tcBorders>
            <w:vAlign w:val="top"/>
          </w:tcPr>
          <w:p w14:paraId="4EF034FB">
            <w:pPr>
              <w:rPr>
                <w:rFonts w:ascii="Arial"/>
                <w:sz w:val="21"/>
              </w:rPr>
            </w:pPr>
          </w:p>
        </w:tc>
        <w:tc>
          <w:tcPr>
            <w:tcW w:w="1812" w:type="dxa"/>
            <w:vMerge w:val="continue"/>
            <w:tcBorders>
              <w:top w:val="nil"/>
            </w:tcBorders>
            <w:vAlign w:val="top"/>
          </w:tcPr>
          <w:p w14:paraId="690452C6">
            <w:pPr>
              <w:rPr>
                <w:rFonts w:ascii="Arial"/>
                <w:sz w:val="21"/>
              </w:rPr>
            </w:pPr>
          </w:p>
        </w:tc>
        <w:tc>
          <w:tcPr>
            <w:tcW w:w="750" w:type="dxa"/>
            <w:vAlign w:val="top"/>
          </w:tcPr>
          <w:p w14:paraId="49F6D9C1">
            <w:pPr>
              <w:pStyle w:val="6"/>
              <w:spacing w:before="163" w:line="229" w:lineRule="auto"/>
              <w:ind w:left="165"/>
              <w:rPr>
                <w:sz w:val="20"/>
                <w:szCs w:val="20"/>
              </w:rPr>
            </w:pPr>
            <w:r>
              <w:rPr>
                <w:b/>
                <w:bCs/>
                <w:spacing w:val="4"/>
                <w:sz w:val="20"/>
                <w:szCs w:val="20"/>
              </w:rPr>
              <w:t>表土</w:t>
            </w:r>
          </w:p>
        </w:tc>
        <w:tc>
          <w:tcPr>
            <w:tcW w:w="875" w:type="dxa"/>
            <w:vAlign w:val="top"/>
          </w:tcPr>
          <w:p w14:paraId="7BA2F189">
            <w:pPr>
              <w:pStyle w:val="6"/>
              <w:spacing w:before="29" w:line="235" w:lineRule="auto"/>
              <w:ind w:left="227" w:right="117" w:hanging="100"/>
              <w:rPr>
                <w:sz w:val="20"/>
                <w:szCs w:val="20"/>
              </w:rPr>
            </w:pPr>
            <w:r>
              <w:rPr>
                <w:b/>
                <w:bCs/>
                <w:spacing w:val="4"/>
                <w:sz w:val="20"/>
                <w:szCs w:val="20"/>
              </w:rPr>
              <w:t>一般土</w:t>
            </w:r>
            <w:r>
              <w:rPr>
                <w:sz w:val="20"/>
                <w:szCs w:val="20"/>
              </w:rPr>
              <w:t xml:space="preserve"> </w:t>
            </w:r>
            <w:r>
              <w:rPr>
                <w:b/>
                <w:bCs/>
                <w:spacing w:val="3"/>
                <w:sz w:val="20"/>
                <w:szCs w:val="20"/>
              </w:rPr>
              <w:t>石方</w:t>
            </w:r>
          </w:p>
        </w:tc>
        <w:tc>
          <w:tcPr>
            <w:tcW w:w="949" w:type="dxa"/>
            <w:vAlign w:val="top"/>
          </w:tcPr>
          <w:p w14:paraId="2F11575F">
            <w:pPr>
              <w:pStyle w:val="6"/>
              <w:spacing w:before="163" w:line="229" w:lineRule="auto"/>
              <w:ind w:left="272"/>
              <w:rPr>
                <w:sz w:val="20"/>
                <w:szCs w:val="20"/>
              </w:rPr>
            </w:pPr>
            <w:r>
              <w:rPr>
                <w:b/>
                <w:bCs/>
                <w:spacing w:val="1"/>
                <w:sz w:val="20"/>
                <w:szCs w:val="20"/>
              </w:rPr>
              <w:t>小计</w:t>
            </w:r>
          </w:p>
        </w:tc>
        <w:tc>
          <w:tcPr>
            <w:tcW w:w="887" w:type="dxa"/>
            <w:vAlign w:val="top"/>
          </w:tcPr>
          <w:p w14:paraId="520AC9A4">
            <w:pPr>
              <w:pStyle w:val="6"/>
              <w:spacing w:before="29" w:line="235" w:lineRule="auto"/>
              <w:ind w:left="342" w:right="122" w:hanging="210"/>
              <w:rPr>
                <w:sz w:val="20"/>
                <w:szCs w:val="20"/>
              </w:rPr>
            </w:pPr>
            <w:r>
              <w:rPr>
                <w:b/>
                <w:bCs/>
                <w:spacing w:val="5"/>
                <w:sz w:val="20"/>
                <w:szCs w:val="20"/>
              </w:rPr>
              <w:t>绿化覆</w:t>
            </w:r>
            <w:r>
              <w:rPr>
                <w:sz w:val="20"/>
                <w:szCs w:val="20"/>
              </w:rPr>
              <w:t xml:space="preserve"> </w:t>
            </w:r>
            <w:r>
              <w:rPr>
                <w:b/>
                <w:bCs/>
                <w:spacing w:val="-3"/>
                <w:sz w:val="20"/>
                <w:szCs w:val="20"/>
              </w:rPr>
              <w:t>土</w:t>
            </w:r>
          </w:p>
        </w:tc>
        <w:tc>
          <w:tcPr>
            <w:tcW w:w="999" w:type="dxa"/>
            <w:vAlign w:val="top"/>
          </w:tcPr>
          <w:p w14:paraId="45A782D9">
            <w:pPr>
              <w:pStyle w:val="6"/>
              <w:spacing w:before="29" w:line="235" w:lineRule="auto"/>
              <w:ind w:left="188" w:right="178" w:firstLine="108"/>
              <w:rPr>
                <w:sz w:val="20"/>
                <w:szCs w:val="20"/>
              </w:rPr>
            </w:pPr>
            <w:r>
              <w:rPr>
                <w:b/>
                <w:bCs/>
                <w:spacing w:val="2"/>
                <w:sz w:val="20"/>
                <w:szCs w:val="20"/>
              </w:rPr>
              <w:t>一般</w:t>
            </w:r>
            <w:r>
              <w:rPr>
                <w:sz w:val="20"/>
                <w:szCs w:val="20"/>
              </w:rPr>
              <w:t xml:space="preserve">  </w:t>
            </w:r>
            <w:r>
              <w:rPr>
                <w:b/>
                <w:bCs/>
                <w:spacing w:val="5"/>
                <w:sz w:val="20"/>
                <w:szCs w:val="20"/>
              </w:rPr>
              <w:t>土石方</w:t>
            </w:r>
          </w:p>
        </w:tc>
        <w:tc>
          <w:tcPr>
            <w:tcW w:w="938" w:type="dxa"/>
            <w:vAlign w:val="top"/>
          </w:tcPr>
          <w:p w14:paraId="75557F91">
            <w:pPr>
              <w:pStyle w:val="6"/>
              <w:spacing w:before="163" w:line="229" w:lineRule="auto"/>
              <w:ind w:left="266"/>
              <w:rPr>
                <w:sz w:val="20"/>
                <w:szCs w:val="20"/>
              </w:rPr>
            </w:pPr>
            <w:r>
              <w:rPr>
                <w:b/>
                <w:bCs/>
                <w:spacing w:val="1"/>
                <w:sz w:val="20"/>
                <w:szCs w:val="20"/>
              </w:rPr>
              <w:t>小计</w:t>
            </w:r>
          </w:p>
        </w:tc>
        <w:tc>
          <w:tcPr>
            <w:tcW w:w="887" w:type="dxa"/>
            <w:vAlign w:val="top"/>
          </w:tcPr>
          <w:p w14:paraId="05BDEF99">
            <w:pPr>
              <w:pStyle w:val="6"/>
              <w:spacing w:before="163" w:line="228" w:lineRule="auto"/>
              <w:ind w:left="236"/>
              <w:rPr>
                <w:sz w:val="20"/>
                <w:szCs w:val="20"/>
              </w:rPr>
            </w:pPr>
            <w:r>
              <w:rPr>
                <w:b/>
                <w:bCs/>
                <w:spacing w:val="3"/>
                <w:sz w:val="20"/>
                <w:szCs w:val="20"/>
              </w:rPr>
              <w:t>数量</w:t>
            </w:r>
          </w:p>
        </w:tc>
        <w:tc>
          <w:tcPr>
            <w:tcW w:w="1030" w:type="dxa"/>
            <w:vAlign w:val="top"/>
          </w:tcPr>
          <w:p w14:paraId="2ED82EBA">
            <w:pPr>
              <w:pStyle w:val="6"/>
              <w:spacing w:before="163" w:line="228" w:lineRule="auto"/>
              <w:ind w:left="309"/>
              <w:rPr>
                <w:sz w:val="20"/>
                <w:szCs w:val="20"/>
              </w:rPr>
            </w:pPr>
            <w:r>
              <w:rPr>
                <w:b/>
                <w:bCs/>
                <w:spacing w:val="3"/>
                <w:sz w:val="20"/>
                <w:szCs w:val="20"/>
              </w:rPr>
              <w:t>来源</w:t>
            </w:r>
          </w:p>
        </w:tc>
        <w:tc>
          <w:tcPr>
            <w:tcW w:w="697" w:type="dxa"/>
            <w:vAlign w:val="top"/>
          </w:tcPr>
          <w:p w14:paraId="65C3AB90">
            <w:pPr>
              <w:pStyle w:val="6"/>
              <w:spacing w:before="163" w:line="228" w:lineRule="auto"/>
              <w:ind w:left="143"/>
              <w:rPr>
                <w:sz w:val="20"/>
                <w:szCs w:val="20"/>
              </w:rPr>
            </w:pPr>
            <w:r>
              <w:rPr>
                <w:b/>
                <w:bCs/>
                <w:spacing w:val="3"/>
                <w:sz w:val="20"/>
                <w:szCs w:val="20"/>
              </w:rPr>
              <w:t>数量</w:t>
            </w:r>
          </w:p>
        </w:tc>
        <w:tc>
          <w:tcPr>
            <w:tcW w:w="772" w:type="dxa"/>
            <w:vAlign w:val="top"/>
          </w:tcPr>
          <w:p w14:paraId="3F345A6C">
            <w:pPr>
              <w:pStyle w:val="6"/>
              <w:spacing w:before="163" w:line="229" w:lineRule="auto"/>
              <w:ind w:left="182"/>
              <w:rPr>
                <w:sz w:val="20"/>
                <w:szCs w:val="20"/>
              </w:rPr>
            </w:pPr>
            <w:r>
              <w:rPr>
                <w:b/>
                <w:bCs/>
                <w:spacing w:val="2"/>
                <w:sz w:val="20"/>
                <w:szCs w:val="20"/>
              </w:rPr>
              <w:t>去向</w:t>
            </w:r>
          </w:p>
        </w:tc>
        <w:tc>
          <w:tcPr>
            <w:tcW w:w="625" w:type="dxa"/>
            <w:textDirection w:val="tbRlV"/>
            <w:vAlign w:val="top"/>
          </w:tcPr>
          <w:p w14:paraId="7C8791CC">
            <w:pPr>
              <w:pStyle w:val="6"/>
              <w:spacing w:before="202" w:line="216" w:lineRule="auto"/>
              <w:ind w:left="29"/>
              <w:rPr>
                <w:sz w:val="20"/>
                <w:szCs w:val="20"/>
              </w:rPr>
            </w:pPr>
            <w:r>
              <w:rPr>
                <w:b/>
                <w:bCs/>
                <w:spacing w:val="6"/>
                <w:sz w:val="20"/>
                <w:szCs w:val="20"/>
              </w:rPr>
              <w:t>数</w:t>
            </w:r>
            <w:r>
              <w:rPr>
                <w:spacing w:val="-38"/>
                <w:sz w:val="20"/>
                <w:szCs w:val="20"/>
              </w:rPr>
              <w:t xml:space="preserve"> </w:t>
            </w:r>
            <w:r>
              <w:rPr>
                <w:b/>
                <w:bCs/>
                <w:spacing w:val="6"/>
                <w:sz w:val="20"/>
                <w:szCs w:val="20"/>
              </w:rPr>
              <w:t>量</w:t>
            </w:r>
          </w:p>
        </w:tc>
        <w:tc>
          <w:tcPr>
            <w:tcW w:w="650" w:type="dxa"/>
            <w:vAlign w:val="top"/>
          </w:tcPr>
          <w:p w14:paraId="47E4F251">
            <w:pPr>
              <w:pStyle w:val="6"/>
              <w:spacing w:before="163" w:line="228" w:lineRule="auto"/>
              <w:ind w:left="120"/>
              <w:rPr>
                <w:sz w:val="20"/>
                <w:szCs w:val="20"/>
              </w:rPr>
            </w:pPr>
            <w:r>
              <w:rPr>
                <w:b/>
                <w:bCs/>
                <w:spacing w:val="3"/>
                <w:sz w:val="20"/>
                <w:szCs w:val="20"/>
              </w:rPr>
              <w:t>来源</w:t>
            </w:r>
          </w:p>
        </w:tc>
        <w:tc>
          <w:tcPr>
            <w:tcW w:w="638" w:type="dxa"/>
            <w:vAlign w:val="top"/>
          </w:tcPr>
          <w:p w14:paraId="52974D72">
            <w:pPr>
              <w:pStyle w:val="6"/>
              <w:spacing w:before="163" w:line="228" w:lineRule="auto"/>
              <w:ind w:left="115"/>
              <w:rPr>
                <w:sz w:val="20"/>
                <w:szCs w:val="20"/>
              </w:rPr>
            </w:pPr>
            <w:r>
              <w:rPr>
                <w:b/>
                <w:bCs/>
                <w:spacing w:val="2"/>
                <w:sz w:val="20"/>
                <w:szCs w:val="20"/>
              </w:rPr>
              <w:t>弃方</w:t>
            </w:r>
          </w:p>
        </w:tc>
        <w:tc>
          <w:tcPr>
            <w:tcW w:w="668" w:type="dxa"/>
            <w:tcBorders>
              <w:right w:val="single" w:color="000000" w:sz="2" w:space="0"/>
            </w:tcBorders>
            <w:textDirection w:val="tbRlV"/>
            <w:vAlign w:val="top"/>
          </w:tcPr>
          <w:p w14:paraId="71EF91F3">
            <w:pPr>
              <w:pStyle w:val="6"/>
              <w:spacing w:before="288" w:line="214" w:lineRule="auto"/>
              <w:ind w:left="29"/>
              <w:rPr>
                <w:sz w:val="20"/>
                <w:szCs w:val="20"/>
              </w:rPr>
            </w:pPr>
            <w:r>
              <w:rPr>
                <w:b/>
                <w:bCs/>
                <w:spacing w:val="6"/>
                <w:sz w:val="20"/>
                <w:szCs w:val="20"/>
              </w:rPr>
              <w:t>去</w:t>
            </w:r>
            <w:r>
              <w:rPr>
                <w:spacing w:val="-38"/>
                <w:sz w:val="20"/>
                <w:szCs w:val="20"/>
              </w:rPr>
              <w:t xml:space="preserve"> </w:t>
            </w:r>
            <w:r>
              <w:rPr>
                <w:b/>
                <w:bCs/>
                <w:spacing w:val="6"/>
                <w:sz w:val="20"/>
                <w:szCs w:val="20"/>
              </w:rPr>
              <w:t>向</w:t>
            </w:r>
          </w:p>
        </w:tc>
      </w:tr>
      <w:tr w14:paraId="6755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01" w:type="dxa"/>
            <w:vMerge w:val="restart"/>
            <w:tcBorders>
              <w:left w:val="single" w:color="000000" w:sz="2" w:space="0"/>
              <w:bottom w:val="nil"/>
            </w:tcBorders>
            <w:vAlign w:val="top"/>
          </w:tcPr>
          <w:p w14:paraId="39D6E72C">
            <w:pPr>
              <w:spacing w:line="272" w:lineRule="auto"/>
              <w:rPr>
                <w:rFonts w:ascii="Arial"/>
                <w:sz w:val="21"/>
              </w:rPr>
            </w:pPr>
          </w:p>
          <w:p w14:paraId="40BA04B9">
            <w:pPr>
              <w:spacing w:line="272" w:lineRule="auto"/>
              <w:rPr>
                <w:rFonts w:ascii="Arial"/>
                <w:sz w:val="21"/>
              </w:rPr>
            </w:pPr>
          </w:p>
          <w:p w14:paraId="04FCBFF8">
            <w:pPr>
              <w:spacing w:line="272" w:lineRule="auto"/>
              <w:rPr>
                <w:rFonts w:ascii="Arial"/>
                <w:sz w:val="21"/>
              </w:rPr>
            </w:pPr>
          </w:p>
          <w:p w14:paraId="6CF7BB7D">
            <w:pPr>
              <w:spacing w:line="272" w:lineRule="auto"/>
              <w:rPr>
                <w:rFonts w:ascii="Arial"/>
                <w:sz w:val="21"/>
              </w:rPr>
            </w:pPr>
          </w:p>
          <w:p w14:paraId="6456C559">
            <w:pPr>
              <w:spacing w:line="272" w:lineRule="auto"/>
              <w:rPr>
                <w:rFonts w:ascii="Arial"/>
                <w:sz w:val="21"/>
              </w:rPr>
            </w:pPr>
          </w:p>
          <w:p w14:paraId="59E7CEE6">
            <w:pPr>
              <w:spacing w:line="272" w:lineRule="auto"/>
              <w:rPr>
                <w:rFonts w:ascii="Arial"/>
                <w:sz w:val="21"/>
              </w:rPr>
            </w:pPr>
          </w:p>
          <w:p w14:paraId="303ECB52">
            <w:pPr>
              <w:pStyle w:val="6"/>
              <w:spacing w:before="65"/>
              <w:ind w:left="369" w:right="119" w:hanging="115"/>
              <w:rPr>
                <w:sz w:val="20"/>
                <w:szCs w:val="20"/>
              </w:rPr>
            </w:pPr>
            <w:r>
              <w:rPr>
                <w:spacing w:val="6"/>
                <w:sz w:val="20"/>
                <w:szCs w:val="20"/>
              </w:rPr>
              <w:t>光伏列</w:t>
            </w:r>
            <w:r>
              <w:rPr>
                <w:sz w:val="20"/>
                <w:szCs w:val="20"/>
              </w:rPr>
              <w:t xml:space="preserve"> </w:t>
            </w:r>
            <w:r>
              <w:rPr>
                <w:spacing w:val="-1"/>
                <w:sz w:val="20"/>
                <w:szCs w:val="20"/>
              </w:rPr>
              <w:t>阵区</w:t>
            </w:r>
          </w:p>
        </w:tc>
        <w:tc>
          <w:tcPr>
            <w:tcW w:w="1812" w:type="dxa"/>
            <w:vAlign w:val="top"/>
          </w:tcPr>
          <w:p w14:paraId="46425489">
            <w:pPr>
              <w:pStyle w:val="6"/>
              <w:spacing w:before="166" w:line="227" w:lineRule="auto"/>
              <w:ind w:left="174"/>
              <w:rPr>
                <w:sz w:val="20"/>
                <w:szCs w:val="20"/>
              </w:rPr>
            </w:pPr>
            <w:r>
              <w:rPr>
                <w:spacing w:val="8"/>
                <w:sz w:val="20"/>
                <w:szCs w:val="20"/>
              </w:rPr>
              <w:t>光伏板支架基础</w:t>
            </w:r>
          </w:p>
        </w:tc>
        <w:tc>
          <w:tcPr>
            <w:tcW w:w="750" w:type="dxa"/>
            <w:vAlign w:val="top"/>
          </w:tcPr>
          <w:p w14:paraId="23D747C1">
            <w:pPr>
              <w:spacing w:before="202"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0.915</w:t>
            </w:r>
          </w:p>
        </w:tc>
        <w:tc>
          <w:tcPr>
            <w:tcW w:w="875" w:type="dxa"/>
            <w:vAlign w:val="top"/>
          </w:tcPr>
          <w:p w14:paraId="35C6914A">
            <w:pPr>
              <w:spacing w:before="202"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3.05</w:t>
            </w:r>
          </w:p>
        </w:tc>
        <w:tc>
          <w:tcPr>
            <w:tcW w:w="949" w:type="dxa"/>
            <w:vAlign w:val="top"/>
          </w:tcPr>
          <w:p w14:paraId="2A4F1852">
            <w:pPr>
              <w:spacing w:before="202"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3.965</w:t>
            </w:r>
          </w:p>
        </w:tc>
        <w:tc>
          <w:tcPr>
            <w:tcW w:w="887" w:type="dxa"/>
            <w:vAlign w:val="top"/>
          </w:tcPr>
          <w:p w14:paraId="0DD98B0F">
            <w:pPr>
              <w:spacing w:before="202"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0.915</w:t>
            </w:r>
          </w:p>
        </w:tc>
        <w:tc>
          <w:tcPr>
            <w:tcW w:w="999" w:type="dxa"/>
            <w:vAlign w:val="top"/>
          </w:tcPr>
          <w:p w14:paraId="0A25EFC2">
            <w:pPr>
              <w:spacing w:before="202"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6"/>
                <w:sz w:val="20"/>
                <w:szCs w:val="20"/>
              </w:rPr>
              <w:t>144</w:t>
            </w:r>
          </w:p>
        </w:tc>
        <w:tc>
          <w:tcPr>
            <w:tcW w:w="938" w:type="dxa"/>
            <w:vAlign w:val="top"/>
          </w:tcPr>
          <w:p w14:paraId="556415B3">
            <w:pPr>
              <w:spacing w:before="202"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2.059</w:t>
            </w:r>
          </w:p>
        </w:tc>
        <w:tc>
          <w:tcPr>
            <w:tcW w:w="887" w:type="dxa"/>
            <w:vAlign w:val="top"/>
          </w:tcPr>
          <w:p w14:paraId="5976EB33">
            <w:pPr>
              <w:spacing w:before="202"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30" w:type="dxa"/>
            <w:vAlign w:val="top"/>
          </w:tcPr>
          <w:p w14:paraId="12456C53">
            <w:pPr>
              <w:spacing w:before="198" w:line="199"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7" w:type="dxa"/>
            <w:vAlign w:val="top"/>
          </w:tcPr>
          <w:p w14:paraId="41B64781">
            <w:pPr>
              <w:spacing w:before="20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1.906</w:t>
            </w:r>
          </w:p>
        </w:tc>
        <w:tc>
          <w:tcPr>
            <w:tcW w:w="772" w:type="dxa"/>
            <w:vAlign w:val="top"/>
          </w:tcPr>
          <w:p w14:paraId="049485B7">
            <w:pPr>
              <w:pStyle w:val="6"/>
              <w:spacing w:before="29" w:line="235" w:lineRule="auto"/>
              <w:ind w:left="184" w:right="170" w:hanging="3"/>
              <w:rPr>
                <w:sz w:val="20"/>
                <w:szCs w:val="20"/>
              </w:rPr>
            </w:pPr>
            <w:r>
              <w:rPr>
                <w:spacing w:val="5"/>
                <w:sz w:val="20"/>
                <w:szCs w:val="20"/>
              </w:rPr>
              <w:t>道路</w:t>
            </w:r>
            <w:r>
              <w:rPr>
                <w:sz w:val="20"/>
                <w:szCs w:val="20"/>
              </w:rPr>
              <w:t xml:space="preserve"> </w:t>
            </w:r>
            <w:r>
              <w:rPr>
                <w:spacing w:val="3"/>
                <w:sz w:val="20"/>
                <w:szCs w:val="20"/>
              </w:rPr>
              <w:t>工程</w:t>
            </w:r>
          </w:p>
        </w:tc>
        <w:tc>
          <w:tcPr>
            <w:tcW w:w="625" w:type="dxa"/>
            <w:vAlign w:val="top"/>
          </w:tcPr>
          <w:p w14:paraId="3F7D1C64">
            <w:pPr>
              <w:spacing w:before="202"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vAlign w:val="top"/>
          </w:tcPr>
          <w:p w14:paraId="1B904B32">
            <w:pPr>
              <w:spacing w:before="198"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vAlign w:val="top"/>
          </w:tcPr>
          <w:p w14:paraId="5D837B90">
            <w:pPr>
              <w:spacing w:before="202"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right w:val="single" w:color="000000" w:sz="2" w:space="0"/>
            </w:tcBorders>
            <w:vAlign w:val="top"/>
          </w:tcPr>
          <w:p w14:paraId="7C28C84D">
            <w:pPr>
              <w:spacing w:before="167" w:line="237" w:lineRule="auto"/>
              <w:ind w:left="230"/>
              <w:rPr>
                <w:rFonts w:ascii="FangSong_GB2312" w:hAnsi="FangSong_GB2312" w:eastAsia="FangSong_GB2312" w:cs="FangSong_GB2312"/>
                <w:sz w:val="20"/>
                <w:szCs w:val="20"/>
              </w:rPr>
            </w:pPr>
            <w:r>
              <w:rPr>
                <w:rFonts w:ascii="FangSong_GB2312" w:hAnsi="FangSong_GB2312" w:eastAsia="FangSong_GB2312" w:cs="FangSong_GB2312"/>
                <w:sz w:val="20"/>
                <w:szCs w:val="20"/>
              </w:rPr>
              <w:t>/</w:t>
            </w:r>
          </w:p>
        </w:tc>
      </w:tr>
      <w:tr w14:paraId="02B6B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01" w:type="dxa"/>
            <w:vMerge w:val="continue"/>
            <w:tcBorders>
              <w:top w:val="nil"/>
              <w:left w:val="single" w:color="000000" w:sz="2" w:space="0"/>
              <w:bottom w:val="nil"/>
            </w:tcBorders>
            <w:vAlign w:val="top"/>
          </w:tcPr>
          <w:p w14:paraId="7E137AF8">
            <w:pPr>
              <w:rPr>
                <w:rFonts w:ascii="Arial"/>
                <w:sz w:val="21"/>
              </w:rPr>
            </w:pPr>
          </w:p>
        </w:tc>
        <w:tc>
          <w:tcPr>
            <w:tcW w:w="1812" w:type="dxa"/>
            <w:vAlign w:val="top"/>
          </w:tcPr>
          <w:p w14:paraId="083F1891">
            <w:pPr>
              <w:pStyle w:val="6"/>
              <w:spacing w:before="31" w:line="217" w:lineRule="auto"/>
              <w:ind w:left="486"/>
              <w:rPr>
                <w:sz w:val="20"/>
                <w:szCs w:val="20"/>
              </w:rPr>
            </w:pPr>
            <w:r>
              <w:rPr>
                <w:spacing w:val="7"/>
                <w:sz w:val="20"/>
                <w:szCs w:val="20"/>
              </w:rPr>
              <w:t>接地工程</w:t>
            </w:r>
          </w:p>
        </w:tc>
        <w:tc>
          <w:tcPr>
            <w:tcW w:w="750" w:type="dxa"/>
            <w:vAlign w:val="top"/>
          </w:tcPr>
          <w:p w14:paraId="5BED20E0">
            <w:pPr>
              <w:spacing w:before="6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c>
          <w:tcPr>
            <w:tcW w:w="875" w:type="dxa"/>
            <w:vAlign w:val="top"/>
          </w:tcPr>
          <w:p w14:paraId="29970412">
            <w:pPr>
              <w:spacing w:before="68"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0.032</w:t>
            </w:r>
          </w:p>
        </w:tc>
        <w:tc>
          <w:tcPr>
            <w:tcW w:w="949" w:type="dxa"/>
            <w:vAlign w:val="top"/>
          </w:tcPr>
          <w:p w14:paraId="258CA949">
            <w:pPr>
              <w:spacing w:before="68"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w:t>
            </w:r>
          </w:p>
        </w:tc>
        <w:tc>
          <w:tcPr>
            <w:tcW w:w="887" w:type="dxa"/>
            <w:vAlign w:val="top"/>
          </w:tcPr>
          <w:p w14:paraId="1B4635DB">
            <w:pPr>
              <w:spacing w:before="6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c>
          <w:tcPr>
            <w:tcW w:w="999" w:type="dxa"/>
            <w:vAlign w:val="top"/>
          </w:tcPr>
          <w:p w14:paraId="0DD52B00">
            <w:pPr>
              <w:spacing w:before="6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0.032</w:t>
            </w:r>
          </w:p>
        </w:tc>
        <w:tc>
          <w:tcPr>
            <w:tcW w:w="938" w:type="dxa"/>
            <w:vAlign w:val="top"/>
          </w:tcPr>
          <w:p w14:paraId="492F9A2E">
            <w:pPr>
              <w:spacing w:before="68"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0.041</w:t>
            </w:r>
          </w:p>
        </w:tc>
        <w:tc>
          <w:tcPr>
            <w:tcW w:w="887" w:type="dxa"/>
            <w:vAlign w:val="top"/>
          </w:tcPr>
          <w:p w14:paraId="20F71453">
            <w:pPr>
              <w:spacing w:before="68"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30" w:type="dxa"/>
            <w:vAlign w:val="top"/>
          </w:tcPr>
          <w:p w14:paraId="454BFDD0">
            <w:pPr>
              <w:spacing w:before="64" w:line="199"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7" w:type="dxa"/>
            <w:vAlign w:val="top"/>
          </w:tcPr>
          <w:p w14:paraId="364EBC56">
            <w:pPr>
              <w:spacing w:before="6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2" w:type="dxa"/>
            <w:vAlign w:val="top"/>
          </w:tcPr>
          <w:p w14:paraId="3A68EB85">
            <w:pPr>
              <w:spacing w:before="64" w:line="199"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25" w:type="dxa"/>
            <w:vAlign w:val="top"/>
          </w:tcPr>
          <w:p w14:paraId="77565CE8">
            <w:pPr>
              <w:spacing w:before="6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vAlign w:val="top"/>
          </w:tcPr>
          <w:p w14:paraId="23691168">
            <w:pPr>
              <w:spacing w:before="64"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vAlign w:val="top"/>
          </w:tcPr>
          <w:p w14:paraId="461FA1B3">
            <w:pPr>
              <w:spacing w:before="6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right w:val="single" w:color="000000" w:sz="2" w:space="0"/>
            </w:tcBorders>
            <w:vAlign w:val="top"/>
          </w:tcPr>
          <w:p w14:paraId="38C1AA71">
            <w:pPr>
              <w:spacing w:before="64" w:line="199"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514E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001" w:type="dxa"/>
            <w:vMerge w:val="continue"/>
            <w:tcBorders>
              <w:top w:val="nil"/>
              <w:left w:val="single" w:color="000000" w:sz="2" w:space="0"/>
              <w:bottom w:val="nil"/>
            </w:tcBorders>
            <w:vAlign w:val="top"/>
          </w:tcPr>
          <w:p w14:paraId="670841B0">
            <w:pPr>
              <w:rPr>
                <w:rFonts w:ascii="Arial"/>
                <w:sz w:val="21"/>
              </w:rPr>
            </w:pPr>
          </w:p>
        </w:tc>
        <w:tc>
          <w:tcPr>
            <w:tcW w:w="1812" w:type="dxa"/>
            <w:vAlign w:val="top"/>
          </w:tcPr>
          <w:p w14:paraId="55ACD6B0">
            <w:pPr>
              <w:pStyle w:val="6"/>
              <w:spacing w:before="30" w:line="219" w:lineRule="auto"/>
              <w:ind w:left="174"/>
              <w:rPr>
                <w:sz w:val="20"/>
                <w:szCs w:val="20"/>
              </w:rPr>
            </w:pPr>
            <w:r>
              <w:rPr>
                <w:spacing w:val="8"/>
                <w:sz w:val="20"/>
                <w:szCs w:val="20"/>
              </w:rPr>
              <w:t>箱式变压器基础</w:t>
            </w:r>
          </w:p>
        </w:tc>
        <w:tc>
          <w:tcPr>
            <w:tcW w:w="750" w:type="dxa"/>
            <w:vAlign w:val="top"/>
          </w:tcPr>
          <w:p w14:paraId="1C859AAA">
            <w:pPr>
              <w:spacing w:before="66"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875" w:type="dxa"/>
            <w:vAlign w:val="top"/>
          </w:tcPr>
          <w:p w14:paraId="3EE9893D">
            <w:pPr>
              <w:spacing w:before="6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0.0185</w:t>
            </w:r>
          </w:p>
        </w:tc>
        <w:tc>
          <w:tcPr>
            <w:tcW w:w="949" w:type="dxa"/>
            <w:vAlign w:val="top"/>
          </w:tcPr>
          <w:p w14:paraId="24C2B481">
            <w:pPr>
              <w:spacing w:before="66"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0.0225</w:t>
            </w:r>
          </w:p>
        </w:tc>
        <w:tc>
          <w:tcPr>
            <w:tcW w:w="887" w:type="dxa"/>
            <w:vAlign w:val="top"/>
          </w:tcPr>
          <w:p w14:paraId="088D9F64">
            <w:pPr>
              <w:spacing w:before="66"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999" w:type="dxa"/>
            <w:vAlign w:val="top"/>
          </w:tcPr>
          <w:p w14:paraId="1D6AB37D">
            <w:pPr>
              <w:spacing w:before="66"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0.0185</w:t>
            </w:r>
          </w:p>
        </w:tc>
        <w:tc>
          <w:tcPr>
            <w:tcW w:w="938" w:type="dxa"/>
            <w:vAlign w:val="top"/>
          </w:tcPr>
          <w:p w14:paraId="6F5D3179">
            <w:pPr>
              <w:spacing w:before="6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0.0225</w:t>
            </w:r>
          </w:p>
        </w:tc>
        <w:tc>
          <w:tcPr>
            <w:tcW w:w="887" w:type="dxa"/>
            <w:vAlign w:val="top"/>
          </w:tcPr>
          <w:p w14:paraId="501675F6">
            <w:pPr>
              <w:spacing w:before="66"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30" w:type="dxa"/>
            <w:vAlign w:val="top"/>
          </w:tcPr>
          <w:p w14:paraId="28668951">
            <w:pPr>
              <w:spacing w:before="62" w:line="199"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7" w:type="dxa"/>
            <w:vAlign w:val="top"/>
          </w:tcPr>
          <w:p w14:paraId="570A35C8">
            <w:pPr>
              <w:spacing w:before="66"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2" w:type="dxa"/>
            <w:vAlign w:val="top"/>
          </w:tcPr>
          <w:p w14:paraId="1CD2AE44">
            <w:pPr>
              <w:spacing w:before="62" w:line="199"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25" w:type="dxa"/>
            <w:vAlign w:val="top"/>
          </w:tcPr>
          <w:p w14:paraId="4C6D5B9B">
            <w:pPr>
              <w:spacing w:before="66"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vAlign w:val="top"/>
          </w:tcPr>
          <w:p w14:paraId="3E523240">
            <w:pPr>
              <w:spacing w:before="62"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vAlign w:val="top"/>
          </w:tcPr>
          <w:p w14:paraId="7F1C6CC0">
            <w:pPr>
              <w:spacing w:before="6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right w:val="single" w:color="000000" w:sz="2" w:space="0"/>
            </w:tcBorders>
            <w:vAlign w:val="top"/>
          </w:tcPr>
          <w:p w14:paraId="2BD09280">
            <w:pPr>
              <w:spacing w:before="31" w:line="218" w:lineRule="auto"/>
              <w:ind w:left="230"/>
              <w:rPr>
                <w:rFonts w:ascii="FangSong_GB2312" w:hAnsi="FangSong_GB2312" w:eastAsia="FangSong_GB2312" w:cs="FangSong_GB2312"/>
                <w:sz w:val="20"/>
                <w:szCs w:val="20"/>
              </w:rPr>
            </w:pPr>
            <w:r>
              <w:rPr>
                <w:rFonts w:ascii="FangSong_GB2312" w:hAnsi="FangSong_GB2312" w:eastAsia="FangSong_GB2312" w:cs="FangSong_GB2312"/>
                <w:sz w:val="20"/>
                <w:szCs w:val="20"/>
              </w:rPr>
              <w:t>/</w:t>
            </w:r>
          </w:p>
        </w:tc>
      </w:tr>
      <w:tr w14:paraId="1B828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01" w:type="dxa"/>
            <w:vMerge w:val="continue"/>
            <w:tcBorders>
              <w:top w:val="nil"/>
              <w:left w:val="single" w:color="000000" w:sz="2" w:space="0"/>
              <w:bottom w:val="nil"/>
            </w:tcBorders>
            <w:vAlign w:val="top"/>
          </w:tcPr>
          <w:p w14:paraId="0B8DF9EB">
            <w:pPr>
              <w:rPr>
                <w:rFonts w:ascii="Arial"/>
                <w:sz w:val="21"/>
              </w:rPr>
            </w:pPr>
          </w:p>
        </w:tc>
        <w:tc>
          <w:tcPr>
            <w:tcW w:w="1812" w:type="dxa"/>
            <w:vAlign w:val="top"/>
          </w:tcPr>
          <w:p w14:paraId="54EFBB75">
            <w:pPr>
              <w:pStyle w:val="6"/>
              <w:spacing w:before="30" w:line="218" w:lineRule="auto"/>
              <w:ind w:left="512"/>
              <w:rPr>
                <w:sz w:val="20"/>
                <w:szCs w:val="20"/>
              </w:rPr>
            </w:pPr>
            <w:r>
              <w:rPr>
                <w:spacing w:val="1"/>
                <w:sz w:val="20"/>
                <w:szCs w:val="20"/>
              </w:rPr>
              <w:t>电缆直埋</w:t>
            </w:r>
          </w:p>
        </w:tc>
        <w:tc>
          <w:tcPr>
            <w:tcW w:w="750" w:type="dxa"/>
            <w:vAlign w:val="top"/>
          </w:tcPr>
          <w:p w14:paraId="64DCB9A1">
            <w:pPr>
              <w:spacing w:before="66"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w:t>
            </w:r>
          </w:p>
        </w:tc>
        <w:tc>
          <w:tcPr>
            <w:tcW w:w="875" w:type="dxa"/>
            <w:vAlign w:val="top"/>
          </w:tcPr>
          <w:p w14:paraId="53520D88">
            <w:pPr>
              <w:spacing w:before="66" w:line="195"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49" w:type="dxa"/>
            <w:vAlign w:val="top"/>
          </w:tcPr>
          <w:p w14:paraId="36D01376">
            <w:pPr>
              <w:spacing w:before="66"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w:t>
            </w:r>
          </w:p>
        </w:tc>
        <w:tc>
          <w:tcPr>
            <w:tcW w:w="887" w:type="dxa"/>
            <w:vAlign w:val="top"/>
          </w:tcPr>
          <w:p w14:paraId="2399B1A8">
            <w:pPr>
              <w:spacing w:before="66"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w:t>
            </w:r>
          </w:p>
        </w:tc>
        <w:tc>
          <w:tcPr>
            <w:tcW w:w="999" w:type="dxa"/>
            <w:vAlign w:val="top"/>
          </w:tcPr>
          <w:p w14:paraId="6D88A615">
            <w:pPr>
              <w:spacing w:before="66"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8" w:type="dxa"/>
            <w:vAlign w:val="top"/>
          </w:tcPr>
          <w:p w14:paraId="3712EE61">
            <w:pPr>
              <w:spacing w:before="66"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0.012</w:t>
            </w:r>
          </w:p>
        </w:tc>
        <w:tc>
          <w:tcPr>
            <w:tcW w:w="887" w:type="dxa"/>
            <w:vAlign w:val="top"/>
          </w:tcPr>
          <w:p w14:paraId="235A5D8D">
            <w:pPr>
              <w:spacing w:before="66"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30" w:type="dxa"/>
            <w:vAlign w:val="top"/>
          </w:tcPr>
          <w:p w14:paraId="4E6A1926">
            <w:pPr>
              <w:spacing w:before="62" w:line="199"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7" w:type="dxa"/>
            <w:vAlign w:val="top"/>
          </w:tcPr>
          <w:p w14:paraId="41BD0F83">
            <w:pPr>
              <w:spacing w:before="66"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2" w:type="dxa"/>
            <w:vAlign w:val="top"/>
          </w:tcPr>
          <w:p w14:paraId="1B788B22">
            <w:pPr>
              <w:spacing w:before="62" w:line="199"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25" w:type="dxa"/>
            <w:vAlign w:val="top"/>
          </w:tcPr>
          <w:p w14:paraId="237450C5">
            <w:pPr>
              <w:spacing w:before="66"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vAlign w:val="top"/>
          </w:tcPr>
          <w:p w14:paraId="1C63612D">
            <w:pPr>
              <w:spacing w:before="62"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vAlign w:val="top"/>
          </w:tcPr>
          <w:p w14:paraId="476870D7">
            <w:pPr>
              <w:spacing w:before="6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right w:val="single" w:color="000000" w:sz="2" w:space="0"/>
            </w:tcBorders>
            <w:vAlign w:val="top"/>
          </w:tcPr>
          <w:p w14:paraId="7773CEB9">
            <w:pPr>
              <w:spacing w:before="31" w:line="217" w:lineRule="auto"/>
              <w:ind w:left="230"/>
              <w:rPr>
                <w:rFonts w:ascii="FangSong_GB2312" w:hAnsi="FangSong_GB2312" w:eastAsia="FangSong_GB2312" w:cs="FangSong_GB2312"/>
                <w:sz w:val="20"/>
                <w:szCs w:val="20"/>
              </w:rPr>
            </w:pPr>
            <w:r>
              <w:rPr>
                <w:rFonts w:ascii="FangSong_GB2312" w:hAnsi="FangSong_GB2312" w:eastAsia="FangSong_GB2312" w:cs="FangSong_GB2312"/>
                <w:sz w:val="20"/>
                <w:szCs w:val="20"/>
              </w:rPr>
              <w:t>/</w:t>
            </w:r>
          </w:p>
        </w:tc>
      </w:tr>
      <w:tr w14:paraId="39658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01" w:type="dxa"/>
            <w:vMerge w:val="continue"/>
            <w:tcBorders>
              <w:top w:val="nil"/>
              <w:left w:val="single" w:color="000000" w:sz="2" w:space="0"/>
              <w:bottom w:val="nil"/>
            </w:tcBorders>
            <w:vAlign w:val="top"/>
          </w:tcPr>
          <w:p w14:paraId="2B401C3C">
            <w:pPr>
              <w:rPr>
                <w:rFonts w:ascii="Arial"/>
                <w:sz w:val="21"/>
              </w:rPr>
            </w:pPr>
          </w:p>
        </w:tc>
        <w:tc>
          <w:tcPr>
            <w:tcW w:w="1812" w:type="dxa"/>
            <w:vAlign w:val="top"/>
          </w:tcPr>
          <w:p w14:paraId="0174DBCF">
            <w:pPr>
              <w:pStyle w:val="6"/>
              <w:spacing w:before="31" w:line="217" w:lineRule="auto"/>
              <w:ind w:left="172"/>
              <w:rPr>
                <w:sz w:val="20"/>
                <w:szCs w:val="20"/>
              </w:rPr>
            </w:pPr>
            <w:r>
              <w:rPr>
                <w:spacing w:val="8"/>
                <w:sz w:val="20"/>
                <w:szCs w:val="20"/>
              </w:rPr>
              <w:t>施工生产生活区</w:t>
            </w:r>
          </w:p>
        </w:tc>
        <w:tc>
          <w:tcPr>
            <w:tcW w:w="750" w:type="dxa"/>
            <w:vAlign w:val="top"/>
          </w:tcPr>
          <w:p w14:paraId="6B60D688">
            <w:pPr>
              <w:spacing w:before="67"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0.027</w:t>
            </w:r>
          </w:p>
        </w:tc>
        <w:tc>
          <w:tcPr>
            <w:tcW w:w="875" w:type="dxa"/>
            <w:vAlign w:val="top"/>
          </w:tcPr>
          <w:p w14:paraId="7EF75351">
            <w:pPr>
              <w:spacing w:before="67"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w:t>
            </w:r>
          </w:p>
        </w:tc>
        <w:tc>
          <w:tcPr>
            <w:tcW w:w="949" w:type="dxa"/>
            <w:vAlign w:val="top"/>
          </w:tcPr>
          <w:p w14:paraId="36568C6A">
            <w:pPr>
              <w:spacing w:before="67"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0.094</w:t>
            </w:r>
          </w:p>
        </w:tc>
        <w:tc>
          <w:tcPr>
            <w:tcW w:w="887" w:type="dxa"/>
            <w:vAlign w:val="top"/>
          </w:tcPr>
          <w:p w14:paraId="1965CCD1">
            <w:pPr>
              <w:spacing w:before="67"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0.027</w:t>
            </w:r>
          </w:p>
        </w:tc>
        <w:tc>
          <w:tcPr>
            <w:tcW w:w="999" w:type="dxa"/>
            <w:vAlign w:val="top"/>
          </w:tcPr>
          <w:p w14:paraId="4B97DA1F">
            <w:pPr>
              <w:spacing w:before="6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w:t>
            </w:r>
          </w:p>
        </w:tc>
        <w:tc>
          <w:tcPr>
            <w:tcW w:w="938" w:type="dxa"/>
            <w:vAlign w:val="top"/>
          </w:tcPr>
          <w:p w14:paraId="02EA2EBD">
            <w:pPr>
              <w:spacing w:before="67"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0.094</w:t>
            </w:r>
          </w:p>
        </w:tc>
        <w:tc>
          <w:tcPr>
            <w:tcW w:w="887" w:type="dxa"/>
            <w:vAlign w:val="top"/>
          </w:tcPr>
          <w:p w14:paraId="0765A594">
            <w:pPr>
              <w:spacing w:before="67"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30" w:type="dxa"/>
            <w:vAlign w:val="top"/>
          </w:tcPr>
          <w:p w14:paraId="242CF51E">
            <w:pPr>
              <w:spacing w:before="63" w:line="199"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7" w:type="dxa"/>
            <w:vAlign w:val="top"/>
          </w:tcPr>
          <w:p w14:paraId="50D81573">
            <w:pPr>
              <w:spacing w:before="67"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2" w:type="dxa"/>
            <w:vAlign w:val="top"/>
          </w:tcPr>
          <w:p w14:paraId="19903E83">
            <w:pPr>
              <w:spacing w:before="63" w:line="199"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25" w:type="dxa"/>
            <w:vAlign w:val="top"/>
          </w:tcPr>
          <w:p w14:paraId="3948909C">
            <w:pPr>
              <w:spacing w:before="6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vAlign w:val="top"/>
          </w:tcPr>
          <w:p w14:paraId="237524EA">
            <w:pPr>
              <w:spacing w:before="63"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vAlign w:val="top"/>
          </w:tcPr>
          <w:p w14:paraId="1A871184">
            <w:pPr>
              <w:spacing w:before="6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right w:val="single" w:color="000000" w:sz="2" w:space="0"/>
            </w:tcBorders>
            <w:vAlign w:val="top"/>
          </w:tcPr>
          <w:p w14:paraId="5D085A25">
            <w:pPr>
              <w:spacing w:before="63" w:line="199"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D312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1001" w:type="dxa"/>
            <w:vMerge w:val="continue"/>
            <w:tcBorders>
              <w:top w:val="nil"/>
              <w:left w:val="single" w:color="000000" w:sz="2" w:space="0"/>
              <w:bottom w:val="nil"/>
            </w:tcBorders>
            <w:vAlign w:val="top"/>
          </w:tcPr>
          <w:p w14:paraId="018AE4A2">
            <w:pPr>
              <w:rPr>
                <w:rFonts w:ascii="Arial"/>
                <w:sz w:val="21"/>
              </w:rPr>
            </w:pPr>
          </w:p>
        </w:tc>
        <w:tc>
          <w:tcPr>
            <w:tcW w:w="1812" w:type="dxa"/>
            <w:vAlign w:val="top"/>
          </w:tcPr>
          <w:p w14:paraId="66156AEA">
            <w:pPr>
              <w:spacing w:line="253" w:lineRule="auto"/>
              <w:rPr>
                <w:rFonts w:ascii="Arial"/>
                <w:sz w:val="21"/>
              </w:rPr>
            </w:pPr>
          </w:p>
          <w:p w14:paraId="482DF49A">
            <w:pPr>
              <w:spacing w:line="253" w:lineRule="auto"/>
              <w:rPr>
                <w:rFonts w:ascii="Arial"/>
                <w:sz w:val="21"/>
              </w:rPr>
            </w:pPr>
          </w:p>
          <w:p w14:paraId="6D3C9EDC">
            <w:pPr>
              <w:pStyle w:val="6"/>
              <w:spacing w:before="65" w:line="228" w:lineRule="auto"/>
              <w:ind w:left="275"/>
              <w:rPr>
                <w:sz w:val="20"/>
                <w:szCs w:val="20"/>
              </w:rPr>
            </w:pPr>
            <w:r>
              <w:rPr>
                <w:spacing w:val="8"/>
                <w:sz w:val="20"/>
                <w:szCs w:val="20"/>
              </w:rPr>
              <w:t>场内道路工程</w:t>
            </w:r>
          </w:p>
        </w:tc>
        <w:tc>
          <w:tcPr>
            <w:tcW w:w="750" w:type="dxa"/>
            <w:vAlign w:val="top"/>
          </w:tcPr>
          <w:p w14:paraId="51109BBE">
            <w:pPr>
              <w:spacing w:line="275" w:lineRule="auto"/>
              <w:rPr>
                <w:rFonts w:ascii="Arial"/>
                <w:sz w:val="21"/>
              </w:rPr>
            </w:pPr>
          </w:p>
          <w:p w14:paraId="3028A221">
            <w:pPr>
              <w:spacing w:line="275" w:lineRule="auto"/>
              <w:rPr>
                <w:rFonts w:ascii="Arial"/>
                <w:sz w:val="21"/>
              </w:rPr>
            </w:pPr>
          </w:p>
          <w:p w14:paraId="77CAE7FA">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6.6</w:t>
            </w:r>
          </w:p>
        </w:tc>
        <w:tc>
          <w:tcPr>
            <w:tcW w:w="875" w:type="dxa"/>
            <w:vAlign w:val="top"/>
          </w:tcPr>
          <w:p w14:paraId="58301DC7">
            <w:pPr>
              <w:spacing w:line="275" w:lineRule="auto"/>
              <w:rPr>
                <w:rFonts w:ascii="Arial"/>
                <w:sz w:val="21"/>
              </w:rPr>
            </w:pPr>
          </w:p>
          <w:p w14:paraId="4408F8A5">
            <w:pPr>
              <w:spacing w:line="275" w:lineRule="auto"/>
              <w:rPr>
                <w:rFonts w:ascii="Arial"/>
                <w:sz w:val="21"/>
              </w:rPr>
            </w:pPr>
          </w:p>
          <w:p w14:paraId="3F35553E">
            <w:pPr>
              <w:spacing w:before="5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949" w:type="dxa"/>
            <w:vAlign w:val="top"/>
          </w:tcPr>
          <w:p w14:paraId="4908036A">
            <w:pPr>
              <w:spacing w:line="275" w:lineRule="auto"/>
              <w:rPr>
                <w:rFonts w:ascii="Arial"/>
                <w:sz w:val="21"/>
              </w:rPr>
            </w:pPr>
          </w:p>
          <w:p w14:paraId="7246E693">
            <w:pPr>
              <w:spacing w:line="275" w:lineRule="auto"/>
              <w:rPr>
                <w:rFonts w:ascii="Arial"/>
                <w:sz w:val="21"/>
              </w:rPr>
            </w:pPr>
          </w:p>
          <w:p w14:paraId="1B37F666">
            <w:pPr>
              <w:spacing w:before="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17.6</w:t>
            </w:r>
          </w:p>
        </w:tc>
        <w:tc>
          <w:tcPr>
            <w:tcW w:w="887" w:type="dxa"/>
            <w:vAlign w:val="top"/>
          </w:tcPr>
          <w:p w14:paraId="0C69DEE2">
            <w:pPr>
              <w:spacing w:line="275" w:lineRule="auto"/>
              <w:rPr>
                <w:rFonts w:ascii="Arial"/>
                <w:sz w:val="21"/>
              </w:rPr>
            </w:pPr>
          </w:p>
          <w:p w14:paraId="5A88C33A">
            <w:pPr>
              <w:spacing w:line="275" w:lineRule="auto"/>
              <w:rPr>
                <w:rFonts w:ascii="Arial"/>
                <w:sz w:val="21"/>
              </w:rPr>
            </w:pPr>
          </w:p>
          <w:p w14:paraId="58BBD2C0">
            <w:pPr>
              <w:spacing w:before="57"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6.6</w:t>
            </w:r>
          </w:p>
        </w:tc>
        <w:tc>
          <w:tcPr>
            <w:tcW w:w="999" w:type="dxa"/>
            <w:vAlign w:val="top"/>
          </w:tcPr>
          <w:p w14:paraId="7B524348">
            <w:pPr>
              <w:spacing w:line="275" w:lineRule="auto"/>
              <w:rPr>
                <w:rFonts w:ascii="Arial"/>
                <w:sz w:val="21"/>
              </w:rPr>
            </w:pPr>
          </w:p>
          <w:p w14:paraId="0E8CBF0A">
            <w:pPr>
              <w:spacing w:line="275" w:lineRule="auto"/>
              <w:rPr>
                <w:rFonts w:ascii="Arial"/>
                <w:sz w:val="21"/>
              </w:rPr>
            </w:pPr>
          </w:p>
          <w:p w14:paraId="614A5513">
            <w:pPr>
              <w:spacing w:before="57" w:line="195" w:lineRule="auto"/>
              <w:ind w:left="230"/>
              <w:rPr>
                <w:rFonts w:ascii="Times New Roman" w:hAnsi="Times New Roman" w:eastAsia="Times New Roman" w:cs="Times New Roman"/>
                <w:sz w:val="20"/>
                <w:szCs w:val="20"/>
              </w:rPr>
            </w:pPr>
            <w:r>
              <w:rPr>
                <w:rFonts w:ascii="Times New Roman" w:hAnsi="Times New Roman" w:eastAsia="Times New Roman" w:cs="Times New Roman"/>
                <w:sz w:val="20"/>
                <w:szCs w:val="20"/>
              </w:rPr>
              <w:t>13.056</w:t>
            </w:r>
          </w:p>
        </w:tc>
        <w:tc>
          <w:tcPr>
            <w:tcW w:w="938" w:type="dxa"/>
            <w:vAlign w:val="top"/>
          </w:tcPr>
          <w:p w14:paraId="7D23AF95">
            <w:pPr>
              <w:spacing w:line="275" w:lineRule="auto"/>
              <w:rPr>
                <w:rFonts w:ascii="Arial"/>
                <w:sz w:val="21"/>
              </w:rPr>
            </w:pPr>
          </w:p>
          <w:p w14:paraId="72B89B98">
            <w:pPr>
              <w:spacing w:line="275" w:lineRule="auto"/>
              <w:rPr>
                <w:rFonts w:ascii="Arial"/>
                <w:sz w:val="21"/>
              </w:rPr>
            </w:pPr>
          </w:p>
          <w:p w14:paraId="7F62A318">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19.656</w:t>
            </w:r>
          </w:p>
        </w:tc>
        <w:tc>
          <w:tcPr>
            <w:tcW w:w="887" w:type="dxa"/>
            <w:vAlign w:val="top"/>
          </w:tcPr>
          <w:p w14:paraId="562A1084">
            <w:pPr>
              <w:spacing w:line="275" w:lineRule="auto"/>
              <w:rPr>
                <w:rFonts w:ascii="Arial"/>
                <w:sz w:val="21"/>
              </w:rPr>
            </w:pPr>
          </w:p>
          <w:p w14:paraId="5EBC54C9">
            <w:pPr>
              <w:spacing w:line="275" w:lineRule="auto"/>
              <w:rPr>
                <w:rFonts w:ascii="Arial"/>
                <w:sz w:val="21"/>
              </w:rPr>
            </w:pPr>
          </w:p>
          <w:p w14:paraId="12B9301B">
            <w:pPr>
              <w:spacing w:before="57"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2.056</w:t>
            </w:r>
          </w:p>
        </w:tc>
        <w:tc>
          <w:tcPr>
            <w:tcW w:w="1030" w:type="dxa"/>
            <w:vAlign w:val="top"/>
          </w:tcPr>
          <w:p w14:paraId="5F3ED6E3">
            <w:pPr>
              <w:pStyle w:val="6"/>
              <w:spacing w:before="31"/>
              <w:ind w:left="205" w:right="194"/>
              <w:rPr>
                <w:sz w:val="20"/>
                <w:szCs w:val="20"/>
              </w:rPr>
            </w:pPr>
            <w:r>
              <w:rPr>
                <w:spacing w:val="6"/>
                <w:sz w:val="20"/>
                <w:szCs w:val="20"/>
              </w:rPr>
              <w:t>光伏板</w:t>
            </w:r>
            <w:r>
              <w:rPr>
                <w:sz w:val="20"/>
                <w:szCs w:val="20"/>
              </w:rPr>
              <w:t xml:space="preserve"> </w:t>
            </w:r>
            <w:r>
              <w:rPr>
                <w:spacing w:val="6"/>
                <w:sz w:val="20"/>
                <w:szCs w:val="20"/>
              </w:rPr>
              <w:t>支架基</w:t>
            </w:r>
          </w:p>
          <w:p w14:paraId="31E89AD3">
            <w:pPr>
              <w:pStyle w:val="6"/>
              <w:spacing w:before="23" w:line="229" w:lineRule="auto"/>
              <w:ind w:left="110"/>
              <w:rPr>
                <w:sz w:val="20"/>
                <w:szCs w:val="20"/>
              </w:rPr>
            </w:pPr>
            <w:r>
              <w:rPr>
                <w:spacing w:val="1"/>
                <w:sz w:val="20"/>
                <w:szCs w:val="20"/>
              </w:rPr>
              <w:t>础、升压</w:t>
            </w:r>
          </w:p>
          <w:p w14:paraId="460CBD40">
            <w:pPr>
              <w:pStyle w:val="6"/>
              <w:spacing w:before="25" w:line="228" w:lineRule="auto"/>
              <w:ind w:left="205"/>
              <w:rPr>
                <w:sz w:val="20"/>
                <w:szCs w:val="20"/>
              </w:rPr>
            </w:pPr>
            <w:r>
              <w:rPr>
                <w:spacing w:val="6"/>
                <w:sz w:val="20"/>
                <w:szCs w:val="20"/>
              </w:rPr>
              <w:t>站建筑</w:t>
            </w:r>
          </w:p>
          <w:p w14:paraId="596F45AA">
            <w:pPr>
              <w:pStyle w:val="6"/>
              <w:spacing w:before="23" w:line="218" w:lineRule="auto"/>
              <w:ind w:left="308"/>
              <w:rPr>
                <w:sz w:val="20"/>
                <w:szCs w:val="20"/>
              </w:rPr>
            </w:pPr>
            <w:r>
              <w:rPr>
                <w:spacing w:val="4"/>
                <w:sz w:val="20"/>
                <w:szCs w:val="20"/>
              </w:rPr>
              <w:t>基础</w:t>
            </w:r>
          </w:p>
        </w:tc>
        <w:tc>
          <w:tcPr>
            <w:tcW w:w="697" w:type="dxa"/>
            <w:vAlign w:val="top"/>
          </w:tcPr>
          <w:p w14:paraId="0D832996">
            <w:pPr>
              <w:spacing w:line="275" w:lineRule="auto"/>
              <w:rPr>
                <w:rFonts w:ascii="Arial"/>
                <w:sz w:val="21"/>
              </w:rPr>
            </w:pPr>
          </w:p>
          <w:p w14:paraId="7E2B2F4F">
            <w:pPr>
              <w:spacing w:line="275" w:lineRule="auto"/>
              <w:rPr>
                <w:rFonts w:ascii="Arial"/>
                <w:sz w:val="21"/>
              </w:rPr>
            </w:pPr>
          </w:p>
          <w:p w14:paraId="361D6624">
            <w:pPr>
              <w:spacing w:before="57"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2" w:type="dxa"/>
            <w:vAlign w:val="top"/>
          </w:tcPr>
          <w:p w14:paraId="65680761">
            <w:pPr>
              <w:spacing w:line="273" w:lineRule="auto"/>
              <w:rPr>
                <w:rFonts w:ascii="Arial"/>
                <w:sz w:val="21"/>
              </w:rPr>
            </w:pPr>
          </w:p>
          <w:p w14:paraId="0EDB7D72">
            <w:pPr>
              <w:spacing w:line="273" w:lineRule="auto"/>
              <w:rPr>
                <w:rFonts w:ascii="Arial"/>
                <w:sz w:val="21"/>
              </w:rPr>
            </w:pPr>
          </w:p>
          <w:p w14:paraId="2C0660C1">
            <w:pPr>
              <w:spacing w:before="57" w:line="199"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25" w:type="dxa"/>
            <w:vAlign w:val="top"/>
          </w:tcPr>
          <w:p w14:paraId="1866CFF2">
            <w:pPr>
              <w:spacing w:line="275" w:lineRule="auto"/>
              <w:rPr>
                <w:rFonts w:ascii="Arial"/>
                <w:sz w:val="21"/>
              </w:rPr>
            </w:pPr>
          </w:p>
          <w:p w14:paraId="7C478368">
            <w:pPr>
              <w:spacing w:line="275" w:lineRule="auto"/>
              <w:rPr>
                <w:rFonts w:ascii="Arial"/>
                <w:sz w:val="21"/>
              </w:rPr>
            </w:pPr>
          </w:p>
          <w:p w14:paraId="6C34FF1D">
            <w:pPr>
              <w:spacing w:before="5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vAlign w:val="top"/>
          </w:tcPr>
          <w:p w14:paraId="1DA9E550">
            <w:pPr>
              <w:spacing w:line="273" w:lineRule="auto"/>
              <w:rPr>
                <w:rFonts w:ascii="Arial"/>
                <w:sz w:val="21"/>
              </w:rPr>
            </w:pPr>
          </w:p>
          <w:p w14:paraId="305CEE51">
            <w:pPr>
              <w:spacing w:line="273" w:lineRule="auto"/>
              <w:rPr>
                <w:rFonts w:ascii="Arial"/>
                <w:sz w:val="21"/>
              </w:rPr>
            </w:pPr>
          </w:p>
          <w:p w14:paraId="7F43BB1D">
            <w:pPr>
              <w:spacing w:before="57"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vAlign w:val="top"/>
          </w:tcPr>
          <w:p w14:paraId="7499C436">
            <w:pPr>
              <w:spacing w:line="275" w:lineRule="auto"/>
              <w:rPr>
                <w:rFonts w:ascii="Arial"/>
                <w:sz w:val="21"/>
              </w:rPr>
            </w:pPr>
          </w:p>
          <w:p w14:paraId="640E4AC9">
            <w:pPr>
              <w:spacing w:line="275" w:lineRule="auto"/>
              <w:rPr>
                <w:rFonts w:ascii="Arial"/>
                <w:sz w:val="21"/>
              </w:rPr>
            </w:pPr>
          </w:p>
          <w:p w14:paraId="38A3E5B2">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right w:val="single" w:color="000000" w:sz="2" w:space="0"/>
            </w:tcBorders>
            <w:vAlign w:val="top"/>
          </w:tcPr>
          <w:p w14:paraId="3DB014C7">
            <w:pPr>
              <w:spacing w:line="253" w:lineRule="auto"/>
              <w:rPr>
                <w:rFonts w:ascii="Arial"/>
                <w:sz w:val="21"/>
              </w:rPr>
            </w:pPr>
          </w:p>
          <w:p w14:paraId="5879B335">
            <w:pPr>
              <w:spacing w:line="254" w:lineRule="auto"/>
              <w:rPr>
                <w:rFonts w:ascii="Arial"/>
                <w:sz w:val="21"/>
              </w:rPr>
            </w:pPr>
          </w:p>
          <w:p w14:paraId="72F3CA86">
            <w:pPr>
              <w:spacing w:before="65" w:line="237" w:lineRule="auto"/>
              <w:ind w:left="230"/>
              <w:rPr>
                <w:rFonts w:ascii="FangSong_GB2312" w:hAnsi="FangSong_GB2312" w:eastAsia="FangSong_GB2312" w:cs="FangSong_GB2312"/>
                <w:sz w:val="20"/>
                <w:szCs w:val="20"/>
              </w:rPr>
            </w:pPr>
            <w:r>
              <w:rPr>
                <w:rFonts w:ascii="FangSong_GB2312" w:hAnsi="FangSong_GB2312" w:eastAsia="FangSong_GB2312" w:cs="FangSong_GB2312"/>
                <w:sz w:val="20"/>
                <w:szCs w:val="20"/>
              </w:rPr>
              <w:t>/</w:t>
            </w:r>
          </w:p>
        </w:tc>
      </w:tr>
      <w:tr w14:paraId="52F7C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001" w:type="dxa"/>
            <w:vMerge w:val="continue"/>
            <w:tcBorders>
              <w:top w:val="nil"/>
              <w:left w:val="single" w:color="000000" w:sz="2" w:space="0"/>
            </w:tcBorders>
            <w:vAlign w:val="top"/>
          </w:tcPr>
          <w:p w14:paraId="23F434B8">
            <w:pPr>
              <w:rPr>
                <w:rFonts w:ascii="Arial"/>
                <w:sz w:val="21"/>
              </w:rPr>
            </w:pPr>
          </w:p>
        </w:tc>
        <w:tc>
          <w:tcPr>
            <w:tcW w:w="1812" w:type="dxa"/>
            <w:vAlign w:val="top"/>
          </w:tcPr>
          <w:p w14:paraId="475B9572">
            <w:pPr>
              <w:pStyle w:val="6"/>
              <w:spacing w:before="303" w:line="229" w:lineRule="auto"/>
              <w:ind w:left="702"/>
              <w:rPr>
                <w:sz w:val="20"/>
                <w:szCs w:val="20"/>
              </w:rPr>
            </w:pPr>
            <w:r>
              <w:rPr>
                <w:spacing w:val="2"/>
                <w:sz w:val="20"/>
                <w:szCs w:val="20"/>
              </w:rPr>
              <w:t>小计</w:t>
            </w:r>
          </w:p>
        </w:tc>
        <w:tc>
          <w:tcPr>
            <w:tcW w:w="750" w:type="dxa"/>
            <w:vAlign w:val="top"/>
          </w:tcPr>
          <w:p w14:paraId="7133AC82">
            <w:pPr>
              <w:spacing w:line="279" w:lineRule="auto"/>
              <w:rPr>
                <w:rFonts w:ascii="Arial"/>
                <w:sz w:val="21"/>
              </w:rPr>
            </w:pPr>
          </w:p>
          <w:p w14:paraId="7076CE1F">
            <w:pPr>
              <w:spacing w:before="5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7.567</w:t>
            </w:r>
          </w:p>
        </w:tc>
        <w:tc>
          <w:tcPr>
            <w:tcW w:w="875" w:type="dxa"/>
            <w:vAlign w:val="top"/>
          </w:tcPr>
          <w:p w14:paraId="77DE81AF">
            <w:pPr>
              <w:spacing w:before="219" w:line="250" w:lineRule="auto"/>
              <w:ind w:left="389" w:right="145" w:hanging="223"/>
              <w:rPr>
                <w:rFonts w:ascii="Times New Roman" w:hAnsi="Times New Roman" w:eastAsia="Times New Roman" w:cs="Times New Roman"/>
                <w:sz w:val="20"/>
                <w:szCs w:val="20"/>
              </w:rPr>
            </w:pPr>
            <w:r>
              <w:rPr>
                <w:rFonts w:ascii="Times New Roman" w:hAnsi="Times New Roman" w:eastAsia="Times New Roman" w:cs="Times New Roman"/>
                <w:sz w:val="20"/>
                <w:szCs w:val="20"/>
              </w:rPr>
              <w:t>14.167</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5</w:t>
            </w:r>
          </w:p>
        </w:tc>
        <w:tc>
          <w:tcPr>
            <w:tcW w:w="949" w:type="dxa"/>
            <w:vAlign w:val="top"/>
          </w:tcPr>
          <w:p w14:paraId="523DA6A7">
            <w:pPr>
              <w:spacing w:line="279" w:lineRule="auto"/>
              <w:rPr>
                <w:rFonts w:ascii="Arial"/>
                <w:sz w:val="21"/>
              </w:rPr>
            </w:pPr>
          </w:p>
          <w:p w14:paraId="6C250F7C">
            <w:pPr>
              <w:spacing w:before="5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21.7345</w:t>
            </w:r>
          </w:p>
        </w:tc>
        <w:tc>
          <w:tcPr>
            <w:tcW w:w="887" w:type="dxa"/>
            <w:vAlign w:val="top"/>
          </w:tcPr>
          <w:p w14:paraId="0E8AA0C6">
            <w:pPr>
              <w:spacing w:line="279" w:lineRule="auto"/>
              <w:rPr>
                <w:rFonts w:ascii="Arial"/>
                <w:sz w:val="21"/>
              </w:rPr>
            </w:pPr>
          </w:p>
          <w:p w14:paraId="111B27F5">
            <w:pPr>
              <w:spacing w:before="58"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7.567</w:t>
            </w:r>
          </w:p>
        </w:tc>
        <w:tc>
          <w:tcPr>
            <w:tcW w:w="999" w:type="dxa"/>
            <w:vAlign w:val="top"/>
          </w:tcPr>
          <w:p w14:paraId="336894AF">
            <w:pPr>
              <w:spacing w:line="279" w:lineRule="auto"/>
              <w:rPr>
                <w:rFonts w:ascii="Arial"/>
                <w:sz w:val="21"/>
              </w:rPr>
            </w:pPr>
          </w:p>
          <w:p w14:paraId="718D92E4">
            <w:pPr>
              <w:spacing w:before="5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14.3175</w:t>
            </w:r>
          </w:p>
        </w:tc>
        <w:tc>
          <w:tcPr>
            <w:tcW w:w="938" w:type="dxa"/>
            <w:vAlign w:val="top"/>
          </w:tcPr>
          <w:p w14:paraId="3CD4A142">
            <w:pPr>
              <w:spacing w:line="279" w:lineRule="auto"/>
              <w:rPr>
                <w:rFonts w:ascii="Arial"/>
                <w:sz w:val="21"/>
              </w:rPr>
            </w:pPr>
          </w:p>
          <w:p w14:paraId="093DE076">
            <w:pPr>
              <w:spacing w:before="58"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21.8845</w:t>
            </w:r>
          </w:p>
        </w:tc>
        <w:tc>
          <w:tcPr>
            <w:tcW w:w="887" w:type="dxa"/>
            <w:vAlign w:val="top"/>
          </w:tcPr>
          <w:p w14:paraId="63E1AD59">
            <w:pPr>
              <w:spacing w:line="279" w:lineRule="auto"/>
              <w:rPr>
                <w:rFonts w:ascii="Arial"/>
                <w:sz w:val="21"/>
              </w:rPr>
            </w:pPr>
          </w:p>
          <w:p w14:paraId="524C6CD4">
            <w:pPr>
              <w:spacing w:before="5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2.056</w:t>
            </w:r>
          </w:p>
        </w:tc>
        <w:tc>
          <w:tcPr>
            <w:tcW w:w="1030" w:type="dxa"/>
            <w:vAlign w:val="top"/>
          </w:tcPr>
          <w:p w14:paraId="3283161E">
            <w:pPr>
              <w:pStyle w:val="6"/>
              <w:spacing w:before="31" w:line="227" w:lineRule="auto"/>
              <w:ind w:left="206"/>
              <w:rPr>
                <w:sz w:val="20"/>
                <w:szCs w:val="20"/>
              </w:rPr>
            </w:pPr>
            <w:r>
              <w:rPr>
                <w:spacing w:val="6"/>
                <w:sz w:val="20"/>
                <w:szCs w:val="20"/>
              </w:rPr>
              <w:t>光伏板</w:t>
            </w:r>
          </w:p>
          <w:p w14:paraId="76A77EBB">
            <w:pPr>
              <w:pStyle w:val="6"/>
              <w:spacing w:before="25" w:line="228" w:lineRule="auto"/>
              <w:ind w:left="205"/>
              <w:rPr>
                <w:sz w:val="20"/>
                <w:szCs w:val="20"/>
              </w:rPr>
            </w:pPr>
            <w:r>
              <w:rPr>
                <w:spacing w:val="6"/>
                <w:sz w:val="20"/>
                <w:szCs w:val="20"/>
              </w:rPr>
              <w:t>支架基</w:t>
            </w:r>
          </w:p>
          <w:p w14:paraId="293B84F6">
            <w:pPr>
              <w:pStyle w:val="6"/>
              <w:spacing w:before="26" w:line="216" w:lineRule="auto"/>
              <w:ind w:left="412"/>
              <w:rPr>
                <w:sz w:val="20"/>
                <w:szCs w:val="20"/>
              </w:rPr>
            </w:pPr>
            <w:r>
              <w:rPr>
                <w:spacing w:val="1"/>
                <w:sz w:val="20"/>
                <w:szCs w:val="20"/>
              </w:rPr>
              <w:t>础</w:t>
            </w:r>
          </w:p>
        </w:tc>
        <w:tc>
          <w:tcPr>
            <w:tcW w:w="697" w:type="dxa"/>
            <w:vAlign w:val="top"/>
          </w:tcPr>
          <w:p w14:paraId="1A028CF3">
            <w:pPr>
              <w:spacing w:line="279" w:lineRule="auto"/>
              <w:rPr>
                <w:rFonts w:ascii="Arial"/>
                <w:sz w:val="21"/>
              </w:rPr>
            </w:pPr>
          </w:p>
          <w:p w14:paraId="329E5139">
            <w:pPr>
              <w:spacing w:before="58"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1.906</w:t>
            </w:r>
          </w:p>
        </w:tc>
        <w:tc>
          <w:tcPr>
            <w:tcW w:w="772" w:type="dxa"/>
            <w:vAlign w:val="top"/>
          </w:tcPr>
          <w:p w14:paraId="6F4A2337">
            <w:pPr>
              <w:pStyle w:val="6"/>
              <w:spacing w:before="169" w:line="239" w:lineRule="auto"/>
              <w:ind w:left="184" w:right="170" w:hanging="3"/>
              <w:rPr>
                <w:sz w:val="20"/>
                <w:szCs w:val="20"/>
              </w:rPr>
            </w:pPr>
            <w:r>
              <w:rPr>
                <w:spacing w:val="5"/>
                <w:sz w:val="20"/>
                <w:szCs w:val="20"/>
              </w:rPr>
              <w:t>道路</w:t>
            </w:r>
            <w:r>
              <w:rPr>
                <w:sz w:val="20"/>
                <w:szCs w:val="20"/>
              </w:rPr>
              <w:t xml:space="preserve"> </w:t>
            </w:r>
            <w:r>
              <w:rPr>
                <w:spacing w:val="3"/>
                <w:sz w:val="20"/>
                <w:szCs w:val="20"/>
              </w:rPr>
              <w:t>工程</w:t>
            </w:r>
          </w:p>
        </w:tc>
        <w:tc>
          <w:tcPr>
            <w:tcW w:w="625" w:type="dxa"/>
            <w:vAlign w:val="top"/>
          </w:tcPr>
          <w:p w14:paraId="53AB78A8">
            <w:pPr>
              <w:spacing w:line="279" w:lineRule="auto"/>
              <w:rPr>
                <w:rFonts w:ascii="Arial"/>
                <w:sz w:val="21"/>
              </w:rPr>
            </w:pPr>
          </w:p>
          <w:p w14:paraId="08B1A837">
            <w:pPr>
              <w:spacing w:before="5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vAlign w:val="top"/>
          </w:tcPr>
          <w:p w14:paraId="3CEC0139">
            <w:pPr>
              <w:spacing w:line="276" w:lineRule="auto"/>
              <w:rPr>
                <w:rFonts w:ascii="Arial"/>
                <w:sz w:val="21"/>
              </w:rPr>
            </w:pPr>
          </w:p>
          <w:p w14:paraId="22C87887">
            <w:pPr>
              <w:spacing w:before="57"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vAlign w:val="top"/>
          </w:tcPr>
          <w:p w14:paraId="099CC989">
            <w:pPr>
              <w:spacing w:line="279" w:lineRule="auto"/>
              <w:rPr>
                <w:rFonts w:ascii="Arial"/>
                <w:sz w:val="21"/>
              </w:rPr>
            </w:pPr>
          </w:p>
          <w:p w14:paraId="53B160D6">
            <w:pPr>
              <w:spacing w:before="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right w:val="single" w:color="000000" w:sz="2" w:space="0"/>
            </w:tcBorders>
            <w:vAlign w:val="top"/>
          </w:tcPr>
          <w:p w14:paraId="64DB6BBF">
            <w:pPr>
              <w:spacing w:before="304" w:line="237" w:lineRule="auto"/>
              <w:ind w:left="230"/>
              <w:rPr>
                <w:rFonts w:ascii="FangSong_GB2312" w:hAnsi="FangSong_GB2312" w:eastAsia="FangSong_GB2312" w:cs="FangSong_GB2312"/>
                <w:sz w:val="20"/>
                <w:szCs w:val="20"/>
              </w:rPr>
            </w:pPr>
            <w:r>
              <w:rPr>
                <w:rFonts w:ascii="FangSong_GB2312" w:hAnsi="FangSong_GB2312" w:eastAsia="FangSong_GB2312" w:cs="FangSong_GB2312"/>
                <w:sz w:val="20"/>
                <w:szCs w:val="20"/>
              </w:rPr>
              <w:t>/</w:t>
            </w:r>
          </w:p>
        </w:tc>
      </w:tr>
      <w:tr w14:paraId="3A492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001" w:type="dxa"/>
            <w:vMerge w:val="restart"/>
            <w:tcBorders>
              <w:left w:val="single" w:color="000000" w:sz="2" w:space="0"/>
              <w:bottom w:val="nil"/>
            </w:tcBorders>
            <w:vAlign w:val="top"/>
          </w:tcPr>
          <w:p w14:paraId="06BDA09D">
            <w:pPr>
              <w:spacing w:line="247" w:lineRule="auto"/>
              <w:rPr>
                <w:rFonts w:ascii="Arial"/>
                <w:sz w:val="21"/>
              </w:rPr>
            </w:pPr>
          </w:p>
          <w:p w14:paraId="26D5A7EF">
            <w:pPr>
              <w:spacing w:line="247" w:lineRule="auto"/>
              <w:rPr>
                <w:rFonts w:ascii="Arial"/>
                <w:sz w:val="21"/>
              </w:rPr>
            </w:pPr>
          </w:p>
          <w:p w14:paraId="632B4EE3">
            <w:pPr>
              <w:spacing w:line="247" w:lineRule="auto"/>
              <w:rPr>
                <w:rFonts w:ascii="Arial"/>
                <w:sz w:val="21"/>
              </w:rPr>
            </w:pPr>
          </w:p>
          <w:p w14:paraId="5941C879">
            <w:pPr>
              <w:spacing w:line="248" w:lineRule="auto"/>
              <w:rPr>
                <w:rFonts w:ascii="Arial"/>
                <w:sz w:val="21"/>
              </w:rPr>
            </w:pPr>
          </w:p>
          <w:p w14:paraId="3B37FAFB">
            <w:pPr>
              <w:spacing w:line="248" w:lineRule="auto"/>
              <w:rPr>
                <w:rFonts w:ascii="Arial"/>
                <w:sz w:val="21"/>
              </w:rPr>
            </w:pPr>
          </w:p>
          <w:p w14:paraId="28B6A860">
            <w:pPr>
              <w:spacing w:line="248" w:lineRule="auto"/>
              <w:rPr>
                <w:rFonts w:ascii="Arial"/>
                <w:sz w:val="21"/>
              </w:rPr>
            </w:pPr>
          </w:p>
          <w:p w14:paraId="44FCE728">
            <w:pPr>
              <w:pStyle w:val="6"/>
              <w:spacing w:before="65" w:line="242" w:lineRule="auto"/>
              <w:ind w:left="478" w:right="119" w:hanging="224"/>
              <w:rPr>
                <w:sz w:val="20"/>
                <w:szCs w:val="20"/>
              </w:rPr>
            </w:pPr>
            <w:r>
              <w:rPr>
                <w:spacing w:val="6"/>
                <w:sz w:val="20"/>
                <w:szCs w:val="20"/>
              </w:rPr>
              <w:t>升压站</w:t>
            </w:r>
            <w:r>
              <w:rPr>
                <w:sz w:val="20"/>
                <w:szCs w:val="20"/>
              </w:rPr>
              <w:t xml:space="preserve"> 区</w:t>
            </w:r>
          </w:p>
        </w:tc>
        <w:tc>
          <w:tcPr>
            <w:tcW w:w="1812" w:type="dxa"/>
            <w:vAlign w:val="top"/>
          </w:tcPr>
          <w:p w14:paraId="75A058F1">
            <w:pPr>
              <w:pStyle w:val="6"/>
              <w:spacing w:before="168" w:line="228" w:lineRule="auto"/>
              <w:ind w:left="486"/>
              <w:rPr>
                <w:sz w:val="20"/>
                <w:szCs w:val="20"/>
              </w:rPr>
            </w:pPr>
            <w:r>
              <w:rPr>
                <w:spacing w:val="7"/>
                <w:sz w:val="20"/>
                <w:szCs w:val="20"/>
              </w:rPr>
              <w:t>场地平整</w:t>
            </w:r>
          </w:p>
        </w:tc>
        <w:tc>
          <w:tcPr>
            <w:tcW w:w="750" w:type="dxa"/>
            <w:vAlign w:val="top"/>
          </w:tcPr>
          <w:p w14:paraId="5143029E">
            <w:pPr>
              <w:spacing w:before="204"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w:t>
            </w:r>
          </w:p>
        </w:tc>
        <w:tc>
          <w:tcPr>
            <w:tcW w:w="875" w:type="dxa"/>
            <w:vAlign w:val="top"/>
          </w:tcPr>
          <w:p w14:paraId="2CC6E7D0">
            <w:pPr>
              <w:spacing w:before="204"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949" w:type="dxa"/>
            <w:vAlign w:val="top"/>
          </w:tcPr>
          <w:p w14:paraId="35576E93">
            <w:pPr>
              <w:spacing w:before="2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1.76</w:t>
            </w:r>
          </w:p>
        </w:tc>
        <w:tc>
          <w:tcPr>
            <w:tcW w:w="887" w:type="dxa"/>
            <w:vAlign w:val="top"/>
          </w:tcPr>
          <w:p w14:paraId="7B7C8596">
            <w:pPr>
              <w:spacing w:before="204" w:line="195"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99" w:type="dxa"/>
            <w:vAlign w:val="top"/>
          </w:tcPr>
          <w:p w14:paraId="33BB4ABB">
            <w:pPr>
              <w:spacing w:before="204"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938" w:type="dxa"/>
            <w:vAlign w:val="top"/>
          </w:tcPr>
          <w:p w14:paraId="5F9839E9">
            <w:pPr>
              <w:spacing w:before="204"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w:t>
            </w:r>
          </w:p>
        </w:tc>
        <w:tc>
          <w:tcPr>
            <w:tcW w:w="887" w:type="dxa"/>
            <w:vAlign w:val="top"/>
          </w:tcPr>
          <w:p w14:paraId="0315D4D3">
            <w:pPr>
              <w:spacing w:before="20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30" w:type="dxa"/>
            <w:vAlign w:val="top"/>
          </w:tcPr>
          <w:p w14:paraId="20B03289">
            <w:pPr>
              <w:spacing w:before="200" w:line="199"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7" w:type="dxa"/>
            <w:vAlign w:val="top"/>
          </w:tcPr>
          <w:p w14:paraId="221F5D64">
            <w:pPr>
              <w:spacing w:before="204"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w:t>
            </w:r>
          </w:p>
        </w:tc>
        <w:tc>
          <w:tcPr>
            <w:tcW w:w="772" w:type="dxa"/>
            <w:vAlign w:val="top"/>
          </w:tcPr>
          <w:p w14:paraId="397B3D5C">
            <w:pPr>
              <w:pStyle w:val="6"/>
              <w:spacing w:before="32" w:line="234" w:lineRule="auto"/>
              <w:ind w:left="183" w:right="170"/>
              <w:rPr>
                <w:sz w:val="20"/>
                <w:szCs w:val="20"/>
              </w:rPr>
            </w:pPr>
            <w:r>
              <w:rPr>
                <w:spacing w:val="3"/>
                <w:sz w:val="20"/>
                <w:szCs w:val="20"/>
              </w:rPr>
              <w:t>绿化</w:t>
            </w:r>
            <w:r>
              <w:rPr>
                <w:sz w:val="20"/>
                <w:szCs w:val="20"/>
              </w:rPr>
              <w:t xml:space="preserve"> </w:t>
            </w:r>
            <w:r>
              <w:rPr>
                <w:spacing w:val="3"/>
                <w:sz w:val="20"/>
                <w:szCs w:val="20"/>
              </w:rPr>
              <w:t>工程</w:t>
            </w:r>
          </w:p>
        </w:tc>
        <w:tc>
          <w:tcPr>
            <w:tcW w:w="625" w:type="dxa"/>
            <w:vAlign w:val="top"/>
          </w:tcPr>
          <w:p w14:paraId="6EDBC71B">
            <w:pPr>
              <w:spacing w:before="204"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vAlign w:val="top"/>
          </w:tcPr>
          <w:p w14:paraId="473F4AA8">
            <w:pPr>
              <w:spacing w:before="200"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vAlign w:val="top"/>
          </w:tcPr>
          <w:p w14:paraId="2A33DF39">
            <w:pPr>
              <w:spacing w:before="20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right w:val="single" w:color="000000" w:sz="2" w:space="0"/>
            </w:tcBorders>
            <w:vAlign w:val="top"/>
          </w:tcPr>
          <w:p w14:paraId="2931E01A">
            <w:pPr>
              <w:spacing w:before="169" w:line="237" w:lineRule="auto"/>
              <w:ind w:left="230"/>
              <w:rPr>
                <w:rFonts w:ascii="FangSong_GB2312" w:hAnsi="FangSong_GB2312" w:eastAsia="FangSong_GB2312" w:cs="FangSong_GB2312"/>
                <w:sz w:val="20"/>
                <w:szCs w:val="20"/>
              </w:rPr>
            </w:pPr>
            <w:r>
              <w:rPr>
                <w:rFonts w:ascii="FangSong_GB2312" w:hAnsi="FangSong_GB2312" w:eastAsia="FangSong_GB2312" w:cs="FangSong_GB2312"/>
                <w:sz w:val="20"/>
                <w:szCs w:val="20"/>
              </w:rPr>
              <w:t>/</w:t>
            </w:r>
          </w:p>
        </w:tc>
      </w:tr>
      <w:tr w14:paraId="3B559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001" w:type="dxa"/>
            <w:vMerge w:val="continue"/>
            <w:tcBorders>
              <w:top w:val="nil"/>
              <w:left w:val="single" w:color="000000" w:sz="2" w:space="0"/>
              <w:bottom w:val="nil"/>
            </w:tcBorders>
            <w:vAlign w:val="top"/>
          </w:tcPr>
          <w:p w14:paraId="046F847B">
            <w:pPr>
              <w:rPr>
                <w:rFonts w:ascii="Arial"/>
                <w:sz w:val="21"/>
              </w:rPr>
            </w:pPr>
          </w:p>
        </w:tc>
        <w:tc>
          <w:tcPr>
            <w:tcW w:w="1812" w:type="dxa"/>
            <w:vAlign w:val="top"/>
          </w:tcPr>
          <w:p w14:paraId="002FCAAE">
            <w:pPr>
              <w:pStyle w:val="6"/>
              <w:spacing w:before="167" w:line="228" w:lineRule="auto"/>
              <w:ind w:left="490"/>
              <w:rPr>
                <w:sz w:val="20"/>
                <w:szCs w:val="20"/>
              </w:rPr>
            </w:pPr>
            <w:r>
              <w:rPr>
                <w:spacing w:val="6"/>
                <w:sz w:val="20"/>
                <w:szCs w:val="20"/>
              </w:rPr>
              <w:t>建筑基础</w:t>
            </w:r>
          </w:p>
        </w:tc>
        <w:tc>
          <w:tcPr>
            <w:tcW w:w="750" w:type="dxa"/>
            <w:vAlign w:val="top"/>
          </w:tcPr>
          <w:p w14:paraId="0861A18B">
            <w:pPr>
              <w:spacing w:before="203"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75" w:type="dxa"/>
            <w:vAlign w:val="top"/>
          </w:tcPr>
          <w:p w14:paraId="35D6E887">
            <w:pPr>
              <w:spacing w:before="203"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949" w:type="dxa"/>
            <w:vAlign w:val="top"/>
          </w:tcPr>
          <w:p w14:paraId="14D1E524">
            <w:pPr>
              <w:spacing w:before="203"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887" w:type="dxa"/>
            <w:vAlign w:val="top"/>
          </w:tcPr>
          <w:p w14:paraId="341D9649">
            <w:pPr>
              <w:spacing w:before="20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99" w:type="dxa"/>
            <w:vAlign w:val="top"/>
          </w:tcPr>
          <w:p w14:paraId="4E844460">
            <w:pPr>
              <w:spacing w:before="203"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8" w:type="dxa"/>
            <w:vAlign w:val="top"/>
          </w:tcPr>
          <w:p w14:paraId="6D02A937">
            <w:pPr>
              <w:spacing w:before="20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7" w:type="dxa"/>
            <w:vAlign w:val="top"/>
          </w:tcPr>
          <w:p w14:paraId="1ED8C2E3">
            <w:pPr>
              <w:spacing w:before="203"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30" w:type="dxa"/>
            <w:vAlign w:val="top"/>
          </w:tcPr>
          <w:p w14:paraId="263119F4">
            <w:pPr>
              <w:spacing w:before="199" w:line="199"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7" w:type="dxa"/>
            <w:vAlign w:val="top"/>
          </w:tcPr>
          <w:p w14:paraId="431776BE">
            <w:pPr>
              <w:spacing w:before="203"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772" w:type="dxa"/>
            <w:vAlign w:val="top"/>
          </w:tcPr>
          <w:p w14:paraId="16C5A090">
            <w:pPr>
              <w:pStyle w:val="6"/>
              <w:spacing w:before="32" w:line="234" w:lineRule="auto"/>
              <w:ind w:left="184" w:right="170" w:hanging="3"/>
              <w:rPr>
                <w:sz w:val="20"/>
                <w:szCs w:val="20"/>
              </w:rPr>
            </w:pPr>
            <w:r>
              <w:rPr>
                <w:spacing w:val="5"/>
                <w:sz w:val="20"/>
                <w:szCs w:val="20"/>
              </w:rPr>
              <w:t>道路</w:t>
            </w:r>
            <w:r>
              <w:rPr>
                <w:sz w:val="20"/>
                <w:szCs w:val="20"/>
              </w:rPr>
              <w:t xml:space="preserve"> </w:t>
            </w:r>
            <w:r>
              <w:rPr>
                <w:spacing w:val="3"/>
                <w:sz w:val="20"/>
                <w:szCs w:val="20"/>
              </w:rPr>
              <w:t>工程</w:t>
            </w:r>
          </w:p>
        </w:tc>
        <w:tc>
          <w:tcPr>
            <w:tcW w:w="625" w:type="dxa"/>
            <w:vAlign w:val="top"/>
          </w:tcPr>
          <w:p w14:paraId="6A8A8B88">
            <w:pPr>
              <w:spacing w:before="203"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vAlign w:val="top"/>
          </w:tcPr>
          <w:p w14:paraId="156EABB7">
            <w:pPr>
              <w:spacing w:before="199"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vAlign w:val="top"/>
          </w:tcPr>
          <w:p w14:paraId="696834F1">
            <w:pPr>
              <w:spacing w:before="20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right w:val="single" w:color="000000" w:sz="2" w:space="0"/>
            </w:tcBorders>
            <w:vAlign w:val="top"/>
          </w:tcPr>
          <w:p w14:paraId="7D0CD6B7">
            <w:pPr>
              <w:spacing w:before="168" w:line="237" w:lineRule="auto"/>
              <w:ind w:left="230"/>
              <w:rPr>
                <w:rFonts w:ascii="FangSong_GB2312" w:hAnsi="FangSong_GB2312" w:eastAsia="FangSong_GB2312" w:cs="FangSong_GB2312"/>
                <w:sz w:val="20"/>
                <w:szCs w:val="20"/>
              </w:rPr>
            </w:pPr>
            <w:r>
              <w:rPr>
                <w:rFonts w:ascii="FangSong_GB2312" w:hAnsi="FangSong_GB2312" w:eastAsia="FangSong_GB2312" w:cs="FangSong_GB2312"/>
                <w:sz w:val="20"/>
                <w:szCs w:val="20"/>
              </w:rPr>
              <w:t>/</w:t>
            </w:r>
          </w:p>
        </w:tc>
      </w:tr>
      <w:tr w14:paraId="339DB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01" w:type="dxa"/>
            <w:vMerge w:val="continue"/>
            <w:tcBorders>
              <w:top w:val="nil"/>
              <w:left w:val="single" w:color="000000" w:sz="2" w:space="0"/>
              <w:bottom w:val="nil"/>
            </w:tcBorders>
            <w:vAlign w:val="top"/>
          </w:tcPr>
          <w:p w14:paraId="4D46D139">
            <w:pPr>
              <w:rPr>
                <w:rFonts w:ascii="Arial"/>
                <w:sz w:val="21"/>
              </w:rPr>
            </w:pPr>
          </w:p>
        </w:tc>
        <w:tc>
          <w:tcPr>
            <w:tcW w:w="1812" w:type="dxa"/>
            <w:vAlign w:val="top"/>
          </w:tcPr>
          <w:p w14:paraId="55BE4C56">
            <w:pPr>
              <w:pStyle w:val="6"/>
              <w:spacing w:before="166" w:line="228" w:lineRule="auto"/>
              <w:ind w:left="387"/>
              <w:rPr>
                <w:sz w:val="20"/>
                <w:szCs w:val="20"/>
              </w:rPr>
            </w:pPr>
            <w:r>
              <w:rPr>
                <w:spacing w:val="7"/>
                <w:sz w:val="20"/>
                <w:szCs w:val="20"/>
              </w:rPr>
              <w:t>管沟槽开挖</w:t>
            </w:r>
          </w:p>
        </w:tc>
        <w:tc>
          <w:tcPr>
            <w:tcW w:w="750" w:type="dxa"/>
            <w:vAlign w:val="top"/>
          </w:tcPr>
          <w:p w14:paraId="308B2470">
            <w:pPr>
              <w:spacing w:before="204"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75" w:type="dxa"/>
            <w:vAlign w:val="top"/>
          </w:tcPr>
          <w:p w14:paraId="557BF76F">
            <w:pPr>
              <w:spacing w:before="204"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949" w:type="dxa"/>
            <w:vAlign w:val="top"/>
          </w:tcPr>
          <w:p w14:paraId="117E30D5">
            <w:pPr>
              <w:spacing w:before="204"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887" w:type="dxa"/>
            <w:vAlign w:val="top"/>
          </w:tcPr>
          <w:p w14:paraId="210CEBCD">
            <w:pPr>
              <w:spacing w:before="204" w:line="195"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99" w:type="dxa"/>
            <w:vAlign w:val="top"/>
          </w:tcPr>
          <w:p w14:paraId="7F27D2CE">
            <w:pPr>
              <w:spacing w:before="204"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8" w:type="dxa"/>
            <w:vAlign w:val="top"/>
          </w:tcPr>
          <w:p w14:paraId="5AF00EF4">
            <w:pPr>
              <w:spacing w:before="20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87" w:type="dxa"/>
            <w:vAlign w:val="top"/>
          </w:tcPr>
          <w:p w14:paraId="34E01BF7">
            <w:pPr>
              <w:spacing w:before="20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30" w:type="dxa"/>
            <w:vAlign w:val="top"/>
          </w:tcPr>
          <w:p w14:paraId="6341B31B">
            <w:pPr>
              <w:spacing w:before="201" w:line="199"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7" w:type="dxa"/>
            <w:vAlign w:val="top"/>
          </w:tcPr>
          <w:p w14:paraId="152FECEB">
            <w:pPr>
              <w:spacing w:before="204"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772" w:type="dxa"/>
            <w:vAlign w:val="top"/>
          </w:tcPr>
          <w:p w14:paraId="09192ACE">
            <w:pPr>
              <w:pStyle w:val="6"/>
              <w:spacing w:before="31" w:line="234" w:lineRule="auto"/>
              <w:ind w:left="183" w:right="170"/>
              <w:rPr>
                <w:sz w:val="20"/>
                <w:szCs w:val="20"/>
              </w:rPr>
            </w:pPr>
            <w:r>
              <w:rPr>
                <w:spacing w:val="3"/>
                <w:sz w:val="20"/>
                <w:szCs w:val="20"/>
              </w:rPr>
              <w:t>绿化</w:t>
            </w:r>
            <w:r>
              <w:rPr>
                <w:sz w:val="20"/>
                <w:szCs w:val="20"/>
              </w:rPr>
              <w:t xml:space="preserve"> </w:t>
            </w:r>
            <w:r>
              <w:rPr>
                <w:spacing w:val="3"/>
                <w:sz w:val="20"/>
                <w:szCs w:val="20"/>
              </w:rPr>
              <w:t>工程</w:t>
            </w:r>
          </w:p>
        </w:tc>
        <w:tc>
          <w:tcPr>
            <w:tcW w:w="625" w:type="dxa"/>
            <w:vAlign w:val="top"/>
          </w:tcPr>
          <w:p w14:paraId="1A7C1875">
            <w:pPr>
              <w:spacing w:before="204"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vAlign w:val="top"/>
          </w:tcPr>
          <w:p w14:paraId="6008A9EB">
            <w:pPr>
              <w:spacing w:before="201"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vAlign w:val="top"/>
          </w:tcPr>
          <w:p w14:paraId="00CF47A7">
            <w:pPr>
              <w:spacing w:before="20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right w:val="single" w:color="000000" w:sz="2" w:space="0"/>
            </w:tcBorders>
            <w:vAlign w:val="top"/>
          </w:tcPr>
          <w:p w14:paraId="7D26CF55">
            <w:pPr>
              <w:spacing w:before="167" w:line="237" w:lineRule="auto"/>
              <w:ind w:left="230"/>
              <w:rPr>
                <w:rFonts w:ascii="FangSong_GB2312" w:hAnsi="FangSong_GB2312" w:eastAsia="FangSong_GB2312" w:cs="FangSong_GB2312"/>
                <w:sz w:val="20"/>
                <w:szCs w:val="20"/>
              </w:rPr>
            </w:pPr>
            <w:r>
              <w:rPr>
                <w:rFonts w:ascii="FangSong_GB2312" w:hAnsi="FangSong_GB2312" w:eastAsia="FangSong_GB2312" w:cs="FangSong_GB2312"/>
                <w:sz w:val="20"/>
                <w:szCs w:val="20"/>
              </w:rPr>
              <w:t>/</w:t>
            </w:r>
          </w:p>
        </w:tc>
      </w:tr>
      <w:tr w14:paraId="48921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001" w:type="dxa"/>
            <w:vMerge w:val="continue"/>
            <w:tcBorders>
              <w:top w:val="nil"/>
              <w:left w:val="single" w:color="000000" w:sz="2" w:space="0"/>
              <w:bottom w:val="nil"/>
            </w:tcBorders>
            <w:vAlign w:val="top"/>
          </w:tcPr>
          <w:p w14:paraId="10386918">
            <w:pPr>
              <w:rPr>
                <w:rFonts w:ascii="Arial"/>
                <w:sz w:val="21"/>
              </w:rPr>
            </w:pPr>
          </w:p>
        </w:tc>
        <w:tc>
          <w:tcPr>
            <w:tcW w:w="1812" w:type="dxa"/>
            <w:vAlign w:val="top"/>
          </w:tcPr>
          <w:p w14:paraId="0F65609E">
            <w:pPr>
              <w:pStyle w:val="6"/>
              <w:spacing w:before="306" w:line="228" w:lineRule="auto"/>
              <w:ind w:left="489"/>
              <w:rPr>
                <w:sz w:val="20"/>
                <w:szCs w:val="20"/>
              </w:rPr>
            </w:pPr>
            <w:r>
              <w:rPr>
                <w:spacing w:val="6"/>
                <w:sz w:val="20"/>
                <w:szCs w:val="20"/>
              </w:rPr>
              <w:t>绿化工程</w:t>
            </w:r>
          </w:p>
        </w:tc>
        <w:tc>
          <w:tcPr>
            <w:tcW w:w="750" w:type="dxa"/>
            <w:vAlign w:val="top"/>
          </w:tcPr>
          <w:p w14:paraId="5E601FF4">
            <w:pPr>
              <w:spacing w:line="282" w:lineRule="auto"/>
              <w:rPr>
                <w:rFonts w:ascii="Arial"/>
                <w:sz w:val="21"/>
              </w:rPr>
            </w:pPr>
          </w:p>
          <w:p w14:paraId="00A115F9">
            <w:pPr>
              <w:spacing w:before="58"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75" w:type="dxa"/>
            <w:vAlign w:val="top"/>
          </w:tcPr>
          <w:p w14:paraId="3C225AFA">
            <w:pPr>
              <w:spacing w:line="282" w:lineRule="auto"/>
              <w:rPr>
                <w:rFonts w:ascii="Arial"/>
                <w:sz w:val="21"/>
              </w:rPr>
            </w:pPr>
          </w:p>
          <w:p w14:paraId="3DBF4FE5">
            <w:pPr>
              <w:spacing w:before="58"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949" w:type="dxa"/>
            <w:vAlign w:val="top"/>
          </w:tcPr>
          <w:p w14:paraId="289FF79F">
            <w:pPr>
              <w:spacing w:line="282" w:lineRule="auto"/>
              <w:rPr>
                <w:rFonts w:ascii="Arial"/>
                <w:sz w:val="21"/>
              </w:rPr>
            </w:pPr>
          </w:p>
          <w:p w14:paraId="0509ED49">
            <w:pPr>
              <w:spacing w:before="58"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887" w:type="dxa"/>
            <w:vAlign w:val="top"/>
          </w:tcPr>
          <w:p w14:paraId="7664B14D">
            <w:pPr>
              <w:spacing w:line="282" w:lineRule="auto"/>
              <w:rPr>
                <w:rFonts w:ascii="Arial"/>
                <w:sz w:val="21"/>
              </w:rPr>
            </w:pPr>
          </w:p>
          <w:p w14:paraId="122F04DA">
            <w:pPr>
              <w:spacing w:before="5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w:t>
            </w:r>
          </w:p>
        </w:tc>
        <w:tc>
          <w:tcPr>
            <w:tcW w:w="999" w:type="dxa"/>
            <w:vAlign w:val="top"/>
          </w:tcPr>
          <w:p w14:paraId="3AFF063B">
            <w:pPr>
              <w:spacing w:line="282" w:lineRule="auto"/>
              <w:rPr>
                <w:rFonts w:ascii="Arial"/>
                <w:sz w:val="21"/>
              </w:rPr>
            </w:pPr>
          </w:p>
          <w:p w14:paraId="3D001486">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938" w:type="dxa"/>
            <w:vAlign w:val="top"/>
          </w:tcPr>
          <w:p w14:paraId="2E96A264">
            <w:pPr>
              <w:spacing w:line="282" w:lineRule="auto"/>
              <w:rPr>
                <w:rFonts w:ascii="Arial"/>
                <w:sz w:val="21"/>
              </w:rPr>
            </w:pPr>
          </w:p>
          <w:p w14:paraId="1B0BF74C">
            <w:pPr>
              <w:spacing w:before="5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w:t>
            </w:r>
          </w:p>
        </w:tc>
        <w:tc>
          <w:tcPr>
            <w:tcW w:w="887" w:type="dxa"/>
            <w:vAlign w:val="top"/>
          </w:tcPr>
          <w:p w14:paraId="209E995A">
            <w:pPr>
              <w:spacing w:line="282" w:lineRule="auto"/>
              <w:rPr>
                <w:rFonts w:ascii="Arial"/>
                <w:sz w:val="21"/>
              </w:rPr>
            </w:pPr>
          </w:p>
          <w:p w14:paraId="0510E355">
            <w:pPr>
              <w:spacing w:before="5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1030" w:type="dxa"/>
            <w:vAlign w:val="top"/>
          </w:tcPr>
          <w:p w14:paraId="00E6D344">
            <w:pPr>
              <w:pStyle w:val="6"/>
              <w:spacing w:before="31"/>
              <w:ind w:left="112" w:right="102" w:firstLine="91"/>
              <w:jc w:val="both"/>
              <w:rPr>
                <w:sz w:val="20"/>
                <w:szCs w:val="20"/>
              </w:rPr>
            </w:pPr>
            <w:r>
              <w:rPr>
                <w:spacing w:val="7"/>
                <w:sz w:val="20"/>
                <w:szCs w:val="20"/>
              </w:rPr>
              <w:t>场地平</w:t>
            </w:r>
            <w:r>
              <w:rPr>
                <w:sz w:val="20"/>
                <w:szCs w:val="20"/>
              </w:rPr>
              <w:t xml:space="preserve">  </w:t>
            </w:r>
            <w:r>
              <w:rPr>
                <w:spacing w:val="1"/>
                <w:sz w:val="20"/>
                <w:szCs w:val="20"/>
              </w:rPr>
              <w:t>整、管沟</w:t>
            </w:r>
            <w:r>
              <w:rPr>
                <w:sz w:val="20"/>
                <w:szCs w:val="20"/>
              </w:rPr>
              <w:t xml:space="preserve"> </w:t>
            </w:r>
            <w:r>
              <w:rPr>
                <w:spacing w:val="37"/>
                <w:sz w:val="20"/>
                <w:szCs w:val="20"/>
              </w:rPr>
              <w:t>槽开挖</w:t>
            </w:r>
          </w:p>
        </w:tc>
        <w:tc>
          <w:tcPr>
            <w:tcW w:w="697" w:type="dxa"/>
            <w:vAlign w:val="top"/>
          </w:tcPr>
          <w:p w14:paraId="5CDCEF4E">
            <w:pPr>
              <w:spacing w:line="282" w:lineRule="auto"/>
              <w:rPr>
                <w:rFonts w:ascii="Arial"/>
                <w:sz w:val="21"/>
              </w:rPr>
            </w:pPr>
          </w:p>
          <w:p w14:paraId="79132DC5">
            <w:pPr>
              <w:spacing w:before="5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2" w:type="dxa"/>
            <w:vAlign w:val="top"/>
          </w:tcPr>
          <w:p w14:paraId="5EDCE7C1">
            <w:pPr>
              <w:spacing w:line="278" w:lineRule="auto"/>
              <w:rPr>
                <w:rFonts w:ascii="Arial"/>
                <w:sz w:val="21"/>
              </w:rPr>
            </w:pPr>
          </w:p>
          <w:p w14:paraId="3F0B2280">
            <w:pPr>
              <w:spacing w:before="58" w:line="199"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25" w:type="dxa"/>
            <w:vAlign w:val="top"/>
          </w:tcPr>
          <w:p w14:paraId="4C525B7B">
            <w:pPr>
              <w:spacing w:line="282" w:lineRule="auto"/>
              <w:rPr>
                <w:rFonts w:ascii="Arial"/>
                <w:sz w:val="21"/>
              </w:rPr>
            </w:pPr>
          </w:p>
          <w:p w14:paraId="5F82B370">
            <w:pPr>
              <w:spacing w:before="5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vAlign w:val="top"/>
          </w:tcPr>
          <w:p w14:paraId="798FA1FC">
            <w:pPr>
              <w:spacing w:line="278" w:lineRule="auto"/>
              <w:rPr>
                <w:rFonts w:ascii="Arial"/>
                <w:sz w:val="21"/>
              </w:rPr>
            </w:pPr>
          </w:p>
          <w:p w14:paraId="4C4869E2">
            <w:pPr>
              <w:spacing w:before="58"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vAlign w:val="top"/>
          </w:tcPr>
          <w:p w14:paraId="70BF0089">
            <w:pPr>
              <w:spacing w:line="282" w:lineRule="auto"/>
              <w:rPr>
                <w:rFonts w:ascii="Arial"/>
                <w:sz w:val="21"/>
              </w:rPr>
            </w:pPr>
          </w:p>
          <w:p w14:paraId="0DF180C7">
            <w:pPr>
              <w:spacing w:before="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right w:val="single" w:color="000000" w:sz="2" w:space="0"/>
            </w:tcBorders>
            <w:vAlign w:val="top"/>
          </w:tcPr>
          <w:p w14:paraId="46FCCA37">
            <w:pPr>
              <w:spacing w:line="278" w:lineRule="auto"/>
              <w:rPr>
                <w:rFonts w:ascii="Arial"/>
                <w:sz w:val="21"/>
              </w:rPr>
            </w:pPr>
          </w:p>
          <w:p w14:paraId="30850B99">
            <w:pPr>
              <w:spacing w:before="58" w:line="199"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F807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001" w:type="dxa"/>
            <w:vMerge w:val="continue"/>
            <w:tcBorders>
              <w:top w:val="nil"/>
              <w:left w:val="single" w:color="000000" w:sz="2" w:space="0"/>
              <w:bottom w:val="single" w:color="000000" w:sz="2" w:space="0"/>
            </w:tcBorders>
            <w:vAlign w:val="top"/>
          </w:tcPr>
          <w:p w14:paraId="443A7F63">
            <w:pPr>
              <w:rPr>
                <w:rFonts w:ascii="Arial"/>
                <w:sz w:val="21"/>
              </w:rPr>
            </w:pPr>
          </w:p>
        </w:tc>
        <w:tc>
          <w:tcPr>
            <w:tcW w:w="1812" w:type="dxa"/>
            <w:tcBorders>
              <w:bottom w:val="single" w:color="000000" w:sz="2" w:space="0"/>
            </w:tcBorders>
            <w:vAlign w:val="top"/>
          </w:tcPr>
          <w:p w14:paraId="13A4F142">
            <w:pPr>
              <w:spacing w:line="375" w:lineRule="auto"/>
              <w:rPr>
                <w:rFonts w:ascii="Arial"/>
                <w:sz w:val="21"/>
              </w:rPr>
            </w:pPr>
          </w:p>
          <w:p w14:paraId="41794FA2">
            <w:pPr>
              <w:pStyle w:val="6"/>
              <w:spacing w:before="65" w:line="229" w:lineRule="auto"/>
              <w:ind w:left="702"/>
              <w:rPr>
                <w:sz w:val="20"/>
                <w:szCs w:val="20"/>
              </w:rPr>
            </w:pPr>
            <w:r>
              <w:rPr>
                <w:spacing w:val="2"/>
                <w:sz w:val="20"/>
                <w:szCs w:val="20"/>
              </w:rPr>
              <w:t>小计</w:t>
            </w:r>
          </w:p>
        </w:tc>
        <w:tc>
          <w:tcPr>
            <w:tcW w:w="750" w:type="dxa"/>
            <w:tcBorders>
              <w:bottom w:val="single" w:color="000000" w:sz="2" w:space="0"/>
            </w:tcBorders>
            <w:vAlign w:val="top"/>
          </w:tcPr>
          <w:p w14:paraId="2999A5B0">
            <w:pPr>
              <w:spacing w:line="418" w:lineRule="auto"/>
              <w:rPr>
                <w:rFonts w:ascii="Arial"/>
                <w:sz w:val="21"/>
              </w:rPr>
            </w:pPr>
          </w:p>
          <w:p w14:paraId="76699DE9">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w:t>
            </w:r>
          </w:p>
        </w:tc>
        <w:tc>
          <w:tcPr>
            <w:tcW w:w="875" w:type="dxa"/>
            <w:tcBorders>
              <w:bottom w:val="single" w:color="000000" w:sz="2" w:space="0"/>
            </w:tcBorders>
            <w:vAlign w:val="top"/>
          </w:tcPr>
          <w:p w14:paraId="00343E0B">
            <w:pPr>
              <w:spacing w:line="418" w:lineRule="auto"/>
              <w:rPr>
                <w:rFonts w:ascii="Arial"/>
                <w:sz w:val="21"/>
              </w:rPr>
            </w:pPr>
          </w:p>
          <w:p w14:paraId="46C486CB">
            <w:pPr>
              <w:spacing w:before="5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w:t>
            </w:r>
          </w:p>
        </w:tc>
        <w:tc>
          <w:tcPr>
            <w:tcW w:w="949" w:type="dxa"/>
            <w:tcBorders>
              <w:bottom w:val="single" w:color="000000" w:sz="2" w:space="0"/>
            </w:tcBorders>
            <w:vAlign w:val="top"/>
          </w:tcPr>
          <w:p w14:paraId="349D39CB">
            <w:pPr>
              <w:spacing w:line="418" w:lineRule="auto"/>
              <w:rPr>
                <w:rFonts w:ascii="Arial"/>
                <w:sz w:val="21"/>
              </w:rPr>
            </w:pPr>
          </w:p>
          <w:p w14:paraId="7FC3097A">
            <w:pPr>
              <w:spacing w:before="5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w:t>
            </w:r>
          </w:p>
        </w:tc>
        <w:tc>
          <w:tcPr>
            <w:tcW w:w="887" w:type="dxa"/>
            <w:tcBorders>
              <w:bottom w:val="single" w:color="000000" w:sz="2" w:space="0"/>
            </w:tcBorders>
            <w:vAlign w:val="top"/>
          </w:tcPr>
          <w:p w14:paraId="25F29BC7">
            <w:pPr>
              <w:spacing w:line="418" w:lineRule="auto"/>
              <w:rPr>
                <w:rFonts w:ascii="Arial"/>
                <w:sz w:val="21"/>
              </w:rPr>
            </w:pPr>
          </w:p>
          <w:p w14:paraId="5534615E">
            <w:pPr>
              <w:spacing w:before="57"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w:t>
            </w:r>
          </w:p>
        </w:tc>
        <w:tc>
          <w:tcPr>
            <w:tcW w:w="999" w:type="dxa"/>
            <w:tcBorders>
              <w:bottom w:val="single" w:color="000000" w:sz="2" w:space="0"/>
            </w:tcBorders>
            <w:vAlign w:val="top"/>
          </w:tcPr>
          <w:p w14:paraId="78A8E328">
            <w:pPr>
              <w:spacing w:line="418" w:lineRule="auto"/>
              <w:rPr>
                <w:rFonts w:ascii="Arial"/>
                <w:sz w:val="21"/>
              </w:rPr>
            </w:pPr>
          </w:p>
          <w:p w14:paraId="14ACAF4A">
            <w:pPr>
              <w:spacing w:before="57"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1.44</w:t>
            </w:r>
          </w:p>
        </w:tc>
        <w:tc>
          <w:tcPr>
            <w:tcW w:w="938" w:type="dxa"/>
            <w:tcBorders>
              <w:bottom w:val="single" w:color="000000" w:sz="2" w:space="0"/>
            </w:tcBorders>
            <w:vAlign w:val="top"/>
          </w:tcPr>
          <w:p w14:paraId="74D4DEB3">
            <w:pPr>
              <w:spacing w:line="418" w:lineRule="auto"/>
              <w:rPr>
                <w:rFonts w:ascii="Arial"/>
                <w:sz w:val="21"/>
              </w:rPr>
            </w:pPr>
          </w:p>
          <w:p w14:paraId="4F46B723">
            <w:pPr>
              <w:spacing w:before="57"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1.86</w:t>
            </w:r>
          </w:p>
        </w:tc>
        <w:tc>
          <w:tcPr>
            <w:tcW w:w="887" w:type="dxa"/>
            <w:tcBorders>
              <w:bottom w:val="single" w:color="000000" w:sz="2" w:space="0"/>
            </w:tcBorders>
            <w:vAlign w:val="top"/>
          </w:tcPr>
          <w:p w14:paraId="408B5E5D">
            <w:pPr>
              <w:spacing w:line="418" w:lineRule="auto"/>
              <w:rPr>
                <w:rFonts w:ascii="Arial"/>
                <w:sz w:val="21"/>
              </w:rPr>
            </w:pPr>
          </w:p>
          <w:p w14:paraId="4917738A">
            <w:pPr>
              <w:spacing w:before="5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1030" w:type="dxa"/>
            <w:tcBorders>
              <w:bottom w:val="single" w:color="000000" w:sz="2" w:space="0"/>
            </w:tcBorders>
            <w:vAlign w:val="top"/>
          </w:tcPr>
          <w:p w14:paraId="0BC865C2">
            <w:pPr>
              <w:pStyle w:val="6"/>
              <w:spacing w:before="167" w:line="244" w:lineRule="auto"/>
              <w:ind w:left="112" w:right="102" w:firstLine="91"/>
              <w:jc w:val="both"/>
              <w:rPr>
                <w:sz w:val="20"/>
                <w:szCs w:val="20"/>
              </w:rPr>
            </w:pPr>
            <w:r>
              <w:rPr>
                <w:spacing w:val="7"/>
                <w:sz w:val="20"/>
                <w:szCs w:val="20"/>
              </w:rPr>
              <w:t>场地平</w:t>
            </w:r>
            <w:r>
              <w:rPr>
                <w:sz w:val="20"/>
                <w:szCs w:val="20"/>
              </w:rPr>
              <w:t xml:space="preserve">  </w:t>
            </w:r>
            <w:r>
              <w:rPr>
                <w:spacing w:val="1"/>
                <w:sz w:val="20"/>
                <w:szCs w:val="20"/>
              </w:rPr>
              <w:t>整、管沟</w:t>
            </w:r>
            <w:r>
              <w:rPr>
                <w:sz w:val="20"/>
                <w:szCs w:val="20"/>
              </w:rPr>
              <w:t xml:space="preserve"> </w:t>
            </w:r>
            <w:r>
              <w:rPr>
                <w:spacing w:val="37"/>
                <w:sz w:val="20"/>
                <w:szCs w:val="20"/>
              </w:rPr>
              <w:t>槽开挖</w:t>
            </w:r>
          </w:p>
        </w:tc>
        <w:tc>
          <w:tcPr>
            <w:tcW w:w="697" w:type="dxa"/>
            <w:tcBorders>
              <w:bottom w:val="single" w:color="000000" w:sz="2" w:space="0"/>
            </w:tcBorders>
            <w:vAlign w:val="top"/>
          </w:tcPr>
          <w:p w14:paraId="1C27598B">
            <w:pPr>
              <w:spacing w:line="418" w:lineRule="auto"/>
              <w:rPr>
                <w:rFonts w:ascii="Arial"/>
                <w:sz w:val="21"/>
              </w:rPr>
            </w:pPr>
          </w:p>
          <w:p w14:paraId="217B601D">
            <w:pPr>
              <w:spacing w:before="57"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0.64</w:t>
            </w:r>
          </w:p>
        </w:tc>
        <w:tc>
          <w:tcPr>
            <w:tcW w:w="772" w:type="dxa"/>
            <w:tcBorders>
              <w:bottom w:val="single" w:color="000000" w:sz="2" w:space="0"/>
            </w:tcBorders>
            <w:vAlign w:val="top"/>
          </w:tcPr>
          <w:p w14:paraId="079DB515">
            <w:pPr>
              <w:pStyle w:val="6"/>
              <w:spacing w:before="33" w:line="245" w:lineRule="auto"/>
              <w:ind w:left="114" w:right="63" w:firstLine="68"/>
              <w:jc w:val="both"/>
              <w:rPr>
                <w:sz w:val="20"/>
                <w:szCs w:val="20"/>
              </w:rPr>
            </w:pPr>
            <w:r>
              <w:rPr>
                <w:spacing w:val="3"/>
                <w:sz w:val="20"/>
                <w:szCs w:val="20"/>
              </w:rPr>
              <w:t>绿化</w:t>
            </w:r>
            <w:r>
              <w:rPr>
                <w:sz w:val="20"/>
                <w:szCs w:val="20"/>
              </w:rPr>
              <w:t xml:space="preserve">  </w:t>
            </w:r>
            <w:r>
              <w:rPr>
                <w:spacing w:val="-6"/>
                <w:sz w:val="20"/>
                <w:szCs w:val="20"/>
              </w:rPr>
              <w:t>工程、</w:t>
            </w:r>
            <w:r>
              <w:rPr>
                <w:sz w:val="20"/>
                <w:szCs w:val="20"/>
              </w:rPr>
              <w:t xml:space="preserve"> </w:t>
            </w:r>
            <w:r>
              <w:rPr>
                <w:spacing w:val="38"/>
                <w:sz w:val="20"/>
                <w:szCs w:val="20"/>
              </w:rPr>
              <w:t>道路</w:t>
            </w:r>
            <w:r>
              <w:rPr>
                <w:sz w:val="20"/>
                <w:szCs w:val="20"/>
              </w:rPr>
              <w:t xml:space="preserve">  </w:t>
            </w:r>
            <w:r>
              <w:rPr>
                <w:spacing w:val="38"/>
                <w:sz w:val="20"/>
                <w:szCs w:val="20"/>
              </w:rPr>
              <w:t>工程</w:t>
            </w:r>
          </w:p>
        </w:tc>
        <w:tc>
          <w:tcPr>
            <w:tcW w:w="625" w:type="dxa"/>
            <w:tcBorders>
              <w:bottom w:val="single" w:color="000000" w:sz="2" w:space="0"/>
            </w:tcBorders>
            <w:vAlign w:val="top"/>
          </w:tcPr>
          <w:p w14:paraId="21B771CE">
            <w:pPr>
              <w:spacing w:line="418" w:lineRule="auto"/>
              <w:rPr>
                <w:rFonts w:ascii="Arial"/>
                <w:sz w:val="21"/>
              </w:rPr>
            </w:pPr>
          </w:p>
          <w:p w14:paraId="1FD113C6">
            <w:pPr>
              <w:spacing w:before="5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tcBorders>
              <w:bottom w:val="single" w:color="000000" w:sz="2" w:space="0"/>
            </w:tcBorders>
            <w:vAlign w:val="top"/>
          </w:tcPr>
          <w:p w14:paraId="7ED2C29D">
            <w:pPr>
              <w:spacing w:line="414" w:lineRule="auto"/>
              <w:rPr>
                <w:rFonts w:ascii="Arial"/>
                <w:sz w:val="21"/>
              </w:rPr>
            </w:pPr>
          </w:p>
          <w:p w14:paraId="610726EE">
            <w:pPr>
              <w:spacing w:before="57"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tcBorders>
              <w:bottom w:val="single" w:color="000000" w:sz="2" w:space="0"/>
            </w:tcBorders>
            <w:vAlign w:val="top"/>
          </w:tcPr>
          <w:p w14:paraId="6C3CF115">
            <w:pPr>
              <w:spacing w:line="418" w:lineRule="auto"/>
              <w:rPr>
                <w:rFonts w:ascii="Arial"/>
                <w:sz w:val="21"/>
              </w:rPr>
            </w:pPr>
          </w:p>
          <w:p w14:paraId="2393EC49">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bottom w:val="single" w:color="000000" w:sz="2" w:space="0"/>
              <w:right w:val="single" w:color="000000" w:sz="2" w:space="0"/>
            </w:tcBorders>
            <w:vAlign w:val="top"/>
          </w:tcPr>
          <w:p w14:paraId="0F9C6EFA">
            <w:pPr>
              <w:spacing w:line="414" w:lineRule="auto"/>
              <w:rPr>
                <w:rFonts w:ascii="Arial"/>
                <w:sz w:val="21"/>
              </w:rPr>
            </w:pPr>
          </w:p>
          <w:p w14:paraId="0BAED229">
            <w:pPr>
              <w:spacing w:before="57" w:line="199"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3A37842B">
      <w:pPr>
        <w:rPr>
          <w:rFonts w:ascii="Arial"/>
          <w:sz w:val="21"/>
        </w:rPr>
      </w:pPr>
    </w:p>
    <w:p w14:paraId="0618217F">
      <w:pPr>
        <w:rPr>
          <w:rFonts w:ascii="Arial" w:hAnsi="Arial" w:eastAsia="Arial" w:cs="Arial"/>
          <w:sz w:val="21"/>
          <w:szCs w:val="21"/>
        </w:rPr>
        <w:sectPr>
          <w:footerReference r:id="rId123" w:type="default"/>
          <w:pgSz w:w="16839" w:h="11906"/>
          <w:pgMar w:top="1012" w:right="1327" w:bottom="1278" w:left="1327" w:header="0" w:footer="1116" w:gutter="0"/>
          <w:cols w:space="720" w:num="1"/>
        </w:sectPr>
      </w:pPr>
    </w:p>
    <w:p w14:paraId="22C5BAD3">
      <w:pPr>
        <w:spacing w:before="18"/>
      </w:pPr>
      <w:r>
        <w:pict>
          <v:shape id="_x0000_s1079" o:spid="_x0000_s1079" style="position:absolute;left:0pt;margin-left:768.4pt;margin-top:78.45pt;height:53.7pt;width:1.45pt;mso-position-horizontal-relative:page;mso-position-vertical-relative:page;z-index:251723776;mso-width-relative:page;mso-height-relative:page;" filled="f" stroked="t" coordsize="29,1074" o:allowincell="f" path="m14,0l14,1073e">
            <v:fill on="f" focussize="0,0"/>
            <v:stroke weight="1.44pt" color="#000000" miterlimit="2" joinstyle="bevel"/>
            <v:imagedata o:title=""/>
            <o:lock v:ext="edit"/>
          </v:shape>
        </w:pict>
      </w:r>
      <w:r>
        <w:drawing>
          <wp:anchor distT="0" distB="0" distL="0" distR="0" simplePos="0" relativeHeight="251724800" behindDoc="0" locked="0" layoutInCell="0" allowOverlap="1">
            <wp:simplePos x="0" y="0"/>
            <wp:positionH relativeFrom="page">
              <wp:posOffset>914400</wp:posOffset>
            </wp:positionH>
            <wp:positionV relativeFrom="page">
              <wp:posOffset>977900</wp:posOffset>
            </wp:positionV>
            <wp:extent cx="18415" cy="69977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4"/>
                    <a:stretch>
                      <a:fillRect/>
                    </a:stretch>
                  </pic:blipFill>
                  <pic:spPr>
                    <a:xfrm>
                      <a:off x="0" y="0"/>
                      <a:ext cx="18288" cy="699643"/>
                    </a:xfrm>
                    <a:prstGeom prst="rect">
                      <a:avLst/>
                    </a:prstGeom>
                  </pic:spPr>
                </pic:pic>
              </a:graphicData>
            </a:graphic>
          </wp:anchor>
        </w:drawing>
      </w:r>
    </w:p>
    <w:p w14:paraId="1A5DB9EA">
      <w:pPr>
        <w:spacing w:before="18"/>
      </w:pPr>
    </w:p>
    <w:tbl>
      <w:tblPr>
        <w:tblStyle w:val="5"/>
        <w:tblW w:w="1417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1812"/>
        <w:gridCol w:w="750"/>
        <w:gridCol w:w="875"/>
        <w:gridCol w:w="949"/>
        <w:gridCol w:w="887"/>
        <w:gridCol w:w="999"/>
        <w:gridCol w:w="938"/>
        <w:gridCol w:w="887"/>
        <w:gridCol w:w="1030"/>
        <w:gridCol w:w="697"/>
        <w:gridCol w:w="772"/>
        <w:gridCol w:w="625"/>
        <w:gridCol w:w="650"/>
        <w:gridCol w:w="638"/>
        <w:gridCol w:w="668"/>
      </w:tblGrid>
      <w:tr w14:paraId="340E6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001" w:type="dxa"/>
            <w:tcBorders>
              <w:top w:val="single" w:color="000000" w:sz="2" w:space="0"/>
              <w:left w:val="single" w:color="000000" w:sz="2" w:space="0"/>
            </w:tcBorders>
            <w:vAlign w:val="top"/>
          </w:tcPr>
          <w:p w14:paraId="4DF43943">
            <w:pPr>
              <w:pStyle w:val="6"/>
              <w:spacing w:before="46" w:line="235" w:lineRule="auto"/>
              <w:ind w:left="356" w:right="119" w:hanging="105"/>
              <w:rPr>
                <w:sz w:val="20"/>
                <w:szCs w:val="20"/>
              </w:rPr>
            </w:pPr>
            <w:r>
              <w:rPr>
                <w:spacing w:val="7"/>
                <w:sz w:val="20"/>
                <w:szCs w:val="20"/>
              </w:rPr>
              <w:t>施工期</w:t>
            </w:r>
            <w:r>
              <w:rPr>
                <w:sz w:val="20"/>
                <w:szCs w:val="20"/>
              </w:rPr>
              <w:t xml:space="preserve"> </w:t>
            </w:r>
            <w:r>
              <w:rPr>
                <w:spacing w:val="5"/>
                <w:sz w:val="20"/>
                <w:szCs w:val="20"/>
              </w:rPr>
              <w:t>道路</w:t>
            </w:r>
          </w:p>
        </w:tc>
        <w:tc>
          <w:tcPr>
            <w:tcW w:w="1812" w:type="dxa"/>
            <w:tcBorders>
              <w:top w:val="single" w:color="000000" w:sz="10" w:space="0"/>
            </w:tcBorders>
            <w:vAlign w:val="top"/>
          </w:tcPr>
          <w:p w14:paraId="31D3912C">
            <w:pPr>
              <w:pStyle w:val="6"/>
              <w:spacing w:before="180" w:line="228" w:lineRule="auto"/>
              <w:ind w:left="174"/>
              <w:rPr>
                <w:sz w:val="20"/>
                <w:szCs w:val="20"/>
              </w:rPr>
            </w:pPr>
            <w:r>
              <w:rPr>
                <w:spacing w:val="8"/>
                <w:sz w:val="20"/>
                <w:szCs w:val="20"/>
              </w:rPr>
              <w:t>路基、边坡开挖</w:t>
            </w:r>
          </w:p>
        </w:tc>
        <w:tc>
          <w:tcPr>
            <w:tcW w:w="750" w:type="dxa"/>
            <w:tcBorders>
              <w:top w:val="single" w:color="000000" w:sz="10" w:space="0"/>
            </w:tcBorders>
            <w:vAlign w:val="top"/>
          </w:tcPr>
          <w:p w14:paraId="517F2464">
            <w:pPr>
              <w:spacing w:before="218"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w:t>
            </w:r>
          </w:p>
        </w:tc>
        <w:tc>
          <w:tcPr>
            <w:tcW w:w="875" w:type="dxa"/>
            <w:tcBorders>
              <w:top w:val="single" w:color="000000" w:sz="10" w:space="0"/>
            </w:tcBorders>
            <w:vAlign w:val="top"/>
          </w:tcPr>
          <w:p w14:paraId="1A15D206">
            <w:pPr>
              <w:spacing w:before="21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949" w:type="dxa"/>
            <w:tcBorders>
              <w:top w:val="single" w:color="000000" w:sz="10" w:space="0"/>
            </w:tcBorders>
            <w:vAlign w:val="top"/>
          </w:tcPr>
          <w:p w14:paraId="35FD268E">
            <w:pPr>
              <w:spacing w:before="21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3.52</w:t>
            </w:r>
          </w:p>
        </w:tc>
        <w:tc>
          <w:tcPr>
            <w:tcW w:w="887" w:type="dxa"/>
            <w:tcBorders>
              <w:top w:val="single" w:color="000000" w:sz="10" w:space="0"/>
            </w:tcBorders>
            <w:vAlign w:val="top"/>
          </w:tcPr>
          <w:p w14:paraId="28CB3392">
            <w:pPr>
              <w:spacing w:before="21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w:t>
            </w:r>
          </w:p>
        </w:tc>
        <w:tc>
          <w:tcPr>
            <w:tcW w:w="999" w:type="dxa"/>
            <w:tcBorders>
              <w:top w:val="single" w:color="000000" w:sz="10" w:space="0"/>
            </w:tcBorders>
            <w:vAlign w:val="top"/>
          </w:tcPr>
          <w:p w14:paraId="329C55C3">
            <w:pPr>
              <w:spacing w:before="21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938" w:type="dxa"/>
            <w:tcBorders>
              <w:top w:val="single" w:color="000000" w:sz="10" w:space="0"/>
            </w:tcBorders>
            <w:vAlign w:val="top"/>
          </w:tcPr>
          <w:p w14:paraId="4E51D8B4">
            <w:pPr>
              <w:spacing w:before="21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3.52</w:t>
            </w:r>
          </w:p>
        </w:tc>
        <w:tc>
          <w:tcPr>
            <w:tcW w:w="887" w:type="dxa"/>
            <w:tcBorders>
              <w:top w:val="single" w:color="000000" w:sz="10" w:space="0"/>
            </w:tcBorders>
            <w:vAlign w:val="top"/>
          </w:tcPr>
          <w:p w14:paraId="67DBC1F9">
            <w:pPr>
              <w:spacing w:before="218"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30" w:type="dxa"/>
            <w:tcBorders>
              <w:top w:val="single" w:color="000000" w:sz="10" w:space="0"/>
            </w:tcBorders>
            <w:vAlign w:val="top"/>
          </w:tcPr>
          <w:p w14:paraId="60AD3FBC">
            <w:pPr>
              <w:spacing w:before="215" w:line="199"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7" w:type="dxa"/>
            <w:tcBorders>
              <w:top w:val="single" w:color="000000" w:sz="10" w:space="0"/>
            </w:tcBorders>
            <w:vAlign w:val="top"/>
          </w:tcPr>
          <w:p w14:paraId="240AB675">
            <w:pPr>
              <w:spacing w:before="21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72" w:type="dxa"/>
            <w:tcBorders>
              <w:top w:val="single" w:color="000000" w:sz="10" w:space="0"/>
            </w:tcBorders>
            <w:vAlign w:val="top"/>
          </w:tcPr>
          <w:p w14:paraId="7E7645B9">
            <w:pPr>
              <w:spacing w:before="215" w:line="199"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25" w:type="dxa"/>
            <w:tcBorders>
              <w:top w:val="single" w:color="000000" w:sz="10" w:space="0"/>
            </w:tcBorders>
            <w:vAlign w:val="top"/>
          </w:tcPr>
          <w:p w14:paraId="6D8BC4D2">
            <w:pPr>
              <w:spacing w:before="21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tcBorders>
              <w:top w:val="single" w:color="000000" w:sz="10" w:space="0"/>
            </w:tcBorders>
            <w:vAlign w:val="top"/>
          </w:tcPr>
          <w:p w14:paraId="3DEEFC92">
            <w:pPr>
              <w:spacing w:before="215"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tcBorders>
              <w:top w:val="single" w:color="000000" w:sz="10" w:space="0"/>
            </w:tcBorders>
            <w:vAlign w:val="top"/>
          </w:tcPr>
          <w:p w14:paraId="6914016A">
            <w:pPr>
              <w:spacing w:before="21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top w:val="single" w:color="000000" w:sz="2" w:space="0"/>
              <w:right w:val="single" w:color="000000" w:sz="2" w:space="0"/>
            </w:tcBorders>
            <w:vAlign w:val="top"/>
          </w:tcPr>
          <w:p w14:paraId="1FF22C30">
            <w:pPr>
              <w:spacing w:before="215" w:line="199"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541F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2813" w:type="dxa"/>
            <w:gridSpan w:val="2"/>
            <w:tcBorders>
              <w:left w:val="single" w:color="000000" w:sz="2" w:space="0"/>
              <w:bottom w:val="single" w:color="000000" w:sz="10" w:space="0"/>
            </w:tcBorders>
            <w:vAlign w:val="top"/>
          </w:tcPr>
          <w:p w14:paraId="02952FFF">
            <w:pPr>
              <w:pStyle w:val="6"/>
              <w:spacing w:before="132" w:line="229" w:lineRule="auto"/>
              <w:ind w:left="1263"/>
              <w:rPr>
                <w:sz w:val="20"/>
                <w:szCs w:val="20"/>
              </w:rPr>
            </w:pPr>
            <w:r>
              <w:rPr>
                <w:spacing w:val="4"/>
                <w:sz w:val="20"/>
                <w:szCs w:val="20"/>
              </w:rPr>
              <w:t>合计</w:t>
            </w:r>
          </w:p>
        </w:tc>
        <w:tc>
          <w:tcPr>
            <w:tcW w:w="750" w:type="dxa"/>
            <w:tcBorders>
              <w:bottom w:val="single" w:color="000000" w:sz="10" w:space="0"/>
            </w:tcBorders>
            <w:vAlign w:val="top"/>
          </w:tcPr>
          <w:p w14:paraId="0BCB3A84">
            <w:pPr>
              <w:spacing w:before="170"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9.307</w:t>
            </w:r>
          </w:p>
        </w:tc>
        <w:tc>
          <w:tcPr>
            <w:tcW w:w="875" w:type="dxa"/>
            <w:tcBorders>
              <w:bottom w:val="single" w:color="000000" w:sz="10" w:space="0"/>
            </w:tcBorders>
            <w:vAlign w:val="top"/>
          </w:tcPr>
          <w:p w14:paraId="102477BE">
            <w:pPr>
              <w:spacing w:before="51" w:line="226" w:lineRule="auto"/>
              <w:ind w:left="389" w:right="145" w:hanging="223"/>
              <w:rPr>
                <w:rFonts w:ascii="Times New Roman" w:hAnsi="Times New Roman" w:eastAsia="Times New Roman" w:cs="Times New Roman"/>
                <w:sz w:val="20"/>
                <w:szCs w:val="20"/>
              </w:rPr>
            </w:pPr>
            <w:r>
              <w:rPr>
                <w:rFonts w:ascii="Times New Roman" w:hAnsi="Times New Roman" w:eastAsia="Times New Roman" w:cs="Times New Roman"/>
                <w:sz w:val="20"/>
                <w:szCs w:val="20"/>
              </w:rPr>
              <w:t>17.957</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5</w:t>
            </w:r>
          </w:p>
        </w:tc>
        <w:tc>
          <w:tcPr>
            <w:tcW w:w="949" w:type="dxa"/>
            <w:tcBorders>
              <w:bottom w:val="single" w:color="000000" w:sz="10" w:space="0"/>
            </w:tcBorders>
            <w:vAlign w:val="top"/>
          </w:tcPr>
          <w:p w14:paraId="293A82CE">
            <w:pPr>
              <w:spacing w:before="170"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27.2645</w:t>
            </w:r>
          </w:p>
        </w:tc>
        <w:tc>
          <w:tcPr>
            <w:tcW w:w="887" w:type="dxa"/>
            <w:tcBorders>
              <w:bottom w:val="single" w:color="000000" w:sz="10" w:space="0"/>
            </w:tcBorders>
            <w:vAlign w:val="top"/>
          </w:tcPr>
          <w:p w14:paraId="5CCB0540">
            <w:pPr>
              <w:spacing w:before="170"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9.307</w:t>
            </w:r>
          </w:p>
        </w:tc>
        <w:tc>
          <w:tcPr>
            <w:tcW w:w="999" w:type="dxa"/>
            <w:tcBorders>
              <w:bottom w:val="single" w:color="000000" w:sz="10" w:space="0"/>
            </w:tcBorders>
            <w:vAlign w:val="top"/>
          </w:tcPr>
          <w:p w14:paraId="0D76E604">
            <w:pPr>
              <w:spacing w:before="170"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17.9575</w:t>
            </w:r>
          </w:p>
        </w:tc>
        <w:tc>
          <w:tcPr>
            <w:tcW w:w="938" w:type="dxa"/>
            <w:tcBorders>
              <w:bottom w:val="single" w:color="000000" w:sz="10" w:space="0"/>
            </w:tcBorders>
            <w:vAlign w:val="top"/>
          </w:tcPr>
          <w:p w14:paraId="6E6A06B6">
            <w:pPr>
              <w:spacing w:before="170"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27.2645</w:t>
            </w:r>
          </w:p>
        </w:tc>
        <w:tc>
          <w:tcPr>
            <w:tcW w:w="887" w:type="dxa"/>
            <w:tcBorders>
              <w:bottom w:val="single" w:color="000000" w:sz="10" w:space="0"/>
            </w:tcBorders>
            <w:vAlign w:val="top"/>
          </w:tcPr>
          <w:p w14:paraId="7CD606FC">
            <w:pPr>
              <w:spacing w:before="170"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2.546</w:t>
            </w:r>
          </w:p>
        </w:tc>
        <w:tc>
          <w:tcPr>
            <w:tcW w:w="1030" w:type="dxa"/>
            <w:tcBorders>
              <w:bottom w:val="single" w:color="000000" w:sz="10" w:space="0"/>
            </w:tcBorders>
            <w:vAlign w:val="top"/>
          </w:tcPr>
          <w:p w14:paraId="7E778D1B">
            <w:pPr>
              <w:spacing w:before="167" w:line="199"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7" w:type="dxa"/>
            <w:tcBorders>
              <w:bottom w:val="single" w:color="000000" w:sz="10" w:space="0"/>
            </w:tcBorders>
            <w:vAlign w:val="top"/>
          </w:tcPr>
          <w:p w14:paraId="058BAEC2">
            <w:pPr>
              <w:spacing w:before="170"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2.546</w:t>
            </w:r>
          </w:p>
        </w:tc>
        <w:tc>
          <w:tcPr>
            <w:tcW w:w="772" w:type="dxa"/>
            <w:tcBorders>
              <w:bottom w:val="single" w:color="000000" w:sz="10" w:space="0"/>
            </w:tcBorders>
            <w:vAlign w:val="top"/>
          </w:tcPr>
          <w:p w14:paraId="68B184D3">
            <w:pPr>
              <w:spacing w:before="167" w:line="199"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25" w:type="dxa"/>
            <w:tcBorders>
              <w:bottom w:val="single" w:color="000000" w:sz="10" w:space="0"/>
            </w:tcBorders>
            <w:vAlign w:val="top"/>
          </w:tcPr>
          <w:p w14:paraId="69945FA8">
            <w:pPr>
              <w:spacing w:before="17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0" w:type="dxa"/>
            <w:tcBorders>
              <w:bottom w:val="single" w:color="000000" w:sz="10" w:space="0"/>
            </w:tcBorders>
            <w:vAlign w:val="top"/>
          </w:tcPr>
          <w:p w14:paraId="77A9304D">
            <w:pPr>
              <w:spacing w:before="167"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8" w:type="dxa"/>
            <w:tcBorders>
              <w:bottom w:val="single" w:color="000000" w:sz="10" w:space="0"/>
            </w:tcBorders>
            <w:vAlign w:val="top"/>
          </w:tcPr>
          <w:p w14:paraId="6514E0B3">
            <w:pPr>
              <w:spacing w:before="17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8" w:type="dxa"/>
            <w:tcBorders>
              <w:bottom w:val="single" w:color="000000" w:sz="10" w:space="0"/>
              <w:right w:val="single" w:color="000000" w:sz="2" w:space="0"/>
            </w:tcBorders>
            <w:vAlign w:val="top"/>
          </w:tcPr>
          <w:p w14:paraId="7199FDDC">
            <w:pPr>
              <w:spacing w:before="167" w:line="199"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E46C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4" w:hRule="atLeast"/>
        </w:trPr>
        <w:tc>
          <w:tcPr>
            <w:tcW w:w="14178" w:type="dxa"/>
            <w:gridSpan w:val="16"/>
            <w:tcBorders>
              <w:top w:val="single" w:color="000000" w:sz="10" w:space="0"/>
              <w:left w:val="single" w:color="000000" w:sz="2" w:space="0"/>
              <w:bottom w:val="single" w:color="000000" w:sz="2" w:space="0"/>
              <w:right w:val="single" w:color="000000" w:sz="2" w:space="0"/>
            </w:tcBorders>
            <w:vAlign w:val="top"/>
          </w:tcPr>
          <w:p w14:paraId="4BC8737E">
            <w:pPr>
              <w:rPr>
                <w:rFonts w:ascii="Arial"/>
                <w:sz w:val="21"/>
              </w:rPr>
            </w:pPr>
          </w:p>
        </w:tc>
      </w:tr>
    </w:tbl>
    <w:p w14:paraId="44C6BDF4">
      <w:pPr>
        <w:rPr>
          <w:rFonts w:ascii="Arial"/>
          <w:sz w:val="21"/>
        </w:rPr>
      </w:pPr>
    </w:p>
    <w:p w14:paraId="483ACCAA">
      <w:pPr>
        <w:rPr>
          <w:rFonts w:ascii="Arial" w:hAnsi="Arial" w:eastAsia="Arial" w:cs="Arial"/>
          <w:sz w:val="21"/>
          <w:szCs w:val="21"/>
        </w:rPr>
        <w:sectPr>
          <w:footerReference r:id="rId124" w:type="default"/>
          <w:pgSz w:w="16839" w:h="11906"/>
          <w:pgMar w:top="1012" w:right="1327" w:bottom="1278" w:left="1327" w:header="0" w:footer="1116" w:gutter="0"/>
          <w:cols w:space="720" w:num="1"/>
        </w:sectPr>
      </w:pPr>
    </w:p>
    <w:p w14:paraId="10C40784">
      <w:pPr>
        <w:spacing w:before="18"/>
      </w:pPr>
    </w:p>
    <w:p w14:paraId="727AD76F">
      <w:pPr>
        <w:spacing w:before="18"/>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178"/>
      </w:tblGrid>
      <w:tr w14:paraId="001E269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747" w:hRule="atLeast"/>
        </w:trPr>
        <w:tc>
          <w:tcPr>
            <w:tcW w:w="14178" w:type="dxa"/>
            <w:vAlign w:val="top"/>
          </w:tcPr>
          <w:p w14:paraId="2402C20A">
            <w:pPr>
              <w:spacing w:before="4" w:line="8021" w:lineRule="exact"/>
              <w:ind w:firstLine="1319"/>
            </w:pPr>
            <w:r>
              <w:rPr>
                <w:position w:val="-160"/>
              </w:rPr>
              <w:drawing>
                <wp:inline distT="0" distB="0" distL="0" distR="0">
                  <wp:extent cx="7324090" cy="50927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25"/>
                          <a:stretch>
                            <a:fillRect/>
                          </a:stretch>
                        </pic:blipFill>
                        <pic:spPr>
                          <a:xfrm>
                            <a:off x="0" y="0"/>
                            <a:ext cx="7324345" cy="5093208"/>
                          </a:xfrm>
                          <a:prstGeom prst="rect">
                            <a:avLst/>
                          </a:prstGeom>
                        </pic:spPr>
                      </pic:pic>
                    </a:graphicData>
                  </a:graphic>
                </wp:inline>
              </w:drawing>
            </w:r>
          </w:p>
          <w:p w14:paraId="62930E4A">
            <w:pPr>
              <w:spacing w:line="332" w:lineRule="auto"/>
              <w:rPr>
                <w:rFonts w:ascii="Arial"/>
                <w:sz w:val="21"/>
              </w:rPr>
            </w:pPr>
          </w:p>
          <w:p w14:paraId="401DF9FC">
            <w:pPr>
              <w:pStyle w:val="6"/>
              <w:spacing w:before="65" w:line="228" w:lineRule="auto"/>
              <w:ind w:left="5116"/>
              <w:rPr>
                <w:rFonts w:ascii="Times New Roman" w:hAnsi="Times New Roman" w:eastAsia="Times New Roman" w:cs="Times New Roman"/>
                <w:sz w:val="13"/>
                <w:szCs w:val="13"/>
              </w:rPr>
            </w:pPr>
            <w:r>
              <w:rPr>
                <w:b/>
                <w:bCs/>
                <w:spacing w:val="5"/>
                <w:sz w:val="20"/>
                <w:szCs w:val="20"/>
              </w:rPr>
              <w:t>图</w:t>
            </w:r>
            <w:r>
              <w:rPr>
                <w:spacing w:val="-42"/>
                <w:sz w:val="20"/>
                <w:szCs w:val="20"/>
              </w:rPr>
              <w:t xml:space="preserve"> </w:t>
            </w:r>
            <w:r>
              <w:rPr>
                <w:rFonts w:ascii="Times New Roman" w:hAnsi="Times New Roman" w:eastAsia="Times New Roman" w:cs="Times New Roman"/>
                <w:b/>
                <w:bCs/>
                <w:spacing w:val="5"/>
                <w:sz w:val="20"/>
                <w:szCs w:val="20"/>
              </w:rPr>
              <w:t xml:space="preserve">4-3    </w:t>
            </w:r>
            <w:r>
              <w:rPr>
                <w:b/>
                <w:bCs/>
                <w:spacing w:val="5"/>
                <w:sz w:val="20"/>
                <w:szCs w:val="20"/>
              </w:rPr>
              <w:t>土石方平衡流向框图</w:t>
            </w:r>
            <w:r>
              <w:rPr>
                <w:spacing w:val="5"/>
                <w:sz w:val="20"/>
                <w:szCs w:val="20"/>
              </w:rPr>
              <w:t xml:space="preserve">  </w:t>
            </w:r>
            <w:r>
              <w:rPr>
                <w:b/>
                <w:bCs/>
                <w:spacing w:val="4"/>
                <w:sz w:val="20"/>
                <w:szCs w:val="20"/>
              </w:rPr>
              <w:t>单位：万</w:t>
            </w:r>
            <w:r>
              <w:rPr>
                <w:spacing w:val="-37"/>
                <w:sz w:val="20"/>
                <w:szCs w:val="20"/>
              </w:rPr>
              <w:t xml:space="preserve"> </w:t>
            </w:r>
            <w:r>
              <w:rPr>
                <w:rFonts w:ascii="Times New Roman" w:hAnsi="Times New Roman" w:eastAsia="Times New Roman" w:cs="Times New Roman"/>
                <w:b/>
                <w:bCs/>
                <w:spacing w:val="4"/>
                <w:sz w:val="20"/>
                <w:szCs w:val="20"/>
              </w:rPr>
              <w:t>m</w:t>
            </w:r>
            <w:r>
              <w:rPr>
                <w:rFonts w:ascii="Times New Roman" w:hAnsi="Times New Roman" w:eastAsia="Times New Roman" w:cs="Times New Roman"/>
                <w:b/>
                <w:bCs/>
                <w:spacing w:val="4"/>
                <w:position w:val="6"/>
                <w:sz w:val="13"/>
                <w:szCs w:val="13"/>
              </w:rPr>
              <w:t>3</w:t>
            </w:r>
          </w:p>
        </w:tc>
      </w:tr>
    </w:tbl>
    <w:p w14:paraId="21B71018">
      <w:pPr>
        <w:rPr>
          <w:rFonts w:ascii="Arial"/>
          <w:sz w:val="21"/>
        </w:rPr>
      </w:pPr>
    </w:p>
    <w:p w14:paraId="7B943966">
      <w:pPr>
        <w:rPr>
          <w:rFonts w:ascii="Arial" w:hAnsi="Arial" w:eastAsia="Arial" w:cs="Arial"/>
          <w:sz w:val="21"/>
          <w:szCs w:val="21"/>
        </w:rPr>
        <w:sectPr>
          <w:footerReference r:id="rId125" w:type="default"/>
          <w:pgSz w:w="16839" w:h="11906"/>
          <w:pgMar w:top="1012" w:right="1327" w:bottom="1278" w:left="1327" w:header="0" w:footer="1116" w:gutter="0"/>
          <w:cols w:space="720" w:num="1"/>
        </w:sectPr>
      </w:pPr>
    </w:p>
    <w:p w14:paraId="791417D5">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233CC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01" w:hRule="atLeast"/>
        </w:trPr>
        <w:tc>
          <w:tcPr>
            <w:tcW w:w="465" w:type="dxa"/>
            <w:tcBorders>
              <w:right w:val="single" w:color="000000" w:sz="2" w:space="0"/>
            </w:tcBorders>
            <w:textDirection w:val="tbRlV"/>
            <w:vAlign w:val="top"/>
          </w:tcPr>
          <w:p w14:paraId="12C9A361">
            <w:pPr>
              <w:pStyle w:val="6"/>
              <w:spacing w:before="121" w:line="209" w:lineRule="auto"/>
              <w:ind w:left="5175"/>
            </w:pPr>
            <w:r>
              <w:rPr>
                <w:spacing w:val="23"/>
                <w:w w:val="117"/>
              </w:rPr>
              <w:t>运营期生态环境影响分析</w:t>
            </w:r>
          </w:p>
        </w:tc>
        <w:tc>
          <w:tcPr>
            <w:tcW w:w="9612" w:type="dxa"/>
            <w:tcBorders>
              <w:left w:val="single" w:color="000000" w:sz="2" w:space="0"/>
            </w:tcBorders>
            <w:vAlign w:val="top"/>
          </w:tcPr>
          <w:p w14:paraId="4134CE17">
            <w:pPr>
              <w:pStyle w:val="6"/>
              <w:spacing w:before="42" w:line="219" w:lineRule="auto"/>
              <w:ind w:left="594"/>
            </w:pPr>
            <w:r>
              <w:rPr>
                <w:rFonts w:ascii="Times New Roman" w:hAnsi="Times New Roman" w:eastAsia="Times New Roman" w:cs="Times New Roman"/>
                <w:b/>
                <w:bCs/>
                <w:spacing w:val="-5"/>
              </w:rPr>
              <w:t>1</w:t>
            </w:r>
            <w:r>
              <w:rPr>
                <w:rFonts w:ascii="Times New Roman" w:hAnsi="Times New Roman" w:eastAsia="Times New Roman" w:cs="Times New Roman"/>
                <w:b/>
                <w:bCs/>
                <w:spacing w:val="-28"/>
              </w:rPr>
              <w:t xml:space="preserve"> </w:t>
            </w:r>
            <w:r>
              <w:rPr>
                <w:b/>
                <w:bCs/>
                <w:spacing w:val="-5"/>
              </w:rPr>
              <w:t>、运营期工艺流程及产污节点</w:t>
            </w:r>
          </w:p>
          <w:p w14:paraId="47EABF44">
            <w:pPr>
              <w:pStyle w:val="6"/>
              <w:spacing w:before="179" w:line="219" w:lineRule="auto"/>
              <w:ind w:left="588"/>
            </w:pPr>
            <w:r>
              <w:rPr>
                <w:spacing w:val="-1"/>
              </w:rPr>
              <w:t>本项目属清洁能源，运营期光伏电站主要污染物如下图所示。</w:t>
            </w:r>
          </w:p>
          <w:p w14:paraId="23CA89A3">
            <w:pPr>
              <w:spacing w:line="343" w:lineRule="auto"/>
              <w:rPr>
                <w:rFonts w:ascii="Arial"/>
                <w:sz w:val="21"/>
              </w:rPr>
            </w:pPr>
          </w:p>
          <w:p w14:paraId="3F8276D4">
            <w:pPr>
              <w:spacing w:line="3450" w:lineRule="exact"/>
              <w:ind w:firstLine="636"/>
            </w:pPr>
            <w:r>
              <w:rPr>
                <w:position w:val="-68"/>
              </w:rPr>
              <w:drawing>
                <wp:inline distT="0" distB="0" distL="0" distR="0">
                  <wp:extent cx="5300345" cy="219011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26"/>
                          <a:stretch>
                            <a:fillRect/>
                          </a:stretch>
                        </pic:blipFill>
                        <pic:spPr>
                          <a:xfrm>
                            <a:off x="0" y="0"/>
                            <a:ext cx="5300889" cy="2190234"/>
                          </a:xfrm>
                          <a:prstGeom prst="rect">
                            <a:avLst/>
                          </a:prstGeom>
                        </pic:spPr>
                      </pic:pic>
                    </a:graphicData>
                  </a:graphic>
                </wp:inline>
              </w:drawing>
            </w:r>
          </w:p>
          <w:p w14:paraId="51C4613C">
            <w:pPr>
              <w:spacing w:line="262" w:lineRule="auto"/>
              <w:rPr>
                <w:rFonts w:ascii="Arial"/>
                <w:sz w:val="21"/>
              </w:rPr>
            </w:pPr>
          </w:p>
          <w:p w14:paraId="7EFED94E">
            <w:pPr>
              <w:pStyle w:val="6"/>
              <w:spacing w:before="65" w:line="357" w:lineRule="auto"/>
              <w:ind w:left="590" w:right="3006" w:firstLine="2435"/>
            </w:pPr>
            <w:r>
              <w:rPr>
                <w:b/>
                <w:bCs/>
                <w:spacing w:val="5"/>
                <w:sz w:val="20"/>
                <w:szCs w:val="20"/>
              </w:rPr>
              <w:t>图</w:t>
            </w:r>
            <w:r>
              <w:rPr>
                <w:spacing w:val="-30"/>
                <w:sz w:val="20"/>
                <w:szCs w:val="20"/>
              </w:rPr>
              <w:t xml:space="preserve"> </w:t>
            </w:r>
            <w:r>
              <w:rPr>
                <w:rFonts w:ascii="Times New Roman" w:hAnsi="Times New Roman" w:eastAsia="Times New Roman" w:cs="Times New Roman"/>
                <w:b/>
                <w:bCs/>
                <w:spacing w:val="5"/>
                <w:sz w:val="20"/>
                <w:szCs w:val="20"/>
              </w:rPr>
              <w:t xml:space="preserve">4-4  </w:t>
            </w:r>
            <w:r>
              <w:rPr>
                <w:b/>
                <w:bCs/>
                <w:spacing w:val="5"/>
                <w:sz w:val="20"/>
                <w:szCs w:val="20"/>
              </w:rPr>
              <w:t>运营期光伏电站产污环节示意图</w:t>
            </w:r>
            <w:r>
              <w:rPr>
                <w:sz w:val="20"/>
                <w:szCs w:val="20"/>
              </w:rPr>
              <w:t xml:space="preserve"> </w:t>
            </w:r>
            <w:r>
              <w:rPr>
                <w:b/>
                <w:bCs/>
                <w:spacing w:val="-2"/>
              </w:rPr>
              <w:t>工艺流程简述：</w:t>
            </w:r>
            <w:r>
              <w:rPr>
                <w:spacing w:val="-2"/>
              </w:rPr>
              <w:t>光伏电站发电工艺</w:t>
            </w:r>
          </w:p>
          <w:p w14:paraId="482D3281">
            <w:pPr>
              <w:pStyle w:val="6"/>
              <w:spacing w:before="28" w:line="354" w:lineRule="auto"/>
              <w:ind w:left="107" w:right="41" w:firstLine="479"/>
              <w:jc w:val="both"/>
            </w:pPr>
            <w:r>
              <w:rPr>
                <w:spacing w:val="1"/>
              </w:rPr>
              <w:t>在集中式并网光伏电站中，使太阳能通过电池组成的光伏阵列转换成直</w:t>
            </w:r>
            <w:r>
              <w:t xml:space="preserve">流电，经过逆 </w:t>
            </w:r>
            <w:r>
              <w:rPr>
                <w:spacing w:val="-4"/>
              </w:rPr>
              <w:t>变器转换成电压较低的交流电，再通过升压变压器转换成符合公共电网电压要求的交流电，</w:t>
            </w:r>
            <w:r>
              <w:rPr>
                <w:spacing w:val="11"/>
              </w:rPr>
              <w:t xml:space="preserve"> </w:t>
            </w:r>
            <w:r>
              <w:rPr>
                <w:spacing w:val="1"/>
              </w:rPr>
              <w:t>并直接接入公共电网，供公共电网用电设备使用和远程调配。逆变器</w:t>
            </w:r>
            <w:r>
              <w:t xml:space="preserve">、升压变压器均设有 </w:t>
            </w:r>
            <w:r>
              <w:rPr>
                <w:spacing w:val="1"/>
              </w:rPr>
              <w:t>数据采集系统，数据通过监控显示系统输出数据，可实现值班人员抄</w:t>
            </w:r>
            <w:r>
              <w:t xml:space="preserve">录数据和远程监控系 </w:t>
            </w:r>
            <w:r>
              <w:rPr>
                <w:spacing w:val="-2"/>
              </w:rPr>
              <w:t>统同步运行。</w:t>
            </w:r>
          </w:p>
          <w:p w14:paraId="2BC8A2BC">
            <w:pPr>
              <w:pStyle w:val="6"/>
              <w:spacing w:before="36" w:line="220" w:lineRule="auto"/>
              <w:ind w:left="584"/>
            </w:pPr>
            <w:r>
              <w:rPr>
                <w:rFonts w:ascii="Times New Roman" w:hAnsi="Times New Roman" w:eastAsia="Times New Roman" w:cs="Times New Roman"/>
                <w:b/>
                <w:bCs/>
                <w:spacing w:val="-5"/>
              </w:rPr>
              <w:t>2</w:t>
            </w:r>
            <w:r>
              <w:rPr>
                <w:rFonts w:ascii="Times New Roman" w:hAnsi="Times New Roman" w:eastAsia="Times New Roman" w:cs="Times New Roman"/>
                <w:b/>
                <w:bCs/>
                <w:spacing w:val="-28"/>
              </w:rPr>
              <w:t xml:space="preserve"> </w:t>
            </w:r>
            <w:r>
              <w:rPr>
                <w:b/>
                <w:bCs/>
                <w:spacing w:val="-5"/>
              </w:rPr>
              <w:t>、运营期环境影响分析</w:t>
            </w:r>
          </w:p>
          <w:p w14:paraId="731C42A4">
            <w:pPr>
              <w:pStyle w:val="6"/>
              <w:spacing w:before="179" w:line="220" w:lineRule="auto"/>
              <w:ind w:left="479"/>
            </w:pPr>
            <w:r>
              <w:rPr>
                <w:b/>
                <w:bCs/>
                <w:spacing w:val="-4"/>
              </w:rPr>
              <w:t>（</w:t>
            </w:r>
            <w:r>
              <w:rPr>
                <w:rFonts w:ascii="Times New Roman" w:hAnsi="Times New Roman" w:eastAsia="Times New Roman" w:cs="Times New Roman"/>
                <w:b/>
                <w:bCs/>
                <w:spacing w:val="-4"/>
              </w:rPr>
              <w:t>1</w:t>
            </w:r>
            <w:r>
              <w:rPr>
                <w:b/>
                <w:bCs/>
                <w:spacing w:val="-4"/>
              </w:rPr>
              <w:t>）生态环境影响分析</w:t>
            </w:r>
          </w:p>
          <w:p w14:paraId="5C08903A">
            <w:pPr>
              <w:pStyle w:val="6"/>
              <w:spacing w:before="183" w:line="219" w:lineRule="auto"/>
              <w:ind w:left="606"/>
            </w:pPr>
            <w:r>
              <w:rPr>
                <w:rFonts w:ascii="Times New Roman" w:hAnsi="Times New Roman" w:eastAsia="Times New Roman" w:cs="Times New Roman"/>
                <w:spacing w:val="-3"/>
              </w:rPr>
              <w:t>1</w:t>
            </w:r>
            <w:r>
              <w:rPr>
                <w:spacing w:val="-3"/>
              </w:rPr>
              <w:t>）对地表植被的影响分析</w:t>
            </w:r>
          </w:p>
          <w:p w14:paraId="24352F72">
            <w:pPr>
              <w:pStyle w:val="6"/>
              <w:spacing w:before="179" w:line="347" w:lineRule="auto"/>
              <w:ind w:left="136" w:right="102" w:firstLine="454"/>
            </w:pPr>
            <w:r>
              <w:rPr>
                <w:spacing w:val="1"/>
              </w:rPr>
              <w:t>项目运营期对植被的影响主要体现在光伏面板架设后在地面</w:t>
            </w:r>
            <w:r>
              <w:t xml:space="preserve">产生阴影，阴影影响区域 </w:t>
            </w:r>
            <w:r>
              <w:rPr>
                <w:spacing w:val="-2"/>
              </w:rPr>
              <w:t>内的植被受到的日照减少，将对植物的生长产生一定程度的影响。</w:t>
            </w:r>
          </w:p>
          <w:p w14:paraId="6262DFC8">
            <w:pPr>
              <w:pStyle w:val="6"/>
              <w:spacing w:before="31" w:line="353" w:lineRule="auto"/>
              <w:ind w:left="108" w:right="102" w:firstLine="480"/>
            </w:pPr>
            <w:r>
              <w:rPr>
                <w:spacing w:val="-3"/>
              </w:rPr>
              <w:t>本项目光伏组件按最低沿高于地面</w:t>
            </w:r>
            <w:r>
              <w:rPr>
                <w:spacing w:val="-54"/>
              </w:rPr>
              <w:t xml:space="preserve"> </w:t>
            </w:r>
            <w:r>
              <w:rPr>
                <w:rFonts w:ascii="Times New Roman" w:hAnsi="Times New Roman" w:eastAsia="Times New Roman" w:cs="Times New Roman"/>
                <w:spacing w:val="-3"/>
              </w:rPr>
              <w:t>2.5m</w:t>
            </w:r>
            <w:r>
              <w:rPr>
                <w:spacing w:val="-3"/>
              </w:rPr>
              <w:t>、桩基间列间距大于</w:t>
            </w:r>
            <w:r>
              <w:rPr>
                <w:spacing w:val="-57"/>
              </w:rPr>
              <w:t xml:space="preserve"> </w:t>
            </w:r>
            <w:r>
              <w:rPr>
                <w:rFonts w:ascii="Times New Roman" w:hAnsi="Times New Roman" w:eastAsia="Times New Roman" w:cs="Times New Roman"/>
                <w:spacing w:val="-3"/>
              </w:rPr>
              <w:t>4m</w:t>
            </w:r>
            <w:r>
              <w:rPr>
                <w:rFonts w:ascii="Times New Roman" w:hAnsi="Times New Roman" w:eastAsia="Times New Roman" w:cs="Times New Roman"/>
                <w:spacing w:val="-35"/>
              </w:rPr>
              <w:t xml:space="preserve"> </w:t>
            </w:r>
            <w:r>
              <w:rPr>
                <w:spacing w:val="-3"/>
              </w:rPr>
              <w:t>、行间距大于</w:t>
            </w:r>
            <w:r>
              <w:rPr>
                <w:spacing w:val="-50"/>
              </w:rPr>
              <w:t xml:space="preserve"> </w:t>
            </w:r>
            <w:r>
              <w:rPr>
                <w:rFonts w:ascii="Times New Roman" w:hAnsi="Times New Roman" w:eastAsia="Times New Roman" w:cs="Times New Roman"/>
                <w:spacing w:val="-3"/>
              </w:rPr>
              <w:t>6.5</w:t>
            </w:r>
            <w:r>
              <w:rPr>
                <w:rFonts w:ascii="Times New Roman" w:hAnsi="Times New Roman" w:eastAsia="Times New Roman" w:cs="Times New Roman"/>
                <w:spacing w:val="-4"/>
              </w:rPr>
              <w:t>m</w:t>
            </w:r>
            <w:r>
              <w:rPr>
                <w:rFonts w:ascii="Times New Roman" w:hAnsi="Times New Roman" w:eastAsia="Times New Roman" w:cs="Times New Roman"/>
                <w:spacing w:val="30"/>
              </w:rPr>
              <w:t xml:space="preserve"> </w:t>
            </w:r>
            <w:r>
              <w:rPr>
                <w:spacing w:val="-4"/>
              </w:rPr>
              <w:t>的</w:t>
            </w:r>
            <w:r>
              <w:t xml:space="preserve"> </w:t>
            </w:r>
            <w:r>
              <w:rPr>
                <w:spacing w:val="1"/>
              </w:rPr>
              <w:t>架设要求执行，支架结构较高，基本满足植物的生长需要。对于喜</w:t>
            </w:r>
            <w:r>
              <w:t xml:space="preserve">阳植物而言，该光照度 </w:t>
            </w:r>
            <w:r>
              <w:rPr>
                <w:spacing w:val="1"/>
              </w:rPr>
              <w:t>可能不足以满足植物个体的健康生长需要、造成其无法繁殖甚至死</w:t>
            </w:r>
            <w:r>
              <w:t xml:space="preserve">亡；但对于耐阴植物来 </w:t>
            </w:r>
            <w:r>
              <w:rPr>
                <w:spacing w:val="-1"/>
              </w:rPr>
              <w:t>说，其影响不是很大，甚至适宜于喜阴作物的生长。</w:t>
            </w:r>
          </w:p>
          <w:p w14:paraId="17312109">
            <w:pPr>
              <w:pStyle w:val="6"/>
              <w:spacing w:before="35" w:line="348" w:lineRule="auto"/>
              <w:ind w:left="105" w:right="102" w:firstLine="485"/>
            </w:pPr>
            <w:r>
              <w:rPr>
                <w:spacing w:val="1"/>
              </w:rPr>
              <w:t>项目光伏场区现状主要植被是受强烈的人为活动干扰后</w:t>
            </w:r>
            <w:r>
              <w:t xml:space="preserve">形成的次生植被类型和区域内 </w:t>
            </w:r>
            <w:r>
              <w:rPr>
                <w:spacing w:val="1"/>
              </w:rPr>
              <w:t>原有灌草丛，生态价值和经济价值均较低，且在地区广泛分布。项目建设</w:t>
            </w:r>
            <w:r>
              <w:t xml:space="preserve">后占用林地部分 </w:t>
            </w:r>
            <w:r>
              <w:rPr>
                <w:spacing w:val="1"/>
              </w:rPr>
              <w:t>将拟实施草光互补工程，选取适宜的林草植被进行播种，选取的车桑子、</w:t>
            </w:r>
            <w:r>
              <w:t>白车轴草、黑麦</w:t>
            </w:r>
          </w:p>
        </w:tc>
      </w:tr>
    </w:tbl>
    <w:p w14:paraId="1D070AA0">
      <w:pPr>
        <w:rPr>
          <w:rFonts w:ascii="Arial"/>
          <w:sz w:val="21"/>
        </w:rPr>
      </w:pPr>
    </w:p>
    <w:p w14:paraId="5B8468C8">
      <w:pPr>
        <w:rPr>
          <w:rFonts w:ascii="Arial" w:hAnsi="Arial" w:eastAsia="Arial" w:cs="Arial"/>
          <w:sz w:val="21"/>
          <w:szCs w:val="21"/>
        </w:rPr>
        <w:sectPr>
          <w:footerReference r:id="rId126" w:type="default"/>
          <w:pgSz w:w="11907" w:h="16840"/>
          <w:pgMar w:top="1431" w:right="907" w:bottom="1278" w:left="907" w:header="0" w:footer="1116" w:gutter="0"/>
          <w:cols w:space="720" w:num="1"/>
        </w:sectPr>
      </w:pPr>
    </w:p>
    <w:p w14:paraId="1AB31160">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4F343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5" w:type="dxa"/>
            <w:tcBorders>
              <w:right w:val="single" w:color="000000" w:sz="2" w:space="0"/>
            </w:tcBorders>
            <w:vAlign w:val="top"/>
          </w:tcPr>
          <w:p w14:paraId="675950CA">
            <w:pPr>
              <w:rPr>
                <w:rFonts w:ascii="Arial"/>
                <w:sz w:val="21"/>
              </w:rPr>
            </w:pPr>
          </w:p>
        </w:tc>
        <w:tc>
          <w:tcPr>
            <w:tcW w:w="9612" w:type="dxa"/>
            <w:tcBorders>
              <w:left w:val="single" w:color="000000" w:sz="2" w:space="0"/>
            </w:tcBorders>
            <w:vAlign w:val="top"/>
          </w:tcPr>
          <w:p w14:paraId="7FED0752">
            <w:pPr>
              <w:pStyle w:val="6"/>
              <w:spacing w:before="41" w:line="345" w:lineRule="auto"/>
              <w:ind w:left="106" w:right="41" w:firstLine="2"/>
            </w:pPr>
            <w:r>
              <w:rPr>
                <w:spacing w:val="-4"/>
              </w:rPr>
              <w:t>草等树种均可充分适应板下环境特征，辅以人工养护后，可健康生长。通过草光互补工程，</w:t>
            </w:r>
            <w:r>
              <w:rPr>
                <w:spacing w:val="9"/>
              </w:rPr>
              <w:t xml:space="preserve"> </w:t>
            </w:r>
            <w:r>
              <w:t>在一定程度上，项目实施后地区的植被覆盖度及生</w:t>
            </w:r>
            <w:r>
              <w:rPr>
                <w:spacing w:val="-1"/>
              </w:rPr>
              <w:t>物多样性要优于现状。</w:t>
            </w:r>
          </w:p>
          <w:p w14:paraId="3EF5E655">
            <w:pPr>
              <w:pStyle w:val="6"/>
              <w:spacing w:before="33" w:line="353" w:lineRule="auto"/>
              <w:ind w:left="107" w:right="102" w:firstLine="483"/>
            </w:pPr>
            <w:r>
              <w:rPr>
                <w:spacing w:val="1"/>
              </w:rPr>
              <w:t>项目升压站运行期对植被的影响主要体现在项目升压站建成</w:t>
            </w:r>
            <w:r>
              <w:t>后除升压站内绿化外占地 范围内原有植被破坏不可恢复。根据现场踏勘</w:t>
            </w:r>
            <w:r>
              <w:rPr>
                <w:spacing w:val="-1"/>
              </w:rPr>
              <w:t>了解，项目升压站占地类型为其他草地，</w:t>
            </w:r>
            <w:r>
              <w:rPr>
                <w:spacing w:val="-71"/>
              </w:rPr>
              <w:t xml:space="preserve"> </w:t>
            </w:r>
            <w:r>
              <w:rPr>
                <w:spacing w:val="-1"/>
              </w:rPr>
              <w:t>占</w:t>
            </w:r>
            <w:r>
              <w:t xml:space="preserve"> </w:t>
            </w:r>
            <w:r>
              <w:rPr>
                <w:spacing w:val="1"/>
              </w:rPr>
              <w:t>地范围内主要为人工种植松树，无天然植被分布，植物种类较少、生</w:t>
            </w:r>
            <w:r>
              <w:t xml:space="preserve">物量较小，对区域植 </w:t>
            </w:r>
            <w:r>
              <w:rPr>
                <w:spacing w:val="-1"/>
              </w:rPr>
              <w:t>被的影响小，在可接受范围内。</w:t>
            </w:r>
          </w:p>
          <w:p w14:paraId="442A8031">
            <w:pPr>
              <w:pStyle w:val="6"/>
              <w:spacing w:before="35" w:line="220" w:lineRule="auto"/>
              <w:ind w:left="583"/>
            </w:pPr>
            <w:r>
              <w:rPr>
                <w:rFonts w:ascii="Times New Roman" w:hAnsi="Times New Roman" w:eastAsia="Times New Roman" w:cs="Times New Roman"/>
                <w:spacing w:val="-1"/>
              </w:rPr>
              <w:t>2</w:t>
            </w:r>
            <w:r>
              <w:rPr>
                <w:spacing w:val="-1"/>
              </w:rPr>
              <w:t>）对当地动物的影响</w:t>
            </w:r>
          </w:p>
          <w:p w14:paraId="6A8E0475">
            <w:pPr>
              <w:pStyle w:val="6"/>
              <w:spacing w:before="174" w:line="357" w:lineRule="auto"/>
              <w:ind w:left="107" w:right="98" w:firstLine="480"/>
            </w:pPr>
            <w:r>
              <w:rPr>
                <w:spacing w:val="1"/>
              </w:rPr>
              <w:t>本项目建设用地区域周边有村庄分布，现状人为活动频繁，原有生</w:t>
            </w:r>
            <w:r>
              <w:t xml:space="preserve">境一般，不属于野 </w:t>
            </w:r>
            <w:r>
              <w:rPr>
                <w:spacing w:val="1"/>
              </w:rPr>
              <w:t>生动物活动集中的地带。本项目运行后，对动物的影响主要为项目光</w:t>
            </w:r>
            <w:r>
              <w:t xml:space="preserve">伏片区占地（主要为 </w:t>
            </w:r>
            <w:r>
              <w:rPr>
                <w:spacing w:val="1"/>
              </w:rPr>
              <w:t>其他草地和灌木林地</w:t>
            </w:r>
            <w:r>
              <w:rPr>
                <w:spacing w:val="5"/>
              </w:rPr>
              <w:t>），</w:t>
            </w:r>
            <w:r>
              <w:rPr>
                <w:spacing w:val="1"/>
              </w:rPr>
              <w:t>将减少地面动物的活动区</w:t>
            </w:r>
            <w:r>
              <w:t xml:space="preserve">域。在这些生境中生活的野生动物种类 </w:t>
            </w:r>
            <w:r>
              <w:rPr>
                <w:spacing w:val="1"/>
              </w:rPr>
              <w:t>相对匮乏，以常见的一般鸟类和小型啮齿类动物为主，各种群数量也</w:t>
            </w:r>
            <w:r>
              <w:t xml:space="preserve">相对较少，且该类动 </w:t>
            </w:r>
            <w:r>
              <w:rPr>
                <w:spacing w:val="1"/>
              </w:rPr>
              <w:t>物普遍对环境的要求不高、适应人居生活。且这些小型啮齿类动物因</w:t>
            </w:r>
            <w:r>
              <w:t xml:space="preserve">活动能力较强，受到 </w:t>
            </w:r>
            <w:r>
              <w:rPr>
                <w:spacing w:val="1"/>
              </w:rPr>
              <w:t>影响后会远离项目区至其他山体进行觅食；而鸟类具有较强的趋避能</w:t>
            </w:r>
            <w:r>
              <w:t xml:space="preserve">力，活动范围广，会 </w:t>
            </w:r>
            <w:r>
              <w:rPr>
                <w:spacing w:val="1"/>
              </w:rPr>
              <w:t>飞离项目区迁移到周边新的适宜生境内。根据现场调查情况，项目区</w:t>
            </w:r>
            <w:r>
              <w:t xml:space="preserve">周边类似生境分布较 </w:t>
            </w:r>
            <w:r>
              <w:rPr>
                <w:spacing w:val="1"/>
              </w:rPr>
              <w:t>广，项目区动物在受到干扰后，一般可迁移到周边适宜的生境内。同</w:t>
            </w:r>
            <w:r>
              <w:t xml:space="preserve">时项目在设计时充分 </w:t>
            </w:r>
            <w:r>
              <w:rPr>
                <w:spacing w:val="1"/>
              </w:rPr>
              <w:t>考虑了反射光的影响，即太阳能电池板组件产品中采用的晶体硅是经</w:t>
            </w:r>
            <w:r>
              <w:t xml:space="preserve">过刻槽处理的，同时 </w:t>
            </w:r>
            <w:r>
              <w:rPr>
                <w:spacing w:val="-1"/>
              </w:rPr>
              <w:t>加了</w:t>
            </w:r>
            <w:r>
              <w:rPr>
                <w:rFonts w:ascii="Times New Roman" w:hAnsi="Times New Roman" w:eastAsia="Times New Roman" w:cs="Times New Roman"/>
                <w:spacing w:val="-1"/>
              </w:rPr>
              <w:t xml:space="preserve">ZVA </w:t>
            </w:r>
            <w:r>
              <w:rPr>
                <w:spacing w:val="-1"/>
              </w:rPr>
              <w:t>材料，最大限度的起到了吸收太阳光的作用，防止反射的同时充分吸收太阳光，</w:t>
            </w:r>
            <w:r>
              <w:rPr>
                <w:spacing w:val="2"/>
              </w:rPr>
              <w:t xml:space="preserve"> </w:t>
            </w:r>
            <w:r>
              <w:t>即阳光照射后的反光强度大大减弱，对可能通过项目</w:t>
            </w:r>
            <w:r>
              <w:rPr>
                <w:spacing w:val="-1"/>
              </w:rPr>
              <w:t>区域上空的鸟类影响小。</w:t>
            </w:r>
          </w:p>
          <w:p w14:paraId="40DD7745">
            <w:pPr>
              <w:pStyle w:val="6"/>
              <w:spacing w:before="34" w:line="353" w:lineRule="auto"/>
              <w:ind w:left="106" w:right="102" w:firstLine="481"/>
            </w:pPr>
            <w:r>
              <w:rPr>
                <w:spacing w:val="1"/>
              </w:rPr>
              <w:t>本项目建成后，项目区域设置围栏，以及光伏列阵的支架占用部分</w:t>
            </w:r>
            <w:r>
              <w:t xml:space="preserve">地面，将减少地面 </w:t>
            </w:r>
            <w:r>
              <w:rPr>
                <w:spacing w:val="1"/>
              </w:rPr>
              <w:t>动物的活动区域，但围栏遮挡以及支架使用的面积较小，影响范围小；</w:t>
            </w:r>
            <w:r>
              <w:t xml:space="preserve">本项目声源少，噪 </w:t>
            </w:r>
            <w:r>
              <w:rPr>
                <w:spacing w:val="1"/>
              </w:rPr>
              <w:t>声值较低，噪声源产生的噪声经光伏组件隔声和距离衰减后，不会对地</w:t>
            </w:r>
            <w:r>
              <w:t xml:space="preserve">面上动物的日常迁 </w:t>
            </w:r>
            <w:r>
              <w:rPr>
                <w:spacing w:val="-1"/>
              </w:rPr>
              <w:t>徙及鸟类正常活动造成影响。</w:t>
            </w:r>
          </w:p>
          <w:p w14:paraId="224587D6">
            <w:pPr>
              <w:pStyle w:val="6"/>
              <w:spacing w:before="30" w:line="354" w:lineRule="auto"/>
              <w:ind w:left="107" w:right="102" w:firstLine="360"/>
              <w:jc w:val="both"/>
            </w:pPr>
            <w:r>
              <w:rPr>
                <w:spacing w:val="-2"/>
              </w:rPr>
              <w:t>根据查阅相关资料和对当地林业部门的走访，项目评价</w:t>
            </w:r>
            <w:r>
              <w:rPr>
                <w:spacing w:val="-3"/>
              </w:rPr>
              <w:t>范围内不涉及野生动物重要栖息</w:t>
            </w:r>
            <w:r>
              <w:t xml:space="preserve"> </w:t>
            </w:r>
            <w:r>
              <w:rPr>
                <w:spacing w:val="1"/>
              </w:rPr>
              <w:t>地，珍稀濒危和极小种群野生植物重要原生境，工程区附近栖息的动</w:t>
            </w:r>
            <w:r>
              <w:t xml:space="preserve">物种类有限，人类生 </w:t>
            </w:r>
            <w:r>
              <w:rPr>
                <w:spacing w:val="1"/>
              </w:rPr>
              <w:t>产生活对生态环境干扰比较明显。工程运营期间，应加强对场区的巡</w:t>
            </w:r>
            <w:r>
              <w:t xml:space="preserve">视工作，密切关注评 </w:t>
            </w:r>
            <w:r>
              <w:rPr>
                <w:spacing w:val="1"/>
              </w:rPr>
              <w:t>价区内的鸟类死亡情况，一旦发现异常应及时与林业主管部门联系，</w:t>
            </w:r>
            <w:r>
              <w:t xml:space="preserve">将受伤鸟类交由其妥 </w:t>
            </w:r>
            <w:r>
              <w:rPr>
                <w:spacing w:val="-1"/>
              </w:rPr>
              <w:t>善处理，必要时采取驱赶措施，降低光伏板对鸟类的影响。</w:t>
            </w:r>
          </w:p>
          <w:p w14:paraId="6F1C4C2E">
            <w:pPr>
              <w:pStyle w:val="6"/>
              <w:spacing w:before="37" w:line="219" w:lineRule="auto"/>
              <w:ind w:left="468"/>
            </w:pPr>
            <w:r>
              <w:rPr>
                <w:rFonts w:ascii="Times New Roman" w:hAnsi="Times New Roman" w:eastAsia="Times New Roman" w:cs="Times New Roman"/>
                <w:spacing w:val="-2"/>
              </w:rPr>
              <w:t>3</w:t>
            </w:r>
            <w:r>
              <w:rPr>
                <w:spacing w:val="-2"/>
              </w:rPr>
              <w:t>）水土流失影响</w:t>
            </w:r>
          </w:p>
          <w:p w14:paraId="70301CC3">
            <w:pPr>
              <w:pStyle w:val="6"/>
              <w:spacing w:before="181" w:line="219" w:lineRule="auto"/>
              <w:ind w:left="471"/>
            </w:pPr>
            <w:r>
              <w:rPr>
                <w:spacing w:val="-2"/>
              </w:rPr>
              <w:t>项目投入运行后，其水土流失防护工程也完成</w:t>
            </w:r>
            <w:r>
              <w:rPr>
                <w:spacing w:val="-3"/>
              </w:rPr>
              <w:t>并开始发挥作用，可有效控制项目建设引</w:t>
            </w:r>
          </w:p>
        </w:tc>
      </w:tr>
    </w:tbl>
    <w:p w14:paraId="259D702C">
      <w:pPr>
        <w:rPr>
          <w:rFonts w:ascii="Arial"/>
          <w:sz w:val="21"/>
        </w:rPr>
      </w:pPr>
    </w:p>
    <w:p w14:paraId="2A3E8ECC">
      <w:pPr>
        <w:rPr>
          <w:rFonts w:ascii="Arial" w:hAnsi="Arial" w:eastAsia="Arial" w:cs="Arial"/>
          <w:sz w:val="21"/>
          <w:szCs w:val="21"/>
        </w:rPr>
        <w:sectPr>
          <w:footerReference r:id="rId127" w:type="default"/>
          <w:pgSz w:w="11907" w:h="16840"/>
          <w:pgMar w:top="1431" w:right="907" w:bottom="1278" w:left="907" w:header="0" w:footer="1116" w:gutter="0"/>
          <w:cols w:space="720" w:num="1"/>
        </w:sectPr>
      </w:pPr>
    </w:p>
    <w:p w14:paraId="6CCBF365">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4E3E8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5" w:type="dxa"/>
            <w:tcBorders>
              <w:right w:val="single" w:color="000000" w:sz="2" w:space="0"/>
            </w:tcBorders>
            <w:vAlign w:val="top"/>
          </w:tcPr>
          <w:p w14:paraId="020DB4F6">
            <w:pPr>
              <w:rPr>
                <w:rFonts w:ascii="Arial"/>
                <w:sz w:val="21"/>
              </w:rPr>
            </w:pPr>
          </w:p>
        </w:tc>
        <w:tc>
          <w:tcPr>
            <w:tcW w:w="9612" w:type="dxa"/>
            <w:tcBorders>
              <w:left w:val="single" w:color="000000" w:sz="2" w:space="0"/>
            </w:tcBorders>
            <w:vAlign w:val="top"/>
          </w:tcPr>
          <w:p w14:paraId="03681629">
            <w:pPr>
              <w:pStyle w:val="6"/>
              <w:spacing w:before="45" w:line="354" w:lineRule="auto"/>
              <w:ind w:left="108" w:right="102"/>
              <w:jc w:val="both"/>
            </w:pPr>
            <w:r>
              <w:rPr>
                <w:spacing w:val="1"/>
              </w:rPr>
              <w:t>起的水土流失。光伏板区域采取播撒草籽为主，有保持水土的功效</w:t>
            </w:r>
            <w:r>
              <w:t xml:space="preserve">，但是项目部分区域采 </w:t>
            </w:r>
            <w:r>
              <w:rPr>
                <w:spacing w:val="1"/>
              </w:rPr>
              <w:t>用植物措施，临时占地范围内的植被恢复一</w:t>
            </w:r>
            <w:r>
              <w:t>般在</w:t>
            </w:r>
            <w:r>
              <w:rPr>
                <w:spacing w:val="-50"/>
              </w:rPr>
              <w:t xml:space="preserve"> </w:t>
            </w:r>
            <w:r>
              <w:rPr>
                <w:rFonts w:ascii="Times New Roman" w:hAnsi="Times New Roman" w:eastAsia="Times New Roman" w:cs="Times New Roman"/>
              </w:rPr>
              <w:t xml:space="preserve">3 </w:t>
            </w:r>
            <w:r>
              <w:t xml:space="preserve">年内才能逐步稳定，达到较好的水土保 </w:t>
            </w:r>
            <w:r>
              <w:rPr>
                <w:spacing w:val="1"/>
              </w:rPr>
              <w:t>持效果。在水土保持工程和植物措施有效发挥作用后，项目区内的</w:t>
            </w:r>
            <w:r>
              <w:t xml:space="preserve">水土流失可得到完全控 </w:t>
            </w:r>
            <w:r>
              <w:rPr>
                <w:spacing w:val="1"/>
              </w:rPr>
              <w:t>制，项目建设区的水土流失可达到轻度以下水平，工程建设造成的</w:t>
            </w:r>
            <w:r>
              <w:t xml:space="preserve">水土流失可得到基本治 </w:t>
            </w:r>
            <w:r>
              <w:rPr>
                <w:spacing w:val="1"/>
              </w:rPr>
              <w:t>理，并使工程占地区域内水土流失状况得到明显改善。因此，项目</w:t>
            </w:r>
            <w:r>
              <w:t xml:space="preserve">运营期不会引起不良的 </w:t>
            </w:r>
            <w:r>
              <w:rPr>
                <w:spacing w:val="-3"/>
              </w:rPr>
              <w:t>水土流失。</w:t>
            </w:r>
          </w:p>
          <w:p w14:paraId="63EA3D49">
            <w:pPr>
              <w:pStyle w:val="6"/>
              <w:spacing w:before="36" w:line="220" w:lineRule="auto"/>
              <w:ind w:left="582"/>
            </w:pPr>
            <w:r>
              <w:rPr>
                <w:rFonts w:ascii="Times New Roman" w:hAnsi="Times New Roman" w:eastAsia="Times New Roman" w:cs="Times New Roman"/>
                <w:spacing w:val="-1"/>
              </w:rPr>
              <w:t>4</w:t>
            </w:r>
            <w:r>
              <w:rPr>
                <w:spacing w:val="-1"/>
              </w:rPr>
              <w:t>）对土地利用的影响分析</w:t>
            </w:r>
          </w:p>
          <w:p w14:paraId="37DC5BB2">
            <w:pPr>
              <w:pStyle w:val="6"/>
              <w:spacing w:before="179" w:line="355" w:lineRule="auto"/>
              <w:ind w:left="108" w:right="22" w:firstLine="482"/>
            </w:pPr>
            <w:r>
              <w:rPr>
                <w:spacing w:val="-3"/>
              </w:rPr>
              <w:t>项目建设占地面积</w:t>
            </w:r>
            <w:r>
              <w:rPr>
                <w:spacing w:val="-32"/>
              </w:rPr>
              <w:t xml:space="preserve"> </w:t>
            </w:r>
            <w:r>
              <w:rPr>
                <w:rFonts w:ascii="Times New Roman" w:hAnsi="Times New Roman" w:eastAsia="Times New Roman" w:cs="Times New Roman"/>
                <w:spacing w:val="-3"/>
              </w:rPr>
              <w:t>140.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1304hm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spacing w:val="-3"/>
              </w:rPr>
              <w:t>，其中永久占地</w:t>
            </w:r>
            <w:r>
              <w:rPr>
                <w:spacing w:val="-50"/>
              </w:rPr>
              <w:t xml:space="preserve"> </w:t>
            </w:r>
            <w:r>
              <w:rPr>
                <w:rFonts w:ascii="Times New Roman" w:hAnsi="Times New Roman" w:eastAsia="Times New Roman" w:cs="Times New Roman"/>
                <w:spacing w:val="-3"/>
              </w:rPr>
              <w:t>3.4547hm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9"/>
                <w:position w:val="7"/>
                <w:sz w:val="15"/>
                <w:szCs w:val="15"/>
              </w:rPr>
              <w:t xml:space="preserve"> </w:t>
            </w:r>
            <w:r>
              <w:rPr>
                <w:spacing w:val="-3"/>
              </w:rPr>
              <w:t>，临时占地</w:t>
            </w:r>
            <w:r>
              <w:rPr>
                <w:spacing w:val="-32"/>
              </w:rPr>
              <w:t xml:space="preserve"> </w:t>
            </w:r>
            <w:r>
              <w:rPr>
                <w:rFonts w:ascii="Times New Roman" w:hAnsi="Times New Roman" w:eastAsia="Times New Roman" w:cs="Times New Roman"/>
                <w:spacing w:val="-3"/>
              </w:rPr>
              <w:t>136.6757hm</w:t>
            </w:r>
            <w:r>
              <w:rPr>
                <w:rFonts w:ascii="Times New Roman" w:hAnsi="Times New Roman" w:eastAsia="Times New Roman" w:cs="Times New Roman"/>
                <w:spacing w:val="-4"/>
                <w:position w:val="7"/>
                <w:sz w:val="15"/>
                <w:szCs w:val="15"/>
              </w:rPr>
              <w:t xml:space="preserve">2 </w:t>
            </w:r>
            <w:r>
              <w:rPr>
                <w:spacing w:val="-4"/>
              </w:rPr>
              <w:t>。</w:t>
            </w:r>
            <w:r>
              <w:t xml:space="preserve">  本项目永久占地主要为升压站和集电线路塔基的建设，升压站</w:t>
            </w:r>
            <w:r>
              <w:rPr>
                <w:spacing w:val="-1"/>
              </w:rPr>
              <w:t>的建设使得部分土地的功能</w:t>
            </w:r>
            <w:r>
              <w:t xml:space="preserve">  </w:t>
            </w:r>
            <w:r>
              <w:rPr>
                <w:spacing w:val="1"/>
              </w:rPr>
              <w:t>发生了改变，其原有植被遭到永久性破坏，给当</w:t>
            </w:r>
            <w:r>
              <w:t xml:space="preserve">地局部区域的土地利用带来一定的影响。 </w:t>
            </w:r>
            <w:r>
              <w:rPr>
                <w:spacing w:val="-3"/>
              </w:rPr>
              <w:t>升压站内拟布置升压设备、变配电设备、变电站控制室（升压设备</w:t>
            </w:r>
            <w:r>
              <w:rPr>
                <w:spacing w:val="-4"/>
              </w:rPr>
              <w:t>控制、变配电设备控制、</w:t>
            </w:r>
            <w:r>
              <w:t xml:space="preserve"> </w:t>
            </w:r>
            <w:r>
              <w:rPr>
                <w:spacing w:val="-1"/>
              </w:rPr>
              <w:t>其他设备控制</w:t>
            </w:r>
            <w:r>
              <w:rPr>
                <w:spacing w:val="12"/>
              </w:rPr>
              <w:t>），</w:t>
            </w:r>
            <w:r>
              <w:rPr>
                <w:spacing w:val="-1"/>
              </w:rPr>
              <w:t>属于点位间隔式占地，并非大面积的开挖，局部占地面积相对较小，故</w:t>
            </w:r>
            <w:r>
              <w:t xml:space="preserve">  </w:t>
            </w:r>
            <w:r>
              <w:rPr>
                <w:spacing w:val="-1"/>
              </w:rPr>
              <w:t>永久占地对当地的生态环境影响程度较小。</w:t>
            </w:r>
          </w:p>
          <w:p w14:paraId="5467E6D3">
            <w:pPr>
              <w:pStyle w:val="6"/>
              <w:spacing w:before="30" w:line="353" w:lineRule="auto"/>
              <w:ind w:left="107" w:right="102" w:firstLine="363"/>
              <w:jc w:val="both"/>
            </w:pPr>
            <w:r>
              <w:rPr>
                <w:spacing w:val="-2"/>
              </w:rPr>
              <w:t>项目阵列架设完成后及时完成组件下方林草植</w:t>
            </w:r>
            <w:r>
              <w:rPr>
                <w:spacing w:val="-3"/>
              </w:rPr>
              <w:t>被的恢复，严禁抛荒、撂荒，极大提高土</w:t>
            </w:r>
            <w:r>
              <w:t xml:space="preserve"> </w:t>
            </w:r>
            <w:r>
              <w:rPr>
                <w:spacing w:val="1"/>
              </w:rPr>
              <w:t>地利用率，光伏板下继续种植林草，将对原土地利用现状进行恢复，</w:t>
            </w:r>
            <w:r>
              <w:t xml:space="preserve">不会改变其土地利用 </w:t>
            </w:r>
            <w:r>
              <w:rPr>
                <w:spacing w:val="1"/>
              </w:rPr>
              <w:t>类型。运营期仅占用了少量的永久占地，对区域土地利用现状影响较</w:t>
            </w:r>
            <w:r>
              <w:t xml:space="preserve">小，不会明显改变区 </w:t>
            </w:r>
            <w:r>
              <w:rPr>
                <w:spacing w:val="-2"/>
              </w:rPr>
              <w:t>域土地利用格局。</w:t>
            </w:r>
          </w:p>
          <w:p w14:paraId="269DB100">
            <w:pPr>
              <w:pStyle w:val="6"/>
              <w:spacing w:before="33" w:line="219" w:lineRule="auto"/>
              <w:ind w:left="589"/>
            </w:pPr>
            <w:r>
              <w:rPr>
                <w:rFonts w:ascii="Times New Roman" w:hAnsi="Times New Roman" w:eastAsia="Times New Roman" w:cs="Times New Roman"/>
                <w:spacing w:val="-1"/>
              </w:rPr>
              <w:t>5</w:t>
            </w:r>
            <w:r>
              <w:rPr>
                <w:spacing w:val="-1"/>
              </w:rPr>
              <w:t>）对区域景观的影响分析</w:t>
            </w:r>
          </w:p>
          <w:p w14:paraId="22ACD55D">
            <w:pPr>
              <w:pStyle w:val="6"/>
              <w:spacing w:before="182" w:line="354" w:lineRule="auto"/>
              <w:ind w:left="107" w:right="143" w:firstLine="483"/>
            </w:pPr>
            <w:r>
              <w:rPr>
                <w:spacing w:val="-2"/>
              </w:rPr>
              <w:t>项目实施后，将安装大量的太阳能电池组件，</w:t>
            </w:r>
            <w:r>
              <w:rPr>
                <w:spacing w:val="-61"/>
              </w:rPr>
              <w:t xml:space="preserve"> </w:t>
            </w:r>
            <w:r>
              <w:rPr>
                <w:spacing w:val="-2"/>
              </w:rPr>
              <w:t>占地面积较大，且颜色、样式单一，改</w:t>
            </w:r>
            <w:r>
              <w:t xml:space="preserve"> 变了原有的生态景观，将造成区域视觉景观单一化。本电站在设</w:t>
            </w:r>
            <w:r>
              <w:rPr>
                <w:spacing w:val="-1"/>
              </w:rPr>
              <w:t>计光伏组件的布局时，在</w:t>
            </w:r>
            <w:r>
              <w:t xml:space="preserve"> 满足设计要求的同时，将尽量依山势布置，加上太阳能光伏板朝</w:t>
            </w:r>
            <w:r>
              <w:rPr>
                <w:spacing w:val="-1"/>
              </w:rPr>
              <w:t>向天空，安装倾角不面向</w:t>
            </w:r>
            <w:r>
              <w:t xml:space="preserve"> 地面，光伏板不会发光，且项目周边没有风景名胜区和特殊景点</w:t>
            </w:r>
            <w:r>
              <w:rPr>
                <w:spacing w:val="-1"/>
              </w:rPr>
              <w:t>，因此，运营期对区域景</w:t>
            </w:r>
            <w:r>
              <w:t xml:space="preserve"> </w:t>
            </w:r>
            <w:r>
              <w:rPr>
                <w:spacing w:val="-2"/>
              </w:rPr>
              <w:t>观影响较小。</w:t>
            </w:r>
          </w:p>
          <w:p w14:paraId="4C4579DE">
            <w:pPr>
              <w:pStyle w:val="6"/>
              <w:spacing w:before="33" w:line="345" w:lineRule="auto"/>
              <w:ind w:left="108" w:right="143" w:firstLine="508"/>
            </w:pPr>
            <w:r>
              <w:rPr>
                <w:spacing w:val="-1"/>
              </w:rPr>
              <w:t>由于本工程位于山区，远离城镇，低海拔处有较多林地，从山脚公路处不易看</w:t>
            </w:r>
            <w:r>
              <w:rPr>
                <w:spacing w:val="-2"/>
              </w:rPr>
              <w:t>见光伏</w:t>
            </w:r>
            <w:r>
              <w:t xml:space="preserve"> </w:t>
            </w:r>
            <w:r>
              <w:rPr>
                <w:spacing w:val="-1"/>
              </w:rPr>
              <w:t>板。因此，光伏建设对区域景观影响较小。</w:t>
            </w:r>
          </w:p>
          <w:p w14:paraId="14FE2E1E">
            <w:pPr>
              <w:pStyle w:val="6"/>
              <w:spacing w:before="38" w:line="219" w:lineRule="auto"/>
              <w:ind w:left="588"/>
            </w:pPr>
            <w:r>
              <w:rPr>
                <w:rFonts w:ascii="Times New Roman" w:hAnsi="Times New Roman" w:eastAsia="Times New Roman" w:cs="Times New Roman"/>
                <w:spacing w:val="-2"/>
              </w:rPr>
              <w:t>6</w:t>
            </w:r>
            <w:r>
              <w:rPr>
                <w:spacing w:val="-2"/>
              </w:rPr>
              <w:t>）光污染影响分析</w:t>
            </w:r>
          </w:p>
          <w:p w14:paraId="6261388F">
            <w:pPr>
              <w:pStyle w:val="6"/>
              <w:spacing w:before="180" w:line="347" w:lineRule="auto"/>
              <w:ind w:left="107" w:right="102" w:firstLine="480"/>
            </w:pPr>
            <w:r>
              <w:rPr>
                <w:spacing w:val="1"/>
              </w:rPr>
              <w:t>本项目采用太阳能电池板作为能量采集装置，在吸收太阳能的过程</w:t>
            </w:r>
            <w:r>
              <w:t xml:space="preserve">中，会反射、折射 </w:t>
            </w:r>
            <w:r>
              <w:rPr>
                <w:spacing w:val="-2"/>
              </w:rPr>
              <w:t>太阳光造成光污染。</w:t>
            </w:r>
          </w:p>
          <w:p w14:paraId="5B0FABB0">
            <w:pPr>
              <w:pStyle w:val="6"/>
              <w:spacing w:before="32" w:line="219" w:lineRule="auto"/>
              <w:ind w:left="588"/>
            </w:pPr>
            <w:r>
              <w:rPr>
                <w:spacing w:val="1"/>
              </w:rPr>
              <w:t>本项目采用单晶硅电池组件，该电池组件最外层为特种钢化玻璃，</w:t>
            </w:r>
            <w:r>
              <w:t>这种钢化玻璃的透</w:t>
            </w:r>
          </w:p>
        </w:tc>
      </w:tr>
    </w:tbl>
    <w:p w14:paraId="050196D7">
      <w:pPr>
        <w:rPr>
          <w:rFonts w:ascii="Arial"/>
          <w:sz w:val="21"/>
        </w:rPr>
      </w:pPr>
    </w:p>
    <w:p w14:paraId="4FEC65F5">
      <w:pPr>
        <w:rPr>
          <w:rFonts w:ascii="Arial" w:hAnsi="Arial" w:eastAsia="Arial" w:cs="Arial"/>
          <w:sz w:val="21"/>
          <w:szCs w:val="21"/>
        </w:rPr>
        <w:sectPr>
          <w:footerReference r:id="rId128" w:type="default"/>
          <w:pgSz w:w="11907" w:h="16840"/>
          <w:pgMar w:top="1431" w:right="907" w:bottom="1278" w:left="907" w:header="0" w:footer="1116" w:gutter="0"/>
          <w:cols w:space="720" w:num="1"/>
        </w:sectPr>
      </w:pPr>
    </w:p>
    <w:p w14:paraId="00507661">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5D28D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5" w:type="dxa"/>
            <w:tcBorders>
              <w:right w:val="single" w:color="000000" w:sz="2" w:space="0"/>
            </w:tcBorders>
            <w:vAlign w:val="top"/>
          </w:tcPr>
          <w:p w14:paraId="61A5049B">
            <w:pPr>
              <w:rPr>
                <w:rFonts w:ascii="Arial"/>
                <w:sz w:val="21"/>
              </w:rPr>
            </w:pPr>
          </w:p>
        </w:tc>
        <w:tc>
          <w:tcPr>
            <w:tcW w:w="9612" w:type="dxa"/>
            <w:tcBorders>
              <w:left w:val="single" w:color="000000" w:sz="2" w:space="0"/>
            </w:tcBorders>
            <w:vAlign w:val="top"/>
          </w:tcPr>
          <w:p w14:paraId="54908C3A">
            <w:pPr>
              <w:pStyle w:val="6"/>
              <w:spacing w:before="44" w:line="354" w:lineRule="auto"/>
              <w:ind w:left="107" w:firstLine="1"/>
              <w:jc w:val="both"/>
            </w:pPr>
            <w:r>
              <w:rPr>
                <w:spacing w:val="-7"/>
              </w:rPr>
              <w:t>光率极高，达</w:t>
            </w:r>
            <w:r>
              <w:rPr>
                <w:spacing w:val="-45"/>
              </w:rPr>
              <w:t xml:space="preserve"> </w:t>
            </w:r>
            <w:r>
              <w:rPr>
                <w:rFonts w:ascii="Times New Roman" w:hAnsi="Times New Roman" w:eastAsia="Times New Roman" w:cs="Times New Roman"/>
                <w:spacing w:val="-7"/>
              </w:rPr>
              <w:t>91%</w:t>
            </w:r>
            <w:r>
              <w:rPr>
                <w:spacing w:val="-7"/>
              </w:rPr>
              <w:t>以上。该光伏阵列区的反射率仅为</w:t>
            </w:r>
            <w:r>
              <w:rPr>
                <w:spacing w:val="-50"/>
              </w:rPr>
              <w:t xml:space="preserve"> </w:t>
            </w:r>
            <w:r>
              <w:rPr>
                <w:rFonts w:ascii="Times New Roman" w:hAnsi="Times New Roman" w:eastAsia="Times New Roman" w:cs="Times New Roman"/>
                <w:spacing w:val="-7"/>
              </w:rPr>
              <w:t>9%</w:t>
            </w:r>
            <w:r>
              <w:rPr>
                <w:spacing w:val="-7"/>
              </w:rPr>
              <w:t>左右，远低于《玻璃幕墙光学性能》</w:t>
            </w:r>
            <w:r>
              <w:t xml:space="preserve"> （</w:t>
            </w:r>
            <w:r>
              <w:rPr>
                <w:rFonts w:ascii="Times New Roman" w:hAnsi="Times New Roman" w:eastAsia="Times New Roman" w:cs="Times New Roman"/>
              </w:rPr>
              <w:t>GB/T18091-2000</w:t>
            </w:r>
            <w:r>
              <w:t xml:space="preserve">）中“在城市主干道、立交桥、高架桥两侧设立的玻璃幕墙，应采用反  </w:t>
            </w:r>
            <w:r>
              <w:rPr>
                <w:spacing w:val="-1"/>
              </w:rPr>
              <w:t>射比小于</w:t>
            </w:r>
            <w:r>
              <w:rPr>
                <w:spacing w:val="-32"/>
              </w:rPr>
              <w:t xml:space="preserve"> </w:t>
            </w:r>
            <w:r>
              <w:rPr>
                <w:rFonts w:ascii="Times New Roman" w:hAnsi="Times New Roman" w:eastAsia="Times New Roman" w:cs="Times New Roman"/>
                <w:spacing w:val="-1"/>
              </w:rPr>
              <w:t>16%</w:t>
            </w:r>
            <w:r>
              <w:rPr>
                <w:spacing w:val="-1"/>
              </w:rPr>
              <w:t>的低辐射玻璃</w:t>
            </w:r>
            <w:r>
              <w:rPr>
                <w:spacing w:val="-86"/>
              </w:rPr>
              <w:t xml:space="preserve"> </w:t>
            </w:r>
            <w:r>
              <w:rPr>
                <w:spacing w:val="-1"/>
              </w:rPr>
              <w:t>”的规定，反射量极小；且</w:t>
            </w:r>
            <w:r>
              <w:rPr>
                <w:spacing w:val="-2"/>
              </w:rPr>
              <w:t>太阳能组件内的晶硅板片表面涂覆</w:t>
            </w:r>
            <w:r>
              <w:t xml:space="preserve">  </w:t>
            </w:r>
            <w:r>
              <w:rPr>
                <w:spacing w:val="1"/>
              </w:rPr>
              <w:t>有一层防反射涂层，太阳能电池组件本身并不向外辐射任何形</w:t>
            </w:r>
            <w:r>
              <w:t xml:space="preserve">式的光及电磁波，未被吸收  </w:t>
            </w:r>
            <w:r>
              <w:rPr>
                <w:spacing w:val="1"/>
              </w:rPr>
              <w:t>的太阳光中一部分将被前面板玻璃反射回去，前面板玻璃为普</w:t>
            </w:r>
            <w:r>
              <w:t xml:space="preserve">通的建筑用钢化玻璃；另一  </w:t>
            </w:r>
            <w:r>
              <w:rPr>
                <w:spacing w:val="-1"/>
              </w:rPr>
              <w:t>部分将穿透前面板、硅材料吸收层和背面板玻璃。</w:t>
            </w:r>
          </w:p>
          <w:p w14:paraId="488075B6">
            <w:pPr>
              <w:pStyle w:val="6"/>
              <w:spacing w:before="36" w:line="352" w:lineRule="auto"/>
              <w:ind w:left="108" w:right="102" w:firstLine="497"/>
              <w:jc w:val="both"/>
            </w:pPr>
            <w:r>
              <w:rPr>
                <w:spacing w:val="-2"/>
              </w:rPr>
              <w:t>因此，太阳能组件对阳光的反射以散射为主。本项目涉及光伏阵列</w:t>
            </w:r>
            <w:r>
              <w:rPr>
                <w:spacing w:val="-3"/>
              </w:rPr>
              <w:t>拟采用</w:t>
            </w:r>
            <w:r>
              <w:rPr>
                <w:spacing w:val="-55"/>
              </w:rPr>
              <w:t xml:space="preserve"> </w:t>
            </w:r>
            <w:r>
              <w:rPr>
                <w:rFonts w:ascii="Times New Roman" w:hAnsi="Times New Roman" w:eastAsia="Times New Roman" w:cs="Times New Roman"/>
                <w:spacing w:val="-3"/>
              </w:rPr>
              <w:t>23</w:t>
            </w:r>
            <w:r>
              <w:rPr>
                <w:rFonts w:ascii="Times New Roman" w:hAnsi="Times New Roman" w:eastAsia="Times New Roman" w:cs="Times New Roman"/>
                <w:spacing w:val="-29"/>
              </w:rPr>
              <w:t xml:space="preserve"> </w:t>
            </w:r>
            <w:r>
              <w:rPr>
                <w:spacing w:val="-3"/>
              </w:rPr>
              <w:t>°倾角通</w:t>
            </w:r>
            <w:r>
              <w:t xml:space="preserve"> </w:t>
            </w:r>
            <w:r>
              <w:rPr>
                <w:spacing w:val="1"/>
              </w:rPr>
              <w:t>过固定支架安装，主要反射面固定朝天。经现场踏勘，光伏区附近</w:t>
            </w:r>
            <w:r>
              <w:t xml:space="preserve">虽有居民点分布，但太 </w:t>
            </w:r>
            <w:r>
              <w:rPr>
                <w:spacing w:val="1"/>
              </w:rPr>
              <w:t>阳光反射影响周边村庄建筑物高度＞</w:t>
            </w:r>
            <w:r>
              <w:rPr>
                <w:rFonts w:ascii="Times New Roman" w:hAnsi="Times New Roman" w:eastAsia="Times New Roman" w:cs="Times New Roman"/>
                <w:spacing w:val="1"/>
              </w:rPr>
              <w:t>50m</w:t>
            </w:r>
            <w:r>
              <w:rPr>
                <w:rFonts w:ascii="Times New Roman" w:hAnsi="Times New Roman" w:eastAsia="Times New Roman" w:cs="Times New Roman"/>
                <w:spacing w:val="-20"/>
              </w:rPr>
              <w:t xml:space="preserve"> </w:t>
            </w:r>
            <w:r>
              <w:rPr>
                <w:spacing w:val="1"/>
              </w:rPr>
              <w:t>，而附近居民建筑多为自建一～三层平房，无较</w:t>
            </w:r>
            <w:r>
              <w:t xml:space="preserve"> </w:t>
            </w:r>
            <w:r>
              <w:rPr>
                <w:spacing w:val="-1"/>
              </w:rPr>
              <w:t>高建筑，不会对周边居民生活和地面交通安全造成光污染。</w:t>
            </w:r>
          </w:p>
          <w:p w14:paraId="38FFD7CF">
            <w:pPr>
              <w:pStyle w:val="6"/>
              <w:spacing w:before="37" w:line="220" w:lineRule="auto"/>
              <w:ind w:left="479"/>
            </w:pPr>
            <w:r>
              <w:rPr>
                <w:b/>
                <w:bCs/>
                <w:spacing w:val="-4"/>
              </w:rPr>
              <w:t>（</w:t>
            </w:r>
            <w:r>
              <w:rPr>
                <w:rFonts w:ascii="Times New Roman" w:hAnsi="Times New Roman" w:eastAsia="Times New Roman" w:cs="Times New Roman"/>
                <w:b/>
                <w:bCs/>
                <w:spacing w:val="-4"/>
              </w:rPr>
              <w:t>2</w:t>
            </w:r>
            <w:r>
              <w:rPr>
                <w:b/>
                <w:bCs/>
                <w:spacing w:val="-4"/>
              </w:rPr>
              <w:t>）大气环境影响分析</w:t>
            </w:r>
          </w:p>
          <w:p w14:paraId="19656673">
            <w:pPr>
              <w:pStyle w:val="6"/>
              <w:spacing w:before="178" w:line="347" w:lineRule="auto"/>
              <w:ind w:left="112" w:right="102" w:firstLine="476"/>
            </w:pPr>
            <w:r>
              <w:rPr>
                <w:spacing w:val="1"/>
              </w:rPr>
              <w:t>本项目光伏发电过程不会产生工业废气，运营期产生的废气主要是</w:t>
            </w:r>
            <w:r>
              <w:t xml:space="preserve">升压站厨房油烟和 </w:t>
            </w:r>
            <w:r>
              <w:rPr>
                <w:spacing w:val="-2"/>
              </w:rPr>
              <w:t>处理生活污水处理设施的异味。</w:t>
            </w:r>
          </w:p>
          <w:p w14:paraId="6228EB83">
            <w:pPr>
              <w:pStyle w:val="6"/>
              <w:spacing w:before="29" w:line="354" w:lineRule="auto"/>
              <w:ind w:left="106" w:right="41" w:firstLine="484"/>
              <w:jc w:val="both"/>
            </w:pPr>
            <w:r>
              <w:t>项目劳动定员为</w:t>
            </w:r>
            <w:r>
              <w:rPr>
                <w:spacing w:val="-21"/>
              </w:rPr>
              <w:t xml:space="preserve"> </w:t>
            </w:r>
            <w:r>
              <w:rPr>
                <w:rFonts w:ascii="Times New Roman" w:hAnsi="Times New Roman" w:eastAsia="Times New Roman" w:cs="Times New Roman"/>
              </w:rPr>
              <w:t>18</w:t>
            </w:r>
            <w:r>
              <w:rPr>
                <w:rFonts w:ascii="Times New Roman" w:hAnsi="Times New Roman" w:eastAsia="Times New Roman" w:cs="Times New Roman"/>
                <w:spacing w:val="17"/>
              </w:rPr>
              <w:t xml:space="preserve"> </w:t>
            </w:r>
            <w:r>
              <w:t>人，其中厂内食宿</w:t>
            </w:r>
            <w:r>
              <w:rPr>
                <w:spacing w:val="-30"/>
              </w:rPr>
              <w:t xml:space="preserve"> </w:t>
            </w:r>
            <w:r>
              <w:rPr>
                <w:rFonts w:ascii="Times New Roman" w:hAnsi="Times New Roman" w:eastAsia="Times New Roman" w:cs="Times New Roman"/>
              </w:rPr>
              <w:t xml:space="preserve">12 </w:t>
            </w:r>
            <w:r>
              <w:t>人，</w:t>
            </w:r>
            <w:r>
              <w:rPr>
                <w:rFonts w:ascii="Times New Roman" w:hAnsi="Times New Roman" w:eastAsia="Times New Roman" w:cs="Times New Roman"/>
              </w:rPr>
              <w:t xml:space="preserve">6 </w:t>
            </w:r>
            <w:r>
              <w:t xml:space="preserve">人轮班休息，运营期厨房采用电能或 </w:t>
            </w:r>
            <w:r>
              <w:rPr>
                <w:spacing w:val="-4"/>
              </w:rPr>
              <w:t>太阳能作为厨房燃料，均为清洁能源。用油量按</w:t>
            </w:r>
            <w:r>
              <w:rPr>
                <w:spacing w:val="-51"/>
              </w:rPr>
              <w:t xml:space="preserve"> </w:t>
            </w:r>
            <w:r>
              <w:rPr>
                <w:rFonts w:ascii="Times New Roman" w:hAnsi="Times New Roman" w:eastAsia="Times New Roman" w:cs="Times New Roman"/>
                <w:spacing w:val="-4"/>
              </w:rPr>
              <w:t>30g/</w:t>
            </w:r>
            <w:r>
              <w:rPr>
                <w:spacing w:val="-4"/>
              </w:rPr>
              <w:t>人</w:t>
            </w:r>
            <w:r>
              <w:rPr>
                <w:rFonts w:ascii="Times New Roman" w:hAnsi="Times New Roman" w:eastAsia="Times New Roman" w:cs="Times New Roman"/>
                <w:spacing w:val="-4"/>
              </w:rPr>
              <w:t>·</w:t>
            </w:r>
            <w:r>
              <w:rPr>
                <w:spacing w:val="-4"/>
              </w:rPr>
              <w:t>天计，则升压站用油</w:t>
            </w:r>
            <w:r>
              <w:rPr>
                <w:spacing w:val="-5"/>
              </w:rPr>
              <w:t>量为</w:t>
            </w:r>
            <w:r>
              <w:rPr>
                <w:spacing w:val="-51"/>
              </w:rPr>
              <w:t xml:space="preserve"> </w:t>
            </w:r>
            <w:r>
              <w:rPr>
                <w:rFonts w:ascii="Times New Roman" w:hAnsi="Times New Roman" w:eastAsia="Times New Roman" w:cs="Times New Roman"/>
                <w:spacing w:val="-5"/>
              </w:rPr>
              <w:t>0.36kg/d</w:t>
            </w:r>
            <w:r>
              <w:rPr>
                <w:spacing w:val="-5"/>
              </w:rPr>
              <w:t>，</w:t>
            </w:r>
            <w:r>
              <w:t xml:space="preserve"> </w:t>
            </w:r>
            <w:r>
              <w:rPr>
                <w:spacing w:val="-3"/>
              </w:rPr>
              <w:t>油烟产生量取总耗油量的</w:t>
            </w:r>
            <w:r>
              <w:rPr>
                <w:spacing w:val="-55"/>
              </w:rPr>
              <w:t xml:space="preserve"> </w:t>
            </w:r>
            <w:r>
              <w:rPr>
                <w:rFonts w:ascii="Times New Roman" w:hAnsi="Times New Roman" w:eastAsia="Times New Roman" w:cs="Times New Roman"/>
                <w:spacing w:val="-3"/>
              </w:rPr>
              <w:t>2.8%</w:t>
            </w:r>
            <w:r>
              <w:rPr>
                <w:rFonts w:ascii="Times New Roman" w:hAnsi="Times New Roman" w:eastAsia="Times New Roman" w:cs="Times New Roman"/>
                <w:spacing w:val="-32"/>
              </w:rPr>
              <w:t xml:space="preserve"> </w:t>
            </w:r>
            <w:r>
              <w:rPr>
                <w:spacing w:val="-3"/>
              </w:rPr>
              <w:t>，则油烟产生量为</w:t>
            </w:r>
            <w:r>
              <w:rPr>
                <w:spacing w:val="-51"/>
              </w:rPr>
              <w:t xml:space="preserve"> </w:t>
            </w:r>
            <w:r>
              <w:rPr>
                <w:rFonts w:ascii="Times New Roman" w:hAnsi="Times New Roman" w:eastAsia="Times New Roman" w:cs="Times New Roman"/>
                <w:spacing w:val="-3"/>
              </w:rPr>
              <w:t>0.0101kg/d</w:t>
            </w:r>
            <w:r>
              <w:rPr>
                <w:rFonts w:ascii="Times New Roman" w:hAnsi="Times New Roman" w:eastAsia="Times New Roman" w:cs="Times New Roman"/>
                <w:spacing w:val="-29"/>
              </w:rPr>
              <w:t xml:space="preserve"> </w:t>
            </w:r>
            <w:r>
              <w:rPr>
                <w:spacing w:val="-3"/>
              </w:rPr>
              <w:t>，每天烹饪时间为</w:t>
            </w:r>
            <w:r>
              <w:rPr>
                <w:spacing w:val="-56"/>
              </w:rPr>
              <w:t xml:space="preserve"> </w:t>
            </w:r>
            <w:r>
              <w:rPr>
                <w:rFonts w:ascii="Times New Roman" w:hAnsi="Times New Roman" w:eastAsia="Times New Roman" w:cs="Times New Roman"/>
                <w:spacing w:val="-3"/>
              </w:rPr>
              <w:t>4h</w:t>
            </w:r>
            <w:r>
              <w:rPr>
                <w:rFonts w:ascii="Times New Roman" w:hAnsi="Times New Roman" w:eastAsia="Times New Roman" w:cs="Times New Roman"/>
                <w:spacing w:val="-31"/>
              </w:rPr>
              <w:t xml:space="preserve"> </w:t>
            </w:r>
            <w:r>
              <w:rPr>
                <w:spacing w:val="-3"/>
              </w:rPr>
              <w:t>，</w:t>
            </w:r>
            <w:r>
              <w:rPr>
                <w:spacing w:val="-4"/>
              </w:rPr>
              <w:t>设置</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rPr>
              <w:t xml:space="preserve">  </w:t>
            </w:r>
            <w:r>
              <w:rPr>
                <w:spacing w:val="-1"/>
              </w:rPr>
              <w:t>个灶头，风机风量以</w:t>
            </w:r>
            <w:r>
              <w:rPr>
                <w:spacing w:val="-26"/>
              </w:rPr>
              <w:t xml:space="preserve"> </w:t>
            </w:r>
            <w:r>
              <w:rPr>
                <w:rFonts w:ascii="Times New Roman" w:hAnsi="Times New Roman" w:eastAsia="Times New Roman" w:cs="Times New Roman"/>
                <w:spacing w:val="-1"/>
              </w:rPr>
              <w:t>1000m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 xml:space="preserve">/h </w:t>
            </w:r>
            <w:r>
              <w:rPr>
                <w:spacing w:val="-1"/>
              </w:rPr>
              <w:t>计，油烟产生浓度为</w:t>
            </w:r>
            <w:r>
              <w:rPr>
                <w:spacing w:val="-55"/>
              </w:rPr>
              <w:t xml:space="preserve"> </w:t>
            </w:r>
            <w:r>
              <w:rPr>
                <w:rFonts w:ascii="Times New Roman" w:hAnsi="Times New Roman" w:eastAsia="Times New Roman" w:cs="Times New Roman"/>
                <w:spacing w:val="-1"/>
              </w:rPr>
              <w:t>2.53mg/m</w:t>
            </w:r>
            <w:r>
              <w:rPr>
                <w:rFonts w:ascii="Times New Roman" w:hAnsi="Times New Roman" w:eastAsia="Times New Roman" w:cs="Times New Roman"/>
                <w:spacing w:val="-1"/>
                <w:position w:val="8"/>
                <w:sz w:val="15"/>
                <w:szCs w:val="15"/>
              </w:rPr>
              <w:t xml:space="preserve">3 </w:t>
            </w:r>
            <w:r>
              <w:rPr>
                <w:spacing w:val="-1"/>
              </w:rPr>
              <w:t>。油烟废气经油烟净化器净</w:t>
            </w:r>
            <w:r>
              <w:t xml:space="preserve"> </w:t>
            </w:r>
            <w:r>
              <w:rPr>
                <w:spacing w:val="-3"/>
              </w:rPr>
              <w:t>化处理，处理效率以</w:t>
            </w:r>
            <w:r>
              <w:rPr>
                <w:spacing w:val="-37"/>
              </w:rPr>
              <w:t xml:space="preserve"> </w:t>
            </w:r>
            <w:r>
              <w:rPr>
                <w:rFonts w:ascii="Times New Roman" w:hAnsi="Times New Roman" w:eastAsia="Times New Roman" w:cs="Times New Roman"/>
                <w:spacing w:val="-3"/>
              </w:rPr>
              <w:t>60%</w:t>
            </w:r>
            <w:r>
              <w:rPr>
                <w:spacing w:val="-3"/>
              </w:rPr>
              <w:t>计，经处理后，油烟排放量为</w:t>
            </w:r>
            <w:r>
              <w:rPr>
                <w:spacing w:val="-52"/>
              </w:rPr>
              <w:t xml:space="preserve"> </w:t>
            </w:r>
            <w:r>
              <w:rPr>
                <w:rFonts w:ascii="Times New Roman" w:hAnsi="Times New Roman" w:eastAsia="Times New Roman" w:cs="Times New Roman"/>
                <w:spacing w:val="-3"/>
              </w:rPr>
              <w:t>0.00432kg/d</w:t>
            </w:r>
            <w:r>
              <w:rPr>
                <w:rFonts w:ascii="Times New Roman" w:hAnsi="Times New Roman" w:eastAsia="Times New Roman" w:cs="Times New Roman"/>
                <w:spacing w:val="-29"/>
              </w:rPr>
              <w:t xml:space="preserve"> </w:t>
            </w:r>
            <w:r>
              <w:rPr>
                <w:spacing w:val="-3"/>
              </w:rPr>
              <w:t>，</w:t>
            </w:r>
            <w:r>
              <w:rPr>
                <w:rFonts w:ascii="Times New Roman" w:hAnsi="Times New Roman" w:eastAsia="Times New Roman" w:cs="Times New Roman"/>
                <w:spacing w:val="-3"/>
              </w:rPr>
              <w:t>0.00108kg/h</w:t>
            </w:r>
            <w:r>
              <w:rPr>
                <w:rFonts w:ascii="Times New Roman" w:hAnsi="Times New Roman" w:eastAsia="Times New Roman" w:cs="Times New Roman"/>
                <w:spacing w:val="-28"/>
              </w:rPr>
              <w:t xml:space="preserve"> </w:t>
            </w:r>
            <w:r>
              <w:rPr>
                <w:spacing w:val="-3"/>
              </w:rPr>
              <w:t>，排放浓</w:t>
            </w:r>
            <w:r>
              <w:t xml:space="preserve"> </w:t>
            </w:r>
            <w:r>
              <w:rPr>
                <w:spacing w:val="-3"/>
              </w:rPr>
              <w:t>度为</w:t>
            </w:r>
            <w:r>
              <w:rPr>
                <w:spacing w:val="-32"/>
              </w:rPr>
              <w:t xml:space="preserve"> </w:t>
            </w:r>
            <w:r>
              <w:rPr>
                <w:rFonts w:ascii="Times New Roman" w:hAnsi="Times New Roman" w:eastAsia="Times New Roman" w:cs="Times New Roman"/>
                <w:spacing w:val="-3"/>
              </w:rPr>
              <w:t>1.08mg/m</w:t>
            </w:r>
            <w:r>
              <w:rPr>
                <w:rFonts w:ascii="Times New Roman" w:hAnsi="Times New Roman" w:eastAsia="Times New Roman" w:cs="Times New Roman"/>
                <w:spacing w:val="-3"/>
                <w:position w:val="8"/>
                <w:sz w:val="15"/>
                <w:szCs w:val="15"/>
              </w:rPr>
              <w:t>3</w:t>
            </w:r>
            <w:r>
              <w:rPr>
                <w:spacing w:val="-3"/>
              </w:rPr>
              <w:t>，油烟废气需安装集气罩、油</w:t>
            </w:r>
            <w:r>
              <w:rPr>
                <w:spacing w:val="-4"/>
              </w:rPr>
              <w:t>烟净化器处理，经处理后设置专用烟道引至食</w:t>
            </w:r>
            <w:r>
              <w:t xml:space="preserve"> </w:t>
            </w:r>
            <w:r>
              <w:rPr>
                <w:spacing w:val="-1"/>
              </w:rPr>
              <w:t>堂所在构筑物楼顶排放，满足《饮食业油烟排放标准（试行）》（</w:t>
            </w:r>
            <w:r>
              <w:rPr>
                <w:rFonts w:ascii="Times New Roman" w:hAnsi="Times New Roman" w:eastAsia="Times New Roman" w:cs="Times New Roman"/>
                <w:spacing w:val="-1"/>
              </w:rPr>
              <w:t>GB</w:t>
            </w:r>
            <w:r>
              <w:rPr>
                <w:rFonts w:ascii="Times New Roman" w:hAnsi="Times New Roman" w:eastAsia="Times New Roman" w:cs="Times New Roman"/>
                <w:spacing w:val="-2"/>
              </w:rPr>
              <w:t>18483-2001</w:t>
            </w:r>
            <w:r>
              <w:rPr>
                <w:spacing w:val="-2"/>
              </w:rPr>
              <w:t>）表</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2"/>
              </w:rPr>
              <w:t xml:space="preserve"> </w:t>
            </w:r>
            <w:r>
              <w:rPr>
                <w:spacing w:val="-2"/>
              </w:rPr>
              <w:t>中</w:t>
            </w:r>
            <w:r>
              <w:t xml:space="preserve"> </w:t>
            </w:r>
            <w:r>
              <w:rPr>
                <w:spacing w:val="-1"/>
              </w:rPr>
              <w:t>的最高允许排放浓度</w:t>
            </w:r>
            <w:r>
              <w:rPr>
                <w:spacing w:val="-50"/>
              </w:rPr>
              <w:t xml:space="preserve"> </w:t>
            </w:r>
            <w:r>
              <w:rPr>
                <w:rFonts w:ascii="Times New Roman" w:hAnsi="Times New Roman" w:eastAsia="Times New Roman" w:cs="Times New Roman"/>
                <w:spacing w:val="-1"/>
              </w:rPr>
              <w:t>2.0mg/m</w:t>
            </w:r>
            <w:r>
              <w:rPr>
                <w:rFonts w:ascii="Times New Roman" w:hAnsi="Times New Roman" w:eastAsia="Times New Roman" w:cs="Times New Roman"/>
                <w:spacing w:val="-1"/>
                <w:position w:val="8"/>
                <w:sz w:val="15"/>
                <w:szCs w:val="15"/>
              </w:rPr>
              <w:t>3</w:t>
            </w:r>
            <w:r>
              <w:rPr>
                <w:spacing w:val="-1"/>
              </w:rPr>
              <w:t>。</w:t>
            </w:r>
          </w:p>
          <w:p w14:paraId="4AEC5048">
            <w:pPr>
              <w:pStyle w:val="6"/>
              <w:spacing w:before="57" w:line="345" w:lineRule="auto"/>
              <w:ind w:left="127" w:right="102" w:firstLine="464"/>
            </w:pPr>
            <w:r>
              <w:rPr>
                <w:spacing w:val="1"/>
              </w:rPr>
              <w:t>项目化粪池、隔油池、一体化污水处理设施设置为地埋式，</w:t>
            </w:r>
            <w:r>
              <w:t xml:space="preserve">且由于其规模较小，产生 </w:t>
            </w:r>
            <w:r>
              <w:rPr>
                <w:spacing w:val="-1"/>
              </w:rPr>
              <w:t>的异味也非常少，经空气稀释，植物吸收后，废气对周围环境影响较小。</w:t>
            </w:r>
          </w:p>
          <w:p w14:paraId="7D8734B0">
            <w:pPr>
              <w:pStyle w:val="6"/>
              <w:spacing w:before="38" w:line="219" w:lineRule="auto"/>
              <w:ind w:left="599"/>
            </w:pPr>
            <w:r>
              <w:rPr>
                <w:b/>
                <w:bCs/>
                <w:spacing w:val="-4"/>
              </w:rPr>
              <w:t>（</w:t>
            </w:r>
            <w:r>
              <w:rPr>
                <w:rFonts w:ascii="Times New Roman" w:hAnsi="Times New Roman" w:eastAsia="Times New Roman" w:cs="Times New Roman"/>
                <w:b/>
                <w:bCs/>
                <w:spacing w:val="-4"/>
              </w:rPr>
              <w:t>3</w:t>
            </w:r>
            <w:r>
              <w:rPr>
                <w:b/>
                <w:bCs/>
                <w:spacing w:val="-4"/>
              </w:rPr>
              <w:t>）水环境影响分析</w:t>
            </w:r>
          </w:p>
          <w:p w14:paraId="2C9F092E">
            <w:pPr>
              <w:pStyle w:val="6"/>
              <w:spacing w:before="180" w:line="220" w:lineRule="auto"/>
              <w:ind w:left="606"/>
            </w:pPr>
            <w:r>
              <w:rPr>
                <w:rFonts w:ascii="Times New Roman" w:hAnsi="Times New Roman" w:eastAsia="Times New Roman" w:cs="Times New Roman"/>
                <w:spacing w:val="-3"/>
              </w:rPr>
              <w:t>1</w:t>
            </w:r>
            <w:r>
              <w:rPr>
                <w:spacing w:val="-3"/>
              </w:rPr>
              <w:t>）污染源强和影响分析</w:t>
            </w:r>
          </w:p>
          <w:p w14:paraId="5B03D773">
            <w:pPr>
              <w:pStyle w:val="6"/>
              <w:spacing w:before="181" w:line="345" w:lineRule="auto"/>
              <w:ind w:left="112" w:right="102" w:firstLine="479"/>
            </w:pPr>
            <w:r>
              <w:rPr>
                <w:spacing w:val="1"/>
              </w:rPr>
              <w:t>项目运营期废水主要是少量的光伏电池板清洁废水及工作人</w:t>
            </w:r>
            <w:r>
              <w:t xml:space="preserve">员生活污水。光伏电池板 </w:t>
            </w:r>
            <w:r>
              <w:rPr>
                <w:spacing w:val="-1"/>
              </w:rPr>
              <w:t>安装均为螺栓固定式，各逆变器电气设备在维修时，不会产生维修废水。</w:t>
            </w:r>
          </w:p>
          <w:p w14:paraId="24F90503">
            <w:pPr>
              <w:pStyle w:val="6"/>
              <w:spacing w:before="38" w:line="217" w:lineRule="auto"/>
              <w:ind w:left="586"/>
            </w:pPr>
            <w:r>
              <w:rPr>
                <w:spacing w:val="-1"/>
              </w:rPr>
              <w:t>①太阳能电池板清洁废水</w:t>
            </w:r>
          </w:p>
          <w:p w14:paraId="0B37058E">
            <w:pPr>
              <w:pStyle w:val="6"/>
              <w:spacing w:before="183" w:line="219" w:lineRule="auto"/>
              <w:ind w:left="587"/>
            </w:pPr>
            <w:r>
              <w:rPr>
                <w:spacing w:val="1"/>
              </w:rPr>
              <w:t>太阳电池组件周围环境所产生的灰尘及杂物随着空气的流动，会附着</w:t>
            </w:r>
            <w:r>
              <w:t>在电池组件的表</w:t>
            </w:r>
          </w:p>
        </w:tc>
      </w:tr>
    </w:tbl>
    <w:p w14:paraId="5855EB66">
      <w:pPr>
        <w:rPr>
          <w:rFonts w:ascii="Arial"/>
          <w:sz w:val="21"/>
        </w:rPr>
      </w:pPr>
    </w:p>
    <w:p w14:paraId="2E1FFAF7">
      <w:pPr>
        <w:rPr>
          <w:rFonts w:ascii="Arial" w:hAnsi="Arial" w:eastAsia="Arial" w:cs="Arial"/>
          <w:sz w:val="21"/>
          <w:szCs w:val="21"/>
        </w:rPr>
        <w:sectPr>
          <w:footerReference r:id="rId129" w:type="default"/>
          <w:pgSz w:w="11907" w:h="16840"/>
          <w:pgMar w:top="1431" w:right="907" w:bottom="1278" w:left="907" w:header="0" w:footer="1116" w:gutter="0"/>
          <w:cols w:space="720" w:num="1"/>
        </w:sectPr>
      </w:pPr>
    </w:p>
    <w:p w14:paraId="5B6F7D6F">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30639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5" w:type="dxa"/>
            <w:tcBorders>
              <w:right w:val="single" w:color="000000" w:sz="2" w:space="0"/>
            </w:tcBorders>
            <w:vAlign w:val="top"/>
          </w:tcPr>
          <w:p w14:paraId="44CC1DEF">
            <w:pPr>
              <w:rPr>
                <w:rFonts w:ascii="Arial"/>
                <w:sz w:val="21"/>
              </w:rPr>
            </w:pPr>
          </w:p>
        </w:tc>
        <w:tc>
          <w:tcPr>
            <w:tcW w:w="9612" w:type="dxa"/>
            <w:tcBorders>
              <w:left w:val="single" w:color="000000" w:sz="2" w:space="0"/>
            </w:tcBorders>
            <w:vAlign w:val="top"/>
          </w:tcPr>
          <w:p w14:paraId="215DEE58">
            <w:pPr>
              <w:pStyle w:val="6"/>
              <w:spacing w:before="41" w:line="352" w:lineRule="auto"/>
              <w:ind w:left="107" w:right="102"/>
            </w:pPr>
            <w:r>
              <w:rPr>
                <w:spacing w:val="1"/>
              </w:rPr>
              <w:t>面，影响其光电的转换效率，降低其使用性能。如果树叶、鸟粪粘</w:t>
            </w:r>
            <w:r>
              <w:t xml:space="preserve">在其表面还会引起太阳 </w:t>
            </w:r>
            <w:r>
              <w:rPr>
                <w:spacing w:val="-3"/>
              </w:rPr>
              <w:t>电池局部发热而烧坏组件。据相关文献报道，该项因素会对光伏组件的输出功率产生约</w:t>
            </w:r>
            <w:r>
              <w:rPr>
                <w:spacing w:val="-49"/>
              </w:rPr>
              <w:t xml:space="preserve"> </w:t>
            </w:r>
            <w:r>
              <w:rPr>
                <w:rFonts w:ascii="Times New Roman" w:hAnsi="Times New Roman" w:eastAsia="Times New Roman" w:cs="Times New Roman"/>
                <w:spacing w:val="-3"/>
              </w:rPr>
              <w:t>7%</w:t>
            </w:r>
            <w:r>
              <w:rPr>
                <w:rFonts w:ascii="Times New Roman" w:hAnsi="Times New Roman" w:eastAsia="Times New Roman" w:cs="Times New Roman"/>
              </w:rPr>
              <w:t xml:space="preserve"> </w:t>
            </w:r>
            <w:r>
              <w:rPr>
                <w:spacing w:val="1"/>
              </w:rPr>
              <w:t>的影响。为保证太阳能电池的发电效率，电站运行期间平均每季度对组</w:t>
            </w:r>
            <w:r>
              <w:t xml:space="preserve">件进行一次清洁。 </w:t>
            </w:r>
            <w:r>
              <w:rPr>
                <w:spacing w:val="-1"/>
              </w:rPr>
              <w:t>清洁用水采用运水车运送至各电池组件处。</w:t>
            </w:r>
          </w:p>
          <w:p w14:paraId="1C074DF8">
            <w:pPr>
              <w:pStyle w:val="6"/>
              <w:spacing w:before="36" w:line="355" w:lineRule="auto"/>
              <w:ind w:left="103" w:right="102" w:firstLine="488"/>
              <w:jc w:val="both"/>
            </w:pPr>
            <w:r>
              <w:rPr>
                <w:spacing w:val="1"/>
              </w:rPr>
              <w:t>项目所在区域为山区，空气质量较好，综合考虑，项目光伏</w:t>
            </w:r>
            <w:r>
              <w:t xml:space="preserve">板采用人工抹布清洁，本 </w:t>
            </w:r>
            <w:r>
              <w:rPr>
                <w:spacing w:val="1"/>
              </w:rPr>
              <w:t>项目共有太阳能电池组件</w:t>
            </w:r>
            <w:r>
              <w:rPr>
                <w:spacing w:val="-27"/>
              </w:rPr>
              <w:t xml:space="preserve"> </w:t>
            </w:r>
            <w:r>
              <w:rPr>
                <w:rFonts w:ascii="Times New Roman" w:hAnsi="Times New Roman" w:eastAsia="Times New Roman" w:cs="Times New Roman"/>
                <w:spacing w:val="1"/>
              </w:rPr>
              <w:t xml:space="preserve">183000 </w:t>
            </w:r>
            <w:r>
              <w:rPr>
                <w:spacing w:val="1"/>
              </w:rPr>
              <w:t>块，组件尺寸为</w:t>
            </w:r>
            <w:r>
              <w:rPr>
                <w:spacing w:val="-51"/>
              </w:rPr>
              <w:t xml:space="preserve"> </w:t>
            </w:r>
            <w:r>
              <w:rPr>
                <w:rFonts w:ascii="Times New Roman" w:hAnsi="Times New Roman" w:eastAsia="Times New Roman" w:cs="Times New Roman"/>
                <w:spacing w:val="1"/>
              </w:rPr>
              <w:t>2465</w:t>
            </w:r>
            <w:r>
              <w:rPr>
                <w:spacing w:val="1"/>
              </w:rPr>
              <w:t>×</w:t>
            </w:r>
            <w:r>
              <w:rPr>
                <w:spacing w:val="-87"/>
              </w:rPr>
              <w:t xml:space="preserve"> </w:t>
            </w:r>
            <w:r>
              <w:rPr>
                <w:rFonts w:ascii="Times New Roman" w:hAnsi="Times New Roman" w:eastAsia="Times New Roman" w:cs="Times New Roman"/>
                <w:spacing w:val="1"/>
              </w:rPr>
              <w:t>113</w:t>
            </w:r>
            <w:r>
              <w:rPr>
                <w:rFonts w:ascii="Times New Roman" w:hAnsi="Times New Roman" w:eastAsia="Times New Roman" w:cs="Times New Roman"/>
              </w:rPr>
              <w:t>4</w:t>
            </w:r>
            <w:r>
              <w:t>×</w:t>
            </w:r>
            <w:r>
              <w:rPr>
                <w:rFonts w:ascii="Times New Roman" w:hAnsi="Times New Roman" w:eastAsia="Times New Roman" w:cs="Times New Roman"/>
              </w:rPr>
              <w:t>30mm</w:t>
            </w:r>
            <w:r>
              <w:rPr>
                <w:rFonts w:ascii="Times New Roman" w:hAnsi="Times New Roman" w:eastAsia="Times New Roman" w:cs="Times New Roman"/>
                <w:spacing w:val="33"/>
              </w:rPr>
              <w:t xml:space="preserve"> </w:t>
            </w:r>
            <w:r>
              <w:t xml:space="preserve">即每块组件面积为 </w:t>
            </w:r>
            <w:r>
              <w:rPr>
                <w:rFonts w:ascii="Times New Roman" w:hAnsi="Times New Roman" w:eastAsia="Times New Roman" w:cs="Times New Roman"/>
                <w:spacing w:val="-2"/>
              </w:rPr>
              <w:t>2.795m</w:t>
            </w:r>
            <w:r>
              <w:rPr>
                <w:rFonts w:ascii="Times New Roman" w:hAnsi="Times New Roman" w:eastAsia="Times New Roman" w:cs="Times New Roman"/>
                <w:spacing w:val="-2"/>
                <w:position w:val="8"/>
                <w:sz w:val="15"/>
                <w:szCs w:val="15"/>
              </w:rPr>
              <w:t xml:space="preserve">2 </w:t>
            </w:r>
            <w:r>
              <w:rPr>
                <w:spacing w:val="-2"/>
              </w:rPr>
              <w:t>。组件清洁用水量根据可研设计经验数据，取</w:t>
            </w:r>
            <w:r>
              <w:rPr>
                <w:spacing w:val="-49"/>
              </w:rPr>
              <w:t xml:space="preserve"> </w:t>
            </w:r>
            <w:r>
              <w:rPr>
                <w:rFonts w:ascii="Times New Roman" w:hAnsi="Times New Roman" w:eastAsia="Times New Roman" w:cs="Times New Roman"/>
                <w:spacing w:val="-2"/>
              </w:rPr>
              <w:t>0.5L/</w:t>
            </w:r>
            <w:r>
              <w:rPr>
                <w:spacing w:val="-2"/>
              </w:rPr>
              <w:t>（</w:t>
            </w:r>
            <w:r>
              <w:rPr>
                <w:rFonts w:ascii="Times New Roman" w:hAnsi="Times New Roman" w:eastAsia="Times New Roman" w:cs="Times New Roman"/>
                <w:spacing w:val="-2"/>
              </w:rPr>
              <w:t>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9"/>
                <w:position w:val="8"/>
                <w:sz w:val="15"/>
                <w:szCs w:val="15"/>
              </w:rPr>
              <w:t xml:space="preserve">  </w:t>
            </w:r>
            <w:r>
              <w:rPr>
                <w:spacing w:val="-2"/>
              </w:rPr>
              <w:t>·次</w:t>
            </w:r>
            <w:r>
              <w:rPr>
                <w:spacing w:val="13"/>
              </w:rPr>
              <w:t>），</w:t>
            </w:r>
            <w:r>
              <w:rPr>
                <w:spacing w:val="-2"/>
              </w:rPr>
              <w:t>则每块电池组件</w:t>
            </w:r>
            <w:r>
              <w:t xml:space="preserve"> 清洗用水量约</w:t>
            </w:r>
            <w:r>
              <w:rPr>
                <w:spacing w:val="-32"/>
              </w:rPr>
              <w:t xml:space="preserve"> </w:t>
            </w:r>
            <w:r>
              <w:rPr>
                <w:rFonts w:ascii="Times New Roman" w:hAnsi="Times New Roman" w:eastAsia="Times New Roman" w:cs="Times New Roman"/>
              </w:rPr>
              <w:t>1.40L/</w:t>
            </w:r>
            <w:r>
              <w:t>次，全场所有电池组件</w:t>
            </w:r>
            <w:r>
              <w:rPr>
                <w:spacing w:val="-1"/>
              </w:rPr>
              <w:t>清洗一次总用水量约为</w:t>
            </w:r>
            <w:r>
              <w:rPr>
                <w:spacing w:val="-55"/>
              </w:rPr>
              <w:t xml:space="preserve"> </w:t>
            </w:r>
            <w:r>
              <w:rPr>
                <w:rFonts w:ascii="Times New Roman" w:hAnsi="Times New Roman" w:eastAsia="Times New Roman" w:cs="Times New Roman"/>
                <w:spacing w:val="-1"/>
              </w:rPr>
              <w:t>256.20m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7"/>
                <w:position w:val="7"/>
                <w:sz w:val="15"/>
                <w:szCs w:val="15"/>
              </w:rPr>
              <w:t xml:space="preserve"> </w:t>
            </w:r>
            <w:r>
              <w:rPr>
                <w:spacing w:val="-1"/>
              </w:rPr>
              <w:t>，年清洗用水</w:t>
            </w:r>
            <w:r>
              <w:t xml:space="preserve"> </w:t>
            </w:r>
            <w:r>
              <w:rPr>
                <w:spacing w:val="-2"/>
              </w:rPr>
              <w:t>量</w:t>
            </w:r>
            <w:r>
              <w:rPr>
                <w:spacing w:val="-40"/>
              </w:rPr>
              <w:t xml:space="preserve"> </w:t>
            </w:r>
            <w:r>
              <w:rPr>
                <w:rFonts w:ascii="Times New Roman" w:hAnsi="Times New Roman" w:eastAsia="Times New Roman" w:cs="Times New Roman"/>
                <w:spacing w:val="-2"/>
              </w:rPr>
              <w:t>512.40m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spacing w:val="-2"/>
              </w:rPr>
              <w:t>。</w:t>
            </w:r>
          </w:p>
          <w:p w14:paraId="46679273">
            <w:pPr>
              <w:pStyle w:val="6"/>
              <w:spacing w:before="25" w:line="356" w:lineRule="auto"/>
              <w:ind w:left="105" w:right="102" w:firstLine="484"/>
            </w:pPr>
            <w:r>
              <w:rPr>
                <w:spacing w:val="2"/>
              </w:rPr>
              <w:t>组件清洗过程中，部分水分蒸发进入大气，废水产生系数按</w:t>
            </w:r>
            <w:r>
              <w:rPr>
                <w:spacing w:val="-49"/>
              </w:rPr>
              <w:t xml:space="preserve"> </w:t>
            </w:r>
            <w:r>
              <w:rPr>
                <w:rFonts w:ascii="Times New Roman" w:hAnsi="Times New Roman" w:eastAsia="Times New Roman" w:cs="Times New Roman"/>
                <w:spacing w:val="2"/>
              </w:rPr>
              <w:t xml:space="preserve">0.9 </w:t>
            </w:r>
            <w:r>
              <w:rPr>
                <w:spacing w:val="2"/>
              </w:rPr>
              <w:t>计，则废水产生</w:t>
            </w:r>
            <w:r>
              <w:rPr>
                <w:spacing w:val="1"/>
              </w:rPr>
              <w:t>量约</w:t>
            </w:r>
            <w:r>
              <w:t xml:space="preserve"> 为</w:t>
            </w:r>
            <w:r>
              <w:rPr>
                <w:spacing w:val="-55"/>
              </w:rPr>
              <w:t xml:space="preserve"> </w:t>
            </w:r>
            <w:r>
              <w:rPr>
                <w:rFonts w:ascii="Times New Roman" w:hAnsi="Times New Roman" w:eastAsia="Times New Roman" w:cs="Times New Roman"/>
              </w:rPr>
              <w:t>230.58m</w:t>
            </w:r>
            <w:r>
              <w:rPr>
                <w:rFonts w:ascii="Times New Roman" w:hAnsi="Times New Roman" w:eastAsia="Times New Roman" w:cs="Times New Roman"/>
                <w:position w:val="8"/>
                <w:sz w:val="15"/>
                <w:szCs w:val="15"/>
              </w:rPr>
              <w:t>3</w:t>
            </w:r>
            <w:r>
              <w:rPr>
                <w:rFonts w:ascii="Times New Roman" w:hAnsi="Times New Roman" w:eastAsia="Times New Roman" w:cs="Times New Roman"/>
              </w:rPr>
              <w:t>/</w:t>
            </w:r>
            <w:r>
              <w:t>次，</w:t>
            </w:r>
            <w:r>
              <w:rPr>
                <w:rFonts w:ascii="Times New Roman" w:hAnsi="Times New Roman" w:eastAsia="Times New Roman" w:cs="Times New Roman"/>
              </w:rPr>
              <w:t>461.</w:t>
            </w:r>
            <w:r>
              <w:rPr>
                <w:rFonts w:ascii="Times New Roman" w:hAnsi="Times New Roman" w:eastAsia="Times New Roman" w:cs="Times New Roman"/>
                <w:spacing w:val="-32"/>
              </w:rPr>
              <w:t xml:space="preserve"> </w:t>
            </w:r>
            <w:r>
              <w:rPr>
                <w:rFonts w:ascii="Times New Roman" w:hAnsi="Times New Roman" w:eastAsia="Times New Roman" w:cs="Times New Roman"/>
              </w:rPr>
              <w:t>16m</w:t>
            </w:r>
            <w:r>
              <w:rPr>
                <w:rFonts w:ascii="Times New Roman" w:hAnsi="Times New Roman" w:eastAsia="Times New Roman" w:cs="Times New Roman"/>
                <w:position w:val="8"/>
                <w:sz w:val="15"/>
                <w:szCs w:val="15"/>
              </w:rPr>
              <w:t>3</w:t>
            </w:r>
            <w:r>
              <w:rPr>
                <w:rFonts w:ascii="Times New Roman" w:hAnsi="Times New Roman" w:eastAsia="Times New Roman" w:cs="Times New Roman"/>
              </w:rPr>
              <w:t>/a</w:t>
            </w:r>
            <w:r>
              <w:rPr>
                <w:rFonts w:ascii="Times New Roman" w:hAnsi="Times New Roman" w:eastAsia="Times New Roman" w:cs="Times New Roman"/>
                <w:spacing w:val="-26"/>
              </w:rPr>
              <w:t xml:space="preserve"> </w:t>
            </w:r>
            <w:r>
              <w:t>。产生的废水</w:t>
            </w:r>
            <w:r>
              <w:rPr>
                <w:spacing w:val="-1"/>
              </w:rPr>
              <w:t>顺电池组件倾斜角度直接淋洒于下方植被上，用</w:t>
            </w:r>
            <w:r>
              <w:t xml:space="preserve"> </w:t>
            </w:r>
            <w:r>
              <w:rPr>
                <w:spacing w:val="1"/>
              </w:rPr>
              <w:t>于植被生长。从水质情况看，由于组件清洗过程中不添加清洗剂，产生的</w:t>
            </w:r>
            <w:r>
              <w:t xml:space="preserve">废水无特殊污染 </w:t>
            </w:r>
            <w:r>
              <w:rPr>
                <w:spacing w:val="-2"/>
              </w:rPr>
              <w:t>物，主要为</w:t>
            </w:r>
            <w:r>
              <w:rPr>
                <w:spacing w:val="-45"/>
              </w:rPr>
              <w:t xml:space="preserve"> </w:t>
            </w:r>
            <w:r>
              <w:rPr>
                <w:rFonts w:ascii="Times New Roman" w:hAnsi="Times New Roman" w:eastAsia="Times New Roman" w:cs="Times New Roman"/>
                <w:spacing w:val="-2"/>
              </w:rPr>
              <w:t>SS</w:t>
            </w:r>
            <w:r>
              <w:rPr>
                <w:rFonts w:ascii="Times New Roman" w:hAnsi="Times New Roman" w:eastAsia="Times New Roman" w:cs="Times New Roman"/>
                <w:spacing w:val="-32"/>
              </w:rPr>
              <w:t xml:space="preserve"> </w:t>
            </w:r>
            <w:r>
              <w:rPr>
                <w:spacing w:val="-2"/>
              </w:rPr>
              <w:t>，用于植被浇洒不会对植物生长造</w:t>
            </w:r>
            <w:r>
              <w:rPr>
                <w:spacing w:val="-3"/>
              </w:rPr>
              <w:t>成不良影响。从废水产生量的角度，由于</w:t>
            </w:r>
            <w:r>
              <w:t xml:space="preserve"> </w:t>
            </w:r>
            <w:r>
              <w:rPr>
                <w:spacing w:val="-2"/>
              </w:rPr>
              <w:t>组件清洁废水是分散产生的，每平方米组件清洗用水量仅</w:t>
            </w:r>
            <w:r>
              <w:rPr>
                <w:spacing w:val="-37"/>
              </w:rPr>
              <w:t xml:space="preserve"> </w:t>
            </w:r>
            <w:r>
              <w:rPr>
                <w:rFonts w:ascii="Times New Roman" w:hAnsi="Times New Roman" w:eastAsia="Times New Roman" w:cs="Times New Roman"/>
                <w:spacing w:val="-2"/>
              </w:rPr>
              <w:t>0.5L/</w:t>
            </w:r>
            <w:r>
              <w:rPr>
                <w:spacing w:val="-2"/>
              </w:rPr>
              <w:t>次，而参照《云南省地方标</w:t>
            </w:r>
            <w:r>
              <w:t xml:space="preserve"> </w:t>
            </w:r>
            <w:r>
              <w:rPr>
                <w:spacing w:val="-1"/>
              </w:rPr>
              <w:t>准用水定额》（</w:t>
            </w:r>
            <w:r>
              <w:rPr>
                <w:rFonts w:ascii="Times New Roman" w:hAnsi="Times New Roman" w:eastAsia="Times New Roman" w:cs="Times New Roman"/>
                <w:spacing w:val="-1"/>
              </w:rPr>
              <w:t>DB53/T168-2019</w:t>
            </w:r>
            <w:r>
              <w:rPr>
                <w:spacing w:val="6"/>
              </w:rPr>
              <w:t>），</w:t>
            </w:r>
            <w:r>
              <w:rPr>
                <w:spacing w:val="-1"/>
              </w:rPr>
              <w:t>绿化灌溉用水量定额为</w:t>
            </w:r>
            <w:r>
              <w:rPr>
                <w:spacing w:val="-49"/>
              </w:rPr>
              <w:t xml:space="preserve"> </w:t>
            </w:r>
            <w:r>
              <w:rPr>
                <w:rFonts w:ascii="Times New Roman" w:hAnsi="Times New Roman" w:eastAsia="Times New Roman" w:cs="Times New Roman"/>
                <w:spacing w:val="-1"/>
              </w:rPr>
              <w:t>3L/</w:t>
            </w:r>
            <w:r>
              <w:rPr>
                <w:spacing w:val="-1"/>
              </w:rPr>
              <w:t>（</w:t>
            </w:r>
            <w:r>
              <w:rPr>
                <w:rFonts w:ascii="Times New Roman" w:hAnsi="Times New Roman" w:eastAsia="Times New Roman" w:cs="Times New Roman"/>
                <w:spacing w:val="-1"/>
              </w:rPr>
              <w:t>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rPr>
              <w:t>·</w:t>
            </w:r>
            <w:r>
              <w:rPr>
                <w:spacing w:val="-1"/>
              </w:rPr>
              <w:t>次</w:t>
            </w:r>
            <w:r>
              <w:rPr>
                <w:spacing w:val="6"/>
              </w:rPr>
              <w:t>），</w:t>
            </w:r>
            <w:r>
              <w:rPr>
                <w:spacing w:val="-1"/>
              </w:rPr>
              <w:t>光伏组件清洗</w:t>
            </w:r>
            <w:r>
              <w:t xml:space="preserve"> </w:t>
            </w:r>
            <w:r>
              <w:rPr>
                <w:spacing w:val="1"/>
              </w:rPr>
              <w:t>仅在非雨天进行，故清洗水淋于下方林草植被上，被植物吸收，不会在地</w:t>
            </w:r>
            <w:r>
              <w:t xml:space="preserve">面形成径流，对 </w:t>
            </w:r>
            <w:r>
              <w:rPr>
                <w:spacing w:val="-1"/>
              </w:rPr>
              <w:t>外环境影响很小。</w:t>
            </w:r>
          </w:p>
          <w:p w14:paraId="6A1D4A38">
            <w:pPr>
              <w:pStyle w:val="6"/>
              <w:spacing w:before="32" w:line="217" w:lineRule="auto"/>
              <w:ind w:left="585"/>
            </w:pPr>
            <w:r>
              <w:rPr>
                <w:spacing w:val="-2"/>
              </w:rPr>
              <w:t>②生活污水</w:t>
            </w:r>
          </w:p>
          <w:p w14:paraId="02F4C05C">
            <w:pPr>
              <w:pStyle w:val="6"/>
              <w:spacing w:before="184" w:line="354" w:lineRule="auto"/>
              <w:ind w:left="107" w:right="102" w:firstLine="484"/>
            </w:pPr>
            <w:r>
              <w:t>项目定员</w:t>
            </w:r>
            <w:r>
              <w:rPr>
                <w:spacing w:val="-29"/>
              </w:rPr>
              <w:t xml:space="preserve"> </w:t>
            </w:r>
            <w:r>
              <w:rPr>
                <w:rFonts w:ascii="Times New Roman" w:hAnsi="Times New Roman" w:eastAsia="Times New Roman" w:cs="Times New Roman"/>
              </w:rPr>
              <w:t xml:space="preserve">18 </w:t>
            </w:r>
            <w:r>
              <w:t>人，其中厂内食宿</w:t>
            </w:r>
            <w:r>
              <w:rPr>
                <w:spacing w:val="-27"/>
              </w:rPr>
              <w:t xml:space="preserve"> </w:t>
            </w:r>
            <w:r>
              <w:rPr>
                <w:rFonts w:ascii="Times New Roman" w:hAnsi="Times New Roman" w:eastAsia="Times New Roman" w:cs="Times New Roman"/>
              </w:rPr>
              <w:t xml:space="preserve">12 </w:t>
            </w:r>
            <w:r>
              <w:t>人，</w:t>
            </w:r>
            <w:r>
              <w:rPr>
                <w:rFonts w:ascii="Times New Roman" w:hAnsi="Times New Roman" w:eastAsia="Times New Roman" w:cs="Times New Roman"/>
              </w:rPr>
              <w:t xml:space="preserve">6 </w:t>
            </w:r>
            <w:r>
              <w:t>人轮班休息，年运行</w:t>
            </w:r>
            <w:r>
              <w:rPr>
                <w:spacing w:val="-46"/>
              </w:rPr>
              <w:t xml:space="preserve"> </w:t>
            </w:r>
            <w:r>
              <w:rPr>
                <w:rFonts w:ascii="Times New Roman" w:hAnsi="Times New Roman" w:eastAsia="Times New Roman" w:cs="Times New Roman"/>
              </w:rPr>
              <w:t>36</w:t>
            </w:r>
            <w:r>
              <w:rPr>
                <w:rFonts w:ascii="Times New Roman" w:hAnsi="Times New Roman" w:eastAsia="Times New Roman" w:cs="Times New Roman"/>
                <w:spacing w:val="-1"/>
              </w:rPr>
              <w:t>5</w:t>
            </w:r>
            <w:r>
              <w:rPr>
                <w:rFonts w:ascii="Times New Roman" w:hAnsi="Times New Roman" w:eastAsia="Times New Roman" w:cs="Times New Roman"/>
                <w:spacing w:val="17"/>
              </w:rPr>
              <w:t xml:space="preserve"> </w:t>
            </w:r>
            <w:r>
              <w:rPr>
                <w:spacing w:val="-1"/>
              </w:rPr>
              <w:t>天。厂区所在地区</w:t>
            </w:r>
            <w:r>
              <w:t xml:space="preserve"> </w:t>
            </w:r>
            <w:r>
              <w:rPr>
                <w:spacing w:val="2"/>
              </w:rPr>
              <w:t>为农村，根据《云南省地方标准 用水定额》（</w:t>
            </w:r>
            <w:r>
              <w:rPr>
                <w:rFonts w:ascii="Times New Roman" w:hAnsi="Times New Roman" w:eastAsia="Times New Roman" w:cs="Times New Roman"/>
              </w:rPr>
              <w:t>DB</w:t>
            </w:r>
            <w:r>
              <w:rPr>
                <w:rFonts w:ascii="Times New Roman" w:hAnsi="Times New Roman" w:eastAsia="Times New Roman" w:cs="Times New Roman"/>
                <w:spacing w:val="2"/>
              </w:rPr>
              <w:t>53/T168-2019</w:t>
            </w:r>
            <w:r>
              <w:rPr>
                <w:spacing w:val="2"/>
              </w:rPr>
              <w:t>）中的“农村</w:t>
            </w:r>
            <w:r>
              <w:rPr>
                <w:spacing w:val="-84"/>
              </w:rPr>
              <w:t xml:space="preserve"> </w:t>
            </w:r>
            <w:r>
              <w:rPr>
                <w:spacing w:val="2"/>
              </w:rPr>
              <w:t>”定额，取</w:t>
            </w:r>
            <w:r>
              <w:t xml:space="preserve"> </w:t>
            </w:r>
            <w:r>
              <w:rPr>
                <w:rFonts w:ascii="Times New Roman" w:hAnsi="Times New Roman" w:eastAsia="Times New Roman" w:cs="Times New Roman"/>
                <w:spacing w:val="-3"/>
              </w:rPr>
              <w:t>90L/</w:t>
            </w:r>
            <w:r>
              <w:rPr>
                <w:spacing w:val="-3"/>
              </w:rPr>
              <w:t>（人</w:t>
            </w:r>
            <w:r>
              <w:rPr>
                <w:rFonts w:ascii="Times New Roman" w:hAnsi="Times New Roman" w:eastAsia="Times New Roman" w:cs="Times New Roman"/>
                <w:spacing w:val="-3"/>
              </w:rPr>
              <w:t>·d</w:t>
            </w:r>
            <w:r>
              <w:rPr>
                <w:spacing w:val="-3"/>
              </w:rPr>
              <w:t>）计，则用水量为</w:t>
            </w:r>
            <w:r>
              <w:rPr>
                <w:spacing w:val="-32"/>
              </w:rPr>
              <w:t xml:space="preserve"> </w:t>
            </w:r>
            <w:r>
              <w:rPr>
                <w:rFonts w:ascii="Times New Roman" w:hAnsi="Times New Roman" w:eastAsia="Times New Roman" w:cs="Times New Roman"/>
                <w:spacing w:val="-3"/>
              </w:rPr>
              <w:t>1.08m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w:t>
            </w:r>
            <w:r>
              <w:rPr>
                <w:rFonts w:ascii="Times New Roman" w:hAnsi="Times New Roman" w:eastAsia="Times New Roman" w:cs="Times New Roman"/>
                <w:spacing w:val="-4"/>
              </w:rPr>
              <w:t>d</w:t>
            </w:r>
            <w:r>
              <w:rPr>
                <w:rFonts w:ascii="Times New Roman" w:hAnsi="Times New Roman" w:eastAsia="Times New Roman" w:cs="Times New Roman"/>
                <w:spacing w:val="-34"/>
              </w:rPr>
              <w:t xml:space="preserve"> </w:t>
            </w:r>
            <w:r>
              <w:rPr>
                <w:spacing w:val="-4"/>
              </w:rPr>
              <w:t>，其中食堂用水按</w:t>
            </w:r>
            <w:r>
              <w:rPr>
                <w:spacing w:val="-50"/>
              </w:rPr>
              <w:t xml:space="preserve"> </w:t>
            </w:r>
            <w:r>
              <w:rPr>
                <w:rFonts w:ascii="Times New Roman" w:hAnsi="Times New Roman" w:eastAsia="Times New Roman" w:cs="Times New Roman"/>
                <w:spacing w:val="-4"/>
              </w:rPr>
              <w:t>30L/</w:t>
            </w:r>
            <w:r>
              <w:rPr>
                <w:spacing w:val="-4"/>
              </w:rPr>
              <w:t>（人</w:t>
            </w:r>
            <w:r>
              <w:rPr>
                <w:rFonts w:ascii="Times New Roman" w:hAnsi="Times New Roman" w:eastAsia="Times New Roman" w:cs="Times New Roman"/>
                <w:spacing w:val="-4"/>
              </w:rPr>
              <w:t>·d</w:t>
            </w:r>
            <w:r>
              <w:rPr>
                <w:spacing w:val="5"/>
              </w:rPr>
              <w:t>），</w:t>
            </w:r>
            <w:r>
              <w:rPr>
                <w:spacing w:val="-4"/>
              </w:rPr>
              <w:t>即</w:t>
            </w:r>
            <w:r>
              <w:rPr>
                <w:spacing w:val="-51"/>
              </w:rPr>
              <w:t xml:space="preserve"> </w:t>
            </w:r>
            <w:r>
              <w:rPr>
                <w:rFonts w:ascii="Times New Roman" w:hAnsi="Times New Roman" w:eastAsia="Times New Roman" w:cs="Times New Roman"/>
                <w:spacing w:val="-4"/>
              </w:rPr>
              <w:t>0.36m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0"/>
              </w:rPr>
              <w:t xml:space="preserve"> </w:t>
            </w:r>
            <w:r>
              <w:rPr>
                <w:spacing w:val="-4"/>
              </w:rPr>
              <w:t>。产污</w:t>
            </w:r>
            <w:r>
              <w:t xml:space="preserve"> </w:t>
            </w:r>
            <w:r>
              <w:rPr>
                <w:spacing w:val="1"/>
              </w:rPr>
              <w:t>系数按</w:t>
            </w:r>
            <w:r>
              <w:rPr>
                <w:spacing w:val="-45"/>
              </w:rPr>
              <w:t xml:space="preserve"> </w:t>
            </w:r>
            <w:r>
              <w:rPr>
                <w:rFonts w:ascii="Times New Roman" w:hAnsi="Times New Roman" w:eastAsia="Times New Roman" w:cs="Times New Roman"/>
                <w:spacing w:val="1"/>
              </w:rPr>
              <w:t xml:space="preserve">0.8 </w:t>
            </w:r>
            <w:r>
              <w:rPr>
                <w:spacing w:val="1"/>
              </w:rPr>
              <w:t>计算，则食堂废水产生量为</w:t>
            </w:r>
            <w:r>
              <w:rPr>
                <w:spacing w:val="-47"/>
              </w:rPr>
              <w:t xml:space="preserve"> </w:t>
            </w:r>
            <w:r>
              <w:rPr>
                <w:rFonts w:ascii="Times New Roman" w:hAnsi="Times New Roman" w:eastAsia="Times New Roman" w:cs="Times New Roman"/>
                <w:spacing w:val="1"/>
              </w:rPr>
              <w:t>0.288m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rPr>
              <w:t>5.</w:t>
            </w:r>
            <w:r>
              <w:rPr>
                <w:rFonts w:ascii="Times New Roman" w:hAnsi="Times New Roman" w:eastAsia="Times New Roman" w:cs="Times New Roman"/>
                <w:spacing w:val="-32"/>
              </w:rPr>
              <w:t xml:space="preserve"> </w:t>
            </w:r>
            <w:r>
              <w:rPr>
                <w:rFonts w:ascii="Times New Roman" w:hAnsi="Times New Roman" w:eastAsia="Times New Roman" w:cs="Times New Roman"/>
              </w:rPr>
              <w:t>12m</w:t>
            </w:r>
            <w:r>
              <w:rPr>
                <w:rFonts w:ascii="Times New Roman" w:hAnsi="Times New Roman" w:eastAsia="Times New Roman" w:cs="Times New Roman"/>
                <w:position w:val="8"/>
                <w:sz w:val="15"/>
                <w:szCs w:val="15"/>
              </w:rPr>
              <w:t>3</w:t>
            </w:r>
            <w:r>
              <w:rPr>
                <w:rFonts w:ascii="Times New Roman" w:hAnsi="Times New Roman" w:eastAsia="Times New Roman" w:cs="Times New Roman"/>
              </w:rPr>
              <w:t>/a</w:t>
            </w:r>
            <w:r>
              <w:rPr>
                <w:spacing w:val="10"/>
              </w:rPr>
              <w:t>），</w:t>
            </w:r>
            <w:r>
              <w:t xml:space="preserve">其他生活污水产生量为 </w:t>
            </w:r>
            <w:r>
              <w:rPr>
                <w:rFonts w:ascii="Times New Roman" w:hAnsi="Times New Roman" w:eastAsia="Times New Roman" w:cs="Times New Roman"/>
              </w:rPr>
              <w:t>0.576m</w:t>
            </w:r>
            <w:r>
              <w:rPr>
                <w:rFonts w:ascii="Times New Roman" w:hAnsi="Times New Roman" w:eastAsia="Times New Roman" w:cs="Times New Roman"/>
                <w:position w:val="7"/>
                <w:sz w:val="15"/>
                <w:szCs w:val="15"/>
              </w:rPr>
              <w:t>3</w:t>
            </w:r>
            <w:r>
              <w:rPr>
                <w:rFonts w:ascii="Times New Roman" w:hAnsi="Times New Roman" w:eastAsia="Times New Roman" w:cs="Times New Roman"/>
              </w:rPr>
              <w:t>/d</w:t>
            </w:r>
            <w:r>
              <w:t>（</w:t>
            </w:r>
            <w:r>
              <w:rPr>
                <w:rFonts w:ascii="Times New Roman" w:hAnsi="Times New Roman" w:eastAsia="Times New Roman" w:cs="Times New Roman"/>
              </w:rPr>
              <w:t>210.24m</w:t>
            </w:r>
            <w:r>
              <w:rPr>
                <w:rFonts w:ascii="Times New Roman" w:hAnsi="Times New Roman" w:eastAsia="Times New Roman" w:cs="Times New Roman"/>
                <w:position w:val="7"/>
                <w:sz w:val="15"/>
                <w:szCs w:val="15"/>
              </w:rPr>
              <w:t>3</w:t>
            </w:r>
            <w:r>
              <w:rPr>
                <w:rFonts w:ascii="Times New Roman" w:hAnsi="Times New Roman" w:eastAsia="Times New Roman" w:cs="Times New Roman"/>
              </w:rPr>
              <w:t>/a</w:t>
            </w:r>
            <w:r>
              <w:rPr>
                <w:spacing w:val="4"/>
              </w:rPr>
              <w:t>），</w:t>
            </w:r>
            <w:r>
              <w:t>共</w:t>
            </w:r>
            <w:r>
              <w:rPr>
                <w:spacing w:val="-52"/>
              </w:rPr>
              <w:t xml:space="preserve"> </w:t>
            </w:r>
            <w:r>
              <w:rPr>
                <w:rFonts w:ascii="Times New Roman" w:hAnsi="Times New Roman" w:eastAsia="Times New Roman" w:cs="Times New Roman"/>
              </w:rPr>
              <w:t>0.864</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spacing w:val="-1"/>
              </w:rPr>
              <w:t>（</w:t>
            </w:r>
            <w:r>
              <w:rPr>
                <w:rFonts w:ascii="Times New Roman" w:hAnsi="Times New Roman" w:eastAsia="Times New Roman" w:cs="Times New Roman"/>
                <w:spacing w:val="-1"/>
              </w:rPr>
              <w:t>315.36m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w:t>
            </w:r>
          </w:p>
          <w:p w14:paraId="2730DA76">
            <w:pPr>
              <w:pStyle w:val="6"/>
              <w:spacing w:before="34" w:line="343" w:lineRule="auto"/>
              <w:ind w:left="102" w:right="102" w:firstLine="485"/>
            </w:pPr>
            <w:r>
              <w:rPr>
                <w:spacing w:val="3"/>
              </w:rPr>
              <w:t>类比生活污水监测资料，产生的废水中，主要污染物及浓度约为</w:t>
            </w:r>
            <w:r>
              <w:rPr>
                <w:rFonts w:ascii="Times New Roman" w:hAnsi="Times New Roman" w:eastAsia="Times New Roman" w:cs="Times New Roman"/>
              </w:rPr>
              <w:t>CODcr</w:t>
            </w:r>
            <w:r>
              <w:rPr>
                <w:spacing w:val="3"/>
              </w:rPr>
              <w:t>：</w:t>
            </w:r>
            <w:r>
              <w:rPr>
                <w:rFonts w:ascii="Times New Roman" w:hAnsi="Times New Roman" w:eastAsia="Times New Roman" w:cs="Times New Roman"/>
                <w:spacing w:val="3"/>
              </w:rPr>
              <w:t>400</w:t>
            </w:r>
            <w:r>
              <w:rPr>
                <w:rFonts w:ascii="Times New Roman" w:hAnsi="Times New Roman" w:eastAsia="Times New Roman" w:cs="Times New Roman"/>
              </w:rPr>
              <w:t>mg</w:t>
            </w:r>
            <w:r>
              <w:rPr>
                <w:rFonts w:ascii="Times New Roman" w:hAnsi="Times New Roman" w:eastAsia="Times New Roman" w:cs="Times New Roman"/>
                <w:spacing w:val="3"/>
              </w:rPr>
              <w:t>/</w:t>
            </w:r>
            <w:r>
              <w:rPr>
                <w:rFonts w:ascii="Times New Roman" w:hAnsi="Times New Roman" w:eastAsia="Times New Roman" w:cs="Times New Roman"/>
                <w:spacing w:val="2"/>
              </w:rPr>
              <w:t>L</w:t>
            </w:r>
            <w:r>
              <w:rPr>
                <w:rFonts w:ascii="Times New Roman" w:hAnsi="Times New Roman" w:eastAsia="Times New Roman" w:cs="Times New Roman"/>
                <w:spacing w:val="-26"/>
              </w:rPr>
              <w:t xml:space="preserve"> </w:t>
            </w:r>
            <w:r>
              <w:rPr>
                <w:spacing w:val="2"/>
              </w:rPr>
              <w:t>，</w:t>
            </w:r>
            <w:r>
              <w:t xml:space="preserve"> </w:t>
            </w:r>
            <w:r>
              <w:rPr>
                <w:rFonts w:ascii="Times New Roman" w:hAnsi="Times New Roman" w:eastAsia="Times New Roman" w:cs="Times New Roman"/>
                <w:spacing w:val="-4"/>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9"/>
                <w:position w:val="-1"/>
                <w:sz w:val="15"/>
                <w:szCs w:val="15"/>
              </w:rPr>
              <w:t xml:space="preserve"> </w:t>
            </w:r>
            <w:r>
              <w:rPr>
                <w:spacing w:val="-4"/>
              </w:rPr>
              <w:t>：</w:t>
            </w:r>
            <w:r>
              <w:rPr>
                <w:rFonts w:ascii="Times New Roman" w:hAnsi="Times New Roman" w:eastAsia="Times New Roman" w:cs="Times New Roman"/>
                <w:spacing w:val="-4"/>
              </w:rPr>
              <w:t>250mg/L</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SS</w:t>
            </w:r>
            <w:r>
              <w:rPr>
                <w:spacing w:val="-4"/>
              </w:rPr>
              <w:t>：</w:t>
            </w:r>
            <w:r>
              <w:rPr>
                <w:rFonts w:ascii="Times New Roman" w:hAnsi="Times New Roman" w:eastAsia="Times New Roman" w:cs="Times New Roman"/>
                <w:spacing w:val="-4"/>
              </w:rPr>
              <w:t>300mg/L</w:t>
            </w:r>
            <w:r>
              <w:rPr>
                <w:rFonts w:ascii="Times New Roman" w:hAnsi="Times New Roman" w:eastAsia="Times New Roman" w:cs="Times New Roman"/>
                <w:spacing w:val="-29"/>
              </w:rPr>
              <w:t xml:space="preserve"> </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sz w:val="15"/>
                <w:szCs w:val="15"/>
              </w:rPr>
              <w:t>3</w:t>
            </w:r>
            <w:r>
              <w:rPr>
                <w:rFonts w:ascii="Times New Roman" w:hAnsi="Times New Roman" w:eastAsia="Times New Roman" w:cs="Times New Roman"/>
                <w:spacing w:val="-4"/>
              </w:rPr>
              <w:t>-N</w:t>
            </w:r>
            <w:r>
              <w:rPr>
                <w:spacing w:val="-4"/>
              </w:rPr>
              <w:t>：</w:t>
            </w:r>
            <w:r>
              <w:rPr>
                <w:rFonts w:ascii="Times New Roman" w:hAnsi="Times New Roman" w:eastAsia="Times New Roman" w:cs="Times New Roman"/>
                <w:spacing w:val="-4"/>
              </w:rPr>
              <w:t>30mg/L</w:t>
            </w:r>
            <w:r>
              <w:rPr>
                <w:rFonts w:ascii="Times New Roman" w:hAnsi="Times New Roman" w:eastAsia="Times New Roman" w:cs="Times New Roman"/>
                <w:spacing w:val="-28"/>
              </w:rPr>
              <w:t xml:space="preserve"> </w:t>
            </w:r>
            <w:r>
              <w:rPr>
                <w:spacing w:val="-4"/>
              </w:rPr>
              <w:t>，总磷</w:t>
            </w:r>
            <w:r>
              <w:rPr>
                <w:spacing w:val="-51"/>
              </w:rPr>
              <w:t xml:space="preserve"> </w:t>
            </w:r>
            <w:r>
              <w:rPr>
                <w:rFonts w:ascii="Times New Roman" w:hAnsi="Times New Roman" w:eastAsia="Times New Roman" w:cs="Times New Roman"/>
                <w:spacing w:val="-4"/>
              </w:rPr>
              <w:t>7mg/L</w:t>
            </w:r>
            <w:r>
              <w:rPr>
                <w:rFonts w:ascii="Times New Roman" w:hAnsi="Times New Roman" w:eastAsia="Times New Roman" w:cs="Times New Roman"/>
                <w:spacing w:val="-29"/>
              </w:rPr>
              <w:t xml:space="preserve"> </w:t>
            </w:r>
            <w:r>
              <w:rPr>
                <w:spacing w:val="-4"/>
              </w:rPr>
              <w:t>，动植物油</w:t>
            </w:r>
            <w:r>
              <w:rPr>
                <w:spacing w:val="-32"/>
              </w:rPr>
              <w:t xml:space="preserve"> </w:t>
            </w:r>
            <w:r>
              <w:rPr>
                <w:rFonts w:ascii="Times New Roman" w:hAnsi="Times New Roman" w:eastAsia="Times New Roman" w:cs="Times New Roman"/>
                <w:spacing w:val="-4"/>
              </w:rPr>
              <w:t>10mg/L</w:t>
            </w:r>
            <w:r>
              <w:rPr>
                <w:rFonts w:ascii="Times New Roman" w:hAnsi="Times New Roman" w:eastAsia="Times New Roman" w:cs="Times New Roman"/>
                <w:spacing w:val="-25"/>
              </w:rPr>
              <w:t xml:space="preserve"> </w:t>
            </w:r>
            <w:r>
              <w:rPr>
                <w:spacing w:val="-5"/>
              </w:rPr>
              <w:t>。生活</w:t>
            </w:r>
            <w:r>
              <w:t xml:space="preserve"> 污水经隔油池、化粪池、污水处理一体化设备处理达标后回用于绿</w:t>
            </w:r>
            <w:r>
              <w:rPr>
                <w:spacing w:val="-1"/>
              </w:rPr>
              <w:t>化，不外排。</w:t>
            </w:r>
          </w:p>
          <w:p w14:paraId="0B091F15">
            <w:pPr>
              <w:pStyle w:val="6"/>
              <w:spacing w:before="63" w:line="217" w:lineRule="auto"/>
              <w:ind w:left="585"/>
            </w:pPr>
            <w:r>
              <w:rPr>
                <w:spacing w:val="-2"/>
              </w:rPr>
              <w:t>③绿化用水</w:t>
            </w:r>
          </w:p>
          <w:p w14:paraId="692A326B">
            <w:pPr>
              <w:pStyle w:val="6"/>
              <w:spacing w:before="186" w:line="342" w:lineRule="auto"/>
              <w:ind w:left="119" w:right="102" w:firstLine="472"/>
            </w:pPr>
            <w:r>
              <w:rPr>
                <w:spacing w:val="-14"/>
              </w:rPr>
              <w:t>项 目</w:t>
            </w:r>
            <w:r>
              <w:rPr>
                <w:spacing w:val="-36"/>
              </w:rPr>
              <w:t xml:space="preserve"> </w:t>
            </w:r>
            <w:r>
              <w:rPr>
                <w:spacing w:val="-14"/>
              </w:rPr>
              <w:t>升</w:t>
            </w:r>
            <w:r>
              <w:rPr>
                <w:spacing w:val="-49"/>
              </w:rPr>
              <w:t xml:space="preserve"> </w:t>
            </w:r>
            <w:r>
              <w:rPr>
                <w:spacing w:val="-14"/>
              </w:rPr>
              <w:t>压</w:t>
            </w:r>
            <w:r>
              <w:rPr>
                <w:spacing w:val="-50"/>
              </w:rPr>
              <w:t xml:space="preserve"> </w:t>
            </w:r>
            <w:r>
              <w:rPr>
                <w:spacing w:val="-14"/>
              </w:rPr>
              <w:t>站 内</w:t>
            </w:r>
            <w:r>
              <w:rPr>
                <w:spacing w:val="-46"/>
              </w:rPr>
              <w:t xml:space="preserve"> </w:t>
            </w:r>
            <w:r>
              <w:rPr>
                <w:spacing w:val="-14"/>
              </w:rPr>
              <w:t>绿</w:t>
            </w:r>
            <w:r>
              <w:rPr>
                <w:spacing w:val="-50"/>
              </w:rPr>
              <w:t xml:space="preserve"> </w:t>
            </w:r>
            <w:r>
              <w:rPr>
                <w:spacing w:val="-14"/>
              </w:rPr>
              <w:t>化</w:t>
            </w:r>
            <w:r>
              <w:rPr>
                <w:spacing w:val="-50"/>
              </w:rPr>
              <w:t xml:space="preserve"> </w:t>
            </w:r>
            <w:r>
              <w:rPr>
                <w:spacing w:val="-14"/>
              </w:rPr>
              <w:t>面</w:t>
            </w:r>
            <w:r>
              <w:rPr>
                <w:spacing w:val="-50"/>
              </w:rPr>
              <w:t xml:space="preserve"> </w:t>
            </w:r>
            <w:r>
              <w:rPr>
                <w:spacing w:val="-14"/>
              </w:rPr>
              <w:t>积</w:t>
            </w:r>
            <w:r>
              <w:rPr>
                <w:spacing w:val="-46"/>
              </w:rPr>
              <w:t xml:space="preserve"> </w:t>
            </w:r>
            <w:r>
              <w:rPr>
                <w:spacing w:val="-14"/>
              </w:rPr>
              <w:t>为</w:t>
            </w:r>
            <w:r>
              <w:rPr>
                <w:spacing w:val="28"/>
              </w:rPr>
              <w:t xml:space="preserve"> </w:t>
            </w:r>
            <w:r>
              <w:rPr>
                <w:rFonts w:ascii="Times New Roman" w:hAnsi="Times New Roman" w:eastAsia="Times New Roman" w:cs="Times New Roman"/>
                <w:spacing w:val="-14"/>
              </w:rPr>
              <w:t>1000m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8"/>
                <w:position w:val="8"/>
                <w:sz w:val="15"/>
                <w:szCs w:val="15"/>
              </w:rPr>
              <w:t xml:space="preserve">  </w:t>
            </w:r>
            <w:r>
              <w:rPr>
                <w:spacing w:val="-15"/>
              </w:rPr>
              <w:t>，</w:t>
            </w:r>
            <w:r>
              <w:rPr>
                <w:spacing w:val="-51"/>
              </w:rPr>
              <w:t xml:space="preserve"> </w:t>
            </w:r>
            <w:r>
              <w:rPr>
                <w:spacing w:val="-15"/>
              </w:rPr>
              <w:t>根</w:t>
            </w:r>
            <w:r>
              <w:rPr>
                <w:spacing w:val="-49"/>
              </w:rPr>
              <w:t xml:space="preserve"> </w:t>
            </w:r>
            <w:r>
              <w:rPr>
                <w:spacing w:val="-15"/>
              </w:rPr>
              <w:t>据</w:t>
            </w:r>
            <w:r>
              <w:rPr>
                <w:spacing w:val="-60"/>
              </w:rPr>
              <w:t xml:space="preserve"> </w:t>
            </w:r>
            <w:r>
              <w:rPr>
                <w:spacing w:val="-15"/>
              </w:rPr>
              <w:t>《 云</w:t>
            </w:r>
            <w:r>
              <w:rPr>
                <w:spacing w:val="-48"/>
              </w:rPr>
              <w:t xml:space="preserve"> </w:t>
            </w:r>
            <w:r>
              <w:rPr>
                <w:spacing w:val="-15"/>
              </w:rPr>
              <w:t>南</w:t>
            </w:r>
            <w:r>
              <w:rPr>
                <w:spacing w:val="-44"/>
              </w:rPr>
              <w:t xml:space="preserve"> </w:t>
            </w:r>
            <w:r>
              <w:rPr>
                <w:spacing w:val="-15"/>
              </w:rPr>
              <w:t>省</w:t>
            </w:r>
            <w:r>
              <w:rPr>
                <w:spacing w:val="-51"/>
              </w:rPr>
              <w:t xml:space="preserve"> </w:t>
            </w:r>
            <w:r>
              <w:rPr>
                <w:spacing w:val="-15"/>
              </w:rPr>
              <w:t>地</w:t>
            </w:r>
            <w:r>
              <w:rPr>
                <w:spacing w:val="-50"/>
              </w:rPr>
              <w:t xml:space="preserve"> </w:t>
            </w:r>
            <w:r>
              <w:rPr>
                <w:spacing w:val="-15"/>
              </w:rPr>
              <w:t>方</w:t>
            </w:r>
            <w:r>
              <w:rPr>
                <w:spacing w:val="-49"/>
              </w:rPr>
              <w:t xml:space="preserve"> </w:t>
            </w:r>
            <w:r>
              <w:rPr>
                <w:spacing w:val="-15"/>
              </w:rPr>
              <w:t>标</w:t>
            </w:r>
            <w:r>
              <w:rPr>
                <w:spacing w:val="-47"/>
              </w:rPr>
              <w:t xml:space="preserve"> </w:t>
            </w:r>
            <w:r>
              <w:rPr>
                <w:spacing w:val="-15"/>
              </w:rPr>
              <w:t>准</w:t>
            </w:r>
            <w:r>
              <w:rPr>
                <w:spacing w:val="-48"/>
              </w:rPr>
              <w:t xml:space="preserve"> </w:t>
            </w:r>
            <w:r>
              <w:rPr>
                <w:spacing w:val="-15"/>
              </w:rPr>
              <w:t>用</w:t>
            </w:r>
            <w:r>
              <w:rPr>
                <w:spacing w:val="-48"/>
              </w:rPr>
              <w:t xml:space="preserve"> </w:t>
            </w:r>
            <w:r>
              <w:rPr>
                <w:spacing w:val="-15"/>
              </w:rPr>
              <w:t>水</w:t>
            </w:r>
            <w:r>
              <w:rPr>
                <w:spacing w:val="-45"/>
              </w:rPr>
              <w:t xml:space="preserve"> </w:t>
            </w:r>
            <w:r>
              <w:rPr>
                <w:spacing w:val="-15"/>
              </w:rPr>
              <w:t>定</w:t>
            </w:r>
            <w:r>
              <w:rPr>
                <w:spacing w:val="-48"/>
              </w:rPr>
              <w:t xml:space="preserve"> </w:t>
            </w:r>
            <w:r>
              <w:rPr>
                <w:spacing w:val="-15"/>
              </w:rPr>
              <w:t>额</w:t>
            </w:r>
            <w:r>
              <w:rPr>
                <w:spacing w:val="-38"/>
              </w:rPr>
              <w:t xml:space="preserve"> </w:t>
            </w:r>
            <w:r>
              <w:rPr>
                <w:spacing w:val="-15"/>
              </w:rPr>
              <w:t>》</w:t>
            </w:r>
            <w:r>
              <w:t xml:space="preserve"> </w:t>
            </w:r>
            <w:r>
              <w:rPr>
                <w:spacing w:val="-1"/>
              </w:rPr>
              <w:t>（</w:t>
            </w:r>
            <w:r>
              <w:rPr>
                <w:rFonts w:ascii="Times New Roman" w:hAnsi="Times New Roman" w:eastAsia="Times New Roman" w:cs="Times New Roman"/>
                <w:spacing w:val="-1"/>
              </w:rPr>
              <w:t>DB53/T168-2019</w:t>
            </w:r>
            <w:r>
              <w:rPr>
                <w:spacing w:val="-2"/>
              </w:rPr>
              <w:t>），</w:t>
            </w:r>
            <w:r>
              <w:rPr>
                <w:spacing w:val="-1"/>
              </w:rPr>
              <w:t>非雨天绿化用水量为</w:t>
            </w:r>
            <w:r>
              <w:rPr>
                <w:spacing w:val="-49"/>
              </w:rPr>
              <w:t xml:space="preserve"> </w:t>
            </w:r>
            <w:r>
              <w:rPr>
                <w:rFonts w:ascii="Times New Roman" w:hAnsi="Times New Roman" w:eastAsia="Times New Roman" w:cs="Times New Roman"/>
                <w:spacing w:val="-1"/>
              </w:rPr>
              <w:t>3L/m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rPr>
              <w:t>·</w:t>
            </w:r>
            <w:r>
              <w:rPr>
                <w:spacing w:val="-2"/>
              </w:rPr>
              <w:t>次，则非雨天绿化用水量为</w:t>
            </w:r>
            <w:r>
              <w:rPr>
                <w:spacing w:val="-50"/>
              </w:rPr>
              <w:t xml:space="preserve"> </w:t>
            </w:r>
            <w:r>
              <w:rPr>
                <w:rFonts w:ascii="Times New Roman" w:hAnsi="Times New Roman" w:eastAsia="Times New Roman" w:cs="Times New Roman"/>
                <w:spacing w:val="-2"/>
              </w:rPr>
              <w:t>3m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w:t>
            </w:r>
            <w:r>
              <w:rPr>
                <w:spacing w:val="-2"/>
              </w:rPr>
              <w:t>次。经</w:t>
            </w:r>
          </w:p>
        </w:tc>
      </w:tr>
    </w:tbl>
    <w:p w14:paraId="465DB885">
      <w:pPr>
        <w:rPr>
          <w:rFonts w:ascii="Arial"/>
          <w:sz w:val="21"/>
        </w:rPr>
      </w:pPr>
    </w:p>
    <w:p w14:paraId="22A67787">
      <w:pPr>
        <w:rPr>
          <w:rFonts w:ascii="Arial" w:hAnsi="Arial" w:eastAsia="Arial" w:cs="Arial"/>
          <w:sz w:val="21"/>
          <w:szCs w:val="21"/>
        </w:rPr>
        <w:sectPr>
          <w:footerReference r:id="rId130" w:type="default"/>
          <w:pgSz w:w="11907" w:h="16840"/>
          <w:pgMar w:top="1431" w:right="907" w:bottom="1278" w:left="907" w:header="0" w:footer="1116" w:gutter="0"/>
          <w:cols w:space="720" w:num="1"/>
        </w:sectPr>
      </w:pPr>
    </w:p>
    <w:p w14:paraId="03C1FB2C">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51971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7" w:hRule="atLeast"/>
        </w:trPr>
        <w:tc>
          <w:tcPr>
            <w:tcW w:w="465" w:type="dxa"/>
            <w:tcBorders>
              <w:bottom w:val="nil"/>
              <w:right w:val="single" w:color="000000" w:sz="2" w:space="0"/>
            </w:tcBorders>
            <w:vAlign w:val="top"/>
          </w:tcPr>
          <w:p w14:paraId="4BCBFD61">
            <w:pPr>
              <w:rPr>
                <w:rFonts w:ascii="Arial"/>
                <w:sz w:val="21"/>
              </w:rPr>
            </w:pPr>
          </w:p>
        </w:tc>
        <w:tc>
          <w:tcPr>
            <w:tcW w:w="9612" w:type="dxa"/>
            <w:tcBorders>
              <w:left w:val="single" w:color="000000" w:sz="2" w:space="0"/>
              <w:bottom w:val="nil"/>
            </w:tcBorders>
            <w:vAlign w:val="top"/>
          </w:tcPr>
          <w:p w14:paraId="06AFB7B1">
            <w:pPr>
              <w:pStyle w:val="6"/>
              <w:spacing w:before="41" w:line="345" w:lineRule="auto"/>
              <w:ind w:left="107" w:right="102" w:firstLine="2"/>
            </w:pPr>
            <w:r>
              <w:rPr>
                <w:spacing w:val="-2"/>
              </w:rPr>
              <w:t>查阅资料，寻甸县每年雨天为</w:t>
            </w:r>
            <w:r>
              <w:rPr>
                <w:spacing w:val="-19"/>
              </w:rPr>
              <w:t xml:space="preserve"> </w:t>
            </w:r>
            <w:r>
              <w:rPr>
                <w:rFonts w:ascii="Times New Roman" w:hAnsi="Times New Roman" w:eastAsia="Times New Roman" w:cs="Times New Roman"/>
                <w:spacing w:val="-2"/>
              </w:rPr>
              <w:t xml:space="preserve">150 </w:t>
            </w:r>
            <w:r>
              <w:rPr>
                <w:spacing w:val="-2"/>
              </w:rPr>
              <w:t>天，非雨天为</w:t>
            </w:r>
            <w:r>
              <w:rPr>
                <w:spacing w:val="-53"/>
              </w:rPr>
              <w:t xml:space="preserve"> </w:t>
            </w:r>
            <w:r>
              <w:rPr>
                <w:rFonts w:ascii="Times New Roman" w:hAnsi="Times New Roman" w:eastAsia="Times New Roman" w:cs="Times New Roman"/>
                <w:spacing w:val="-2"/>
              </w:rPr>
              <w:t>215</w:t>
            </w:r>
            <w:r>
              <w:rPr>
                <w:rFonts w:ascii="Times New Roman" w:hAnsi="Times New Roman" w:eastAsia="Times New Roman" w:cs="Times New Roman"/>
                <w:spacing w:val="17"/>
              </w:rPr>
              <w:t xml:space="preserve"> </w:t>
            </w:r>
            <w:r>
              <w:rPr>
                <w:spacing w:val="-2"/>
              </w:rPr>
              <w:t>天，按非雨天每天最少</w:t>
            </w:r>
            <w:r>
              <w:rPr>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6"/>
              </w:rPr>
              <w:t xml:space="preserve"> </w:t>
            </w:r>
            <w:r>
              <w:rPr>
                <w:spacing w:val="-2"/>
              </w:rPr>
              <w:t>次绿化浇水</w:t>
            </w:r>
            <w:r>
              <w:t xml:space="preserve"> </w:t>
            </w:r>
            <w:r>
              <w:rPr>
                <w:spacing w:val="-1"/>
              </w:rPr>
              <w:t>计算，则全年绿化用水量为</w:t>
            </w:r>
            <w:r>
              <w:rPr>
                <w:spacing w:val="-49"/>
              </w:rPr>
              <w:t xml:space="preserve"> </w:t>
            </w:r>
            <w:r>
              <w:rPr>
                <w:rFonts w:ascii="Times New Roman" w:hAnsi="Times New Roman" w:eastAsia="Times New Roman" w:cs="Times New Roman"/>
                <w:spacing w:val="-1"/>
              </w:rPr>
              <w:t>645m</w:t>
            </w:r>
            <w:r>
              <w:rPr>
                <w:rFonts w:ascii="Times New Roman" w:hAnsi="Times New Roman" w:eastAsia="Times New Roman" w:cs="Times New Roman"/>
                <w:spacing w:val="-1"/>
                <w:position w:val="8"/>
                <w:sz w:val="15"/>
                <w:szCs w:val="15"/>
              </w:rPr>
              <w:t>3</w:t>
            </w:r>
            <w:r>
              <w:rPr>
                <w:spacing w:val="-1"/>
              </w:rPr>
              <w:t>。</w:t>
            </w:r>
          </w:p>
        </w:tc>
      </w:tr>
      <w:tr w14:paraId="605BC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0" w:hRule="atLeast"/>
        </w:trPr>
        <w:tc>
          <w:tcPr>
            <w:tcW w:w="465" w:type="dxa"/>
            <w:tcBorders>
              <w:top w:val="nil"/>
              <w:bottom w:val="nil"/>
              <w:right w:val="single" w:color="000000" w:sz="2" w:space="0"/>
            </w:tcBorders>
            <w:vAlign w:val="top"/>
          </w:tcPr>
          <w:p w14:paraId="4D0A147A">
            <w:pPr>
              <w:rPr>
                <w:rFonts w:ascii="Arial"/>
                <w:sz w:val="21"/>
              </w:rPr>
            </w:pPr>
          </w:p>
        </w:tc>
        <w:tc>
          <w:tcPr>
            <w:tcW w:w="9612" w:type="dxa"/>
            <w:tcBorders>
              <w:top w:val="nil"/>
              <w:left w:val="single" w:color="000000" w:sz="2" w:space="0"/>
              <w:bottom w:val="nil"/>
            </w:tcBorders>
            <w:vAlign w:val="top"/>
          </w:tcPr>
          <w:p w14:paraId="2B4C2668">
            <w:pPr>
              <w:spacing w:line="3860" w:lineRule="exact"/>
              <w:ind w:firstLine="218"/>
            </w:pPr>
            <w:r>
              <w:rPr>
                <w:position w:val="-77"/>
              </w:rPr>
              <w:drawing>
                <wp:inline distT="0" distB="0" distL="0" distR="0">
                  <wp:extent cx="5893435" cy="245046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27"/>
                          <a:stretch>
                            <a:fillRect/>
                          </a:stretch>
                        </pic:blipFill>
                        <pic:spPr>
                          <a:xfrm>
                            <a:off x="0" y="0"/>
                            <a:ext cx="5893463" cy="2450482"/>
                          </a:xfrm>
                          <a:prstGeom prst="rect">
                            <a:avLst/>
                          </a:prstGeom>
                        </pic:spPr>
                      </pic:pic>
                    </a:graphicData>
                  </a:graphic>
                </wp:inline>
              </w:drawing>
            </w:r>
          </w:p>
        </w:tc>
      </w:tr>
      <w:tr w14:paraId="28999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4" w:hRule="atLeast"/>
        </w:trPr>
        <w:tc>
          <w:tcPr>
            <w:tcW w:w="465" w:type="dxa"/>
            <w:tcBorders>
              <w:top w:val="nil"/>
              <w:right w:val="single" w:color="000000" w:sz="2" w:space="0"/>
            </w:tcBorders>
            <w:vAlign w:val="top"/>
          </w:tcPr>
          <w:p w14:paraId="1562F487">
            <w:pPr>
              <w:rPr>
                <w:rFonts w:ascii="Arial"/>
                <w:sz w:val="21"/>
              </w:rPr>
            </w:pPr>
          </w:p>
        </w:tc>
        <w:tc>
          <w:tcPr>
            <w:tcW w:w="9612" w:type="dxa"/>
            <w:tcBorders>
              <w:top w:val="nil"/>
              <w:left w:val="single" w:color="000000" w:sz="2" w:space="0"/>
            </w:tcBorders>
            <w:vAlign w:val="top"/>
          </w:tcPr>
          <w:p w14:paraId="6D817EB2">
            <w:pPr>
              <w:pStyle w:val="6"/>
              <w:spacing w:before="240" w:line="219" w:lineRule="auto"/>
              <w:ind w:left="2596"/>
            </w:pPr>
            <w:r>
              <w:rPr>
                <w:b/>
                <w:bCs/>
                <w:spacing w:val="-3"/>
              </w:rPr>
              <w:t>图</w:t>
            </w:r>
            <w:r>
              <w:rPr>
                <w:spacing w:val="-39"/>
              </w:rPr>
              <w:t xml:space="preserve"> </w:t>
            </w:r>
            <w:r>
              <w:rPr>
                <w:rFonts w:ascii="Times New Roman" w:hAnsi="Times New Roman" w:eastAsia="Times New Roman" w:cs="Times New Roman"/>
                <w:b/>
                <w:bCs/>
                <w:spacing w:val="-3"/>
              </w:rPr>
              <w:t xml:space="preserve">4-5    </w:t>
            </w:r>
            <w:r>
              <w:rPr>
                <w:b/>
                <w:bCs/>
                <w:spacing w:val="-3"/>
              </w:rPr>
              <w:t>项目旱季水平衡图（单位：</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8"/>
                <w:sz w:val="15"/>
                <w:szCs w:val="15"/>
              </w:rPr>
              <w:t>3</w:t>
            </w:r>
            <w:r>
              <w:rPr>
                <w:rFonts w:ascii="Times New Roman" w:hAnsi="Times New Roman" w:eastAsia="Times New Roman" w:cs="Times New Roman"/>
                <w:b/>
                <w:bCs/>
                <w:spacing w:val="-3"/>
              </w:rPr>
              <w:t>/d</w:t>
            </w:r>
            <w:r>
              <w:rPr>
                <w:b/>
                <w:bCs/>
                <w:spacing w:val="-3"/>
              </w:rPr>
              <w:t>）</w:t>
            </w:r>
          </w:p>
          <w:p w14:paraId="29D78AF0">
            <w:pPr>
              <w:spacing w:before="185" w:line="2655" w:lineRule="exact"/>
              <w:ind w:firstLine="393"/>
            </w:pPr>
            <w:r>
              <w:rPr>
                <w:position w:val="-53"/>
              </w:rPr>
              <w:drawing>
                <wp:inline distT="0" distB="0" distL="0" distR="0">
                  <wp:extent cx="5669280" cy="168592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28"/>
                          <a:stretch>
                            <a:fillRect/>
                          </a:stretch>
                        </pic:blipFill>
                        <pic:spPr>
                          <a:xfrm>
                            <a:off x="0" y="0"/>
                            <a:ext cx="5669548" cy="1686096"/>
                          </a:xfrm>
                          <a:prstGeom prst="rect">
                            <a:avLst/>
                          </a:prstGeom>
                        </pic:spPr>
                      </pic:pic>
                    </a:graphicData>
                  </a:graphic>
                </wp:inline>
              </w:drawing>
            </w:r>
          </w:p>
          <w:p w14:paraId="44834F75">
            <w:pPr>
              <w:pStyle w:val="6"/>
              <w:spacing w:before="35" w:line="219" w:lineRule="auto"/>
              <w:ind w:left="2596"/>
            </w:pPr>
            <w:r>
              <w:rPr>
                <w:b/>
                <w:bCs/>
                <w:spacing w:val="-3"/>
              </w:rPr>
              <w:t>图</w:t>
            </w:r>
            <w:r>
              <w:rPr>
                <w:spacing w:val="-39"/>
              </w:rPr>
              <w:t xml:space="preserve"> </w:t>
            </w:r>
            <w:r>
              <w:rPr>
                <w:rFonts w:ascii="Times New Roman" w:hAnsi="Times New Roman" w:eastAsia="Times New Roman" w:cs="Times New Roman"/>
                <w:b/>
                <w:bCs/>
                <w:spacing w:val="-3"/>
              </w:rPr>
              <w:t xml:space="preserve">4-6    </w:t>
            </w:r>
            <w:r>
              <w:rPr>
                <w:b/>
                <w:bCs/>
                <w:spacing w:val="-3"/>
              </w:rPr>
              <w:t>项目雨季水平衡图（单位：</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7"/>
                <w:sz w:val="15"/>
                <w:szCs w:val="15"/>
              </w:rPr>
              <w:t>3</w:t>
            </w:r>
            <w:r>
              <w:rPr>
                <w:rFonts w:ascii="Times New Roman" w:hAnsi="Times New Roman" w:eastAsia="Times New Roman" w:cs="Times New Roman"/>
                <w:b/>
                <w:bCs/>
                <w:spacing w:val="-3"/>
              </w:rPr>
              <w:t>/d</w:t>
            </w:r>
            <w:r>
              <w:rPr>
                <w:b/>
                <w:bCs/>
                <w:spacing w:val="-3"/>
              </w:rPr>
              <w:t>）</w:t>
            </w:r>
          </w:p>
          <w:p w14:paraId="78B93575">
            <w:pPr>
              <w:pStyle w:val="6"/>
              <w:spacing w:before="183" w:line="219" w:lineRule="auto"/>
              <w:ind w:left="583"/>
            </w:pPr>
            <w:r>
              <w:rPr>
                <w:rFonts w:ascii="Times New Roman" w:hAnsi="Times New Roman" w:eastAsia="Times New Roman" w:cs="Times New Roman"/>
                <w:spacing w:val="-1"/>
              </w:rPr>
              <w:t>2</w:t>
            </w:r>
            <w:r>
              <w:rPr>
                <w:spacing w:val="-1"/>
              </w:rPr>
              <w:t>）污染治理技术可行性分析</w:t>
            </w:r>
          </w:p>
          <w:p w14:paraId="3298FE52">
            <w:pPr>
              <w:pStyle w:val="6"/>
              <w:spacing w:before="179" w:line="353" w:lineRule="auto"/>
              <w:ind w:left="108" w:right="41" w:firstLine="480"/>
            </w:pPr>
            <w:r>
              <w:rPr>
                <w:spacing w:val="-3"/>
              </w:rPr>
              <w:t>升压站内食堂废水经</w:t>
            </w:r>
            <w:r>
              <w:rPr>
                <w:spacing w:val="-29"/>
              </w:rPr>
              <w:t xml:space="preserve"> </w:t>
            </w:r>
            <w:r>
              <w:rPr>
                <w:rFonts w:ascii="Times New Roman" w:hAnsi="Times New Roman" w:eastAsia="Times New Roman" w:cs="Times New Roman"/>
                <w:spacing w:val="-3"/>
              </w:rPr>
              <w:t xml:space="preserve">1 </w:t>
            </w:r>
            <w:r>
              <w:rPr>
                <w:spacing w:val="-3"/>
              </w:rPr>
              <w:t>个</w:t>
            </w:r>
            <w:r>
              <w:rPr>
                <w:spacing w:val="-30"/>
              </w:rPr>
              <w:t xml:space="preserve"> </w:t>
            </w:r>
            <w:r>
              <w:rPr>
                <w:rFonts w:ascii="Times New Roman" w:hAnsi="Times New Roman" w:eastAsia="Times New Roman" w:cs="Times New Roman"/>
                <w:spacing w:val="-3"/>
              </w:rPr>
              <w:t>1m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24"/>
                <w:position w:val="7"/>
                <w:sz w:val="15"/>
                <w:szCs w:val="15"/>
              </w:rPr>
              <w:t xml:space="preserve"> </w:t>
            </w:r>
            <w:r>
              <w:rPr>
                <w:spacing w:val="-3"/>
              </w:rPr>
              <w:t>隔油池隔油后，连同其他生活污水经</w:t>
            </w:r>
            <w:r>
              <w:rPr>
                <w:spacing w:val="-32"/>
              </w:rPr>
              <w:t xml:space="preserve"> </w:t>
            </w:r>
            <w:r>
              <w:rPr>
                <w:rFonts w:ascii="Times New Roman" w:hAnsi="Times New Roman" w:eastAsia="Times New Roman" w:cs="Times New Roman"/>
                <w:spacing w:val="-3"/>
              </w:rPr>
              <w:t xml:space="preserve">1 </w:t>
            </w:r>
            <w:r>
              <w:rPr>
                <w:spacing w:val="-3"/>
              </w:rPr>
              <w:t>个容积为</w:t>
            </w:r>
            <w:r>
              <w:rPr>
                <w:spacing w:val="-49"/>
              </w:rPr>
              <w:t xml:space="preserve"> </w:t>
            </w:r>
            <w:r>
              <w:rPr>
                <w:rFonts w:ascii="Times New Roman" w:hAnsi="Times New Roman" w:eastAsia="Times New Roman" w:cs="Times New Roman"/>
                <w:spacing w:val="-3"/>
              </w:rPr>
              <w:t>5m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4"/>
                <w:position w:val="7"/>
                <w:sz w:val="15"/>
                <w:szCs w:val="15"/>
              </w:rPr>
              <w:t xml:space="preserve">  </w:t>
            </w:r>
            <w:r>
              <w:rPr>
                <w:spacing w:val="-4"/>
              </w:rPr>
              <w:t>的</w:t>
            </w:r>
            <w:r>
              <w:t xml:space="preserve"> 化粪池预处理后，进入</w:t>
            </w:r>
            <w:r>
              <w:rPr>
                <w:spacing w:val="-32"/>
              </w:rPr>
              <w:t xml:space="preserve"> </w:t>
            </w:r>
            <w:r>
              <w:rPr>
                <w:rFonts w:ascii="Times New Roman" w:hAnsi="Times New Roman" w:eastAsia="Times New Roman" w:cs="Times New Roman"/>
              </w:rPr>
              <w:t xml:space="preserve">1 </w:t>
            </w:r>
            <w:r>
              <w:t>座规模为</w:t>
            </w:r>
            <w:r>
              <w:rPr>
                <w:spacing w:val="-52"/>
              </w:rPr>
              <w:t xml:space="preserve"> </w:t>
            </w:r>
            <w:r>
              <w:rPr>
                <w:rFonts w:ascii="Times New Roman" w:hAnsi="Times New Roman" w:eastAsia="Times New Roman" w:cs="Times New Roman"/>
              </w:rPr>
              <w:t>2m</w:t>
            </w:r>
            <w:r>
              <w:rPr>
                <w:rFonts w:ascii="Times New Roman" w:hAnsi="Times New Roman" w:eastAsia="Times New Roman" w:cs="Times New Roman"/>
                <w:position w:val="8"/>
                <w:sz w:val="15"/>
                <w:szCs w:val="15"/>
              </w:rPr>
              <w:t>3</w:t>
            </w:r>
            <w:r>
              <w:rPr>
                <w:rFonts w:ascii="Times New Roman" w:hAnsi="Times New Roman" w:eastAsia="Times New Roman" w:cs="Times New Roman"/>
              </w:rPr>
              <w:t>/d</w:t>
            </w:r>
            <w:r>
              <w:rPr>
                <w:rFonts w:ascii="Times New Roman" w:hAnsi="Times New Roman" w:eastAsia="Times New Roman" w:cs="Times New Roman"/>
                <w:spacing w:val="28"/>
                <w:w w:val="101"/>
              </w:rPr>
              <w:t xml:space="preserve"> </w:t>
            </w:r>
            <w:r>
              <w:t>的一体化污水处理设施处理达到《</w:t>
            </w:r>
            <w:r>
              <w:rPr>
                <w:spacing w:val="-1"/>
              </w:rPr>
              <w:t>城市污水再生</w:t>
            </w:r>
            <w:r>
              <w:t xml:space="preserve"> </w:t>
            </w:r>
            <w:r>
              <w:rPr>
                <w:spacing w:val="-3"/>
              </w:rPr>
              <w:t>利用城市杂用水水质》（</w:t>
            </w:r>
            <w:r>
              <w:rPr>
                <w:rFonts w:ascii="Times New Roman" w:hAnsi="Times New Roman" w:eastAsia="Times New Roman" w:cs="Times New Roman"/>
                <w:spacing w:val="-3"/>
              </w:rPr>
              <w:t>GB/T18920-2020</w:t>
            </w:r>
            <w:r>
              <w:rPr>
                <w:spacing w:val="-3"/>
              </w:rPr>
              <w:t>）中绿化标准后排入</w:t>
            </w:r>
            <w:r>
              <w:rPr>
                <w:spacing w:val="-30"/>
              </w:rPr>
              <w:t xml:space="preserve"> </w:t>
            </w:r>
            <w:r>
              <w:rPr>
                <w:rFonts w:ascii="Times New Roman" w:hAnsi="Times New Roman" w:eastAsia="Times New Roman" w:cs="Times New Roman"/>
                <w:spacing w:val="-3"/>
              </w:rPr>
              <w:t xml:space="preserve">1 </w:t>
            </w:r>
            <w:r>
              <w:rPr>
                <w:spacing w:val="-3"/>
              </w:rPr>
              <w:t>个容积为</w:t>
            </w:r>
            <w:r>
              <w:rPr>
                <w:spacing w:val="-27"/>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
                <w:position w:val="8"/>
                <w:sz w:val="15"/>
                <w:szCs w:val="15"/>
              </w:rPr>
              <w:t xml:space="preserve">3  </w:t>
            </w:r>
            <w:r>
              <w:rPr>
                <w:spacing w:val="-3"/>
              </w:rPr>
              <w:t>的中</w:t>
            </w:r>
            <w:r>
              <w:rPr>
                <w:spacing w:val="-4"/>
              </w:rPr>
              <w:t>水池，</w:t>
            </w:r>
            <w:r>
              <w:t xml:space="preserve"> </w:t>
            </w:r>
            <w:r>
              <w:rPr>
                <w:spacing w:val="1"/>
              </w:rPr>
              <w:t>经中水泵提升后用作站内的绿化浇洒用水，不外排。</w:t>
            </w:r>
          </w:p>
          <w:p w14:paraId="68470B77">
            <w:pPr>
              <w:pStyle w:val="6"/>
              <w:spacing w:before="33" w:line="217" w:lineRule="auto"/>
              <w:ind w:left="586"/>
            </w:pPr>
            <w:r>
              <w:rPr>
                <w:spacing w:val="-3"/>
              </w:rPr>
              <w:t>①隔油池</w:t>
            </w:r>
          </w:p>
          <w:p w14:paraId="3AC1EF6D">
            <w:pPr>
              <w:pStyle w:val="6"/>
              <w:spacing w:before="186" w:line="350" w:lineRule="auto"/>
              <w:ind w:left="108" w:right="102" w:firstLine="510"/>
            </w:pPr>
            <w:r>
              <w:t>由于餐饮废水中含动植物油含量较高，因此，员工食堂餐饮废水需先经隔油池隔</w:t>
            </w:r>
            <w:r>
              <w:rPr>
                <w:spacing w:val="-1"/>
              </w:rPr>
              <w:t>油沉</w:t>
            </w:r>
            <w:r>
              <w:t xml:space="preserve"> </w:t>
            </w:r>
            <w:r>
              <w:rPr>
                <w:spacing w:val="1"/>
              </w:rPr>
              <w:t>淀后再排入化粪池内进行处理，隔油池的设计需符合国家环境保护</w:t>
            </w:r>
            <w:r>
              <w:t xml:space="preserve">标准《饮食业环境保护 </w:t>
            </w:r>
            <w:r>
              <w:rPr>
                <w:spacing w:val="-1"/>
              </w:rPr>
              <w:t>技术规范》（</w:t>
            </w:r>
            <w:r>
              <w:rPr>
                <w:rFonts w:ascii="Times New Roman" w:hAnsi="Times New Roman" w:eastAsia="Times New Roman" w:cs="Times New Roman"/>
                <w:spacing w:val="-1"/>
              </w:rPr>
              <w:t>HJ554-2010</w:t>
            </w:r>
            <w:r>
              <w:rPr>
                <w:spacing w:val="-1"/>
              </w:rPr>
              <w:t>）规定：</w:t>
            </w:r>
          </w:p>
          <w:p w14:paraId="0BB503EB">
            <w:pPr>
              <w:pStyle w:val="6"/>
              <w:spacing w:before="37" w:line="219" w:lineRule="auto"/>
              <w:ind w:left="590"/>
            </w:pPr>
            <w:r>
              <w:rPr>
                <w:spacing w:val="1"/>
              </w:rPr>
              <w:t>含油污水的水力停留时间不宜小于</w:t>
            </w:r>
            <w:r>
              <w:rPr>
                <w:spacing w:val="-51"/>
              </w:rPr>
              <w:t xml:space="preserve"> </w:t>
            </w:r>
            <w:r>
              <w:rPr>
                <w:rFonts w:ascii="Times New Roman" w:hAnsi="Times New Roman" w:eastAsia="Times New Roman" w:cs="Times New Roman"/>
                <w:spacing w:val="1"/>
              </w:rPr>
              <w:t>0.5h</w:t>
            </w:r>
            <w:r>
              <w:rPr>
                <w:spacing w:val="1"/>
              </w:rPr>
              <w:t>；池</w:t>
            </w:r>
            <w:r>
              <w:t>内水流流速不宜大于</w:t>
            </w:r>
            <w:r>
              <w:rPr>
                <w:spacing w:val="-49"/>
              </w:rPr>
              <w:t xml:space="preserve"> </w:t>
            </w:r>
            <w:r>
              <w:rPr>
                <w:rFonts w:ascii="Times New Roman" w:hAnsi="Times New Roman" w:eastAsia="Times New Roman" w:cs="Times New Roman"/>
              </w:rPr>
              <w:t>0.005m/s</w:t>
            </w:r>
            <w:r>
              <w:t>；池内分格</w:t>
            </w:r>
          </w:p>
        </w:tc>
      </w:tr>
    </w:tbl>
    <w:p w14:paraId="1E0497A7">
      <w:pPr>
        <w:rPr>
          <w:rFonts w:ascii="Arial"/>
          <w:sz w:val="21"/>
        </w:rPr>
      </w:pPr>
    </w:p>
    <w:p w14:paraId="0AB194CE">
      <w:pPr>
        <w:rPr>
          <w:rFonts w:ascii="Arial" w:hAnsi="Arial" w:eastAsia="Arial" w:cs="Arial"/>
          <w:sz w:val="21"/>
          <w:szCs w:val="21"/>
        </w:rPr>
        <w:sectPr>
          <w:footerReference r:id="rId131" w:type="default"/>
          <w:pgSz w:w="11907" w:h="16840"/>
          <w:pgMar w:top="1431" w:right="907" w:bottom="1278" w:left="907" w:header="0" w:footer="1116" w:gutter="0"/>
          <w:cols w:space="720" w:num="1"/>
        </w:sectPr>
      </w:pPr>
    </w:p>
    <w:p w14:paraId="2282C306">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60383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5" w:type="dxa"/>
            <w:tcBorders>
              <w:right w:val="single" w:color="000000" w:sz="2" w:space="0"/>
            </w:tcBorders>
            <w:vAlign w:val="top"/>
          </w:tcPr>
          <w:p w14:paraId="62915201">
            <w:pPr>
              <w:rPr>
                <w:rFonts w:ascii="Arial"/>
                <w:sz w:val="21"/>
              </w:rPr>
            </w:pPr>
          </w:p>
        </w:tc>
        <w:tc>
          <w:tcPr>
            <w:tcW w:w="9612" w:type="dxa"/>
            <w:tcBorders>
              <w:left w:val="single" w:color="000000" w:sz="2" w:space="0"/>
            </w:tcBorders>
            <w:vAlign w:val="top"/>
          </w:tcPr>
          <w:p w14:paraId="4B5C21A0">
            <w:pPr>
              <w:pStyle w:val="6"/>
              <w:spacing w:before="41" w:line="345" w:lineRule="auto"/>
              <w:ind w:left="127" w:right="102" w:hanging="15"/>
            </w:pPr>
            <w:r>
              <w:rPr>
                <w:spacing w:val="-3"/>
              </w:rPr>
              <w:t>宜取两档三格；人工除油的隔油池内存油部分的容积不得小于该池有效容积的</w:t>
            </w:r>
            <w:r>
              <w:rPr>
                <w:spacing w:val="-55"/>
              </w:rPr>
              <w:t xml:space="preserve"> </w:t>
            </w:r>
            <w:r>
              <w:rPr>
                <w:rFonts w:ascii="Times New Roman" w:hAnsi="Times New Roman" w:eastAsia="Times New Roman" w:cs="Times New Roman"/>
                <w:spacing w:val="-3"/>
              </w:rPr>
              <w:t>2%</w:t>
            </w:r>
            <w:r>
              <w:rPr>
                <w:spacing w:val="-3"/>
              </w:rPr>
              <w:t>，隔油池</w:t>
            </w:r>
            <w:r>
              <w:t xml:space="preserve"> </w:t>
            </w:r>
            <w:r>
              <w:rPr>
                <w:spacing w:val="-2"/>
              </w:rPr>
              <w:t>出水管管底至池底的深度，不得小于</w:t>
            </w:r>
            <w:r>
              <w:rPr>
                <w:spacing w:val="-50"/>
              </w:rPr>
              <w:t xml:space="preserve"> </w:t>
            </w:r>
            <w:r>
              <w:rPr>
                <w:rFonts w:ascii="Times New Roman" w:hAnsi="Times New Roman" w:eastAsia="Times New Roman" w:cs="Times New Roman"/>
                <w:spacing w:val="-2"/>
              </w:rPr>
              <w:t>0.6m</w:t>
            </w:r>
            <w:r>
              <w:rPr>
                <w:spacing w:val="-2"/>
              </w:rPr>
              <w:t>。</w:t>
            </w:r>
          </w:p>
          <w:p w14:paraId="7EA0A5D9">
            <w:pPr>
              <w:pStyle w:val="6"/>
              <w:spacing w:before="33" w:line="346" w:lineRule="auto"/>
              <w:ind w:left="585" w:right="2528" w:firstLine="5"/>
            </w:pPr>
            <w:r>
              <w:rPr>
                <w:spacing w:val="-4"/>
              </w:rPr>
              <w:t>项目餐饮废水量为</w:t>
            </w:r>
            <w:r>
              <w:rPr>
                <w:spacing w:val="-51"/>
              </w:rPr>
              <w:t xml:space="preserve"> </w:t>
            </w:r>
            <w:r>
              <w:rPr>
                <w:rFonts w:ascii="Times New Roman" w:hAnsi="Times New Roman" w:eastAsia="Times New Roman" w:cs="Times New Roman"/>
                <w:spacing w:val="-4"/>
              </w:rPr>
              <w:t>0.288m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2"/>
              </w:rPr>
              <w:t xml:space="preserve"> </w:t>
            </w:r>
            <w:r>
              <w:rPr>
                <w:spacing w:val="-4"/>
              </w:rPr>
              <w:t>，隔油</w:t>
            </w:r>
            <w:r>
              <w:rPr>
                <w:spacing w:val="-5"/>
              </w:rPr>
              <w:t>池容积为</w:t>
            </w:r>
            <w:r>
              <w:rPr>
                <w:spacing w:val="-32"/>
              </w:rPr>
              <w:t xml:space="preserve"> </w:t>
            </w:r>
            <w:r>
              <w:rPr>
                <w:rFonts w:ascii="Times New Roman" w:hAnsi="Times New Roman" w:eastAsia="Times New Roman" w:cs="Times New Roman"/>
                <w:spacing w:val="-5"/>
              </w:rPr>
              <w:t>1m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7"/>
                <w:position w:val="7"/>
                <w:sz w:val="15"/>
                <w:szCs w:val="15"/>
              </w:rPr>
              <w:t xml:space="preserve"> </w:t>
            </w:r>
            <w:r>
              <w:rPr>
                <w:spacing w:val="-5"/>
              </w:rPr>
              <w:t>，满足要求。</w:t>
            </w:r>
            <w:r>
              <w:t xml:space="preserve"> </w:t>
            </w:r>
            <w:r>
              <w:rPr>
                <w:spacing w:val="-2"/>
              </w:rPr>
              <w:t>②化粪池</w:t>
            </w:r>
          </w:p>
          <w:p w14:paraId="7D312884">
            <w:pPr>
              <w:pStyle w:val="6"/>
              <w:spacing w:before="38" w:line="350" w:lineRule="auto"/>
              <w:ind w:left="108" w:right="102" w:firstLine="479"/>
            </w:pPr>
            <w:r>
              <w:rPr>
                <w:spacing w:val="-2"/>
              </w:rPr>
              <w:t>根据前文分析，项目生活污水和食堂废水产生总量为</w:t>
            </w:r>
            <w:r>
              <w:rPr>
                <w:spacing w:val="-34"/>
              </w:rPr>
              <w:t xml:space="preserve"> </w:t>
            </w:r>
            <w:r>
              <w:rPr>
                <w:rFonts w:ascii="Times New Roman" w:hAnsi="Times New Roman" w:eastAsia="Times New Roman" w:cs="Times New Roman"/>
                <w:spacing w:val="-2"/>
              </w:rPr>
              <w:t>0.864m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spacing w:val="-2"/>
              </w:rPr>
              <w:t>，化粪池的容积应满足</w:t>
            </w:r>
            <w:r>
              <w:t xml:space="preserve"> </w:t>
            </w:r>
            <w:r>
              <w:rPr>
                <w:spacing w:val="-3"/>
              </w:rPr>
              <w:t>污水在池内停留时间</w:t>
            </w:r>
            <w:r>
              <w:rPr>
                <w:spacing w:val="-27"/>
              </w:rPr>
              <w:t xml:space="preserve"> </w:t>
            </w:r>
            <w:r>
              <w:rPr>
                <w:rFonts w:ascii="Times New Roman" w:hAnsi="Times New Roman" w:eastAsia="Times New Roman" w:cs="Times New Roman"/>
                <w:spacing w:val="-3"/>
              </w:rPr>
              <w:t xml:space="preserve">12h-24h </w:t>
            </w:r>
            <w:r>
              <w:rPr>
                <w:spacing w:val="-3"/>
              </w:rPr>
              <w:t>要求，考虑</w:t>
            </w:r>
            <w:r>
              <w:rPr>
                <w:spacing w:val="-32"/>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4"/>
              </w:rPr>
              <w:t xml:space="preserve"> </w:t>
            </w:r>
            <w:r>
              <w:rPr>
                <w:spacing w:val="-3"/>
              </w:rPr>
              <w:t>安全系数，即化粪池不得小于</w:t>
            </w:r>
            <w:r>
              <w:rPr>
                <w:spacing w:val="-32"/>
              </w:rPr>
              <w:t xml:space="preserve"> </w:t>
            </w:r>
            <w:r>
              <w:rPr>
                <w:rFonts w:ascii="Times New Roman" w:hAnsi="Times New Roman" w:eastAsia="Times New Roman" w:cs="Times New Roman"/>
                <w:spacing w:val="-3"/>
              </w:rPr>
              <w:t>1.04m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0"/>
                <w:position w:val="8"/>
                <w:sz w:val="15"/>
                <w:szCs w:val="15"/>
              </w:rPr>
              <w:t xml:space="preserve"> </w:t>
            </w:r>
            <w:r>
              <w:rPr>
                <w:spacing w:val="-3"/>
              </w:rPr>
              <w:t>，项目</w:t>
            </w:r>
            <w:r>
              <w:t xml:space="preserve">  </w:t>
            </w:r>
            <w:r>
              <w:rPr>
                <w:spacing w:val="-4"/>
              </w:rPr>
              <w:t>化粪池容积</w:t>
            </w:r>
            <w:r>
              <w:rPr>
                <w:spacing w:val="-37"/>
              </w:rPr>
              <w:t xml:space="preserve"> </w:t>
            </w:r>
            <w:r>
              <w:rPr>
                <w:rFonts w:ascii="Times New Roman" w:hAnsi="Times New Roman" w:eastAsia="Times New Roman" w:cs="Times New Roman"/>
                <w:spacing w:val="-4"/>
              </w:rPr>
              <w:t>5m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0"/>
                <w:position w:val="7"/>
                <w:sz w:val="15"/>
                <w:szCs w:val="15"/>
              </w:rPr>
              <w:t xml:space="preserve"> </w:t>
            </w:r>
            <w:r>
              <w:rPr>
                <w:spacing w:val="-4"/>
              </w:rPr>
              <w:t>，能满足要求。</w:t>
            </w:r>
          </w:p>
          <w:p w14:paraId="23F03937">
            <w:pPr>
              <w:pStyle w:val="6"/>
              <w:spacing w:before="33" w:line="217" w:lineRule="auto"/>
              <w:ind w:left="585"/>
            </w:pPr>
            <w:r>
              <w:rPr>
                <w:spacing w:val="-1"/>
              </w:rPr>
              <w:t>③一体化污水处理站</w:t>
            </w:r>
          </w:p>
          <w:p w14:paraId="4CA738DA">
            <w:pPr>
              <w:pStyle w:val="6"/>
              <w:spacing w:before="186" w:line="350" w:lineRule="auto"/>
              <w:ind w:left="103" w:right="102" w:firstLine="488"/>
            </w:pPr>
            <w:r>
              <w:rPr>
                <w:spacing w:val="12"/>
              </w:rPr>
              <w:t>项目初步拟在综合楼西南侧地势较低处设置</w:t>
            </w:r>
            <w:r>
              <w:rPr>
                <w:spacing w:val="-2"/>
              </w:rPr>
              <w:t xml:space="preserve"> </w:t>
            </w:r>
            <w:r>
              <w:rPr>
                <w:rFonts w:ascii="Times New Roman" w:hAnsi="Times New Roman" w:eastAsia="Times New Roman" w:cs="Times New Roman"/>
                <w:spacing w:val="12"/>
              </w:rPr>
              <w:t>1</w:t>
            </w:r>
            <w:r>
              <w:rPr>
                <w:rFonts w:ascii="Times New Roman" w:hAnsi="Times New Roman" w:eastAsia="Times New Roman" w:cs="Times New Roman"/>
                <w:spacing w:val="28"/>
                <w:w w:val="101"/>
              </w:rPr>
              <w:t xml:space="preserve"> </w:t>
            </w:r>
            <w:r>
              <w:rPr>
                <w:spacing w:val="12"/>
              </w:rPr>
              <w:t>座一体化污水处理站，处理规模为</w:t>
            </w:r>
            <w:r>
              <w:t xml:space="preserve"> </w:t>
            </w:r>
            <w:r>
              <w:rPr>
                <w:rFonts w:ascii="Times New Roman" w:hAnsi="Times New Roman" w:eastAsia="Times New Roman" w:cs="Times New Roman"/>
                <w:spacing w:val="-3"/>
              </w:rPr>
              <w:t>2m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spacing w:val="-3"/>
              </w:rPr>
              <w:t>。项目生活污水和食堂废水产生总量为</w:t>
            </w:r>
            <w:r>
              <w:rPr>
                <w:spacing w:val="-41"/>
              </w:rPr>
              <w:t xml:space="preserve"> </w:t>
            </w:r>
            <w:r>
              <w:rPr>
                <w:rFonts w:ascii="Times New Roman" w:hAnsi="Times New Roman" w:eastAsia="Times New Roman" w:cs="Times New Roman"/>
                <w:spacing w:val="-3"/>
              </w:rPr>
              <w:t>0.864m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spacing w:val="-3"/>
              </w:rPr>
              <w:t>，考虑</w:t>
            </w:r>
            <w:r>
              <w:rPr>
                <w:spacing w:val="-32"/>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5"/>
              </w:rPr>
              <w:t xml:space="preserve"> </w:t>
            </w:r>
            <w:r>
              <w:rPr>
                <w:spacing w:val="-3"/>
              </w:rPr>
              <w:t>安全系数，一体化污水处</w:t>
            </w:r>
            <w:r>
              <w:t xml:space="preserve"> </w:t>
            </w:r>
            <w:r>
              <w:rPr>
                <w:spacing w:val="-1"/>
              </w:rPr>
              <w:t>理站处理规模不低于</w:t>
            </w:r>
            <w:r>
              <w:rPr>
                <w:spacing w:val="-32"/>
              </w:rPr>
              <w:t xml:space="preserve"> </w:t>
            </w:r>
            <w:r>
              <w:rPr>
                <w:rFonts w:ascii="Times New Roman" w:hAnsi="Times New Roman" w:eastAsia="Times New Roman" w:cs="Times New Roman"/>
                <w:spacing w:val="-1"/>
              </w:rPr>
              <w:t>1.04m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1"/>
              </w:rPr>
              <w:t xml:space="preserve"> </w:t>
            </w:r>
            <w:r>
              <w:rPr>
                <w:spacing w:val="-1"/>
              </w:rPr>
              <w:t>，因此一体化污水</w:t>
            </w:r>
            <w:r>
              <w:rPr>
                <w:spacing w:val="-2"/>
              </w:rPr>
              <w:t>处理站处理规模</w:t>
            </w:r>
            <w:r>
              <w:rPr>
                <w:spacing w:val="-55"/>
              </w:rPr>
              <w:t xml:space="preserve"> </w:t>
            </w:r>
            <w:r>
              <w:rPr>
                <w:rFonts w:ascii="Times New Roman" w:hAnsi="Times New Roman" w:eastAsia="Times New Roman" w:cs="Times New Roman"/>
                <w:spacing w:val="-2"/>
              </w:rPr>
              <w:t>2m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 xml:space="preserve">/d </w:t>
            </w:r>
            <w:r>
              <w:rPr>
                <w:spacing w:val="-2"/>
              </w:rPr>
              <w:t>完全满足要求。</w:t>
            </w:r>
          </w:p>
          <w:p w14:paraId="69957A97">
            <w:pPr>
              <w:pStyle w:val="6"/>
              <w:spacing w:before="35" w:line="346" w:lineRule="auto"/>
              <w:ind w:left="107" w:right="102" w:firstLine="480"/>
            </w:pPr>
            <w:r>
              <w:t>根据项目可行性研究报告，项目生活污水采用隔油池、化粪</w:t>
            </w:r>
            <w:r>
              <w:rPr>
                <w:spacing w:val="-1"/>
              </w:rPr>
              <w:t>池预处理后，采用生物接</w:t>
            </w:r>
            <w:r>
              <w:t xml:space="preserve"> </w:t>
            </w:r>
            <w:r>
              <w:rPr>
                <w:spacing w:val="-5"/>
              </w:rPr>
              <w:t>触氧化法处理工艺，对照《排污许可证申请预核发技术规范水处理通用工序》</w:t>
            </w:r>
            <w:r>
              <w:rPr>
                <w:rFonts w:ascii="Times New Roman" w:hAnsi="Times New Roman" w:eastAsia="Times New Roman" w:cs="Times New Roman"/>
                <w:spacing w:val="-5"/>
              </w:rPr>
              <w:t>(HJ1120-2020)</w:t>
            </w:r>
            <w:r>
              <w:rPr>
                <w:rFonts w:ascii="Times New Roman" w:hAnsi="Times New Roman" w:eastAsia="Times New Roman" w:cs="Times New Roman"/>
              </w:rPr>
              <w:t xml:space="preserve"> </w:t>
            </w:r>
            <w:r>
              <w:rPr>
                <w:spacing w:val="-3"/>
              </w:rPr>
              <w:t>附录</w:t>
            </w:r>
            <w:r>
              <w:rPr>
                <w:spacing w:val="-58"/>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31"/>
              </w:rPr>
              <w:t xml:space="preserve"> </w:t>
            </w:r>
            <w:r>
              <w:rPr>
                <w:spacing w:val="-3"/>
              </w:rPr>
              <w:t>，属污水处理可行技术。</w:t>
            </w:r>
          </w:p>
          <w:p w14:paraId="5C2C27E7">
            <w:pPr>
              <w:pStyle w:val="6"/>
              <w:spacing w:before="46" w:line="354" w:lineRule="auto"/>
              <w:ind w:left="107" w:right="41" w:firstLine="480"/>
            </w:pPr>
            <w:r>
              <w:rPr>
                <w:spacing w:val="-3"/>
              </w:rPr>
              <w:t>根据《生物接触氧化法污水处理工程技术规范（</w:t>
            </w:r>
            <w:r>
              <w:rPr>
                <w:rFonts w:ascii="Times New Roman" w:hAnsi="Times New Roman" w:eastAsia="Times New Roman" w:cs="Times New Roman"/>
                <w:spacing w:val="-3"/>
              </w:rPr>
              <w:t>HJ 2009-2011</w:t>
            </w:r>
            <w:r>
              <w:rPr>
                <w:spacing w:val="-3"/>
              </w:rPr>
              <w:t>）》：采用生</w:t>
            </w:r>
            <w:r>
              <w:rPr>
                <w:spacing w:val="-4"/>
              </w:rPr>
              <w:t>物接触氧化</w:t>
            </w:r>
            <w:r>
              <w:t xml:space="preserve"> </w:t>
            </w:r>
            <w:r>
              <w:rPr>
                <w:spacing w:val="-8"/>
              </w:rPr>
              <w:t>处理工艺进行生活污水处理，</w:t>
            </w:r>
            <w:r>
              <w:rPr>
                <w:rFonts w:ascii="Times New Roman" w:hAnsi="Times New Roman" w:eastAsia="Times New Roman" w:cs="Times New Roman"/>
                <w:spacing w:val="-8"/>
              </w:rPr>
              <w:t>COD</w:t>
            </w:r>
            <w:r>
              <w:rPr>
                <w:rFonts w:ascii="Times New Roman" w:hAnsi="Times New Roman" w:eastAsia="Times New Roman" w:cs="Times New Roman"/>
                <w:spacing w:val="14"/>
              </w:rPr>
              <w:t xml:space="preserve"> </w:t>
            </w:r>
            <w:r>
              <w:rPr>
                <w:spacing w:val="-8"/>
              </w:rPr>
              <w:t>的平均</w:t>
            </w:r>
            <w:r>
              <w:rPr>
                <w:spacing w:val="-9"/>
              </w:rPr>
              <w:t>去除率达到</w:t>
            </w:r>
            <w:r>
              <w:rPr>
                <w:spacing w:val="-58"/>
              </w:rPr>
              <w:t xml:space="preserve"> </w:t>
            </w:r>
            <w:r>
              <w:rPr>
                <w:rFonts w:ascii="Times New Roman" w:hAnsi="Times New Roman" w:eastAsia="Times New Roman" w:cs="Times New Roman"/>
                <w:spacing w:val="-9"/>
              </w:rPr>
              <w:t>85%</w:t>
            </w:r>
            <w:r>
              <w:rPr>
                <w:spacing w:val="-9"/>
              </w:rPr>
              <w:t>，</w:t>
            </w:r>
            <w:r>
              <w:rPr>
                <w:rFonts w:ascii="Times New Roman" w:hAnsi="Times New Roman" w:eastAsia="Times New Roman" w:cs="Times New Roman"/>
                <w:spacing w:val="-9"/>
              </w:rPr>
              <w:t>BOD</w:t>
            </w:r>
            <w:r>
              <w:rPr>
                <w:rFonts w:ascii="Times New Roman" w:hAnsi="Times New Roman" w:eastAsia="Times New Roman" w:cs="Times New Roman"/>
                <w:spacing w:val="-9"/>
                <w:position w:val="-1"/>
                <w:sz w:val="15"/>
                <w:szCs w:val="15"/>
              </w:rPr>
              <w:t>5</w:t>
            </w:r>
            <w:r>
              <w:rPr>
                <w:rFonts w:ascii="Times New Roman" w:hAnsi="Times New Roman" w:eastAsia="Times New Roman" w:cs="Times New Roman"/>
                <w:spacing w:val="22"/>
                <w:w w:val="101"/>
                <w:position w:val="-1"/>
                <w:sz w:val="15"/>
                <w:szCs w:val="15"/>
              </w:rPr>
              <w:t xml:space="preserve"> </w:t>
            </w:r>
            <w:r>
              <w:rPr>
                <w:spacing w:val="-9"/>
              </w:rPr>
              <w:t>的平均去除率达到</w:t>
            </w:r>
            <w:r>
              <w:rPr>
                <w:spacing w:val="-58"/>
              </w:rPr>
              <w:t xml:space="preserve"> </w:t>
            </w:r>
            <w:r>
              <w:rPr>
                <w:rFonts w:ascii="Times New Roman" w:hAnsi="Times New Roman" w:eastAsia="Times New Roman" w:cs="Times New Roman"/>
                <w:spacing w:val="-9"/>
              </w:rPr>
              <w:t>87.5%</w:t>
            </w:r>
            <w:r>
              <w:rPr>
                <w:spacing w:val="-9"/>
              </w:rPr>
              <w:t>，</w:t>
            </w:r>
            <w:r>
              <w:t xml:space="preserve"> </w:t>
            </w:r>
            <w:r>
              <w:rPr>
                <w:spacing w:val="-10"/>
              </w:rPr>
              <w:t>氨氮的平均去除率达到</w:t>
            </w:r>
            <w:r>
              <w:rPr>
                <w:spacing w:val="-39"/>
              </w:rPr>
              <w:t xml:space="preserve"> </w:t>
            </w:r>
            <w:r>
              <w:rPr>
                <w:rFonts w:ascii="Times New Roman" w:hAnsi="Times New Roman" w:eastAsia="Times New Roman" w:cs="Times New Roman"/>
                <w:spacing w:val="-10"/>
              </w:rPr>
              <w:t>75%</w:t>
            </w:r>
            <w:r>
              <w:rPr>
                <w:spacing w:val="-10"/>
              </w:rPr>
              <w:t>，对</w:t>
            </w:r>
            <w:r>
              <w:rPr>
                <w:spacing w:val="-52"/>
              </w:rPr>
              <w:t xml:space="preserve"> </w:t>
            </w:r>
            <w:r>
              <w:rPr>
                <w:rFonts w:ascii="Times New Roman" w:hAnsi="Times New Roman" w:eastAsia="Times New Roman" w:cs="Times New Roman"/>
                <w:spacing w:val="-10"/>
              </w:rPr>
              <w:t>TN</w:t>
            </w:r>
            <w:r>
              <w:rPr>
                <w:rFonts w:ascii="Times New Roman" w:hAnsi="Times New Roman" w:eastAsia="Times New Roman" w:cs="Times New Roman"/>
                <w:spacing w:val="28"/>
              </w:rPr>
              <w:t xml:space="preserve"> </w:t>
            </w:r>
            <w:r>
              <w:rPr>
                <w:spacing w:val="-10"/>
              </w:rPr>
              <w:t>的平均去除率达到</w:t>
            </w:r>
            <w:r>
              <w:rPr>
                <w:spacing w:val="-50"/>
              </w:rPr>
              <w:t xml:space="preserve"> </w:t>
            </w:r>
            <w:r>
              <w:rPr>
                <w:rFonts w:ascii="Times New Roman" w:hAnsi="Times New Roman" w:eastAsia="Times New Roman" w:cs="Times New Roman"/>
                <w:spacing w:val="-10"/>
              </w:rPr>
              <w:t>65%</w:t>
            </w:r>
            <w:r>
              <w:rPr>
                <w:spacing w:val="-10"/>
              </w:rPr>
              <w:t>，对</w:t>
            </w:r>
            <w:r>
              <w:rPr>
                <w:spacing w:val="-44"/>
              </w:rPr>
              <w:t xml:space="preserve"> </w:t>
            </w:r>
            <w:r>
              <w:rPr>
                <w:rFonts w:ascii="Times New Roman" w:hAnsi="Times New Roman" w:eastAsia="Times New Roman" w:cs="Times New Roman"/>
                <w:spacing w:val="-10"/>
              </w:rPr>
              <w:t>SS</w:t>
            </w:r>
            <w:r>
              <w:rPr>
                <w:rFonts w:ascii="Times New Roman" w:hAnsi="Times New Roman" w:eastAsia="Times New Roman" w:cs="Times New Roman"/>
                <w:spacing w:val="27"/>
                <w:w w:val="101"/>
              </w:rPr>
              <w:t xml:space="preserve"> </w:t>
            </w:r>
            <w:r>
              <w:rPr>
                <w:spacing w:val="-10"/>
              </w:rPr>
              <w:t>的平均去除率达到</w:t>
            </w:r>
            <w:r>
              <w:rPr>
                <w:spacing w:val="-46"/>
              </w:rPr>
              <w:t xml:space="preserve"> </w:t>
            </w:r>
            <w:r>
              <w:rPr>
                <w:rFonts w:ascii="Times New Roman" w:hAnsi="Times New Roman" w:eastAsia="Times New Roman" w:cs="Times New Roman"/>
                <w:spacing w:val="-10"/>
              </w:rPr>
              <w:t>80%</w:t>
            </w:r>
            <w:r>
              <w:rPr>
                <w:spacing w:val="-10"/>
              </w:rPr>
              <w:t>；</w:t>
            </w:r>
            <w:r>
              <w:t xml:space="preserve"> </w:t>
            </w:r>
            <w:r>
              <w:rPr>
                <w:spacing w:val="-1"/>
              </w:rPr>
              <w:t>处理出水</w:t>
            </w:r>
            <w:r>
              <w:rPr>
                <w:spacing w:val="-52"/>
              </w:rPr>
              <w:t xml:space="preserve"> </w:t>
            </w:r>
            <w:r>
              <w:rPr>
                <w:rFonts w:ascii="Times New Roman" w:hAnsi="Times New Roman" w:eastAsia="Times New Roman" w:cs="Times New Roman"/>
                <w:spacing w:val="-1"/>
              </w:rPr>
              <w:t xml:space="preserve">COD </w:t>
            </w:r>
            <w:r>
              <w:rPr>
                <w:spacing w:val="-1"/>
              </w:rPr>
              <w:t>质量浓度小于</w:t>
            </w:r>
            <w:r>
              <w:rPr>
                <w:spacing w:val="-47"/>
              </w:rPr>
              <w:t xml:space="preserve"> </w:t>
            </w:r>
            <w:r>
              <w:rPr>
                <w:rFonts w:ascii="Times New Roman" w:hAnsi="Times New Roman" w:eastAsia="Times New Roman" w:cs="Times New Roman"/>
                <w:spacing w:val="-1"/>
              </w:rPr>
              <w:t>30mg/L</w:t>
            </w:r>
            <w:r>
              <w:rPr>
                <w:rFonts w:ascii="Times New Roman" w:hAnsi="Times New Roman" w:eastAsia="Times New Roman" w:cs="Times New Roman"/>
                <w:spacing w:val="-29"/>
              </w:rPr>
              <w:t xml:space="preserve"> </w:t>
            </w:r>
            <w:r>
              <w:rPr>
                <w:spacing w:val="-1"/>
              </w:rPr>
              <w:t>，</w:t>
            </w:r>
            <w:r>
              <w:rPr>
                <w:rFonts w:ascii="Times New Roman" w:hAnsi="Times New Roman" w:eastAsia="Times New Roman" w:cs="Times New Roman"/>
                <w:spacing w:val="-1"/>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rPr>
              <w:t xml:space="preserve">-N </w:t>
            </w:r>
            <w:r>
              <w:rPr>
                <w:spacing w:val="-1"/>
              </w:rPr>
              <w:t>质量浓度小于</w:t>
            </w:r>
            <w:r>
              <w:rPr>
                <w:spacing w:val="-56"/>
              </w:rPr>
              <w:t xml:space="preserve"> </w:t>
            </w:r>
            <w:r>
              <w:rPr>
                <w:rFonts w:ascii="Times New Roman" w:hAnsi="Times New Roman" w:eastAsia="Times New Roman" w:cs="Times New Roman"/>
                <w:spacing w:val="-1"/>
              </w:rPr>
              <w:t>4mg/</w:t>
            </w:r>
            <w:r>
              <w:rPr>
                <w:rFonts w:ascii="Times New Roman" w:hAnsi="Times New Roman" w:eastAsia="Times New Roman" w:cs="Times New Roman"/>
                <w:spacing w:val="-2"/>
              </w:rPr>
              <w:t>L</w:t>
            </w:r>
            <w:r>
              <w:rPr>
                <w:rFonts w:ascii="Times New Roman" w:hAnsi="Times New Roman" w:eastAsia="Times New Roman" w:cs="Times New Roman"/>
                <w:spacing w:val="-29"/>
              </w:rPr>
              <w:t xml:space="preserve"> </w:t>
            </w:r>
            <w:r>
              <w:rPr>
                <w:spacing w:val="-2"/>
              </w:rPr>
              <w:t>，出水水质好，能达到</w:t>
            </w:r>
            <w:r>
              <w:t xml:space="preserve"> </w:t>
            </w:r>
            <w:r>
              <w:rPr>
                <w:spacing w:val="3"/>
              </w:rPr>
              <w:t>《城市污水再生利用 城市杂用水水质》（</w:t>
            </w:r>
            <w:r>
              <w:rPr>
                <w:rFonts w:ascii="Times New Roman" w:hAnsi="Times New Roman" w:eastAsia="Times New Roman" w:cs="Times New Roman"/>
              </w:rPr>
              <w:t>GB</w:t>
            </w:r>
            <w:r>
              <w:rPr>
                <w:rFonts w:ascii="Times New Roman" w:hAnsi="Times New Roman" w:eastAsia="Times New Roman" w:cs="Times New Roman"/>
                <w:spacing w:val="3"/>
              </w:rPr>
              <w:t>/T18920-2020</w:t>
            </w:r>
            <w:r>
              <w:rPr>
                <w:spacing w:val="3"/>
              </w:rPr>
              <w:t>）中城市</w:t>
            </w:r>
            <w:r>
              <w:rPr>
                <w:spacing w:val="2"/>
              </w:rPr>
              <w:t>绿化标准。回用于生</w:t>
            </w:r>
            <w:r>
              <w:t xml:space="preserve"> </w:t>
            </w:r>
            <w:r>
              <w:rPr>
                <w:spacing w:val="-1"/>
              </w:rPr>
              <w:t>活区绿化及光伏板下林草植被浇洒，是可行的。</w:t>
            </w:r>
          </w:p>
          <w:p w14:paraId="2E2E034F">
            <w:pPr>
              <w:pStyle w:val="6"/>
              <w:spacing w:before="44" w:line="217" w:lineRule="auto"/>
              <w:ind w:left="585"/>
            </w:pPr>
            <w:r>
              <w:rPr>
                <w:spacing w:val="-2"/>
              </w:rPr>
              <w:t>④中水池</w:t>
            </w:r>
          </w:p>
          <w:p w14:paraId="1BE788C1">
            <w:pPr>
              <w:pStyle w:val="6"/>
              <w:spacing w:before="189" w:line="354" w:lineRule="auto"/>
              <w:ind w:left="107" w:right="102" w:firstLine="483"/>
            </w:pPr>
            <w:r>
              <w:rPr>
                <w:spacing w:val="-2"/>
              </w:rPr>
              <w:t>项目生活污水和食堂废水产生总量为</w:t>
            </w:r>
            <w:r>
              <w:rPr>
                <w:spacing w:val="-52"/>
              </w:rPr>
              <w:t xml:space="preserve"> </w:t>
            </w:r>
            <w:r>
              <w:rPr>
                <w:rFonts w:ascii="Times New Roman" w:hAnsi="Times New Roman" w:eastAsia="Times New Roman" w:cs="Times New Roman"/>
                <w:spacing w:val="-2"/>
              </w:rPr>
              <w:t>0.864m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1"/>
              </w:rPr>
              <w:t xml:space="preserve"> </w:t>
            </w:r>
            <w:r>
              <w:rPr>
                <w:spacing w:val="-2"/>
              </w:rPr>
              <w:t>，为</w:t>
            </w:r>
            <w:r>
              <w:rPr>
                <w:spacing w:val="-3"/>
              </w:rPr>
              <w:t>保证连续降雨时项目废水不外排，</w:t>
            </w:r>
            <w:r>
              <w:t xml:space="preserve"> </w:t>
            </w:r>
            <w:r>
              <w:rPr>
                <w:spacing w:val="-2"/>
              </w:rPr>
              <w:t>按收集</w:t>
            </w:r>
            <w:r>
              <w:rPr>
                <w:spacing w:val="-51"/>
              </w:rPr>
              <w:t xml:space="preserve"> </w:t>
            </w:r>
            <w:r>
              <w:rPr>
                <w:rFonts w:ascii="Times New Roman" w:hAnsi="Times New Roman" w:eastAsia="Times New Roman" w:cs="Times New Roman"/>
                <w:spacing w:val="-2"/>
              </w:rPr>
              <w:t>7d</w:t>
            </w:r>
            <w:r>
              <w:rPr>
                <w:rFonts w:ascii="Times New Roman" w:hAnsi="Times New Roman" w:eastAsia="Times New Roman" w:cs="Times New Roman"/>
                <w:spacing w:val="31"/>
                <w:w w:val="101"/>
              </w:rPr>
              <w:t xml:space="preserve"> </w:t>
            </w:r>
            <w:r>
              <w:rPr>
                <w:spacing w:val="-2"/>
              </w:rPr>
              <w:t>的出水计算，考虑</w:t>
            </w:r>
            <w:r>
              <w:rPr>
                <w:spacing w:val="-32"/>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31"/>
                <w:w w:val="101"/>
              </w:rPr>
              <w:t xml:space="preserve"> </w:t>
            </w:r>
            <w:r>
              <w:rPr>
                <w:spacing w:val="-2"/>
              </w:rPr>
              <w:t>的安全系</w:t>
            </w:r>
            <w:r>
              <w:rPr>
                <w:spacing w:val="-3"/>
              </w:rPr>
              <w:t>数，项目内应设置一个容积不低于</w:t>
            </w:r>
            <w:r>
              <w:rPr>
                <w:spacing w:val="-52"/>
              </w:rPr>
              <w:t xml:space="preserve"> </w:t>
            </w:r>
            <w:r>
              <w:rPr>
                <w:rFonts w:ascii="Times New Roman" w:hAnsi="Times New Roman" w:eastAsia="Times New Roman" w:cs="Times New Roman"/>
                <w:spacing w:val="-3"/>
              </w:rPr>
              <w:t>7.3m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2"/>
                <w:position w:val="8"/>
                <w:sz w:val="15"/>
                <w:szCs w:val="15"/>
              </w:rPr>
              <w:t xml:space="preserve"> </w:t>
            </w:r>
            <w:r>
              <w:rPr>
                <w:spacing w:val="-3"/>
              </w:rPr>
              <w:t>的储水</w:t>
            </w:r>
            <w:r>
              <w:t xml:space="preserve"> </w:t>
            </w:r>
            <w:r>
              <w:rPr>
                <w:spacing w:val="-3"/>
              </w:rPr>
              <w:t>池，项目储水池容积</w:t>
            </w:r>
            <w:r>
              <w:rPr>
                <w:spacing w:val="-32"/>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9"/>
                <w:position w:val="8"/>
                <w:sz w:val="15"/>
                <w:szCs w:val="15"/>
              </w:rPr>
              <w:t xml:space="preserve"> </w:t>
            </w:r>
            <w:r>
              <w:rPr>
                <w:spacing w:val="-3"/>
              </w:rPr>
              <w:t>，可确保发生连续降雨</w:t>
            </w:r>
            <w:r>
              <w:rPr>
                <w:spacing w:val="-51"/>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4"/>
              </w:rPr>
              <w:t xml:space="preserve"> </w:t>
            </w:r>
            <w:r>
              <w:rPr>
                <w:spacing w:val="-3"/>
              </w:rPr>
              <w:t>天情况下废水不外排</w:t>
            </w:r>
            <w:r>
              <w:rPr>
                <w:spacing w:val="-4"/>
              </w:rPr>
              <w:t>。非雨天存储的处</w:t>
            </w:r>
            <w:r>
              <w:t xml:space="preserve"> </w:t>
            </w:r>
            <w:r>
              <w:rPr>
                <w:spacing w:val="-2"/>
              </w:rPr>
              <w:t>理达标的生活污水和食堂废水可回用于升压站绿化。本项目升压站区绿化面积为</w:t>
            </w:r>
            <w:r>
              <w:rPr>
                <w:spacing w:val="-28"/>
              </w:rPr>
              <w:t xml:space="preserve"> </w:t>
            </w:r>
            <w:r>
              <w:rPr>
                <w:rFonts w:ascii="Times New Roman" w:hAnsi="Times New Roman" w:eastAsia="Times New Roman" w:cs="Times New Roman"/>
                <w:spacing w:val="-2"/>
              </w:rPr>
              <w:t>1000m</w:t>
            </w:r>
            <w:r>
              <w:rPr>
                <w:rFonts w:ascii="Times New Roman" w:hAnsi="Times New Roman" w:eastAsia="Times New Roman" w:cs="Times New Roman"/>
                <w:spacing w:val="-2"/>
                <w:position w:val="7"/>
                <w:sz w:val="15"/>
                <w:szCs w:val="15"/>
              </w:rPr>
              <w:t>2</w:t>
            </w:r>
            <w:r>
              <w:rPr>
                <w:spacing w:val="-2"/>
              </w:rPr>
              <w:t>，</w:t>
            </w:r>
            <w:r>
              <w:t xml:space="preserve"> </w:t>
            </w:r>
            <w:r>
              <w:rPr>
                <w:spacing w:val="-3"/>
              </w:rPr>
              <w:t>项目非雨天绿化需水量</w:t>
            </w:r>
            <w:r>
              <w:rPr>
                <w:spacing w:val="-50"/>
              </w:rPr>
              <w:t xml:space="preserve"> </w:t>
            </w:r>
            <w:r>
              <w:rPr>
                <w:rFonts w:ascii="Times New Roman" w:hAnsi="Times New Roman" w:eastAsia="Times New Roman" w:cs="Times New Roman"/>
                <w:spacing w:val="-3"/>
              </w:rPr>
              <w:t>3m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spacing w:val="-3"/>
              </w:rPr>
              <w:t>，绿化需水量大于生活污水产生量。因此，项目生活污水</w:t>
            </w:r>
            <w:r>
              <w:rPr>
                <w:spacing w:val="-4"/>
              </w:rPr>
              <w:t>可以</w:t>
            </w:r>
            <w:r>
              <w:t xml:space="preserve"> </w:t>
            </w:r>
            <w:r>
              <w:rPr>
                <w:spacing w:val="-1"/>
              </w:rPr>
              <w:t>全部用于绿化，不外排是可行的。</w:t>
            </w:r>
          </w:p>
          <w:p w14:paraId="455418AF">
            <w:pPr>
              <w:pStyle w:val="6"/>
              <w:spacing w:before="37" w:line="219" w:lineRule="auto"/>
              <w:ind w:left="588"/>
            </w:pPr>
            <w:r>
              <w:rPr>
                <w:rFonts w:ascii="Times New Roman" w:hAnsi="Times New Roman" w:eastAsia="Times New Roman" w:cs="Times New Roman"/>
                <w:spacing w:val="-1"/>
              </w:rPr>
              <w:t>3</w:t>
            </w:r>
            <w:r>
              <w:rPr>
                <w:spacing w:val="-1"/>
              </w:rPr>
              <w:t>）对饮用水水源保护区影响分析</w:t>
            </w:r>
          </w:p>
          <w:p w14:paraId="2AC82748">
            <w:pPr>
              <w:pStyle w:val="6"/>
              <w:spacing w:before="180" w:line="219" w:lineRule="auto"/>
              <w:ind w:left="591"/>
            </w:pPr>
            <w:r>
              <w:rPr>
                <w:spacing w:val="1"/>
              </w:rPr>
              <w:t>项目光伏区箱变为密闭系统，正常运转时无固体废物产生。</w:t>
            </w:r>
            <w:r>
              <w:t>运行期间，定期对箱变进</w:t>
            </w:r>
          </w:p>
        </w:tc>
      </w:tr>
    </w:tbl>
    <w:p w14:paraId="3E9EEDA3">
      <w:pPr>
        <w:rPr>
          <w:rFonts w:ascii="Arial"/>
          <w:sz w:val="21"/>
        </w:rPr>
      </w:pPr>
    </w:p>
    <w:p w14:paraId="605DA77C">
      <w:pPr>
        <w:rPr>
          <w:rFonts w:ascii="Arial" w:hAnsi="Arial" w:eastAsia="Arial" w:cs="Arial"/>
          <w:sz w:val="21"/>
          <w:szCs w:val="21"/>
        </w:rPr>
        <w:sectPr>
          <w:footerReference r:id="rId132" w:type="default"/>
          <w:pgSz w:w="11907" w:h="16840"/>
          <w:pgMar w:top="1431" w:right="907" w:bottom="1278" w:left="907" w:header="0" w:footer="1116" w:gutter="0"/>
          <w:cols w:space="720" w:num="1"/>
        </w:sectPr>
      </w:pPr>
    </w:p>
    <w:p w14:paraId="09525502">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28A08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98" w:hRule="atLeast"/>
        </w:trPr>
        <w:tc>
          <w:tcPr>
            <w:tcW w:w="465" w:type="dxa"/>
            <w:tcBorders>
              <w:right w:val="single" w:color="000000" w:sz="2" w:space="0"/>
            </w:tcBorders>
            <w:vAlign w:val="top"/>
          </w:tcPr>
          <w:p w14:paraId="56C5DB0D">
            <w:pPr>
              <w:rPr>
                <w:rFonts w:ascii="Arial"/>
                <w:sz w:val="21"/>
              </w:rPr>
            </w:pPr>
          </w:p>
        </w:tc>
        <w:tc>
          <w:tcPr>
            <w:tcW w:w="9612" w:type="dxa"/>
            <w:tcBorders>
              <w:left w:val="single" w:color="000000" w:sz="2" w:space="0"/>
            </w:tcBorders>
            <w:vAlign w:val="top"/>
          </w:tcPr>
          <w:p w14:paraId="485DFD34">
            <w:pPr>
              <w:pStyle w:val="6"/>
              <w:spacing w:before="41" w:line="345" w:lineRule="auto"/>
              <w:ind w:left="108" w:right="102" w:firstLine="2"/>
            </w:pPr>
            <w:r>
              <w:rPr>
                <w:spacing w:val="1"/>
              </w:rPr>
              <w:t>行维修产生少量的废变压器油，若产生滴、漏现象或散落在</w:t>
            </w:r>
            <w:r>
              <w:t xml:space="preserve">地表容易被雨水径流带入水源 </w:t>
            </w:r>
            <w:r>
              <w:rPr>
                <w:spacing w:val="-1"/>
              </w:rPr>
              <w:t>保护区，影响水源保护区水质。</w:t>
            </w:r>
          </w:p>
          <w:p w14:paraId="598BF80A">
            <w:pPr>
              <w:pStyle w:val="6"/>
              <w:spacing w:before="36" w:line="354" w:lineRule="auto"/>
              <w:ind w:left="107" w:right="102" w:firstLine="480"/>
              <w:jc w:val="both"/>
            </w:pPr>
            <w:r>
              <w:t>每台箱变的变压器油用量少，每台箱变配有</w:t>
            </w:r>
            <w:r>
              <w:rPr>
                <w:spacing w:val="-30"/>
              </w:rPr>
              <w:t xml:space="preserve"> </w:t>
            </w:r>
            <w:r>
              <w:rPr>
                <w:rFonts w:ascii="Times New Roman" w:hAnsi="Times New Roman" w:eastAsia="Times New Roman" w:cs="Times New Roman"/>
              </w:rPr>
              <w:t xml:space="preserve">1 </w:t>
            </w:r>
            <w:r>
              <w:t xml:space="preserve">个事故油池，能防止油洒落在地面；而 </w:t>
            </w:r>
            <w:r>
              <w:rPr>
                <w:spacing w:val="1"/>
              </w:rPr>
              <w:t>且运行期间值班人员对箱变进行定期检查，能有效防止滴、漏现象发</w:t>
            </w:r>
            <w:r>
              <w:t xml:space="preserve">生。箱变检修维护期 </w:t>
            </w:r>
            <w:r>
              <w:rPr>
                <w:spacing w:val="1"/>
              </w:rPr>
              <w:t>间，少量的落地油均落在箱体内；由于光伏电站野外环境无法满足箱</w:t>
            </w:r>
            <w:r>
              <w:t xml:space="preserve">式变压器开箱维修环 </w:t>
            </w:r>
            <w:r>
              <w:rPr>
                <w:spacing w:val="1"/>
              </w:rPr>
              <w:t>境，因此若巡检发现箱式变压器故障时，由变压器厂家上门整机运走</w:t>
            </w:r>
            <w:r>
              <w:t xml:space="preserve">返厂修理，废变压器 </w:t>
            </w:r>
            <w:r>
              <w:rPr>
                <w:spacing w:val="-1"/>
              </w:rPr>
              <w:t>油交由有危险废物处置资质的单位进行处置。</w:t>
            </w:r>
          </w:p>
          <w:p w14:paraId="54BB2DAD">
            <w:pPr>
              <w:pStyle w:val="6"/>
              <w:spacing w:before="32" w:line="350" w:lineRule="auto"/>
              <w:ind w:left="107" w:right="102" w:firstLine="480"/>
              <w:jc w:val="both"/>
            </w:pPr>
            <w:r>
              <w:rPr>
                <w:spacing w:val="1"/>
              </w:rPr>
              <w:t>通过采取上述防治措施，加强运行管理和制定定期检查方案后，可有</w:t>
            </w:r>
            <w:r>
              <w:t xml:space="preserve">效避免运行维护 </w:t>
            </w:r>
            <w:r>
              <w:rPr>
                <w:spacing w:val="1"/>
              </w:rPr>
              <w:t>产生的废变压器油对周边地表水体水质的影响，对水源保护区取水的</w:t>
            </w:r>
            <w:r>
              <w:t xml:space="preserve">影响很小，在可接受 </w:t>
            </w:r>
            <w:r>
              <w:rPr>
                <w:spacing w:val="-3"/>
              </w:rPr>
              <w:t>范围内。</w:t>
            </w:r>
          </w:p>
          <w:p w14:paraId="7AF2F43C">
            <w:pPr>
              <w:pStyle w:val="6"/>
              <w:spacing w:before="35" w:line="220" w:lineRule="auto"/>
              <w:ind w:left="479"/>
            </w:pPr>
            <w:r>
              <w:rPr>
                <w:b/>
                <w:bCs/>
                <w:spacing w:val="-4"/>
              </w:rPr>
              <w:t>（</w:t>
            </w:r>
            <w:r>
              <w:rPr>
                <w:rFonts w:ascii="Times New Roman" w:hAnsi="Times New Roman" w:eastAsia="Times New Roman" w:cs="Times New Roman"/>
                <w:b/>
                <w:bCs/>
                <w:spacing w:val="-4"/>
              </w:rPr>
              <w:t>4</w:t>
            </w:r>
            <w:r>
              <w:rPr>
                <w:b/>
                <w:bCs/>
                <w:spacing w:val="-4"/>
              </w:rPr>
              <w:t>）声环境影响分析</w:t>
            </w:r>
          </w:p>
          <w:p w14:paraId="612B39B5">
            <w:pPr>
              <w:pStyle w:val="6"/>
              <w:spacing w:before="179" w:line="219" w:lineRule="auto"/>
              <w:ind w:left="587"/>
            </w:pPr>
            <w:r>
              <w:t>运行期噪声主要包括光伏场区箱变压器、逆变器</w:t>
            </w:r>
            <w:r>
              <w:rPr>
                <w:spacing w:val="-1"/>
              </w:rPr>
              <w:t>噪声及升压站设备噪声。</w:t>
            </w:r>
          </w:p>
          <w:p w14:paraId="794F6220">
            <w:pPr>
              <w:pStyle w:val="6"/>
              <w:spacing w:before="184" w:line="219" w:lineRule="auto"/>
              <w:ind w:left="606"/>
            </w:pPr>
            <w:r>
              <w:rPr>
                <w:rFonts w:ascii="Times New Roman" w:hAnsi="Times New Roman" w:eastAsia="Times New Roman" w:cs="Times New Roman"/>
                <w:spacing w:val="-5"/>
              </w:rPr>
              <w:t>1</w:t>
            </w:r>
            <w:r>
              <w:rPr>
                <w:spacing w:val="-5"/>
              </w:rPr>
              <w:t>）光伏场区</w:t>
            </w:r>
          </w:p>
          <w:p w14:paraId="4D4BCCEB">
            <w:pPr>
              <w:pStyle w:val="6"/>
              <w:spacing w:before="179" w:line="354" w:lineRule="auto"/>
              <w:ind w:left="106" w:right="102" w:firstLine="482"/>
            </w:pPr>
            <w:r>
              <w:rPr>
                <w:spacing w:val="1"/>
              </w:rPr>
              <w:t>光伏发电本身没有机械传动机构或运动部件，在太阳能转变成电</w:t>
            </w:r>
            <w:r>
              <w:t xml:space="preserve">能的过程中，光伏场 </w:t>
            </w:r>
            <w:r>
              <w:rPr>
                <w:spacing w:val="1"/>
              </w:rPr>
              <w:t>区噪音主要是通过逆变器将直流电转换为交流电过程中产生的噪声以及</w:t>
            </w:r>
            <w:r>
              <w:t>项目箱变产生的噪 声。逆变器和箱变在光伏场区分布较为分散，箱变均设置在集装箱</w:t>
            </w:r>
            <w:r>
              <w:rPr>
                <w:spacing w:val="-1"/>
              </w:rPr>
              <w:t>式房内，逆变器和箱变</w:t>
            </w:r>
            <w:r>
              <w:t xml:space="preserve"> </w:t>
            </w:r>
            <w:r>
              <w:rPr>
                <w:rFonts w:ascii="Times New Roman" w:hAnsi="Times New Roman" w:eastAsia="Times New Roman" w:cs="Times New Roman"/>
                <w:spacing w:val="-4"/>
              </w:rPr>
              <w:t>1m</w:t>
            </w:r>
            <w:r>
              <w:rPr>
                <w:rFonts w:ascii="Times New Roman" w:hAnsi="Times New Roman" w:eastAsia="Times New Roman" w:cs="Times New Roman"/>
                <w:spacing w:val="27"/>
                <w:w w:val="101"/>
              </w:rPr>
              <w:t xml:space="preserve"> </w:t>
            </w:r>
            <w:r>
              <w:rPr>
                <w:spacing w:val="-4"/>
              </w:rPr>
              <w:t>处噪声级一般在</w:t>
            </w:r>
            <w:r>
              <w:rPr>
                <w:spacing w:val="-49"/>
              </w:rPr>
              <w:t xml:space="preserve"> </w:t>
            </w:r>
            <w:r>
              <w:rPr>
                <w:rFonts w:ascii="Times New Roman" w:hAnsi="Times New Roman" w:eastAsia="Times New Roman" w:cs="Times New Roman"/>
                <w:spacing w:val="-4"/>
              </w:rPr>
              <w:t>50dB</w:t>
            </w:r>
            <w:r>
              <w:rPr>
                <w:spacing w:val="-4"/>
              </w:rPr>
              <w:t>（</w:t>
            </w:r>
            <w:r>
              <w:rPr>
                <w:rFonts w:ascii="Times New Roman" w:hAnsi="Times New Roman" w:eastAsia="Times New Roman" w:cs="Times New Roman"/>
                <w:spacing w:val="-4"/>
              </w:rPr>
              <w:t>A</w:t>
            </w:r>
            <w:r>
              <w:rPr>
                <w:spacing w:val="-4"/>
              </w:rPr>
              <w:t>）左右。本次评价按最不利情况考虑，即有箱变和逆变器布置</w:t>
            </w:r>
            <w:r>
              <w:t xml:space="preserve"> </w:t>
            </w:r>
            <w:r>
              <w:rPr>
                <w:spacing w:val="-1"/>
              </w:rPr>
              <w:t>在同一位置，预测其噪声叠加后对环境的影响。预测结果见表</w:t>
            </w:r>
            <w:r>
              <w:rPr>
                <w:spacing w:val="-40"/>
              </w:rPr>
              <w:t xml:space="preserve"> </w:t>
            </w:r>
            <w:r>
              <w:rPr>
                <w:rFonts w:ascii="Times New Roman" w:hAnsi="Times New Roman" w:eastAsia="Times New Roman" w:cs="Times New Roman"/>
                <w:spacing w:val="-1"/>
              </w:rPr>
              <w:t>4-9</w:t>
            </w:r>
            <w:r>
              <w:rPr>
                <w:spacing w:val="-1"/>
              </w:rPr>
              <w:t>。</w:t>
            </w:r>
          </w:p>
          <w:p w14:paraId="3B0F52AC">
            <w:pPr>
              <w:pStyle w:val="6"/>
              <w:spacing w:before="31" w:line="223" w:lineRule="auto"/>
              <w:ind w:left="1593"/>
              <w:rPr>
                <w:sz w:val="19"/>
                <w:szCs w:val="19"/>
              </w:rPr>
            </w:pPr>
            <w:r>
              <w:rPr>
                <w:b/>
                <w:bCs/>
                <w:spacing w:val="7"/>
                <w:sz w:val="19"/>
                <w:szCs w:val="19"/>
              </w:rPr>
              <w:t>表</w:t>
            </w:r>
            <w:r>
              <w:rPr>
                <w:spacing w:val="-34"/>
                <w:sz w:val="19"/>
                <w:szCs w:val="19"/>
              </w:rPr>
              <w:t xml:space="preserve"> </w:t>
            </w:r>
            <w:r>
              <w:rPr>
                <w:rFonts w:ascii="Times New Roman" w:hAnsi="Times New Roman" w:eastAsia="Times New Roman" w:cs="Times New Roman"/>
                <w:b/>
                <w:bCs/>
                <w:spacing w:val="7"/>
                <w:sz w:val="19"/>
                <w:szCs w:val="19"/>
              </w:rPr>
              <w:t xml:space="preserve">4-9    </w:t>
            </w:r>
            <w:r>
              <w:rPr>
                <w:b/>
                <w:bCs/>
                <w:spacing w:val="7"/>
                <w:sz w:val="19"/>
                <w:szCs w:val="19"/>
              </w:rPr>
              <w:t>光伏场区箱式变压器、逆变器噪声衰减计算结果</w:t>
            </w:r>
            <w:r>
              <w:rPr>
                <w:spacing w:val="7"/>
                <w:sz w:val="19"/>
                <w:szCs w:val="19"/>
              </w:rPr>
              <w:t xml:space="preserve"> </w:t>
            </w:r>
            <w:r>
              <w:rPr>
                <w:b/>
                <w:bCs/>
                <w:spacing w:val="7"/>
                <w:sz w:val="19"/>
                <w:szCs w:val="19"/>
              </w:rPr>
              <w:t>单位：</w:t>
            </w:r>
            <w:r>
              <w:rPr>
                <w:rFonts w:ascii="Times New Roman" w:hAnsi="Times New Roman" w:eastAsia="Times New Roman" w:cs="Times New Roman"/>
                <w:b/>
                <w:bCs/>
                <w:sz w:val="19"/>
                <w:szCs w:val="19"/>
              </w:rPr>
              <w:t>dB</w:t>
            </w:r>
            <w:r>
              <w:rPr>
                <w:b/>
                <w:bCs/>
                <w:spacing w:val="7"/>
                <w:sz w:val="19"/>
                <w:szCs w:val="19"/>
              </w:rPr>
              <w:t>（</w:t>
            </w:r>
            <w:r>
              <w:rPr>
                <w:rFonts w:ascii="Times New Roman" w:hAnsi="Times New Roman" w:eastAsia="Times New Roman" w:cs="Times New Roman"/>
                <w:b/>
                <w:bCs/>
                <w:spacing w:val="7"/>
                <w:sz w:val="19"/>
                <w:szCs w:val="19"/>
              </w:rPr>
              <w:t>A</w:t>
            </w:r>
            <w:r>
              <w:rPr>
                <w:b/>
                <w:bCs/>
                <w:spacing w:val="7"/>
                <w:sz w:val="19"/>
                <w:szCs w:val="19"/>
              </w:rPr>
              <w:t>）</w:t>
            </w:r>
          </w:p>
          <w:tbl>
            <w:tblPr>
              <w:tblStyle w:val="5"/>
              <w:tblW w:w="9391"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8"/>
              <w:gridCol w:w="1329"/>
              <w:gridCol w:w="915"/>
              <w:gridCol w:w="905"/>
              <w:gridCol w:w="1171"/>
              <w:gridCol w:w="1171"/>
              <w:gridCol w:w="1173"/>
              <w:gridCol w:w="1199"/>
            </w:tblGrid>
            <w:tr w14:paraId="1AC48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528" w:type="dxa"/>
                  <w:vMerge w:val="restart"/>
                  <w:tcBorders>
                    <w:bottom w:val="nil"/>
                  </w:tcBorders>
                  <w:vAlign w:val="top"/>
                </w:tcPr>
                <w:p w14:paraId="7650AB7D">
                  <w:pPr>
                    <w:pStyle w:val="6"/>
                    <w:spacing w:before="273" w:line="228" w:lineRule="auto"/>
                    <w:ind w:left="352"/>
                    <w:rPr>
                      <w:sz w:val="20"/>
                      <w:szCs w:val="20"/>
                    </w:rPr>
                  </w:pPr>
                  <w:r>
                    <w:rPr>
                      <w:b/>
                      <w:bCs/>
                      <w:spacing w:val="5"/>
                      <w:sz w:val="20"/>
                      <w:szCs w:val="20"/>
                    </w:rPr>
                    <w:t>声源名称</w:t>
                  </w:r>
                </w:p>
              </w:tc>
              <w:tc>
                <w:tcPr>
                  <w:tcW w:w="1329" w:type="dxa"/>
                  <w:vMerge w:val="restart"/>
                  <w:tcBorders>
                    <w:bottom w:val="nil"/>
                  </w:tcBorders>
                  <w:vAlign w:val="top"/>
                </w:tcPr>
                <w:p w14:paraId="104941F3">
                  <w:pPr>
                    <w:pStyle w:val="6"/>
                    <w:spacing w:before="273" w:line="228" w:lineRule="auto"/>
                    <w:ind w:left="255"/>
                    <w:rPr>
                      <w:sz w:val="20"/>
                      <w:szCs w:val="20"/>
                    </w:rPr>
                  </w:pPr>
                  <w:r>
                    <w:rPr>
                      <w:b/>
                      <w:bCs/>
                      <w:spacing w:val="4"/>
                      <w:sz w:val="20"/>
                      <w:szCs w:val="20"/>
                    </w:rPr>
                    <w:t>噪声强度</w:t>
                  </w:r>
                </w:p>
              </w:tc>
              <w:tc>
                <w:tcPr>
                  <w:tcW w:w="6534" w:type="dxa"/>
                  <w:gridSpan w:val="6"/>
                  <w:vAlign w:val="top"/>
                </w:tcPr>
                <w:p w14:paraId="76983368">
                  <w:pPr>
                    <w:pStyle w:val="6"/>
                    <w:spacing w:before="97" w:line="222" w:lineRule="auto"/>
                    <w:ind w:left="1796"/>
                    <w:rPr>
                      <w:sz w:val="20"/>
                      <w:szCs w:val="20"/>
                    </w:rPr>
                  </w:pPr>
                  <w:r>
                    <w:rPr>
                      <w:b/>
                      <w:bCs/>
                      <w:spacing w:val="8"/>
                      <w:sz w:val="20"/>
                      <w:szCs w:val="20"/>
                    </w:rPr>
                    <w:t>距声源不同距离处的噪声预测值</w:t>
                  </w:r>
                </w:p>
              </w:tc>
            </w:tr>
            <w:tr w14:paraId="2AD33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28" w:type="dxa"/>
                  <w:vMerge w:val="continue"/>
                  <w:tcBorders>
                    <w:top w:val="nil"/>
                  </w:tcBorders>
                  <w:vAlign w:val="top"/>
                </w:tcPr>
                <w:p w14:paraId="423FE79B">
                  <w:pPr>
                    <w:rPr>
                      <w:rFonts w:ascii="Arial"/>
                      <w:sz w:val="21"/>
                    </w:rPr>
                  </w:pPr>
                </w:p>
              </w:tc>
              <w:tc>
                <w:tcPr>
                  <w:tcW w:w="1329" w:type="dxa"/>
                  <w:vMerge w:val="continue"/>
                  <w:tcBorders>
                    <w:top w:val="nil"/>
                  </w:tcBorders>
                  <w:vAlign w:val="top"/>
                </w:tcPr>
                <w:p w14:paraId="687B0253">
                  <w:pPr>
                    <w:rPr>
                      <w:rFonts w:ascii="Arial"/>
                      <w:sz w:val="21"/>
                    </w:rPr>
                  </w:pPr>
                </w:p>
              </w:tc>
              <w:tc>
                <w:tcPr>
                  <w:tcW w:w="915" w:type="dxa"/>
                  <w:vAlign w:val="top"/>
                </w:tcPr>
                <w:p w14:paraId="346802EC">
                  <w:pPr>
                    <w:spacing w:before="133" w:line="192" w:lineRule="auto"/>
                    <w:ind w:left="31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5m</w:t>
                  </w:r>
                </w:p>
              </w:tc>
              <w:tc>
                <w:tcPr>
                  <w:tcW w:w="905" w:type="dxa"/>
                  <w:vAlign w:val="top"/>
                </w:tcPr>
                <w:p w14:paraId="27EDF36D">
                  <w:pPr>
                    <w:spacing w:before="130" w:line="195" w:lineRule="auto"/>
                    <w:ind w:left="27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10m</w:t>
                  </w:r>
                </w:p>
              </w:tc>
              <w:tc>
                <w:tcPr>
                  <w:tcW w:w="1171" w:type="dxa"/>
                  <w:vAlign w:val="top"/>
                </w:tcPr>
                <w:p w14:paraId="29F59FC9">
                  <w:pPr>
                    <w:spacing w:before="130" w:line="195" w:lineRule="auto"/>
                    <w:ind w:left="39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20m</w:t>
                  </w:r>
                </w:p>
              </w:tc>
              <w:tc>
                <w:tcPr>
                  <w:tcW w:w="1171" w:type="dxa"/>
                  <w:vAlign w:val="top"/>
                </w:tcPr>
                <w:p w14:paraId="673A8B88">
                  <w:pPr>
                    <w:spacing w:before="130" w:line="195" w:lineRule="auto"/>
                    <w:ind w:left="39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50m</w:t>
                  </w:r>
                </w:p>
              </w:tc>
              <w:tc>
                <w:tcPr>
                  <w:tcW w:w="1173" w:type="dxa"/>
                  <w:vAlign w:val="top"/>
                </w:tcPr>
                <w:p w14:paraId="6FEB1C0D">
                  <w:pPr>
                    <w:spacing w:before="130" w:line="195" w:lineRule="auto"/>
                    <w:ind w:left="35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100m</w:t>
                  </w:r>
                </w:p>
              </w:tc>
              <w:tc>
                <w:tcPr>
                  <w:tcW w:w="1199" w:type="dxa"/>
                  <w:vAlign w:val="top"/>
                </w:tcPr>
                <w:p w14:paraId="3781CA8E">
                  <w:pPr>
                    <w:spacing w:before="130" w:line="195" w:lineRule="auto"/>
                    <w:ind w:left="35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200m</w:t>
                  </w:r>
                </w:p>
              </w:tc>
            </w:tr>
            <w:tr w14:paraId="199D9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28" w:type="dxa"/>
                  <w:vAlign w:val="top"/>
                </w:tcPr>
                <w:p w14:paraId="6F45F3F2">
                  <w:pPr>
                    <w:pStyle w:val="6"/>
                    <w:spacing w:before="96" w:line="219" w:lineRule="auto"/>
                    <w:ind w:left="246"/>
                    <w:rPr>
                      <w:sz w:val="20"/>
                      <w:szCs w:val="20"/>
                    </w:rPr>
                  </w:pPr>
                  <w:r>
                    <w:rPr>
                      <w:spacing w:val="7"/>
                      <w:sz w:val="20"/>
                      <w:szCs w:val="20"/>
                    </w:rPr>
                    <w:t>箱式变压器</w:t>
                  </w:r>
                </w:p>
              </w:tc>
              <w:tc>
                <w:tcPr>
                  <w:tcW w:w="1329" w:type="dxa"/>
                  <w:vAlign w:val="top"/>
                </w:tcPr>
                <w:p w14:paraId="459BC080">
                  <w:pPr>
                    <w:spacing w:before="103" w:line="195" w:lineRule="auto"/>
                    <w:ind w:left="56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15" w:type="dxa"/>
                  <w:vAlign w:val="top"/>
                </w:tcPr>
                <w:p w14:paraId="54FC2A74">
                  <w:pPr>
                    <w:spacing w:before="10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36.4</w:t>
                  </w:r>
                </w:p>
              </w:tc>
              <w:tc>
                <w:tcPr>
                  <w:tcW w:w="905" w:type="dxa"/>
                  <w:vAlign w:val="top"/>
                </w:tcPr>
                <w:p w14:paraId="6813BCC0">
                  <w:pPr>
                    <w:spacing w:before="103"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71" w:type="dxa"/>
                  <w:vAlign w:val="top"/>
                </w:tcPr>
                <w:p w14:paraId="5C13B071">
                  <w:pPr>
                    <w:spacing w:before="103"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1171" w:type="dxa"/>
                  <w:vAlign w:val="top"/>
                </w:tcPr>
                <w:p w14:paraId="7CDE19A6">
                  <w:pPr>
                    <w:spacing w:before="103"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173" w:type="dxa"/>
                  <w:vAlign w:val="top"/>
                </w:tcPr>
                <w:p w14:paraId="3EF0F1A5">
                  <w:pPr>
                    <w:spacing w:before="103"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99" w:type="dxa"/>
                  <w:vAlign w:val="top"/>
                </w:tcPr>
                <w:p w14:paraId="1E1F63B1">
                  <w:pPr>
                    <w:spacing w:before="103"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79129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28" w:type="dxa"/>
                  <w:vAlign w:val="top"/>
                </w:tcPr>
                <w:p w14:paraId="7AFFE402">
                  <w:pPr>
                    <w:pStyle w:val="6"/>
                    <w:spacing w:before="95" w:line="220" w:lineRule="auto"/>
                    <w:ind w:left="453"/>
                    <w:rPr>
                      <w:sz w:val="20"/>
                      <w:szCs w:val="20"/>
                    </w:rPr>
                  </w:pPr>
                  <w:r>
                    <w:rPr>
                      <w:spacing w:val="7"/>
                      <w:sz w:val="20"/>
                      <w:szCs w:val="20"/>
                    </w:rPr>
                    <w:t>逆变器</w:t>
                  </w:r>
                </w:p>
              </w:tc>
              <w:tc>
                <w:tcPr>
                  <w:tcW w:w="1329" w:type="dxa"/>
                  <w:vAlign w:val="top"/>
                </w:tcPr>
                <w:p w14:paraId="0DCAC8E5">
                  <w:pPr>
                    <w:spacing w:before="104" w:line="195" w:lineRule="auto"/>
                    <w:ind w:left="56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15" w:type="dxa"/>
                  <w:vAlign w:val="top"/>
                </w:tcPr>
                <w:p w14:paraId="3EA17CF2">
                  <w:pPr>
                    <w:spacing w:before="10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36.4</w:t>
                  </w:r>
                </w:p>
              </w:tc>
              <w:tc>
                <w:tcPr>
                  <w:tcW w:w="905" w:type="dxa"/>
                  <w:vAlign w:val="top"/>
                </w:tcPr>
                <w:p w14:paraId="3245EA98">
                  <w:pPr>
                    <w:spacing w:before="104"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71" w:type="dxa"/>
                  <w:vAlign w:val="top"/>
                </w:tcPr>
                <w:p w14:paraId="4A38F68E">
                  <w:pPr>
                    <w:spacing w:before="104"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1171" w:type="dxa"/>
                  <w:vAlign w:val="top"/>
                </w:tcPr>
                <w:p w14:paraId="1AB0A1AD">
                  <w:pPr>
                    <w:spacing w:before="104"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173" w:type="dxa"/>
                  <w:vAlign w:val="top"/>
                </w:tcPr>
                <w:p w14:paraId="59988231">
                  <w:pPr>
                    <w:spacing w:before="104"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99" w:type="dxa"/>
                  <w:vAlign w:val="top"/>
                </w:tcPr>
                <w:p w14:paraId="38848762">
                  <w:pPr>
                    <w:spacing w:before="105"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4EB6F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528" w:type="dxa"/>
                  <w:vAlign w:val="top"/>
                </w:tcPr>
                <w:p w14:paraId="2ACAD973">
                  <w:pPr>
                    <w:pStyle w:val="6"/>
                    <w:spacing w:before="96" w:line="224" w:lineRule="auto"/>
                    <w:ind w:left="458"/>
                    <w:rPr>
                      <w:sz w:val="20"/>
                      <w:szCs w:val="20"/>
                    </w:rPr>
                  </w:pPr>
                  <w:r>
                    <w:rPr>
                      <w:spacing w:val="5"/>
                      <w:sz w:val="20"/>
                      <w:szCs w:val="20"/>
                    </w:rPr>
                    <w:t>叠加值</w:t>
                  </w:r>
                </w:p>
              </w:tc>
              <w:tc>
                <w:tcPr>
                  <w:tcW w:w="1329" w:type="dxa"/>
                  <w:vAlign w:val="top"/>
                </w:tcPr>
                <w:p w14:paraId="79E8EC5A">
                  <w:pPr>
                    <w:spacing w:before="106" w:line="195" w:lineRule="auto"/>
                    <w:ind w:left="56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915" w:type="dxa"/>
                  <w:vAlign w:val="top"/>
                </w:tcPr>
                <w:p w14:paraId="2B54FCE8">
                  <w:pPr>
                    <w:spacing w:before="106"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39.4</w:t>
                  </w:r>
                </w:p>
              </w:tc>
              <w:tc>
                <w:tcPr>
                  <w:tcW w:w="905" w:type="dxa"/>
                  <w:vAlign w:val="top"/>
                </w:tcPr>
                <w:p w14:paraId="425A967C">
                  <w:pPr>
                    <w:spacing w:before="106"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171" w:type="dxa"/>
                  <w:vAlign w:val="top"/>
                </w:tcPr>
                <w:p w14:paraId="5AA89D18">
                  <w:pPr>
                    <w:spacing w:before="106"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w:t>
                  </w:r>
                </w:p>
              </w:tc>
              <w:tc>
                <w:tcPr>
                  <w:tcW w:w="1171" w:type="dxa"/>
                  <w:vAlign w:val="top"/>
                </w:tcPr>
                <w:p w14:paraId="1A33217E">
                  <w:pPr>
                    <w:spacing w:before="106"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173" w:type="dxa"/>
                  <w:vAlign w:val="top"/>
                </w:tcPr>
                <w:p w14:paraId="06465302">
                  <w:pPr>
                    <w:spacing w:before="106"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199" w:type="dxa"/>
                  <w:vAlign w:val="top"/>
                </w:tcPr>
                <w:p w14:paraId="1016E9F2">
                  <w:pPr>
                    <w:spacing w:before="109" w:line="192" w:lineRule="auto"/>
                    <w:ind w:left="55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bl>
          <w:p w14:paraId="26516C10">
            <w:pPr>
              <w:pStyle w:val="6"/>
              <w:spacing w:before="35" w:line="353" w:lineRule="auto"/>
              <w:ind w:left="112" w:right="100" w:firstLine="475"/>
            </w:pPr>
            <w:r>
              <w:rPr>
                <w:spacing w:val="1"/>
              </w:rPr>
              <w:t>根据上表预测结果显示，在最不利的情况下（箱变和逆变器布置在同</w:t>
            </w:r>
            <w:r>
              <w:t xml:space="preserve">一位置）在距离 </w:t>
            </w:r>
            <w:r>
              <w:rPr>
                <w:spacing w:val="-1"/>
              </w:rPr>
              <w:t>声源</w:t>
            </w:r>
            <w:r>
              <w:rPr>
                <w:spacing w:val="-32"/>
              </w:rPr>
              <w:t xml:space="preserve"> </w:t>
            </w:r>
            <w:r>
              <w:rPr>
                <w:rFonts w:ascii="Times New Roman" w:hAnsi="Times New Roman" w:eastAsia="Times New Roman" w:cs="Times New Roman"/>
                <w:spacing w:val="-1"/>
              </w:rPr>
              <w:t>1m</w:t>
            </w:r>
            <w:r>
              <w:rPr>
                <w:rFonts w:ascii="Times New Roman" w:hAnsi="Times New Roman" w:eastAsia="Times New Roman" w:cs="Times New Roman"/>
                <w:spacing w:val="17"/>
              </w:rPr>
              <w:t xml:space="preserve"> </w:t>
            </w:r>
            <w:r>
              <w:rPr>
                <w:spacing w:val="-1"/>
              </w:rPr>
              <w:t>处的噪声叠加值为</w:t>
            </w:r>
            <w:r>
              <w:rPr>
                <w:spacing w:val="-48"/>
              </w:rPr>
              <w:t xml:space="preserve"> </w:t>
            </w:r>
            <w:r>
              <w:rPr>
                <w:rFonts w:ascii="Times New Roman" w:hAnsi="Times New Roman" w:eastAsia="Times New Roman" w:cs="Times New Roman"/>
                <w:spacing w:val="-1"/>
              </w:rPr>
              <w:t>53dB</w:t>
            </w:r>
            <w:r>
              <w:rPr>
                <w:spacing w:val="-1"/>
              </w:rPr>
              <w:t>（</w:t>
            </w:r>
            <w:r>
              <w:rPr>
                <w:rFonts w:ascii="Times New Roman" w:hAnsi="Times New Roman" w:eastAsia="Times New Roman" w:cs="Times New Roman"/>
                <w:spacing w:val="-1"/>
              </w:rPr>
              <w:t>A</w:t>
            </w:r>
            <w:r>
              <w:rPr>
                <w:spacing w:val="9"/>
              </w:rPr>
              <w:t>），</w:t>
            </w:r>
            <w:r>
              <w:rPr>
                <w:spacing w:val="-1"/>
              </w:rPr>
              <w:t>昼间能满足《工业企业厂界环境噪声排放标准》</w:t>
            </w:r>
            <w:r>
              <w:t xml:space="preserve"> </w:t>
            </w: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12348-2008</w:t>
            </w:r>
            <w:r>
              <w:rPr>
                <w:spacing w:val="1"/>
              </w:rPr>
              <w:t>）</w:t>
            </w:r>
            <w:r>
              <w:rPr>
                <w:rFonts w:ascii="Times New Roman" w:hAnsi="Times New Roman" w:eastAsia="Times New Roman" w:cs="Times New Roman"/>
                <w:spacing w:val="1"/>
              </w:rPr>
              <w:t xml:space="preserve">1 </w:t>
            </w:r>
            <w:r>
              <w:rPr>
                <w:spacing w:val="1"/>
              </w:rPr>
              <w:t>类标准要求，项目逆变器及箱式变压器夜间不</w:t>
            </w:r>
            <w:r>
              <w:t xml:space="preserve">工作，对周边声环境影 </w:t>
            </w:r>
            <w:r>
              <w:rPr>
                <w:spacing w:val="-4"/>
              </w:rPr>
              <w:t>响较小。</w:t>
            </w:r>
          </w:p>
          <w:p w14:paraId="0D253EE1">
            <w:pPr>
              <w:pStyle w:val="6"/>
              <w:spacing w:before="31" w:line="220" w:lineRule="auto"/>
              <w:ind w:left="583"/>
            </w:pPr>
            <w:r>
              <w:rPr>
                <w:rFonts w:ascii="Times New Roman" w:hAnsi="Times New Roman" w:eastAsia="Times New Roman" w:cs="Times New Roman"/>
                <w:spacing w:val="-1"/>
              </w:rPr>
              <w:t>2</w:t>
            </w:r>
            <w:r>
              <w:rPr>
                <w:spacing w:val="-1"/>
              </w:rPr>
              <w:t>）升压站噪声影响分析</w:t>
            </w:r>
          </w:p>
          <w:p w14:paraId="2AE90B3E">
            <w:pPr>
              <w:pStyle w:val="6"/>
              <w:spacing w:before="182" w:line="217" w:lineRule="auto"/>
              <w:ind w:left="586"/>
            </w:pPr>
            <w:r>
              <w:rPr>
                <w:spacing w:val="-3"/>
              </w:rPr>
              <w:t>①噪声源</w:t>
            </w:r>
          </w:p>
          <w:p w14:paraId="7EC1E881">
            <w:pPr>
              <w:pStyle w:val="6"/>
              <w:spacing w:before="185" w:line="219" w:lineRule="auto"/>
              <w:ind w:left="587"/>
            </w:pPr>
            <w:r>
              <w:rPr>
                <w:spacing w:val="-2"/>
              </w:rPr>
              <w:t>拟建</w:t>
            </w:r>
            <w:r>
              <w:rPr>
                <w:spacing w:val="-54"/>
              </w:rPr>
              <w:t xml:space="preserve"> </w:t>
            </w:r>
            <w:r>
              <w:rPr>
                <w:rFonts w:ascii="Times New Roman" w:hAnsi="Times New Roman" w:eastAsia="Times New Roman" w:cs="Times New Roman"/>
                <w:spacing w:val="-2"/>
              </w:rPr>
              <w:t xml:space="preserve">220kV </w:t>
            </w:r>
            <w:r>
              <w:rPr>
                <w:spacing w:val="-2"/>
              </w:rPr>
              <w:t>升压站投产运营期的噪声源主要来自升压站区的主变压器、</w:t>
            </w:r>
            <w:r>
              <w:rPr>
                <w:rFonts w:ascii="Times New Roman" w:hAnsi="Times New Roman" w:eastAsia="Times New Roman" w:cs="Times New Roman"/>
                <w:spacing w:val="-2"/>
              </w:rPr>
              <w:t>SVG</w:t>
            </w:r>
            <w:r>
              <w:rPr>
                <w:rFonts w:ascii="Times New Roman" w:hAnsi="Times New Roman" w:eastAsia="Times New Roman" w:cs="Times New Roman"/>
                <w:spacing w:val="-3"/>
              </w:rPr>
              <w:t xml:space="preserve"> </w:t>
            </w:r>
            <w:r>
              <w:rPr>
                <w:spacing w:val="-3"/>
              </w:rPr>
              <w:t>装置和轴</w:t>
            </w:r>
          </w:p>
        </w:tc>
      </w:tr>
    </w:tbl>
    <w:p w14:paraId="11573300">
      <w:pPr>
        <w:rPr>
          <w:rFonts w:ascii="Arial"/>
          <w:sz w:val="21"/>
        </w:rPr>
      </w:pPr>
    </w:p>
    <w:p w14:paraId="708C0802">
      <w:pPr>
        <w:rPr>
          <w:rFonts w:ascii="Arial" w:hAnsi="Arial" w:eastAsia="Arial" w:cs="Arial"/>
          <w:sz w:val="21"/>
          <w:szCs w:val="21"/>
        </w:rPr>
        <w:sectPr>
          <w:footerReference r:id="rId133" w:type="default"/>
          <w:pgSz w:w="11907" w:h="16840"/>
          <w:pgMar w:top="1431" w:right="907" w:bottom="1278" w:left="907" w:header="0" w:footer="1116" w:gutter="0"/>
          <w:cols w:space="720" w:num="1"/>
        </w:sectPr>
      </w:pPr>
    </w:p>
    <w:p w14:paraId="0EAA5191">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6969D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0" w:hRule="atLeast"/>
        </w:trPr>
        <w:tc>
          <w:tcPr>
            <w:tcW w:w="465" w:type="dxa"/>
            <w:tcBorders>
              <w:right w:val="single" w:color="000000" w:sz="2" w:space="0"/>
            </w:tcBorders>
            <w:vAlign w:val="top"/>
          </w:tcPr>
          <w:p w14:paraId="34139B23">
            <w:pPr>
              <w:rPr>
                <w:rFonts w:ascii="Arial"/>
                <w:sz w:val="21"/>
              </w:rPr>
            </w:pPr>
          </w:p>
        </w:tc>
        <w:tc>
          <w:tcPr>
            <w:tcW w:w="9612" w:type="dxa"/>
            <w:tcBorders>
              <w:left w:val="single" w:color="000000" w:sz="2" w:space="0"/>
            </w:tcBorders>
            <w:vAlign w:val="top"/>
          </w:tcPr>
          <w:p w14:paraId="58E9D9C9">
            <w:pPr>
              <w:pStyle w:val="6"/>
              <w:spacing w:before="45" w:line="354" w:lineRule="auto"/>
              <w:ind w:left="108" w:right="102"/>
            </w:pPr>
            <w:r>
              <w:rPr>
                <w:spacing w:val="17"/>
              </w:rPr>
              <w:t>流风机等设备运行时所产生的噪声</w:t>
            </w:r>
            <w:r>
              <w:rPr>
                <w:spacing w:val="-62"/>
              </w:rPr>
              <w:t xml:space="preserve"> </w:t>
            </w:r>
            <w:r>
              <w:rPr>
                <w:spacing w:val="17"/>
              </w:rPr>
              <w:t>，本项</w:t>
            </w:r>
            <w:r>
              <w:rPr>
                <w:spacing w:val="-38"/>
              </w:rPr>
              <w:t xml:space="preserve"> </w:t>
            </w:r>
            <w:r>
              <w:rPr>
                <w:spacing w:val="17"/>
              </w:rPr>
              <w:t>目所用主变压器（户外布置）</w:t>
            </w:r>
            <w:r>
              <w:rPr>
                <w:spacing w:val="-53"/>
              </w:rPr>
              <w:t xml:space="preserve"> </w:t>
            </w:r>
            <w:r>
              <w:rPr>
                <w:spacing w:val="17"/>
              </w:rPr>
              <w:t>为</w:t>
            </w:r>
            <w:r>
              <w:rPr>
                <w:spacing w:val="16"/>
              </w:rPr>
              <w:t xml:space="preserve"> </w:t>
            </w:r>
            <w:r>
              <w:rPr>
                <w:rFonts w:ascii="Times New Roman" w:hAnsi="Times New Roman" w:eastAsia="Times New Roman" w:cs="Times New Roman"/>
                <w:spacing w:val="16"/>
              </w:rPr>
              <w:t>1#</w:t>
            </w:r>
            <w:r>
              <w:rPr>
                <w:rFonts w:ascii="Times New Roman" w:hAnsi="Times New Roman" w:eastAsia="Times New Roman" w:cs="Times New Roman"/>
                <w:spacing w:val="-22"/>
              </w:rPr>
              <w:t xml:space="preserve"> </w:t>
            </w:r>
            <w:r>
              <w:rPr>
                <w:spacing w:val="16"/>
              </w:rPr>
              <w:t>主变</w:t>
            </w:r>
            <w:r>
              <w:t xml:space="preserve"> </w:t>
            </w:r>
            <w:r>
              <w:rPr>
                <w:rFonts w:ascii="Times New Roman" w:hAnsi="Times New Roman" w:eastAsia="Times New Roman" w:cs="Times New Roman"/>
              </w:rPr>
              <w:t>SFZ18-300000/220GY</w:t>
            </w:r>
            <w:r>
              <w:rPr>
                <w:rFonts w:ascii="Times New Roman" w:hAnsi="Times New Roman" w:eastAsia="Times New Roman" w:cs="Times New Roman"/>
                <w:spacing w:val="-12"/>
              </w:rPr>
              <w:t xml:space="preserve"> </w:t>
            </w:r>
            <w:r>
              <w:t>三相双绕组有载调压变压器和</w:t>
            </w:r>
            <w:r>
              <w:rPr>
                <w:rFonts w:ascii="Times New Roman" w:hAnsi="Times New Roman" w:eastAsia="Times New Roman" w:cs="Times New Roman"/>
              </w:rPr>
              <w:t>2#</w:t>
            </w:r>
            <w:r>
              <w:t>主变</w:t>
            </w:r>
            <w:r>
              <w:rPr>
                <w:spacing w:val="-67"/>
              </w:rPr>
              <w:t xml:space="preserve"> </w:t>
            </w:r>
            <w:r>
              <w:rPr>
                <w:rFonts w:ascii="Times New Roman" w:hAnsi="Times New Roman" w:eastAsia="Times New Roman" w:cs="Times New Roman"/>
              </w:rPr>
              <w:t>SFZ20-200</w:t>
            </w:r>
            <w:r>
              <w:rPr>
                <w:rFonts w:ascii="Times New Roman" w:hAnsi="Times New Roman" w:eastAsia="Times New Roman" w:cs="Times New Roman"/>
                <w:spacing w:val="-1"/>
              </w:rPr>
              <w:t>000/220GY</w:t>
            </w:r>
            <w:r>
              <w:rPr>
                <w:rFonts w:ascii="Times New Roman" w:hAnsi="Times New Roman" w:eastAsia="Times New Roman" w:cs="Times New Roman"/>
                <w:spacing w:val="-13"/>
              </w:rPr>
              <w:t xml:space="preserve"> </w:t>
            </w:r>
            <w:r>
              <w:rPr>
                <w:spacing w:val="-1"/>
              </w:rPr>
              <w:t>三相双绕</w:t>
            </w:r>
            <w:r>
              <w:t xml:space="preserve"> </w:t>
            </w:r>
            <w:r>
              <w:rPr>
                <w:spacing w:val="27"/>
              </w:rPr>
              <w:t>组有载调压变压器</w:t>
            </w:r>
            <w:r>
              <w:rPr>
                <w:spacing w:val="-53"/>
              </w:rPr>
              <w:t xml:space="preserve"> </w:t>
            </w:r>
            <w:r>
              <w:rPr>
                <w:spacing w:val="27"/>
              </w:rPr>
              <w:t>，</w:t>
            </w:r>
            <w:r>
              <w:rPr>
                <w:spacing w:val="-72"/>
              </w:rPr>
              <w:t xml:space="preserve"> </w:t>
            </w:r>
            <w:r>
              <w:rPr>
                <w:spacing w:val="27"/>
              </w:rPr>
              <w:t>均属于低噪声变压器</w:t>
            </w:r>
            <w:r>
              <w:rPr>
                <w:spacing w:val="-54"/>
              </w:rPr>
              <w:t xml:space="preserve"> </w:t>
            </w:r>
            <w:r>
              <w:rPr>
                <w:spacing w:val="27"/>
              </w:rPr>
              <w:t>，</w:t>
            </w:r>
            <w:r>
              <w:rPr>
                <w:spacing w:val="-71"/>
              </w:rPr>
              <w:t xml:space="preserve"> </w:t>
            </w:r>
            <w:r>
              <w:rPr>
                <w:spacing w:val="27"/>
              </w:rPr>
              <w:t>参考《</w:t>
            </w:r>
            <w:r>
              <w:rPr>
                <w:spacing w:val="-48"/>
              </w:rPr>
              <w:t xml:space="preserve"> </w:t>
            </w:r>
            <w:r>
              <w:rPr>
                <w:spacing w:val="27"/>
              </w:rPr>
              <w:t>变电站噪声控制技术导则》</w:t>
            </w:r>
            <w:r>
              <w:t xml:space="preserve"> </w:t>
            </w:r>
            <w:r>
              <w:rPr>
                <w:spacing w:val="-1"/>
              </w:rPr>
              <w:t>（</w:t>
            </w:r>
            <w:r>
              <w:rPr>
                <w:rFonts w:ascii="Times New Roman" w:hAnsi="Times New Roman" w:eastAsia="Times New Roman" w:cs="Times New Roman"/>
                <w:spacing w:val="-1"/>
              </w:rPr>
              <w:t>DL/T1518-2016</w:t>
            </w:r>
            <w:r>
              <w:rPr>
                <w:spacing w:val="1"/>
              </w:rPr>
              <w:t>），</w:t>
            </w:r>
            <w:r>
              <w:rPr>
                <w:rFonts w:ascii="Times New Roman" w:hAnsi="Times New Roman" w:eastAsia="Times New Roman" w:cs="Times New Roman"/>
                <w:spacing w:val="-1"/>
              </w:rPr>
              <w:t>220kV</w:t>
            </w:r>
            <w:r>
              <w:rPr>
                <w:rFonts w:ascii="Times New Roman" w:hAnsi="Times New Roman" w:eastAsia="Times New Roman" w:cs="Times New Roman"/>
                <w:spacing w:val="16"/>
              </w:rPr>
              <w:t xml:space="preserve"> </w:t>
            </w:r>
            <w:r>
              <w:rPr>
                <w:spacing w:val="-1"/>
              </w:rPr>
              <w:t>油浸式变压器距</w:t>
            </w:r>
            <w:r>
              <w:rPr>
                <w:spacing w:val="-32"/>
              </w:rPr>
              <w:t xml:space="preserve"> </w:t>
            </w:r>
            <w:r>
              <w:rPr>
                <w:rFonts w:ascii="Times New Roman" w:hAnsi="Times New Roman" w:eastAsia="Times New Roman" w:cs="Times New Roman"/>
                <w:spacing w:val="-2"/>
              </w:rPr>
              <w:t xml:space="preserve">1m </w:t>
            </w:r>
            <w:r>
              <w:rPr>
                <w:spacing w:val="-2"/>
              </w:rPr>
              <w:t>处噪声源强为</w:t>
            </w:r>
            <w:r>
              <w:rPr>
                <w:spacing w:val="-50"/>
              </w:rPr>
              <w:t xml:space="preserve"> </w:t>
            </w:r>
            <w:r>
              <w:rPr>
                <w:rFonts w:ascii="Times New Roman" w:hAnsi="Times New Roman" w:eastAsia="Times New Roman" w:cs="Times New Roman"/>
                <w:spacing w:val="-2"/>
              </w:rPr>
              <w:t>63.7dB</w:t>
            </w:r>
            <w:r>
              <w:rPr>
                <w:spacing w:val="-2"/>
              </w:rPr>
              <w:t>（</w:t>
            </w:r>
            <w:r>
              <w:rPr>
                <w:rFonts w:ascii="Times New Roman" w:hAnsi="Times New Roman" w:eastAsia="Times New Roman" w:cs="Times New Roman"/>
                <w:spacing w:val="-2"/>
              </w:rPr>
              <w:t>A</w:t>
            </w:r>
            <w:r>
              <w:rPr>
                <w:spacing w:val="-2"/>
              </w:rPr>
              <w:t>）。根据建设方</w:t>
            </w:r>
            <w:r>
              <w:t xml:space="preserve"> </w:t>
            </w:r>
            <w:r>
              <w:rPr>
                <w:spacing w:val="-2"/>
              </w:rPr>
              <w:t>提供资料，</w:t>
            </w:r>
            <w:r>
              <w:rPr>
                <w:rFonts w:ascii="Times New Roman" w:hAnsi="Times New Roman" w:eastAsia="Times New Roman" w:cs="Times New Roman"/>
                <w:spacing w:val="-2"/>
              </w:rPr>
              <w:t xml:space="preserve">SVG </w:t>
            </w:r>
            <w:r>
              <w:rPr>
                <w:spacing w:val="-2"/>
              </w:rPr>
              <w:t>装置采取消声措施后</w:t>
            </w:r>
            <w:r>
              <w:rPr>
                <w:spacing w:val="-31"/>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15"/>
              </w:rPr>
              <w:t xml:space="preserve"> </w:t>
            </w:r>
            <w:r>
              <w:rPr>
                <w:spacing w:val="-2"/>
              </w:rPr>
              <w:t>处噪声源强约为</w:t>
            </w:r>
            <w:r>
              <w:rPr>
                <w:spacing w:val="-51"/>
              </w:rPr>
              <w:t xml:space="preserve"> </w:t>
            </w:r>
            <w:r>
              <w:rPr>
                <w:rFonts w:ascii="Times New Roman" w:hAnsi="Times New Roman" w:eastAsia="Times New Roman" w:cs="Times New Roman"/>
                <w:spacing w:val="-2"/>
              </w:rPr>
              <w:t>70dB</w:t>
            </w:r>
            <w:r>
              <w:rPr>
                <w:spacing w:val="-2"/>
              </w:rPr>
              <w:t>（</w:t>
            </w:r>
            <w:r>
              <w:rPr>
                <w:rFonts w:ascii="Times New Roman" w:hAnsi="Times New Roman" w:eastAsia="Times New Roman" w:cs="Times New Roman"/>
                <w:spacing w:val="-2"/>
              </w:rPr>
              <w:t>A</w:t>
            </w:r>
            <w:r>
              <w:rPr>
                <w:spacing w:val="9"/>
              </w:rPr>
              <w:t>），</w:t>
            </w:r>
            <w:r>
              <w:rPr>
                <w:spacing w:val="-2"/>
              </w:rPr>
              <w:t>主要噪声源强情况</w:t>
            </w:r>
            <w:r>
              <w:t xml:space="preserve"> </w:t>
            </w:r>
            <w:r>
              <w:rPr>
                <w:spacing w:val="-3"/>
              </w:rPr>
              <w:t>见表</w:t>
            </w:r>
            <w:r>
              <w:rPr>
                <w:spacing w:val="-52"/>
              </w:rPr>
              <w:t xml:space="preserve"> </w:t>
            </w:r>
            <w:r>
              <w:rPr>
                <w:rFonts w:ascii="Times New Roman" w:hAnsi="Times New Roman" w:eastAsia="Times New Roman" w:cs="Times New Roman"/>
                <w:spacing w:val="-3"/>
              </w:rPr>
              <w:t>4-10</w:t>
            </w:r>
            <w:r>
              <w:rPr>
                <w:spacing w:val="-3"/>
              </w:rPr>
              <w:t>。</w:t>
            </w:r>
          </w:p>
          <w:p w14:paraId="2FDDA8A5">
            <w:pPr>
              <w:pStyle w:val="6"/>
              <w:spacing w:before="30" w:line="223" w:lineRule="auto"/>
              <w:ind w:left="1641"/>
              <w:rPr>
                <w:sz w:val="20"/>
                <w:szCs w:val="20"/>
              </w:rPr>
            </w:pPr>
            <w:r>
              <w:rPr>
                <w:b/>
                <w:bCs/>
                <w:spacing w:val="7"/>
                <w:sz w:val="20"/>
                <w:szCs w:val="20"/>
              </w:rPr>
              <w:t>表</w:t>
            </w:r>
            <w:r>
              <w:rPr>
                <w:spacing w:val="-40"/>
                <w:sz w:val="20"/>
                <w:szCs w:val="20"/>
              </w:rPr>
              <w:t xml:space="preserve"> </w:t>
            </w:r>
            <w:r>
              <w:rPr>
                <w:rFonts w:ascii="Times New Roman" w:hAnsi="Times New Roman" w:eastAsia="Times New Roman" w:cs="Times New Roman"/>
                <w:b/>
                <w:bCs/>
                <w:spacing w:val="7"/>
                <w:sz w:val="20"/>
                <w:szCs w:val="20"/>
              </w:rPr>
              <w:t xml:space="preserve">4-10    </w:t>
            </w:r>
            <w:r>
              <w:rPr>
                <w:b/>
                <w:bCs/>
                <w:spacing w:val="7"/>
                <w:sz w:val="20"/>
                <w:szCs w:val="20"/>
              </w:rPr>
              <w:t>项目主要噪声源强调查清单（室外声源）</w:t>
            </w:r>
            <w:r>
              <w:rPr>
                <w:spacing w:val="7"/>
                <w:sz w:val="20"/>
                <w:szCs w:val="20"/>
              </w:rPr>
              <w:t xml:space="preserve">  </w:t>
            </w:r>
            <w:r>
              <w:rPr>
                <w:b/>
                <w:bCs/>
                <w:spacing w:val="7"/>
                <w:sz w:val="20"/>
                <w:szCs w:val="20"/>
              </w:rPr>
              <w:t>单</w:t>
            </w:r>
            <w:r>
              <w:rPr>
                <w:b/>
                <w:bCs/>
                <w:spacing w:val="6"/>
                <w:sz w:val="20"/>
                <w:szCs w:val="20"/>
              </w:rPr>
              <w:t>位：</w:t>
            </w:r>
            <w:r>
              <w:rPr>
                <w:rFonts w:ascii="Times New Roman" w:hAnsi="Times New Roman" w:eastAsia="Times New Roman" w:cs="Times New Roman"/>
                <w:b/>
                <w:bCs/>
                <w:sz w:val="20"/>
                <w:szCs w:val="20"/>
              </w:rPr>
              <w:t>dB</w:t>
            </w:r>
            <w:r>
              <w:rPr>
                <w:b/>
                <w:bCs/>
                <w:spacing w:val="6"/>
                <w:sz w:val="20"/>
                <w:szCs w:val="20"/>
              </w:rPr>
              <w:t>（</w:t>
            </w:r>
            <w:r>
              <w:rPr>
                <w:rFonts w:ascii="Times New Roman" w:hAnsi="Times New Roman" w:eastAsia="Times New Roman" w:cs="Times New Roman"/>
                <w:b/>
                <w:bCs/>
                <w:spacing w:val="6"/>
                <w:sz w:val="20"/>
                <w:szCs w:val="20"/>
              </w:rPr>
              <w:t>A</w:t>
            </w:r>
            <w:r>
              <w:rPr>
                <w:b/>
                <w:bCs/>
                <w:spacing w:val="6"/>
                <w:sz w:val="20"/>
                <w:szCs w:val="20"/>
              </w:rPr>
              <w:t>）</w:t>
            </w:r>
          </w:p>
          <w:tbl>
            <w:tblPr>
              <w:tblStyle w:val="5"/>
              <w:tblW w:w="9386"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2"/>
              <w:gridCol w:w="1073"/>
              <w:gridCol w:w="2308"/>
              <w:gridCol w:w="983"/>
              <w:gridCol w:w="787"/>
              <w:gridCol w:w="580"/>
              <w:gridCol w:w="1137"/>
              <w:gridCol w:w="894"/>
              <w:gridCol w:w="652"/>
            </w:tblGrid>
            <w:tr w14:paraId="5AF07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2" w:type="dxa"/>
                  <w:vMerge w:val="restart"/>
                  <w:tcBorders>
                    <w:bottom w:val="nil"/>
                  </w:tcBorders>
                  <w:vAlign w:val="top"/>
                </w:tcPr>
                <w:p w14:paraId="1BF99B0C">
                  <w:pPr>
                    <w:pStyle w:val="6"/>
                    <w:spacing w:before="171" w:line="229" w:lineRule="auto"/>
                    <w:ind w:left="281"/>
                    <w:rPr>
                      <w:sz w:val="20"/>
                      <w:szCs w:val="20"/>
                    </w:rPr>
                  </w:pPr>
                  <w:r>
                    <w:rPr>
                      <w:spacing w:val="4"/>
                      <w:sz w:val="20"/>
                      <w:szCs w:val="20"/>
                    </w:rPr>
                    <w:t>位置</w:t>
                  </w:r>
                </w:p>
              </w:tc>
              <w:tc>
                <w:tcPr>
                  <w:tcW w:w="1073" w:type="dxa"/>
                  <w:vMerge w:val="restart"/>
                  <w:tcBorders>
                    <w:bottom w:val="nil"/>
                  </w:tcBorders>
                  <w:vAlign w:val="top"/>
                </w:tcPr>
                <w:p w14:paraId="0E5EF93E">
                  <w:pPr>
                    <w:pStyle w:val="6"/>
                    <w:spacing w:before="171" w:line="228" w:lineRule="auto"/>
                    <w:ind w:left="125"/>
                    <w:rPr>
                      <w:sz w:val="20"/>
                      <w:szCs w:val="20"/>
                    </w:rPr>
                  </w:pPr>
                  <w:r>
                    <w:rPr>
                      <w:spacing w:val="6"/>
                      <w:sz w:val="20"/>
                      <w:szCs w:val="20"/>
                    </w:rPr>
                    <w:t>声源名称</w:t>
                  </w:r>
                </w:p>
              </w:tc>
              <w:tc>
                <w:tcPr>
                  <w:tcW w:w="2308" w:type="dxa"/>
                  <w:vMerge w:val="restart"/>
                  <w:tcBorders>
                    <w:bottom w:val="nil"/>
                  </w:tcBorders>
                  <w:vAlign w:val="top"/>
                </w:tcPr>
                <w:p w14:paraId="03C4E958">
                  <w:pPr>
                    <w:pStyle w:val="6"/>
                    <w:spacing w:before="171" w:line="229" w:lineRule="auto"/>
                    <w:ind w:left="955"/>
                    <w:rPr>
                      <w:sz w:val="20"/>
                      <w:szCs w:val="20"/>
                    </w:rPr>
                  </w:pPr>
                  <w:r>
                    <w:rPr>
                      <w:spacing w:val="1"/>
                      <w:sz w:val="20"/>
                      <w:szCs w:val="20"/>
                    </w:rPr>
                    <w:t>型号</w:t>
                  </w:r>
                </w:p>
              </w:tc>
              <w:tc>
                <w:tcPr>
                  <w:tcW w:w="2350" w:type="dxa"/>
                  <w:gridSpan w:val="3"/>
                  <w:vAlign w:val="top"/>
                </w:tcPr>
                <w:p w14:paraId="1501C6E3">
                  <w:pPr>
                    <w:pStyle w:val="6"/>
                    <w:spacing w:before="34" w:line="218" w:lineRule="auto"/>
                    <w:ind w:left="447"/>
                    <w:rPr>
                      <w:rFonts w:ascii="Times New Roman" w:hAnsi="Times New Roman" w:eastAsia="Times New Roman" w:cs="Times New Roman"/>
                      <w:sz w:val="20"/>
                      <w:szCs w:val="20"/>
                    </w:rPr>
                  </w:pPr>
                  <w:r>
                    <w:rPr>
                      <w:spacing w:val="6"/>
                      <w:sz w:val="20"/>
                      <w:szCs w:val="20"/>
                    </w:rPr>
                    <w:t>空间相对位置</w:t>
                  </w:r>
                  <w:r>
                    <w:rPr>
                      <w:rFonts w:ascii="Times New Roman" w:hAnsi="Times New Roman" w:eastAsia="Times New Roman" w:cs="Times New Roman"/>
                      <w:spacing w:val="6"/>
                      <w:sz w:val="20"/>
                      <w:szCs w:val="20"/>
                    </w:rPr>
                    <w:t>/m</w:t>
                  </w:r>
                </w:p>
              </w:tc>
              <w:tc>
                <w:tcPr>
                  <w:tcW w:w="1137" w:type="dxa"/>
                  <w:vMerge w:val="restart"/>
                  <w:tcBorders>
                    <w:bottom w:val="nil"/>
                  </w:tcBorders>
                  <w:vAlign w:val="top"/>
                </w:tcPr>
                <w:p w14:paraId="11D69DE8">
                  <w:pPr>
                    <w:pStyle w:val="6"/>
                    <w:spacing w:before="52"/>
                    <w:ind w:left="269" w:right="147" w:hanging="110"/>
                    <w:rPr>
                      <w:rFonts w:ascii="Times New Roman" w:hAnsi="Times New Roman" w:eastAsia="Times New Roman" w:cs="Times New Roman"/>
                      <w:sz w:val="20"/>
                      <w:szCs w:val="20"/>
                    </w:rPr>
                  </w:pPr>
                  <w:r>
                    <w:rPr>
                      <w:spacing w:val="6"/>
                      <w:sz w:val="20"/>
                      <w:szCs w:val="20"/>
                    </w:rPr>
                    <w:t>声功率级</w:t>
                  </w:r>
                  <w:r>
                    <w:rPr>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c>
                <w:tcPr>
                  <w:tcW w:w="894" w:type="dxa"/>
                  <w:vMerge w:val="restart"/>
                  <w:tcBorders>
                    <w:bottom w:val="nil"/>
                  </w:tcBorders>
                  <w:vAlign w:val="top"/>
                </w:tcPr>
                <w:p w14:paraId="01A17F20">
                  <w:pPr>
                    <w:pStyle w:val="6"/>
                    <w:spacing w:before="34" w:line="234" w:lineRule="auto"/>
                    <w:ind w:left="139" w:right="129" w:firstLine="3"/>
                    <w:rPr>
                      <w:sz w:val="20"/>
                      <w:szCs w:val="20"/>
                    </w:rPr>
                  </w:pPr>
                  <w:r>
                    <w:rPr>
                      <w:spacing w:val="5"/>
                      <w:sz w:val="20"/>
                      <w:szCs w:val="20"/>
                    </w:rPr>
                    <w:t>声源控</w:t>
                  </w:r>
                  <w:r>
                    <w:rPr>
                      <w:sz w:val="20"/>
                      <w:szCs w:val="20"/>
                    </w:rPr>
                    <w:t xml:space="preserve"> </w:t>
                  </w:r>
                  <w:r>
                    <w:rPr>
                      <w:spacing w:val="6"/>
                      <w:sz w:val="20"/>
                      <w:szCs w:val="20"/>
                    </w:rPr>
                    <w:t>制措施</w:t>
                  </w:r>
                </w:p>
              </w:tc>
              <w:tc>
                <w:tcPr>
                  <w:tcW w:w="652" w:type="dxa"/>
                  <w:vMerge w:val="restart"/>
                  <w:tcBorders>
                    <w:bottom w:val="nil"/>
                  </w:tcBorders>
                  <w:vAlign w:val="top"/>
                </w:tcPr>
                <w:p w14:paraId="5563CB62">
                  <w:pPr>
                    <w:pStyle w:val="6"/>
                    <w:spacing w:before="34" w:line="234" w:lineRule="auto"/>
                    <w:ind w:left="129" w:right="116" w:hanging="9"/>
                    <w:rPr>
                      <w:sz w:val="20"/>
                      <w:szCs w:val="20"/>
                    </w:rPr>
                  </w:pPr>
                  <w:r>
                    <w:rPr>
                      <w:spacing w:val="4"/>
                      <w:sz w:val="20"/>
                      <w:szCs w:val="20"/>
                    </w:rPr>
                    <w:t>运行</w:t>
                  </w:r>
                  <w:r>
                    <w:rPr>
                      <w:sz w:val="20"/>
                      <w:szCs w:val="20"/>
                    </w:rPr>
                    <w:t xml:space="preserve"> </w:t>
                  </w:r>
                  <w:r>
                    <w:rPr>
                      <w:spacing w:val="-1"/>
                      <w:sz w:val="20"/>
                      <w:szCs w:val="20"/>
                    </w:rPr>
                    <w:t>时段</w:t>
                  </w:r>
                </w:p>
              </w:tc>
            </w:tr>
            <w:tr w14:paraId="2A8A0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972" w:type="dxa"/>
                  <w:vMerge w:val="continue"/>
                  <w:tcBorders>
                    <w:top w:val="nil"/>
                  </w:tcBorders>
                  <w:vAlign w:val="top"/>
                </w:tcPr>
                <w:p w14:paraId="051A0604">
                  <w:pPr>
                    <w:rPr>
                      <w:rFonts w:ascii="Arial"/>
                      <w:sz w:val="21"/>
                    </w:rPr>
                  </w:pPr>
                </w:p>
              </w:tc>
              <w:tc>
                <w:tcPr>
                  <w:tcW w:w="1073" w:type="dxa"/>
                  <w:vMerge w:val="continue"/>
                  <w:tcBorders>
                    <w:top w:val="nil"/>
                  </w:tcBorders>
                  <w:vAlign w:val="top"/>
                </w:tcPr>
                <w:p w14:paraId="3C746C85">
                  <w:pPr>
                    <w:rPr>
                      <w:rFonts w:ascii="Arial"/>
                      <w:sz w:val="21"/>
                    </w:rPr>
                  </w:pPr>
                </w:p>
              </w:tc>
              <w:tc>
                <w:tcPr>
                  <w:tcW w:w="2308" w:type="dxa"/>
                  <w:vMerge w:val="continue"/>
                  <w:tcBorders>
                    <w:top w:val="nil"/>
                  </w:tcBorders>
                  <w:vAlign w:val="top"/>
                </w:tcPr>
                <w:p w14:paraId="2CD3A9AE">
                  <w:pPr>
                    <w:rPr>
                      <w:rFonts w:ascii="Arial"/>
                      <w:sz w:val="21"/>
                    </w:rPr>
                  </w:pPr>
                </w:p>
              </w:tc>
              <w:tc>
                <w:tcPr>
                  <w:tcW w:w="983" w:type="dxa"/>
                  <w:vAlign w:val="top"/>
                </w:tcPr>
                <w:p w14:paraId="1B9F31A6">
                  <w:pPr>
                    <w:spacing w:before="65" w:line="192"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787" w:type="dxa"/>
                  <w:vAlign w:val="top"/>
                </w:tcPr>
                <w:p w14:paraId="63F3E2AA">
                  <w:pPr>
                    <w:spacing w:before="65" w:line="192"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580" w:type="dxa"/>
                  <w:vAlign w:val="top"/>
                </w:tcPr>
                <w:p w14:paraId="03EA4823">
                  <w:pPr>
                    <w:spacing w:before="65" w:line="192"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1137" w:type="dxa"/>
                  <w:vMerge w:val="continue"/>
                  <w:tcBorders>
                    <w:top w:val="nil"/>
                  </w:tcBorders>
                  <w:vAlign w:val="top"/>
                </w:tcPr>
                <w:p w14:paraId="35F59FE8">
                  <w:pPr>
                    <w:rPr>
                      <w:rFonts w:ascii="Arial"/>
                      <w:sz w:val="21"/>
                    </w:rPr>
                  </w:pPr>
                </w:p>
              </w:tc>
              <w:tc>
                <w:tcPr>
                  <w:tcW w:w="894" w:type="dxa"/>
                  <w:vMerge w:val="continue"/>
                  <w:tcBorders>
                    <w:top w:val="nil"/>
                  </w:tcBorders>
                  <w:vAlign w:val="top"/>
                </w:tcPr>
                <w:p w14:paraId="31B7125D">
                  <w:pPr>
                    <w:rPr>
                      <w:rFonts w:ascii="Arial"/>
                      <w:sz w:val="21"/>
                    </w:rPr>
                  </w:pPr>
                </w:p>
              </w:tc>
              <w:tc>
                <w:tcPr>
                  <w:tcW w:w="652" w:type="dxa"/>
                  <w:vMerge w:val="continue"/>
                  <w:tcBorders>
                    <w:top w:val="nil"/>
                  </w:tcBorders>
                  <w:vAlign w:val="top"/>
                </w:tcPr>
                <w:p w14:paraId="7DE083CC">
                  <w:pPr>
                    <w:rPr>
                      <w:rFonts w:ascii="Arial"/>
                      <w:sz w:val="21"/>
                    </w:rPr>
                  </w:pPr>
                </w:p>
              </w:tc>
            </w:tr>
            <w:tr w14:paraId="229C3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72" w:type="dxa"/>
                  <w:vMerge w:val="restart"/>
                  <w:tcBorders>
                    <w:bottom w:val="nil"/>
                  </w:tcBorders>
                  <w:vAlign w:val="top"/>
                </w:tcPr>
                <w:p w14:paraId="277D1E70">
                  <w:pPr>
                    <w:spacing w:line="320" w:lineRule="auto"/>
                    <w:rPr>
                      <w:rFonts w:ascii="Arial"/>
                      <w:sz w:val="21"/>
                    </w:rPr>
                  </w:pPr>
                </w:p>
                <w:p w14:paraId="329B3201">
                  <w:pPr>
                    <w:spacing w:line="321" w:lineRule="auto"/>
                    <w:rPr>
                      <w:rFonts w:ascii="Arial"/>
                      <w:sz w:val="21"/>
                    </w:rPr>
                  </w:pPr>
                </w:p>
                <w:p w14:paraId="2FD8BB0B">
                  <w:pPr>
                    <w:pStyle w:val="6"/>
                    <w:spacing w:before="65" w:line="243" w:lineRule="auto"/>
                    <w:ind w:left="402" w:right="169" w:hanging="224"/>
                    <w:rPr>
                      <w:sz w:val="20"/>
                      <w:szCs w:val="20"/>
                    </w:rPr>
                  </w:pPr>
                  <w:r>
                    <w:rPr>
                      <w:spacing w:val="6"/>
                      <w:sz w:val="20"/>
                      <w:szCs w:val="20"/>
                    </w:rPr>
                    <w:t>升压站</w:t>
                  </w:r>
                  <w:r>
                    <w:rPr>
                      <w:sz w:val="20"/>
                      <w:szCs w:val="20"/>
                    </w:rPr>
                    <w:t xml:space="preserve"> 区</w:t>
                  </w:r>
                </w:p>
              </w:tc>
              <w:tc>
                <w:tcPr>
                  <w:tcW w:w="1073" w:type="dxa"/>
                  <w:vAlign w:val="top"/>
                </w:tcPr>
                <w:p w14:paraId="788635F5">
                  <w:pPr>
                    <w:pStyle w:val="6"/>
                    <w:spacing w:before="58" w:line="241" w:lineRule="auto"/>
                    <w:ind w:left="225" w:right="107" w:hanging="118"/>
                    <w:rPr>
                      <w:sz w:val="20"/>
                      <w:szCs w:val="20"/>
                    </w:rPr>
                  </w:pPr>
                  <w:r>
                    <w:rPr>
                      <w:rFonts w:ascii="Times New Roman" w:hAnsi="Times New Roman" w:eastAsia="Times New Roman" w:cs="Times New Roman"/>
                      <w:spacing w:val="5"/>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8"/>
                      <w:sz w:val="20"/>
                      <w:szCs w:val="20"/>
                    </w:rPr>
                    <w:t xml:space="preserve"> </w:t>
                  </w:r>
                  <w:r>
                    <w:rPr>
                      <w:spacing w:val="5"/>
                      <w:sz w:val="20"/>
                      <w:szCs w:val="20"/>
                    </w:rPr>
                    <w:t>主</w:t>
                  </w:r>
                  <w:r>
                    <w:rPr>
                      <w:sz w:val="20"/>
                      <w:szCs w:val="20"/>
                    </w:rPr>
                    <w:t xml:space="preserve"> </w:t>
                  </w:r>
                  <w:r>
                    <w:rPr>
                      <w:spacing w:val="6"/>
                      <w:sz w:val="20"/>
                      <w:szCs w:val="20"/>
                    </w:rPr>
                    <w:t>变压器</w:t>
                  </w:r>
                </w:p>
              </w:tc>
              <w:tc>
                <w:tcPr>
                  <w:tcW w:w="2308" w:type="dxa"/>
                  <w:vAlign w:val="top"/>
                </w:tcPr>
                <w:p w14:paraId="0270C5BD">
                  <w:pPr>
                    <w:pStyle w:val="6"/>
                    <w:spacing w:before="194" w:line="231" w:lineRule="auto"/>
                    <w:ind w:left="959"/>
                    <w:rPr>
                      <w:sz w:val="20"/>
                      <w:szCs w:val="20"/>
                    </w:rPr>
                  </w:pPr>
                  <w:r>
                    <w:rPr>
                      <w:spacing w:val="-1"/>
                      <w:sz w:val="20"/>
                      <w:szCs w:val="20"/>
                    </w:rPr>
                    <w:t>点源</w:t>
                  </w:r>
                </w:p>
              </w:tc>
              <w:tc>
                <w:tcPr>
                  <w:tcW w:w="983" w:type="dxa"/>
                  <w:vAlign w:val="top"/>
                </w:tcPr>
                <w:p w14:paraId="3448E1A1">
                  <w:pPr>
                    <w:spacing w:before="231"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787" w:type="dxa"/>
                  <w:vAlign w:val="top"/>
                </w:tcPr>
                <w:p w14:paraId="79EB6084">
                  <w:pPr>
                    <w:spacing w:before="231" w:line="195" w:lineRule="auto"/>
                    <w:ind w:left="34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580" w:type="dxa"/>
                  <w:vAlign w:val="top"/>
                </w:tcPr>
                <w:p w14:paraId="2FCC75E1">
                  <w:pPr>
                    <w:spacing w:before="231"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37" w:type="dxa"/>
                  <w:vAlign w:val="top"/>
                </w:tcPr>
                <w:p w14:paraId="669E4168">
                  <w:pPr>
                    <w:spacing w:before="231"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63.7</w:t>
                  </w:r>
                </w:p>
              </w:tc>
              <w:tc>
                <w:tcPr>
                  <w:tcW w:w="894" w:type="dxa"/>
                  <w:vMerge w:val="restart"/>
                  <w:tcBorders>
                    <w:bottom w:val="nil"/>
                  </w:tcBorders>
                  <w:vAlign w:val="top"/>
                </w:tcPr>
                <w:p w14:paraId="3C9D0D2F">
                  <w:pPr>
                    <w:pStyle w:val="6"/>
                    <w:spacing w:before="166" w:line="229" w:lineRule="auto"/>
                    <w:ind w:left="137"/>
                    <w:rPr>
                      <w:sz w:val="20"/>
                      <w:szCs w:val="20"/>
                    </w:rPr>
                  </w:pPr>
                  <w:r>
                    <w:rPr>
                      <w:spacing w:val="7"/>
                      <w:sz w:val="20"/>
                      <w:szCs w:val="20"/>
                    </w:rPr>
                    <w:t>选用低</w:t>
                  </w:r>
                </w:p>
                <w:p w14:paraId="2AFD2A1A">
                  <w:pPr>
                    <w:pStyle w:val="6"/>
                    <w:spacing w:before="25" w:line="228" w:lineRule="auto"/>
                    <w:ind w:left="148"/>
                    <w:rPr>
                      <w:sz w:val="20"/>
                      <w:szCs w:val="20"/>
                    </w:rPr>
                  </w:pPr>
                  <w:r>
                    <w:rPr>
                      <w:spacing w:val="3"/>
                      <w:sz w:val="20"/>
                      <w:szCs w:val="20"/>
                    </w:rPr>
                    <w:t>噪声设</w:t>
                  </w:r>
                </w:p>
                <w:p w14:paraId="7D810C64">
                  <w:pPr>
                    <w:pStyle w:val="6"/>
                    <w:spacing w:before="23" w:line="229" w:lineRule="auto"/>
                    <w:ind w:left="141"/>
                    <w:rPr>
                      <w:sz w:val="20"/>
                      <w:szCs w:val="20"/>
                    </w:rPr>
                  </w:pPr>
                  <w:r>
                    <w:rPr>
                      <w:spacing w:val="6"/>
                      <w:sz w:val="20"/>
                      <w:szCs w:val="20"/>
                    </w:rPr>
                    <w:t>备、基</w:t>
                  </w:r>
                </w:p>
                <w:p w14:paraId="4E62C262">
                  <w:pPr>
                    <w:pStyle w:val="6"/>
                    <w:spacing w:before="25" w:line="229" w:lineRule="auto"/>
                    <w:ind w:left="243"/>
                    <w:rPr>
                      <w:sz w:val="20"/>
                      <w:szCs w:val="20"/>
                    </w:rPr>
                  </w:pPr>
                  <w:r>
                    <w:rPr>
                      <w:spacing w:val="5"/>
                      <w:sz w:val="20"/>
                      <w:szCs w:val="20"/>
                    </w:rPr>
                    <w:t>础减</w:t>
                  </w:r>
                </w:p>
                <w:p w14:paraId="4B9B489C">
                  <w:pPr>
                    <w:pStyle w:val="6"/>
                    <w:spacing w:before="24" w:line="228" w:lineRule="auto"/>
                    <w:ind w:left="137"/>
                    <w:rPr>
                      <w:sz w:val="20"/>
                      <w:szCs w:val="20"/>
                    </w:rPr>
                  </w:pPr>
                  <w:r>
                    <w:rPr>
                      <w:spacing w:val="7"/>
                      <w:sz w:val="20"/>
                      <w:szCs w:val="20"/>
                    </w:rPr>
                    <w:t>振、建</w:t>
                  </w:r>
                </w:p>
                <w:p w14:paraId="45717869">
                  <w:pPr>
                    <w:pStyle w:val="6"/>
                    <w:spacing w:before="24" w:line="228" w:lineRule="auto"/>
                    <w:ind w:left="140"/>
                    <w:rPr>
                      <w:sz w:val="20"/>
                      <w:szCs w:val="20"/>
                    </w:rPr>
                  </w:pPr>
                  <w:r>
                    <w:rPr>
                      <w:spacing w:val="6"/>
                      <w:sz w:val="20"/>
                      <w:szCs w:val="20"/>
                    </w:rPr>
                    <w:t>筑隔声</w:t>
                  </w:r>
                </w:p>
              </w:tc>
              <w:tc>
                <w:tcPr>
                  <w:tcW w:w="652" w:type="dxa"/>
                  <w:vMerge w:val="restart"/>
                  <w:tcBorders>
                    <w:bottom w:val="nil"/>
                  </w:tcBorders>
                  <w:vAlign w:val="top"/>
                </w:tcPr>
                <w:p w14:paraId="6458E967">
                  <w:pPr>
                    <w:spacing w:line="273" w:lineRule="auto"/>
                    <w:rPr>
                      <w:rFonts w:ascii="Arial"/>
                      <w:sz w:val="21"/>
                    </w:rPr>
                  </w:pPr>
                </w:p>
                <w:p w14:paraId="7C172003">
                  <w:pPr>
                    <w:spacing w:line="273" w:lineRule="auto"/>
                    <w:rPr>
                      <w:rFonts w:ascii="Arial"/>
                      <w:sz w:val="21"/>
                    </w:rPr>
                  </w:pPr>
                </w:p>
                <w:p w14:paraId="2FD89D92">
                  <w:pPr>
                    <w:spacing w:line="274" w:lineRule="auto"/>
                    <w:rPr>
                      <w:rFonts w:ascii="Arial"/>
                      <w:sz w:val="21"/>
                    </w:rPr>
                  </w:pPr>
                </w:p>
                <w:p w14:paraId="781DACDC">
                  <w:pPr>
                    <w:spacing w:before="57" w:line="199"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r>
            <w:tr w14:paraId="2E144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972" w:type="dxa"/>
                  <w:vMerge w:val="continue"/>
                  <w:tcBorders>
                    <w:top w:val="nil"/>
                    <w:bottom w:val="nil"/>
                  </w:tcBorders>
                  <w:vAlign w:val="top"/>
                </w:tcPr>
                <w:p w14:paraId="17CD7D98">
                  <w:pPr>
                    <w:rPr>
                      <w:rFonts w:ascii="Arial"/>
                      <w:sz w:val="21"/>
                    </w:rPr>
                  </w:pPr>
                </w:p>
              </w:tc>
              <w:tc>
                <w:tcPr>
                  <w:tcW w:w="1073" w:type="dxa"/>
                  <w:vAlign w:val="top"/>
                </w:tcPr>
                <w:p w14:paraId="1C4C719A">
                  <w:pPr>
                    <w:pStyle w:val="6"/>
                    <w:spacing w:before="183"/>
                    <w:ind w:left="329" w:right="220" w:hanging="86"/>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SVG </w:t>
                  </w:r>
                  <w:r>
                    <w:rPr>
                      <w:spacing w:val="4"/>
                      <w:sz w:val="20"/>
                      <w:szCs w:val="20"/>
                    </w:rPr>
                    <w:t>装置</w:t>
                  </w:r>
                </w:p>
              </w:tc>
              <w:tc>
                <w:tcPr>
                  <w:tcW w:w="2308" w:type="dxa"/>
                  <w:vAlign w:val="top"/>
                </w:tcPr>
                <w:p w14:paraId="7E3BE9FD">
                  <w:pPr>
                    <w:pStyle w:val="6"/>
                    <w:spacing w:before="283" w:line="231" w:lineRule="auto"/>
                    <w:ind w:left="959"/>
                    <w:rPr>
                      <w:sz w:val="20"/>
                      <w:szCs w:val="20"/>
                    </w:rPr>
                  </w:pPr>
                  <w:r>
                    <w:rPr>
                      <w:spacing w:val="-1"/>
                      <w:sz w:val="20"/>
                      <w:szCs w:val="20"/>
                    </w:rPr>
                    <w:t>点源</w:t>
                  </w:r>
                </w:p>
              </w:tc>
              <w:tc>
                <w:tcPr>
                  <w:tcW w:w="983" w:type="dxa"/>
                  <w:vAlign w:val="top"/>
                </w:tcPr>
                <w:p w14:paraId="7E4A1876">
                  <w:pPr>
                    <w:spacing w:line="261" w:lineRule="auto"/>
                    <w:rPr>
                      <w:rFonts w:ascii="Arial"/>
                      <w:sz w:val="21"/>
                    </w:rPr>
                  </w:pPr>
                </w:p>
                <w:p w14:paraId="7B7FE58E">
                  <w:pPr>
                    <w:spacing w:before="57"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w:t>
                  </w:r>
                </w:p>
              </w:tc>
              <w:tc>
                <w:tcPr>
                  <w:tcW w:w="787" w:type="dxa"/>
                  <w:vAlign w:val="top"/>
                </w:tcPr>
                <w:p w14:paraId="75C1A126">
                  <w:pPr>
                    <w:spacing w:line="261" w:lineRule="auto"/>
                    <w:rPr>
                      <w:rFonts w:ascii="Arial"/>
                      <w:sz w:val="21"/>
                    </w:rPr>
                  </w:pPr>
                </w:p>
                <w:p w14:paraId="3DA74B98">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-28</w:t>
                  </w:r>
                </w:p>
              </w:tc>
              <w:tc>
                <w:tcPr>
                  <w:tcW w:w="580" w:type="dxa"/>
                  <w:vAlign w:val="top"/>
                </w:tcPr>
                <w:p w14:paraId="653169A8">
                  <w:pPr>
                    <w:spacing w:line="261" w:lineRule="auto"/>
                    <w:rPr>
                      <w:rFonts w:ascii="Arial"/>
                      <w:sz w:val="21"/>
                    </w:rPr>
                  </w:pPr>
                </w:p>
                <w:p w14:paraId="406D396B">
                  <w:pPr>
                    <w:spacing w:before="5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37" w:type="dxa"/>
                  <w:vAlign w:val="top"/>
                </w:tcPr>
                <w:p w14:paraId="3CD4B886">
                  <w:pPr>
                    <w:spacing w:line="261" w:lineRule="auto"/>
                    <w:rPr>
                      <w:rFonts w:ascii="Arial"/>
                      <w:sz w:val="21"/>
                    </w:rPr>
                  </w:pPr>
                </w:p>
                <w:p w14:paraId="5D2F5188">
                  <w:pPr>
                    <w:spacing w:before="57"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94" w:type="dxa"/>
                  <w:vMerge w:val="continue"/>
                  <w:tcBorders>
                    <w:top w:val="nil"/>
                    <w:bottom w:val="nil"/>
                  </w:tcBorders>
                  <w:vAlign w:val="top"/>
                </w:tcPr>
                <w:p w14:paraId="61CC08F1">
                  <w:pPr>
                    <w:rPr>
                      <w:rFonts w:ascii="Arial"/>
                      <w:sz w:val="21"/>
                    </w:rPr>
                  </w:pPr>
                </w:p>
              </w:tc>
              <w:tc>
                <w:tcPr>
                  <w:tcW w:w="652" w:type="dxa"/>
                  <w:vMerge w:val="continue"/>
                  <w:tcBorders>
                    <w:top w:val="nil"/>
                    <w:bottom w:val="nil"/>
                  </w:tcBorders>
                  <w:vAlign w:val="top"/>
                </w:tcPr>
                <w:p w14:paraId="790F710E">
                  <w:pPr>
                    <w:rPr>
                      <w:rFonts w:ascii="Arial"/>
                      <w:sz w:val="21"/>
                    </w:rPr>
                  </w:pPr>
                </w:p>
              </w:tc>
            </w:tr>
            <w:tr w14:paraId="7D8AD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72" w:type="dxa"/>
                  <w:vMerge w:val="continue"/>
                  <w:tcBorders>
                    <w:top w:val="nil"/>
                  </w:tcBorders>
                  <w:vAlign w:val="top"/>
                </w:tcPr>
                <w:p w14:paraId="3D6BCBB6">
                  <w:pPr>
                    <w:rPr>
                      <w:rFonts w:ascii="Arial"/>
                      <w:sz w:val="21"/>
                    </w:rPr>
                  </w:pPr>
                </w:p>
              </w:tc>
              <w:tc>
                <w:tcPr>
                  <w:tcW w:w="1073" w:type="dxa"/>
                  <w:vAlign w:val="top"/>
                </w:tcPr>
                <w:p w14:paraId="214AB5CB">
                  <w:pPr>
                    <w:pStyle w:val="6"/>
                    <w:spacing w:before="57" w:line="223" w:lineRule="auto"/>
                    <w:ind w:left="328" w:right="220" w:hanging="106"/>
                    <w:rPr>
                      <w:sz w:val="20"/>
                      <w:szCs w:val="20"/>
                    </w:rPr>
                  </w:pPr>
                  <w:r>
                    <w:rPr>
                      <w:rFonts w:ascii="Times New Roman" w:hAnsi="Times New Roman" w:eastAsia="Times New Roman" w:cs="Times New Roman"/>
                      <w:spacing w:val="12"/>
                      <w:sz w:val="20"/>
                      <w:szCs w:val="20"/>
                    </w:rPr>
                    <w:t>2#</w:t>
                  </w:r>
                  <w:r>
                    <w:rPr>
                      <w:rFonts w:ascii="Times New Roman" w:hAnsi="Times New Roman" w:eastAsia="Times New Roman" w:cs="Times New Roman"/>
                      <w:sz w:val="20"/>
                      <w:szCs w:val="20"/>
                    </w:rPr>
                    <w:t xml:space="preserve">SVG </w:t>
                  </w:r>
                  <w:r>
                    <w:rPr>
                      <w:spacing w:val="4"/>
                      <w:sz w:val="20"/>
                      <w:szCs w:val="20"/>
                    </w:rPr>
                    <w:t>装置</w:t>
                  </w:r>
                </w:p>
              </w:tc>
              <w:tc>
                <w:tcPr>
                  <w:tcW w:w="2308" w:type="dxa"/>
                  <w:vAlign w:val="top"/>
                </w:tcPr>
                <w:p w14:paraId="035C6E43">
                  <w:pPr>
                    <w:pStyle w:val="6"/>
                    <w:spacing w:before="155" w:line="231" w:lineRule="auto"/>
                    <w:ind w:left="959"/>
                    <w:rPr>
                      <w:sz w:val="20"/>
                      <w:szCs w:val="20"/>
                    </w:rPr>
                  </w:pPr>
                  <w:r>
                    <w:rPr>
                      <w:spacing w:val="-1"/>
                      <w:sz w:val="20"/>
                      <w:szCs w:val="20"/>
                    </w:rPr>
                    <w:t>点源</w:t>
                  </w:r>
                </w:p>
              </w:tc>
              <w:tc>
                <w:tcPr>
                  <w:tcW w:w="983" w:type="dxa"/>
                  <w:vAlign w:val="top"/>
                </w:tcPr>
                <w:p w14:paraId="0654AB0F">
                  <w:pPr>
                    <w:spacing w:before="191"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-27</w:t>
                  </w:r>
                </w:p>
              </w:tc>
              <w:tc>
                <w:tcPr>
                  <w:tcW w:w="787" w:type="dxa"/>
                  <w:vAlign w:val="top"/>
                </w:tcPr>
                <w:p w14:paraId="730BA09D">
                  <w:pPr>
                    <w:spacing w:before="192"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80" w:type="dxa"/>
                  <w:vAlign w:val="top"/>
                </w:tcPr>
                <w:p w14:paraId="5E40AC7A">
                  <w:pPr>
                    <w:spacing w:before="191"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37" w:type="dxa"/>
                  <w:vAlign w:val="top"/>
                </w:tcPr>
                <w:p w14:paraId="66630F23">
                  <w:pPr>
                    <w:spacing w:before="191"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94" w:type="dxa"/>
                  <w:vMerge w:val="continue"/>
                  <w:tcBorders>
                    <w:top w:val="nil"/>
                  </w:tcBorders>
                  <w:vAlign w:val="top"/>
                </w:tcPr>
                <w:p w14:paraId="28E96352">
                  <w:pPr>
                    <w:rPr>
                      <w:rFonts w:ascii="Arial"/>
                      <w:sz w:val="21"/>
                    </w:rPr>
                  </w:pPr>
                </w:p>
              </w:tc>
              <w:tc>
                <w:tcPr>
                  <w:tcW w:w="652" w:type="dxa"/>
                  <w:vMerge w:val="continue"/>
                  <w:tcBorders>
                    <w:top w:val="nil"/>
                  </w:tcBorders>
                  <w:vAlign w:val="top"/>
                </w:tcPr>
                <w:p w14:paraId="5ABAE68E">
                  <w:pPr>
                    <w:rPr>
                      <w:rFonts w:ascii="Arial"/>
                      <w:sz w:val="21"/>
                    </w:rPr>
                  </w:pPr>
                </w:p>
              </w:tc>
            </w:tr>
          </w:tbl>
          <w:p w14:paraId="125B8A16">
            <w:pPr>
              <w:pStyle w:val="6"/>
              <w:spacing w:before="29" w:line="362" w:lineRule="auto"/>
              <w:ind w:left="110" w:right="153" w:firstLine="415"/>
              <w:rPr>
                <w:sz w:val="20"/>
                <w:szCs w:val="20"/>
              </w:rPr>
            </w:pPr>
            <w:r>
              <w:rPr>
                <w:spacing w:val="2"/>
                <w:sz w:val="20"/>
                <w:szCs w:val="20"/>
              </w:rPr>
              <w:t>注：表中坐标以升压站中心点（东经</w:t>
            </w:r>
            <w:r>
              <w:rPr>
                <w:spacing w:val="-20"/>
                <w:sz w:val="20"/>
                <w:szCs w:val="20"/>
              </w:rPr>
              <w:t xml:space="preserve"> </w:t>
            </w:r>
            <w:r>
              <w:rPr>
                <w:rFonts w:ascii="Times New Roman" w:hAnsi="Times New Roman" w:eastAsia="Times New Roman" w:cs="Times New Roman"/>
                <w:spacing w:val="2"/>
                <w:sz w:val="20"/>
                <w:szCs w:val="20"/>
              </w:rPr>
              <w:t>103</w:t>
            </w:r>
            <w:r>
              <w:rPr>
                <w:rFonts w:ascii="Times New Roman" w:hAnsi="Times New Roman" w:eastAsia="Times New Roman" w:cs="Times New Roman"/>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25</w:t>
            </w:r>
            <w:r>
              <w:rPr>
                <w:rFonts w:ascii="Times New Roman" w:hAnsi="Times New Roman" w:eastAsia="Times New Roman" w:cs="Times New Roman"/>
                <w:spacing w:val="-12"/>
                <w:sz w:val="20"/>
                <w:szCs w:val="20"/>
              </w:rPr>
              <w:t xml:space="preserve"> </w:t>
            </w:r>
            <w:r>
              <w:rPr>
                <w:spacing w:val="2"/>
                <w:sz w:val="20"/>
                <w:szCs w:val="20"/>
              </w:rPr>
              <w:t>′</w:t>
            </w:r>
            <w:r>
              <w:rPr>
                <w:rFonts w:ascii="Times New Roman" w:hAnsi="Times New Roman" w:eastAsia="Times New Roman" w:cs="Times New Roman"/>
                <w:spacing w:val="2"/>
                <w:sz w:val="20"/>
                <w:szCs w:val="20"/>
              </w:rPr>
              <w:t>28.293</w:t>
            </w:r>
            <w:r>
              <w:rPr>
                <w:rFonts w:ascii="Times New Roman" w:hAnsi="Times New Roman" w:eastAsia="Times New Roman" w:cs="Times New Roman"/>
                <w:spacing w:val="-10"/>
                <w:sz w:val="20"/>
                <w:szCs w:val="20"/>
              </w:rPr>
              <w:t xml:space="preserve"> </w:t>
            </w:r>
            <w:r>
              <w:rPr>
                <w:spacing w:val="2"/>
                <w:sz w:val="20"/>
                <w:szCs w:val="20"/>
              </w:rPr>
              <w:t>″</w:t>
            </w:r>
            <w:r>
              <w:rPr>
                <w:spacing w:val="-70"/>
                <w:sz w:val="20"/>
                <w:szCs w:val="20"/>
              </w:rPr>
              <w:t xml:space="preserve"> </w:t>
            </w:r>
            <w:r>
              <w:rPr>
                <w:spacing w:val="2"/>
                <w:sz w:val="20"/>
                <w:szCs w:val="20"/>
              </w:rPr>
              <w:t>，北纬</w:t>
            </w:r>
            <w:r>
              <w:rPr>
                <w:spacing w:val="-41"/>
                <w:sz w:val="20"/>
                <w:szCs w:val="20"/>
              </w:rPr>
              <w:t xml:space="preserve"> </w:t>
            </w:r>
            <w:r>
              <w:rPr>
                <w:rFonts w:ascii="Times New Roman" w:hAnsi="Times New Roman" w:eastAsia="Times New Roman" w:cs="Times New Roman"/>
                <w:spacing w:val="2"/>
                <w:sz w:val="20"/>
                <w:szCs w:val="20"/>
              </w:rPr>
              <w:t>25</w:t>
            </w:r>
            <w:r>
              <w:rPr>
                <w:rFonts w:ascii="Times New Roman" w:hAnsi="Times New Roman" w:eastAsia="Times New Roman" w:cs="Times New Roman"/>
                <w:spacing w:val="-22"/>
                <w:sz w:val="20"/>
                <w:szCs w:val="20"/>
              </w:rPr>
              <w:t xml:space="preserve"> </w:t>
            </w:r>
            <w:r>
              <w:rPr>
                <w:spacing w:val="2"/>
                <w:sz w:val="20"/>
                <w:szCs w:val="20"/>
              </w:rPr>
              <w:t>°</w:t>
            </w:r>
            <w:r>
              <w:rPr>
                <w:rFonts w:ascii="Times New Roman" w:hAnsi="Times New Roman" w:eastAsia="Times New Roman" w:cs="Times New Roman"/>
                <w:spacing w:val="2"/>
                <w:sz w:val="20"/>
                <w:szCs w:val="20"/>
              </w:rPr>
              <w:t>41</w:t>
            </w:r>
            <w:r>
              <w:rPr>
                <w:rFonts w:ascii="Times New Roman" w:hAnsi="Times New Roman" w:eastAsia="Times New Roman" w:cs="Times New Roman"/>
                <w:spacing w:val="-11"/>
                <w:sz w:val="20"/>
                <w:szCs w:val="20"/>
              </w:rPr>
              <w:t xml:space="preserve"> </w:t>
            </w:r>
            <w:r>
              <w:rPr>
                <w:spacing w:val="2"/>
                <w:sz w:val="20"/>
                <w:szCs w:val="20"/>
              </w:rPr>
              <w:t>′</w:t>
            </w:r>
            <w:r>
              <w:rPr>
                <w:rFonts w:ascii="Times New Roman" w:hAnsi="Times New Roman" w:eastAsia="Times New Roman" w:cs="Times New Roman"/>
                <w:spacing w:val="2"/>
                <w:sz w:val="20"/>
                <w:szCs w:val="20"/>
              </w:rPr>
              <w:t>32.340</w:t>
            </w:r>
            <w:r>
              <w:rPr>
                <w:rFonts w:ascii="Times New Roman" w:hAnsi="Times New Roman" w:eastAsia="Times New Roman" w:cs="Times New Roman"/>
                <w:spacing w:val="-8"/>
                <w:sz w:val="20"/>
                <w:szCs w:val="20"/>
              </w:rPr>
              <w:t xml:space="preserve"> </w:t>
            </w:r>
            <w:r>
              <w:rPr>
                <w:spacing w:val="2"/>
                <w:sz w:val="20"/>
                <w:szCs w:val="20"/>
              </w:rPr>
              <w:t>″</w:t>
            </w:r>
            <w:r>
              <w:rPr>
                <w:spacing w:val="-70"/>
                <w:sz w:val="20"/>
                <w:szCs w:val="20"/>
              </w:rPr>
              <w:t xml:space="preserve"> </w:t>
            </w:r>
            <w:r>
              <w:rPr>
                <w:spacing w:val="2"/>
                <w:sz w:val="20"/>
                <w:szCs w:val="20"/>
              </w:rPr>
              <w:t>）为坐标原点，</w:t>
            </w:r>
            <w:r>
              <w:rPr>
                <w:sz w:val="20"/>
                <w:szCs w:val="20"/>
              </w:rPr>
              <w:t xml:space="preserve"> </w:t>
            </w:r>
            <w:r>
              <w:rPr>
                <w:spacing w:val="7"/>
                <w:sz w:val="20"/>
                <w:szCs w:val="20"/>
              </w:rPr>
              <w:t>正东向为</w:t>
            </w:r>
            <w:r>
              <w:rPr>
                <w:spacing w:val="-31"/>
                <w:sz w:val="20"/>
                <w:szCs w:val="20"/>
              </w:rPr>
              <w:t xml:space="preserve"> </w:t>
            </w:r>
            <w:r>
              <w:rPr>
                <w:rFonts w:ascii="Times New Roman" w:hAnsi="Times New Roman" w:eastAsia="Times New Roman" w:cs="Times New Roman"/>
                <w:spacing w:val="7"/>
                <w:sz w:val="20"/>
                <w:szCs w:val="20"/>
              </w:rPr>
              <w:t xml:space="preserve">X </w:t>
            </w:r>
            <w:r>
              <w:rPr>
                <w:spacing w:val="7"/>
                <w:sz w:val="20"/>
                <w:szCs w:val="20"/>
              </w:rPr>
              <w:t>轴正方向，正北向为</w:t>
            </w:r>
            <w:r>
              <w:rPr>
                <w:spacing w:val="-46"/>
                <w:sz w:val="20"/>
                <w:szCs w:val="20"/>
              </w:rPr>
              <w:t xml:space="preserve"> </w:t>
            </w:r>
            <w:r>
              <w:rPr>
                <w:rFonts w:ascii="Times New Roman" w:hAnsi="Times New Roman" w:eastAsia="Times New Roman" w:cs="Times New Roman"/>
                <w:spacing w:val="7"/>
                <w:sz w:val="20"/>
                <w:szCs w:val="20"/>
              </w:rPr>
              <w:t xml:space="preserve">Y </w:t>
            </w:r>
            <w:r>
              <w:rPr>
                <w:spacing w:val="7"/>
                <w:sz w:val="20"/>
                <w:szCs w:val="20"/>
              </w:rPr>
              <w:t>轴正方向。</w:t>
            </w:r>
          </w:p>
          <w:p w14:paraId="637F47EE">
            <w:pPr>
              <w:pStyle w:val="6"/>
              <w:spacing w:before="39" w:line="217" w:lineRule="auto"/>
              <w:ind w:left="585"/>
            </w:pPr>
            <w:r>
              <w:rPr>
                <w:spacing w:val="-2"/>
              </w:rPr>
              <w:t>②预测模式</w:t>
            </w:r>
          </w:p>
          <w:p w14:paraId="7ECC9474">
            <w:pPr>
              <w:pStyle w:val="6"/>
              <w:spacing w:before="183" w:line="347" w:lineRule="auto"/>
              <w:ind w:left="106" w:right="105" w:firstLine="480"/>
            </w:pPr>
            <w:r>
              <w:rPr>
                <w:spacing w:val="3"/>
              </w:rPr>
              <w:t>根据《环境影响评价技术导则声环境》（</w:t>
            </w:r>
            <w:r>
              <w:rPr>
                <w:rFonts w:ascii="Times New Roman" w:hAnsi="Times New Roman" w:eastAsia="Times New Roman" w:cs="Times New Roman"/>
              </w:rPr>
              <w:t>HJ</w:t>
            </w:r>
            <w:r>
              <w:rPr>
                <w:rFonts w:ascii="Times New Roman" w:hAnsi="Times New Roman" w:eastAsia="Times New Roman" w:cs="Times New Roman"/>
                <w:spacing w:val="3"/>
              </w:rPr>
              <w:t>2.4</w:t>
            </w:r>
            <w:r>
              <w:rPr>
                <w:rFonts w:ascii="Times New Roman" w:hAnsi="Times New Roman" w:eastAsia="Times New Roman" w:cs="Times New Roman"/>
                <w:spacing w:val="2"/>
              </w:rPr>
              <w:t>-2021</w:t>
            </w:r>
            <w:r>
              <w:rPr>
                <w:spacing w:val="2"/>
              </w:rPr>
              <w:t>）进行噪声预测计算。项目仅涉</w:t>
            </w:r>
            <w:r>
              <w:t xml:space="preserve"> </w:t>
            </w:r>
            <w:r>
              <w:rPr>
                <w:spacing w:val="-1"/>
              </w:rPr>
              <w:t>及室外声源，根据导则：</w:t>
            </w:r>
          </w:p>
          <w:p w14:paraId="470B932E">
            <w:pPr>
              <w:pStyle w:val="6"/>
              <w:spacing w:before="32" w:line="356" w:lineRule="auto"/>
              <w:ind w:left="4002" w:right="2783" w:hanging="3416"/>
              <w:rPr>
                <w:rFonts w:ascii="Times New Roman" w:hAnsi="Times New Roman" w:eastAsia="Times New Roman" w:cs="Times New Roman"/>
              </w:rPr>
            </w:pPr>
            <w:r>
              <w:rPr>
                <w:spacing w:val="-1"/>
              </w:rPr>
              <w:t>在只考虑几何发散衰减时，计算某个声源在预测点的声压级</w:t>
            </w:r>
            <w:r>
              <w:rPr>
                <w:spacing w:val="16"/>
              </w:rPr>
              <w:t xml:space="preserve"> </w:t>
            </w:r>
            <w:r>
              <w:rPr>
                <w:rFonts w:ascii="Times New Roman" w:hAnsi="Times New Roman" w:eastAsia="Times New Roman" w:cs="Times New Roman"/>
                <w:spacing w:val="2"/>
              </w:rPr>
              <w:t>L</w:t>
            </w:r>
            <w:r>
              <w:rPr>
                <w:spacing w:val="2"/>
              </w:rPr>
              <w:t>（</w:t>
            </w:r>
            <w:r>
              <w:rPr>
                <w:rFonts w:ascii="Times New Roman" w:hAnsi="Times New Roman" w:eastAsia="Times New Roman" w:cs="Times New Roman"/>
                <w:spacing w:val="2"/>
              </w:rPr>
              <w:t>r</w:t>
            </w:r>
            <w:r>
              <w:rPr>
                <w:spacing w:val="2"/>
              </w:rPr>
              <w:t>）</w:t>
            </w:r>
            <w:r>
              <w:rPr>
                <w:rFonts w:ascii="Times New Roman" w:hAnsi="Times New Roman" w:eastAsia="Times New Roman" w:cs="Times New Roman"/>
                <w:spacing w:val="2"/>
              </w:rPr>
              <w:t>=L</w:t>
            </w:r>
            <w:r>
              <w:rPr>
                <w:spacing w:val="2"/>
              </w:rPr>
              <w:t>（</w:t>
            </w:r>
            <w:r>
              <w:rPr>
                <w:rFonts w:ascii="Times New Roman" w:hAnsi="Times New Roman" w:eastAsia="Times New Roman" w:cs="Times New Roman"/>
                <w:spacing w:val="2"/>
              </w:rPr>
              <w:t>r0</w:t>
            </w:r>
            <w:r>
              <w:rPr>
                <w:spacing w:val="-14"/>
              </w:rPr>
              <w:t>）－</w:t>
            </w:r>
            <w:r>
              <w:rPr>
                <w:rFonts w:ascii="Times New Roman" w:hAnsi="Times New Roman" w:eastAsia="Times New Roman" w:cs="Times New Roman"/>
                <w:spacing w:val="2"/>
              </w:rPr>
              <w:t>A</w:t>
            </w:r>
          </w:p>
          <w:p w14:paraId="3AE0F7CE">
            <w:pPr>
              <w:pStyle w:val="6"/>
              <w:spacing w:before="7" w:line="347" w:lineRule="auto"/>
              <w:ind w:left="1302" w:right="2885" w:hanging="710"/>
            </w:pPr>
            <w:r>
              <w:rPr>
                <w:spacing w:val="-1"/>
              </w:rPr>
              <w:t>式中：</w:t>
            </w:r>
            <w:r>
              <w:rPr>
                <w:rFonts w:ascii="Times New Roman" w:hAnsi="Times New Roman" w:eastAsia="Times New Roman" w:cs="Times New Roman"/>
                <w:spacing w:val="-1"/>
              </w:rPr>
              <w:t>L</w:t>
            </w:r>
            <w:r>
              <w:rPr>
                <w:spacing w:val="-1"/>
              </w:rPr>
              <w:t>（</w:t>
            </w:r>
            <w:r>
              <w:rPr>
                <w:rFonts w:ascii="Times New Roman" w:hAnsi="Times New Roman" w:eastAsia="Times New Roman" w:cs="Times New Roman"/>
                <w:spacing w:val="-1"/>
              </w:rPr>
              <w:t>r</w:t>
            </w:r>
            <w:r>
              <w:rPr>
                <w:spacing w:val="-1"/>
              </w:rPr>
              <w:t>）</w:t>
            </w:r>
            <w:r>
              <w:rPr>
                <w:rFonts w:ascii="Times New Roman" w:hAnsi="Times New Roman" w:eastAsia="Times New Roman" w:cs="Times New Roman"/>
                <w:spacing w:val="-1"/>
              </w:rPr>
              <w:t>—</w:t>
            </w:r>
            <w:r>
              <w:rPr>
                <w:spacing w:val="-1"/>
              </w:rPr>
              <w:t>点声源在预测点产生的声压级，</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26"/>
              </w:rPr>
              <w:t>）；</w:t>
            </w:r>
            <w:r>
              <w:t xml:space="preserve"> </w:t>
            </w:r>
            <w:r>
              <w:rPr>
                <w:rFonts w:ascii="Times New Roman" w:hAnsi="Times New Roman" w:eastAsia="Times New Roman" w:cs="Times New Roman"/>
                <w:spacing w:val="-1"/>
              </w:rPr>
              <w:t>L</w:t>
            </w:r>
            <w:r>
              <w:rPr>
                <w:spacing w:val="-1"/>
              </w:rPr>
              <w:t>（</w:t>
            </w:r>
            <w:r>
              <w:rPr>
                <w:rFonts w:ascii="Times New Roman" w:hAnsi="Times New Roman" w:eastAsia="Times New Roman" w:cs="Times New Roman"/>
                <w:spacing w:val="-1"/>
              </w:rPr>
              <w:t>r0</w:t>
            </w:r>
            <w:r>
              <w:rPr>
                <w:spacing w:val="-1"/>
              </w:rPr>
              <w:t>）</w:t>
            </w:r>
            <w:r>
              <w:rPr>
                <w:rFonts w:ascii="Times New Roman" w:hAnsi="Times New Roman" w:eastAsia="Times New Roman" w:cs="Times New Roman"/>
                <w:spacing w:val="-1"/>
              </w:rPr>
              <w:t>—</w:t>
            </w:r>
            <w:r>
              <w:rPr>
                <w:spacing w:val="-1"/>
              </w:rPr>
              <w:t>参考位置</w:t>
            </w:r>
            <w:r>
              <w:rPr>
                <w:spacing w:val="-57"/>
              </w:rPr>
              <w:t xml:space="preserve"> </w:t>
            </w:r>
            <w:r>
              <w:rPr>
                <w:rFonts w:ascii="Times New Roman" w:hAnsi="Times New Roman" w:eastAsia="Times New Roman" w:cs="Times New Roman"/>
                <w:spacing w:val="-1"/>
              </w:rPr>
              <w:t>r0</w:t>
            </w:r>
            <w:r>
              <w:rPr>
                <w:rFonts w:ascii="Times New Roman" w:hAnsi="Times New Roman" w:eastAsia="Times New Roman" w:cs="Times New Roman"/>
                <w:spacing w:val="16"/>
                <w:w w:val="101"/>
              </w:rPr>
              <w:t xml:space="preserve"> </w:t>
            </w:r>
            <w:r>
              <w:rPr>
                <w:spacing w:val="-1"/>
              </w:rPr>
              <w:t>处的声压级，</w:t>
            </w:r>
            <w:r>
              <w:rPr>
                <w:rFonts w:ascii="Times New Roman" w:hAnsi="Times New Roman" w:eastAsia="Times New Roman" w:cs="Times New Roman"/>
                <w:spacing w:val="-1"/>
              </w:rPr>
              <w:t>d</w:t>
            </w:r>
            <w:r>
              <w:rPr>
                <w:rFonts w:ascii="Times New Roman" w:hAnsi="Times New Roman" w:eastAsia="Times New Roman" w:cs="Times New Roman"/>
                <w:spacing w:val="-2"/>
              </w:rPr>
              <w:t>B</w:t>
            </w:r>
            <w:r>
              <w:rPr>
                <w:spacing w:val="-2"/>
              </w:rPr>
              <w:t>（</w:t>
            </w:r>
            <w:r>
              <w:rPr>
                <w:rFonts w:ascii="Times New Roman" w:hAnsi="Times New Roman" w:eastAsia="Times New Roman" w:cs="Times New Roman"/>
                <w:spacing w:val="-2"/>
              </w:rPr>
              <w:t>A</w:t>
            </w:r>
            <w:r>
              <w:rPr>
                <w:spacing w:val="-1"/>
              </w:rPr>
              <w:t>）；</w:t>
            </w:r>
          </w:p>
          <w:p w14:paraId="7CE15F42">
            <w:pPr>
              <w:pStyle w:val="6"/>
              <w:spacing w:before="32" w:line="220" w:lineRule="auto"/>
              <w:ind w:left="1299"/>
            </w:pPr>
            <w:r>
              <w:rPr>
                <w:rFonts w:ascii="Times New Roman" w:hAnsi="Times New Roman" w:eastAsia="Times New Roman" w:cs="Times New Roman"/>
                <w:spacing w:val="-1"/>
              </w:rPr>
              <w:t>r—</w:t>
            </w:r>
            <w:r>
              <w:rPr>
                <w:spacing w:val="-1"/>
              </w:rPr>
              <w:t>预测点距声源的距离，</w:t>
            </w:r>
            <w:r>
              <w:rPr>
                <w:rFonts w:ascii="Times New Roman" w:hAnsi="Times New Roman" w:eastAsia="Times New Roman" w:cs="Times New Roman"/>
                <w:spacing w:val="-1"/>
              </w:rPr>
              <w:t>m</w:t>
            </w:r>
            <w:r>
              <w:rPr>
                <w:spacing w:val="-1"/>
              </w:rPr>
              <w:t>；</w:t>
            </w:r>
          </w:p>
          <w:p w14:paraId="34487490">
            <w:pPr>
              <w:pStyle w:val="6"/>
              <w:spacing w:before="183" w:line="219" w:lineRule="auto"/>
              <w:ind w:left="1299"/>
            </w:pPr>
            <w:r>
              <w:rPr>
                <w:rFonts w:ascii="Times New Roman" w:hAnsi="Times New Roman" w:eastAsia="Times New Roman" w:cs="Times New Roman"/>
                <w:spacing w:val="-1"/>
              </w:rPr>
              <w:t>r0—</w:t>
            </w:r>
            <w:r>
              <w:rPr>
                <w:spacing w:val="-1"/>
              </w:rPr>
              <w:t>参考位置距声源的距离，</w:t>
            </w:r>
            <w:r>
              <w:rPr>
                <w:rFonts w:ascii="Times New Roman" w:hAnsi="Times New Roman" w:eastAsia="Times New Roman" w:cs="Times New Roman"/>
                <w:spacing w:val="-1"/>
              </w:rPr>
              <w:t>m</w:t>
            </w:r>
            <w:r>
              <w:rPr>
                <w:spacing w:val="-1"/>
              </w:rPr>
              <w:t>；</w:t>
            </w:r>
          </w:p>
          <w:p w14:paraId="6FF224C8">
            <w:pPr>
              <w:pStyle w:val="6"/>
              <w:spacing w:before="182" w:line="345" w:lineRule="auto"/>
              <w:ind w:left="111" w:right="103" w:firstLine="1188"/>
            </w:pPr>
            <w:r>
              <w:rPr>
                <w:rFonts w:ascii="Times New Roman" w:hAnsi="Times New Roman" w:eastAsia="Times New Roman" w:cs="Times New Roman"/>
                <w:spacing w:val="3"/>
              </w:rPr>
              <w:t>A—</w:t>
            </w:r>
            <w:r>
              <w:rPr>
                <w:spacing w:val="3"/>
              </w:rPr>
              <w:t>各种因素引起的衰减量（包括几何发散衰减、声屏障衰减，其计算方法详</w:t>
            </w:r>
            <w:r>
              <w:rPr>
                <w:spacing w:val="2"/>
              </w:rPr>
              <w:t xml:space="preserve"> </w:t>
            </w:r>
            <w:r>
              <w:rPr>
                <w:spacing w:val="-2"/>
              </w:rPr>
              <w:t>见</w:t>
            </w:r>
            <w:r>
              <w:rPr>
                <w:rFonts w:ascii="Times New Roman" w:hAnsi="Times New Roman" w:eastAsia="Times New Roman" w:cs="Times New Roman"/>
                <w:spacing w:val="-2"/>
              </w:rPr>
              <w:t>“</w:t>
            </w:r>
            <w:r>
              <w:rPr>
                <w:spacing w:val="-2"/>
              </w:rPr>
              <w:t>导则</w:t>
            </w:r>
            <w:r>
              <w:rPr>
                <w:rFonts w:ascii="Times New Roman" w:hAnsi="Times New Roman" w:eastAsia="Times New Roman" w:cs="Times New Roman"/>
                <w:spacing w:val="-2"/>
              </w:rPr>
              <w:t>”</w:t>
            </w:r>
            <w:r>
              <w:rPr>
                <w:spacing w:val="-2"/>
              </w:rPr>
              <w:t>正文）。</w:t>
            </w:r>
          </w:p>
          <w:p w14:paraId="036B4E48">
            <w:pPr>
              <w:pStyle w:val="6"/>
              <w:spacing w:before="35" w:line="220" w:lineRule="auto"/>
              <w:ind w:left="594"/>
            </w:pPr>
            <w:r>
              <w:rPr>
                <w:b/>
                <w:bCs/>
                <w:spacing w:val="-6"/>
              </w:rPr>
              <w:t>总声压级：</w:t>
            </w:r>
          </w:p>
          <w:p w14:paraId="61B90C6E">
            <w:pPr>
              <w:pStyle w:val="6"/>
              <w:spacing w:before="183" w:line="342" w:lineRule="auto"/>
              <w:ind w:left="107" w:right="103" w:firstLine="483"/>
              <w:jc w:val="both"/>
            </w:pPr>
            <w:r>
              <w:rPr>
                <w:spacing w:val="1"/>
              </w:rPr>
              <w:t>设第</w:t>
            </w:r>
            <w:r>
              <w:rPr>
                <w:spacing w:val="-53"/>
              </w:rPr>
              <w:t xml:space="preserve"> </w:t>
            </w:r>
            <w:r>
              <w:rPr>
                <w:rFonts w:ascii="Times New Roman" w:hAnsi="Times New Roman" w:eastAsia="Times New Roman" w:cs="Times New Roman"/>
                <w:spacing w:val="1"/>
              </w:rPr>
              <w:t xml:space="preserve">i </w:t>
            </w:r>
            <w:r>
              <w:rPr>
                <w:spacing w:val="1"/>
              </w:rPr>
              <w:t>室外声源在预测点产生的</w:t>
            </w:r>
            <w:r>
              <w:rPr>
                <w:spacing w:val="-59"/>
              </w:rPr>
              <w:t xml:space="preserve"> </w:t>
            </w:r>
            <w:r>
              <w:rPr>
                <w:rFonts w:ascii="Times New Roman" w:hAnsi="Times New Roman" w:eastAsia="Times New Roman" w:cs="Times New Roman"/>
                <w:spacing w:val="1"/>
              </w:rPr>
              <w:t xml:space="preserve">A </w:t>
            </w:r>
            <w:r>
              <w:rPr>
                <w:spacing w:val="1"/>
              </w:rPr>
              <w:t>声级为</w:t>
            </w:r>
            <w:r>
              <w:rPr>
                <w:spacing w:val="-55"/>
              </w:rPr>
              <w:t xml:space="preserve"> </w:t>
            </w:r>
            <w:r>
              <w:rPr>
                <w:rFonts w:ascii="Times New Roman" w:hAnsi="Times New Roman" w:eastAsia="Times New Roman" w:cs="Times New Roman"/>
              </w:rPr>
              <w:t>LAi</w:t>
            </w:r>
            <w:r>
              <w:rPr>
                <w:spacing w:val="1"/>
              </w:rPr>
              <w:t>，在</w:t>
            </w:r>
            <w:r>
              <w:rPr>
                <w:spacing w:val="-53"/>
              </w:rPr>
              <w:t xml:space="preserve"> </w:t>
            </w:r>
            <w:r>
              <w:rPr>
                <w:rFonts w:ascii="Times New Roman" w:hAnsi="Times New Roman" w:eastAsia="Times New Roman" w:cs="Times New Roman"/>
                <w:spacing w:val="1"/>
              </w:rPr>
              <w:t>T</w:t>
            </w:r>
            <w:r>
              <w:rPr>
                <w:rFonts w:ascii="Times New Roman" w:hAnsi="Times New Roman" w:eastAsia="Times New Roman" w:cs="Times New Roman"/>
                <w:spacing w:val="21"/>
                <w:w w:val="101"/>
              </w:rPr>
              <w:t xml:space="preserve"> </w:t>
            </w:r>
            <w:r>
              <w:rPr>
                <w:spacing w:val="1"/>
              </w:rPr>
              <w:t>时间内该声源工作</w:t>
            </w:r>
            <w:r>
              <w:t>时间为</w:t>
            </w:r>
            <w:r>
              <w:rPr>
                <w:rFonts w:ascii="Times New Roman" w:hAnsi="Times New Roman" w:eastAsia="Times New Roman" w:cs="Times New Roman"/>
              </w:rPr>
              <w:t>ti</w:t>
            </w:r>
            <w:r>
              <w:t>；第</w:t>
            </w:r>
            <w:r>
              <w:rPr>
                <w:rFonts w:ascii="Times New Roman" w:hAnsi="Times New Roman" w:eastAsia="Times New Roman" w:cs="Times New Roman"/>
              </w:rPr>
              <w:t xml:space="preserve">j </w:t>
            </w:r>
            <w:r>
              <w:rPr>
                <w:spacing w:val="-1"/>
              </w:rPr>
              <w:t>个等效室外声源在预测点产生的</w:t>
            </w:r>
            <w:r>
              <w:rPr>
                <w:spacing w:val="-42"/>
              </w:rPr>
              <w:t xml:space="preserve"> </w:t>
            </w:r>
            <w:r>
              <w:rPr>
                <w:rFonts w:ascii="Times New Roman" w:hAnsi="Times New Roman" w:eastAsia="Times New Roman" w:cs="Times New Roman"/>
                <w:spacing w:val="-1"/>
              </w:rPr>
              <w:t>A</w:t>
            </w:r>
            <w:r>
              <w:rPr>
                <w:rFonts w:ascii="Times New Roman" w:hAnsi="Times New Roman" w:eastAsia="Times New Roman" w:cs="Times New Roman"/>
                <w:spacing w:val="16"/>
              </w:rPr>
              <w:t xml:space="preserve"> </w:t>
            </w:r>
            <w:r>
              <w:rPr>
                <w:spacing w:val="-1"/>
              </w:rPr>
              <w:t>声级为</w:t>
            </w:r>
            <w:r>
              <w:rPr>
                <w:spacing w:val="-55"/>
              </w:rPr>
              <w:t xml:space="preserve"> </w:t>
            </w:r>
            <w:r>
              <w:rPr>
                <w:rFonts w:ascii="Times New Roman" w:hAnsi="Times New Roman" w:eastAsia="Times New Roman" w:cs="Times New Roman"/>
                <w:spacing w:val="-1"/>
              </w:rPr>
              <w:t>LAj</w:t>
            </w:r>
            <w:r>
              <w:rPr>
                <w:rFonts w:ascii="Times New Roman" w:hAnsi="Times New Roman" w:eastAsia="Times New Roman" w:cs="Times New Roman"/>
                <w:spacing w:val="-28"/>
              </w:rPr>
              <w:t xml:space="preserve"> </w:t>
            </w:r>
            <w:r>
              <w:rPr>
                <w:spacing w:val="-1"/>
              </w:rPr>
              <w:t>，在</w:t>
            </w:r>
            <w:r>
              <w:rPr>
                <w:spacing w:val="-50"/>
              </w:rPr>
              <w:t xml:space="preserve"> </w:t>
            </w:r>
            <w:r>
              <w:rPr>
                <w:rFonts w:ascii="Times New Roman" w:hAnsi="Times New Roman" w:eastAsia="Times New Roman" w:cs="Times New Roman"/>
                <w:spacing w:val="-1"/>
              </w:rPr>
              <w:t>T</w:t>
            </w:r>
            <w:r>
              <w:rPr>
                <w:rFonts w:ascii="Times New Roman" w:hAnsi="Times New Roman" w:eastAsia="Times New Roman" w:cs="Times New Roman"/>
                <w:spacing w:val="20"/>
                <w:w w:val="101"/>
              </w:rPr>
              <w:t xml:space="preserve"> </w:t>
            </w:r>
            <w:r>
              <w:rPr>
                <w:spacing w:val="-1"/>
              </w:rPr>
              <w:t>时间内该声源工作时间为</w:t>
            </w:r>
            <w:r>
              <w:rPr>
                <w:rFonts w:ascii="Times New Roman" w:hAnsi="Times New Roman" w:eastAsia="Times New Roman" w:cs="Times New Roman"/>
                <w:spacing w:val="-1"/>
              </w:rPr>
              <w:t>tj</w:t>
            </w:r>
            <w:r>
              <w:rPr>
                <w:rFonts w:ascii="Times New Roman" w:hAnsi="Times New Roman" w:eastAsia="Times New Roman" w:cs="Times New Roman"/>
                <w:spacing w:val="-33"/>
              </w:rPr>
              <w:t xml:space="preserve"> </w:t>
            </w:r>
            <w:r>
              <w:rPr>
                <w:spacing w:val="-1"/>
              </w:rPr>
              <w:t>，则项目</w:t>
            </w:r>
            <w:r>
              <w:t xml:space="preserve"> </w:t>
            </w:r>
            <w:r>
              <w:rPr>
                <w:spacing w:val="-1"/>
              </w:rPr>
              <w:t>声源对预测点产生的贡献值（</w:t>
            </w:r>
            <w:r>
              <w:rPr>
                <w:rFonts w:ascii="Times New Roman" w:hAnsi="Times New Roman" w:eastAsia="Times New Roman" w:cs="Times New Roman"/>
                <w:spacing w:val="-1"/>
              </w:rPr>
              <w:t>Leqg</w:t>
            </w:r>
            <w:r>
              <w:rPr>
                <w:spacing w:val="-1"/>
              </w:rPr>
              <w:t>）。</w:t>
            </w:r>
          </w:p>
        </w:tc>
      </w:tr>
    </w:tbl>
    <w:p w14:paraId="04E670F5">
      <w:pPr>
        <w:rPr>
          <w:rFonts w:ascii="Arial"/>
          <w:sz w:val="21"/>
        </w:rPr>
      </w:pPr>
    </w:p>
    <w:p w14:paraId="0292AFB6">
      <w:pPr>
        <w:rPr>
          <w:rFonts w:ascii="Arial" w:hAnsi="Arial" w:eastAsia="Arial" w:cs="Arial"/>
          <w:sz w:val="21"/>
          <w:szCs w:val="21"/>
        </w:rPr>
        <w:sectPr>
          <w:footerReference r:id="rId134" w:type="default"/>
          <w:pgSz w:w="11907" w:h="16840"/>
          <w:pgMar w:top="1431" w:right="907" w:bottom="1278" w:left="907" w:header="0" w:footer="1116" w:gutter="0"/>
          <w:cols w:space="720" w:num="1"/>
        </w:sectPr>
      </w:pPr>
    </w:p>
    <w:p w14:paraId="7C7D2E13">
      <w:pPr>
        <w:spacing w:line="99" w:lineRule="exact"/>
      </w:pPr>
    </w:p>
    <w:tbl>
      <w:tblPr>
        <w:tblStyle w:val="5"/>
        <w:tblW w:w="10077"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0077"/>
      </w:tblGrid>
      <w:tr w14:paraId="3AA1CB6A">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22" w:hRule="atLeast"/>
        </w:trPr>
        <w:tc>
          <w:tcPr>
            <w:tcW w:w="10077" w:type="dxa"/>
            <w:vAlign w:val="top"/>
          </w:tcPr>
          <w:p w14:paraId="2699E04D">
            <w:pPr>
              <w:spacing w:line="43" w:lineRule="auto"/>
              <w:rPr>
                <w:rFonts w:ascii="Arial"/>
                <w:sz w:val="2"/>
              </w:rPr>
            </w:pPr>
          </w:p>
          <w:tbl>
            <w:tblPr>
              <w:tblStyle w:val="5"/>
              <w:tblW w:w="9508" w:type="dxa"/>
              <w:tblInd w:w="4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1"/>
              <w:gridCol w:w="883"/>
              <w:gridCol w:w="883"/>
              <w:gridCol w:w="888"/>
              <w:gridCol w:w="1091"/>
              <w:gridCol w:w="1559"/>
              <w:gridCol w:w="1561"/>
              <w:gridCol w:w="1312"/>
            </w:tblGrid>
            <w:tr w14:paraId="458C6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8" w:hRule="atLeast"/>
              </w:trPr>
              <w:tc>
                <w:tcPr>
                  <w:tcW w:w="9508" w:type="dxa"/>
                  <w:gridSpan w:val="8"/>
                  <w:tcBorders>
                    <w:top w:val="nil"/>
                    <w:right w:val="nil"/>
                  </w:tcBorders>
                  <w:vAlign w:val="top"/>
                </w:tcPr>
                <w:p w14:paraId="6AEAD7C2">
                  <w:pPr>
                    <w:spacing w:before="32" w:line="819" w:lineRule="exact"/>
                    <w:ind w:left="2396"/>
                  </w:pPr>
                  <w:r>
                    <w:rPr>
                      <w:position w:val="-16"/>
                    </w:rPr>
                    <w:drawing>
                      <wp:inline distT="0" distB="0" distL="0" distR="0">
                        <wp:extent cx="3071495" cy="51943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29"/>
                                <a:stretch>
                                  <a:fillRect/>
                                </a:stretch>
                              </pic:blipFill>
                              <pic:spPr>
                                <a:xfrm>
                                  <a:off x="0" y="0"/>
                                  <a:ext cx="3071774" cy="519811"/>
                                </a:xfrm>
                                <a:prstGeom prst="rect">
                                  <a:avLst/>
                                </a:prstGeom>
                              </pic:spPr>
                            </pic:pic>
                          </a:graphicData>
                        </a:graphic>
                      </wp:inline>
                    </w:drawing>
                  </w:r>
                </w:p>
                <w:p w14:paraId="7347FC51">
                  <w:pPr>
                    <w:pStyle w:val="6"/>
                    <w:spacing w:before="174" w:line="212" w:lineRule="auto"/>
                    <w:ind w:left="601"/>
                  </w:pPr>
                  <w:r>
                    <w:rPr>
                      <w:spacing w:val="-1"/>
                    </w:rPr>
                    <w:t>式中：</w:t>
                  </w:r>
                  <w:r>
                    <w:rPr>
                      <w:rFonts w:ascii="Times New Roman" w:hAnsi="Times New Roman" w:eastAsia="Times New Roman" w:cs="Times New Roman"/>
                      <w:spacing w:val="-1"/>
                    </w:rPr>
                    <w:t>Leqg—</w:t>
                  </w:r>
                  <w:r>
                    <w:rPr>
                      <w:spacing w:val="-1"/>
                    </w:rPr>
                    <w:t>建设项目声源在预测点产生的噪声贡献值，</w:t>
                  </w:r>
                  <w:r>
                    <w:rPr>
                      <w:rFonts w:ascii="Times New Roman" w:hAnsi="Times New Roman" w:eastAsia="Times New Roman" w:cs="Times New Roman"/>
                      <w:spacing w:val="-1"/>
                    </w:rPr>
                    <w:t>dB</w:t>
                  </w:r>
                  <w:r>
                    <w:rPr>
                      <w:spacing w:val="-1"/>
                    </w:rPr>
                    <w:t>；</w:t>
                  </w:r>
                </w:p>
                <w:p w14:paraId="68B4926D">
                  <w:pPr>
                    <w:pStyle w:val="6"/>
                    <w:spacing w:before="190" w:line="350" w:lineRule="auto"/>
                    <w:ind w:left="1309" w:right="4659" w:firstLine="4"/>
                    <w:jc w:val="both"/>
                  </w:pPr>
                  <w:r>
                    <w:rPr>
                      <w:rFonts w:ascii="Times New Roman" w:hAnsi="Times New Roman" w:eastAsia="Times New Roman" w:cs="Times New Roman"/>
                      <w:spacing w:val="-5"/>
                    </w:rPr>
                    <w:t>T—</w:t>
                  </w:r>
                  <w:r>
                    <w:rPr>
                      <w:spacing w:val="-5"/>
                    </w:rPr>
                    <w:t>用于计算等效声级的时间，</w:t>
                  </w:r>
                  <w:r>
                    <w:rPr>
                      <w:rFonts w:ascii="Times New Roman" w:hAnsi="Times New Roman" w:eastAsia="Times New Roman" w:cs="Times New Roman"/>
                      <w:spacing w:val="-5"/>
                    </w:rPr>
                    <w:t>s</w:t>
                  </w:r>
                  <w:r>
                    <w:rPr>
                      <w:spacing w:val="-5"/>
                    </w:rPr>
                    <w:t>；</w:t>
                  </w:r>
                  <w:r>
                    <w:rPr>
                      <w:spacing w:val="10"/>
                    </w:rPr>
                    <w:t xml:space="preserve"> </w:t>
                  </w:r>
                  <w:r>
                    <w:rPr>
                      <w:rFonts w:ascii="Times New Roman" w:hAnsi="Times New Roman" w:eastAsia="Times New Roman" w:cs="Times New Roman"/>
                      <w:spacing w:val="-3"/>
                    </w:rPr>
                    <w:t>ti—T</w:t>
                  </w:r>
                  <w:r>
                    <w:rPr>
                      <w:rFonts w:ascii="Times New Roman" w:hAnsi="Times New Roman" w:eastAsia="Times New Roman" w:cs="Times New Roman"/>
                      <w:spacing w:val="24"/>
                      <w:w w:val="101"/>
                    </w:rPr>
                    <w:t xml:space="preserve"> </w:t>
                  </w:r>
                  <w:r>
                    <w:rPr>
                      <w:spacing w:val="-3"/>
                    </w:rPr>
                    <w:t>时段内</w:t>
                  </w:r>
                  <w:r>
                    <w:rPr>
                      <w:spacing w:val="-53"/>
                    </w:rPr>
                    <w:t xml:space="preserve"> </w:t>
                  </w:r>
                  <w:r>
                    <w:rPr>
                      <w:rFonts w:ascii="Times New Roman" w:hAnsi="Times New Roman" w:eastAsia="Times New Roman" w:cs="Times New Roman"/>
                      <w:spacing w:val="-3"/>
                    </w:rPr>
                    <w:t>i</w:t>
                  </w:r>
                  <w:r>
                    <w:rPr>
                      <w:rFonts w:ascii="Times New Roman" w:hAnsi="Times New Roman" w:eastAsia="Times New Roman" w:cs="Times New Roman"/>
                      <w:spacing w:val="14"/>
                    </w:rPr>
                    <w:t xml:space="preserve"> </w:t>
                  </w:r>
                  <w:r>
                    <w:rPr>
                      <w:spacing w:val="-3"/>
                    </w:rPr>
                    <w:t>声源工作时间，</w:t>
                  </w:r>
                  <w:r>
                    <w:rPr>
                      <w:rFonts w:ascii="Times New Roman" w:hAnsi="Times New Roman" w:eastAsia="Times New Roman" w:cs="Times New Roman"/>
                      <w:spacing w:val="-3"/>
                    </w:rPr>
                    <w:t>s</w:t>
                  </w:r>
                  <w:r>
                    <w:rPr>
                      <w:spacing w:val="-3"/>
                    </w:rPr>
                    <w:t>；</w:t>
                  </w:r>
                  <w:r>
                    <w:t xml:space="preserve"> </w:t>
                  </w:r>
                  <w:r>
                    <w:rPr>
                      <w:rFonts w:ascii="Times New Roman" w:hAnsi="Times New Roman" w:eastAsia="Times New Roman" w:cs="Times New Roman"/>
                    </w:rPr>
                    <w:t>tj</w:t>
                  </w:r>
                  <w:r>
                    <w:rPr>
                      <w:rFonts w:ascii="Times New Roman" w:hAnsi="Times New Roman" w:eastAsia="Times New Roman" w:cs="Times New Roman"/>
                      <w:spacing w:val="2"/>
                    </w:rPr>
                    <w:t>—T</w:t>
                  </w:r>
                  <w:r>
                    <w:rPr>
                      <w:rFonts w:ascii="Times New Roman" w:hAnsi="Times New Roman" w:eastAsia="Times New Roman" w:cs="Times New Roman"/>
                      <w:spacing w:val="23"/>
                    </w:rPr>
                    <w:t xml:space="preserve"> </w:t>
                  </w:r>
                  <w:r>
                    <w:rPr>
                      <w:spacing w:val="2"/>
                    </w:rPr>
                    <w:t>时段内</w:t>
                  </w:r>
                  <w:r>
                    <w:rPr>
                      <w:rFonts w:ascii="Times New Roman" w:hAnsi="Times New Roman" w:eastAsia="Times New Roman" w:cs="Times New Roman"/>
                      <w:spacing w:val="2"/>
                    </w:rPr>
                    <w:t xml:space="preserve">j </w:t>
                  </w:r>
                  <w:r>
                    <w:rPr>
                      <w:spacing w:val="2"/>
                    </w:rPr>
                    <w:t>声源工作时间，</w:t>
                  </w:r>
                  <w:r>
                    <w:rPr>
                      <w:rFonts w:ascii="Times New Roman" w:hAnsi="Times New Roman" w:eastAsia="Times New Roman" w:cs="Times New Roman"/>
                      <w:spacing w:val="2"/>
                    </w:rPr>
                    <w:t>s</w:t>
                  </w:r>
                  <w:r>
                    <w:rPr>
                      <w:spacing w:val="2"/>
                    </w:rPr>
                    <w:t>；</w:t>
                  </w:r>
                </w:p>
                <w:p w14:paraId="0627A459">
                  <w:pPr>
                    <w:pStyle w:val="6"/>
                    <w:spacing w:before="34" w:line="347" w:lineRule="auto"/>
                    <w:ind w:left="1310" w:right="5624" w:hanging="6"/>
                  </w:pPr>
                  <w:r>
                    <w:rPr>
                      <w:rFonts w:ascii="Times New Roman" w:hAnsi="Times New Roman" w:eastAsia="Times New Roman" w:cs="Times New Roman"/>
                    </w:rPr>
                    <w:t>N—</w:t>
                  </w:r>
                  <w:r>
                    <w:t>等效室外声源个数；</w:t>
                  </w:r>
                  <w:r>
                    <w:rPr>
                      <w:spacing w:val="1"/>
                    </w:rPr>
                    <w:t xml:space="preserve"> </w:t>
                  </w:r>
                  <w:r>
                    <w:rPr>
                      <w:rFonts w:ascii="Times New Roman" w:hAnsi="Times New Roman" w:eastAsia="Times New Roman" w:cs="Times New Roman"/>
                      <w:spacing w:val="-4"/>
                    </w:rPr>
                    <w:t>M—</w:t>
                  </w:r>
                  <w:r>
                    <w:rPr>
                      <w:spacing w:val="-4"/>
                    </w:rPr>
                    <w:t>等效室内声源个数。</w:t>
                  </w:r>
                </w:p>
                <w:p w14:paraId="3725C0FD">
                  <w:pPr>
                    <w:pStyle w:val="6"/>
                    <w:spacing w:before="32" w:line="217" w:lineRule="auto"/>
                    <w:ind w:left="595"/>
                  </w:pPr>
                  <w:r>
                    <w:rPr>
                      <w:spacing w:val="-2"/>
                    </w:rPr>
                    <w:t>③预测结果</w:t>
                  </w:r>
                </w:p>
                <w:p w14:paraId="4C3B53A1">
                  <w:pPr>
                    <w:pStyle w:val="6"/>
                    <w:spacing w:before="186" w:line="350" w:lineRule="auto"/>
                    <w:ind w:left="119" w:firstLine="478"/>
                  </w:pPr>
                  <w:r>
                    <w:t>本次评价采用</w:t>
                  </w:r>
                  <w:r>
                    <w:rPr>
                      <w:spacing w:val="-55"/>
                    </w:rPr>
                    <w:t xml:space="preserve"> </w:t>
                  </w:r>
                  <w:r>
                    <w:rPr>
                      <w:rFonts w:ascii="Times New Roman" w:hAnsi="Times New Roman" w:eastAsia="Times New Roman" w:cs="Times New Roman"/>
                    </w:rPr>
                    <w:t xml:space="preserve">EIAProN2021 </w:t>
                  </w:r>
                  <w:r>
                    <w:t>软件进行噪声预</w:t>
                  </w:r>
                  <w:r>
                    <w:rPr>
                      <w:spacing w:val="-1"/>
                    </w:rPr>
                    <w:t>测，本次评价以升压站站址中心（东经</w:t>
                  </w:r>
                  <w:r>
                    <w:t xml:space="preserve">  </w:t>
                  </w:r>
                  <w:r>
                    <w:rPr>
                      <w:rFonts w:ascii="Times New Roman" w:hAnsi="Times New Roman" w:eastAsia="Times New Roman" w:cs="Times New Roman"/>
                      <w:spacing w:val="-1"/>
                    </w:rPr>
                    <w:t>103°25′28.293″</w:t>
                  </w:r>
                  <w:r>
                    <w:rPr>
                      <w:rFonts w:ascii="Times New Roman" w:hAnsi="Times New Roman" w:eastAsia="Times New Roman" w:cs="Times New Roman"/>
                      <w:spacing w:val="-29"/>
                    </w:rPr>
                    <w:t xml:space="preserve"> </w:t>
                  </w:r>
                  <w:r>
                    <w:rPr>
                      <w:spacing w:val="-1"/>
                    </w:rPr>
                    <w:t>，北纬</w:t>
                  </w:r>
                  <w:r>
                    <w:rPr>
                      <w:spacing w:val="-55"/>
                    </w:rPr>
                    <w:t xml:space="preserve"> </w:t>
                  </w:r>
                  <w:r>
                    <w:rPr>
                      <w:rFonts w:ascii="Times New Roman" w:hAnsi="Times New Roman" w:eastAsia="Times New Roman" w:cs="Times New Roman"/>
                      <w:spacing w:val="-1"/>
                    </w:rPr>
                    <w:t>25°41′32.340″</w:t>
                  </w:r>
                  <w:r>
                    <w:rPr>
                      <w:spacing w:val="-1"/>
                    </w:rPr>
                    <w:t>）为坐标原点，正东向为</w:t>
                  </w:r>
                  <w:r>
                    <w:rPr>
                      <w:spacing w:val="-58"/>
                    </w:rPr>
                    <w:t xml:space="preserve"> </w:t>
                  </w:r>
                  <w:r>
                    <w:rPr>
                      <w:rFonts w:ascii="Times New Roman" w:hAnsi="Times New Roman" w:eastAsia="Times New Roman" w:cs="Times New Roman"/>
                      <w:spacing w:val="-1"/>
                    </w:rPr>
                    <w:t xml:space="preserve">X </w:t>
                  </w:r>
                  <w:r>
                    <w:rPr>
                      <w:spacing w:val="-1"/>
                    </w:rPr>
                    <w:t>轴正方向，正北向为</w:t>
                  </w:r>
                  <w:r>
                    <w:rPr>
                      <w:spacing w:val="-58"/>
                    </w:rPr>
                    <w:t xml:space="preserve"> </w:t>
                  </w:r>
                  <w:r>
                    <w:rPr>
                      <w:rFonts w:ascii="Times New Roman" w:hAnsi="Times New Roman" w:eastAsia="Times New Roman" w:cs="Times New Roman"/>
                      <w:spacing w:val="-1"/>
                    </w:rPr>
                    <w:t xml:space="preserve">Y </w:t>
                  </w:r>
                  <w:r>
                    <w:rPr>
                      <w:spacing w:val="-1"/>
                    </w:rPr>
                    <w:t>轴</w:t>
                  </w:r>
                  <w:r>
                    <w:t xml:space="preserve"> </w:t>
                  </w:r>
                  <w:r>
                    <w:rPr>
                      <w:spacing w:val="-1"/>
                    </w:rPr>
                    <w:t>正方向，建立坐标系，设置（</w:t>
                  </w:r>
                  <w:r>
                    <w:rPr>
                      <w:rFonts w:ascii="Times New Roman" w:hAnsi="Times New Roman" w:eastAsia="Times New Roman" w:cs="Times New Roman"/>
                      <w:spacing w:val="-1"/>
                    </w:rPr>
                    <w:t>x</w:t>
                  </w:r>
                  <w:r>
                    <w:rPr>
                      <w:rFonts w:ascii="Times New Roman" w:hAnsi="Times New Roman" w:eastAsia="Times New Roman" w:cs="Times New Roman"/>
                      <w:spacing w:val="-27"/>
                    </w:rPr>
                    <w:t xml:space="preserve"> </w:t>
                  </w:r>
                  <w:r>
                    <w:rPr>
                      <w:spacing w:val="-1"/>
                    </w:rPr>
                    <w:t>，</w:t>
                  </w:r>
                  <w:r>
                    <w:rPr>
                      <w:rFonts w:ascii="Times New Roman" w:hAnsi="Times New Roman" w:eastAsia="Times New Roman" w:cs="Times New Roman"/>
                      <w:spacing w:val="-1"/>
                    </w:rPr>
                    <w:t>y</w:t>
                  </w:r>
                  <w:r>
                    <w:rPr>
                      <w:spacing w:val="-1"/>
                    </w:rPr>
                    <w:t>）为（</w:t>
                  </w:r>
                  <w:r>
                    <w:rPr>
                      <w:rFonts w:ascii="Times New Roman" w:hAnsi="Times New Roman" w:eastAsia="Times New Roman" w:cs="Times New Roman"/>
                      <w:spacing w:val="-1"/>
                    </w:rPr>
                    <w:t>-300,-300</w:t>
                  </w:r>
                  <w:r>
                    <w:rPr>
                      <w:spacing w:val="-1"/>
                    </w:rPr>
                    <w:t>）至（</w:t>
                  </w:r>
                  <w:r>
                    <w:rPr>
                      <w:rFonts w:ascii="Times New Roman" w:hAnsi="Times New Roman" w:eastAsia="Times New Roman" w:cs="Times New Roman"/>
                      <w:spacing w:val="-1"/>
                    </w:rPr>
                    <w:t>300,300</w:t>
                  </w:r>
                  <w:r>
                    <w:rPr>
                      <w:spacing w:val="-1"/>
                    </w:rPr>
                    <w:t>）的计算网格及以厂界线</w:t>
                  </w:r>
                  <w:r>
                    <w:t xml:space="preserve"> </w:t>
                  </w:r>
                  <w:r>
                    <w:rPr>
                      <w:spacing w:val="-2"/>
                    </w:rPr>
                    <w:t>为曲线、步长</w:t>
                  </w:r>
                  <w:r>
                    <w:rPr>
                      <w:spacing w:val="-29"/>
                    </w:rPr>
                    <w:t xml:space="preserve"> </w:t>
                  </w:r>
                  <w:r>
                    <w:rPr>
                      <w:rFonts w:ascii="Times New Roman" w:hAnsi="Times New Roman" w:eastAsia="Times New Roman" w:cs="Times New Roman"/>
                      <w:spacing w:val="-2"/>
                    </w:rPr>
                    <w:t>10m</w:t>
                  </w:r>
                  <w:r>
                    <w:rPr>
                      <w:rFonts w:ascii="Times New Roman" w:hAnsi="Times New Roman" w:eastAsia="Times New Roman" w:cs="Times New Roman"/>
                      <w:spacing w:val="29"/>
                      <w:w w:val="101"/>
                    </w:rPr>
                    <w:t xml:space="preserve"> </w:t>
                  </w:r>
                  <w:r>
                    <w:rPr>
                      <w:spacing w:val="-2"/>
                    </w:rPr>
                    <w:t>的曲线点进行项目对厂界外环境的影响和厂界贡献值达标情况。</w:t>
                  </w:r>
                </w:p>
                <w:p w14:paraId="3221CB0F">
                  <w:pPr>
                    <w:pStyle w:val="6"/>
                    <w:spacing w:before="45" w:line="345" w:lineRule="auto"/>
                    <w:ind w:left="116" w:right="43" w:hanging="4"/>
                  </w:pPr>
                  <w:r>
                    <w:rPr>
                      <w:rFonts w:ascii="Times New Roman" w:hAnsi="Times New Roman" w:eastAsia="Times New Roman" w:cs="Times New Roman"/>
                      <w:spacing w:val="-1"/>
                    </w:rPr>
                    <w:t>EIAProN2021</w:t>
                  </w:r>
                  <w:r>
                    <w:rPr>
                      <w:rFonts w:ascii="Times New Roman" w:hAnsi="Times New Roman" w:eastAsia="Times New Roman" w:cs="Times New Roman"/>
                      <w:spacing w:val="15"/>
                    </w:rPr>
                    <w:t xml:space="preserve"> </w:t>
                  </w:r>
                  <w:r>
                    <w:rPr>
                      <w:spacing w:val="-1"/>
                    </w:rPr>
                    <w:t>软件内嵌《环境影响</w:t>
                  </w:r>
                  <w:r>
                    <w:rPr>
                      <w:spacing w:val="-2"/>
                    </w:rPr>
                    <w:t>评价技术导则 声环境》（</w:t>
                  </w:r>
                  <w:r>
                    <w:rPr>
                      <w:rFonts w:ascii="Times New Roman" w:hAnsi="Times New Roman" w:eastAsia="Times New Roman" w:cs="Times New Roman"/>
                      <w:spacing w:val="-2"/>
                    </w:rPr>
                    <w:t>HJ2.4-2021</w:t>
                  </w:r>
                  <w:r>
                    <w:rPr>
                      <w:spacing w:val="-2"/>
                    </w:rPr>
                    <w:t>）推荐计算模型，</w:t>
                  </w:r>
                  <w:r>
                    <w:t xml:space="preserve"> </w:t>
                  </w:r>
                  <w:r>
                    <w:rPr>
                      <w:spacing w:val="-2"/>
                    </w:rPr>
                    <w:t>计算结果可靠。</w:t>
                  </w:r>
                </w:p>
                <w:p w14:paraId="143EACF3">
                  <w:pPr>
                    <w:pStyle w:val="6"/>
                    <w:spacing w:before="37" w:line="345" w:lineRule="auto"/>
                    <w:ind w:left="117" w:right="18" w:firstLine="479"/>
                  </w:pPr>
                  <w:r>
                    <w:rPr>
                      <w:spacing w:val="-1"/>
                    </w:rPr>
                    <w:t>通过预测模型计算，项目厂界噪声贡献值结果与达标分析见表</w:t>
                  </w:r>
                  <w:r>
                    <w:rPr>
                      <w:spacing w:val="-57"/>
                    </w:rPr>
                    <w:t xml:space="preserve"> </w:t>
                  </w:r>
                  <w:r>
                    <w:rPr>
                      <w:rFonts w:ascii="Times New Roman" w:hAnsi="Times New Roman" w:eastAsia="Times New Roman" w:cs="Times New Roman"/>
                      <w:spacing w:val="-1"/>
                    </w:rPr>
                    <w:t>4-11</w:t>
                  </w:r>
                  <w:r>
                    <w:rPr>
                      <w:rFonts w:ascii="Times New Roman" w:hAnsi="Times New Roman" w:eastAsia="Times New Roman" w:cs="Times New Roman"/>
                      <w:spacing w:val="-31"/>
                    </w:rPr>
                    <w:t xml:space="preserve"> </w:t>
                  </w:r>
                  <w:r>
                    <w:rPr>
                      <w:spacing w:val="-1"/>
                    </w:rPr>
                    <w:t>，对外</w:t>
                  </w:r>
                  <w:r>
                    <w:rPr>
                      <w:spacing w:val="-2"/>
                    </w:rPr>
                    <w:t>环境影响预</w:t>
                  </w:r>
                  <w:r>
                    <w:t xml:space="preserve"> </w:t>
                  </w:r>
                  <w:r>
                    <w:rPr>
                      <w:spacing w:val="-1"/>
                    </w:rPr>
                    <w:t>测结果见表</w:t>
                  </w:r>
                  <w:r>
                    <w:rPr>
                      <w:spacing w:val="-51"/>
                    </w:rPr>
                    <w:t xml:space="preserve"> </w:t>
                  </w:r>
                  <w:r>
                    <w:rPr>
                      <w:rFonts w:ascii="Times New Roman" w:hAnsi="Times New Roman" w:eastAsia="Times New Roman" w:cs="Times New Roman"/>
                      <w:spacing w:val="-1"/>
                    </w:rPr>
                    <w:t xml:space="preserve">4-12 </w:t>
                  </w:r>
                  <w:r>
                    <w:rPr>
                      <w:spacing w:val="-1"/>
                    </w:rPr>
                    <w:t>所示，预测等声值线图见图</w:t>
                  </w:r>
                  <w:r>
                    <w:rPr>
                      <w:spacing w:val="-56"/>
                    </w:rPr>
                    <w:t xml:space="preserve"> </w:t>
                  </w:r>
                  <w:r>
                    <w:rPr>
                      <w:rFonts w:ascii="Times New Roman" w:hAnsi="Times New Roman" w:eastAsia="Times New Roman" w:cs="Times New Roman"/>
                      <w:spacing w:val="-1"/>
                    </w:rPr>
                    <w:t>4-7</w:t>
                  </w:r>
                  <w:r>
                    <w:rPr>
                      <w:spacing w:val="-1"/>
                    </w:rPr>
                    <w:t>。</w:t>
                  </w:r>
                </w:p>
                <w:p w14:paraId="031D8072">
                  <w:pPr>
                    <w:pStyle w:val="6"/>
                    <w:spacing w:before="33" w:line="217" w:lineRule="auto"/>
                    <w:ind w:left="1756"/>
                    <w:rPr>
                      <w:sz w:val="20"/>
                      <w:szCs w:val="20"/>
                    </w:rPr>
                  </w:pPr>
                  <w:r>
                    <w:rPr>
                      <w:b/>
                      <w:bCs/>
                      <w:spacing w:val="7"/>
                      <w:sz w:val="20"/>
                      <w:szCs w:val="20"/>
                    </w:rPr>
                    <w:t>表</w:t>
                  </w:r>
                  <w:r>
                    <w:rPr>
                      <w:spacing w:val="-40"/>
                      <w:sz w:val="20"/>
                      <w:szCs w:val="20"/>
                    </w:rPr>
                    <w:t xml:space="preserve"> </w:t>
                  </w:r>
                  <w:r>
                    <w:rPr>
                      <w:rFonts w:ascii="Times New Roman" w:hAnsi="Times New Roman" w:eastAsia="Times New Roman" w:cs="Times New Roman"/>
                      <w:b/>
                      <w:bCs/>
                      <w:spacing w:val="7"/>
                      <w:sz w:val="20"/>
                      <w:szCs w:val="20"/>
                    </w:rPr>
                    <w:t xml:space="preserve">4-11    </w:t>
                  </w:r>
                  <w:r>
                    <w:rPr>
                      <w:b/>
                      <w:bCs/>
                      <w:spacing w:val="7"/>
                      <w:sz w:val="20"/>
                      <w:szCs w:val="20"/>
                    </w:rPr>
                    <w:t>升压站厂界噪声预测结果与达标分析表</w:t>
                  </w:r>
                  <w:r>
                    <w:rPr>
                      <w:spacing w:val="7"/>
                      <w:sz w:val="20"/>
                      <w:szCs w:val="20"/>
                    </w:rPr>
                    <w:t xml:space="preserve"> </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b/>
                      <w:bCs/>
                      <w:spacing w:val="6"/>
                      <w:sz w:val="20"/>
                      <w:szCs w:val="20"/>
                    </w:rPr>
                    <w:t>（</w:t>
                  </w:r>
                  <w:r>
                    <w:rPr>
                      <w:rFonts w:ascii="Times New Roman" w:hAnsi="Times New Roman" w:eastAsia="Times New Roman" w:cs="Times New Roman"/>
                      <w:b/>
                      <w:bCs/>
                      <w:spacing w:val="6"/>
                      <w:sz w:val="20"/>
                      <w:szCs w:val="20"/>
                    </w:rPr>
                    <w:t>A</w:t>
                  </w:r>
                  <w:r>
                    <w:rPr>
                      <w:b/>
                      <w:bCs/>
                      <w:spacing w:val="6"/>
                      <w:sz w:val="20"/>
                      <w:szCs w:val="20"/>
                    </w:rPr>
                    <w:t>）</w:t>
                  </w:r>
                </w:p>
              </w:tc>
            </w:tr>
            <w:tr w14:paraId="3CE25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331" w:type="dxa"/>
                  <w:vMerge w:val="restart"/>
                  <w:tcBorders>
                    <w:bottom w:val="nil"/>
                  </w:tcBorders>
                  <w:vAlign w:val="top"/>
                </w:tcPr>
                <w:p w14:paraId="252AD7D4">
                  <w:pPr>
                    <w:spacing w:line="323" w:lineRule="auto"/>
                    <w:rPr>
                      <w:rFonts w:ascii="Arial"/>
                      <w:sz w:val="21"/>
                    </w:rPr>
                  </w:pPr>
                </w:p>
                <w:p w14:paraId="4F0880EA">
                  <w:pPr>
                    <w:pStyle w:val="6"/>
                    <w:spacing w:before="65" w:line="228" w:lineRule="auto"/>
                    <w:ind w:left="307"/>
                    <w:rPr>
                      <w:sz w:val="20"/>
                      <w:szCs w:val="20"/>
                    </w:rPr>
                  </w:pPr>
                  <w:r>
                    <w:rPr>
                      <w:b/>
                      <w:bCs/>
                      <w:spacing w:val="6"/>
                      <w:sz w:val="20"/>
                      <w:szCs w:val="20"/>
                    </w:rPr>
                    <w:t>预测方位</w:t>
                  </w:r>
                </w:p>
              </w:tc>
              <w:tc>
                <w:tcPr>
                  <w:tcW w:w="2654" w:type="dxa"/>
                  <w:gridSpan w:val="3"/>
                  <w:vAlign w:val="top"/>
                </w:tcPr>
                <w:p w14:paraId="35DD41AD">
                  <w:pPr>
                    <w:pStyle w:val="6"/>
                    <w:spacing w:before="197" w:line="228" w:lineRule="auto"/>
                    <w:ind w:left="162"/>
                    <w:rPr>
                      <w:rFonts w:ascii="Times New Roman" w:hAnsi="Times New Roman" w:eastAsia="Times New Roman" w:cs="Times New Roman"/>
                      <w:sz w:val="20"/>
                      <w:szCs w:val="20"/>
                    </w:rPr>
                  </w:pPr>
                  <w:r>
                    <w:rPr>
                      <w:b/>
                      <w:bCs/>
                      <w:spacing w:val="7"/>
                      <w:sz w:val="20"/>
                      <w:szCs w:val="20"/>
                    </w:rPr>
                    <w:t>最大值点空间相对位置</w:t>
                  </w:r>
                  <w:r>
                    <w:rPr>
                      <w:rFonts w:ascii="Times New Roman" w:hAnsi="Times New Roman" w:eastAsia="Times New Roman" w:cs="Times New Roman"/>
                      <w:b/>
                      <w:bCs/>
                      <w:spacing w:val="7"/>
                      <w:sz w:val="20"/>
                      <w:szCs w:val="20"/>
                    </w:rPr>
                    <w:t>/m</w:t>
                  </w:r>
                </w:p>
              </w:tc>
              <w:tc>
                <w:tcPr>
                  <w:tcW w:w="1091" w:type="dxa"/>
                  <w:vMerge w:val="restart"/>
                  <w:tcBorders>
                    <w:bottom w:val="nil"/>
                  </w:tcBorders>
                  <w:vAlign w:val="top"/>
                </w:tcPr>
                <w:p w14:paraId="0CAE54D5">
                  <w:pPr>
                    <w:spacing w:line="323" w:lineRule="auto"/>
                    <w:rPr>
                      <w:rFonts w:ascii="Arial"/>
                      <w:sz w:val="21"/>
                    </w:rPr>
                  </w:pPr>
                </w:p>
                <w:p w14:paraId="2B44F9DD">
                  <w:pPr>
                    <w:pStyle w:val="6"/>
                    <w:spacing w:before="65" w:line="229" w:lineRule="auto"/>
                    <w:ind w:left="350"/>
                    <w:rPr>
                      <w:sz w:val="20"/>
                      <w:szCs w:val="20"/>
                    </w:rPr>
                  </w:pPr>
                  <w:r>
                    <w:rPr>
                      <w:b/>
                      <w:bCs/>
                      <w:spacing w:val="-1"/>
                      <w:sz w:val="20"/>
                      <w:szCs w:val="20"/>
                    </w:rPr>
                    <w:t>时段</w:t>
                  </w:r>
                </w:p>
              </w:tc>
              <w:tc>
                <w:tcPr>
                  <w:tcW w:w="1559" w:type="dxa"/>
                  <w:vMerge w:val="restart"/>
                  <w:tcBorders>
                    <w:bottom w:val="nil"/>
                  </w:tcBorders>
                  <w:vAlign w:val="top"/>
                </w:tcPr>
                <w:p w14:paraId="6199DC0E">
                  <w:pPr>
                    <w:spacing w:line="322" w:lineRule="auto"/>
                    <w:rPr>
                      <w:rFonts w:ascii="Arial"/>
                      <w:sz w:val="21"/>
                    </w:rPr>
                  </w:pPr>
                </w:p>
                <w:p w14:paraId="48CC9E1C">
                  <w:pPr>
                    <w:pStyle w:val="6"/>
                    <w:spacing w:before="65" w:line="221" w:lineRule="auto"/>
                    <w:jc w:val="right"/>
                    <w:rPr>
                      <w:sz w:val="20"/>
                      <w:szCs w:val="20"/>
                    </w:rPr>
                  </w:pPr>
                  <w:r>
                    <w:rPr>
                      <w:b/>
                      <w:bCs/>
                      <w:spacing w:val="-5"/>
                      <w:sz w:val="20"/>
                      <w:szCs w:val="20"/>
                    </w:rPr>
                    <w:t>贡献值（</w:t>
                  </w:r>
                  <w:r>
                    <w:rPr>
                      <w:rFonts w:ascii="Times New Roman" w:hAnsi="Times New Roman" w:eastAsia="Times New Roman" w:cs="Times New Roman"/>
                      <w:b/>
                      <w:bCs/>
                      <w:spacing w:val="-5"/>
                      <w:sz w:val="20"/>
                      <w:szCs w:val="20"/>
                    </w:rPr>
                    <w:t>dB(A)</w:t>
                  </w:r>
                  <w:r>
                    <w:rPr>
                      <w:b/>
                      <w:bCs/>
                      <w:spacing w:val="-5"/>
                      <w:sz w:val="20"/>
                      <w:szCs w:val="20"/>
                    </w:rPr>
                    <w:t>）</w:t>
                  </w:r>
                </w:p>
              </w:tc>
              <w:tc>
                <w:tcPr>
                  <w:tcW w:w="1561" w:type="dxa"/>
                  <w:vMerge w:val="restart"/>
                  <w:tcBorders>
                    <w:bottom w:val="nil"/>
                  </w:tcBorders>
                  <w:vAlign w:val="top"/>
                </w:tcPr>
                <w:p w14:paraId="5038E14C">
                  <w:pPr>
                    <w:pStyle w:val="6"/>
                    <w:spacing w:before="252" w:line="236" w:lineRule="auto"/>
                    <w:ind w:left="314" w:right="311" w:firstLine="53"/>
                    <w:rPr>
                      <w:sz w:val="20"/>
                      <w:szCs w:val="20"/>
                    </w:rPr>
                  </w:pPr>
                  <w:r>
                    <w:rPr>
                      <w:b/>
                      <w:bCs/>
                      <w:spacing w:val="6"/>
                      <w:sz w:val="20"/>
                      <w:szCs w:val="20"/>
                    </w:rPr>
                    <w:t>标准限值</w:t>
                  </w:r>
                  <w:r>
                    <w:rPr>
                      <w:sz w:val="20"/>
                      <w:szCs w:val="20"/>
                    </w:rPr>
                    <w:t xml:space="preserve"> </w:t>
                  </w:r>
                  <w:r>
                    <w:rPr>
                      <w:b/>
                      <w:bCs/>
                      <w:sz w:val="20"/>
                      <w:szCs w:val="20"/>
                    </w:rPr>
                    <w:t>（</w:t>
                  </w:r>
                  <w:r>
                    <w:rPr>
                      <w:rFonts w:ascii="Times New Roman" w:hAnsi="Times New Roman" w:eastAsia="Times New Roman" w:cs="Times New Roman"/>
                      <w:b/>
                      <w:bCs/>
                      <w:sz w:val="20"/>
                      <w:szCs w:val="20"/>
                    </w:rPr>
                    <w:t>dB(A)</w:t>
                  </w:r>
                  <w:r>
                    <w:rPr>
                      <w:b/>
                      <w:bCs/>
                      <w:sz w:val="20"/>
                      <w:szCs w:val="20"/>
                    </w:rPr>
                    <w:t>）</w:t>
                  </w:r>
                </w:p>
              </w:tc>
              <w:tc>
                <w:tcPr>
                  <w:tcW w:w="1312" w:type="dxa"/>
                  <w:vMerge w:val="restart"/>
                  <w:tcBorders>
                    <w:bottom w:val="nil"/>
                  </w:tcBorders>
                  <w:vAlign w:val="top"/>
                </w:tcPr>
                <w:p w14:paraId="3983230D">
                  <w:pPr>
                    <w:spacing w:line="323" w:lineRule="auto"/>
                    <w:rPr>
                      <w:rFonts w:ascii="Arial"/>
                      <w:sz w:val="21"/>
                    </w:rPr>
                  </w:pPr>
                </w:p>
                <w:p w14:paraId="5D344898">
                  <w:pPr>
                    <w:pStyle w:val="6"/>
                    <w:spacing w:before="65" w:line="228" w:lineRule="auto"/>
                    <w:ind w:left="239"/>
                    <w:rPr>
                      <w:sz w:val="20"/>
                      <w:szCs w:val="20"/>
                    </w:rPr>
                  </w:pPr>
                  <w:r>
                    <w:rPr>
                      <w:b/>
                      <w:bCs/>
                      <w:spacing w:val="6"/>
                      <w:sz w:val="20"/>
                      <w:szCs w:val="20"/>
                    </w:rPr>
                    <w:t>达标情况</w:t>
                  </w:r>
                </w:p>
              </w:tc>
            </w:tr>
            <w:tr w14:paraId="21C4E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331" w:type="dxa"/>
                  <w:vMerge w:val="continue"/>
                  <w:tcBorders>
                    <w:top w:val="nil"/>
                  </w:tcBorders>
                  <w:vAlign w:val="top"/>
                </w:tcPr>
                <w:p w14:paraId="2D32D3AE">
                  <w:pPr>
                    <w:rPr>
                      <w:rFonts w:ascii="Arial"/>
                      <w:sz w:val="21"/>
                    </w:rPr>
                  </w:pPr>
                </w:p>
              </w:tc>
              <w:tc>
                <w:tcPr>
                  <w:tcW w:w="883" w:type="dxa"/>
                  <w:vAlign w:val="top"/>
                </w:tcPr>
                <w:p w14:paraId="31EA00C0">
                  <w:pPr>
                    <w:spacing w:before="121" w:line="192"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883" w:type="dxa"/>
                  <w:vAlign w:val="top"/>
                </w:tcPr>
                <w:p w14:paraId="3BDFCF35">
                  <w:pPr>
                    <w:spacing w:before="121" w:line="192"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888" w:type="dxa"/>
                  <w:vAlign w:val="top"/>
                </w:tcPr>
                <w:p w14:paraId="2613BD95">
                  <w:pPr>
                    <w:spacing w:before="121" w:line="192"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1091" w:type="dxa"/>
                  <w:vMerge w:val="continue"/>
                  <w:tcBorders>
                    <w:top w:val="nil"/>
                  </w:tcBorders>
                  <w:vAlign w:val="top"/>
                </w:tcPr>
                <w:p w14:paraId="2A2C4C53">
                  <w:pPr>
                    <w:rPr>
                      <w:rFonts w:ascii="Arial"/>
                      <w:sz w:val="21"/>
                    </w:rPr>
                  </w:pPr>
                </w:p>
              </w:tc>
              <w:tc>
                <w:tcPr>
                  <w:tcW w:w="1559" w:type="dxa"/>
                  <w:vMerge w:val="continue"/>
                  <w:tcBorders>
                    <w:top w:val="nil"/>
                  </w:tcBorders>
                  <w:vAlign w:val="top"/>
                </w:tcPr>
                <w:p w14:paraId="72238F12">
                  <w:pPr>
                    <w:rPr>
                      <w:rFonts w:ascii="Arial"/>
                      <w:sz w:val="21"/>
                    </w:rPr>
                  </w:pPr>
                </w:p>
              </w:tc>
              <w:tc>
                <w:tcPr>
                  <w:tcW w:w="1561" w:type="dxa"/>
                  <w:vMerge w:val="continue"/>
                  <w:tcBorders>
                    <w:top w:val="nil"/>
                  </w:tcBorders>
                  <w:vAlign w:val="top"/>
                </w:tcPr>
                <w:p w14:paraId="65795956">
                  <w:pPr>
                    <w:rPr>
                      <w:rFonts w:ascii="Arial"/>
                      <w:sz w:val="21"/>
                    </w:rPr>
                  </w:pPr>
                </w:p>
              </w:tc>
              <w:tc>
                <w:tcPr>
                  <w:tcW w:w="1312" w:type="dxa"/>
                  <w:vMerge w:val="continue"/>
                  <w:tcBorders>
                    <w:top w:val="nil"/>
                  </w:tcBorders>
                  <w:vAlign w:val="top"/>
                </w:tcPr>
                <w:p w14:paraId="583617F7">
                  <w:pPr>
                    <w:rPr>
                      <w:rFonts w:ascii="Arial"/>
                      <w:sz w:val="21"/>
                    </w:rPr>
                  </w:pPr>
                </w:p>
              </w:tc>
            </w:tr>
            <w:tr w14:paraId="6E028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331" w:type="dxa"/>
                  <w:vMerge w:val="restart"/>
                  <w:tcBorders>
                    <w:bottom w:val="nil"/>
                  </w:tcBorders>
                  <w:vAlign w:val="top"/>
                </w:tcPr>
                <w:p w14:paraId="778038D0">
                  <w:pPr>
                    <w:spacing w:line="247" w:lineRule="auto"/>
                    <w:rPr>
                      <w:rFonts w:ascii="Arial"/>
                      <w:sz w:val="21"/>
                    </w:rPr>
                  </w:pPr>
                </w:p>
                <w:p w14:paraId="0DF84B8A">
                  <w:pPr>
                    <w:pStyle w:val="6"/>
                    <w:spacing w:before="65" w:line="228" w:lineRule="auto"/>
                    <w:ind w:left="526"/>
                    <w:rPr>
                      <w:sz w:val="20"/>
                      <w:szCs w:val="20"/>
                    </w:rPr>
                  </w:pPr>
                  <w:r>
                    <w:rPr>
                      <w:spacing w:val="1"/>
                      <w:sz w:val="20"/>
                      <w:szCs w:val="20"/>
                    </w:rPr>
                    <w:t>东侧</w:t>
                  </w:r>
                </w:p>
              </w:tc>
              <w:tc>
                <w:tcPr>
                  <w:tcW w:w="883" w:type="dxa"/>
                  <w:vAlign w:val="top"/>
                </w:tcPr>
                <w:p w14:paraId="2DDD24F4">
                  <w:pPr>
                    <w:spacing w:before="132"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883" w:type="dxa"/>
                  <w:vAlign w:val="top"/>
                </w:tcPr>
                <w:p w14:paraId="75180CEC">
                  <w:pPr>
                    <w:spacing w:before="13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w:t>
                  </w:r>
                </w:p>
              </w:tc>
              <w:tc>
                <w:tcPr>
                  <w:tcW w:w="888" w:type="dxa"/>
                  <w:vAlign w:val="top"/>
                </w:tcPr>
                <w:p w14:paraId="5D0F227D">
                  <w:pPr>
                    <w:spacing w:before="132"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91" w:type="dxa"/>
                  <w:vAlign w:val="top"/>
                </w:tcPr>
                <w:p w14:paraId="0DB45778">
                  <w:pPr>
                    <w:pStyle w:val="6"/>
                    <w:spacing w:before="97" w:line="230" w:lineRule="auto"/>
                    <w:ind w:left="339"/>
                    <w:rPr>
                      <w:sz w:val="20"/>
                      <w:szCs w:val="20"/>
                    </w:rPr>
                  </w:pPr>
                  <w:r>
                    <w:rPr>
                      <w:spacing w:val="5"/>
                      <w:sz w:val="20"/>
                      <w:szCs w:val="20"/>
                    </w:rPr>
                    <w:t>昼间</w:t>
                  </w:r>
                </w:p>
              </w:tc>
              <w:tc>
                <w:tcPr>
                  <w:tcW w:w="1559" w:type="dxa"/>
                  <w:vAlign w:val="top"/>
                </w:tcPr>
                <w:p w14:paraId="53388A60">
                  <w:pPr>
                    <w:spacing w:before="132"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31.47</w:t>
                  </w:r>
                </w:p>
              </w:tc>
              <w:tc>
                <w:tcPr>
                  <w:tcW w:w="1561" w:type="dxa"/>
                  <w:vAlign w:val="top"/>
                </w:tcPr>
                <w:p w14:paraId="40DC1D97">
                  <w:pPr>
                    <w:spacing w:before="132"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12" w:type="dxa"/>
                  <w:vAlign w:val="top"/>
                </w:tcPr>
                <w:p w14:paraId="505B2A2C">
                  <w:pPr>
                    <w:pStyle w:val="6"/>
                    <w:spacing w:before="96" w:line="228" w:lineRule="auto"/>
                    <w:ind w:left="450"/>
                    <w:rPr>
                      <w:sz w:val="20"/>
                      <w:szCs w:val="20"/>
                    </w:rPr>
                  </w:pPr>
                  <w:r>
                    <w:rPr>
                      <w:spacing w:val="5"/>
                      <w:sz w:val="20"/>
                      <w:szCs w:val="20"/>
                    </w:rPr>
                    <w:t>达标</w:t>
                  </w:r>
                </w:p>
              </w:tc>
            </w:tr>
            <w:tr w14:paraId="3ED7B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31" w:type="dxa"/>
                  <w:vMerge w:val="continue"/>
                  <w:tcBorders>
                    <w:top w:val="nil"/>
                  </w:tcBorders>
                  <w:vAlign w:val="top"/>
                </w:tcPr>
                <w:p w14:paraId="355F6270">
                  <w:pPr>
                    <w:rPr>
                      <w:rFonts w:ascii="Arial"/>
                      <w:sz w:val="21"/>
                    </w:rPr>
                  </w:pPr>
                </w:p>
              </w:tc>
              <w:tc>
                <w:tcPr>
                  <w:tcW w:w="883" w:type="dxa"/>
                  <w:vAlign w:val="top"/>
                </w:tcPr>
                <w:p w14:paraId="768FD57D">
                  <w:pPr>
                    <w:spacing w:before="146"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883" w:type="dxa"/>
                  <w:vAlign w:val="top"/>
                </w:tcPr>
                <w:p w14:paraId="436F2102">
                  <w:pPr>
                    <w:spacing w:before="14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w:t>
                  </w:r>
                </w:p>
              </w:tc>
              <w:tc>
                <w:tcPr>
                  <w:tcW w:w="888" w:type="dxa"/>
                  <w:vAlign w:val="top"/>
                </w:tcPr>
                <w:p w14:paraId="5848C849">
                  <w:pPr>
                    <w:spacing w:before="146"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91" w:type="dxa"/>
                  <w:vAlign w:val="top"/>
                </w:tcPr>
                <w:p w14:paraId="59CCAD8D">
                  <w:pPr>
                    <w:pStyle w:val="6"/>
                    <w:spacing w:before="107" w:line="228" w:lineRule="auto"/>
                    <w:ind w:left="343"/>
                    <w:rPr>
                      <w:sz w:val="20"/>
                      <w:szCs w:val="20"/>
                    </w:rPr>
                  </w:pPr>
                  <w:r>
                    <w:rPr>
                      <w:spacing w:val="3"/>
                      <w:sz w:val="20"/>
                      <w:szCs w:val="20"/>
                    </w:rPr>
                    <w:t>夜间</w:t>
                  </w:r>
                </w:p>
              </w:tc>
              <w:tc>
                <w:tcPr>
                  <w:tcW w:w="1559" w:type="dxa"/>
                  <w:vAlign w:val="top"/>
                </w:tcPr>
                <w:p w14:paraId="5C8B1D25">
                  <w:pPr>
                    <w:spacing w:before="146"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31.47</w:t>
                  </w:r>
                </w:p>
              </w:tc>
              <w:tc>
                <w:tcPr>
                  <w:tcW w:w="1561" w:type="dxa"/>
                  <w:vAlign w:val="top"/>
                </w:tcPr>
                <w:p w14:paraId="3A18B97B">
                  <w:pPr>
                    <w:spacing w:before="146"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12" w:type="dxa"/>
                  <w:vAlign w:val="top"/>
                </w:tcPr>
                <w:p w14:paraId="1A6643DC">
                  <w:pPr>
                    <w:pStyle w:val="6"/>
                    <w:spacing w:before="108" w:line="228" w:lineRule="auto"/>
                    <w:ind w:left="450"/>
                    <w:rPr>
                      <w:sz w:val="20"/>
                      <w:szCs w:val="20"/>
                    </w:rPr>
                  </w:pPr>
                  <w:r>
                    <w:rPr>
                      <w:spacing w:val="5"/>
                      <w:sz w:val="20"/>
                      <w:szCs w:val="20"/>
                    </w:rPr>
                    <w:t>达标</w:t>
                  </w:r>
                </w:p>
              </w:tc>
            </w:tr>
            <w:tr w14:paraId="267F1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31" w:type="dxa"/>
                  <w:vMerge w:val="restart"/>
                  <w:tcBorders>
                    <w:bottom w:val="nil"/>
                  </w:tcBorders>
                  <w:vAlign w:val="top"/>
                </w:tcPr>
                <w:p w14:paraId="074D0875">
                  <w:pPr>
                    <w:spacing w:line="259" w:lineRule="auto"/>
                    <w:rPr>
                      <w:rFonts w:ascii="Arial"/>
                      <w:sz w:val="21"/>
                    </w:rPr>
                  </w:pPr>
                </w:p>
                <w:p w14:paraId="3B3930C4">
                  <w:pPr>
                    <w:pStyle w:val="6"/>
                    <w:spacing w:before="65" w:line="228" w:lineRule="auto"/>
                    <w:ind w:left="521"/>
                    <w:rPr>
                      <w:sz w:val="20"/>
                      <w:szCs w:val="20"/>
                    </w:rPr>
                  </w:pPr>
                  <w:r>
                    <w:rPr>
                      <w:spacing w:val="3"/>
                      <w:sz w:val="20"/>
                      <w:szCs w:val="20"/>
                    </w:rPr>
                    <w:t>南侧</w:t>
                  </w:r>
                </w:p>
              </w:tc>
              <w:tc>
                <w:tcPr>
                  <w:tcW w:w="883" w:type="dxa"/>
                  <w:vAlign w:val="top"/>
                </w:tcPr>
                <w:p w14:paraId="682D5B07">
                  <w:pPr>
                    <w:spacing w:before="14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883" w:type="dxa"/>
                  <w:vAlign w:val="top"/>
                </w:tcPr>
                <w:p w14:paraId="0B7DDAEC">
                  <w:pPr>
                    <w:spacing w:before="14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w:t>
                  </w:r>
                </w:p>
              </w:tc>
              <w:tc>
                <w:tcPr>
                  <w:tcW w:w="888" w:type="dxa"/>
                  <w:vAlign w:val="top"/>
                </w:tcPr>
                <w:p w14:paraId="11AA2790">
                  <w:pPr>
                    <w:spacing w:before="144"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91" w:type="dxa"/>
                  <w:vAlign w:val="top"/>
                </w:tcPr>
                <w:p w14:paraId="3863371C">
                  <w:pPr>
                    <w:pStyle w:val="6"/>
                    <w:spacing w:before="108" w:line="230" w:lineRule="auto"/>
                    <w:ind w:left="339"/>
                    <w:rPr>
                      <w:sz w:val="20"/>
                      <w:szCs w:val="20"/>
                    </w:rPr>
                  </w:pPr>
                  <w:r>
                    <w:rPr>
                      <w:spacing w:val="5"/>
                      <w:sz w:val="20"/>
                      <w:szCs w:val="20"/>
                    </w:rPr>
                    <w:t>昼间</w:t>
                  </w:r>
                </w:p>
              </w:tc>
              <w:tc>
                <w:tcPr>
                  <w:tcW w:w="1559" w:type="dxa"/>
                  <w:vAlign w:val="top"/>
                </w:tcPr>
                <w:p w14:paraId="6D189902">
                  <w:pPr>
                    <w:spacing w:before="144"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38.</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4"/>
                      <w:sz w:val="20"/>
                      <w:szCs w:val="20"/>
                    </w:rPr>
                    <w:t>11</w:t>
                  </w:r>
                </w:p>
              </w:tc>
              <w:tc>
                <w:tcPr>
                  <w:tcW w:w="1561" w:type="dxa"/>
                  <w:vAlign w:val="top"/>
                </w:tcPr>
                <w:p w14:paraId="616C4957">
                  <w:pPr>
                    <w:spacing w:before="144"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12" w:type="dxa"/>
                  <w:vAlign w:val="top"/>
                </w:tcPr>
                <w:p w14:paraId="6248E702">
                  <w:pPr>
                    <w:pStyle w:val="6"/>
                    <w:spacing w:before="108" w:line="228" w:lineRule="auto"/>
                    <w:ind w:left="450"/>
                    <w:rPr>
                      <w:sz w:val="20"/>
                      <w:szCs w:val="20"/>
                    </w:rPr>
                  </w:pPr>
                  <w:r>
                    <w:rPr>
                      <w:spacing w:val="5"/>
                      <w:sz w:val="20"/>
                      <w:szCs w:val="20"/>
                    </w:rPr>
                    <w:t>达标</w:t>
                  </w:r>
                </w:p>
              </w:tc>
            </w:tr>
            <w:tr w14:paraId="6A32A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31" w:type="dxa"/>
                  <w:vMerge w:val="continue"/>
                  <w:tcBorders>
                    <w:top w:val="nil"/>
                  </w:tcBorders>
                  <w:vAlign w:val="top"/>
                </w:tcPr>
                <w:p w14:paraId="6B76AA7C">
                  <w:pPr>
                    <w:rPr>
                      <w:rFonts w:ascii="Arial"/>
                      <w:sz w:val="21"/>
                    </w:rPr>
                  </w:pPr>
                </w:p>
              </w:tc>
              <w:tc>
                <w:tcPr>
                  <w:tcW w:w="883" w:type="dxa"/>
                  <w:vAlign w:val="top"/>
                </w:tcPr>
                <w:p w14:paraId="22F6C473">
                  <w:pPr>
                    <w:spacing w:before="14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883" w:type="dxa"/>
                  <w:vAlign w:val="top"/>
                </w:tcPr>
                <w:p w14:paraId="0416AC0F">
                  <w:pPr>
                    <w:spacing w:before="14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w:t>
                  </w:r>
                </w:p>
              </w:tc>
              <w:tc>
                <w:tcPr>
                  <w:tcW w:w="888" w:type="dxa"/>
                  <w:vAlign w:val="top"/>
                </w:tcPr>
                <w:p w14:paraId="45E15DAA">
                  <w:pPr>
                    <w:spacing w:before="145"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91" w:type="dxa"/>
                  <w:vAlign w:val="top"/>
                </w:tcPr>
                <w:p w14:paraId="0868C48C">
                  <w:pPr>
                    <w:pStyle w:val="6"/>
                    <w:spacing w:before="108" w:line="228" w:lineRule="auto"/>
                    <w:ind w:left="343"/>
                    <w:rPr>
                      <w:sz w:val="20"/>
                      <w:szCs w:val="20"/>
                    </w:rPr>
                  </w:pPr>
                  <w:r>
                    <w:rPr>
                      <w:spacing w:val="3"/>
                      <w:sz w:val="20"/>
                      <w:szCs w:val="20"/>
                    </w:rPr>
                    <w:t>夜间</w:t>
                  </w:r>
                </w:p>
              </w:tc>
              <w:tc>
                <w:tcPr>
                  <w:tcW w:w="1559" w:type="dxa"/>
                  <w:vAlign w:val="top"/>
                </w:tcPr>
                <w:p w14:paraId="3257B2F5">
                  <w:pPr>
                    <w:spacing w:before="145"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38.</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4"/>
                      <w:sz w:val="20"/>
                      <w:szCs w:val="20"/>
                    </w:rPr>
                    <w:t>11</w:t>
                  </w:r>
                </w:p>
              </w:tc>
              <w:tc>
                <w:tcPr>
                  <w:tcW w:w="1561" w:type="dxa"/>
                  <w:vAlign w:val="top"/>
                </w:tcPr>
                <w:p w14:paraId="0B201586">
                  <w:pPr>
                    <w:spacing w:before="144"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12" w:type="dxa"/>
                  <w:vAlign w:val="top"/>
                </w:tcPr>
                <w:p w14:paraId="32F6BAF1">
                  <w:pPr>
                    <w:pStyle w:val="6"/>
                    <w:spacing w:before="109" w:line="228" w:lineRule="auto"/>
                    <w:ind w:left="450"/>
                    <w:rPr>
                      <w:sz w:val="20"/>
                      <w:szCs w:val="20"/>
                    </w:rPr>
                  </w:pPr>
                  <w:r>
                    <w:rPr>
                      <w:spacing w:val="5"/>
                      <w:sz w:val="20"/>
                      <w:szCs w:val="20"/>
                    </w:rPr>
                    <w:t>达标</w:t>
                  </w:r>
                </w:p>
              </w:tc>
            </w:tr>
            <w:tr w14:paraId="20358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31" w:type="dxa"/>
                  <w:vMerge w:val="restart"/>
                  <w:tcBorders>
                    <w:bottom w:val="nil"/>
                  </w:tcBorders>
                  <w:vAlign w:val="top"/>
                </w:tcPr>
                <w:p w14:paraId="7E7F69CA">
                  <w:pPr>
                    <w:spacing w:line="258" w:lineRule="auto"/>
                    <w:rPr>
                      <w:rFonts w:ascii="Arial"/>
                      <w:sz w:val="21"/>
                    </w:rPr>
                  </w:pPr>
                </w:p>
                <w:p w14:paraId="7415D238">
                  <w:pPr>
                    <w:pStyle w:val="6"/>
                    <w:spacing w:before="65" w:line="228" w:lineRule="auto"/>
                    <w:ind w:left="523"/>
                    <w:rPr>
                      <w:sz w:val="20"/>
                      <w:szCs w:val="20"/>
                    </w:rPr>
                  </w:pPr>
                  <w:r>
                    <w:rPr>
                      <w:spacing w:val="2"/>
                      <w:sz w:val="20"/>
                      <w:szCs w:val="20"/>
                    </w:rPr>
                    <w:t>西侧</w:t>
                  </w:r>
                </w:p>
              </w:tc>
              <w:tc>
                <w:tcPr>
                  <w:tcW w:w="883" w:type="dxa"/>
                  <w:vAlign w:val="top"/>
                </w:tcPr>
                <w:p w14:paraId="0DBC11DC">
                  <w:pPr>
                    <w:spacing w:before="14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w:t>
                  </w:r>
                </w:p>
              </w:tc>
              <w:tc>
                <w:tcPr>
                  <w:tcW w:w="883" w:type="dxa"/>
                  <w:vAlign w:val="top"/>
                </w:tcPr>
                <w:p w14:paraId="6EB516F9">
                  <w:pPr>
                    <w:spacing w:before="145"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88" w:type="dxa"/>
                  <w:vAlign w:val="top"/>
                </w:tcPr>
                <w:p w14:paraId="248C81DB">
                  <w:pPr>
                    <w:spacing w:before="145"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91" w:type="dxa"/>
                  <w:vAlign w:val="top"/>
                </w:tcPr>
                <w:p w14:paraId="7D87BF7E">
                  <w:pPr>
                    <w:pStyle w:val="6"/>
                    <w:spacing w:before="107" w:line="230" w:lineRule="auto"/>
                    <w:ind w:left="339"/>
                    <w:rPr>
                      <w:sz w:val="20"/>
                      <w:szCs w:val="20"/>
                    </w:rPr>
                  </w:pPr>
                  <w:r>
                    <w:rPr>
                      <w:spacing w:val="5"/>
                      <w:sz w:val="20"/>
                      <w:szCs w:val="20"/>
                    </w:rPr>
                    <w:t>昼间</w:t>
                  </w:r>
                </w:p>
              </w:tc>
              <w:tc>
                <w:tcPr>
                  <w:tcW w:w="1559" w:type="dxa"/>
                  <w:vAlign w:val="top"/>
                </w:tcPr>
                <w:p w14:paraId="7C2B5F85">
                  <w:pPr>
                    <w:spacing w:before="145"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38.83</w:t>
                  </w:r>
                </w:p>
              </w:tc>
              <w:tc>
                <w:tcPr>
                  <w:tcW w:w="1561" w:type="dxa"/>
                  <w:vAlign w:val="top"/>
                </w:tcPr>
                <w:p w14:paraId="495A66A3">
                  <w:pPr>
                    <w:spacing w:before="145"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12" w:type="dxa"/>
                  <w:vAlign w:val="top"/>
                </w:tcPr>
                <w:p w14:paraId="4B653400">
                  <w:pPr>
                    <w:pStyle w:val="6"/>
                    <w:spacing w:before="107" w:line="228" w:lineRule="auto"/>
                    <w:ind w:left="450"/>
                    <w:rPr>
                      <w:sz w:val="20"/>
                      <w:szCs w:val="20"/>
                    </w:rPr>
                  </w:pPr>
                  <w:r>
                    <w:rPr>
                      <w:spacing w:val="5"/>
                      <w:sz w:val="20"/>
                      <w:szCs w:val="20"/>
                    </w:rPr>
                    <w:t>达标</w:t>
                  </w:r>
                </w:p>
              </w:tc>
            </w:tr>
            <w:tr w14:paraId="6CD35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31" w:type="dxa"/>
                  <w:vMerge w:val="continue"/>
                  <w:tcBorders>
                    <w:top w:val="nil"/>
                  </w:tcBorders>
                  <w:vAlign w:val="top"/>
                </w:tcPr>
                <w:p w14:paraId="2F3AA5B5">
                  <w:pPr>
                    <w:rPr>
                      <w:rFonts w:ascii="Arial"/>
                      <w:sz w:val="21"/>
                    </w:rPr>
                  </w:pPr>
                </w:p>
              </w:tc>
              <w:tc>
                <w:tcPr>
                  <w:tcW w:w="883" w:type="dxa"/>
                  <w:vAlign w:val="top"/>
                </w:tcPr>
                <w:p w14:paraId="49D2D479">
                  <w:pPr>
                    <w:spacing w:before="14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w:t>
                  </w:r>
                </w:p>
              </w:tc>
              <w:tc>
                <w:tcPr>
                  <w:tcW w:w="883" w:type="dxa"/>
                  <w:vAlign w:val="top"/>
                </w:tcPr>
                <w:p w14:paraId="7EBE37E7">
                  <w:pPr>
                    <w:spacing w:before="14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88" w:type="dxa"/>
                  <w:vAlign w:val="top"/>
                </w:tcPr>
                <w:p w14:paraId="2EF6D732">
                  <w:pPr>
                    <w:spacing w:before="143"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91" w:type="dxa"/>
                  <w:vAlign w:val="top"/>
                </w:tcPr>
                <w:p w14:paraId="5209B3D0">
                  <w:pPr>
                    <w:pStyle w:val="6"/>
                    <w:spacing w:before="107" w:line="228" w:lineRule="auto"/>
                    <w:ind w:left="343"/>
                    <w:rPr>
                      <w:sz w:val="20"/>
                      <w:szCs w:val="20"/>
                    </w:rPr>
                  </w:pPr>
                  <w:r>
                    <w:rPr>
                      <w:spacing w:val="3"/>
                      <w:sz w:val="20"/>
                      <w:szCs w:val="20"/>
                    </w:rPr>
                    <w:t>夜间</w:t>
                  </w:r>
                </w:p>
              </w:tc>
              <w:tc>
                <w:tcPr>
                  <w:tcW w:w="1559" w:type="dxa"/>
                  <w:vAlign w:val="top"/>
                </w:tcPr>
                <w:p w14:paraId="7BD9820A">
                  <w:pPr>
                    <w:spacing w:before="143"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38.83</w:t>
                  </w:r>
                </w:p>
              </w:tc>
              <w:tc>
                <w:tcPr>
                  <w:tcW w:w="1561" w:type="dxa"/>
                  <w:vAlign w:val="top"/>
                </w:tcPr>
                <w:p w14:paraId="6660AF2E">
                  <w:pPr>
                    <w:spacing w:before="143"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12" w:type="dxa"/>
                  <w:vAlign w:val="top"/>
                </w:tcPr>
                <w:p w14:paraId="6DC2BA40">
                  <w:pPr>
                    <w:pStyle w:val="6"/>
                    <w:spacing w:before="108" w:line="228" w:lineRule="auto"/>
                    <w:ind w:left="450"/>
                    <w:rPr>
                      <w:sz w:val="20"/>
                      <w:szCs w:val="20"/>
                    </w:rPr>
                  </w:pPr>
                  <w:r>
                    <w:rPr>
                      <w:spacing w:val="5"/>
                      <w:sz w:val="20"/>
                      <w:szCs w:val="20"/>
                    </w:rPr>
                    <w:t>达标</w:t>
                  </w:r>
                </w:p>
              </w:tc>
            </w:tr>
            <w:tr w14:paraId="227F7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31" w:type="dxa"/>
                  <w:vMerge w:val="restart"/>
                  <w:tcBorders>
                    <w:bottom w:val="nil"/>
                  </w:tcBorders>
                  <w:vAlign w:val="top"/>
                </w:tcPr>
                <w:p w14:paraId="315DF575">
                  <w:pPr>
                    <w:spacing w:line="257" w:lineRule="auto"/>
                    <w:rPr>
                      <w:rFonts w:ascii="Arial"/>
                      <w:sz w:val="21"/>
                    </w:rPr>
                  </w:pPr>
                </w:p>
                <w:p w14:paraId="0CDC9908">
                  <w:pPr>
                    <w:pStyle w:val="6"/>
                    <w:spacing w:before="65" w:line="228" w:lineRule="auto"/>
                    <w:ind w:left="522"/>
                    <w:rPr>
                      <w:sz w:val="20"/>
                      <w:szCs w:val="20"/>
                    </w:rPr>
                  </w:pPr>
                  <w:r>
                    <w:rPr>
                      <w:spacing w:val="3"/>
                      <w:sz w:val="20"/>
                      <w:szCs w:val="20"/>
                    </w:rPr>
                    <w:t>北侧</w:t>
                  </w:r>
                </w:p>
              </w:tc>
              <w:tc>
                <w:tcPr>
                  <w:tcW w:w="883" w:type="dxa"/>
                  <w:vAlign w:val="top"/>
                </w:tcPr>
                <w:p w14:paraId="5CA0EE52">
                  <w:pPr>
                    <w:spacing w:before="14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-22</w:t>
                  </w:r>
                </w:p>
              </w:tc>
              <w:tc>
                <w:tcPr>
                  <w:tcW w:w="883" w:type="dxa"/>
                  <w:vAlign w:val="top"/>
                </w:tcPr>
                <w:p w14:paraId="4F89E6DC">
                  <w:pPr>
                    <w:spacing w:before="147" w:line="192"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888" w:type="dxa"/>
                  <w:vAlign w:val="top"/>
                </w:tcPr>
                <w:p w14:paraId="28953C2A">
                  <w:pPr>
                    <w:spacing w:before="144"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91" w:type="dxa"/>
                  <w:vAlign w:val="top"/>
                </w:tcPr>
                <w:p w14:paraId="3C2CC364">
                  <w:pPr>
                    <w:pStyle w:val="6"/>
                    <w:spacing w:before="109" w:line="230" w:lineRule="auto"/>
                    <w:ind w:left="339"/>
                    <w:rPr>
                      <w:sz w:val="20"/>
                      <w:szCs w:val="20"/>
                    </w:rPr>
                  </w:pPr>
                  <w:r>
                    <w:rPr>
                      <w:spacing w:val="5"/>
                      <w:sz w:val="20"/>
                      <w:szCs w:val="20"/>
                    </w:rPr>
                    <w:t>昼间</w:t>
                  </w:r>
                </w:p>
              </w:tc>
              <w:tc>
                <w:tcPr>
                  <w:tcW w:w="1559" w:type="dxa"/>
                  <w:vAlign w:val="top"/>
                </w:tcPr>
                <w:p w14:paraId="06E8F3DC">
                  <w:pPr>
                    <w:spacing w:before="144"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31.63</w:t>
                  </w:r>
                </w:p>
              </w:tc>
              <w:tc>
                <w:tcPr>
                  <w:tcW w:w="1561" w:type="dxa"/>
                  <w:vAlign w:val="top"/>
                </w:tcPr>
                <w:p w14:paraId="7CBDFF4F">
                  <w:pPr>
                    <w:spacing w:before="144"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12" w:type="dxa"/>
                  <w:vAlign w:val="top"/>
                </w:tcPr>
                <w:p w14:paraId="359B6294">
                  <w:pPr>
                    <w:pStyle w:val="6"/>
                    <w:spacing w:before="109" w:line="228" w:lineRule="auto"/>
                    <w:ind w:left="450"/>
                    <w:rPr>
                      <w:sz w:val="20"/>
                      <w:szCs w:val="20"/>
                    </w:rPr>
                  </w:pPr>
                  <w:r>
                    <w:rPr>
                      <w:spacing w:val="5"/>
                      <w:sz w:val="20"/>
                      <w:szCs w:val="20"/>
                    </w:rPr>
                    <w:t>达标</w:t>
                  </w:r>
                </w:p>
              </w:tc>
            </w:tr>
            <w:tr w14:paraId="300A5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31" w:type="dxa"/>
                  <w:vMerge w:val="continue"/>
                  <w:tcBorders>
                    <w:top w:val="nil"/>
                  </w:tcBorders>
                  <w:vAlign w:val="top"/>
                </w:tcPr>
                <w:p w14:paraId="763C81BD">
                  <w:pPr>
                    <w:rPr>
                      <w:rFonts w:ascii="Arial"/>
                      <w:sz w:val="21"/>
                    </w:rPr>
                  </w:pPr>
                </w:p>
              </w:tc>
              <w:tc>
                <w:tcPr>
                  <w:tcW w:w="883" w:type="dxa"/>
                  <w:vAlign w:val="top"/>
                </w:tcPr>
                <w:p w14:paraId="043B80CD">
                  <w:pPr>
                    <w:spacing w:before="14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-22</w:t>
                  </w:r>
                </w:p>
              </w:tc>
              <w:tc>
                <w:tcPr>
                  <w:tcW w:w="883" w:type="dxa"/>
                  <w:vAlign w:val="top"/>
                </w:tcPr>
                <w:p w14:paraId="0E1C3590">
                  <w:pPr>
                    <w:spacing w:before="148" w:line="192"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888" w:type="dxa"/>
                  <w:vAlign w:val="top"/>
                </w:tcPr>
                <w:p w14:paraId="0FDA15AB">
                  <w:pPr>
                    <w:spacing w:before="145"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91" w:type="dxa"/>
                  <w:vAlign w:val="top"/>
                </w:tcPr>
                <w:p w14:paraId="6295A855">
                  <w:pPr>
                    <w:pStyle w:val="6"/>
                    <w:spacing w:before="106" w:line="228" w:lineRule="auto"/>
                    <w:ind w:left="343"/>
                    <w:rPr>
                      <w:sz w:val="20"/>
                      <w:szCs w:val="20"/>
                    </w:rPr>
                  </w:pPr>
                  <w:r>
                    <w:rPr>
                      <w:spacing w:val="3"/>
                      <w:sz w:val="20"/>
                      <w:szCs w:val="20"/>
                    </w:rPr>
                    <w:t>夜间</w:t>
                  </w:r>
                </w:p>
              </w:tc>
              <w:tc>
                <w:tcPr>
                  <w:tcW w:w="1559" w:type="dxa"/>
                  <w:vAlign w:val="top"/>
                </w:tcPr>
                <w:p w14:paraId="6BC417A7">
                  <w:pPr>
                    <w:spacing w:before="145"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31.63</w:t>
                  </w:r>
                </w:p>
              </w:tc>
              <w:tc>
                <w:tcPr>
                  <w:tcW w:w="1561" w:type="dxa"/>
                  <w:vAlign w:val="top"/>
                </w:tcPr>
                <w:p w14:paraId="00FB1BB0">
                  <w:pPr>
                    <w:spacing w:before="145"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12" w:type="dxa"/>
                  <w:vAlign w:val="top"/>
                </w:tcPr>
                <w:p w14:paraId="4E28E589">
                  <w:pPr>
                    <w:pStyle w:val="6"/>
                    <w:spacing w:before="107" w:line="228" w:lineRule="auto"/>
                    <w:ind w:left="450"/>
                    <w:rPr>
                      <w:sz w:val="20"/>
                      <w:szCs w:val="20"/>
                    </w:rPr>
                  </w:pPr>
                  <w:r>
                    <w:rPr>
                      <w:spacing w:val="5"/>
                      <w:sz w:val="20"/>
                      <w:szCs w:val="20"/>
                    </w:rPr>
                    <w:t>达标</w:t>
                  </w:r>
                </w:p>
              </w:tc>
            </w:tr>
            <w:tr w14:paraId="73A7D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331" w:type="dxa"/>
                  <w:vMerge w:val="restart"/>
                  <w:tcBorders>
                    <w:bottom w:val="nil"/>
                  </w:tcBorders>
                  <w:vAlign w:val="top"/>
                </w:tcPr>
                <w:p w14:paraId="527B15B1">
                  <w:pPr>
                    <w:pStyle w:val="6"/>
                    <w:spacing w:before="189" w:line="241" w:lineRule="auto"/>
                    <w:ind w:left="632" w:right="83" w:hanging="428"/>
                    <w:rPr>
                      <w:sz w:val="20"/>
                      <w:szCs w:val="20"/>
                    </w:rPr>
                  </w:pPr>
                  <w:r>
                    <w:rPr>
                      <w:spacing w:val="7"/>
                      <w:sz w:val="20"/>
                      <w:szCs w:val="20"/>
                    </w:rPr>
                    <w:t>厂界线最大</w:t>
                  </w:r>
                  <w:r>
                    <w:rPr>
                      <w:spacing w:val="2"/>
                      <w:sz w:val="20"/>
                      <w:szCs w:val="20"/>
                    </w:rPr>
                    <w:t xml:space="preserve"> </w:t>
                  </w:r>
                  <w:r>
                    <w:rPr>
                      <w:sz w:val="20"/>
                      <w:szCs w:val="20"/>
                    </w:rPr>
                    <w:t>点</w:t>
                  </w:r>
                </w:p>
              </w:tc>
              <w:tc>
                <w:tcPr>
                  <w:tcW w:w="883" w:type="dxa"/>
                  <w:vAlign w:val="top"/>
                </w:tcPr>
                <w:p w14:paraId="1090E249">
                  <w:pPr>
                    <w:spacing w:before="14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w:t>
                  </w:r>
                </w:p>
              </w:tc>
              <w:tc>
                <w:tcPr>
                  <w:tcW w:w="883" w:type="dxa"/>
                  <w:vAlign w:val="top"/>
                </w:tcPr>
                <w:p w14:paraId="4383ABA2">
                  <w:pPr>
                    <w:spacing w:before="14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88" w:type="dxa"/>
                  <w:vAlign w:val="top"/>
                </w:tcPr>
                <w:p w14:paraId="49FE41AB">
                  <w:pPr>
                    <w:spacing w:before="143"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91" w:type="dxa"/>
                  <w:vAlign w:val="top"/>
                </w:tcPr>
                <w:p w14:paraId="52EA5995">
                  <w:pPr>
                    <w:pStyle w:val="6"/>
                    <w:spacing w:before="108" w:line="230" w:lineRule="auto"/>
                    <w:ind w:left="339"/>
                    <w:rPr>
                      <w:sz w:val="20"/>
                      <w:szCs w:val="20"/>
                    </w:rPr>
                  </w:pPr>
                  <w:r>
                    <w:rPr>
                      <w:spacing w:val="5"/>
                      <w:sz w:val="20"/>
                      <w:szCs w:val="20"/>
                    </w:rPr>
                    <w:t>昼间</w:t>
                  </w:r>
                </w:p>
              </w:tc>
              <w:tc>
                <w:tcPr>
                  <w:tcW w:w="1559" w:type="dxa"/>
                  <w:vAlign w:val="top"/>
                </w:tcPr>
                <w:p w14:paraId="577D1FB4">
                  <w:pPr>
                    <w:spacing w:before="143"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38.83</w:t>
                  </w:r>
                </w:p>
              </w:tc>
              <w:tc>
                <w:tcPr>
                  <w:tcW w:w="1561" w:type="dxa"/>
                  <w:vAlign w:val="top"/>
                </w:tcPr>
                <w:p w14:paraId="221AE943">
                  <w:pPr>
                    <w:spacing w:before="143"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12" w:type="dxa"/>
                  <w:vAlign w:val="top"/>
                </w:tcPr>
                <w:p w14:paraId="2AC6E092">
                  <w:pPr>
                    <w:pStyle w:val="6"/>
                    <w:spacing w:before="108" w:line="228" w:lineRule="auto"/>
                    <w:ind w:left="450"/>
                    <w:rPr>
                      <w:sz w:val="20"/>
                      <w:szCs w:val="20"/>
                    </w:rPr>
                  </w:pPr>
                  <w:r>
                    <w:rPr>
                      <w:spacing w:val="5"/>
                      <w:sz w:val="20"/>
                      <w:szCs w:val="20"/>
                    </w:rPr>
                    <w:t>达标</w:t>
                  </w:r>
                </w:p>
              </w:tc>
            </w:tr>
            <w:tr w14:paraId="31562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331" w:type="dxa"/>
                  <w:vMerge w:val="continue"/>
                  <w:tcBorders>
                    <w:top w:val="nil"/>
                    <w:bottom w:val="nil"/>
                  </w:tcBorders>
                  <w:vAlign w:val="top"/>
                </w:tcPr>
                <w:p w14:paraId="26AA2CC3">
                  <w:pPr>
                    <w:rPr>
                      <w:rFonts w:ascii="Arial"/>
                      <w:sz w:val="21"/>
                    </w:rPr>
                  </w:pPr>
                </w:p>
              </w:tc>
              <w:tc>
                <w:tcPr>
                  <w:tcW w:w="883" w:type="dxa"/>
                  <w:tcBorders>
                    <w:bottom w:val="nil"/>
                  </w:tcBorders>
                  <w:vAlign w:val="top"/>
                </w:tcPr>
                <w:p w14:paraId="226D0A3E">
                  <w:pPr>
                    <w:spacing w:before="14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w:t>
                  </w:r>
                </w:p>
              </w:tc>
              <w:tc>
                <w:tcPr>
                  <w:tcW w:w="883" w:type="dxa"/>
                  <w:tcBorders>
                    <w:bottom w:val="nil"/>
                  </w:tcBorders>
                  <w:vAlign w:val="top"/>
                </w:tcPr>
                <w:p w14:paraId="6F2CF122">
                  <w:pPr>
                    <w:spacing w:before="144"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88" w:type="dxa"/>
                  <w:tcBorders>
                    <w:bottom w:val="nil"/>
                  </w:tcBorders>
                  <w:vAlign w:val="top"/>
                </w:tcPr>
                <w:p w14:paraId="29FBE2E0">
                  <w:pPr>
                    <w:spacing w:before="144"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091" w:type="dxa"/>
                  <w:tcBorders>
                    <w:bottom w:val="nil"/>
                  </w:tcBorders>
                  <w:vAlign w:val="top"/>
                </w:tcPr>
                <w:p w14:paraId="22D99F96">
                  <w:pPr>
                    <w:pStyle w:val="6"/>
                    <w:spacing w:before="107" w:line="228" w:lineRule="auto"/>
                    <w:ind w:left="343"/>
                    <w:rPr>
                      <w:sz w:val="20"/>
                      <w:szCs w:val="20"/>
                    </w:rPr>
                  </w:pPr>
                  <w:r>
                    <w:rPr>
                      <w:spacing w:val="3"/>
                      <w:sz w:val="20"/>
                      <w:szCs w:val="20"/>
                    </w:rPr>
                    <w:t>夜间</w:t>
                  </w:r>
                </w:p>
              </w:tc>
              <w:tc>
                <w:tcPr>
                  <w:tcW w:w="1559" w:type="dxa"/>
                  <w:tcBorders>
                    <w:bottom w:val="nil"/>
                  </w:tcBorders>
                  <w:vAlign w:val="top"/>
                </w:tcPr>
                <w:p w14:paraId="2E473EBB">
                  <w:pPr>
                    <w:spacing w:before="144"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38.83</w:t>
                  </w:r>
                </w:p>
              </w:tc>
              <w:tc>
                <w:tcPr>
                  <w:tcW w:w="1561" w:type="dxa"/>
                  <w:tcBorders>
                    <w:bottom w:val="nil"/>
                  </w:tcBorders>
                  <w:vAlign w:val="top"/>
                </w:tcPr>
                <w:p w14:paraId="3D03D8D8">
                  <w:pPr>
                    <w:spacing w:before="144" w:line="195" w:lineRule="auto"/>
                    <w:ind w:left="68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12" w:type="dxa"/>
                  <w:tcBorders>
                    <w:bottom w:val="nil"/>
                  </w:tcBorders>
                  <w:vAlign w:val="top"/>
                </w:tcPr>
                <w:p w14:paraId="6D7C6A64">
                  <w:pPr>
                    <w:pStyle w:val="6"/>
                    <w:spacing w:before="108" w:line="228" w:lineRule="auto"/>
                    <w:ind w:left="450"/>
                    <w:rPr>
                      <w:sz w:val="20"/>
                      <w:szCs w:val="20"/>
                    </w:rPr>
                  </w:pPr>
                  <w:r>
                    <w:rPr>
                      <w:spacing w:val="5"/>
                      <w:sz w:val="20"/>
                      <w:szCs w:val="20"/>
                    </w:rPr>
                    <w:t>达标</w:t>
                  </w:r>
                </w:p>
              </w:tc>
            </w:tr>
          </w:tbl>
          <w:p w14:paraId="6E9FBB20">
            <w:pPr>
              <w:spacing w:line="14" w:lineRule="auto"/>
              <w:rPr>
                <w:rFonts w:ascii="Arial"/>
                <w:sz w:val="2"/>
              </w:rPr>
            </w:pPr>
          </w:p>
        </w:tc>
      </w:tr>
    </w:tbl>
    <w:p w14:paraId="68212DAF">
      <w:pPr>
        <w:rPr>
          <w:rFonts w:ascii="Arial"/>
          <w:sz w:val="21"/>
        </w:rPr>
      </w:pPr>
    </w:p>
    <w:p w14:paraId="5624E721">
      <w:pPr>
        <w:rPr>
          <w:rFonts w:ascii="Arial" w:hAnsi="Arial" w:eastAsia="Arial" w:cs="Arial"/>
          <w:sz w:val="21"/>
          <w:szCs w:val="21"/>
        </w:rPr>
        <w:sectPr>
          <w:footerReference r:id="rId135" w:type="default"/>
          <w:pgSz w:w="11907" w:h="16840"/>
          <w:pgMar w:top="1431" w:right="907" w:bottom="1278" w:left="907" w:header="0" w:footer="1116" w:gutter="0"/>
          <w:cols w:space="720" w:num="1"/>
        </w:sectPr>
      </w:pPr>
    </w:p>
    <w:p w14:paraId="022C7483">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708D3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42" w:hRule="atLeast"/>
        </w:trPr>
        <w:tc>
          <w:tcPr>
            <w:tcW w:w="465" w:type="dxa"/>
            <w:tcBorders>
              <w:right w:val="single" w:color="000000" w:sz="2" w:space="0"/>
            </w:tcBorders>
            <w:vAlign w:val="top"/>
          </w:tcPr>
          <w:p w14:paraId="3F42CEEA">
            <w:pPr>
              <w:rPr>
                <w:rFonts w:ascii="Arial"/>
                <w:sz w:val="21"/>
              </w:rPr>
            </w:pPr>
          </w:p>
        </w:tc>
        <w:tc>
          <w:tcPr>
            <w:tcW w:w="9612" w:type="dxa"/>
            <w:tcBorders>
              <w:left w:val="single" w:color="000000" w:sz="2" w:space="0"/>
            </w:tcBorders>
            <w:vAlign w:val="top"/>
          </w:tcPr>
          <w:p w14:paraId="61C56345">
            <w:pPr>
              <w:pStyle w:val="6"/>
              <w:spacing w:before="37" w:line="221" w:lineRule="auto"/>
              <w:ind w:left="772"/>
              <w:rPr>
                <w:sz w:val="20"/>
                <w:szCs w:val="20"/>
              </w:rPr>
            </w:pPr>
            <w:r>
              <w:rPr>
                <w:b/>
                <w:bCs/>
                <w:spacing w:val="7"/>
                <w:sz w:val="20"/>
                <w:szCs w:val="20"/>
              </w:rPr>
              <w:t>表</w:t>
            </w:r>
            <w:r>
              <w:rPr>
                <w:spacing w:val="-36"/>
                <w:sz w:val="20"/>
                <w:szCs w:val="20"/>
              </w:rPr>
              <w:t xml:space="preserve"> </w:t>
            </w:r>
            <w:r>
              <w:rPr>
                <w:b/>
                <w:bCs/>
                <w:spacing w:val="7"/>
                <w:sz w:val="20"/>
                <w:szCs w:val="20"/>
              </w:rPr>
              <w:t>4-13</w:t>
            </w:r>
            <w:r>
              <w:rPr>
                <w:spacing w:val="7"/>
                <w:sz w:val="20"/>
                <w:szCs w:val="20"/>
              </w:rPr>
              <w:t xml:space="preserve">   </w:t>
            </w:r>
            <w:r>
              <w:rPr>
                <w:b/>
                <w:bCs/>
                <w:spacing w:val="7"/>
                <w:sz w:val="20"/>
                <w:szCs w:val="20"/>
              </w:rPr>
              <w:t>项目噪声主网格预测结果与达标分析表（含现状监测点）</w:t>
            </w:r>
            <w:r>
              <w:rPr>
                <w:spacing w:val="7"/>
                <w:sz w:val="20"/>
                <w:szCs w:val="20"/>
              </w:rPr>
              <w:t xml:space="preserve">    </w:t>
            </w:r>
            <w:r>
              <w:rPr>
                <w:b/>
                <w:bCs/>
                <w:spacing w:val="7"/>
                <w:sz w:val="20"/>
                <w:szCs w:val="20"/>
              </w:rPr>
              <w:t>单位：</w:t>
            </w:r>
            <w:r>
              <w:rPr>
                <w:b/>
                <w:bCs/>
                <w:sz w:val="20"/>
                <w:szCs w:val="20"/>
              </w:rPr>
              <w:t>dB</w:t>
            </w:r>
            <w:r>
              <w:rPr>
                <w:b/>
                <w:bCs/>
                <w:spacing w:val="7"/>
                <w:sz w:val="20"/>
                <w:szCs w:val="20"/>
              </w:rPr>
              <w:t>（A）</w:t>
            </w:r>
          </w:p>
          <w:tbl>
            <w:tblPr>
              <w:tblStyle w:val="5"/>
              <w:tblW w:w="9386"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4"/>
              <w:gridCol w:w="529"/>
              <w:gridCol w:w="570"/>
              <w:gridCol w:w="666"/>
              <w:gridCol w:w="798"/>
              <w:gridCol w:w="752"/>
              <w:gridCol w:w="828"/>
              <w:gridCol w:w="875"/>
              <w:gridCol w:w="851"/>
              <w:gridCol w:w="687"/>
              <w:gridCol w:w="670"/>
              <w:gridCol w:w="876"/>
            </w:tblGrid>
            <w:tr w14:paraId="01A69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1284" w:type="dxa"/>
                  <w:vMerge w:val="restart"/>
                  <w:tcBorders>
                    <w:bottom w:val="nil"/>
                  </w:tcBorders>
                  <w:vAlign w:val="top"/>
                </w:tcPr>
                <w:p w14:paraId="53243279">
                  <w:pPr>
                    <w:spacing w:line="286" w:lineRule="auto"/>
                    <w:rPr>
                      <w:rFonts w:ascii="Arial"/>
                      <w:sz w:val="21"/>
                    </w:rPr>
                  </w:pPr>
                </w:p>
                <w:p w14:paraId="49836AE0">
                  <w:pPr>
                    <w:pStyle w:val="6"/>
                    <w:spacing w:before="65" w:line="228" w:lineRule="auto"/>
                    <w:ind w:left="334"/>
                    <w:rPr>
                      <w:sz w:val="20"/>
                      <w:szCs w:val="20"/>
                    </w:rPr>
                  </w:pPr>
                  <w:r>
                    <w:rPr>
                      <w:spacing w:val="6"/>
                      <w:sz w:val="20"/>
                      <w:szCs w:val="20"/>
                    </w:rPr>
                    <w:t>预测点</w:t>
                  </w:r>
                </w:p>
              </w:tc>
              <w:tc>
                <w:tcPr>
                  <w:tcW w:w="1765" w:type="dxa"/>
                  <w:gridSpan w:val="3"/>
                  <w:vAlign w:val="top"/>
                </w:tcPr>
                <w:p w14:paraId="53E1BF3E">
                  <w:pPr>
                    <w:pStyle w:val="6"/>
                    <w:spacing w:before="64"/>
                    <w:ind w:left="451" w:right="146" w:hanging="301"/>
                    <w:rPr>
                      <w:rFonts w:ascii="Times New Roman" w:hAnsi="Times New Roman" w:eastAsia="Times New Roman" w:cs="Times New Roman"/>
                      <w:sz w:val="20"/>
                      <w:szCs w:val="20"/>
                    </w:rPr>
                  </w:pPr>
                  <w:r>
                    <w:rPr>
                      <w:b/>
                      <w:bCs/>
                      <w:spacing w:val="6"/>
                      <w:sz w:val="20"/>
                      <w:szCs w:val="20"/>
                    </w:rPr>
                    <w:t>最大值点空间相</w:t>
                  </w:r>
                  <w:r>
                    <w:rPr>
                      <w:spacing w:val="5"/>
                      <w:sz w:val="20"/>
                      <w:szCs w:val="20"/>
                    </w:rPr>
                    <w:t xml:space="preserve"> </w:t>
                  </w:r>
                  <w:r>
                    <w:rPr>
                      <w:b/>
                      <w:bCs/>
                      <w:spacing w:val="5"/>
                      <w:sz w:val="20"/>
                      <w:szCs w:val="20"/>
                    </w:rPr>
                    <w:t>对位置</w:t>
                  </w:r>
                  <w:r>
                    <w:rPr>
                      <w:rFonts w:ascii="Times New Roman" w:hAnsi="Times New Roman" w:eastAsia="Times New Roman" w:cs="Times New Roman"/>
                      <w:b/>
                      <w:bCs/>
                      <w:spacing w:val="5"/>
                      <w:sz w:val="20"/>
                      <w:szCs w:val="20"/>
                    </w:rPr>
                    <w:t>/m</w:t>
                  </w:r>
                </w:p>
              </w:tc>
              <w:tc>
                <w:tcPr>
                  <w:tcW w:w="798" w:type="dxa"/>
                  <w:vMerge w:val="restart"/>
                  <w:tcBorders>
                    <w:bottom w:val="nil"/>
                  </w:tcBorders>
                  <w:vAlign w:val="top"/>
                </w:tcPr>
                <w:p w14:paraId="3A0D5FA1">
                  <w:pPr>
                    <w:spacing w:line="285" w:lineRule="auto"/>
                    <w:rPr>
                      <w:rFonts w:ascii="Arial"/>
                      <w:sz w:val="21"/>
                    </w:rPr>
                  </w:pPr>
                </w:p>
                <w:p w14:paraId="6D9680F4">
                  <w:pPr>
                    <w:pStyle w:val="6"/>
                    <w:spacing w:before="65" w:line="229" w:lineRule="auto"/>
                    <w:ind w:left="201"/>
                    <w:rPr>
                      <w:sz w:val="20"/>
                      <w:szCs w:val="20"/>
                    </w:rPr>
                  </w:pPr>
                  <w:r>
                    <w:rPr>
                      <w:b/>
                      <w:bCs/>
                      <w:spacing w:val="-1"/>
                      <w:sz w:val="20"/>
                      <w:szCs w:val="20"/>
                    </w:rPr>
                    <w:t>时段</w:t>
                  </w:r>
                </w:p>
              </w:tc>
              <w:tc>
                <w:tcPr>
                  <w:tcW w:w="752" w:type="dxa"/>
                  <w:vMerge w:val="restart"/>
                  <w:tcBorders>
                    <w:bottom w:val="nil"/>
                  </w:tcBorders>
                  <w:vAlign w:val="top"/>
                </w:tcPr>
                <w:p w14:paraId="7CB59931">
                  <w:pPr>
                    <w:spacing w:line="285" w:lineRule="auto"/>
                    <w:rPr>
                      <w:rFonts w:ascii="Arial"/>
                      <w:sz w:val="21"/>
                    </w:rPr>
                  </w:pPr>
                </w:p>
                <w:p w14:paraId="5D7718B9">
                  <w:pPr>
                    <w:pStyle w:val="6"/>
                    <w:spacing w:before="65" w:line="228" w:lineRule="auto"/>
                    <w:ind w:left="65"/>
                    <w:rPr>
                      <w:sz w:val="20"/>
                      <w:szCs w:val="20"/>
                    </w:rPr>
                  </w:pPr>
                  <w:r>
                    <w:rPr>
                      <w:b/>
                      <w:bCs/>
                      <w:spacing w:val="5"/>
                      <w:sz w:val="20"/>
                      <w:szCs w:val="20"/>
                    </w:rPr>
                    <w:t>现状值</w:t>
                  </w:r>
                </w:p>
              </w:tc>
              <w:tc>
                <w:tcPr>
                  <w:tcW w:w="828" w:type="dxa"/>
                  <w:vMerge w:val="restart"/>
                  <w:tcBorders>
                    <w:bottom w:val="nil"/>
                  </w:tcBorders>
                  <w:vAlign w:val="top"/>
                </w:tcPr>
                <w:p w14:paraId="7A13E04B">
                  <w:pPr>
                    <w:pStyle w:val="6"/>
                    <w:spacing w:before="218" w:line="239" w:lineRule="auto"/>
                    <w:ind w:left="314" w:right="96" w:hanging="210"/>
                    <w:rPr>
                      <w:sz w:val="20"/>
                      <w:szCs w:val="20"/>
                    </w:rPr>
                  </w:pPr>
                  <w:r>
                    <w:rPr>
                      <w:b/>
                      <w:bCs/>
                      <w:spacing w:val="5"/>
                      <w:sz w:val="20"/>
                      <w:szCs w:val="20"/>
                    </w:rPr>
                    <w:t>标准限</w:t>
                  </w:r>
                  <w:r>
                    <w:rPr>
                      <w:sz w:val="20"/>
                      <w:szCs w:val="20"/>
                    </w:rPr>
                    <w:t xml:space="preserve"> </w:t>
                  </w:r>
                  <w:r>
                    <w:rPr>
                      <w:b/>
                      <w:bCs/>
                      <w:spacing w:val="-2"/>
                      <w:sz w:val="20"/>
                      <w:szCs w:val="20"/>
                    </w:rPr>
                    <w:t>值</w:t>
                  </w:r>
                </w:p>
              </w:tc>
              <w:tc>
                <w:tcPr>
                  <w:tcW w:w="875" w:type="dxa"/>
                  <w:vMerge w:val="restart"/>
                  <w:tcBorders>
                    <w:bottom w:val="nil"/>
                  </w:tcBorders>
                  <w:vAlign w:val="top"/>
                </w:tcPr>
                <w:p w14:paraId="7782C6AC">
                  <w:pPr>
                    <w:spacing w:line="285" w:lineRule="auto"/>
                    <w:rPr>
                      <w:rFonts w:ascii="Arial"/>
                      <w:sz w:val="21"/>
                    </w:rPr>
                  </w:pPr>
                </w:p>
                <w:p w14:paraId="442B0EC3">
                  <w:pPr>
                    <w:pStyle w:val="6"/>
                    <w:spacing w:before="65" w:line="228" w:lineRule="auto"/>
                    <w:ind w:left="130"/>
                    <w:rPr>
                      <w:sz w:val="20"/>
                      <w:szCs w:val="20"/>
                    </w:rPr>
                  </w:pPr>
                  <w:r>
                    <w:rPr>
                      <w:b/>
                      <w:bCs/>
                      <w:spacing w:val="4"/>
                      <w:sz w:val="20"/>
                      <w:szCs w:val="20"/>
                    </w:rPr>
                    <w:t>贡献值</w:t>
                  </w:r>
                </w:p>
              </w:tc>
              <w:tc>
                <w:tcPr>
                  <w:tcW w:w="851" w:type="dxa"/>
                  <w:vMerge w:val="restart"/>
                  <w:tcBorders>
                    <w:bottom w:val="nil"/>
                  </w:tcBorders>
                  <w:vAlign w:val="top"/>
                </w:tcPr>
                <w:p w14:paraId="74953922">
                  <w:pPr>
                    <w:spacing w:line="285" w:lineRule="auto"/>
                    <w:rPr>
                      <w:rFonts w:ascii="Arial"/>
                      <w:sz w:val="21"/>
                    </w:rPr>
                  </w:pPr>
                </w:p>
                <w:p w14:paraId="6F606AD6">
                  <w:pPr>
                    <w:pStyle w:val="6"/>
                    <w:spacing w:before="65" w:line="228" w:lineRule="auto"/>
                    <w:ind w:left="118"/>
                    <w:rPr>
                      <w:sz w:val="20"/>
                      <w:szCs w:val="20"/>
                    </w:rPr>
                  </w:pPr>
                  <w:r>
                    <w:rPr>
                      <w:b/>
                      <w:bCs/>
                      <w:spacing w:val="5"/>
                      <w:sz w:val="20"/>
                      <w:szCs w:val="20"/>
                    </w:rPr>
                    <w:t>预测值</w:t>
                  </w:r>
                </w:p>
              </w:tc>
              <w:tc>
                <w:tcPr>
                  <w:tcW w:w="687" w:type="dxa"/>
                  <w:vMerge w:val="restart"/>
                  <w:tcBorders>
                    <w:bottom w:val="nil"/>
                  </w:tcBorders>
                  <w:vAlign w:val="top"/>
                </w:tcPr>
                <w:p w14:paraId="1C0D0A47">
                  <w:pPr>
                    <w:pStyle w:val="6"/>
                    <w:spacing w:before="81" w:line="228" w:lineRule="auto"/>
                    <w:ind w:left="139"/>
                    <w:rPr>
                      <w:sz w:val="20"/>
                      <w:szCs w:val="20"/>
                    </w:rPr>
                  </w:pPr>
                  <w:r>
                    <w:rPr>
                      <w:b/>
                      <w:bCs/>
                      <w:spacing w:val="3"/>
                      <w:sz w:val="20"/>
                      <w:szCs w:val="20"/>
                    </w:rPr>
                    <w:t>较现</w:t>
                  </w:r>
                </w:p>
                <w:p w14:paraId="102C3FEC">
                  <w:pPr>
                    <w:pStyle w:val="6"/>
                    <w:spacing w:before="23" w:line="228" w:lineRule="auto"/>
                    <w:ind w:left="139"/>
                    <w:rPr>
                      <w:sz w:val="20"/>
                      <w:szCs w:val="20"/>
                    </w:rPr>
                  </w:pPr>
                  <w:r>
                    <w:rPr>
                      <w:b/>
                      <w:bCs/>
                      <w:spacing w:val="3"/>
                      <w:sz w:val="20"/>
                      <w:szCs w:val="20"/>
                    </w:rPr>
                    <w:t>状增</w:t>
                  </w:r>
                </w:p>
                <w:p w14:paraId="79586137">
                  <w:pPr>
                    <w:pStyle w:val="6"/>
                    <w:spacing w:before="27" w:line="233" w:lineRule="auto"/>
                    <w:ind w:left="244"/>
                    <w:rPr>
                      <w:sz w:val="20"/>
                      <w:szCs w:val="20"/>
                    </w:rPr>
                  </w:pPr>
                  <w:r>
                    <w:rPr>
                      <w:b/>
                      <w:bCs/>
                      <w:spacing w:val="-2"/>
                      <w:sz w:val="20"/>
                      <w:szCs w:val="20"/>
                    </w:rPr>
                    <w:t>量</w:t>
                  </w:r>
                </w:p>
              </w:tc>
              <w:tc>
                <w:tcPr>
                  <w:tcW w:w="670" w:type="dxa"/>
                  <w:vMerge w:val="restart"/>
                  <w:tcBorders>
                    <w:bottom w:val="nil"/>
                  </w:tcBorders>
                  <w:vAlign w:val="top"/>
                </w:tcPr>
                <w:p w14:paraId="6477462E">
                  <w:pPr>
                    <w:pStyle w:val="6"/>
                    <w:spacing w:before="219" w:line="239" w:lineRule="auto"/>
                    <w:ind w:left="131" w:right="121" w:hanging="1"/>
                    <w:rPr>
                      <w:sz w:val="20"/>
                      <w:szCs w:val="20"/>
                    </w:rPr>
                  </w:pPr>
                  <w:r>
                    <w:rPr>
                      <w:b/>
                      <w:bCs/>
                      <w:spacing w:val="4"/>
                      <w:sz w:val="20"/>
                      <w:szCs w:val="20"/>
                    </w:rPr>
                    <w:t>达标</w:t>
                  </w:r>
                  <w:r>
                    <w:rPr>
                      <w:sz w:val="20"/>
                      <w:szCs w:val="20"/>
                    </w:rPr>
                    <w:t xml:space="preserve"> </w:t>
                  </w:r>
                  <w:r>
                    <w:rPr>
                      <w:b/>
                      <w:bCs/>
                      <w:spacing w:val="3"/>
                      <w:sz w:val="20"/>
                      <w:szCs w:val="20"/>
                    </w:rPr>
                    <w:t>情况</w:t>
                  </w:r>
                </w:p>
              </w:tc>
              <w:tc>
                <w:tcPr>
                  <w:tcW w:w="876" w:type="dxa"/>
                  <w:vMerge w:val="restart"/>
                  <w:tcBorders>
                    <w:bottom w:val="nil"/>
                  </w:tcBorders>
                  <w:vAlign w:val="top"/>
                </w:tcPr>
                <w:p w14:paraId="11E656D1">
                  <w:pPr>
                    <w:spacing w:line="286" w:lineRule="auto"/>
                    <w:rPr>
                      <w:rFonts w:ascii="Arial"/>
                      <w:sz w:val="21"/>
                    </w:rPr>
                  </w:pPr>
                </w:p>
                <w:p w14:paraId="3E58EDDE">
                  <w:pPr>
                    <w:pStyle w:val="6"/>
                    <w:spacing w:before="65" w:line="228" w:lineRule="auto"/>
                    <w:ind w:left="127"/>
                    <w:rPr>
                      <w:sz w:val="20"/>
                      <w:szCs w:val="20"/>
                    </w:rPr>
                  </w:pPr>
                  <w:r>
                    <w:rPr>
                      <w:b/>
                      <w:bCs/>
                      <w:spacing w:val="5"/>
                      <w:sz w:val="20"/>
                      <w:szCs w:val="20"/>
                    </w:rPr>
                    <w:t>超标量</w:t>
                  </w:r>
                </w:p>
              </w:tc>
            </w:tr>
            <w:tr w14:paraId="085ED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284" w:type="dxa"/>
                  <w:vMerge w:val="continue"/>
                  <w:tcBorders>
                    <w:top w:val="nil"/>
                  </w:tcBorders>
                  <w:vAlign w:val="top"/>
                </w:tcPr>
                <w:p w14:paraId="4215A8D0">
                  <w:pPr>
                    <w:rPr>
                      <w:rFonts w:ascii="Arial"/>
                      <w:sz w:val="21"/>
                    </w:rPr>
                  </w:pPr>
                </w:p>
              </w:tc>
              <w:tc>
                <w:tcPr>
                  <w:tcW w:w="529" w:type="dxa"/>
                  <w:vAlign w:val="top"/>
                </w:tcPr>
                <w:p w14:paraId="01562108">
                  <w:pPr>
                    <w:spacing w:before="83" w:line="192"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70" w:type="dxa"/>
                  <w:vAlign w:val="top"/>
                </w:tcPr>
                <w:p w14:paraId="7A4073B5">
                  <w:pPr>
                    <w:spacing w:before="83" w:line="192"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666" w:type="dxa"/>
                  <w:vAlign w:val="top"/>
                </w:tcPr>
                <w:p w14:paraId="11FBD575">
                  <w:pPr>
                    <w:spacing w:before="83" w:line="192"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798" w:type="dxa"/>
                  <w:vMerge w:val="continue"/>
                  <w:tcBorders>
                    <w:top w:val="nil"/>
                  </w:tcBorders>
                  <w:vAlign w:val="top"/>
                </w:tcPr>
                <w:p w14:paraId="55B65634">
                  <w:pPr>
                    <w:rPr>
                      <w:rFonts w:ascii="Arial"/>
                      <w:sz w:val="21"/>
                    </w:rPr>
                  </w:pPr>
                </w:p>
              </w:tc>
              <w:tc>
                <w:tcPr>
                  <w:tcW w:w="752" w:type="dxa"/>
                  <w:vMerge w:val="continue"/>
                  <w:tcBorders>
                    <w:top w:val="nil"/>
                  </w:tcBorders>
                  <w:vAlign w:val="top"/>
                </w:tcPr>
                <w:p w14:paraId="632D9809">
                  <w:pPr>
                    <w:rPr>
                      <w:rFonts w:ascii="Arial"/>
                      <w:sz w:val="21"/>
                    </w:rPr>
                  </w:pPr>
                </w:p>
              </w:tc>
              <w:tc>
                <w:tcPr>
                  <w:tcW w:w="828" w:type="dxa"/>
                  <w:vMerge w:val="continue"/>
                  <w:tcBorders>
                    <w:top w:val="nil"/>
                  </w:tcBorders>
                  <w:vAlign w:val="top"/>
                </w:tcPr>
                <w:p w14:paraId="7E4EDC8F">
                  <w:pPr>
                    <w:rPr>
                      <w:rFonts w:ascii="Arial"/>
                      <w:sz w:val="21"/>
                    </w:rPr>
                  </w:pPr>
                </w:p>
              </w:tc>
              <w:tc>
                <w:tcPr>
                  <w:tcW w:w="875" w:type="dxa"/>
                  <w:vMerge w:val="continue"/>
                  <w:tcBorders>
                    <w:top w:val="nil"/>
                  </w:tcBorders>
                  <w:vAlign w:val="top"/>
                </w:tcPr>
                <w:p w14:paraId="0EAA6101">
                  <w:pPr>
                    <w:rPr>
                      <w:rFonts w:ascii="Arial"/>
                      <w:sz w:val="21"/>
                    </w:rPr>
                  </w:pPr>
                </w:p>
              </w:tc>
              <w:tc>
                <w:tcPr>
                  <w:tcW w:w="851" w:type="dxa"/>
                  <w:vMerge w:val="continue"/>
                  <w:tcBorders>
                    <w:top w:val="nil"/>
                  </w:tcBorders>
                  <w:vAlign w:val="top"/>
                </w:tcPr>
                <w:p w14:paraId="1FF01B14">
                  <w:pPr>
                    <w:rPr>
                      <w:rFonts w:ascii="Arial"/>
                      <w:sz w:val="21"/>
                    </w:rPr>
                  </w:pPr>
                </w:p>
              </w:tc>
              <w:tc>
                <w:tcPr>
                  <w:tcW w:w="687" w:type="dxa"/>
                  <w:vMerge w:val="continue"/>
                  <w:tcBorders>
                    <w:top w:val="nil"/>
                  </w:tcBorders>
                  <w:vAlign w:val="top"/>
                </w:tcPr>
                <w:p w14:paraId="26665294">
                  <w:pPr>
                    <w:rPr>
                      <w:rFonts w:ascii="Arial"/>
                      <w:sz w:val="21"/>
                    </w:rPr>
                  </w:pPr>
                </w:p>
              </w:tc>
              <w:tc>
                <w:tcPr>
                  <w:tcW w:w="670" w:type="dxa"/>
                  <w:vMerge w:val="continue"/>
                  <w:tcBorders>
                    <w:top w:val="nil"/>
                  </w:tcBorders>
                  <w:vAlign w:val="top"/>
                </w:tcPr>
                <w:p w14:paraId="033091CB">
                  <w:pPr>
                    <w:rPr>
                      <w:rFonts w:ascii="Arial"/>
                      <w:sz w:val="21"/>
                    </w:rPr>
                  </w:pPr>
                </w:p>
              </w:tc>
              <w:tc>
                <w:tcPr>
                  <w:tcW w:w="876" w:type="dxa"/>
                  <w:vMerge w:val="continue"/>
                  <w:tcBorders>
                    <w:top w:val="nil"/>
                  </w:tcBorders>
                  <w:vAlign w:val="top"/>
                </w:tcPr>
                <w:p w14:paraId="05F0CB3F">
                  <w:pPr>
                    <w:rPr>
                      <w:rFonts w:ascii="Arial"/>
                      <w:sz w:val="21"/>
                    </w:rPr>
                  </w:pPr>
                </w:p>
              </w:tc>
            </w:tr>
            <w:tr w14:paraId="7C4EC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84" w:type="dxa"/>
                  <w:vMerge w:val="restart"/>
                  <w:tcBorders>
                    <w:bottom w:val="nil"/>
                  </w:tcBorders>
                  <w:vAlign w:val="top"/>
                </w:tcPr>
                <w:p w14:paraId="0893FF52">
                  <w:pPr>
                    <w:pStyle w:val="6"/>
                    <w:spacing w:before="92" w:line="239" w:lineRule="auto"/>
                    <w:ind w:left="209" w:right="114" w:hanging="84"/>
                    <w:rPr>
                      <w:sz w:val="20"/>
                      <w:szCs w:val="20"/>
                    </w:rPr>
                  </w:pPr>
                  <w:r>
                    <w:rPr>
                      <w:spacing w:val="7"/>
                      <w:sz w:val="20"/>
                      <w:szCs w:val="20"/>
                    </w:rPr>
                    <w:t>升压站厂界</w:t>
                  </w:r>
                  <w:r>
                    <w:rPr>
                      <w:spacing w:val="3"/>
                      <w:sz w:val="20"/>
                      <w:szCs w:val="20"/>
                    </w:rPr>
                    <w:t xml:space="preserve"> 东（</w:t>
                  </w:r>
                  <w:r>
                    <w:rPr>
                      <w:rFonts w:ascii="Times New Roman" w:hAnsi="Times New Roman" w:eastAsia="Times New Roman" w:cs="Times New Roman"/>
                      <w:spacing w:val="3"/>
                      <w:sz w:val="20"/>
                      <w:szCs w:val="20"/>
                    </w:rPr>
                    <w:t>N5</w:t>
                  </w:r>
                  <w:r>
                    <w:rPr>
                      <w:spacing w:val="3"/>
                      <w:sz w:val="20"/>
                      <w:szCs w:val="20"/>
                    </w:rPr>
                    <w:t>）</w:t>
                  </w:r>
                </w:p>
              </w:tc>
              <w:tc>
                <w:tcPr>
                  <w:tcW w:w="529" w:type="dxa"/>
                  <w:vAlign w:val="top"/>
                </w:tcPr>
                <w:p w14:paraId="33C98554">
                  <w:pPr>
                    <w:spacing w:before="9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570" w:type="dxa"/>
                  <w:vAlign w:val="top"/>
                </w:tcPr>
                <w:p w14:paraId="7B8C5FCA">
                  <w:pPr>
                    <w:spacing w:before="94"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p>
              </w:tc>
              <w:tc>
                <w:tcPr>
                  <w:tcW w:w="666" w:type="dxa"/>
                  <w:vAlign w:val="top"/>
                </w:tcPr>
                <w:p w14:paraId="0347BE2B">
                  <w:pPr>
                    <w:spacing w:before="9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Align w:val="top"/>
                </w:tcPr>
                <w:p w14:paraId="67F221CA">
                  <w:pPr>
                    <w:pStyle w:val="6"/>
                    <w:spacing w:before="57" w:line="231" w:lineRule="auto"/>
                    <w:ind w:left="191"/>
                    <w:rPr>
                      <w:sz w:val="20"/>
                      <w:szCs w:val="20"/>
                    </w:rPr>
                  </w:pPr>
                  <w:r>
                    <w:rPr>
                      <w:spacing w:val="5"/>
                      <w:sz w:val="20"/>
                      <w:szCs w:val="20"/>
                    </w:rPr>
                    <w:t>昼间</w:t>
                  </w:r>
                </w:p>
              </w:tc>
              <w:tc>
                <w:tcPr>
                  <w:tcW w:w="752" w:type="dxa"/>
                  <w:vAlign w:val="top"/>
                </w:tcPr>
                <w:p w14:paraId="3FE5F265">
                  <w:pPr>
                    <w:spacing w:before="94"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828" w:type="dxa"/>
                  <w:vAlign w:val="top"/>
                </w:tcPr>
                <w:p w14:paraId="437DCDAD">
                  <w:pPr>
                    <w:spacing w:before="97" w:line="192"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75" w:type="dxa"/>
                  <w:vAlign w:val="top"/>
                </w:tcPr>
                <w:p w14:paraId="750ECE24">
                  <w:pPr>
                    <w:spacing w:before="94"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30.91</w:t>
                  </w:r>
                </w:p>
              </w:tc>
              <w:tc>
                <w:tcPr>
                  <w:tcW w:w="851" w:type="dxa"/>
                  <w:vAlign w:val="top"/>
                </w:tcPr>
                <w:p w14:paraId="30327DA9">
                  <w:pPr>
                    <w:spacing w:before="9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53.03</w:t>
                  </w:r>
                </w:p>
              </w:tc>
              <w:tc>
                <w:tcPr>
                  <w:tcW w:w="687" w:type="dxa"/>
                  <w:vAlign w:val="top"/>
                </w:tcPr>
                <w:p w14:paraId="3262A641">
                  <w:pPr>
                    <w:spacing w:before="9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670" w:type="dxa"/>
                  <w:vAlign w:val="top"/>
                </w:tcPr>
                <w:p w14:paraId="1675918A">
                  <w:pPr>
                    <w:pStyle w:val="6"/>
                    <w:spacing w:before="58" w:line="228" w:lineRule="auto"/>
                    <w:ind w:left="133"/>
                    <w:rPr>
                      <w:sz w:val="20"/>
                      <w:szCs w:val="20"/>
                    </w:rPr>
                  </w:pPr>
                  <w:r>
                    <w:rPr>
                      <w:spacing w:val="5"/>
                      <w:sz w:val="20"/>
                      <w:szCs w:val="20"/>
                    </w:rPr>
                    <w:t>达标</w:t>
                  </w:r>
                </w:p>
              </w:tc>
              <w:tc>
                <w:tcPr>
                  <w:tcW w:w="876" w:type="dxa"/>
                  <w:vAlign w:val="top"/>
                </w:tcPr>
                <w:p w14:paraId="64A63431">
                  <w:pPr>
                    <w:spacing w:before="90"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A788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84" w:type="dxa"/>
                  <w:vMerge w:val="continue"/>
                  <w:tcBorders>
                    <w:top w:val="nil"/>
                  </w:tcBorders>
                  <w:vAlign w:val="top"/>
                </w:tcPr>
                <w:p w14:paraId="6619F5BD">
                  <w:pPr>
                    <w:rPr>
                      <w:rFonts w:ascii="Arial"/>
                      <w:sz w:val="21"/>
                    </w:rPr>
                  </w:pPr>
                </w:p>
              </w:tc>
              <w:tc>
                <w:tcPr>
                  <w:tcW w:w="529" w:type="dxa"/>
                  <w:vAlign w:val="top"/>
                </w:tcPr>
                <w:p w14:paraId="110581E7">
                  <w:pPr>
                    <w:spacing w:before="9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570" w:type="dxa"/>
                  <w:vAlign w:val="top"/>
                </w:tcPr>
                <w:p w14:paraId="1D23F241">
                  <w:pPr>
                    <w:spacing w:before="94"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p>
              </w:tc>
              <w:tc>
                <w:tcPr>
                  <w:tcW w:w="666" w:type="dxa"/>
                  <w:vAlign w:val="top"/>
                </w:tcPr>
                <w:p w14:paraId="6314CAD0">
                  <w:pPr>
                    <w:spacing w:before="9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Align w:val="top"/>
                </w:tcPr>
                <w:p w14:paraId="3F161AEE">
                  <w:pPr>
                    <w:pStyle w:val="6"/>
                    <w:spacing w:before="58" w:line="228" w:lineRule="auto"/>
                    <w:ind w:left="195"/>
                    <w:rPr>
                      <w:sz w:val="20"/>
                      <w:szCs w:val="20"/>
                    </w:rPr>
                  </w:pPr>
                  <w:r>
                    <w:rPr>
                      <w:spacing w:val="3"/>
                      <w:sz w:val="20"/>
                      <w:szCs w:val="20"/>
                    </w:rPr>
                    <w:t>夜间</w:t>
                  </w:r>
                </w:p>
              </w:tc>
              <w:tc>
                <w:tcPr>
                  <w:tcW w:w="752" w:type="dxa"/>
                  <w:vAlign w:val="top"/>
                </w:tcPr>
                <w:p w14:paraId="3A8A0F1B">
                  <w:pPr>
                    <w:spacing w:before="9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828" w:type="dxa"/>
                  <w:vAlign w:val="top"/>
                </w:tcPr>
                <w:p w14:paraId="4FA29432">
                  <w:pPr>
                    <w:spacing w:before="94"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75" w:type="dxa"/>
                  <w:vAlign w:val="top"/>
                </w:tcPr>
                <w:p w14:paraId="71DEC5EB">
                  <w:pPr>
                    <w:spacing w:before="94"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30.91</w:t>
                  </w:r>
                </w:p>
              </w:tc>
              <w:tc>
                <w:tcPr>
                  <w:tcW w:w="851" w:type="dxa"/>
                  <w:vAlign w:val="top"/>
                </w:tcPr>
                <w:p w14:paraId="4E8C30A0">
                  <w:pPr>
                    <w:spacing w:before="94"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43.26</w:t>
                  </w:r>
                </w:p>
              </w:tc>
              <w:tc>
                <w:tcPr>
                  <w:tcW w:w="687" w:type="dxa"/>
                  <w:vAlign w:val="top"/>
                </w:tcPr>
                <w:p w14:paraId="4F6D80C8">
                  <w:pPr>
                    <w:spacing w:before="9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670" w:type="dxa"/>
                  <w:vAlign w:val="top"/>
                </w:tcPr>
                <w:p w14:paraId="654744A2">
                  <w:pPr>
                    <w:pStyle w:val="6"/>
                    <w:spacing w:before="59" w:line="228" w:lineRule="auto"/>
                    <w:ind w:left="133"/>
                    <w:rPr>
                      <w:sz w:val="20"/>
                      <w:szCs w:val="20"/>
                    </w:rPr>
                  </w:pPr>
                  <w:r>
                    <w:rPr>
                      <w:spacing w:val="5"/>
                      <w:sz w:val="20"/>
                      <w:szCs w:val="20"/>
                    </w:rPr>
                    <w:t>达标</w:t>
                  </w:r>
                </w:p>
              </w:tc>
              <w:tc>
                <w:tcPr>
                  <w:tcW w:w="876" w:type="dxa"/>
                  <w:vAlign w:val="top"/>
                </w:tcPr>
                <w:p w14:paraId="05AE0985">
                  <w:pPr>
                    <w:spacing w:before="90"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8E30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284" w:type="dxa"/>
                  <w:vMerge w:val="restart"/>
                  <w:tcBorders>
                    <w:bottom w:val="nil"/>
                  </w:tcBorders>
                  <w:vAlign w:val="top"/>
                </w:tcPr>
                <w:p w14:paraId="681146B2">
                  <w:pPr>
                    <w:pStyle w:val="6"/>
                    <w:spacing w:before="124"/>
                    <w:ind w:left="205" w:right="114" w:hanging="80"/>
                    <w:rPr>
                      <w:sz w:val="20"/>
                      <w:szCs w:val="20"/>
                    </w:rPr>
                  </w:pPr>
                  <w:r>
                    <w:rPr>
                      <w:spacing w:val="7"/>
                      <w:sz w:val="20"/>
                      <w:szCs w:val="20"/>
                    </w:rPr>
                    <w:t>升压站厂界</w:t>
                  </w:r>
                  <w:r>
                    <w:rPr>
                      <w:spacing w:val="3"/>
                      <w:sz w:val="20"/>
                      <w:szCs w:val="20"/>
                    </w:rPr>
                    <w:t xml:space="preserve"> </w:t>
                  </w:r>
                  <w:r>
                    <w:rPr>
                      <w:spacing w:val="4"/>
                      <w:sz w:val="20"/>
                      <w:szCs w:val="20"/>
                    </w:rPr>
                    <w:t>南（</w:t>
                  </w:r>
                  <w:r>
                    <w:rPr>
                      <w:rFonts w:ascii="Times New Roman" w:hAnsi="Times New Roman" w:eastAsia="Times New Roman" w:cs="Times New Roman"/>
                      <w:spacing w:val="4"/>
                      <w:sz w:val="20"/>
                      <w:szCs w:val="20"/>
                    </w:rPr>
                    <w:t>N6</w:t>
                  </w:r>
                  <w:r>
                    <w:rPr>
                      <w:spacing w:val="4"/>
                      <w:sz w:val="20"/>
                      <w:szCs w:val="20"/>
                    </w:rPr>
                    <w:t>）</w:t>
                  </w:r>
                </w:p>
              </w:tc>
              <w:tc>
                <w:tcPr>
                  <w:tcW w:w="529" w:type="dxa"/>
                  <w:vAlign w:val="top"/>
                </w:tcPr>
                <w:p w14:paraId="745CC56A">
                  <w:pPr>
                    <w:spacing w:before="126" w:line="195" w:lineRule="auto"/>
                    <w:ind w:left="128"/>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570" w:type="dxa"/>
                  <w:vAlign w:val="top"/>
                </w:tcPr>
                <w:p w14:paraId="098070D7">
                  <w:pPr>
                    <w:spacing w:before="12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w:t>
                  </w:r>
                </w:p>
              </w:tc>
              <w:tc>
                <w:tcPr>
                  <w:tcW w:w="666" w:type="dxa"/>
                  <w:vAlign w:val="top"/>
                </w:tcPr>
                <w:p w14:paraId="29DA0828">
                  <w:pPr>
                    <w:spacing w:before="12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Align w:val="top"/>
                </w:tcPr>
                <w:p w14:paraId="055079A5">
                  <w:pPr>
                    <w:pStyle w:val="6"/>
                    <w:spacing w:before="89" w:line="231" w:lineRule="auto"/>
                    <w:ind w:left="191"/>
                    <w:rPr>
                      <w:sz w:val="20"/>
                      <w:szCs w:val="20"/>
                    </w:rPr>
                  </w:pPr>
                  <w:r>
                    <w:rPr>
                      <w:spacing w:val="5"/>
                      <w:sz w:val="20"/>
                      <w:szCs w:val="20"/>
                    </w:rPr>
                    <w:t>昼间</w:t>
                  </w:r>
                </w:p>
              </w:tc>
              <w:tc>
                <w:tcPr>
                  <w:tcW w:w="752" w:type="dxa"/>
                  <w:vAlign w:val="top"/>
                </w:tcPr>
                <w:p w14:paraId="1B7B1806">
                  <w:pPr>
                    <w:spacing w:before="126"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828" w:type="dxa"/>
                  <w:vAlign w:val="top"/>
                </w:tcPr>
                <w:p w14:paraId="22F53299">
                  <w:pPr>
                    <w:spacing w:before="129" w:line="192"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75" w:type="dxa"/>
                  <w:vAlign w:val="top"/>
                </w:tcPr>
                <w:p w14:paraId="75ECC88C">
                  <w:pPr>
                    <w:spacing w:before="126"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35.5</w:t>
                  </w:r>
                </w:p>
              </w:tc>
              <w:tc>
                <w:tcPr>
                  <w:tcW w:w="851" w:type="dxa"/>
                  <w:vAlign w:val="top"/>
                </w:tcPr>
                <w:p w14:paraId="5357D651">
                  <w:pPr>
                    <w:spacing w:before="12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53.08</w:t>
                  </w:r>
                </w:p>
              </w:tc>
              <w:tc>
                <w:tcPr>
                  <w:tcW w:w="687" w:type="dxa"/>
                  <w:vAlign w:val="top"/>
                </w:tcPr>
                <w:p w14:paraId="2F9702E0">
                  <w:pPr>
                    <w:spacing w:before="12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670" w:type="dxa"/>
                  <w:vAlign w:val="top"/>
                </w:tcPr>
                <w:p w14:paraId="6602F0B0">
                  <w:pPr>
                    <w:pStyle w:val="6"/>
                    <w:spacing w:before="90" w:line="228" w:lineRule="auto"/>
                    <w:ind w:left="133"/>
                    <w:rPr>
                      <w:sz w:val="20"/>
                      <w:szCs w:val="20"/>
                    </w:rPr>
                  </w:pPr>
                  <w:r>
                    <w:rPr>
                      <w:spacing w:val="5"/>
                      <w:sz w:val="20"/>
                      <w:szCs w:val="20"/>
                    </w:rPr>
                    <w:t>达标</w:t>
                  </w:r>
                </w:p>
              </w:tc>
              <w:tc>
                <w:tcPr>
                  <w:tcW w:w="876" w:type="dxa"/>
                  <w:vAlign w:val="top"/>
                </w:tcPr>
                <w:p w14:paraId="6C56804C">
                  <w:pPr>
                    <w:spacing w:before="122"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B73B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84" w:type="dxa"/>
                  <w:vMerge w:val="continue"/>
                  <w:tcBorders>
                    <w:top w:val="nil"/>
                  </w:tcBorders>
                  <w:vAlign w:val="top"/>
                </w:tcPr>
                <w:p w14:paraId="1D5359D4">
                  <w:pPr>
                    <w:rPr>
                      <w:rFonts w:ascii="Arial"/>
                      <w:sz w:val="21"/>
                    </w:rPr>
                  </w:pPr>
                </w:p>
              </w:tc>
              <w:tc>
                <w:tcPr>
                  <w:tcW w:w="529" w:type="dxa"/>
                  <w:vAlign w:val="top"/>
                </w:tcPr>
                <w:p w14:paraId="10326C2D">
                  <w:pPr>
                    <w:spacing w:before="96" w:line="195" w:lineRule="auto"/>
                    <w:ind w:left="128"/>
                    <w:rPr>
                      <w:rFonts w:ascii="Times New Roman" w:hAnsi="Times New Roman" w:eastAsia="Times New Roman" w:cs="Times New Roman"/>
                      <w:sz w:val="20"/>
                      <w:szCs w:val="20"/>
                    </w:rPr>
                  </w:pPr>
                  <w:r>
                    <w:rPr>
                      <w:rFonts w:ascii="Times New Roman" w:hAnsi="Times New Roman" w:eastAsia="Times New Roman" w:cs="Times New Roman"/>
                      <w:sz w:val="20"/>
                      <w:szCs w:val="20"/>
                    </w:rPr>
                    <w:t>-19</w:t>
                  </w:r>
                </w:p>
              </w:tc>
              <w:tc>
                <w:tcPr>
                  <w:tcW w:w="570" w:type="dxa"/>
                  <w:vAlign w:val="top"/>
                </w:tcPr>
                <w:p w14:paraId="4F4C0314">
                  <w:pPr>
                    <w:spacing w:before="9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w:t>
                  </w:r>
                </w:p>
              </w:tc>
              <w:tc>
                <w:tcPr>
                  <w:tcW w:w="666" w:type="dxa"/>
                  <w:vAlign w:val="top"/>
                </w:tcPr>
                <w:p w14:paraId="7CE81B4B">
                  <w:pPr>
                    <w:spacing w:before="9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Align w:val="top"/>
                </w:tcPr>
                <w:p w14:paraId="4B291A9E">
                  <w:pPr>
                    <w:pStyle w:val="6"/>
                    <w:spacing w:before="60" w:line="228" w:lineRule="auto"/>
                    <w:ind w:left="195"/>
                    <w:rPr>
                      <w:sz w:val="20"/>
                      <w:szCs w:val="20"/>
                    </w:rPr>
                  </w:pPr>
                  <w:r>
                    <w:rPr>
                      <w:spacing w:val="3"/>
                      <w:sz w:val="20"/>
                      <w:szCs w:val="20"/>
                    </w:rPr>
                    <w:t>夜间</w:t>
                  </w:r>
                </w:p>
              </w:tc>
              <w:tc>
                <w:tcPr>
                  <w:tcW w:w="752" w:type="dxa"/>
                  <w:vAlign w:val="top"/>
                </w:tcPr>
                <w:p w14:paraId="5F57F718">
                  <w:pPr>
                    <w:spacing w:before="9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828" w:type="dxa"/>
                  <w:vAlign w:val="top"/>
                </w:tcPr>
                <w:p w14:paraId="2E378780">
                  <w:pPr>
                    <w:spacing w:before="96"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75" w:type="dxa"/>
                  <w:vAlign w:val="top"/>
                </w:tcPr>
                <w:p w14:paraId="68E718C7">
                  <w:pPr>
                    <w:spacing w:before="96"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35.5</w:t>
                  </w:r>
                </w:p>
              </w:tc>
              <w:tc>
                <w:tcPr>
                  <w:tcW w:w="851" w:type="dxa"/>
                  <w:vAlign w:val="top"/>
                </w:tcPr>
                <w:p w14:paraId="1BBE14C8">
                  <w:pPr>
                    <w:spacing w:before="96"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43.71</w:t>
                  </w:r>
                </w:p>
              </w:tc>
              <w:tc>
                <w:tcPr>
                  <w:tcW w:w="687" w:type="dxa"/>
                  <w:vAlign w:val="top"/>
                </w:tcPr>
                <w:p w14:paraId="491B0F67">
                  <w:pPr>
                    <w:spacing w:before="9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0.71</w:t>
                  </w:r>
                </w:p>
              </w:tc>
              <w:tc>
                <w:tcPr>
                  <w:tcW w:w="670" w:type="dxa"/>
                  <w:vAlign w:val="top"/>
                </w:tcPr>
                <w:p w14:paraId="1A1A0451">
                  <w:pPr>
                    <w:pStyle w:val="6"/>
                    <w:spacing w:before="61" w:line="228" w:lineRule="auto"/>
                    <w:ind w:left="133"/>
                    <w:rPr>
                      <w:sz w:val="20"/>
                      <w:szCs w:val="20"/>
                    </w:rPr>
                  </w:pPr>
                  <w:r>
                    <w:rPr>
                      <w:spacing w:val="5"/>
                      <w:sz w:val="20"/>
                      <w:szCs w:val="20"/>
                    </w:rPr>
                    <w:t>达标</w:t>
                  </w:r>
                </w:p>
              </w:tc>
              <w:tc>
                <w:tcPr>
                  <w:tcW w:w="876" w:type="dxa"/>
                  <w:vAlign w:val="top"/>
                </w:tcPr>
                <w:p w14:paraId="67656DB7">
                  <w:pPr>
                    <w:spacing w:before="93"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986C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84" w:type="dxa"/>
                  <w:vMerge w:val="restart"/>
                  <w:tcBorders>
                    <w:bottom w:val="nil"/>
                  </w:tcBorders>
                  <w:vAlign w:val="top"/>
                </w:tcPr>
                <w:p w14:paraId="202509B2">
                  <w:pPr>
                    <w:pStyle w:val="6"/>
                    <w:spacing w:before="92" w:line="242" w:lineRule="auto"/>
                    <w:ind w:left="207" w:right="114" w:hanging="82"/>
                    <w:rPr>
                      <w:sz w:val="20"/>
                      <w:szCs w:val="20"/>
                    </w:rPr>
                  </w:pPr>
                  <w:r>
                    <w:rPr>
                      <w:spacing w:val="7"/>
                      <w:sz w:val="20"/>
                      <w:szCs w:val="20"/>
                    </w:rPr>
                    <w:t>升压站厂界</w:t>
                  </w:r>
                  <w:r>
                    <w:rPr>
                      <w:spacing w:val="3"/>
                      <w:sz w:val="20"/>
                      <w:szCs w:val="20"/>
                    </w:rPr>
                    <w:t xml:space="preserve"> 西（</w:t>
                  </w:r>
                  <w:r>
                    <w:rPr>
                      <w:rFonts w:ascii="Times New Roman" w:hAnsi="Times New Roman" w:eastAsia="Times New Roman" w:cs="Times New Roman"/>
                      <w:spacing w:val="3"/>
                      <w:sz w:val="20"/>
                      <w:szCs w:val="20"/>
                    </w:rPr>
                    <w:t>N7</w:t>
                  </w:r>
                  <w:r>
                    <w:rPr>
                      <w:spacing w:val="3"/>
                      <w:sz w:val="20"/>
                      <w:szCs w:val="20"/>
                    </w:rPr>
                    <w:t>）</w:t>
                  </w:r>
                </w:p>
              </w:tc>
              <w:tc>
                <w:tcPr>
                  <w:tcW w:w="529" w:type="dxa"/>
                  <w:vAlign w:val="top"/>
                </w:tcPr>
                <w:p w14:paraId="77D67C33">
                  <w:pPr>
                    <w:spacing w:before="100" w:line="192" w:lineRule="auto"/>
                    <w:ind w:left="12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570" w:type="dxa"/>
                  <w:vAlign w:val="top"/>
                </w:tcPr>
                <w:p w14:paraId="1AB1F27D">
                  <w:pPr>
                    <w:spacing w:before="9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66" w:type="dxa"/>
                  <w:vAlign w:val="top"/>
                </w:tcPr>
                <w:p w14:paraId="7397F767">
                  <w:pPr>
                    <w:spacing w:before="9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Align w:val="top"/>
                </w:tcPr>
                <w:p w14:paraId="02457475">
                  <w:pPr>
                    <w:pStyle w:val="6"/>
                    <w:spacing w:before="60" w:line="231" w:lineRule="auto"/>
                    <w:ind w:left="191"/>
                    <w:rPr>
                      <w:sz w:val="20"/>
                      <w:szCs w:val="20"/>
                    </w:rPr>
                  </w:pPr>
                  <w:r>
                    <w:rPr>
                      <w:spacing w:val="5"/>
                      <w:sz w:val="20"/>
                      <w:szCs w:val="20"/>
                    </w:rPr>
                    <w:t>昼间</w:t>
                  </w:r>
                </w:p>
              </w:tc>
              <w:tc>
                <w:tcPr>
                  <w:tcW w:w="752" w:type="dxa"/>
                  <w:vAlign w:val="top"/>
                </w:tcPr>
                <w:p w14:paraId="6441B296">
                  <w:pPr>
                    <w:spacing w:before="97"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828" w:type="dxa"/>
                  <w:vAlign w:val="top"/>
                </w:tcPr>
                <w:p w14:paraId="1B192525">
                  <w:pPr>
                    <w:spacing w:before="100" w:line="192"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75" w:type="dxa"/>
                  <w:vAlign w:val="top"/>
                </w:tcPr>
                <w:p w14:paraId="6E47BBE3">
                  <w:pPr>
                    <w:spacing w:before="97"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37.02</w:t>
                  </w:r>
                </w:p>
              </w:tc>
              <w:tc>
                <w:tcPr>
                  <w:tcW w:w="851" w:type="dxa"/>
                  <w:vAlign w:val="top"/>
                </w:tcPr>
                <w:p w14:paraId="38C0B92B">
                  <w:pPr>
                    <w:spacing w:before="9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54.09</w:t>
                  </w:r>
                </w:p>
              </w:tc>
              <w:tc>
                <w:tcPr>
                  <w:tcW w:w="687" w:type="dxa"/>
                  <w:vAlign w:val="top"/>
                </w:tcPr>
                <w:p w14:paraId="3C8AACBC">
                  <w:pPr>
                    <w:spacing w:before="9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670" w:type="dxa"/>
                  <w:vAlign w:val="top"/>
                </w:tcPr>
                <w:p w14:paraId="49BD93EE">
                  <w:pPr>
                    <w:pStyle w:val="6"/>
                    <w:spacing w:before="61" w:line="228" w:lineRule="auto"/>
                    <w:ind w:left="133"/>
                    <w:rPr>
                      <w:sz w:val="20"/>
                      <w:szCs w:val="20"/>
                    </w:rPr>
                  </w:pPr>
                  <w:r>
                    <w:rPr>
                      <w:spacing w:val="5"/>
                      <w:sz w:val="20"/>
                      <w:szCs w:val="20"/>
                    </w:rPr>
                    <w:t>达标</w:t>
                  </w:r>
                </w:p>
              </w:tc>
              <w:tc>
                <w:tcPr>
                  <w:tcW w:w="876" w:type="dxa"/>
                  <w:vAlign w:val="top"/>
                </w:tcPr>
                <w:p w14:paraId="7B1C21DB">
                  <w:pPr>
                    <w:spacing w:before="93"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2021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84" w:type="dxa"/>
                  <w:vMerge w:val="continue"/>
                  <w:tcBorders>
                    <w:top w:val="nil"/>
                  </w:tcBorders>
                  <w:vAlign w:val="top"/>
                </w:tcPr>
                <w:p w14:paraId="14448C69">
                  <w:pPr>
                    <w:rPr>
                      <w:rFonts w:ascii="Arial"/>
                      <w:sz w:val="21"/>
                    </w:rPr>
                  </w:pPr>
                </w:p>
              </w:tc>
              <w:tc>
                <w:tcPr>
                  <w:tcW w:w="529" w:type="dxa"/>
                  <w:vAlign w:val="top"/>
                </w:tcPr>
                <w:p w14:paraId="213336E3">
                  <w:pPr>
                    <w:spacing w:before="100" w:line="192" w:lineRule="auto"/>
                    <w:ind w:left="12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570" w:type="dxa"/>
                  <w:vAlign w:val="top"/>
                </w:tcPr>
                <w:p w14:paraId="6CAE77B2">
                  <w:pPr>
                    <w:spacing w:before="9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66" w:type="dxa"/>
                  <w:vAlign w:val="top"/>
                </w:tcPr>
                <w:p w14:paraId="5346EE8C">
                  <w:pPr>
                    <w:spacing w:before="9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Align w:val="top"/>
                </w:tcPr>
                <w:p w14:paraId="24C4539B">
                  <w:pPr>
                    <w:pStyle w:val="6"/>
                    <w:spacing w:before="61" w:line="228" w:lineRule="auto"/>
                    <w:ind w:left="195"/>
                    <w:rPr>
                      <w:sz w:val="20"/>
                      <w:szCs w:val="20"/>
                    </w:rPr>
                  </w:pPr>
                  <w:r>
                    <w:rPr>
                      <w:spacing w:val="3"/>
                      <w:sz w:val="20"/>
                      <w:szCs w:val="20"/>
                    </w:rPr>
                    <w:t>夜间</w:t>
                  </w:r>
                </w:p>
              </w:tc>
              <w:tc>
                <w:tcPr>
                  <w:tcW w:w="752" w:type="dxa"/>
                  <w:vAlign w:val="top"/>
                </w:tcPr>
                <w:p w14:paraId="78289B10">
                  <w:pPr>
                    <w:spacing w:before="9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828" w:type="dxa"/>
                  <w:vAlign w:val="top"/>
                </w:tcPr>
                <w:p w14:paraId="7E439A63">
                  <w:pPr>
                    <w:spacing w:before="97"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75" w:type="dxa"/>
                  <w:vAlign w:val="top"/>
                </w:tcPr>
                <w:p w14:paraId="079F91CC">
                  <w:pPr>
                    <w:spacing w:before="97"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37.02</w:t>
                  </w:r>
                </w:p>
              </w:tc>
              <w:tc>
                <w:tcPr>
                  <w:tcW w:w="851" w:type="dxa"/>
                  <w:vAlign w:val="top"/>
                </w:tcPr>
                <w:p w14:paraId="284BBD48">
                  <w:pPr>
                    <w:spacing w:before="9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44.79</w:t>
                  </w:r>
                </w:p>
              </w:tc>
              <w:tc>
                <w:tcPr>
                  <w:tcW w:w="687" w:type="dxa"/>
                  <w:vAlign w:val="top"/>
                </w:tcPr>
                <w:p w14:paraId="21A81DE3">
                  <w:pPr>
                    <w:spacing w:before="9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w:t>
                  </w:r>
                </w:p>
              </w:tc>
              <w:tc>
                <w:tcPr>
                  <w:tcW w:w="670" w:type="dxa"/>
                  <w:vAlign w:val="top"/>
                </w:tcPr>
                <w:p w14:paraId="6B2FB6D8">
                  <w:pPr>
                    <w:pStyle w:val="6"/>
                    <w:spacing w:before="62" w:line="228" w:lineRule="auto"/>
                    <w:ind w:left="133"/>
                    <w:rPr>
                      <w:sz w:val="20"/>
                      <w:szCs w:val="20"/>
                    </w:rPr>
                  </w:pPr>
                  <w:r>
                    <w:rPr>
                      <w:spacing w:val="5"/>
                      <w:sz w:val="20"/>
                      <w:szCs w:val="20"/>
                    </w:rPr>
                    <w:t>达标</w:t>
                  </w:r>
                </w:p>
              </w:tc>
              <w:tc>
                <w:tcPr>
                  <w:tcW w:w="876" w:type="dxa"/>
                  <w:vAlign w:val="top"/>
                </w:tcPr>
                <w:p w14:paraId="21895573">
                  <w:pPr>
                    <w:spacing w:before="93"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8930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84" w:type="dxa"/>
                  <w:vMerge w:val="restart"/>
                  <w:tcBorders>
                    <w:bottom w:val="nil"/>
                  </w:tcBorders>
                  <w:vAlign w:val="top"/>
                </w:tcPr>
                <w:p w14:paraId="7B6A1170">
                  <w:pPr>
                    <w:pStyle w:val="6"/>
                    <w:spacing w:before="93" w:line="242" w:lineRule="auto"/>
                    <w:ind w:left="205" w:right="114" w:hanging="80"/>
                    <w:rPr>
                      <w:sz w:val="20"/>
                      <w:szCs w:val="20"/>
                    </w:rPr>
                  </w:pPr>
                  <w:r>
                    <w:rPr>
                      <w:spacing w:val="7"/>
                      <w:sz w:val="20"/>
                      <w:szCs w:val="20"/>
                    </w:rPr>
                    <w:t>升压站厂界</w:t>
                  </w:r>
                  <w:r>
                    <w:rPr>
                      <w:spacing w:val="3"/>
                      <w:sz w:val="20"/>
                      <w:szCs w:val="20"/>
                    </w:rPr>
                    <w:t xml:space="preserve"> 北（</w:t>
                  </w:r>
                  <w:r>
                    <w:rPr>
                      <w:rFonts w:ascii="Times New Roman" w:hAnsi="Times New Roman" w:eastAsia="Times New Roman" w:cs="Times New Roman"/>
                      <w:spacing w:val="3"/>
                      <w:sz w:val="20"/>
                      <w:szCs w:val="20"/>
                    </w:rPr>
                    <w:t>N8</w:t>
                  </w:r>
                  <w:r>
                    <w:rPr>
                      <w:spacing w:val="3"/>
                      <w:sz w:val="20"/>
                      <w:szCs w:val="20"/>
                    </w:rPr>
                    <w:t>）</w:t>
                  </w:r>
                </w:p>
              </w:tc>
              <w:tc>
                <w:tcPr>
                  <w:tcW w:w="529" w:type="dxa"/>
                  <w:vAlign w:val="top"/>
                </w:tcPr>
                <w:p w14:paraId="6CE43F0E">
                  <w:pPr>
                    <w:spacing w:before="9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70" w:type="dxa"/>
                  <w:vAlign w:val="top"/>
                </w:tcPr>
                <w:p w14:paraId="0C242314">
                  <w:pPr>
                    <w:spacing w:before="9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666" w:type="dxa"/>
                  <w:vAlign w:val="top"/>
                </w:tcPr>
                <w:p w14:paraId="4FCC2361">
                  <w:pPr>
                    <w:spacing w:before="9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Align w:val="top"/>
                </w:tcPr>
                <w:p w14:paraId="201B9D68">
                  <w:pPr>
                    <w:pStyle w:val="6"/>
                    <w:spacing w:before="61" w:line="231" w:lineRule="auto"/>
                    <w:ind w:left="191"/>
                    <w:rPr>
                      <w:sz w:val="20"/>
                      <w:szCs w:val="20"/>
                    </w:rPr>
                  </w:pPr>
                  <w:r>
                    <w:rPr>
                      <w:spacing w:val="5"/>
                      <w:sz w:val="20"/>
                      <w:szCs w:val="20"/>
                    </w:rPr>
                    <w:t>昼间</w:t>
                  </w:r>
                </w:p>
              </w:tc>
              <w:tc>
                <w:tcPr>
                  <w:tcW w:w="752" w:type="dxa"/>
                  <w:vAlign w:val="top"/>
                </w:tcPr>
                <w:p w14:paraId="0B19595D">
                  <w:pPr>
                    <w:spacing w:before="98"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828" w:type="dxa"/>
                  <w:vAlign w:val="top"/>
                </w:tcPr>
                <w:p w14:paraId="7B9D3276">
                  <w:pPr>
                    <w:spacing w:before="101" w:line="192"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75" w:type="dxa"/>
                  <w:vAlign w:val="top"/>
                </w:tcPr>
                <w:p w14:paraId="460B1ECB">
                  <w:pPr>
                    <w:spacing w:before="9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31.18</w:t>
                  </w:r>
                </w:p>
              </w:tc>
              <w:tc>
                <w:tcPr>
                  <w:tcW w:w="851" w:type="dxa"/>
                  <w:vAlign w:val="top"/>
                </w:tcPr>
                <w:p w14:paraId="7CEFB22C">
                  <w:pPr>
                    <w:spacing w:before="9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54.02</w:t>
                  </w:r>
                </w:p>
              </w:tc>
              <w:tc>
                <w:tcPr>
                  <w:tcW w:w="687" w:type="dxa"/>
                  <w:vAlign w:val="top"/>
                </w:tcPr>
                <w:p w14:paraId="1FDBA254">
                  <w:pPr>
                    <w:spacing w:before="9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670" w:type="dxa"/>
                  <w:vAlign w:val="top"/>
                </w:tcPr>
                <w:p w14:paraId="3B40B8CC">
                  <w:pPr>
                    <w:pStyle w:val="6"/>
                    <w:spacing w:before="62" w:line="228" w:lineRule="auto"/>
                    <w:ind w:left="133"/>
                    <w:rPr>
                      <w:sz w:val="20"/>
                      <w:szCs w:val="20"/>
                    </w:rPr>
                  </w:pPr>
                  <w:r>
                    <w:rPr>
                      <w:spacing w:val="5"/>
                      <w:sz w:val="20"/>
                      <w:szCs w:val="20"/>
                    </w:rPr>
                    <w:t>达标</w:t>
                  </w:r>
                </w:p>
              </w:tc>
              <w:tc>
                <w:tcPr>
                  <w:tcW w:w="876" w:type="dxa"/>
                  <w:vAlign w:val="top"/>
                </w:tcPr>
                <w:p w14:paraId="5ABA36F6">
                  <w:pPr>
                    <w:spacing w:before="94"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3F44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84" w:type="dxa"/>
                  <w:vMerge w:val="continue"/>
                  <w:tcBorders>
                    <w:top w:val="nil"/>
                  </w:tcBorders>
                  <w:vAlign w:val="top"/>
                </w:tcPr>
                <w:p w14:paraId="5BAAF33C">
                  <w:pPr>
                    <w:rPr>
                      <w:rFonts w:ascii="Arial"/>
                      <w:sz w:val="21"/>
                    </w:rPr>
                  </w:pPr>
                </w:p>
              </w:tc>
              <w:tc>
                <w:tcPr>
                  <w:tcW w:w="529" w:type="dxa"/>
                  <w:vAlign w:val="top"/>
                </w:tcPr>
                <w:p w14:paraId="54E81A4B">
                  <w:pPr>
                    <w:spacing w:before="9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70" w:type="dxa"/>
                  <w:vAlign w:val="top"/>
                </w:tcPr>
                <w:p w14:paraId="2E52607A">
                  <w:pPr>
                    <w:spacing w:before="9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666" w:type="dxa"/>
                  <w:vAlign w:val="top"/>
                </w:tcPr>
                <w:p w14:paraId="419D374D">
                  <w:pPr>
                    <w:spacing w:before="9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Align w:val="top"/>
                </w:tcPr>
                <w:p w14:paraId="1A6285F2">
                  <w:pPr>
                    <w:pStyle w:val="6"/>
                    <w:spacing w:before="62" w:line="228" w:lineRule="auto"/>
                    <w:ind w:left="195"/>
                    <w:rPr>
                      <w:sz w:val="20"/>
                      <w:szCs w:val="20"/>
                    </w:rPr>
                  </w:pPr>
                  <w:r>
                    <w:rPr>
                      <w:spacing w:val="3"/>
                      <w:sz w:val="20"/>
                      <w:szCs w:val="20"/>
                    </w:rPr>
                    <w:t>夜间</w:t>
                  </w:r>
                </w:p>
              </w:tc>
              <w:tc>
                <w:tcPr>
                  <w:tcW w:w="752" w:type="dxa"/>
                  <w:vAlign w:val="top"/>
                </w:tcPr>
                <w:p w14:paraId="254B4486">
                  <w:pPr>
                    <w:spacing w:before="9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828" w:type="dxa"/>
                  <w:vAlign w:val="top"/>
                </w:tcPr>
                <w:p w14:paraId="42F2FDA7">
                  <w:pPr>
                    <w:spacing w:before="98"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75" w:type="dxa"/>
                  <w:vAlign w:val="top"/>
                </w:tcPr>
                <w:p w14:paraId="420C0A7E">
                  <w:pPr>
                    <w:spacing w:before="9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31.18</w:t>
                  </w:r>
                </w:p>
              </w:tc>
              <w:tc>
                <w:tcPr>
                  <w:tcW w:w="851" w:type="dxa"/>
                  <w:vAlign w:val="top"/>
                </w:tcPr>
                <w:p w14:paraId="67D5978B">
                  <w:pPr>
                    <w:spacing w:before="9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44.22</w:t>
                  </w:r>
                </w:p>
              </w:tc>
              <w:tc>
                <w:tcPr>
                  <w:tcW w:w="687" w:type="dxa"/>
                  <w:vAlign w:val="top"/>
                </w:tcPr>
                <w:p w14:paraId="108EE400">
                  <w:pPr>
                    <w:spacing w:before="9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670" w:type="dxa"/>
                  <w:vAlign w:val="top"/>
                </w:tcPr>
                <w:p w14:paraId="7C913EFF">
                  <w:pPr>
                    <w:pStyle w:val="6"/>
                    <w:spacing w:before="63" w:line="228" w:lineRule="auto"/>
                    <w:ind w:left="133"/>
                    <w:rPr>
                      <w:sz w:val="20"/>
                      <w:szCs w:val="20"/>
                    </w:rPr>
                  </w:pPr>
                  <w:r>
                    <w:rPr>
                      <w:spacing w:val="5"/>
                      <w:sz w:val="20"/>
                      <w:szCs w:val="20"/>
                    </w:rPr>
                    <w:t>达标</w:t>
                  </w:r>
                </w:p>
              </w:tc>
              <w:tc>
                <w:tcPr>
                  <w:tcW w:w="876" w:type="dxa"/>
                  <w:vAlign w:val="top"/>
                </w:tcPr>
                <w:p w14:paraId="73D5C3F3">
                  <w:pPr>
                    <w:spacing w:before="94"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4AA6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84" w:type="dxa"/>
                  <w:vMerge w:val="restart"/>
                  <w:tcBorders>
                    <w:bottom w:val="nil"/>
                  </w:tcBorders>
                  <w:vAlign w:val="top"/>
                </w:tcPr>
                <w:p w14:paraId="73C8643D">
                  <w:pPr>
                    <w:pStyle w:val="6"/>
                    <w:spacing w:before="230" w:line="228" w:lineRule="auto"/>
                    <w:ind w:left="139"/>
                    <w:rPr>
                      <w:sz w:val="20"/>
                      <w:szCs w:val="20"/>
                    </w:rPr>
                  </w:pPr>
                  <w:r>
                    <w:rPr>
                      <w:spacing w:val="4"/>
                      <w:sz w:val="20"/>
                      <w:szCs w:val="20"/>
                    </w:rPr>
                    <w:t>网格最大点</w:t>
                  </w:r>
                </w:p>
              </w:tc>
              <w:tc>
                <w:tcPr>
                  <w:tcW w:w="529" w:type="dxa"/>
                  <w:vAlign w:val="top"/>
                </w:tcPr>
                <w:p w14:paraId="505BCB21">
                  <w:pPr>
                    <w:spacing w:before="9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570" w:type="dxa"/>
                  <w:vAlign w:val="top"/>
                </w:tcPr>
                <w:p w14:paraId="3AAD30E6">
                  <w:pPr>
                    <w:spacing w:before="9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6" w:type="dxa"/>
                  <w:vAlign w:val="top"/>
                </w:tcPr>
                <w:p w14:paraId="2A2EB214">
                  <w:pPr>
                    <w:spacing w:before="9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Align w:val="top"/>
                </w:tcPr>
                <w:p w14:paraId="7629F187">
                  <w:pPr>
                    <w:pStyle w:val="6"/>
                    <w:spacing w:before="62" w:line="231" w:lineRule="auto"/>
                    <w:ind w:left="191"/>
                    <w:rPr>
                      <w:sz w:val="20"/>
                      <w:szCs w:val="20"/>
                    </w:rPr>
                  </w:pPr>
                  <w:r>
                    <w:rPr>
                      <w:spacing w:val="5"/>
                      <w:sz w:val="20"/>
                      <w:szCs w:val="20"/>
                    </w:rPr>
                    <w:t>昼间</w:t>
                  </w:r>
                </w:p>
              </w:tc>
              <w:tc>
                <w:tcPr>
                  <w:tcW w:w="752" w:type="dxa"/>
                  <w:vAlign w:val="top"/>
                </w:tcPr>
                <w:p w14:paraId="1D42459A">
                  <w:pPr>
                    <w:spacing w:before="98"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828" w:type="dxa"/>
                  <w:vAlign w:val="top"/>
                </w:tcPr>
                <w:p w14:paraId="1FFEFD63">
                  <w:pPr>
                    <w:spacing w:before="101" w:line="192"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75" w:type="dxa"/>
                  <w:vAlign w:val="top"/>
                </w:tcPr>
                <w:p w14:paraId="0225FD2B">
                  <w:pPr>
                    <w:spacing w:before="98"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37.51</w:t>
                  </w:r>
                </w:p>
              </w:tc>
              <w:tc>
                <w:tcPr>
                  <w:tcW w:w="851" w:type="dxa"/>
                  <w:vAlign w:val="top"/>
                </w:tcPr>
                <w:p w14:paraId="37E47ED1">
                  <w:pPr>
                    <w:spacing w:before="9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54.10</w:t>
                  </w:r>
                </w:p>
              </w:tc>
              <w:tc>
                <w:tcPr>
                  <w:tcW w:w="687" w:type="dxa"/>
                  <w:vAlign w:val="top"/>
                </w:tcPr>
                <w:p w14:paraId="4F1EDF2B">
                  <w:pPr>
                    <w:spacing w:before="9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670" w:type="dxa"/>
                  <w:vAlign w:val="top"/>
                </w:tcPr>
                <w:p w14:paraId="3F8AE31A">
                  <w:pPr>
                    <w:pStyle w:val="6"/>
                    <w:spacing w:before="63" w:line="228" w:lineRule="auto"/>
                    <w:ind w:left="133"/>
                    <w:rPr>
                      <w:sz w:val="20"/>
                      <w:szCs w:val="20"/>
                    </w:rPr>
                  </w:pPr>
                  <w:r>
                    <w:rPr>
                      <w:spacing w:val="5"/>
                      <w:sz w:val="20"/>
                      <w:szCs w:val="20"/>
                    </w:rPr>
                    <w:t>达标</w:t>
                  </w:r>
                </w:p>
              </w:tc>
              <w:tc>
                <w:tcPr>
                  <w:tcW w:w="876" w:type="dxa"/>
                  <w:vAlign w:val="top"/>
                </w:tcPr>
                <w:p w14:paraId="1203BF37">
                  <w:pPr>
                    <w:spacing w:before="95"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F647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84" w:type="dxa"/>
                  <w:vMerge w:val="continue"/>
                  <w:tcBorders>
                    <w:top w:val="nil"/>
                  </w:tcBorders>
                  <w:vAlign w:val="top"/>
                </w:tcPr>
                <w:p w14:paraId="18FDA844">
                  <w:pPr>
                    <w:rPr>
                      <w:rFonts w:ascii="Arial"/>
                      <w:sz w:val="21"/>
                    </w:rPr>
                  </w:pPr>
                </w:p>
              </w:tc>
              <w:tc>
                <w:tcPr>
                  <w:tcW w:w="529" w:type="dxa"/>
                  <w:vAlign w:val="top"/>
                </w:tcPr>
                <w:p w14:paraId="1DDB161E">
                  <w:pPr>
                    <w:spacing w:before="99" w:line="195" w:lineRule="auto"/>
                    <w:ind w:left="12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570" w:type="dxa"/>
                  <w:vAlign w:val="top"/>
                </w:tcPr>
                <w:p w14:paraId="6057F420">
                  <w:pPr>
                    <w:spacing w:before="99" w:line="195" w:lineRule="auto"/>
                    <w:ind w:left="23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6" w:type="dxa"/>
                  <w:vAlign w:val="top"/>
                </w:tcPr>
                <w:p w14:paraId="0006D3A2">
                  <w:pPr>
                    <w:spacing w:before="99"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98" w:type="dxa"/>
                  <w:vAlign w:val="top"/>
                </w:tcPr>
                <w:p w14:paraId="2213BA41">
                  <w:pPr>
                    <w:pStyle w:val="6"/>
                    <w:spacing w:before="63" w:line="228" w:lineRule="auto"/>
                    <w:ind w:left="195"/>
                    <w:rPr>
                      <w:sz w:val="20"/>
                      <w:szCs w:val="20"/>
                    </w:rPr>
                  </w:pPr>
                  <w:r>
                    <w:rPr>
                      <w:spacing w:val="3"/>
                      <w:sz w:val="20"/>
                      <w:szCs w:val="20"/>
                    </w:rPr>
                    <w:t>夜间</w:t>
                  </w:r>
                </w:p>
              </w:tc>
              <w:tc>
                <w:tcPr>
                  <w:tcW w:w="752" w:type="dxa"/>
                  <w:vAlign w:val="top"/>
                </w:tcPr>
                <w:p w14:paraId="29227DBE">
                  <w:pPr>
                    <w:spacing w:before="9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828" w:type="dxa"/>
                  <w:vAlign w:val="top"/>
                </w:tcPr>
                <w:p w14:paraId="14360D95">
                  <w:pPr>
                    <w:spacing w:before="99"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875" w:type="dxa"/>
                  <w:vAlign w:val="top"/>
                </w:tcPr>
                <w:p w14:paraId="34E46256">
                  <w:pPr>
                    <w:spacing w:before="99"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37.51</w:t>
                  </w:r>
                </w:p>
              </w:tc>
              <w:tc>
                <w:tcPr>
                  <w:tcW w:w="851" w:type="dxa"/>
                  <w:vAlign w:val="top"/>
                </w:tcPr>
                <w:p w14:paraId="7DA3D756">
                  <w:pPr>
                    <w:spacing w:before="99"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44.88</w:t>
                  </w:r>
                </w:p>
              </w:tc>
              <w:tc>
                <w:tcPr>
                  <w:tcW w:w="687" w:type="dxa"/>
                  <w:vAlign w:val="top"/>
                </w:tcPr>
                <w:p w14:paraId="53BB207D">
                  <w:pPr>
                    <w:spacing w:before="99"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670" w:type="dxa"/>
                  <w:vAlign w:val="top"/>
                </w:tcPr>
                <w:p w14:paraId="047CD3C0">
                  <w:pPr>
                    <w:pStyle w:val="6"/>
                    <w:spacing w:before="63" w:line="228" w:lineRule="auto"/>
                    <w:ind w:left="133"/>
                    <w:rPr>
                      <w:sz w:val="20"/>
                      <w:szCs w:val="20"/>
                    </w:rPr>
                  </w:pPr>
                  <w:r>
                    <w:rPr>
                      <w:spacing w:val="5"/>
                      <w:sz w:val="20"/>
                      <w:szCs w:val="20"/>
                    </w:rPr>
                    <w:t>达标</w:t>
                  </w:r>
                </w:p>
              </w:tc>
              <w:tc>
                <w:tcPr>
                  <w:tcW w:w="876" w:type="dxa"/>
                  <w:vAlign w:val="top"/>
                </w:tcPr>
                <w:p w14:paraId="3E30B714">
                  <w:pPr>
                    <w:spacing w:before="95"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195D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386" w:type="dxa"/>
                  <w:gridSpan w:val="12"/>
                  <w:vAlign w:val="top"/>
                </w:tcPr>
                <w:p w14:paraId="6B4A9E45">
                  <w:pPr>
                    <w:pStyle w:val="6"/>
                    <w:spacing w:before="64" w:line="226" w:lineRule="auto"/>
                    <w:ind w:left="69"/>
                    <w:rPr>
                      <w:sz w:val="20"/>
                      <w:szCs w:val="20"/>
                    </w:rPr>
                  </w:pPr>
                  <w:r>
                    <w:rPr>
                      <w:spacing w:val="9"/>
                      <w:sz w:val="20"/>
                      <w:szCs w:val="20"/>
                    </w:rPr>
                    <w:t>项目</w:t>
                  </w:r>
                  <w:r>
                    <w:rPr>
                      <w:spacing w:val="-37"/>
                      <w:sz w:val="20"/>
                      <w:szCs w:val="20"/>
                    </w:rPr>
                    <w:t xml:space="preserve"> </w:t>
                  </w:r>
                  <w:r>
                    <w:rPr>
                      <w:rFonts w:ascii="Times New Roman" w:hAnsi="Times New Roman" w:eastAsia="Times New Roman" w:cs="Times New Roman"/>
                      <w:spacing w:val="9"/>
                      <w:sz w:val="20"/>
                      <w:szCs w:val="20"/>
                    </w:rPr>
                    <w:t>50m</w:t>
                  </w:r>
                  <w:r>
                    <w:rPr>
                      <w:rFonts w:ascii="Times New Roman" w:hAnsi="Times New Roman" w:eastAsia="Times New Roman" w:cs="Times New Roman"/>
                      <w:spacing w:val="17"/>
                      <w:sz w:val="20"/>
                      <w:szCs w:val="20"/>
                    </w:rPr>
                    <w:t xml:space="preserve"> </w:t>
                  </w:r>
                  <w:r>
                    <w:rPr>
                      <w:spacing w:val="9"/>
                      <w:sz w:val="20"/>
                      <w:szCs w:val="20"/>
                    </w:rPr>
                    <w:t>范围内无声环境敏感点，预测点为本次评价现状监测</w:t>
                  </w:r>
                  <w:r>
                    <w:rPr>
                      <w:spacing w:val="8"/>
                      <w:sz w:val="20"/>
                      <w:szCs w:val="20"/>
                    </w:rPr>
                    <w:t>点，预测点背景值取监测结果最大值，</w:t>
                  </w:r>
                </w:p>
                <w:p w14:paraId="30B5F56F">
                  <w:pPr>
                    <w:pStyle w:val="6"/>
                    <w:spacing w:before="25" w:line="228" w:lineRule="auto"/>
                    <w:ind w:left="1865"/>
                    <w:rPr>
                      <w:sz w:val="20"/>
                      <w:szCs w:val="20"/>
                    </w:rPr>
                  </w:pPr>
                  <w:r>
                    <w:rPr>
                      <w:spacing w:val="9"/>
                      <w:sz w:val="20"/>
                      <w:szCs w:val="20"/>
                    </w:rPr>
                    <w:t>预测软件中环境背景噪声生成方法按照最小距离法插值插入。</w:t>
                  </w:r>
                </w:p>
              </w:tc>
            </w:tr>
          </w:tbl>
          <w:p w14:paraId="05575AC1">
            <w:pPr>
              <w:rPr>
                <w:rFonts w:ascii="Arial"/>
                <w:sz w:val="21"/>
              </w:rPr>
            </w:pPr>
          </w:p>
          <w:p w14:paraId="0E41874E">
            <w:pPr>
              <w:spacing w:line="7769" w:lineRule="exact"/>
              <w:ind w:firstLine="403"/>
            </w:pPr>
            <w:r>
              <w:rPr>
                <w:position w:val="-155"/>
              </w:rPr>
              <w:drawing>
                <wp:inline distT="0" distB="0" distL="0" distR="0">
                  <wp:extent cx="5579110" cy="493268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30"/>
                          <a:stretch>
                            <a:fillRect/>
                          </a:stretch>
                        </pic:blipFill>
                        <pic:spPr>
                          <a:xfrm>
                            <a:off x="0" y="0"/>
                            <a:ext cx="5579363" cy="4933188"/>
                          </a:xfrm>
                          <a:prstGeom prst="rect">
                            <a:avLst/>
                          </a:prstGeom>
                        </pic:spPr>
                      </pic:pic>
                    </a:graphicData>
                  </a:graphic>
                </wp:inline>
              </w:drawing>
            </w:r>
          </w:p>
          <w:p w14:paraId="61ADE6F0">
            <w:pPr>
              <w:pStyle w:val="6"/>
              <w:spacing w:before="192" w:line="206" w:lineRule="auto"/>
              <w:ind w:left="1268"/>
            </w:pPr>
            <w:r>
              <w:rPr>
                <w:b/>
                <w:bCs/>
                <w:spacing w:val="-3"/>
              </w:rPr>
              <w:t>图</w:t>
            </w:r>
            <w:r>
              <w:rPr>
                <w:spacing w:val="-37"/>
              </w:rPr>
              <w:t xml:space="preserve"> </w:t>
            </w:r>
            <w:r>
              <w:rPr>
                <w:rFonts w:ascii="Times New Roman" w:hAnsi="Times New Roman" w:eastAsia="Times New Roman" w:cs="Times New Roman"/>
                <w:b/>
                <w:bCs/>
                <w:spacing w:val="-3"/>
              </w:rPr>
              <w:t xml:space="preserve">4-7    </w:t>
            </w:r>
            <w:r>
              <w:rPr>
                <w:b/>
                <w:bCs/>
                <w:spacing w:val="-3"/>
              </w:rPr>
              <w:t>项目升压站运行期间周围环境噪声预测值等值线图——昼间</w:t>
            </w:r>
          </w:p>
        </w:tc>
      </w:tr>
    </w:tbl>
    <w:p w14:paraId="605812B5">
      <w:pPr>
        <w:rPr>
          <w:rFonts w:ascii="Arial"/>
          <w:sz w:val="21"/>
        </w:rPr>
      </w:pPr>
    </w:p>
    <w:p w14:paraId="093B65C3">
      <w:pPr>
        <w:rPr>
          <w:rFonts w:ascii="Arial" w:hAnsi="Arial" w:eastAsia="Arial" w:cs="Arial"/>
          <w:sz w:val="21"/>
          <w:szCs w:val="21"/>
        </w:rPr>
        <w:sectPr>
          <w:footerReference r:id="rId136" w:type="default"/>
          <w:pgSz w:w="11907" w:h="16840"/>
          <w:pgMar w:top="1431" w:right="907" w:bottom="1278" w:left="907" w:header="0" w:footer="1116" w:gutter="0"/>
          <w:cols w:space="720" w:num="1"/>
        </w:sectPr>
      </w:pPr>
    </w:p>
    <w:p w14:paraId="683870E6">
      <w:pPr>
        <w:spacing w:line="99" w:lineRule="exact"/>
      </w:pPr>
      <w:r>
        <w:drawing>
          <wp:anchor distT="0" distB="0" distL="0" distR="0" simplePos="0" relativeHeight="251725824" behindDoc="0" locked="0" layoutInCell="0" allowOverlap="1">
            <wp:simplePos x="0" y="0"/>
            <wp:positionH relativeFrom="page">
              <wp:posOffset>1010285</wp:posOffset>
            </wp:positionH>
            <wp:positionV relativeFrom="page">
              <wp:posOffset>984250</wp:posOffset>
            </wp:positionV>
            <wp:extent cx="5822950" cy="521970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31"/>
                    <a:stretch>
                      <a:fillRect/>
                    </a:stretch>
                  </pic:blipFill>
                  <pic:spPr>
                    <a:xfrm>
                      <a:off x="0" y="0"/>
                      <a:ext cx="5823203" cy="5219699"/>
                    </a:xfrm>
                    <a:prstGeom prst="rect">
                      <a:avLst/>
                    </a:prstGeom>
                  </pic:spPr>
                </pic:pic>
              </a:graphicData>
            </a:graphic>
          </wp:anchor>
        </w:drawing>
      </w: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5778B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45" w:hRule="atLeast"/>
        </w:trPr>
        <w:tc>
          <w:tcPr>
            <w:tcW w:w="465" w:type="dxa"/>
            <w:tcBorders>
              <w:right w:val="single" w:color="000000" w:sz="2" w:space="0"/>
            </w:tcBorders>
            <w:vAlign w:val="top"/>
          </w:tcPr>
          <w:p w14:paraId="69FEF1DA">
            <w:pPr>
              <w:rPr>
                <w:rFonts w:ascii="Arial"/>
                <w:sz w:val="21"/>
              </w:rPr>
            </w:pPr>
          </w:p>
        </w:tc>
        <w:tc>
          <w:tcPr>
            <w:tcW w:w="9612" w:type="dxa"/>
            <w:tcBorders>
              <w:left w:val="single" w:color="000000" w:sz="2" w:space="0"/>
            </w:tcBorders>
            <w:vAlign w:val="top"/>
          </w:tcPr>
          <w:p w14:paraId="40C64668">
            <w:pPr>
              <w:spacing w:line="243" w:lineRule="auto"/>
              <w:rPr>
                <w:rFonts w:ascii="Arial"/>
                <w:sz w:val="21"/>
              </w:rPr>
            </w:pPr>
          </w:p>
          <w:p w14:paraId="5159F243">
            <w:pPr>
              <w:spacing w:line="243" w:lineRule="auto"/>
              <w:rPr>
                <w:rFonts w:ascii="Arial"/>
                <w:sz w:val="21"/>
              </w:rPr>
            </w:pPr>
          </w:p>
          <w:p w14:paraId="12BD1998">
            <w:pPr>
              <w:spacing w:line="243" w:lineRule="auto"/>
              <w:rPr>
                <w:rFonts w:ascii="Arial"/>
                <w:sz w:val="21"/>
              </w:rPr>
            </w:pPr>
          </w:p>
          <w:p w14:paraId="101A33B5">
            <w:pPr>
              <w:spacing w:line="243" w:lineRule="auto"/>
              <w:rPr>
                <w:rFonts w:ascii="Arial"/>
                <w:sz w:val="21"/>
              </w:rPr>
            </w:pPr>
          </w:p>
          <w:p w14:paraId="44716559">
            <w:pPr>
              <w:spacing w:line="243" w:lineRule="auto"/>
              <w:rPr>
                <w:rFonts w:ascii="Arial"/>
                <w:sz w:val="21"/>
              </w:rPr>
            </w:pPr>
          </w:p>
          <w:p w14:paraId="6910EB8D">
            <w:pPr>
              <w:spacing w:line="243" w:lineRule="auto"/>
              <w:rPr>
                <w:rFonts w:ascii="Arial"/>
                <w:sz w:val="21"/>
              </w:rPr>
            </w:pPr>
          </w:p>
          <w:p w14:paraId="43F94F20">
            <w:pPr>
              <w:spacing w:line="243" w:lineRule="auto"/>
              <w:rPr>
                <w:rFonts w:ascii="Arial"/>
                <w:sz w:val="21"/>
              </w:rPr>
            </w:pPr>
          </w:p>
          <w:p w14:paraId="6430B290">
            <w:pPr>
              <w:spacing w:line="243" w:lineRule="auto"/>
              <w:rPr>
                <w:rFonts w:ascii="Arial"/>
                <w:sz w:val="21"/>
              </w:rPr>
            </w:pPr>
          </w:p>
          <w:p w14:paraId="1DCCA3A6">
            <w:pPr>
              <w:spacing w:line="243" w:lineRule="auto"/>
              <w:rPr>
                <w:rFonts w:ascii="Arial"/>
                <w:sz w:val="21"/>
              </w:rPr>
            </w:pPr>
          </w:p>
          <w:p w14:paraId="3151E85A">
            <w:pPr>
              <w:spacing w:line="243" w:lineRule="auto"/>
              <w:rPr>
                <w:rFonts w:ascii="Arial"/>
                <w:sz w:val="21"/>
              </w:rPr>
            </w:pPr>
          </w:p>
          <w:p w14:paraId="20B76E87">
            <w:pPr>
              <w:spacing w:line="243" w:lineRule="auto"/>
              <w:rPr>
                <w:rFonts w:ascii="Arial"/>
                <w:sz w:val="21"/>
              </w:rPr>
            </w:pPr>
          </w:p>
          <w:p w14:paraId="0580C0FF">
            <w:pPr>
              <w:spacing w:line="243" w:lineRule="auto"/>
              <w:rPr>
                <w:rFonts w:ascii="Arial"/>
                <w:sz w:val="21"/>
              </w:rPr>
            </w:pPr>
          </w:p>
          <w:p w14:paraId="1BB55B9F">
            <w:pPr>
              <w:spacing w:line="243" w:lineRule="auto"/>
              <w:rPr>
                <w:rFonts w:ascii="Arial"/>
                <w:sz w:val="21"/>
              </w:rPr>
            </w:pPr>
          </w:p>
          <w:p w14:paraId="358E6BB7">
            <w:pPr>
              <w:spacing w:line="243" w:lineRule="auto"/>
              <w:rPr>
                <w:rFonts w:ascii="Arial"/>
                <w:sz w:val="21"/>
              </w:rPr>
            </w:pPr>
          </w:p>
          <w:p w14:paraId="6B24EF10">
            <w:pPr>
              <w:spacing w:line="243" w:lineRule="auto"/>
              <w:rPr>
                <w:rFonts w:ascii="Arial"/>
                <w:sz w:val="21"/>
              </w:rPr>
            </w:pPr>
          </w:p>
          <w:p w14:paraId="53E6DB99">
            <w:pPr>
              <w:spacing w:line="243" w:lineRule="auto"/>
              <w:rPr>
                <w:rFonts w:ascii="Arial"/>
                <w:sz w:val="21"/>
              </w:rPr>
            </w:pPr>
          </w:p>
          <w:p w14:paraId="434D65BE">
            <w:pPr>
              <w:spacing w:line="243" w:lineRule="auto"/>
              <w:rPr>
                <w:rFonts w:ascii="Arial"/>
                <w:sz w:val="21"/>
              </w:rPr>
            </w:pPr>
          </w:p>
          <w:p w14:paraId="1A78F8B9">
            <w:pPr>
              <w:spacing w:line="243" w:lineRule="auto"/>
              <w:rPr>
                <w:rFonts w:ascii="Arial"/>
                <w:sz w:val="21"/>
              </w:rPr>
            </w:pPr>
          </w:p>
          <w:p w14:paraId="24B91686">
            <w:pPr>
              <w:spacing w:line="243" w:lineRule="auto"/>
              <w:rPr>
                <w:rFonts w:ascii="Arial"/>
                <w:sz w:val="21"/>
              </w:rPr>
            </w:pPr>
          </w:p>
          <w:p w14:paraId="383A2AD3">
            <w:pPr>
              <w:spacing w:line="243" w:lineRule="auto"/>
              <w:rPr>
                <w:rFonts w:ascii="Arial"/>
                <w:sz w:val="21"/>
              </w:rPr>
            </w:pPr>
          </w:p>
          <w:p w14:paraId="3162B32F">
            <w:pPr>
              <w:spacing w:line="243" w:lineRule="auto"/>
              <w:rPr>
                <w:rFonts w:ascii="Arial"/>
                <w:sz w:val="21"/>
              </w:rPr>
            </w:pPr>
          </w:p>
          <w:p w14:paraId="2D72D11D">
            <w:pPr>
              <w:spacing w:line="243" w:lineRule="auto"/>
              <w:rPr>
                <w:rFonts w:ascii="Arial"/>
                <w:sz w:val="21"/>
              </w:rPr>
            </w:pPr>
          </w:p>
          <w:p w14:paraId="06037570">
            <w:pPr>
              <w:spacing w:line="243" w:lineRule="auto"/>
              <w:rPr>
                <w:rFonts w:ascii="Arial"/>
                <w:sz w:val="21"/>
              </w:rPr>
            </w:pPr>
          </w:p>
          <w:p w14:paraId="01368353">
            <w:pPr>
              <w:spacing w:line="243" w:lineRule="auto"/>
              <w:rPr>
                <w:rFonts w:ascii="Arial"/>
                <w:sz w:val="21"/>
              </w:rPr>
            </w:pPr>
          </w:p>
          <w:p w14:paraId="2EACE2FC">
            <w:pPr>
              <w:spacing w:line="243" w:lineRule="auto"/>
              <w:rPr>
                <w:rFonts w:ascii="Arial"/>
                <w:sz w:val="21"/>
              </w:rPr>
            </w:pPr>
          </w:p>
          <w:p w14:paraId="7D59D47E">
            <w:pPr>
              <w:spacing w:line="243" w:lineRule="auto"/>
              <w:rPr>
                <w:rFonts w:ascii="Arial"/>
                <w:sz w:val="21"/>
              </w:rPr>
            </w:pPr>
          </w:p>
          <w:p w14:paraId="259DADE5">
            <w:pPr>
              <w:spacing w:line="243" w:lineRule="auto"/>
              <w:rPr>
                <w:rFonts w:ascii="Arial"/>
                <w:sz w:val="21"/>
              </w:rPr>
            </w:pPr>
          </w:p>
          <w:p w14:paraId="62ED74C6">
            <w:pPr>
              <w:spacing w:line="244" w:lineRule="auto"/>
              <w:rPr>
                <w:rFonts w:ascii="Arial"/>
                <w:sz w:val="21"/>
              </w:rPr>
            </w:pPr>
          </w:p>
          <w:p w14:paraId="28F270E3">
            <w:pPr>
              <w:spacing w:line="244" w:lineRule="auto"/>
              <w:rPr>
                <w:rFonts w:ascii="Arial"/>
                <w:sz w:val="21"/>
              </w:rPr>
            </w:pPr>
          </w:p>
          <w:p w14:paraId="424ED9F7">
            <w:pPr>
              <w:spacing w:line="244" w:lineRule="auto"/>
              <w:rPr>
                <w:rFonts w:ascii="Arial"/>
                <w:sz w:val="21"/>
              </w:rPr>
            </w:pPr>
          </w:p>
          <w:p w14:paraId="2A3380CF">
            <w:pPr>
              <w:spacing w:line="244" w:lineRule="auto"/>
              <w:rPr>
                <w:rFonts w:ascii="Arial"/>
                <w:sz w:val="21"/>
              </w:rPr>
            </w:pPr>
          </w:p>
          <w:p w14:paraId="3654BA7E">
            <w:pPr>
              <w:spacing w:line="244" w:lineRule="auto"/>
              <w:rPr>
                <w:rFonts w:ascii="Arial"/>
                <w:sz w:val="21"/>
              </w:rPr>
            </w:pPr>
          </w:p>
          <w:p w14:paraId="1A44F658">
            <w:pPr>
              <w:spacing w:line="244" w:lineRule="auto"/>
              <w:rPr>
                <w:rFonts w:ascii="Arial"/>
                <w:sz w:val="21"/>
              </w:rPr>
            </w:pPr>
          </w:p>
          <w:p w14:paraId="3ADA58EE">
            <w:pPr>
              <w:spacing w:line="244" w:lineRule="auto"/>
              <w:rPr>
                <w:rFonts w:ascii="Arial"/>
                <w:sz w:val="21"/>
              </w:rPr>
            </w:pPr>
          </w:p>
          <w:p w14:paraId="6E118522">
            <w:pPr>
              <w:pStyle w:val="6"/>
              <w:spacing w:before="78" w:line="219" w:lineRule="auto"/>
              <w:ind w:left="1268"/>
            </w:pPr>
            <w:r>
              <w:rPr>
                <w:b/>
                <w:bCs/>
                <w:spacing w:val="-3"/>
              </w:rPr>
              <w:t>图</w:t>
            </w:r>
            <w:r>
              <w:rPr>
                <w:spacing w:val="-37"/>
              </w:rPr>
              <w:t xml:space="preserve"> </w:t>
            </w:r>
            <w:r>
              <w:rPr>
                <w:rFonts w:ascii="Times New Roman" w:hAnsi="Times New Roman" w:eastAsia="Times New Roman" w:cs="Times New Roman"/>
                <w:b/>
                <w:bCs/>
                <w:spacing w:val="-3"/>
              </w:rPr>
              <w:t xml:space="preserve">4-8    </w:t>
            </w:r>
            <w:r>
              <w:rPr>
                <w:b/>
                <w:bCs/>
                <w:spacing w:val="-3"/>
              </w:rPr>
              <w:t>项目升压站运行期间周围环境噪声预测值等值线图——夜间</w:t>
            </w:r>
          </w:p>
          <w:p w14:paraId="4EA730B5">
            <w:pPr>
              <w:pStyle w:val="6"/>
              <w:spacing w:before="30" w:line="354" w:lineRule="auto"/>
              <w:ind w:left="107" w:right="41" w:firstLine="509"/>
              <w:jc w:val="both"/>
            </w:pPr>
            <w:r>
              <w:t>由预测结果可知，在采取相应的隔声降噪措施处理后，升压站各厂界噪声最大贡献值</w:t>
            </w:r>
            <w:r>
              <w:rPr>
                <w:spacing w:val="1"/>
              </w:rPr>
              <w:t xml:space="preserve"> 为</w:t>
            </w:r>
            <w:r>
              <w:rPr>
                <w:rFonts w:ascii="Times New Roman" w:hAnsi="Times New Roman" w:eastAsia="Times New Roman" w:cs="Times New Roman"/>
                <w:spacing w:val="1"/>
              </w:rPr>
              <w:t>38.83</w:t>
            </w:r>
            <w:r>
              <w:rPr>
                <w:rFonts w:ascii="Times New Roman" w:hAnsi="Times New Roman" w:eastAsia="Times New Roman" w:cs="Times New Roman"/>
              </w:rPr>
              <w:t>dB</w:t>
            </w:r>
            <w:r>
              <w:rPr>
                <w:spacing w:val="1"/>
              </w:rPr>
              <w:t>（</w:t>
            </w:r>
            <w:r>
              <w:rPr>
                <w:rFonts w:ascii="Times New Roman" w:hAnsi="Times New Roman" w:eastAsia="Times New Roman" w:cs="Times New Roman"/>
                <w:spacing w:val="1"/>
              </w:rPr>
              <w:t>A</w:t>
            </w:r>
            <w:r>
              <w:rPr>
                <w:spacing w:val="10"/>
              </w:rPr>
              <w:t>），</w:t>
            </w:r>
            <w:r>
              <w:rPr>
                <w:spacing w:val="1"/>
              </w:rPr>
              <w:t>满足《工业企业厂界环境噪声排放标准》（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1"/>
              </w:rPr>
              <w:t>12348-2008</w:t>
            </w:r>
            <w:r>
              <w:rPr>
                <w:spacing w:val="1"/>
              </w:rPr>
              <w:t>）</w:t>
            </w:r>
            <w:r>
              <w:rPr>
                <w:rFonts w:ascii="Times New Roman" w:hAnsi="Times New Roman" w:eastAsia="Times New Roman" w:cs="Times New Roman"/>
                <w:spacing w:val="1"/>
              </w:rPr>
              <w:t>2</w:t>
            </w:r>
            <w:r>
              <w:rPr>
                <w:spacing w:val="1"/>
              </w:rPr>
              <w:t>类标准要</w:t>
            </w:r>
            <w:r>
              <w:t xml:space="preserve"> </w:t>
            </w:r>
            <w:r>
              <w:rPr>
                <w:spacing w:val="-3"/>
              </w:rPr>
              <w:t>求（昼间：</w:t>
            </w:r>
            <w:r>
              <w:rPr>
                <w:rFonts w:ascii="Times New Roman" w:hAnsi="Times New Roman" w:eastAsia="Times New Roman" w:cs="Times New Roman"/>
                <w:spacing w:val="-3"/>
              </w:rPr>
              <w:t>60dB</w:t>
            </w:r>
            <w:r>
              <w:rPr>
                <w:spacing w:val="-3"/>
              </w:rPr>
              <w:t>（</w:t>
            </w:r>
            <w:r>
              <w:rPr>
                <w:rFonts w:ascii="Times New Roman" w:hAnsi="Times New Roman" w:eastAsia="Times New Roman" w:cs="Times New Roman"/>
                <w:spacing w:val="-3"/>
              </w:rPr>
              <w:t>A</w:t>
            </w:r>
            <w:r>
              <w:rPr>
                <w:spacing w:val="4"/>
              </w:rPr>
              <w:t>），</w:t>
            </w:r>
            <w:r>
              <w:rPr>
                <w:spacing w:val="-3"/>
              </w:rPr>
              <w:t>夜间：</w:t>
            </w:r>
            <w:r>
              <w:rPr>
                <w:rFonts w:ascii="Times New Roman" w:hAnsi="Times New Roman" w:eastAsia="Times New Roman" w:cs="Times New Roman"/>
                <w:spacing w:val="-3"/>
              </w:rPr>
              <w:t>50dB</w:t>
            </w:r>
            <w:r>
              <w:rPr>
                <w:spacing w:val="-3"/>
              </w:rPr>
              <w:t>（</w:t>
            </w:r>
            <w:r>
              <w:rPr>
                <w:rFonts w:ascii="Times New Roman" w:hAnsi="Times New Roman" w:eastAsia="Times New Roman" w:cs="Times New Roman"/>
                <w:spacing w:val="-3"/>
              </w:rPr>
              <w:t>A</w:t>
            </w:r>
            <w:r>
              <w:rPr>
                <w:spacing w:val="4"/>
              </w:rPr>
              <w:t>））</w:t>
            </w:r>
            <w:r>
              <w:rPr>
                <w:spacing w:val="-3"/>
              </w:rPr>
              <w:t>。升压站周围</w:t>
            </w:r>
            <w:r>
              <w:rPr>
                <w:rFonts w:ascii="Times New Roman" w:hAnsi="Times New Roman" w:eastAsia="Times New Roman" w:cs="Times New Roman"/>
                <w:spacing w:val="-3"/>
              </w:rPr>
              <w:t>50m</w:t>
            </w:r>
            <w:r>
              <w:rPr>
                <w:spacing w:val="-3"/>
              </w:rPr>
              <w:t>范围内无声环境敏感点，经</w:t>
            </w:r>
            <w:r>
              <w:rPr>
                <w:spacing w:val="3"/>
              </w:rPr>
              <w:t xml:space="preserve"> </w:t>
            </w:r>
            <w:r>
              <w:rPr>
                <w:spacing w:val="-2"/>
              </w:rPr>
              <w:t>预测升压站周围环境最大预测值为昼间</w:t>
            </w:r>
            <w:r>
              <w:rPr>
                <w:rFonts w:ascii="Times New Roman" w:hAnsi="Times New Roman" w:eastAsia="Times New Roman" w:cs="Times New Roman"/>
                <w:spacing w:val="-2"/>
              </w:rPr>
              <w:t>54.</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10dB</w:t>
            </w:r>
            <w:r>
              <w:rPr>
                <w:spacing w:val="-2"/>
              </w:rPr>
              <w:t>（</w:t>
            </w:r>
            <w:r>
              <w:rPr>
                <w:rFonts w:ascii="Times New Roman" w:hAnsi="Times New Roman" w:eastAsia="Times New Roman" w:cs="Times New Roman"/>
                <w:spacing w:val="-2"/>
              </w:rPr>
              <w:t>A</w:t>
            </w:r>
            <w:r>
              <w:rPr>
                <w:spacing w:val="5"/>
              </w:rPr>
              <w:t>），</w:t>
            </w:r>
            <w:r>
              <w:rPr>
                <w:spacing w:val="-2"/>
              </w:rPr>
              <w:t>夜间</w:t>
            </w:r>
            <w:r>
              <w:rPr>
                <w:rFonts w:ascii="Times New Roman" w:hAnsi="Times New Roman" w:eastAsia="Times New Roman" w:cs="Times New Roman"/>
                <w:spacing w:val="-2"/>
              </w:rPr>
              <w:t>44.88dB</w:t>
            </w:r>
            <w:r>
              <w:rPr>
                <w:spacing w:val="-2"/>
              </w:rPr>
              <w:t>（</w:t>
            </w:r>
            <w:r>
              <w:rPr>
                <w:rFonts w:ascii="Times New Roman" w:hAnsi="Times New Roman" w:eastAsia="Times New Roman" w:cs="Times New Roman"/>
                <w:spacing w:val="-2"/>
              </w:rPr>
              <w:t>A</w:t>
            </w:r>
            <w:r>
              <w:rPr>
                <w:spacing w:val="5"/>
              </w:rPr>
              <w:t>），</w:t>
            </w:r>
            <w:r>
              <w:rPr>
                <w:spacing w:val="-2"/>
              </w:rPr>
              <w:t>能够满足《声</w:t>
            </w:r>
            <w:r>
              <w:t xml:space="preserve"> </w:t>
            </w:r>
            <w:r>
              <w:rPr>
                <w:spacing w:val="-2"/>
              </w:rPr>
              <w:t>环境质量标准》（</w:t>
            </w:r>
            <w:r>
              <w:rPr>
                <w:rFonts w:ascii="Times New Roman" w:hAnsi="Times New Roman" w:eastAsia="Times New Roman" w:cs="Times New Roman"/>
                <w:spacing w:val="-2"/>
              </w:rPr>
              <w:t>GB3096-2008</w:t>
            </w:r>
            <w:r>
              <w:rPr>
                <w:spacing w:val="-2"/>
              </w:rPr>
              <w:t>）</w:t>
            </w:r>
            <w:r>
              <w:rPr>
                <w:rFonts w:ascii="Times New Roman" w:hAnsi="Times New Roman" w:eastAsia="Times New Roman" w:cs="Times New Roman"/>
                <w:spacing w:val="-2"/>
              </w:rPr>
              <w:t>1</w:t>
            </w:r>
            <w:r>
              <w:rPr>
                <w:spacing w:val="-2"/>
              </w:rPr>
              <w:t>类标准要求（昼间：</w:t>
            </w:r>
            <w:r>
              <w:rPr>
                <w:rFonts w:ascii="Times New Roman" w:hAnsi="Times New Roman" w:eastAsia="Times New Roman" w:cs="Times New Roman"/>
                <w:spacing w:val="-2"/>
              </w:rPr>
              <w:t>55dB</w:t>
            </w:r>
            <w:r>
              <w:rPr>
                <w:spacing w:val="-2"/>
              </w:rPr>
              <w:t>（</w:t>
            </w:r>
            <w:r>
              <w:rPr>
                <w:rFonts w:ascii="Times New Roman" w:hAnsi="Times New Roman" w:eastAsia="Times New Roman" w:cs="Times New Roman"/>
                <w:spacing w:val="-2"/>
              </w:rPr>
              <w:t>A</w:t>
            </w:r>
            <w:r>
              <w:rPr>
                <w:spacing w:val="-12"/>
              </w:rPr>
              <w:t>），</w:t>
            </w:r>
            <w:r>
              <w:rPr>
                <w:spacing w:val="-2"/>
              </w:rPr>
              <w:t>夜间：</w:t>
            </w:r>
            <w:r>
              <w:rPr>
                <w:rFonts w:ascii="Times New Roman" w:hAnsi="Times New Roman" w:eastAsia="Times New Roman" w:cs="Times New Roman"/>
                <w:spacing w:val="-2"/>
              </w:rPr>
              <w:t>45dB</w:t>
            </w:r>
            <w:r>
              <w:rPr>
                <w:spacing w:val="-2"/>
              </w:rPr>
              <w:t>（</w:t>
            </w:r>
            <w:r>
              <w:rPr>
                <w:rFonts w:ascii="Times New Roman" w:hAnsi="Times New Roman" w:eastAsia="Times New Roman" w:cs="Times New Roman"/>
                <w:spacing w:val="-2"/>
              </w:rPr>
              <w:t>A</w:t>
            </w:r>
            <w:r>
              <w:rPr>
                <w:spacing w:val="-12"/>
              </w:rPr>
              <w:t>）），</w:t>
            </w:r>
            <w:r>
              <w:rPr>
                <w:spacing w:val="1"/>
              </w:rPr>
              <w:t xml:space="preserve"> </w:t>
            </w:r>
            <w:r>
              <w:rPr>
                <w:spacing w:val="-1"/>
              </w:rPr>
              <w:t>项目升压站内噪声距离衰减后对周围环境影响较小。</w:t>
            </w:r>
          </w:p>
          <w:p w14:paraId="11C0B0CE">
            <w:pPr>
              <w:pStyle w:val="6"/>
              <w:spacing w:before="36" w:line="220" w:lineRule="auto"/>
              <w:ind w:left="479"/>
            </w:pPr>
            <w:r>
              <w:rPr>
                <w:b/>
                <w:bCs/>
                <w:spacing w:val="-4"/>
              </w:rPr>
              <w:t>（</w:t>
            </w:r>
            <w:r>
              <w:rPr>
                <w:rFonts w:ascii="Times New Roman" w:hAnsi="Times New Roman" w:eastAsia="Times New Roman" w:cs="Times New Roman"/>
                <w:b/>
                <w:bCs/>
                <w:spacing w:val="-4"/>
              </w:rPr>
              <w:t>5</w:t>
            </w:r>
            <w:r>
              <w:rPr>
                <w:b/>
                <w:bCs/>
                <w:spacing w:val="-4"/>
              </w:rPr>
              <w:t>）固体废物影响分析</w:t>
            </w:r>
          </w:p>
          <w:p w14:paraId="51DE0512">
            <w:pPr>
              <w:pStyle w:val="6"/>
              <w:spacing w:before="178" w:line="347" w:lineRule="auto"/>
              <w:ind w:left="106" w:right="142" w:firstLine="484"/>
            </w:pPr>
            <w:r>
              <w:t>项目运营期固废包括废电池板、废电气元件、废逆变</w:t>
            </w:r>
            <w:r>
              <w:rPr>
                <w:spacing w:val="-1"/>
              </w:rPr>
              <w:t>器、废变压器油、废铅蓄电池、</w:t>
            </w:r>
            <w:r>
              <w:t xml:space="preserve"> </w:t>
            </w:r>
            <w:r>
              <w:rPr>
                <w:spacing w:val="-1"/>
              </w:rPr>
              <w:t>废储能电池、生活垃圾、餐厨废物及污水处理设施产生的污泥。</w:t>
            </w:r>
          </w:p>
          <w:p w14:paraId="416164A6">
            <w:pPr>
              <w:pStyle w:val="6"/>
              <w:spacing w:before="35" w:line="219" w:lineRule="auto"/>
              <w:ind w:left="594"/>
            </w:pPr>
            <w:r>
              <w:rPr>
                <w:rFonts w:ascii="Times New Roman" w:hAnsi="Times New Roman" w:eastAsia="Times New Roman" w:cs="Times New Roman"/>
                <w:b/>
                <w:bCs/>
                <w:spacing w:val="-3"/>
              </w:rPr>
              <w:t>1</w:t>
            </w:r>
            <w:r>
              <w:rPr>
                <w:b/>
                <w:bCs/>
                <w:spacing w:val="-3"/>
              </w:rPr>
              <w:t>）一般固废产生及处置情况</w:t>
            </w:r>
          </w:p>
        </w:tc>
      </w:tr>
    </w:tbl>
    <w:p w14:paraId="1363008F">
      <w:pPr>
        <w:rPr>
          <w:rFonts w:ascii="Arial"/>
          <w:sz w:val="21"/>
        </w:rPr>
      </w:pPr>
    </w:p>
    <w:p w14:paraId="0CA7A945">
      <w:pPr>
        <w:rPr>
          <w:rFonts w:ascii="Arial" w:hAnsi="Arial" w:eastAsia="Arial" w:cs="Arial"/>
          <w:sz w:val="21"/>
          <w:szCs w:val="21"/>
        </w:rPr>
        <w:sectPr>
          <w:footerReference r:id="rId137" w:type="default"/>
          <w:pgSz w:w="11907" w:h="16840"/>
          <w:pgMar w:top="1431" w:right="907" w:bottom="1278" w:left="907" w:header="0" w:footer="1116" w:gutter="0"/>
          <w:cols w:space="720" w:num="1"/>
        </w:sectPr>
      </w:pPr>
    </w:p>
    <w:p w14:paraId="3634AEEE">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3B464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5" w:type="dxa"/>
            <w:tcBorders>
              <w:right w:val="single" w:color="000000" w:sz="2" w:space="0"/>
            </w:tcBorders>
            <w:vAlign w:val="top"/>
          </w:tcPr>
          <w:p w14:paraId="51964A86">
            <w:pPr>
              <w:rPr>
                <w:rFonts w:ascii="Arial"/>
                <w:sz w:val="21"/>
              </w:rPr>
            </w:pPr>
          </w:p>
        </w:tc>
        <w:tc>
          <w:tcPr>
            <w:tcW w:w="9612" w:type="dxa"/>
            <w:tcBorders>
              <w:left w:val="single" w:color="000000" w:sz="2" w:space="0"/>
            </w:tcBorders>
            <w:vAlign w:val="top"/>
          </w:tcPr>
          <w:p w14:paraId="7E44C314">
            <w:pPr>
              <w:pStyle w:val="6"/>
              <w:spacing w:before="41" w:line="217" w:lineRule="auto"/>
              <w:ind w:left="586"/>
            </w:pPr>
            <w:r>
              <w:rPr>
                <w:b/>
                <w:bCs/>
                <w:spacing w:val="-4"/>
              </w:rPr>
              <w:t>①废电池板</w:t>
            </w:r>
          </w:p>
          <w:p w14:paraId="2DD75CBC">
            <w:pPr>
              <w:pStyle w:val="6"/>
              <w:spacing w:before="180" w:line="354" w:lineRule="auto"/>
              <w:ind w:left="106" w:right="102" w:firstLine="480"/>
            </w:pPr>
            <w:r>
              <w:t>根据《国家危险废物名录》，太阳能废电池板中不属于名录</w:t>
            </w:r>
            <w:r>
              <w:rPr>
                <w:spacing w:val="-1"/>
              </w:rPr>
              <w:t>中所列的危险废物。太阳</w:t>
            </w:r>
            <w:r>
              <w:t xml:space="preserve"> </w:t>
            </w:r>
            <w:r>
              <w:rPr>
                <w:spacing w:val="-1"/>
              </w:rPr>
              <w:t>能电池采用的材料是晶体硅，硅电池片所含主要化</w:t>
            </w:r>
            <w:r>
              <w:rPr>
                <w:spacing w:val="-2"/>
              </w:rPr>
              <w:t>学成分有</w:t>
            </w:r>
            <w:r>
              <w:rPr>
                <w:rFonts w:ascii="Times New Roman" w:hAnsi="Times New Roman" w:eastAsia="Times New Roman" w:cs="Times New Roman"/>
                <w:spacing w:val="-2"/>
              </w:rPr>
              <w:t>Si</w:t>
            </w:r>
            <w:r>
              <w:rPr>
                <w:rFonts w:ascii="Times New Roman" w:hAnsi="Times New Roman" w:eastAsia="Times New Roman" w:cs="Times New Roman"/>
                <w:spacing w:val="-36"/>
              </w:rPr>
              <w:t xml:space="preserve"> </w:t>
            </w:r>
            <w:r>
              <w:rPr>
                <w:spacing w:val="-2"/>
              </w:rPr>
              <w:t>、</w:t>
            </w:r>
            <w:r>
              <w:rPr>
                <w:rFonts w:ascii="Times New Roman" w:hAnsi="Times New Roman" w:eastAsia="Times New Roman" w:cs="Times New Roman"/>
                <w:spacing w:val="-2"/>
              </w:rPr>
              <w:t>P</w:t>
            </w:r>
            <w:r>
              <w:rPr>
                <w:spacing w:val="-2"/>
              </w:rPr>
              <w:t>和</w:t>
            </w:r>
            <w:r>
              <w:rPr>
                <w:rFonts w:ascii="Times New Roman" w:hAnsi="Times New Roman" w:eastAsia="Times New Roman" w:cs="Times New Roman"/>
                <w:spacing w:val="-2"/>
              </w:rPr>
              <w:t>B</w:t>
            </w:r>
            <w:r>
              <w:rPr>
                <w:rFonts w:ascii="Times New Roman" w:hAnsi="Times New Roman" w:eastAsia="Times New Roman" w:cs="Times New Roman"/>
                <w:spacing w:val="-32"/>
              </w:rPr>
              <w:t xml:space="preserve"> </w:t>
            </w:r>
            <w:r>
              <w:rPr>
                <w:spacing w:val="-2"/>
              </w:rPr>
              <w:t>，硅电池中晶体</w:t>
            </w:r>
            <w:r>
              <w:rPr>
                <w:rFonts w:ascii="Times New Roman" w:hAnsi="Times New Roman" w:eastAsia="Times New Roman" w:cs="Times New Roman"/>
                <w:spacing w:val="-2"/>
              </w:rPr>
              <w:t>Si</w:t>
            </w:r>
            <w:r>
              <w:rPr>
                <w:spacing w:val="-2"/>
              </w:rPr>
              <w:t>纯</w:t>
            </w:r>
            <w:r>
              <w:t xml:space="preserve"> </w:t>
            </w:r>
            <w:r>
              <w:rPr>
                <w:spacing w:val="-2"/>
              </w:rPr>
              <w:t>度为</w:t>
            </w:r>
            <w:r>
              <w:rPr>
                <w:rFonts w:ascii="Times New Roman" w:hAnsi="Times New Roman" w:eastAsia="Times New Roman" w:cs="Times New Roman"/>
                <w:spacing w:val="-2"/>
              </w:rPr>
              <w:t>6</w:t>
            </w:r>
            <w:r>
              <w:rPr>
                <w:spacing w:val="-2"/>
              </w:rPr>
              <w:t>个</w:t>
            </w:r>
            <w:r>
              <w:rPr>
                <w:rFonts w:ascii="Times New Roman" w:hAnsi="Times New Roman" w:eastAsia="Times New Roman" w:cs="Times New Roman"/>
                <w:spacing w:val="-2"/>
              </w:rPr>
              <w:t>9</w:t>
            </w:r>
            <w:r>
              <w:rPr>
                <w:spacing w:val="-2"/>
              </w:rPr>
              <w:t>（</w:t>
            </w:r>
            <w:r>
              <w:rPr>
                <w:rFonts w:ascii="Times New Roman" w:hAnsi="Times New Roman" w:eastAsia="Times New Roman" w:cs="Times New Roman"/>
                <w:spacing w:val="-2"/>
              </w:rPr>
              <w:t>6N</w:t>
            </w:r>
            <w:r>
              <w:rPr>
                <w:spacing w:val="-2"/>
              </w:rPr>
              <w:t>）以上的高纯硅材料，即纯度为</w:t>
            </w:r>
            <w:r>
              <w:rPr>
                <w:rFonts w:ascii="Times New Roman" w:hAnsi="Times New Roman" w:eastAsia="Times New Roman" w:cs="Times New Roman"/>
                <w:spacing w:val="-2"/>
              </w:rPr>
              <w:t>99.9999%</w:t>
            </w:r>
            <w:r>
              <w:rPr>
                <w:spacing w:val="-2"/>
              </w:rPr>
              <w:t>以上的硅材料。</w:t>
            </w:r>
            <w:r>
              <w:rPr>
                <w:rFonts w:ascii="Times New Roman" w:hAnsi="Times New Roman" w:eastAsia="Times New Roman" w:cs="Times New Roman"/>
                <w:spacing w:val="-2"/>
              </w:rPr>
              <w:t>Si</w:t>
            </w:r>
            <w:r>
              <w:rPr>
                <w:rFonts w:ascii="Times New Roman" w:hAnsi="Times New Roman" w:eastAsia="Times New Roman" w:cs="Times New Roman"/>
                <w:spacing w:val="-22"/>
              </w:rPr>
              <w:t xml:space="preserve"> </w:t>
            </w:r>
            <w:r>
              <w:rPr>
                <w:spacing w:val="-2"/>
              </w:rPr>
              <w:t>、</w:t>
            </w:r>
            <w:r>
              <w:rPr>
                <w:rFonts w:ascii="Times New Roman" w:hAnsi="Times New Roman" w:eastAsia="Times New Roman" w:cs="Times New Roman"/>
                <w:spacing w:val="-2"/>
              </w:rPr>
              <w:t>P</w:t>
            </w:r>
            <w:r>
              <w:rPr>
                <w:spacing w:val="-2"/>
              </w:rPr>
              <w:t>和</w:t>
            </w:r>
            <w:r>
              <w:rPr>
                <w:rFonts w:ascii="Times New Roman" w:hAnsi="Times New Roman" w:eastAsia="Times New Roman" w:cs="Times New Roman"/>
                <w:spacing w:val="-2"/>
              </w:rPr>
              <w:t>B</w:t>
            </w:r>
            <w:r>
              <w:rPr>
                <w:spacing w:val="-2"/>
              </w:rPr>
              <w:t>均以晶体</w:t>
            </w:r>
            <w:r>
              <w:t xml:space="preserve"> 形式存在，不具有腐蚀性、易燃性、毒性、反应性和感染性的危险</w:t>
            </w:r>
            <w:r>
              <w:rPr>
                <w:spacing w:val="-1"/>
              </w:rPr>
              <w:t>特性。因此，本项目所</w:t>
            </w:r>
            <w:r>
              <w:t xml:space="preserve"> </w:t>
            </w:r>
            <w:r>
              <w:rPr>
                <w:spacing w:val="-1"/>
              </w:rPr>
              <w:t>使用的太阳能电池板报废后属一般固体废物，不属于危险废物。</w:t>
            </w:r>
          </w:p>
          <w:p w14:paraId="51F85D04">
            <w:pPr>
              <w:pStyle w:val="6"/>
              <w:spacing w:before="38" w:line="354" w:lineRule="auto"/>
              <w:ind w:left="107" w:right="102" w:firstLine="483"/>
            </w:pPr>
            <w:r>
              <w:t>项目运营期，太阳能电池板寿命为</w:t>
            </w:r>
            <w:r>
              <w:rPr>
                <w:spacing w:val="-39"/>
              </w:rPr>
              <w:t xml:space="preserve"> </w:t>
            </w:r>
            <w:r>
              <w:rPr>
                <w:rFonts w:ascii="Times New Roman" w:hAnsi="Times New Roman" w:eastAsia="Times New Roman" w:cs="Times New Roman"/>
              </w:rPr>
              <w:t xml:space="preserve">25 </w:t>
            </w:r>
            <w:r>
              <w:t>年，太阳能电池发电时间为</w:t>
            </w:r>
            <w:r>
              <w:rPr>
                <w:spacing w:val="-55"/>
              </w:rPr>
              <w:t xml:space="preserve"> </w:t>
            </w:r>
            <w:r>
              <w:rPr>
                <w:rFonts w:ascii="Times New Roman" w:hAnsi="Times New Roman" w:eastAsia="Times New Roman" w:cs="Times New Roman"/>
              </w:rPr>
              <w:t xml:space="preserve">25 </w:t>
            </w:r>
            <w:r>
              <w:t xml:space="preserve">年，因此在运行 </w:t>
            </w:r>
            <w:r>
              <w:rPr>
                <w:spacing w:val="1"/>
              </w:rPr>
              <w:t>期间不会产生大量电池板损坏现象，少部分电池板可能受外界因素影</w:t>
            </w:r>
            <w:r>
              <w:t xml:space="preserve">响会产生废电池板， </w:t>
            </w:r>
            <w:r>
              <w:rPr>
                <w:spacing w:val="-2"/>
              </w:rPr>
              <w:t>损坏量很少，约为万分之五，即</w:t>
            </w:r>
            <w:r>
              <w:rPr>
                <w:spacing w:val="-48"/>
              </w:rPr>
              <w:t xml:space="preserve"> </w:t>
            </w:r>
            <w:r>
              <w:rPr>
                <w:rFonts w:ascii="Times New Roman" w:hAnsi="Times New Roman" w:eastAsia="Times New Roman" w:cs="Times New Roman"/>
                <w:spacing w:val="-2"/>
              </w:rPr>
              <w:t xml:space="preserve">91.5 </w:t>
            </w:r>
            <w:r>
              <w:rPr>
                <w:spacing w:val="-2"/>
              </w:rPr>
              <w:t>块</w:t>
            </w:r>
            <w:r>
              <w:rPr>
                <w:rFonts w:ascii="Times New Roman" w:hAnsi="Times New Roman" w:eastAsia="Times New Roman" w:cs="Times New Roman"/>
                <w:spacing w:val="-2"/>
              </w:rPr>
              <w:t>/a</w:t>
            </w:r>
            <w:r>
              <w:rPr>
                <w:spacing w:val="-2"/>
              </w:rPr>
              <w:t>。根据</w:t>
            </w:r>
            <w:r>
              <w:rPr>
                <w:spacing w:val="-50"/>
              </w:rPr>
              <w:t xml:space="preserve"> </w:t>
            </w:r>
            <w:r>
              <w:rPr>
                <w:rFonts w:ascii="Times New Roman" w:hAnsi="Times New Roman" w:eastAsia="Times New Roman" w:cs="Times New Roman"/>
                <w:spacing w:val="-2"/>
              </w:rPr>
              <w:t xml:space="preserve">630Wp </w:t>
            </w:r>
            <w:r>
              <w:rPr>
                <w:spacing w:val="-2"/>
              </w:rPr>
              <w:t>光伏组件技术参数表，双面组件重</w:t>
            </w:r>
            <w:r>
              <w:t xml:space="preserve"> </w:t>
            </w:r>
            <w:r>
              <w:rPr>
                <w:spacing w:val="-8"/>
              </w:rPr>
              <w:t>量约为</w:t>
            </w:r>
            <w:r>
              <w:rPr>
                <w:spacing w:val="-50"/>
              </w:rPr>
              <w:t xml:space="preserve"> </w:t>
            </w:r>
            <w:r>
              <w:rPr>
                <w:rFonts w:ascii="Times New Roman" w:hAnsi="Times New Roman" w:eastAsia="Times New Roman" w:cs="Times New Roman"/>
                <w:spacing w:val="-8"/>
              </w:rPr>
              <w:t>34kg</w:t>
            </w:r>
            <w:r>
              <w:rPr>
                <w:spacing w:val="-8"/>
              </w:rPr>
              <w:t>，废电池板产生量约</w:t>
            </w:r>
            <w:r>
              <w:rPr>
                <w:spacing w:val="-50"/>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8"/>
              </w:rPr>
              <w:t>11t/a</w:t>
            </w:r>
            <w:r>
              <w:rPr>
                <w:spacing w:val="-8"/>
              </w:rPr>
              <w:t>。按照《光伏组件回收再利用通用技术要求》（</w:t>
            </w:r>
            <w:r>
              <w:rPr>
                <w:rFonts w:ascii="Times New Roman" w:hAnsi="Times New Roman" w:eastAsia="Times New Roman" w:cs="Times New Roman"/>
                <w:spacing w:val="-8"/>
              </w:rPr>
              <w:t>G</w:t>
            </w:r>
            <w:r>
              <w:rPr>
                <w:rFonts w:ascii="Times New Roman" w:hAnsi="Times New Roman" w:eastAsia="Times New Roman" w:cs="Times New Roman"/>
                <w:spacing w:val="-9"/>
              </w:rPr>
              <w:t>B/T</w:t>
            </w:r>
            <w:r>
              <w:rPr>
                <w:rFonts w:ascii="Times New Roman" w:hAnsi="Times New Roman" w:eastAsia="Times New Roman" w:cs="Times New Roman"/>
              </w:rPr>
              <w:t xml:space="preserve"> </w:t>
            </w:r>
            <w:r>
              <w:rPr>
                <w:rFonts w:ascii="Times New Roman" w:hAnsi="Times New Roman" w:eastAsia="Times New Roman" w:cs="Times New Roman"/>
                <w:spacing w:val="2"/>
              </w:rPr>
              <w:t>39753-2021</w:t>
            </w:r>
            <w:r>
              <w:rPr>
                <w:spacing w:val="2"/>
              </w:rPr>
              <w:t>）相关内容，对于损坏更换的电池板</w:t>
            </w:r>
            <w:r>
              <w:rPr>
                <w:spacing w:val="1"/>
              </w:rPr>
              <w:t>组件更换下来的废电池板禁止在项目区拆</w:t>
            </w:r>
            <w:r>
              <w:t xml:space="preserve"> </w:t>
            </w:r>
            <w:r>
              <w:rPr>
                <w:spacing w:val="1"/>
              </w:rPr>
              <w:t>分，严禁乱丢乱弃，暂存于升压站一般固废暂存间，及时委托专业的</w:t>
            </w:r>
            <w:r>
              <w:t xml:space="preserve">回收厂家收购回收处 </w:t>
            </w:r>
            <w:r>
              <w:rPr>
                <w:spacing w:val="-1"/>
              </w:rPr>
              <w:t>理，不得随意堆放处置。</w:t>
            </w:r>
          </w:p>
          <w:p w14:paraId="6AEC9232">
            <w:pPr>
              <w:pStyle w:val="6"/>
              <w:spacing w:before="43" w:line="217" w:lineRule="auto"/>
              <w:ind w:left="585"/>
            </w:pPr>
            <w:r>
              <w:rPr>
                <w:b/>
                <w:bCs/>
                <w:spacing w:val="-3"/>
              </w:rPr>
              <w:t>②废电气元件</w:t>
            </w:r>
          </w:p>
          <w:p w14:paraId="10B68B55">
            <w:pPr>
              <w:pStyle w:val="6"/>
              <w:spacing w:before="187" w:line="356" w:lineRule="auto"/>
              <w:ind w:left="106" w:firstLine="484"/>
            </w:pPr>
            <w:r>
              <w:rPr>
                <w:spacing w:val="1"/>
              </w:rPr>
              <w:t>设备检修时会产生少量废电气元件。集电线路废旧设</w:t>
            </w:r>
            <w:r>
              <w:t xml:space="preserve">备、材料等，这些废弃物主要是  </w:t>
            </w:r>
            <w:r>
              <w:rPr>
                <w:spacing w:val="1"/>
              </w:rPr>
              <w:t>废弃的导线、螺丝钉等铁质材料，根据建设方提供的设计资料和运营同类型项目的经验，</w:t>
            </w:r>
            <w:r>
              <w:rPr>
                <w:spacing w:val="18"/>
              </w:rPr>
              <w:t xml:space="preserve"> </w:t>
            </w:r>
            <w:r>
              <w:rPr>
                <w:spacing w:val="-5"/>
              </w:rPr>
              <w:t>产生量为</w:t>
            </w:r>
            <w:r>
              <w:rPr>
                <w:spacing w:val="-51"/>
              </w:rPr>
              <w:t xml:space="preserve"> </w:t>
            </w:r>
            <w:r>
              <w:rPr>
                <w:rFonts w:ascii="Times New Roman" w:hAnsi="Times New Roman" w:eastAsia="Times New Roman" w:cs="Times New Roman"/>
                <w:spacing w:val="-5"/>
              </w:rPr>
              <w:t>0.7t/a</w:t>
            </w:r>
            <w:r>
              <w:rPr>
                <w:spacing w:val="-5"/>
              </w:rPr>
              <w:t>。废电气元件属于一般工业固废，根据关于</w:t>
            </w:r>
            <w:r>
              <w:rPr>
                <w:spacing w:val="-6"/>
              </w:rPr>
              <w:t>发布《固体废物分类与代码目录》</w:t>
            </w:r>
            <w:r>
              <w:t xml:space="preserve"> 的公告（公告</w:t>
            </w:r>
            <w:r>
              <w:rPr>
                <w:spacing w:val="-51"/>
              </w:rPr>
              <w:t xml:space="preserve"> </w:t>
            </w:r>
            <w:r>
              <w:rPr>
                <w:rFonts w:ascii="Times New Roman" w:hAnsi="Times New Roman" w:eastAsia="Times New Roman" w:cs="Times New Roman"/>
              </w:rPr>
              <w:t xml:space="preserve">2024 </w:t>
            </w:r>
            <w:r>
              <w:t>年第</w:t>
            </w:r>
            <w:r>
              <w:rPr>
                <w:spacing w:val="-51"/>
              </w:rPr>
              <w:t xml:space="preserve"> </w:t>
            </w:r>
            <w:r>
              <w:rPr>
                <w:rFonts w:ascii="Times New Roman" w:hAnsi="Times New Roman" w:eastAsia="Times New Roman" w:cs="Times New Roman"/>
              </w:rPr>
              <w:t>4</w:t>
            </w:r>
            <w:r>
              <w:rPr>
                <w:rFonts w:ascii="Times New Roman" w:hAnsi="Times New Roman" w:eastAsia="Times New Roman" w:cs="Times New Roman"/>
                <w:spacing w:val="20"/>
              </w:rPr>
              <w:t xml:space="preserve"> </w:t>
            </w:r>
            <w:r>
              <w:t>号</w:t>
            </w:r>
            <w:r>
              <w:rPr>
                <w:spacing w:val="9"/>
              </w:rPr>
              <w:t>），</w:t>
            </w:r>
            <w:r>
              <w:t>代码为</w:t>
            </w:r>
            <w:r>
              <w:rPr>
                <w:spacing w:val="-40"/>
              </w:rPr>
              <w:t xml:space="preserve"> </w:t>
            </w:r>
            <w:r>
              <w:rPr>
                <w:rFonts w:ascii="Times New Roman" w:hAnsi="Times New Roman" w:eastAsia="Times New Roman" w:cs="Times New Roman"/>
              </w:rPr>
              <w:t>SW59 900-099-S</w:t>
            </w:r>
            <w:r>
              <w:rPr>
                <w:rFonts w:ascii="Times New Roman" w:hAnsi="Times New Roman" w:eastAsia="Times New Roman" w:cs="Times New Roman"/>
                <w:spacing w:val="-1"/>
              </w:rPr>
              <w:t>59</w:t>
            </w:r>
            <w:r>
              <w:rPr>
                <w:rFonts w:ascii="Times New Roman" w:hAnsi="Times New Roman" w:eastAsia="Times New Roman" w:cs="Times New Roman"/>
                <w:spacing w:val="-26"/>
              </w:rPr>
              <w:t xml:space="preserve"> </w:t>
            </w:r>
            <w:r>
              <w:rPr>
                <w:spacing w:val="-1"/>
              </w:rPr>
              <w:t>，项目运营期间意外报废的电</w:t>
            </w:r>
            <w:r>
              <w:t xml:space="preserve">  </w:t>
            </w:r>
            <w:r>
              <w:rPr>
                <w:spacing w:val="1"/>
              </w:rPr>
              <w:t>气元件暂存于化桃箐光伏发电项目升压站一般固废暂存间，最终</w:t>
            </w:r>
            <w:r>
              <w:t xml:space="preserve">由专业的回收厂家收购处  </w:t>
            </w:r>
            <w:r>
              <w:rPr>
                <w:spacing w:val="-5"/>
              </w:rPr>
              <w:t>理。</w:t>
            </w:r>
          </w:p>
          <w:p w14:paraId="07BEBA39">
            <w:pPr>
              <w:pStyle w:val="6"/>
              <w:spacing w:before="23" w:line="217" w:lineRule="auto"/>
              <w:ind w:left="585"/>
            </w:pPr>
            <w:r>
              <w:rPr>
                <w:b/>
                <w:bCs/>
                <w:spacing w:val="-4"/>
              </w:rPr>
              <w:t>③废逆变器</w:t>
            </w:r>
          </w:p>
          <w:p w14:paraId="2B97DA27">
            <w:pPr>
              <w:pStyle w:val="6"/>
              <w:spacing w:before="186" w:line="350" w:lineRule="auto"/>
              <w:ind w:left="106" w:right="102" w:firstLine="484"/>
              <w:jc w:val="both"/>
            </w:pPr>
            <w:r>
              <w:rPr>
                <w:spacing w:val="1"/>
              </w:rPr>
              <w:t>项目光伏区逆变器检修时若发现有问题需整机替换，不会单</w:t>
            </w:r>
            <w:r>
              <w:t xml:space="preserve">独更换内部的元器件，考 </w:t>
            </w:r>
            <w:r>
              <w:rPr>
                <w:spacing w:val="6"/>
              </w:rPr>
              <w:t>虑最不利情况每年需替换约</w:t>
            </w:r>
            <w:r>
              <w:rPr>
                <w:rFonts w:ascii="Times New Roman" w:hAnsi="Times New Roman" w:eastAsia="Times New Roman" w:cs="Times New Roman"/>
                <w:spacing w:val="6"/>
              </w:rPr>
              <w:t>5%</w:t>
            </w:r>
            <w:r>
              <w:rPr>
                <w:rFonts w:ascii="Times New Roman" w:hAnsi="Times New Roman" w:eastAsia="Times New Roman" w:cs="Times New Roman"/>
                <w:spacing w:val="-22"/>
              </w:rPr>
              <w:t xml:space="preserve"> </w:t>
            </w:r>
            <w:r>
              <w:rPr>
                <w:spacing w:val="6"/>
              </w:rPr>
              <w:t>，即</w:t>
            </w:r>
            <w:r>
              <w:rPr>
                <w:rFonts w:ascii="Times New Roman" w:hAnsi="Times New Roman" w:eastAsia="Times New Roman" w:cs="Times New Roman"/>
                <w:spacing w:val="6"/>
              </w:rPr>
              <w:t>16</w:t>
            </w:r>
            <w:r>
              <w:rPr>
                <w:spacing w:val="6"/>
              </w:rPr>
              <w:t>个逆变器，每个逆变器</w:t>
            </w:r>
            <w:r>
              <w:rPr>
                <w:rFonts w:ascii="Times New Roman" w:hAnsi="Times New Roman" w:eastAsia="Times New Roman" w:cs="Times New Roman"/>
                <w:spacing w:val="6"/>
              </w:rPr>
              <w:t>112</w:t>
            </w:r>
            <w:r>
              <w:rPr>
                <w:rFonts w:ascii="Times New Roman" w:hAnsi="Times New Roman" w:eastAsia="Times New Roman" w:cs="Times New Roman"/>
              </w:rPr>
              <w:t>kg</w:t>
            </w:r>
            <w:r>
              <w:rPr>
                <w:rFonts w:ascii="Times New Roman" w:hAnsi="Times New Roman" w:eastAsia="Times New Roman" w:cs="Times New Roman"/>
                <w:spacing w:val="-23"/>
              </w:rPr>
              <w:t xml:space="preserve"> </w:t>
            </w:r>
            <w:r>
              <w:rPr>
                <w:spacing w:val="6"/>
              </w:rPr>
              <w:t>，每年</w:t>
            </w:r>
            <w:r>
              <w:rPr>
                <w:spacing w:val="5"/>
              </w:rPr>
              <w:t>产生废逆变器</w:t>
            </w:r>
            <w:r>
              <w:t xml:space="preserve"> </w:t>
            </w:r>
            <w:r>
              <w:rPr>
                <w:rFonts w:ascii="Times New Roman" w:hAnsi="Times New Roman" w:eastAsia="Times New Roman" w:cs="Times New Roman"/>
                <w:spacing w:val="1"/>
              </w:rPr>
              <w:t>1.79t/a</w:t>
            </w:r>
            <w:r>
              <w:rPr>
                <w:rFonts w:ascii="Times New Roman" w:hAnsi="Times New Roman" w:eastAsia="Times New Roman" w:cs="Times New Roman"/>
                <w:spacing w:val="-12"/>
              </w:rPr>
              <w:t xml:space="preserve"> </w:t>
            </w:r>
            <w:r>
              <w:rPr>
                <w:spacing w:val="1"/>
              </w:rPr>
              <w:t>，逆变器内部电容元器件均属于一般固废，因此废逆变器暂存于升压站一般固废暂</w:t>
            </w:r>
            <w:r>
              <w:t xml:space="preserve"> 存间，及时委托专业的回收厂家收购回收处理</w:t>
            </w:r>
            <w:r>
              <w:rPr>
                <w:spacing w:val="-1"/>
              </w:rPr>
              <w:t>，不得随意堆放处置。</w:t>
            </w:r>
          </w:p>
          <w:p w14:paraId="315F64CD">
            <w:pPr>
              <w:pStyle w:val="6"/>
              <w:spacing w:before="47" w:line="217" w:lineRule="auto"/>
              <w:ind w:left="609"/>
            </w:pPr>
            <w:r>
              <w:rPr>
                <w:b/>
                <w:bCs/>
                <w:spacing w:val="6"/>
              </w:rPr>
              <w:t>⑤生活垃圾</w:t>
            </w:r>
          </w:p>
          <w:p w14:paraId="7E9FDC8A">
            <w:pPr>
              <w:pStyle w:val="6"/>
              <w:spacing w:before="182" w:line="343" w:lineRule="auto"/>
              <w:ind w:left="108" w:right="102" w:firstLine="480"/>
              <w:jc w:val="both"/>
            </w:pPr>
            <w:r>
              <w:rPr>
                <w:spacing w:val="-5"/>
              </w:rPr>
              <w:t>本项目劳动定员为</w:t>
            </w:r>
            <w:r>
              <w:rPr>
                <w:spacing w:val="-32"/>
              </w:rPr>
              <w:t xml:space="preserve"> </w:t>
            </w:r>
            <w:r>
              <w:rPr>
                <w:rFonts w:ascii="Times New Roman" w:hAnsi="Times New Roman" w:eastAsia="Times New Roman" w:cs="Times New Roman"/>
                <w:spacing w:val="-5"/>
              </w:rPr>
              <w:t xml:space="preserve">18 </w:t>
            </w:r>
            <w:r>
              <w:rPr>
                <w:spacing w:val="-5"/>
              </w:rPr>
              <w:t>人，其中厂内食宿</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6"/>
              </w:rPr>
              <w:t xml:space="preserve">2 </w:t>
            </w:r>
            <w:r>
              <w:rPr>
                <w:spacing w:val="-6"/>
              </w:rPr>
              <w:t>人，</w:t>
            </w:r>
            <w:r>
              <w:rPr>
                <w:rFonts w:ascii="Times New Roman" w:hAnsi="Times New Roman" w:eastAsia="Times New Roman" w:cs="Times New Roman"/>
                <w:spacing w:val="-6"/>
              </w:rPr>
              <w:t xml:space="preserve">6 </w:t>
            </w:r>
            <w:r>
              <w:rPr>
                <w:spacing w:val="-6"/>
              </w:rPr>
              <w:t>人轮班休息，生活垃圾产生量以</w:t>
            </w:r>
            <w:r>
              <w:rPr>
                <w:spacing w:val="-32"/>
              </w:rPr>
              <w:t xml:space="preserve"> </w:t>
            </w:r>
            <w:r>
              <w:rPr>
                <w:rFonts w:ascii="Times New Roman" w:hAnsi="Times New Roman" w:eastAsia="Times New Roman" w:cs="Times New Roman"/>
                <w:spacing w:val="-6"/>
              </w:rPr>
              <w:t>1kg/</w:t>
            </w:r>
            <w:r>
              <w:rPr>
                <w:rFonts w:ascii="Times New Roman" w:hAnsi="Times New Roman" w:eastAsia="Times New Roman" w:cs="Times New Roman"/>
              </w:rPr>
              <w:t xml:space="preserve"> </w:t>
            </w:r>
            <w:r>
              <w:rPr>
                <w:spacing w:val="-1"/>
              </w:rPr>
              <w:t>（人</w:t>
            </w:r>
            <w:r>
              <w:rPr>
                <w:rFonts w:ascii="Times New Roman" w:hAnsi="Times New Roman" w:eastAsia="Times New Roman" w:cs="Times New Roman"/>
                <w:spacing w:val="-1"/>
              </w:rPr>
              <w:t>·d</w:t>
            </w:r>
            <w:r>
              <w:rPr>
                <w:spacing w:val="-1"/>
              </w:rPr>
              <w:t>）计，则生活垃圾产生量约为</w:t>
            </w:r>
            <w:r>
              <w:rPr>
                <w:spacing w:val="-22"/>
              </w:rPr>
              <w:t xml:space="preserve"> </w:t>
            </w:r>
            <w:r>
              <w:rPr>
                <w:rFonts w:ascii="Times New Roman" w:hAnsi="Times New Roman" w:eastAsia="Times New Roman" w:cs="Times New Roman"/>
                <w:spacing w:val="-1"/>
              </w:rPr>
              <w:t>12kg/d</w:t>
            </w:r>
            <w:r>
              <w:rPr>
                <w:rFonts w:ascii="Times New Roman" w:hAnsi="Times New Roman" w:eastAsia="Times New Roman" w:cs="Times New Roman"/>
                <w:spacing w:val="-27"/>
              </w:rPr>
              <w:t xml:space="preserve"> </w:t>
            </w:r>
            <w:r>
              <w:rPr>
                <w:spacing w:val="-1"/>
              </w:rPr>
              <w:t>，年产生量为</w:t>
            </w:r>
            <w:r>
              <w:rPr>
                <w:spacing w:val="-56"/>
              </w:rPr>
              <w:t xml:space="preserve"> </w:t>
            </w:r>
            <w:r>
              <w:rPr>
                <w:rFonts w:ascii="Times New Roman" w:hAnsi="Times New Roman" w:eastAsia="Times New Roman" w:cs="Times New Roman"/>
                <w:spacing w:val="-1"/>
              </w:rPr>
              <w:t>4.38t/a</w:t>
            </w:r>
            <w:r>
              <w:rPr>
                <w:rFonts w:ascii="Times New Roman" w:hAnsi="Times New Roman" w:eastAsia="Times New Roman" w:cs="Times New Roman"/>
                <w:spacing w:val="-26"/>
              </w:rPr>
              <w:t xml:space="preserve"> </w:t>
            </w:r>
            <w:r>
              <w:rPr>
                <w:spacing w:val="-1"/>
              </w:rPr>
              <w:t>。项目产生的生活垃圾主</w:t>
            </w:r>
            <w:r>
              <w:t xml:space="preserve"> </w:t>
            </w:r>
            <w:r>
              <w:rPr>
                <w:spacing w:val="1"/>
              </w:rPr>
              <w:t>要为平时工作人员用的生活废品，包括食堂菜叶、废纸、包装</w:t>
            </w:r>
            <w:r>
              <w:t>袋，项目内的生活垃圾日产</w:t>
            </w:r>
          </w:p>
        </w:tc>
      </w:tr>
    </w:tbl>
    <w:p w14:paraId="3BBF89FD">
      <w:pPr>
        <w:rPr>
          <w:rFonts w:ascii="Arial"/>
          <w:sz w:val="21"/>
        </w:rPr>
      </w:pPr>
    </w:p>
    <w:p w14:paraId="7B3257E5">
      <w:pPr>
        <w:rPr>
          <w:rFonts w:ascii="Arial" w:hAnsi="Arial" w:eastAsia="Arial" w:cs="Arial"/>
          <w:sz w:val="21"/>
          <w:szCs w:val="21"/>
        </w:rPr>
        <w:sectPr>
          <w:footerReference r:id="rId138" w:type="default"/>
          <w:pgSz w:w="11907" w:h="16840"/>
          <w:pgMar w:top="1431" w:right="907" w:bottom="1278" w:left="907" w:header="0" w:footer="1116" w:gutter="0"/>
          <w:cols w:space="720" w:num="1"/>
        </w:sectPr>
      </w:pPr>
    </w:p>
    <w:p w14:paraId="27AD95F9">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4176B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5" w:type="dxa"/>
            <w:tcBorders>
              <w:right w:val="single" w:color="000000" w:sz="2" w:space="0"/>
            </w:tcBorders>
            <w:vAlign w:val="top"/>
          </w:tcPr>
          <w:p w14:paraId="0FEC470A">
            <w:pPr>
              <w:rPr>
                <w:rFonts w:ascii="Arial"/>
                <w:sz w:val="21"/>
              </w:rPr>
            </w:pPr>
          </w:p>
        </w:tc>
        <w:tc>
          <w:tcPr>
            <w:tcW w:w="9612" w:type="dxa"/>
            <w:tcBorders>
              <w:left w:val="single" w:color="000000" w:sz="2" w:space="0"/>
            </w:tcBorders>
            <w:vAlign w:val="top"/>
          </w:tcPr>
          <w:p w14:paraId="18534770">
            <w:pPr>
              <w:pStyle w:val="6"/>
              <w:spacing w:before="41" w:line="345" w:lineRule="auto"/>
              <w:ind w:left="108" w:right="161" w:firstLine="40"/>
            </w:pPr>
            <w:r>
              <w:rPr>
                <w:spacing w:val="-2"/>
              </w:rPr>
              <w:t>日清，分类收集后能回收利用的回收利用，不能回收利用的委托当地环卫部门统一处置，</w:t>
            </w:r>
            <w:r>
              <w:rPr>
                <w:spacing w:val="8"/>
              </w:rPr>
              <w:t xml:space="preserve"> </w:t>
            </w:r>
            <w:r>
              <w:rPr>
                <w:spacing w:val="-1"/>
              </w:rPr>
              <w:t>其中餐厨废物分类收集后委托有资质的单位处置。</w:t>
            </w:r>
            <w:r>
              <w:rPr>
                <w:spacing w:val="-2"/>
              </w:rPr>
              <w:t>处置率达</w:t>
            </w:r>
            <w:r>
              <w:rPr>
                <w:spacing w:val="-32"/>
              </w:rPr>
              <w:t xml:space="preserve"> </w:t>
            </w:r>
            <w:r>
              <w:rPr>
                <w:rFonts w:ascii="Times New Roman" w:hAnsi="Times New Roman" w:eastAsia="Times New Roman" w:cs="Times New Roman"/>
                <w:spacing w:val="-2"/>
              </w:rPr>
              <w:t>100%</w:t>
            </w:r>
            <w:r>
              <w:rPr>
                <w:spacing w:val="-2"/>
              </w:rPr>
              <w:t>。</w:t>
            </w:r>
          </w:p>
          <w:p w14:paraId="1DF4A19E">
            <w:pPr>
              <w:pStyle w:val="6"/>
              <w:spacing w:before="34" w:line="217" w:lineRule="auto"/>
              <w:ind w:left="609"/>
            </w:pPr>
            <w:r>
              <w:rPr>
                <w:b/>
                <w:bCs/>
                <w:spacing w:val="8"/>
              </w:rPr>
              <w:t>⑥污水处理设施污泥</w:t>
            </w:r>
          </w:p>
          <w:p w14:paraId="76226CBF">
            <w:pPr>
              <w:pStyle w:val="6"/>
              <w:spacing w:before="187" w:line="350" w:lineRule="auto"/>
              <w:ind w:left="110" w:right="102" w:firstLine="479"/>
              <w:jc w:val="both"/>
            </w:pPr>
            <w:r>
              <w:rPr>
                <w:spacing w:val="-3"/>
              </w:rPr>
              <w:t>生活污水处理过程中产生少量的污泥，约</w:t>
            </w:r>
            <w:r>
              <w:rPr>
                <w:spacing w:val="-5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1t/a</w:t>
            </w:r>
            <w:r>
              <w:rPr>
                <w:spacing w:val="-3"/>
              </w:rPr>
              <w:t>，污泥中无特殊的污染物</w:t>
            </w:r>
            <w:r>
              <w:rPr>
                <w:spacing w:val="-4"/>
              </w:rPr>
              <w:t>，化粪池及污</w:t>
            </w:r>
            <w:r>
              <w:t xml:space="preserve"> </w:t>
            </w:r>
            <w:r>
              <w:rPr>
                <w:spacing w:val="1"/>
              </w:rPr>
              <w:t>水处理站污泥自行清掏后用于电站周围植物施肥，隔油池产生</w:t>
            </w:r>
            <w:r>
              <w:t xml:space="preserve">的废油脂委托有资质的单位 </w:t>
            </w:r>
            <w:r>
              <w:rPr>
                <w:spacing w:val="-2"/>
              </w:rPr>
              <w:t>处置，对环境的影响小。</w:t>
            </w:r>
          </w:p>
          <w:p w14:paraId="1002BF2F">
            <w:pPr>
              <w:pStyle w:val="6"/>
              <w:spacing w:before="34" w:line="220" w:lineRule="auto"/>
              <w:ind w:left="608"/>
            </w:pPr>
            <w:r>
              <w:rPr>
                <w:rFonts w:ascii="Times New Roman" w:hAnsi="Times New Roman" w:eastAsia="Times New Roman" w:cs="Times New Roman"/>
                <w:b/>
                <w:bCs/>
                <w:spacing w:val="6"/>
              </w:rPr>
              <w:t>2</w:t>
            </w:r>
            <w:r>
              <w:rPr>
                <w:b/>
                <w:bCs/>
                <w:spacing w:val="6"/>
              </w:rPr>
              <w:t>）危险废物</w:t>
            </w:r>
          </w:p>
          <w:p w14:paraId="0610AAF7">
            <w:pPr>
              <w:pStyle w:val="6"/>
              <w:spacing w:before="180" w:line="217" w:lineRule="auto"/>
              <w:ind w:left="610"/>
            </w:pPr>
            <w:r>
              <w:rPr>
                <w:b/>
                <w:bCs/>
                <w:spacing w:val="6"/>
              </w:rPr>
              <w:t>①废变压器油</w:t>
            </w:r>
          </w:p>
          <w:p w14:paraId="47632445">
            <w:pPr>
              <w:pStyle w:val="6"/>
              <w:spacing w:before="186" w:line="219" w:lineRule="auto"/>
              <w:ind w:left="586"/>
            </w:pPr>
            <w:r>
              <w:t>废变压器油主要包括两种情况产生废油，一是维修产生，</w:t>
            </w:r>
            <w:r>
              <w:rPr>
                <w:spacing w:val="-1"/>
              </w:rPr>
              <w:t>一为变压器泄露产生。</w:t>
            </w:r>
          </w:p>
          <w:p w14:paraId="03EE0F66">
            <w:pPr>
              <w:pStyle w:val="6"/>
              <w:spacing w:before="179" w:line="354" w:lineRule="auto"/>
              <w:ind w:left="103" w:right="41" w:firstLine="484"/>
            </w:pPr>
            <w:r>
              <w:rPr>
                <w:spacing w:val="-3"/>
              </w:rPr>
              <w:t>根据设计资料，项目</w:t>
            </w:r>
            <w:r>
              <w:rPr>
                <w:rFonts w:ascii="Times New Roman" w:hAnsi="Times New Roman" w:eastAsia="Times New Roman" w:cs="Times New Roman"/>
                <w:spacing w:val="-3"/>
              </w:rPr>
              <w:t xml:space="preserve">220kV </w:t>
            </w:r>
            <w:r>
              <w:rPr>
                <w:spacing w:val="-3"/>
              </w:rPr>
              <w:t>升压站内设置</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8"/>
                <w:w w:val="101"/>
              </w:rPr>
              <w:t xml:space="preserve"> </w:t>
            </w:r>
            <w:r>
              <w:rPr>
                <w:spacing w:val="-3"/>
              </w:rPr>
              <w:t>台</w:t>
            </w:r>
            <w:r>
              <w:rPr>
                <w:spacing w:val="-32"/>
              </w:rPr>
              <w:t xml:space="preserve"> </w:t>
            </w:r>
            <w:r>
              <w:rPr>
                <w:rFonts w:ascii="Times New Roman" w:hAnsi="Times New Roman" w:eastAsia="Times New Roman" w:cs="Times New Roman"/>
                <w:spacing w:val="-3"/>
              </w:rPr>
              <w:t xml:space="preserve">180MVA </w:t>
            </w:r>
            <w:r>
              <w:rPr>
                <w:spacing w:val="-3"/>
              </w:rPr>
              <w:t>主变压器，</w:t>
            </w:r>
            <w:r>
              <w:rPr>
                <w:rFonts w:ascii="Times New Roman" w:hAnsi="Times New Roman" w:eastAsia="Times New Roman" w:cs="Times New Roman"/>
                <w:spacing w:val="-3"/>
              </w:rPr>
              <w:t>1</w:t>
            </w:r>
            <w:r>
              <w:rPr>
                <w:rFonts w:ascii="Times New Roman" w:hAnsi="Times New Roman" w:eastAsia="Times New Roman" w:cs="Times New Roman"/>
                <w:spacing w:val="-4"/>
              </w:rPr>
              <w:t xml:space="preserve">80MVA </w:t>
            </w:r>
            <w:r>
              <w:rPr>
                <w:spacing w:val="-4"/>
              </w:rPr>
              <w:t>主变压器</w:t>
            </w:r>
            <w:r>
              <w:t xml:space="preserve"> </w:t>
            </w:r>
            <w:r>
              <w:rPr>
                <w:spacing w:val="-8"/>
              </w:rPr>
              <w:t>油量约</w:t>
            </w:r>
            <w:r>
              <w:rPr>
                <w:spacing w:val="-66"/>
              </w:rPr>
              <w:t xml:space="preserve"> </w:t>
            </w:r>
            <w:r>
              <w:rPr>
                <w:rFonts w:ascii="Times New Roman" w:hAnsi="Times New Roman" w:eastAsia="Times New Roman" w:cs="Times New Roman"/>
                <w:spacing w:val="-8"/>
              </w:rPr>
              <w:t>41.826t</w:t>
            </w:r>
            <w:r>
              <w:rPr>
                <w:spacing w:val="-8"/>
              </w:rPr>
              <w:t>；光伏场区布置有</w:t>
            </w:r>
            <w:r>
              <w:rPr>
                <w:spacing w:val="-59"/>
              </w:rPr>
              <w:t xml:space="preserve"> </w:t>
            </w:r>
            <w:r>
              <w:rPr>
                <w:rFonts w:ascii="Times New Roman" w:hAnsi="Times New Roman" w:eastAsia="Times New Roman" w:cs="Times New Roman"/>
                <w:spacing w:val="-8"/>
              </w:rPr>
              <w:t>37</w:t>
            </w:r>
            <w:r>
              <w:rPr>
                <w:rFonts w:ascii="Times New Roman" w:hAnsi="Times New Roman" w:eastAsia="Times New Roman" w:cs="Times New Roman"/>
                <w:spacing w:val="18"/>
              </w:rPr>
              <w:t xml:space="preserve"> </w:t>
            </w:r>
            <w:r>
              <w:rPr>
                <w:spacing w:val="-8"/>
              </w:rPr>
              <w:t>台箱式变压器，其中</w:t>
            </w:r>
            <w:r>
              <w:rPr>
                <w:spacing w:val="-60"/>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19"/>
              </w:rPr>
              <w:t xml:space="preserve"> </w:t>
            </w:r>
            <w:r>
              <w:rPr>
                <w:spacing w:val="-8"/>
              </w:rPr>
              <w:t>台</w:t>
            </w:r>
            <w:r>
              <w:rPr>
                <w:spacing w:val="-60"/>
              </w:rPr>
              <w:t xml:space="preserve"> </w:t>
            </w:r>
            <w:r>
              <w:rPr>
                <w:rFonts w:ascii="Times New Roman" w:hAnsi="Times New Roman" w:eastAsia="Times New Roman" w:cs="Times New Roman"/>
                <w:spacing w:val="-8"/>
              </w:rPr>
              <w:t xml:space="preserve">900kVA </w:t>
            </w:r>
            <w:r>
              <w:rPr>
                <w:spacing w:val="-8"/>
              </w:rPr>
              <w:t>箱变每台油重</w:t>
            </w:r>
            <w:r>
              <w:rPr>
                <w:spacing w:val="-9"/>
              </w:rPr>
              <w:t>约</w:t>
            </w:r>
            <w:r>
              <w:rPr>
                <w:spacing w:val="-61"/>
              </w:rPr>
              <w:t xml:space="preserve"> </w:t>
            </w:r>
            <w:r>
              <w:rPr>
                <w:rFonts w:ascii="Times New Roman" w:hAnsi="Times New Roman" w:eastAsia="Times New Roman" w:cs="Times New Roman"/>
                <w:spacing w:val="-9"/>
              </w:rPr>
              <w:t>0.68t</w:t>
            </w:r>
            <w:r>
              <w:rPr>
                <w:spacing w:val="-9"/>
              </w:rPr>
              <w:t>，</w:t>
            </w:r>
            <w:r>
              <w:t xml:space="preserve"> </w:t>
            </w:r>
            <w:r>
              <w:rPr>
                <w:rFonts w:ascii="Times New Roman" w:hAnsi="Times New Roman" w:eastAsia="Times New Roman" w:cs="Times New Roman"/>
                <w:spacing w:val="-6"/>
              </w:rPr>
              <w:t>2</w:t>
            </w:r>
            <w:r>
              <w:rPr>
                <w:rFonts w:ascii="Times New Roman" w:hAnsi="Times New Roman" w:eastAsia="Times New Roman" w:cs="Times New Roman"/>
                <w:spacing w:val="41"/>
              </w:rPr>
              <w:t xml:space="preserve"> </w:t>
            </w:r>
            <w:r>
              <w:rPr>
                <w:spacing w:val="-6"/>
              </w:rPr>
              <w:t>台</w:t>
            </w:r>
            <w:r>
              <w:rPr>
                <w:spacing w:val="-32"/>
              </w:rPr>
              <w:t xml:space="preserve"> </w:t>
            </w:r>
            <w:r>
              <w:rPr>
                <w:rFonts w:ascii="Times New Roman" w:hAnsi="Times New Roman" w:eastAsia="Times New Roman" w:cs="Times New Roman"/>
                <w:spacing w:val="-6"/>
              </w:rPr>
              <w:t xml:space="preserve">1200kVA </w:t>
            </w:r>
            <w:r>
              <w:rPr>
                <w:spacing w:val="-6"/>
              </w:rPr>
              <w:t>箱变每台油重约</w:t>
            </w:r>
            <w:r>
              <w:rPr>
                <w:spacing w:val="-52"/>
              </w:rPr>
              <w:t xml:space="preserve"> </w:t>
            </w:r>
            <w:r>
              <w:rPr>
                <w:rFonts w:ascii="Times New Roman" w:hAnsi="Times New Roman" w:eastAsia="Times New Roman" w:cs="Times New Roman"/>
                <w:spacing w:val="-6"/>
              </w:rPr>
              <w:t>0.9t</w:t>
            </w:r>
            <w:r>
              <w:rPr>
                <w:spacing w:val="-6"/>
              </w:rPr>
              <w:t>，</w:t>
            </w:r>
            <w:r>
              <w:rPr>
                <w:rFonts w:ascii="Times New Roman" w:hAnsi="Times New Roman" w:eastAsia="Times New Roman" w:cs="Times New Roman"/>
                <w:spacing w:val="-6"/>
              </w:rPr>
              <w:t>5</w:t>
            </w:r>
            <w:r>
              <w:rPr>
                <w:rFonts w:ascii="Times New Roman" w:hAnsi="Times New Roman" w:eastAsia="Times New Roman" w:cs="Times New Roman"/>
                <w:spacing w:val="28"/>
                <w:w w:val="101"/>
              </w:rPr>
              <w:t xml:space="preserve"> </w:t>
            </w:r>
            <w:r>
              <w:rPr>
                <w:spacing w:val="-6"/>
              </w:rPr>
              <w:t>台</w:t>
            </w:r>
            <w:r>
              <w:rPr>
                <w:spacing w:val="-32"/>
              </w:rPr>
              <w:t xml:space="preserve"> </w:t>
            </w:r>
            <w:r>
              <w:rPr>
                <w:rFonts w:ascii="Times New Roman" w:hAnsi="Times New Roman" w:eastAsia="Times New Roman" w:cs="Times New Roman"/>
                <w:spacing w:val="-6"/>
              </w:rPr>
              <w:t xml:space="preserve">1800kVA </w:t>
            </w:r>
            <w:r>
              <w:rPr>
                <w:spacing w:val="-6"/>
              </w:rPr>
              <w:t>箱变每台油重约</w:t>
            </w:r>
            <w:r>
              <w:rPr>
                <w:spacing w:val="-32"/>
              </w:rPr>
              <w:t xml:space="preserve"> </w:t>
            </w:r>
            <w:r>
              <w:rPr>
                <w:rFonts w:ascii="Times New Roman" w:hAnsi="Times New Roman" w:eastAsia="Times New Roman" w:cs="Times New Roman"/>
                <w:spacing w:val="-6"/>
              </w:rPr>
              <w:t>1.35t</w:t>
            </w:r>
            <w:r>
              <w:rPr>
                <w:spacing w:val="-6"/>
              </w:rPr>
              <w:t>，</w:t>
            </w:r>
            <w:r>
              <w:rPr>
                <w:rFonts w:ascii="Times New Roman" w:hAnsi="Times New Roman" w:eastAsia="Times New Roman" w:cs="Times New Roman"/>
                <w:spacing w:val="-6"/>
              </w:rPr>
              <w:t>3</w:t>
            </w:r>
            <w:r>
              <w:rPr>
                <w:rFonts w:ascii="Times New Roman" w:hAnsi="Times New Roman" w:eastAsia="Times New Roman" w:cs="Times New Roman"/>
                <w:spacing w:val="28"/>
              </w:rPr>
              <w:t xml:space="preserve"> </w:t>
            </w:r>
            <w:r>
              <w:rPr>
                <w:spacing w:val="-6"/>
              </w:rPr>
              <w:t>台</w:t>
            </w:r>
            <w:r>
              <w:rPr>
                <w:spacing w:val="-55"/>
              </w:rPr>
              <w:t xml:space="preserve"> </w:t>
            </w:r>
            <w:r>
              <w:rPr>
                <w:rFonts w:ascii="Times New Roman" w:hAnsi="Times New Roman" w:eastAsia="Times New Roman" w:cs="Times New Roman"/>
                <w:spacing w:val="-6"/>
              </w:rPr>
              <w:t>2100kVA</w:t>
            </w:r>
            <w:r>
              <w:rPr>
                <w:rFonts w:ascii="Times New Roman" w:hAnsi="Times New Roman" w:eastAsia="Times New Roman" w:cs="Times New Roman"/>
                <w:spacing w:val="16"/>
                <w:w w:val="101"/>
              </w:rPr>
              <w:t xml:space="preserve"> </w:t>
            </w:r>
            <w:r>
              <w:rPr>
                <w:spacing w:val="-6"/>
              </w:rPr>
              <w:t>型</w:t>
            </w:r>
            <w:r>
              <w:t xml:space="preserve"> </w:t>
            </w:r>
            <w:r>
              <w:rPr>
                <w:spacing w:val="-4"/>
              </w:rPr>
              <w:t>箱变每台油重约</w:t>
            </w:r>
            <w:r>
              <w:rPr>
                <w:spacing w:val="-17"/>
              </w:rPr>
              <w:t xml:space="preserve"> </w:t>
            </w:r>
            <w:r>
              <w:rPr>
                <w:rFonts w:ascii="Times New Roman" w:hAnsi="Times New Roman" w:eastAsia="Times New Roman" w:cs="Times New Roman"/>
                <w:spacing w:val="-4"/>
              </w:rPr>
              <w:t>1.73t</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28"/>
              </w:rPr>
              <w:t xml:space="preserve"> </w:t>
            </w:r>
            <w:r>
              <w:rPr>
                <w:spacing w:val="-4"/>
              </w:rPr>
              <w:t>台</w:t>
            </w:r>
            <w:r>
              <w:rPr>
                <w:spacing w:val="-53"/>
              </w:rPr>
              <w:t xml:space="preserve"> </w:t>
            </w:r>
            <w:r>
              <w:rPr>
                <w:rFonts w:ascii="Times New Roman" w:hAnsi="Times New Roman" w:eastAsia="Times New Roman" w:cs="Times New Roman"/>
                <w:spacing w:val="-4"/>
              </w:rPr>
              <w:t>2400kVA</w:t>
            </w:r>
            <w:r>
              <w:rPr>
                <w:rFonts w:ascii="Times New Roman" w:hAnsi="Times New Roman" w:eastAsia="Times New Roman" w:cs="Times New Roman"/>
                <w:spacing w:val="19"/>
              </w:rPr>
              <w:t xml:space="preserve"> </w:t>
            </w:r>
            <w:r>
              <w:rPr>
                <w:spacing w:val="-4"/>
              </w:rPr>
              <w:t>型箱变每台油重约</w:t>
            </w:r>
            <w:r>
              <w:rPr>
                <w:spacing w:val="-27"/>
              </w:rPr>
              <w:t xml:space="preserve"> </w:t>
            </w:r>
            <w:r>
              <w:rPr>
                <w:rFonts w:ascii="Times New Roman" w:hAnsi="Times New Roman" w:eastAsia="Times New Roman" w:cs="Times New Roman"/>
                <w:spacing w:val="-4"/>
              </w:rPr>
              <w:t>1.88t</w:t>
            </w:r>
            <w:r>
              <w:rPr>
                <w:rFonts w:ascii="Times New Roman" w:hAnsi="Times New Roman" w:eastAsia="Times New Roman" w:cs="Times New Roman"/>
                <w:spacing w:val="-31"/>
              </w:rPr>
              <w:t xml:space="preserve"> </w:t>
            </w:r>
            <w:r>
              <w:rPr>
                <w:spacing w:val="-4"/>
              </w:rPr>
              <w:t>，</w:t>
            </w:r>
            <w:r>
              <w:rPr>
                <w:rFonts w:ascii="Times New Roman" w:hAnsi="Times New Roman" w:eastAsia="Times New Roman" w:cs="Times New Roman"/>
                <w:spacing w:val="-4"/>
              </w:rPr>
              <w:t>2</w:t>
            </w:r>
            <w:r>
              <w:rPr>
                <w:rFonts w:ascii="Times New Roman" w:hAnsi="Times New Roman" w:eastAsia="Times New Roman" w:cs="Times New Roman"/>
                <w:spacing w:val="30"/>
                <w:w w:val="101"/>
              </w:rPr>
              <w:t xml:space="preserve"> </w:t>
            </w:r>
            <w:r>
              <w:rPr>
                <w:spacing w:val="-4"/>
              </w:rPr>
              <w:t>台</w:t>
            </w:r>
            <w:r>
              <w:rPr>
                <w:spacing w:val="-55"/>
              </w:rPr>
              <w:t xml:space="preserve"> </w:t>
            </w:r>
            <w:r>
              <w:rPr>
                <w:rFonts w:ascii="Times New Roman" w:hAnsi="Times New Roman" w:eastAsia="Times New Roman" w:cs="Times New Roman"/>
                <w:spacing w:val="-4"/>
              </w:rPr>
              <w:t>2700kVA</w:t>
            </w:r>
            <w:r>
              <w:rPr>
                <w:rFonts w:ascii="Times New Roman" w:hAnsi="Times New Roman" w:eastAsia="Times New Roman" w:cs="Times New Roman"/>
                <w:spacing w:val="21"/>
              </w:rPr>
              <w:t xml:space="preserve"> </w:t>
            </w:r>
            <w:r>
              <w:rPr>
                <w:spacing w:val="-4"/>
              </w:rPr>
              <w:t>型箱变每台</w:t>
            </w:r>
            <w:r>
              <w:t xml:space="preserve"> </w:t>
            </w:r>
            <w:r>
              <w:rPr>
                <w:spacing w:val="-5"/>
              </w:rPr>
              <w:t>油重约</w:t>
            </w:r>
            <w:r>
              <w:rPr>
                <w:spacing w:val="-18"/>
              </w:rPr>
              <w:t xml:space="preserve"> </w:t>
            </w:r>
            <w:r>
              <w:rPr>
                <w:rFonts w:ascii="Times New Roman" w:hAnsi="Times New Roman" w:eastAsia="Times New Roman" w:cs="Times New Roman"/>
                <w:spacing w:val="-5"/>
              </w:rPr>
              <w:t>1.98t</w:t>
            </w:r>
            <w:r>
              <w:rPr>
                <w:rFonts w:ascii="Times New Roman" w:hAnsi="Times New Roman" w:eastAsia="Times New Roman" w:cs="Times New Roman"/>
                <w:spacing w:val="-31"/>
              </w:rPr>
              <w:t xml:space="preserve"> </w:t>
            </w:r>
            <w:r>
              <w:rPr>
                <w:spacing w:val="-5"/>
              </w:rPr>
              <w:t>，</w:t>
            </w:r>
            <w:r>
              <w:rPr>
                <w:rFonts w:ascii="Times New Roman" w:hAnsi="Times New Roman" w:eastAsia="Times New Roman" w:cs="Times New Roman"/>
                <w:spacing w:val="-5"/>
              </w:rPr>
              <w:t>19</w:t>
            </w:r>
            <w:r>
              <w:rPr>
                <w:rFonts w:ascii="Times New Roman" w:hAnsi="Times New Roman" w:eastAsia="Times New Roman" w:cs="Times New Roman"/>
                <w:spacing w:val="28"/>
              </w:rPr>
              <w:t xml:space="preserve"> </w:t>
            </w:r>
            <w:r>
              <w:rPr>
                <w:spacing w:val="-5"/>
              </w:rPr>
              <w:t>台</w:t>
            </w:r>
            <w:r>
              <w:rPr>
                <w:spacing w:val="-50"/>
              </w:rPr>
              <w:t xml:space="preserve"> </w:t>
            </w:r>
            <w:r>
              <w:rPr>
                <w:rFonts w:ascii="Times New Roman" w:hAnsi="Times New Roman" w:eastAsia="Times New Roman" w:cs="Times New Roman"/>
                <w:spacing w:val="-5"/>
              </w:rPr>
              <w:t>3300kVA</w:t>
            </w:r>
            <w:r>
              <w:rPr>
                <w:rFonts w:ascii="Times New Roman" w:hAnsi="Times New Roman" w:eastAsia="Times New Roman" w:cs="Times New Roman"/>
                <w:spacing w:val="16"/>
              </w:rPr>
              <w:t xml:space="preserve"> </w:t>
            </w:r>
            <w:r>
              <w:rPr>
                <w:spacing w:val="-5"/>
              </w:rPr>
              <w:t>型箱变每台油重约</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18t</w:t>
            </w:r>
            <w:r>
              <w:rPr>
                <w:spacing w:val="-5"/>
              </w:rPr>
              <w:t>。</w:t>
            </w:r>
          </w:p>
          <w:p w14:paraId="1E13215E">
            <w:pPr>
              <w:pStyle w:val="6"/>
              <w:spacing w:before="37" w:line="352" w:lineRule="auto"/>
              <w:ind w:left="107" w:right="110" w:firstLine="482"/>
            </w:pPr>
            <w:r>
              <w:rPr>
                <w:spacing w:val="-2"/>
              </w:rPr>
              <w:t>综上，项目主变压器及箱式变压器内含油约</w:t>
            </w:r>
            <w:r>
              <w:rPr>
                <w:spacing w:val="-21"/>
              </w:rPr>
              <w:t xml:space="preserve"> </w:t>
            </w:r>
            <w:r>
              <w:rPr>
                <w:rFonts w:ascii="Times New Roman" w:hAnsi="Times New Roman" w:eastAsia="Times New Roman" w:cs="Times New Roman"/>
                <w:spacing w:val="-2"/>
              </w:rPr>
              <w:t>108.626t</w:t>
            </w:r>
            <w:r>
              <w:rPr>
                <w:rFonts w:ascii="Times New Roman" w:hAnsi="Times New Roman" w:eastAsia="Times New Roman" w:cs="Times New Roman"/>
                <w:spacing w:val="-30"/>
              </w:rPr>
              <w:t xml:space="preserve"> </w:t>
            </w:r>
            <w:r>
              <w:rPr>
                <w:spacing w:val="-2"/>
              </w:rPr>
              <w:t>，主变压器和箱式变压器正常运</w:t>
            </w:r>
            <w:r>
              <w:t xml:space="preserve"> 行情况下，由专业人员对变压器进行检修，变压器油经检测合格</w:t>
            </w:r>
            <w:r>
              <w:rPr>
                <w:spacing w:val="-1"/>
              </w:rPr>
              <w:t>的，过滤处理后回用，维</w:t>
            </w:r>
            <w:r>
              <w:t xml:space="preserve"> </w:t>
            </w:r>
            <w:r>
              <w:rPr>
                <w:spacing w:val="-1"/>
              </w:rPr>
              <w:t>修产生的废变压器油产生量约为</w:t>
            </w:r>
            <w:r>
              <w:rPr>
                <w:spacing w:val="-48"/>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32"/>
              </w:rPr>
              <w:t xml:space="preserve"> </w:t>
            </w:r>
            <w:r>
              <w:rPr>
                <w:spacing w:val="-1"/>
              </w:rPr>
              <w:t>，则产生量为</w:t>
            </w:r>
            <w:r>
              <w:rPr>
                <w:spacing w:val="-49"/>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2"/>
              </w:rPr>
              <w:t>43t/</w:t>
            </w:r>
            <w:r>
              <w:rPr>
                <w:spacing w:val="-2"/>
              </w:rPr>
              <w:t>次，在危废贮存库暂存后委托有资</w:t>
            </w:r>
            <w:r>
              <w:t xml:space="preserve"> </w:t>
            </w:r>
            <w:r>
              <w:rPr>
                <w:spacing w:val="-2"/>
              </w:rPr>
              <w:t>质单位处置。</w:t>
            </w:r>
          </w:p>
          <w:p w14:paraId="47ABC0B5">
            <w:pPr>
              <w:pStyle w:val="6"/>
              <w:spacing w:before="38" w:line="355" w:lineRule="auto"/>
              <w:ind w:left="106" w:right="102" w:firstLine="496"/>
              <w:jc w:val="both"/>
            </w:pPr>
            <w:r>
              <w:rPr>
                <w:spacing w:val="-1"/>
              </w:rPr>
              <w:t>当主变压器和箱式变压器发生泄漏时会产生事故废油，引入事故油池暂存，再经维修</w:t>
            </w:r>
            <w:r>
              <w:rPr>
                <w:spacing w:val="11"/>
              </w:rPr>
              <w:t xml:space="preserve"> </w:t>
            </w:r>
            <w:r>
              <w:rPr>
                <w:spacing w:val="1"/>
              </w:rPr>
              <w:t>人员过滤处理后回用，废油处理过程中约</w:t>
            </w:r>
            <w:r>
              <w:rPr>
                <w:rFonts w:ascii="Times New Roman" w:hAnsi="Times New Roman" w:eastAsia="Times New Roman" w:cs="Times New Roman"/>
                <w:spacing w:val="1"/>
              </w:rPr>
              <w:t>92%</w:t>
            </w:r>
            <w:r>
              <w:rPr>
                <w:spacing w:val="1"/>
              </w:rPr>
              <w:t>的废油经过滤处理后属合格变压器油，剩余</w:t>
            </w:r>
            <w:r>
              <w:rPr>
                <w:spacing w:val="9"/>
              </w:rPr>
              <w:t xml:space="preserve"> </w:t>
            </w:r>
            <w:r>
              <w:rPr>
                <w:spacing w:val="-1"/>
              </w:rPr>
              <w:t>的</w:t>
            </w:r>
            <w:r>
              <w:rPr>
                <w:spacing w:val="-36"/>
              </w:rPr>
              <w:t xml:space="preserve"> </w:t>
            </w:r>
            <w:r>
              <w:rPr>
                <w:rFonts w:ascii="Times New Roman" w:hAnsi="Times New Roman" w:eastAsia="Times New Roman" w:cs="Times New Roman"/>
                <w:spacing w:val="-1"/>
              </w:rPr>
              <w:t>8%</w:t>
            </w:r>
            <w:r>
              <w:rPr>
                <w:spacing w:val="-1"/>
              </w:rPr>
              <w:t>的废油为废油渣不能使用，则主变压器事故废油产生量为</w:t>
            </w:r>
            <w:r>
              <w:rPr>
                <w:spacing w:val="-51"/>
              </w:rPr>
              <w:t xml:space="preserve"> </w:t>
            </w:r>
            <w:r>
              <w:rPr>
                <w:rFonts w:ascii="Times New Roman" w:hAnsi="Times New Roman" w:eastAsia="Times New Roman" w:cs="Times New Roman"/>
                <w:spacing w:val="-1"/>
              </w:rPr>
              <w:t>3.35t/</w:t>
            </w:r>
            <w:r>
              <w:rPr>
                <w:spacing w:val="-1"/>
              </w:rPr>
              <w:t>次，箱式变压器事故</w:t>
            </w:r>
            <w:r>
              <w:t xml:space="preserve"> </w:t>
            </w:r>
            <w:r>
              <w:rPr>
                <w:spacing w:val="-1"/>
              </w:rPr>
              <w:t>废油产生量为</w:t>
            </w:r>
            <w:r>
              <w:rPr>
                <w:spacing w:val="-39"/>
              </w:rPr>
              <w:t xml:space="preserve"> </w:t>
            </w:r>
            <w:r>
              <w:rPr>
                <w:rFonts w:ascii="Times New Roman" w:hAnsi="Times New Roman" w:eastAsia="Times New Roman" w:cs="Times New Roman"/>
                <w:spacing w:val="-1"/>
              </w:rPr>
              <w:t>5.34t/</w:t>
            </w:r>
            <w:r>
              <w:rPr>
                <w:spacing w:val="-1"/>
              </w:rPr>
              <w:t>次，项目事故废油总产生量为</w:t>
            </w:r>
            <w:r>
              <w:rPr>
                <w:spacing w:val="-45"/>
              </w:rPr>
              <w:t xml:space="preserve"> </w:t>
            </w:r>
            <w:r>
              <w:rPr>
                <w:rFonts w:ascii="Times New Roman" w:hAnsi="Times New Roman" w:eastAsia="Times New Roman" w:cs="Times New Roman"/>
                <w:spacing w:val="-1"/>
              </w:rPr>
              <w:t>8.69t/</w:t>
            </w:r>
            <w:r>
              <w:rPr>
                <w:spacing w:val="-1"/>
              </w:rPr>
              <w:t>次。如遇油质较差即检测不合格的</w:t>
            </w:r>
            <w:r>
              <w:t xml:space="preserve"> </w:t>
            </w:r>
            <w:r>
              <w:rPr>
                <w:spacing w:val="-2"/>
              </w:rPr>
              <w:t>情况（本次评价按最不利全部更换考虑</w:t>
            </w:r>
            <w:r>
              <w:rPr>
                <w:spacing w:val="6"/>
              </w:rPr>
              <w:t>），</w:t>
            </w:r>
            <w:r>
              <w:rPr>
                <w:spacing w:val="-2"/>
              </w:rPr>
              <w:t>主变压器每次需更换废变压器油</w:t>
            </w:r>
            <w:r>
              <w:rPr>
                <w:spacing w:val="-55"/>
              </w:rPr>
              <w:t xml:space="preserve"> </w:t>
            </w:r>
            <w:r>
              <w:rPr>
                <w:rFonts w:ascii="Times New Roman" w:hAnsi="Times New Roman" w:eastAsia="Times New Roman" w:cs="Times New Roman"/>
                <w:spacing w:val="-2"/>
              </w:rPr>
              <w:t>41.826t</w:t>
            </w:r>
            <w:r>
              <w:rPr>
                <w:rFonts w:ascii="Times New Roman" w:hAnsi="Times New Roman" w:eastAsia="Times New Roman" w:cs="Times New Roman"/>
                <w:spacing w:val="-31"/>
              </w:rPr>
              <w:t xml:space="preserve"> </w:t>
            </w:r>
            <w:r>
              <w:rPr>
                <w:spacing w:val="-2"/>
              </w:rPr>
              <w:t>，箱式</w:t>
            </w:r>
            <w:r>
              <w:t xml:space="preserve"> </w:t>
            </w:r>
            <w:r>
              <w:rPr>
                <w:spacing w:val="-2"/>
              </w:rPr>
              <w:t>变压器每次需更换废变压器油</w:t>
            </w:r>
            <w:r>
              <w:rPr>
                <w:spacing w:val="-49"/>
              </w:rPr>
              <w:t xml:space="preserve"> </w:t>
            </w:r>
            <w:r>
              <w:rPr>
                <w:rFonts w:ascii="Times New Roman" w:hAnsi="Times New Roman" w:eastAsia="Times New Roman" w:cs="Times New Roman"/>
                <w:spacing w:val="-2"/>
              </w:rPr>
              <w:t>66.8t</w:t>
            </w:r>
            <w:r>
              <w:rPr>
                <w:rFonts w:ascii="Times New Roman" w:hAnsi="Times New Roman" w:eastAsia="Times New Roman" w:cs="Times New Roman"/>
                <w:spacing w:val="-31"/>
              </w:rPr>
              <w:t xml:space="preserve"> </w:t>
            </w:r>
            <w:r>
              <w:rPr>
                <w:spacing w:val="-2"/>
              </w:rPr>
              <w:t>，则项目废变</w:t>
            </w:r>
            <w:r>
              <w:rPr>
                <w:spacing w:val="-3"/>
              </w:rPr>
              <w:t>压器油总产生量最大约为</w:t>
            </w:r>
            <w:r>
              <w:rPr>
                <w:spacing w:val="-32"/>
              </w:rPr>
              <w:t xml:space="preserve"> </w:t>
            </w:r>
            <w:r>
              <w:rPr>
                <w:rFonts w:ascii="Times New Roman" w:hAnsi="Times New Roman" w:eastAsia="Times New Roman" w:cs="Times New Roman"/>
                <w:spacing w:val="-3"/>
              </w:rPr>
              <w:t>108.626t/</w:t>
            </w:r>
            <w:r>
              <w:rPr>
                <w:spacing w:val="-3"/>
              </w:rPr>
              <w:t>次。最</w:t>
            </w:r>
            <w:r>
              <w:t xml:space="preserve"> 不利情况下由事故油池联合收集后立即委托有资</w:t>
            </w:r>
            <w:r>
              <w:rPr>
                <w:spacing w:val="-1"/>
              </w:rPr>
              <w:t>质单位上门清运处置。</w:t>
            </w:r>
          </w:p>
          <w:p w14:paraId="746701AA">
            <w:pPr>
              <w:pStyle w:val="6"/>
              <w:spacing w:before="36" w:line="350" w:lineRule="auto"/>
              <w:ind w:left="111" w:right="102" w:firstLine="476"/>
              <w:jc w:val="both"/>
            </w:pPr>
            <w:r>
              <w:rPr>
                <w:spacing w:val="-1"/>
              </w:rPr>
              <w:t>根据《国家危险废物名录》（</w:t>
            </w:r>
            <w:r>
              <w:rPr>
                <w:rFonts w:ascii="Times New Roman" w:hAnsi="Times New Roman" w:eastAsia="Times New Roman" w:cs="Times New Roman"/>
                <w:spacing w:val="-1"/>
              </w:rPr>
              <w:t xml:space="preserve">2025 </w:t>
            </w:r>
            <w:r>
              <w:rPr>
                <w:spacing w:val="-1"/>
              </w:rPr>
              <w:t>年版）进行鉴别，废变压器油和事故废油均属于危</w:t>
            </w:r>
            <w:r>
              <w:rPr>
                <w:spacing w:val="10"/>
              </w:rPr>
              <w:t xml:space="preserve"> </w:t>
            </w:r>
            <w:r>
              <w:rPr>
                <w:spacing w:val="-2"/>
              </w:rPr>
              <w:t>险废物（</w:t>
            </w:r>
            <w:r>
              <w:rPr>
                <w:rFonts w:ascii="Times New Roman" w:hAnsi="Times New Roman" w:eastAsia="Times New Roman" w:cs="Times New Roman"/>
                <w:spacing w:val="-2"/>
              </w:rPr>
              <w:t>HW08</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900-220-08</w:t>
            </w:r>
            <w:r>
              <w:rPr>
                <w:spacing w:val="2"/>
              </w:rPr>
              <w:t>），</w:t>
            </w:r>
            <w:r>
              <w:rPr>
                <w:spacing w:val="-2"/>
              </w:rPr>
              <w:t>维修产生的废变压器油和泄漏时产生的事故废油进入事故</w:t>
            </w:r>
            <w:r>
              <w:t xml:space="preserve"> </w:t>
            </w:r>
            <w:r>
              <w:rPr>
                <w:spacing w:val="-1"/>
              </w:rPr>
              <w:t>油池收集后暂存于升压站危废贮存库，委托有资质单位处置。</w:t>
            </w:r>
          </w:p>
          <w:p w14:paraId="2A4E70C7">
            <w:pPr>
              <w:pStyle w:val="6"/>
              <w:spacing w:before="34" w:line="212" w:lineRule="auto"/>
              <w:ind w:left="587"/>
            </w:pPr>
            <w:r>
              <w:rPr>
                <w:spacing w:val="-5"/>
              </w:rPr>
              <w:t>变压器油密度约为</w:t>
            </w:r>
            <w:r>
              <w:rPr>
                <w:spacing w:val="-45"/>
              </w:rPr>
              <w:t xml:space="preserve"> </w:t>
            </w:r>
            <w:r>
              <w:rPr>
                <w:rFonts w:ascii="Times New Roman" w:hAnsi="Times New Roman" w:eastAsia="Times New Roman" w:cs="Times New Roman"/>
                <w:spacing w:val="-5"/>
              </w:rPr>
              <w:t>895kg/m</w:t>
            </w:r>
            <w:r>
              <w:rPr>
                <w:rFonts w:ascii="Times New Roman" w:hAnsi="Times New Roman" w:eastAsia="Times New Roman" w:cs="Times New Roman"/>
                <w:spacing w:val="-5"/>
                <w:position w:val="7"/>
                <w:sz w:val="15"/>
                <w:szCs w:val="15"/>
              </w:rPr>
              <w:t>3</w:t>
            </w:r>
            <w:r>
              <w:rPr>
                <w:spacing w:val="-5"/>
              </w:rPr>
              <w:t>，为防止变压器油泄漏至外环境，本项目在</w:t>
            </w:r>
            <w:r>
              <w:rPr>
                <w:spacing w:val="-6"/>
              </w:rPr>
              <w:t>主变压器下设置</w:t>
            </w:r>
          </w:p>
        </w:tc>
      </w:tr>
    </w:tbl>
    <w:p w14:paraId="40EDC5C9">
      <w:pPr>
        <w:rPr>
          <w:rFonts w:ascii="Arial"/>
          <w:sz w:val="21"/>
        </w:rPr>
      </w:pPr>
    </w:p>
    <w:p w14:paraId="78C7EF12">
      <w:pPr>
        <w:rPr>
          <w:rFonts w:ascii="Arial" w:hAnsi="Arial" w:eastAsia="Arial" w:cs="Arial"/>
          <w:sz w:val="21"/>
          <w:szCs w:val="21"/>
        </w:rPr>
        <w:sectPr>
          <w:footerReference r:id="rId139" w:type="default"/>
          <w:pgSz w:w="11907" w:h="16840"/>
          <w:pgMar w:top="1431" w:right="907" w:bottom="1278" w:left="907" w:header="0" w:footer="1116" w:gutter="0"/>
          <w:cols w:space="720" w:num="1"/>
        </w:sectPr>
      </w:pPr>
    </w:p>
    <w:p w14:paraId="253C795B">
      <w:pPr>
        <w:spacing w:line="99" w:lineRule="exact"/>
      </w:pPr>
    </w:p>
    <w:tbl>
      <w:tblPr>
        <w:tblStyle w:val="5"/>
        <w:tblW w:w="10077"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0077"/>
      </w:tblGrid>
      <w:tr w14:paraId="662207CA">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PrEx>
        <w:trPr>
          <w:trHeight w:val="13484" w:hRule="atLeast"/>
        </w:trPr>
        <w:tc>
          <w:tcPr>
            <w:tcW w:w="10077" w:type="dxa"/>
            <w:vAlign w:val="top"/>
          </w:tcPr>
          <w:p w14:paraId="130A70F3">
            <w:pPr>
              <w:spacing w:line="43" w:lineRule="auto"/>
              <w:rPr>
                <w:rFonts w:ascii="Arial"/>
                <w:sz w:val="2"/>
              </w:rPr>
            </w:pPr>
          </w:p>
          <w:tbl>
            <w:tblPr>
              <w:tblStyle w:val="5"/>
              <w:tblW w:w="9512" w:type="dxa"/>
              <w:tblInd w:w="4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118"/>
              <w:gridCol w:w="1063"/>
              <w:gridCol w:w="1313"/>
              <w:gridCol w:w="784"/>
              <w:gridCol w:w="1300"/>
              <w:gridCol w:w="904"/>
              <w:gridCol w:w="2377"/>
            </w:tblGrid>
            <w:tr w14:paraId="5093C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8" w:hRule="atLeast"/>
              </w:trPr>
              <w:tc>
                <w:tcPr>
                  <w:tcW w:w="9512" w:type="dxa"/>
                  <w:gridSpan w:val="8"/>
                  <w:tcBorders>
                    <w:top w:val="nil"/>
                    <w:right w:val="nil"/>
                  </w:tcBorders>
                  <w:vAlign w:val="top"/>
                </w:tcPr>
                <w:p w14:paraId="574A830D">
                  <w:pPr>
                    <w:pStyle w:val="6"/>
                    <w:spacing w:before="34" w:line="354" w:lineRule="auto"/>
                    <w:ind w:left="112" w:firstLine="8"/>
                  </w:pPr>
                  <w:r>
                    <w:rPr>
                      <w:spacing w:val="-20"/>
                    </w:rPr>
                    <w:t>一座</w:t>
                  </w:r>
                  <w:r>
                    <w:rPr>
                      <w:rFonts w:ascii="Times New Roman" w:hAnsi="Times New Roman" w:eastAsia="Times New Roman" w:cs="Times New Roman"/>
                      <w:spacing w:val="-20"/>
                    </w:rPr>
                    <w:t>20%</w:t>
                  </w:r>
                  <w:r>
                    <w:rPr>
                      <w:spacing w:val="-20"/>
                    </w:rPr>
                    <w:t>油量事故油池（</w:t>
                  </w:r>
                  <w:r>
                    <w:rPr>
                      <w:rFonts w:ascii="Times New Roman" w:hAnsi="Times New Roman" w:eastAsia="Times New Roman" w:cs="Times New Roman"/>
                      <w:spacing w:val="-20"/>
                    </w:rPr>
                    <w:t>10m</w:t>
                  </w:r>
                  <w:r>
                    <w:rPr>
                      <w:rFonts w:ascii="Times New Roman" w:hAnsi="Times New Roman" w:eastAsia="Times New Roman" w:cs="Times New Roman"/>
                      <w:spacing w:val="-20"/>
                      <w:position w:val="8"/>
                      <w:sz w:val="15"/>
                      <w:szCs w:val="15"/>
                    </w:rPr>
                    <w:t>3</w:t>
                  </w:r>
                  <w:r>
                    <w:rPr>
                      <w:spacing w:val="-49"/>
                      <w:w w:val="76"/>
                    </w:rPr>
                    <w:t>），</w:t>
                  </w:r>
                  <w:r>
                    <w:rPr>
                      <w:spacing w:val="-20"/>
                    </w:rPr>
                    <w:t>并在主变压器东南侧设</w:t>
                  </w:r>
                  <w:r>
                    <w:rPr>
                      <w:spacing w:val="-41"/>
                    </w:rPr>
                    <w:t xml:space="preserve"> </w:t>
                  </w:r>
                  <w:r>
                    <w:rPr>
                      <w:rFonts w:ascii="Times New Roman" w:hAnsi="Times New Roman" w:eastAsia="Times New Roman" w:cs="Times New Roman"/>
                      <w:spacing w:val="-12"/>
                    </w:rPr>
                    <w:t xml:space="preserve">1 </w:t>
                  </w:r>
                  <w:r>
                    <w:rPr>
                      <w:spacing w:val="-12"/>
                    </w:rPr>
                    <w:t>座</w:t>
                  </w:r>
                  <w:r>
                    <w:rPr>
                      <w:spacing w:val="-47"/>
                    </w:rPr>
                    <w:t xml:space="preserve"> </w:t>
                  </w:r>
                  <w:r>
                    <w:rPr>
                      <w:rFonts w:ascii="Times New Roman" w:hAnsi="Times New Roman" w:eastAsia="Times New Roman" w:cs="Times New Roman"/>
                      <w:spacing w:val="-12"/>
                    </w:rPr>
                    <w:t>100%</w:t>
                  </w:r>
                  <w:r>
                    <w:rPr>
                      <w:spacing w:val="-12"/>
                    </w:rPr>
                    <w:t>事故油池（有效容积约</w:t>
                  </w:r>
                  <w:r>
                    <w:rPr>
                      <w:spacing w:val="-63"/>
                    </w:rPr>
                    <w:t xml:space="preserve"> </w:t>
                  </w:r>
                  <w:r>
                    <w:rPr>
                      <w:rFonts w:ascii="Times New Roman" w:hAnsi="Times New Roman" w:eastAsia="Times New Roman" w:cs="Times New Roman"/>
                      <w:spacing w:val="-12"/>
                    </w:rPr>
                    <w:t>50m</w:t>
                  </w:r>
                  <w:r>
                    <w:rPr>
                      <w:rFonts w:ascii="Times New Roman" w:hAnsi="Times New Roman" w:eastAsia="Times New Roman" w:cs="Times New Roman"/>
                      <w:spacing w:val="12"/>
                      <w:w w:val="113"/>
                      <w:position w:val="8"/>
                      <w:sz w:val="15"/>
                      <w:szCs w:val="15"/>
                    </w:rPr>
                    <w:t>3</w:t>
                  </w:r>
                  <w:r>
                    <w:rPr>
                      <w:spacing w:val="-49"/>
                      <w:w w:val="76"/>
                    </w:rPr>
                    <w:t>）；</w:t>
                  </w:r>
                  <w:r>
                    <w:t xml:space="preserve"> </w:t>
                  </w:r>
                  <w:r>
                    <w:rPr>
                      <w:spacing w:val="-2"/>
                    </w:rPr>
                    <w:t>在箱式变压器下设置一个等容积集油坑，即：</w:t>
                  </w:r>
                  <w:r>
                    <w:rPr>
                      <w:rFonts w:ascii="Times New Roman" w:hAnsi="Times New Roman" w:eastAsia="Times New Roman" w:cs="Times New Roman"/>
                      <w:spacing w:val="-2"/>
                    </w:rPr>
                    <w:t>3</w:t>
                  </w:r>
                  <w:r>
                    <w:rPr>
                      <w:rFonts w:ascii="Times New Roman" w:hAnsi="Times New Roman" w:eastAsia="Times New Roman" w:cs="Times New Roman"/>
                      <w:spacing w:val="27"/>
                      <w:w w:val="101"/>
                    </w:rPr>
                    <w:t xml:space="preserve"> </w:t>
                  </w:r>
                  <w:r>
                    <w:rPr>
                      <w:spacing w:val="-2"/>
                    </w:rPr>
                    <w:t>台</w:t>
                  </w:r>
                  <w:r>
                    <w:rPr>
                      <w:spacing w:val="-51"/>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3"/>
                    </w:rPr>
                    <w:t xml:space="preserve">00kVA </w:t>
                  </w:r>
                  <w:r>
                    <w:rPr>
                      <w:spacing w:val="-3"/>
                    </w:rPr>
                    <w:t>箱变下各设一个</w:t>
                  </w:r>
                  <w:r>
                    <w:rPr>
                      <w:spacing w:val="-52"/>
                    </w:rPr>
                    <w:t xml:space="preserve"> </w:t>
                  </w:r>
                  <w:r>
                    <w:rPr>
                      <w:rFonts w:ascii="Times New Roman" w:hAnsi="Times New Roman" w:eastAsia="Times New Roman" w:cs="Times New Roman"/>
                      <w:spacing w:val="-3"/>
                    </w:rPr>
                    <w:t>0.8m</w:t>
                  </w:r>
                  <w:r>
                    <w:rPr>
                      <w:rFonts w:ascii="Times New Roman" w:hAnsi="Times New Roman" w:eastAsia="Times New Roman" w:cs="Times New Roman"/>
                      <w:spacing w:val="-3"/>
                      <w:position w:val="8"/>
                      <w:sz w:val="15"/>
                      <w:szCs w:val="15"/>
                    </w:rPr>
                    <w:t xml:space="preserve">3 </w:t>
                  </w:r>
                  <w:r>
                    <w:rPr>
                      <w:spacing w:val="-3"/>
                    </w:rPr>
                    <w:t>集油坑，</w:t>
                  </w:r>
                  <w:r>
                    <w:t xml:space="preserve"> </w:t>
                  </w:r>
                  <w:r>
                    <w:rPr>
                      <w:rFonts w:ascii="Times New Roman" w:hAnsi="Times New Roman" w:eastAsia="Times New Roman" w:cs="Times New Roman"/>
                      <w:spacing w:val="-6"/>
                    </w:rPr>
                    <w:t>2</w:t>
                  </w:r>
                  <w:r>
                    <w:rPr>
                      <w:rFonts w:ascii="Times New Roman" w:hAnsi="Times New Roman" w:eastAsia="Times New Roman" w:cs="Times New Roman"/>
                      <w:spacing w:val="31"/>
                    </w:rPr>
                    <w:t xml:space="preserve"> </w:t>
                  </w:r>
                  <w:r>
                    <w:rPr>
                      <w:spacing w:val="-6"/>
                    </w:rPr>
                    <w:t>台</w:t>
                  </w:r>
                  <w:r>
                    <w:rPr>
                      <w:spacing w:val="-33"/>
                    </w:rPr>
                    <w:t xml:space="preserve"> </w:t>
                  </w:r>
                  <w:r>
                    <w:rPr>
                      <w:rFonts w:ascii="Times New Roman" w:hAnsi="Times New Roman" w:eastAsia="Times New Roman" w:cs="Times New Roman"/>
                      <w:spacing w:val="-6"/>
                    </w:rPr>
                    <w:t xml:space="preserve">1200kVA </w:t>
                  </w:r>
                  <w:r>
                    <w:rPr>
                      <w:spacing w:val="-6"/>
                    </w:rPr>
                    <w:t>箱变各设一个</w:t>
                  </w:r>
                  <w:r>
                    <w:rPr>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8"/>
                      <w:position w:val="7"/>
                      <w:sz w:val="15"/>
                      <w:szCs w:val="15"/>
                    </w:rPr>
                    <w:t xml:space="preserve"> </w:t>
                  </w:r>
                  <w:r>
                    <w:rPr>
                      <w:spacing w:val="-6"/>
                    </w:rPr>
                    <w:t>集油坑，</w:t>
                  </w:r>
                  <w:r>
                    <w:rPr>
                      <w:rFonts w:ascii="Times New Roman" w:hAnsi="Times New Roman" w:eastAsia="Times New Roman" w:cs="Times New Roman"/>
                      <w:spacing w:val="-6"/>
                    </w:rPr>
                    <w:t>5</w:t>
                  </w:r>
                  <w:r>
                    <w:rPr>
                      <w:rFonts w:ascii="Times New Roman" w:hAnsi="Times New Roman" w:eastAsia="Times New Roman" w:cs="Times New Roman"/>
                      <w:spacing w:val="28"/>
                    </w:rPr>
                    <w:t xml:space="preserve"> </w:t>
                  </w:r>
                  <w:r>
                    <w:rPr>
                      <w:spacing w:val="-6"/>
                    </w:rPr>
                    <w:t>台</w:t>
                  </w:r>
                  <w:r>
                    <w:rPr>
                      <w:spacing w:val="-33"/>
                    </w:rPr>
                    <w:t xml:space="preserve"> </w:t>
                  </w:r>
                  <w:r>
                    <w:rPr>
                      <w:rFonts w:ascii="Times New Roman" w:hAnsi="Times New Roman" w:eastAsia="Times New Roman" w:cs="Times New Roman"/>
                      <w:spacing w:val="-6"/>
                    </w:rPr>
                    <w:t>1800kVA</w:t>
                  </w:r>
                  <w:r>
                    <w:rPr>
                      <w:rFonts w:ascii="Times New Roman" w:hAnsi="Times New Roman" w:eastAsia="Times New Roman" w:cs="Times New Roman"/>
                      <w:spacing w:val="13"/>
                    </w:rPr>
                    <w:t xml:space="preserve"> </w:t>
                  </w:r>
                  <w:r>
                    <w:rPr>
                      <w:spacing w:val="-6"/>
                    </w:rPr>
                    <w:t>箱变各设一个</w:t>
                  </w:r>
                  <w:r>
                    <w:rPr>
                      <w:spacing w:val="-33"/>
                    </w:rPr>
                    <w:t xml:space="preserve"> </w:t>
                  </w:r>
                  <w:r>
                    <w:rPr>
                      <w:rFonts w:ascii="Times New Roman" w:hAnsi="Times New Roman" w:eastAsia="Times New Roman" w:cs="Times New Roman"/>
                      <w:spacing w:val="-6"/>
                    </w:rPr>
                    <w:t>1.6m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9"/>
                      <w:position w:val="7"/>
                      <w:sz w:val="15"/>
                      <w:szCs w:val="15"/>
                    </w:rPr>
                    <w:t xml:space="preserve"> </w:t>
                  </w:r>
                  <w:r>
                    <w:rPr>
                      <w:spacing w:val="-6"/>
                    </w:rPr>
                    <w:t>集油坑，</w:t>
                  </w:r>
                  <w:r>
                    <w:rPr>
                      <w:rFonts w:ascii="Times New Roman" w:hAnsi="Times New Roman" w:eastAsia="Times New Roman" w:cs="Times New Roman"/>
                      <w:spacing w:val="-6"/>
                    </w:rPr>
                    <w:t>3</w:t>
                  </w:r>
                  <w:r>
                    <w:rPr>
                      <w:rFonts w:ascii="Times New Roman" w:hAnsi="Times New Roman" w:eastAsia="Times New Roman" w:cs="Times New Roman"/>
                    </w:rPr>
                    <w:t xml:space="preserve">     </w:t>
                  </w:r>
                  <w:r>
                    <w:rPr>
                      <w:spacing w:val="-6"/>
                    </w:rPr>
                    <w:t>台</w:t>
                  </w:r>
                  <w:r>
                    <w:rPr>
                      <w:spacing w:val="-46"/>
                    </w:rPr>
                    <w:t xml:space="preserve"> </w:t>
                  </w:r>
                  <w:r>
                    <w:rPr>
                      <w:rFonts w:ascii="Times New Roman" w:hAnsi="Times New Roman" w:eastAsia="Times New Roman" w:cs="Times New Roman"/>
                      <w:spacing w:val="-6"/>
                    </w:rPr>
                    <w:t>2100kVA</w:t>
                  </w:r>
                  <w:r>
                    <w:rPr>
                      <w:rFonts w:ascii="Times New Roman" w:hAnsi="Times New Roman" w:eastAsia="Times New Roman" w:cs="Times New Roman"/>
                      <w:spacing w:val="16"/>
                      <w:w w:val="101"/>
                    </w:rPr>
                    <w:t xml:space="preserve"> </w:t>
                  </w:r>
                  <w:r>
                    <w:rPr>
                      <w:spacing w:val="-6"/>
                    </w:rPr>
                    <w:t>型箱变各设一个</w:t>
                  </w:r>
                  <w:r>
                    <w:rPr>
                      <w:spacing w:val="-56"/>
                    </w:rPr>
                    <w:t xml:space="preserve"> </w:t>
                  </w:r>
                  <w:r>
                    <w:rPr>
                      <w:rFonts w:ascii="Times New Roman" w:hAnsi="Times New Roman" w:eastAsia="Times New Roman" w:cs="Times New Roman"/>
                      <w:spacing w:val="-6"/>
                    </w:rPr>
                    <w:t>2.0m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9"/>
                      <w:position w:val="8"/>
                      <w:sz w:val="15"/>
                      <w:szCs w:val="15"/>
                    </w:rPr>
                    <w:t xml:space="preserve"> </w:t>
                  </w:r>
                  <w:r>
                    <w:rPr>
                      <w:spacing w:val="-6"/>
                    </w:rPr>
                    <w:t>集油坑，</w:t>
                  </w:r>
                  <w:r>
                    <w:rPr>
                      <w:rFonts w:ascii="Times New Roman" w:hAnsi="Times New Roman" w:eastAsia="Times New Roman" w:cs="Times New Roman"/>
                      <w:spacing w:val="-6"/>
                    </w:rPr>
                    <w:t>3</w:t>
                  </w:r>
                  <w:r>
                    <w:rPr>
                      <w:rFonts w:ascii="Times New Roman" w:hAnsi="Times New Roman" w:eastAsia="Times New Roman" w:cs="Times New Roman"/>
                      <w:spacing w:val="27"/>
                      <w:w w:val="101"/>
                    </w:rPr>
                    <w:t xml:space="preserve"> </w:t>
                  </w:r>
                  <w:r>
                    <w:rPr>
                      <w:spacing w:val="-6"/>
                    </w:rPr>
                    <w:t>台</w:t>
                  </w:r>
                  <w:r>
                    <w:rPr>
                      <w:spacing w:val="-56"/>
                    </w:rPr>
                    <w:t xml:space="preserve"> </w:t>
                  </w:r>
                  <w:r>
                    <w:rPr>
                      <w:rFonts w:ascii="Times New Roman" w:hAnsi="Times New Roman" w:eastAsia="Times New Roman" w:cs="Times New Roman"/>
                      <w:spacing w:val="-6"/>
                    </w:rPr>
                    <w:t>2400kVA</w:t>
                  </w:r>
                  <w:r>
                    <w:rPr>
                      <w:rFonts w:ascii="Times New Roman" w:hAnsi="Times New Roman" w:eastAsia="Times New Roman" w:cs="Times New Roman"/>
                      <w:spacing w:val="16"/>
                    </w:rPr>
                    <w:t xml:space="preserve"> </w:t>
                  </w:r>
                  <w:r>
                    <w:rPr>
                      <w:spacing w:val="-6"/>
                    </w:rPr>
                    <w:t>型箱变各设一个</w:t>
                  </w:r>
                  <w:r>
                    <w:rPr>
                      <w:spacing w:val="-56"/>
                    </w:rPr>
                    <w:t xml:space="preserve"> </w:t>
                  </w:r>
                  <w:r>
                    <w:rPr>
                      <w:rFonts w:ascii="Times New Roman" w:hAnsi="Times New Roman" w:eastAsia="Times New Roman" w:cs="Times New Roman"/>
                      <w:spacing w:val="-6"/>
                    </w:rPr>
                    <w:t>2.2m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11"/>
                      <w:w w:val="102"/>
                      <w:position w:val="8"/>
                      <w:sz w:val="15"/>
                      <w:szCs w:val="15"/>
                    </w:rPr>
                    <w:t xml:space="preserve"> </w:t>
                  </w:r>
                  <w:r>
                    <w:rPr>
                      <w:spacing w:val="-6"/>
                    </w:rPr>
                    <w:t>集油坑，</w:t>
                  </w:r>
                  <w:r>
                    <w:rPr>
                      <w:rFonts w:ascii="Times New Roman" w:hAnsi="Times New Roman" w:eastAsia="Times New Roman" w:cs="Times New Roman"/>
                      <w:spacing w:val="-6"/>
                    </w:rPr>
                    <w:t>2</w:t>
                  </w:r>
                  <w:r>
                    <w:rPr>
                      <w:rFonts w:ascii="Times New Roman" w:hAnsi="Times New Roman" w:eastAsia="Times New Roman" w:cs="Times New Roman"/>
                    </w:rPr>
                    <w:t xml:space="preserve">  </w:t>
                  </w:r>
                  <w:r>
                    <w:rPr>
                      <w:spacing w:val="-4"/>
                    </w:rPr>
                    <w:t>台</w:t>
                  </w:r>
                  <w:r>
                    <w:rPr>
                      <w:spacing w:val="-55"/>
                    </w:rPr>
                    <w:t xml:space="preserve"> </w:t>
                  </w:r>
                  <w:r>
                    <w:rPr>
                      <w:rFonts w:ascii="Times New Roman" w:hAnsi="Times New Roman" w:eastAsia="Times New Roman" w:cs="Times New Roman"/>
                      <w:spacing w:val="-4"/>
                    </w:rPr>
                    <w:t>2700kVA</w:t>
                  </w:r>
                  <w:r>
                    <w:rPr>
                      <w:rFonts w:ascii="Times New Roman" w:hAnsi="Times New Roman" w:eastAsia="Times New Roman" w:cs="Times New Roman"/>
                      <w:spacing w:val="16"/>
                    </w:rPr>
                    <w:t xml:space="preserve"> </w:t>
                  </w:r>
                  <w:r>
                    <w:rPr>
                      <w:spacing w:val="-4"/>
                    </w:rPr>
                    <w:t>型箱变各设一个</w:t>
                  </w:r>
                  <w:r>
                    <w:rPr>
                      <w:spacing w:val="-56"/>
                    </w:rPr>
                    <w:t xml:space="preserve"> </w:t>
                  </w:r>
                  <w:r>
                    <w:rPr>
                      <w:rFonts w:ascii="Times New Roman" w:hAnsi="Times New Roman" w:eastAsia="Times New Roman" w:cs="Times New Roman"/>
                      <w:spacing w:val="-4"/>
                    </w:rPr>
                    <w:t>2.3m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9"/>
                      <w:position w:val="7"/>
                      <w:sz w:val="15"/>
                      <w:szCs w:val="15"/>
                    </w:rPr>
                    <w:t xml:space="preserve"> </w:t>
                  </w:r>
                  <w:r>
                    <w:rPr>
                      <w:spacing w:val="-4"/>
                    </w:rPr>
                    <w:t>集油坑，</w:t>
                  </w:r>
                  <w:r>
                    <w:rPr>
                      <w:rFonts w:ascii="Times New Roman" w:hAnsi="Times New Roman" w:eastAsia="Times New Roman" w:cs="Times New Roman"/>
                      <w:spacing w:val="-4"/>
                    </w:rPr>
                    <w:t>19</w:t>
                  </w:r>
                  <w:r>
                    <w:rPr>
                      <w:rFonts w:ascii="Times New Roman" w:hAnsi="Times New Roman" w:eastAsia="Times New Roman" w:cs="Times New Roman"/>
                      <w:spacing w:val="27"/>
                      <w:w w:val="101"/>
                    </w:rPr>
                    <w:t xml:space="preserve"> </w:t>
                  </w:r>
                  <w:r>
                    <w:rPr>
                      <w:spacing w:val="-4"/>
                    </w:rPr>
                    <w:t>台</w:t>
                  </w:r>
                  <w:r>
                    <w:rPr>
                      <w:spacing w:val="-51"/>
                    </w:rPr>
                    <w:t xml:space="preserve"> </w:t>
                  </w:r>
                  <w:r>
                    <w:rPr>
                      <w:rFonts w:ascii="Times New Roman" w:hAnsi="Times New Roman" w:eastAsia="Times New Roman" w:cs="Times New Roman"/>
                      <w:spacing w:val="-4"/>
                    </w:rPr>
                    <w:t>3300k</w:t>
                  </w:r>
                  <w:r>
                    <w:rPr>
                      <w:rFonts w:ascii="Times New Roman" w:hAnsi="Times New Roman" w:eastAsia="Times New Roman" w:cs="Times New Roman"/>
                      <w:spacing w:val="-5"/>
                    </w:rPr>
                    <w:t>VA</w:t>
                  </w:r>
                  <w:r>
                    <w:rPr>
                      <w:rFonts w:ascii="Times New Roman" w:hAnsi="Times New Roman" w:eastAsia="Times New Roman" w:cs="Times New Roman"/>
                      <w:spacing w:val="18"/>
                    </w:rPr>
                    <w:t xml:space="preserve"> </w:t>
                  </w:r>
                  <w:r>
                    <w:rPr>
                      <w:spacing w:val="-5"/>
                    </w:rPr>
                    <w:t>型箱变各设一个</w:t>
                  </w:r>
                  <w:r>
                    <w:rPr>
                      <w:spacing w:val="-56"/>
                    </w:rPr>
                    <w:t xml:space="preserve"> </w:t>
                  </w:r>
                  <w:r>
                    <w:rPr>
                      <w:rFonts w:ascii="Times New Roman" w:hAnsi="Times New Roman" w:eastAsia="Times New Roman" w:cs="Times New Roman"/>
                      <w:spacing w:val="-5"/>
                    </w:rPr>
                    <w:t>2.5m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9"/>
                      <w:w w:val="101"/>
                      <w:position w:val="7"/>
                      <w:sz w:val="15"/>
                      <w:szCs w:val="15"/>
                    </w:rPr>
                    <w:t xml:space="preserve"> </w:t>
                  </w:r>
                  <w:r>
                    <w:rPr>
                      <w:spacing w:val="-5"/>
                    </w:rPr>
                    <w:t>集油坑。</w:t>
                  </w:r>
                </w:p>
                <w:p w14:paraId="7353F064">
                  <w:pPr>
                    <w:pStyle w:val="6"/>
                    <w:spacing w:before="32" w:line="355" w:lineRule="auto"/>
                    <w:ind w:left="116" w:firstLine="479"/>
                  </w:pPr>
                  <w:r>
                    <w:rPr>
                      <w:spacing w:val="-2"/>
                    </w:rPr>
                    <w:t>根据建设单位提供资料，</w:t>
                  </w:r>
                  <w:r>
                    <w:rPr>
                      <w:rFonts w:ascii="Times New Roman" w:hAnsi="Times New Roman" w:eastAsia="Times New Roman" w:cs="Times New Roman"/>
                      <w:spacing w:val="-2"/>
                    </w:rPr>
                    <w:t>180MVA</w:t>
                  </w:r>
                  <w:r>
                    <w:rPr>
                      <w:rFonts w:ascii="Times New Roman" w:hAnsi="Times New Roman" w:eastAsia="Times New Roman" w:cs="Times New Roman"/>
                      <w:spacing w:val="42"/>
                    </w:rPr>
                    <w:t xml:space="preserve"> </w:t>
                  </w:r>
                  <w:r>
                    <w:rPr>
                      <w:spacing w:val="-2"/>
                    </w:rPr>
                    <w:t>的主变压器油量约</w:t>
                  </w:r>
                  <w:r>
                    <w:rPr>
                      <w:spacing w:val="-56"/>
                    </w:rPr>
                    <w:t xml:space="preserve"> </w:t>
                  </w:r>
                  <w:r>
                    <w:rPr>
                      <w:rFonts w:ascii="Times New Roman" w:hAnsi="Times New Roman" w:eastAsia="Times New Roman" w:cs="Times New Roman"/>
                      <w:spacing w:val="-2"/>
                    </w:rPr>
                    <w:t>41.826t</w:t>
                  </w:r>
                  <w:r>
                    <w:rPr>
                      <w:rFonts w:ascii="Times New Roman" w:hAnsi="Times New Roman" w:eastAsia="Times New Roman" w:cs="Times New Roman"/>
                      <w:spacing w:val="-31"/>
                    </w:rPr>
                    <w:t xml:space="preserve"> </w:t>
                  </w:r>
                  <w:r>
                    <w:rPr>
                      <w:spacing w:val="-2"/>
                    </w:rPr>
                    <w:t>，体积约</w:t>
                  </w:r>
                  <w:r>
                    <w:rPr>
                      <w:spacing w:val="-56"/>
                    </w:rPr>
                    <w:t xml:space="preserve"> </w:t>
                  </w:r>
                  <w:r>
                    <w:rPr>
                      <w:rFonts w:ascii="Times New Roman" w:hAnsi="Times New Roman" w:eastAsia="Times New Roman" w:cs="Times New Roman"/>
                      <w:spacing w:val="-2"/>
                    </w:rPr>
                    <w:t>46.73m</w:t>
                  </w:r>
                  <w:r>
                    <w:rPr>
                      <w:rFonts w:ascii="Times New Roman" w:hAnsi="Times New Roman" w:eastAsia="Times New Roman" w:cs="Times New Roman"/>
                      <w:spacing w:val="-2"/>
                      <w:position w:val="8"/>
                      <w:sz w:val="15"/>
                      <w:szCs w:val="15"/>
                    </w:rPr>
                    <w:t>3</w:t>
                  </w:r>
                  <w:r>
                    <w:rPr>
                      <w:spacing w:val="-2"/>
                    </w:rPr>
                    <w:t>（变压</w:t>
                  </w:r>
                  <w:r>
                    <w:t xml:space="preserve"> </w:t>
                  </w:r>
                  <w:r>
                    <w:rPr>
                      <w:spacing w:val="-2"/>
                    </w:rPr>
                    <w:t>器油密度约为</w:t>
                  </w:r>
                  <w:r>
                    <w:rPr>
                      <w:spacing w:val="-44"/>
                    </w:rPr>
                    <w:t xml:space="preserve"> </w:t>
                  </w:r>
                  <w:r>
                    <w:rPr>
                      <w:rFonts w:ascii="Times New Roman" w:hAnsi="Times New Roman" w:eastAsia="Times New Roman" w:cs="Times New Roman"/>
                      <w:spacing w:val="-2"/>
                    </w:rPr>
                    <w:t>895kg/m</w:t>
                  </w:r>
                  <w:r>
                    <w:rPr>
                      <w:rFonts w:ascii="Times New Roman" w:hAnsi="Times New Roman" w:eastAsia="Times New Roman" w:cs="Times New Roman"/>
                      <w:spacing w:val="-2"/>
                      <w:position w:val="8"/>
                      <w:sz w:val="15"/>
                      <w:szCs w:val="15"/>
                    </w:rPr>
                    <w:t>3</w:t>
                  </w:r>
                  <w:r>
                    <w:rPr>
                      <w:spacing w:val="-27"/>
                    </w:rPr>
                    <w:t>），</w:t>
                  </w:r>
                  <w:r>
                    <w:rPr>
                      <w:spacing w:val="-2"/>
                    </w:rPr>
                    <w:t>项目如发生泄漏事故时外</w:t>
                  </w:r>
                  <w:r>
                    <w:rPr>
                      <w:spacing w:val="-3"/>
                    </w:rPr>
                    <w:t>泄变压器油的体积</w:t>
                  </w:r>
                  <w:r>
                    <w:rPr>
                      <w:spacing w:val="-57"/>
                    </w:rPr>
                    <w:t xml:space="preserve"> </w:t>
                  </w:r>
                  <w:r>
                    <w:rPr>
                      <w:rFonts w:ascii="Times New Roman" w:hAnsi="Times New Roman" w:eastAsia="Times New Roman" w:cs="Times New Roman"/>
                      <w:spacing w:val="-3"/>
                    </w:rPr>
                    <w:t>46.73m</w:t>
                  </w:r>
                  <w:r>
                    <w:rPr>
                      <w:rFonts w:ascii="Times New Roman" w:hAnsi="Times New Roman" w:eastAsia="Times New Roman" w:cs="Times New Roman"/>
                      <w:spacing w:val="-3"/>
                      <w:position w:val="8"/>
                      <w:sz w:val="15"/>
                      <w:szCs w:val="15"/>
                    </w:rPr>
                    <w:t>3</w:t>
                  </w:r>
                  <w:r>
                    <w:rPr>
                      <w:spacing w:val="-3"/>
                    </w:rPr>
                    <w:t>。根据《火</w:t>
                  </w:r>
                  <w:r>
                    <w:t xml:space="preserve"> </w:t>
                  </w:r>
                  <w:r>
                    <w:rPr>
                      <w:spacing w:val="-2"/>
                    </w:rPr>
                    <w:t>力发电厂与变电站设计防火标准》（</w:t>
                  </w:r>
                  <w:r>
                    <w:rPr>
                      <w:rFonts w:ascii="Times New Roman" w:hAnsi="Times New Roman" w:eastAsia="Times New Roman" w:cs="Times New Roman"/>
                      <w:spacing w:val="-2"/>
                    </w:rPr>
                    <w:t>GB50229-2019</w:t>
                  </w:r>
                  <w:r>
                    <w:rPr>
                      <w:spacing w:val="-2"/>
                    </w:rPr>
                    <w:t>）“屋外单台油量为</w:t>
                  </w:r>
                  <w:r>
                    <w:rPr>
                      <w:spacing w:val="-18"/>
                    </w:rPr>
                    <w:t xml:space="preserve"> </w:t>
                  </w:r>
                  <w:r>
                    <w:rPr>
                      <w:rFonts w:ascii="Times New Roman" w:hAnsi="Times New Roman" w:eastAsia="Times New Roman" w:cs="Times New Roman"/>
                      <w:spacing w:val="-2"/>
                    </w:rPr>
                    <w:t>1000kg</w:t>
                  </w:r>
                  <w:r>
                    <w:rPr>
                      <w:rFonts w:ascii="Times New Roman" w:hAnsi="Times New Roman" w:eastAsia="Times New Roman" w:cs="Times New Roman"/>
                      <w:spacing w:val="36"/>
                      <w:w w:val="101"/>
                    </w:rPr>
                    <w:t xml:space="preserve"> </w:t>
                  </w:r>
                  <w:r>
                    <w:rPr>
                      <w:spacing w:val="-2"/>
                    </w:rPr>
                    <w:t>以上的电</w:t>
                  </w:r>
                  <w:r>
                    <w:t xml:space="preserve">  气设备，应设置贮油或挡油设施。挡油设施</w:t>
                  </w:r>
                  <w:r>
                    <w:rPr>
                      <w:spacing w:val="-1"/>
                    </w:rPr>
                    <w:t>的容积宜按油量的</w:t>
                  </w:r>
                  <w:r>
                    <w:rPr>
                      <w:spacing w:val="-55"/>
                    </w:rPr>
                    <w:t xml:space="preserve"> </w:t>
                  </w:r>
                  <w:r>
                    <w:rPr>
                      <w:rFonts w:ascii="Times New Roman" w:hAnsi="Times New Roman" w:eastAsia="Times New Roman" w:cs="Times New Roman"/>
                      <w:spacing w:val="-1"/>
                    </w:rPr>
                    <w:t>20%</w:t>
                  </w:r>
                  <w:r>
                    <w:rPr>
                      <w:spacing w:val="-1"/>
                    </w:rPr>
                    <w:t>设计，并应设置将事故</w:t>
                  </w:r>
                  <w:r>
                    <w:t xml:space="preserve"> </w:t>
                  </w:r>
                  <w:r>
                    <w:rPr>
                      <w:spacing w:val="-1"/>
                    </w:rPr>
                    <w:t>油排至安全处的设施；</w:t>
                  </w:r>
                  <w:r>
                    <w:rPr>
                      <w:rFonts w:ascii="Times New Roman" w:hAnsi="Times New Roman" w:eastAsia="Times New Roman" w:cs="Times New Roman"/>
                      <w:spacing w:val="-1"/>
                    </w:rPr>
                    <w:t xml:space="preserve">6.7.8 </w:t>
                  </w:r>
                  <w:r>
                    <w:rPr>
                      <w:spacing w:val="-1"/>
                    </w:rPr>
                    <w:t>要求，总事故贮油池的容量应按其接入的油量最大的一台设备</w:t>
                  </w:r>
                  <w:r>
                    <w:rPr>
                      <w:spacing w:val="8"/>
                    </w:rPr>
                    <w:t xml:space="preserve"> </w:t>
                  </w:r>
                  <w:r>
                    <w:rPr>
                      <w:spacing w:val="-3"/>
                    </w:rPr>
                    <w:t>确定的标准要求。</w:t>
                  </w:r>
                  <w:r>
                    <w:rPr>
                      <w:spacing w:val="-78"/>
                    </w:rPr>
                    <w:t xml:space="preserve"> </w:t>
                  </w:r>
                  <w:r>
                    <w:rPr>
                      <w:spacing w:val="-3"/>
                    </w:rPr>
                    <w:t>”本项目设置的变压器下事故油池容积</w:t>
                  </w:r>
                  <w:r>
                    <w:rPr>
                      <w:spacing w:val="-32"/>
                    </w:rPr>
                    <w:t xml:space="preserve"> </w:t>
                  </w:r>
                  <w:r>
                    <w:rPr>
                      <w:rFonts w:ascii="Times New Roman" w:hAnsi="Times New Roman" w:eastAsia="Times New Roman" w:cs="Times New Roman"/>
                      <w:spacing w:val="-3"/>
                    </w:rPr>
                    <w:t>10m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0"/>
                      <w:position w:val="8"/>
                      <w:sz w:val="15"/>
                      <w:szCs w:val="15"/>
                    </w:rPr>
                    <w:t xml:space="preserve"> </w:t>
                  </w:r>
                  <w:r>
                    <w:rPr>
                      <w:spacing w:val="-3"/>
                    </w:rPr>
                    <w:t>，满足油量</w:t>
                  </w:r>
                  <w:r>
                    <w:rPr>
                      <w:spacing w:val="-55"/>
                    </w:rPr>
                    <w:t xml:space="preserve"> </w:t>
                  </w:r>
                  <w:r>
                    <w:rPr>
                      <w:rFonts w:ascii="Times New Roman" w:hAnsi="Times New Roman" w:eastAsia="Times New Roman" w:cs="Times New Roman"/>
                      <w:spacing w:val="-3"/>
                    </w:rPr>
                    <w:t>20%</w:t>
                  </w:r>
                  <w:r>
                    <w:rPr>
                      <w:spacing w:val="-3"/>
                    </w:rPr>
                    <w:t>（</w:t>
                  </w:r>
                  <w:r>
                    <w:rPr>
                      <w:rFonts w:ascii="Times New Roman" w:hAnsi="Times New Roman" w:eastAsia="Times New Roman" w:cs="Times New Roman"/>
                      <w:spacing w:val="-3"/>
                    </w:rPr>
                    <w:t>9.35m</w:t>
                  </w:r>
                  <w:r>
                    <w:rPr>
                      <w:rFonts w:ascii="Times New Roman" w:hAnsi="Times New Roman" w:eastAsia="Times New Roman" w:cs="Times New Roman"/>
                      <w:spacing w:val="-3"/>
                      <w:position w:val="8"/>
                      <w:sz w:val="15"/>
                      <w:szCs w:val="15"/>
                    </w:rPr>
                    <w:t>3</w:t>
                  </w:r>
                  <w:r>
                    <w:rPr>
                      <w:spacing w:val="-3"/>
                    </w:rPr>
                    <w:t>）</w:t>
                  </w:r>
                  <w:r>
                    <w:t xml:space="preserve"> </w:t>
                  </w:r>
                  <w:r>
                    <w:rPr>
                      <w:spacing w:val="-2"/>
                    </w:rPr>
                    <w:t>的设计要求；</w:t>
                  </w:r>
                  <w:r>
                    <w:rPr>
                      <w:rFonts w:ascii="Times New Roman" w:hAnsi="Times New Roman" w:eastAsia="Times New Roman" w:cs="Times New Roman"/>
                      <w:spacing w:val="-2"/>
                    </w:rPr>
                    <w:t>100%</w:t>
                  </w:r>
                  <w:r>
                    <w:rPr>
                      <w:spacing w:val="-2"/>
                    </w:rPr>
                    <w:t>事故油池池容积</w:t>
                  </w:r>
                  <w:r>
                    <w:rPr>
                      <w:spacing w:val="-48"/>
                    </w:rPr>
                    <w:t xml:space="preserve"> </w:t>
                  </w:r>
                  <w:r>
                    <w:rPr>
                      <w:rFonts w:ascii="Times New Roman" w:hAnsi="Times New Roman" w:eastAsia="Times New Roman" w:cs="Times New Roman"/>
                      <w:spacing w:val="-2"/>
                    </w:rPr>
                    <w:t>50m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8"/>
                      <w:w w:val="102"/>
                      <w:position w:val="8"/>
                      <w:sz w:val="15"/>
                      <w:szCs w:val="15"/>
                    </w:rPr>
                    <w:t xml:space="preserve"> </w:t>
                  </w:r>
                  <w:r>
                    <w:rPr>
                      <w:spacing w:val="-2"/>
                    </w:rPr>
                    <w:t>能满足项目接入油</w:t>
                  </w:r>
                  <w:r>
                    <w:rPr>
                      <w:spacing w:val="-3"/>
                    </w:rPr>
                    <w:t>量最大的</w:t>
                  </w:r>
                  <w:r>
                    <w:rPr>
                      <w:spacing w:val="-32"/>
                    </w:rPr>
                    <w:t xml:space="preserve"> </w:t>
                  </w:r>
                  <w:r>
                    <w:rPr>
                      <w:rFonts w:ascii="Times New Roman" w:hAnsi="Times New Roman" w:eastAsia="Times New Roman" w:cs="Times New Roman"/>
                      <w:spacing w:val="-3"/>
                    </w:rPr>
                    <w:t>180MVA</w:t>
                  </w:r>
                  <w:r>
                    <w:rPr>
                      <w:rFonts w:ascii="Times New Roman" w:hAnsi="Times New Roman" w:eastAsia="Times New Roman" w:cs="Times New Roman"/>
                      <w:spacing w:val="31"/>
                    </w:rPr>
                    <w:t xml:space="preserve"> </w:t>
                  </w:r>
                  <w:r>
                    <w:rPr>
                      <w:spacing w:val="-3"/>
                    </w:rPr>
                    <w:t>的主变压器</w:t>
                  </w:r>
                  <w:r>
                    <w:t xml:space="preserve"> </w:t>
                  </w:r>
                  <w:r>
                    <w:rPr>
                      <w:spacing w:val="-1"/>
                    </w:rPr>
                    <w:t>事故情况下外泄变压器油的体积</w:t>
                  </w:r>
                  <w:r>
                    <w:rPr>
                      <w:spacing w:val="-57"/>
                    </w:rPr>
                    <w:t xml:space="preserve"> </w:t>
                  </w:r>
                  <w:r>
                    <w:rPr>
                      <w:rFonts w:ascii="Times New Roman" w:hAnsi="Times New Roman" w:eastAsia="Times New Roman" w:cs="Times New Roman"/>
                      <w:spacing w:val="-1"/>
                    </w:rPr>
                    <w:t>46.73m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9"/>
                      <w:position w:val="8"/>
                      <w:sz w:val="15"/>
                      <w:szCs w:val="15"/>
                    </w:rPr>
                    <w:t xml:space="preserve"> </w:t>
                  </w:r>
                  <w:r>
                    <w:rPr>
                      <w:spacing w:val="-1"/>
                    </w:rPr>
                    <w:t>，可满足《火力发电厂与变电站设计防火标</w:t>
                  </w:r>
                  <w:r>
                    <w:rPr>
                      <w:spacing w:val="-2"/>
                    </w:rPr>
                    <w:t>准》</w:t>
                  </w:r>
                </w:p>
                <w:p w14:paraId="7984C85B">
                  <w:pPr>
                    <w:pStyle w:val="6"/>
                    <w:spacing w:before="40" w:line="353" w:lineRule="auto"/>
                    <w:ind w:left="116" w:right="1" w:firstLine="11"/>
                  </w:pPr>
                  <w:r>
                    <w:rPr>
                      <w:spacing w:val="-1"/>
                    </w:rPr>
                    <w:t>（</w:t>
                  </w:r>
                  <w:r>
                    <w:rPr>
                      <w:rFonts w:ascii="Times New Roman" w:hAnsi="Times New Roman" w:eastAsia="Times New Roman" w:cs="Times New Roman"/>
                      <w:spacing w:val="-1"/>
                    </w:rPr>
                    <w:t>GB50229-2019</w:t>
                  </w:r>
                  <w:r>
                    <w:rPr>
                      <w:spacing w:val="-1"/>
                    </w:rPr>
                    <w:t>）的设计要求。本工程主变压器集油坑铺设卵石层，并通过事故排油管与</w:t>
                  </w:r>
                  <w:r>
                    <w:rPr>
                      <w:spacing w:val="10"/>
                    </w:rPr>
                    <w:t xml:space="preserve"> </w:t>
                  </w:r>
                  <w:r>
                    <w:t>事故油池相连。在事故并失控情况下，泄漏的变压器油流经集油</w:t>
                  </w:r>
                  <w:r>
                    <w:rPr>
                      <w:spacing w:val="-1"/>
                    </w:rPr>
                    <w:t>坑内铺设的鹅卵石层（鹅</w:t>
                  </w:r>
                  <w:r>
                    <w:t xml:space="preserve"> </w:t>
                  </w:r>
                  <w:r>
                    <w:rPr>
                      <w:spacing w:val="-3"/>
                    </w:rPr>
                    <w:t>卵石层可起到吸热、散热作用</w:t>
                  </w:r>
                  <w:r>
                    <w:rPr>
                      <w:spacing w:val="-11"/>
                    </w:rPr>
                    <w:t>），</w:t>
                  </w:r>
                  <w:r>
                    <w:rPr>
                      <w:spacing w:val="-3"/>
                    </w:rPr>
                    <w:t>并经事故排油管自流进入</w:t>
                  </w:r>
                  <w:r>
                    <w:rPr>
                      <w:spacing w:val="-31"/>
                    </w:rPr>
                    <w:t xml:space="preserve"> </w:t>
                  </w:r>
                  <w:r>
                    <w:rPr>
                      <w:rFonts w:ascii="Times New Roman" w:hAnsi="Times New Roman" w:eastAsia="Times New Roman" w:cs="Times New Roman"/>
                      <w:spacing w:val="-3"/>
                    </w:rPr>
                    <w:t>100%</w:t>
                  </w:r>
                  <w:r>
                    <w:rPr>
                      <w:spacing w:val="-3"/>
                    </w:rPr>
                    <w:t>事故油池收集后，委托有</w:t>
                  </w:r>
                  <w:r>
                    <w:t xml:space="preserve"> </w:t>
                  </w:r>
                  <w:r>
                    <w:rPr>
                      <w:spacing w:val="-1"/>
                    </w:rPr>
                    <w:t>相应处置资质的单位处置。</w:t>
                  </w:r>
                </w:p>
                <w:p w14:paraId="79316902">
                  <w:pPr>
                    <w:pStyle w:val="6"/>
                    <w:spacing w:before="32" w:line="217" w:lineRule="auto"/>
                    <w:ind w:left="619"/>
                  </w:pPr>
                  <w:r>
                    <w:rPr>
                      <w:b/>
                      <w:bCs/>
                      <w:spacing w:val="7"/>
                    </w:rPr>
                    <w:t>②废铅蓄电池</w:t>
                  </w:r>
                </w:p>
                <w:p w14:paraId="5E7B34EA">
                  <w:pPr>
                    <w:pStyle w:val="6"/>
                    <w:spacing w:before="184" w:line="355" w:lineRule="auto"/>
                    <w:ind w:left="115" w:firstLine="482"/>
                    <w:jc w:val="both"/>
                  </w:pPr>
                  <w:r>
                    <w:rPr>
                      <w:spacing w:val="-6"/>
                    </w:rPr>
                    <w:t>项目内需要使用铅蓄电池作业应急照明，项目采用免维护铅蓄电池作为系统后备电源，</w:t>
                  </w:r>
                  <w:r>
                    <w:rPr>
                      <w:spacing w:val="18"/>
                    </w:rPr>
                    <w:t xml:space="preserve"> </w:t>
                  </w:r>
                  <w:r>
                    <w:rPr>
                      <w:spacing w:val="-1"/>
                    </w:rPr>
                    <w:t>每</w:t>
                  </w:r>
                  <w:r>
                    <w:rPr>
                      <w:spacing w:val="-47"/>
                    </w:rPr>
                    <w:t xml:space="preserve"> </w:t>
                  </w:r>
                  <w:r>
                    <w:rPr>
                      <w:rFonts w:ascii="Times New Roman" w:hAnsi="Times New Roman" w:eastAsia="Times New Roman" w:cs="Times New Roman"/>
                      <w:spacing w:val="-1"/>
                    </w:rPr>
                    <w:t xml:space="preserve">6-8 </w:t>
                  </w:r>
                  <w:r>
                    <w:rPr>
                      <w:spacing w:val="-1"/>
                    </w:rPr>
                    <w:t>年更换一次。拟建升压站内拟配置</w:t>
                  </w:r>
                  <w:r>
                    <w:rPr>
                      <w:spacing w:val="-51"/>
                    </w:rPr>
                    <w:t xml:space="preserve"> </w:t>
                  </w:r>
                  <w:r>
                    <w:rPr>
                      <w:rFonts w:ascii="Times New Roman" w:hAnsi="Times New Roman" w:eastAsia="Times New Roman" w:cs="Times New Roman"/>
                      <w:spacing w:val="-1"/>
                    </w:rPr>
                    <w:t xml:space="preserve">2 </w:t>
                  </w:r>
                  <w:r>
                    <w:rPr>
                      <w:spacing w:val="-1"/>
                    </w:rPr>
                    <w:t>组</w:t>
                  </w:r>
                  <w:r>
                    <w:rPr>
                      <w:spacing w:val="-2"/>
                    </w:rPr>
                    <w:t>铅蓄电池，每组铅蓄电池</w:t>
                  </w:r>
                  <w:r>
                    <w:rPr>
                      <w:spacing w:val="-32"/>
                    </w:rPr>
                    <w:t xml:space="preserve"> </w:t>
                  </w:r>
                  <w:r>
                    <w:rPr>
                      <w:rFonts w:ascii="Times New Roman" w:hAnsi="Times New Roman" w:eastAsia="Times New Roman" w:cs="Times New Roman"/>
                      <w:spacing w:val="-2"/>
                    </w:rPr>
                    <w:t>104</w:t>
                  </w:r>
                  <w:r>
                    <w:rPr>
                      <w:rFonts w:ascii="Times New Roman" w:hAnsi="Times New Roman" w:eastAsia="Times New Roman" w:cs="Times New Roman"/>
                      <w:spacing w:val="25"/>
                    </w:rPr>
                    <w:t xml:space="preserve"> </w:t>
                  </w:r>
                  <w:r>
                    <w:rPr>
                      <w:spacing w:val="-2"/>
                    </w:rPr>
                    <w:t>只，每个铅蓄</w:t>
                  </w:r>
                  <w:r>
                    <w:t xml:space="preserve"> </w:t>
                  </w:r>
                  <w:r>
                    <w:rPr>
                      <w:spacing w:val="-8"/>
                    </w:rPr>
                    <w:t>电池重量约为</w:t>
                  </w:r>
                  <w:r>
                    <w:rPr>
                      <w:spacing w:val="-20"/>
                    </w:rPr>
                    <w:t xml:space="preserve"> </w:t>
                  </w:r>
                  <w:r>
                    <w:rPr>
                      <w:rFonts w:ascii="Times New Roman" w:hAnsi="Times New Roman" w:eastAsia="Times New Roman" w:cs="Times New Roman"/>
                      <w:spacing w:val="-8"/>
                    </w:rPr>
                    <w:t>17.5kg</w:t>
                  </w:r>
                  <w:r>
                    <w:rPr>
                      <w:spacing w:val="-8"/>
                    </w:rPr>
                    <w:t>，则每次更换产生废铅蓄电池</w:t>
                  </w:r>
                  <w:r>
                    <w:rPr>
                      <w:spacing w:val="-51"/>
                    </w:rPr>
                    <w:t xml:space="preserve"> </w:t>
                  </w:r>
                  <w:r>
                    <w:rPr>
                      <w:rFonts w:ascii="Times New Roman" w:hAnsi="Times New Roman" w:eastAsia="Times New Roman" w:cs="Times New Roman"/>
                      <w:spacing w:val="-8"/>
                    </w:rPr>
                    <w:t>3.64t</w:t>
                  </w:r>
                  <w:r>
                    <w:rPr>
                      <w:spacing w:val="-8"/>
                    </w:rPr>
                    <w:t>。根据《国家危险废物名录》（</w:t>
                  </w:r>
                  <w:r>
                    <w:rPr>
                      <w:rFonts w:ascii="Times New Roman" w:hAnsi="Times New Roman" w:eastAsia="Times New Roman" w:cs="Times New Roman"/>
                      <w:spacing w:val="-8"/>
                    </w:rPr>
                    <w:t>2021</w:t>
                  </w:r>
                  <w:r>
                    <w:rPr>
                      <w:rFonts w:ascii="Times New Roman" w:hAnsi="Times New Roman" w:eastAsia="Times New Roman" w:cs="Times New Roman"/>
                    </w:rPr>
                    <w:t xml:space="preserve">  </w:t>
                  </w:r>
                  <w:r>
                    <w:rPr>
                      <w:spacing w:val="11"/>
                    </w:rPr>
                    <w:t>版）</w:t>
                  </w:r>
                  <w:r>
                    <w:rPr>
                      <w:spacing w:val="-60"/>
                    </w:rPr>
                    <w:t xml:space="preserve"> </w:t>
                  </w:r>
                  <w:r>
                    <w:rPr>
                      <w:spacing w:val="11"/>
                    </w:rPr>
                    <w:t>进行判别</w:t>
                  </w:r>
                  <w:r>
                    <w:rPr>
                      <w:spacing w:val="-69"/>
                    </w:rPr>
                    <w:t xml:space="preserve"> </w:t>
                  </w:r>
                  <w:r>
                    <w:rPr>
                      <w:spacing w:val="11"/>
                    </w:rPr>
                    <w:t>，废铅蓄电池为危险废物</w:t>
                  </w:r>
                  <w:r>
                    <w:rPr>
                      <w:spacing w:val="-70"/>
                    </w:rPr>
                    <w:t xml:space="preserve"> </w:t>
                  </w:r>
                  <w:r>
                    <w:rPr>
                      <w:spacing w:val="11"/>
                    </w:rPr>
                    <w:t>，废物类别为</w:t>
                  </w:r>
                  <w:r>
                    <w:rPr>
                      <w:spacing w:val="-35"/>
                    </w:rPr>
                    <w:t xml:space="preserve"> </w:t>
                  </w:r>
                  <w:r>
                    <w:rPr>
                      <w:rFonts w:ascii="Times New Roman" w:hAnsi="Times New Roman" w:eastAsia="Times New Roman" w:cs="Times New Roman"/>
                    </w:rPr>
                    <w:t>HW</w:t>
                  </w:r>
                  <w:r>
                    <w:rPr>
                      <w:rFonts w:ascii="Times New Roman" w:hAnsi="Times New Roman" w:eastAsia="Times New Roman" w:cs="Times New Roman"/>
                      <w:spacing w:val="11"/>
                    </w:rPr>
                    <w:t>31</w:t>
                  </w:r>
                  <w:r>
                    <w:rPr>
                      <w:rFonts w:ascii="Times New Roman" w:hAnsi="Times New Roman" w:eastAsia="Times New Roman" w:cs="Times New Roman"/>
                      <w:spacing w:val="31"/>
                    </w:rPr>
                    <w:t xml:space="preserve"> </w:t>
                  </w:r>
                  <w:r>
                    <w:rPr>
                      <w:spacing w:val="11"/>
                    </w:rPr>
                    <w:t>含铅废物</w:t>
                  </w:r>
                  <w:r>
                    <w:rPr>
                      <w:spacing w:val="-70"/>
                    </w:rPr>
                    <w:t xml:space="preserve"> </w:t>
                  </w:r>
                  <w:r>
                    <w:rPr>
                      <w:spacing w:val="11"/>
                    </w:rPr>
                    <w:t>，废物代码为</w:t>
                  </w:r>
                  <w:r>
                    <w:t xml:space="preserve"> </w:t>
                  </w:r>
                  <w:r>
                    <w:rPr>
                      <w:rFonts w:ascii="Times New Roman" w:hAnsi="Times New Roman" w:eastAsia="Times New Roman" w:cs="Times New Roman"/>
                      <w:spacing w:val="-4"/>
                    </w:rPr>
                    <w:t>900-052-31</w:t>
                  </w:r>
                  <w:r>
                    <w:rPr>
                      <w:spacing w:val="-4"/>
                    </w:rPr>
                    <w:t>。项目废铅蓄电池集中收集于升压站危废贮存库，委托有相应</w:t>
                  </w:r>
                  <w:r>
                    <w:rPr>
                      <w:spacing w:val="-5"/>
                    </w:rPr>
                    <w:t>处置资质的单位处</w:t>
                  </w:r>
                  <w:r>
                    <w:t xml:space="preserve"> </w:t>
                  </w:r>
                  <w:r>
                    <w:rPr>
                      <w:spacing w:val="-5"/>
                    </w:rPr>
                    <w:t>置。</w:t>
                  </w:r>
                </w:p>
                <w:p w14:paraId="01043885">
                  <w:pPr>
                    <w:pStyle w:val="6"/>
                    <w:spacing w:before="28" w:line="218" w:lineRule="auto"/>
                    <w:ind w:left="3234"/>
                    <w:rPr>
                      <w:sz w:val="20"/>
                      <w:szCs w:val="20"/>
                    </w:rPr>
                  </w:pPr>
                  <w:r>
                    <w:rPr>
                      <w:b/>
                      <w:bCs/>
                      <w:spacing w:val="5"/>
                      <w:sz w:val="20"/>
                      <w:szCs w:val="20"/>
                    </w:rPr>
                    <w:t>表</w:t>
                  </w:r>
                  <w:r>
                    <w:rPr>
                      <w:spacing w:val="-27"/>
                      <w:sz w:val="20"/>
                      <w:szCs w:val="20"/>
                    </w:rPr>
                    <w:t xml:space="preserve"> </w:t>
                  </w:r>
                  <w:r>
                    <w:rPr>
                      <w:rFonts w:ascii="Times New Roman" w:hAnsi="Times New Roman" w:eastAsia="Times New Roman" w:cs="Times New Roman"/>
                      <w:b/>
                      <w:bCs/>
                      <w:spacing w:val="5"/>
                      <w:sz w:val="20"/>
                      <w:szCs w:val="20"/>
                    </w:rPr>
                    <w:t>4-13</w:t>
                  </w:r>
                  <w:r>
                    <w:rPr>
                      <w:rFonts w:ascii="Times New Roman" w:hAnsi="Times New Roman" w:eastAsia="Times New Roman" w:cs="Times New Roman"/>
                      <w:b/>
                      <w:bCs/>
                      <w:sz w:val="20"/>
                      <w:szCs w:val="20"/>
                    </w:rPr>
                    <w:t xml:space="preserve">    </w:t>
                  </w:r>
                  <w:r>
                    <w:rPr>
                      <w:b/>
                      <w:bCs/>
                      <w:spacing w:val="5"/>
                      <w:sz w:val="20"/>
                      <w:szCs w:val="20"/>
                    </w:rPr>
                    <w:t>项目固废产生及处置情况</w:t>
                  </w:r>
                </w:p>
              </w:tc>
            </w:tr>
            <w:tr w14:paraId="28C46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653" w:type="dxa"/>
                  <w:vAlign w:val="top"/>
                </w:tcPr>
                <w:p w14:paraId="07C34249">
                  <w:pPr>
                    <w:pStyle w:val="6"/>
                    <w:spacing w:before="240" w:line="229" w:lineRule="auto"/>
                    <w:ind w:left="177"/>
                    <w:rPr>
                      <w:sz w:val="20"/>
                      <w:szCs w:val="20"/>
                    </w:rPr>
                  </w:pPr>
                  <w:r>
                    <w:rPr>
                      <w:b/>
                      <w:bCs/>
                      <w:spacing w:val="4"/>
                      <w:sz w:val="20"/>
                      <w:szCs w:val="20"/>
                    </w:rPr>
                    <w:t>序号</w:t>
                  </w:r>
                </w:p>
              </w:tc>
              <w:tc>
                <w:tcPr>
                  <w:tcW w:w="1118" w:type="dxa"/>
                  <w:vAlign w:val="top"/>
                </w:tcPr>
                <w:p w14:paraId="614CD14C">
                  <w:pPr>
                    <w:pStyle w:val="6"/>
                    <w:spacing w:before="240" w:line="228" w:lineRule="auto"/>
                    <w:ind w:left="159"/>
                    <w:rPr>
                      <w:sz w:val="20"/>
                      <w:szCs w:val="20"/>
                    </w:rPr>
                  </w:pPr>
                  <w:r>
                    <w:rPr>
                      <w:b/>
                      <w:bCs/>
                      <w:spacing w:val="2"/>
                      <w:sz w:val="20"/>
                      <w:szCs w:val="20"/>
                    </w:rPr>
                    <w:t>固废名称</w:t>
                  </w:r>
                </w:p>
              </w:tc>
              <w:tc>
                <w:tcPr>
                  <w:tcW w:w="1063" w:type="dxa"/>
                  <w:vAlign w:val="top"/>
                </w:tcPr>
                <w:p w14:paraId="214A4DDE">
                  <w:pPr>
                    <w:pStyle w:val="6"/>
                    <w:spacing w:before="240" w:line="229" w:lineRule="auto"/>
                    <w:ind w:left="326"/>
                    <w:rPr>
                      <w:sz w:val="20"/>
                      <w:szCs w:val="20"/>
                    </w:rPr>
                  </w:pPr>
                  <w:r>
                    <w:rPr>
                      <w:b/>
                      <w:bCs/>
                      <w:spacing w:val="3"/>
                      <w:sz w:val="20"/>
                      <w:szCs w:val="20"/>
                    </w:rPr>
                    <w:t>属性</w:t>
                  </w:r>
                </w:p>
              </w:tc>
              <w:tc>
                <w:tcPr>
                  <w:tcW w:w="1313" w:type="dxa"/>
                  <w:vAlign w:val="top"/>
                </w:tcPr>
                <w:p w14:paraId="07398708">
                  <w:pPr>
                    <w:pStyle w:val="6"/>
                    <w:spacing w:before="239" w:line="228" w:lineRule="auto"/>
                    <w:ind w:left="240"/>
                    <w:rPr>
                      <w:sz w:val="20"/>
                      <w:szCs w:val="20"/>
                    </w:rPr>
                  </w:pPr>
                  <w:r>
                    <w:rPr>
                      <w:b/>
                      <w:bCs/>
                      <w:spacing w:val="6"/>
                      <w:sz w:val="20"/>
                      <w:szCs w:val="20"/>
                    </w:rPr>
                    <w:t>产生工序</w:t>
                  </w:r>
                </w:p>
              </w:tc>
              <w:tc>
                <w:tcPr>
                  <w:tcW w:w="784" w:type="dxa"/>
                  <w:vAlign w:val="top"/>
                </w:tcPr>
                <w:p w14:paraId="7471963E">
                  <w:pPr>
                    <w:pStyle w:val="6"/>
                    <w:spacing w:before="240" w:line="230" w:lineRule="auto"/>
                    <w:ind w:left="190"/>
                    <w:rPr>
                      <w:sz w:val="20"/>
                      <w:szCs w:val="20"/>
                    </w:rPr>
                  </w:pPr>
                  <w:r>
                    <w:rPr>
                      <w:b/>
                      <w:bCs/>
                      <w:spacing w:val="2"/>
                      <w:sz w:val="20"/>
                      <w:szCs w:val="20"/>
                    </w:rPr>
                    <w:t>形态</w:t>
                  </w:r>
                </w:p>
              </w:tc>
              <w:tc>
                <w:tcPr>
                  <w:tcW w:w="1300" w:type="dxa"/>
                  <w:vAlign w:val="top"/>
                </w:tcPr>
                <w:p w14:paraId="082D96F5">
                  <w:pPr>
                    <w:pStyle w:val="6"/>
                    <w:spacing w:before="240" w:line="228" w:lineRule="auto"/>
                    <w:ind w:left="238"/>
                    <w:rPr>
                      <w:sz w:val="20"/>
                      <w:szCs w:val="20"/>
                    </w:rPr>
                  </w:pPr>
                  <w:r>
                    <w:rPr>
                      <w:b/>
                      <w:bCs/>
                      <w:spacing w:val="6"/>
                      <w:sz w:val="20"/>
                      <w:szCs w:val="20"/>
                    </w:rPr>
                    <w:t>主要成分</w:t>
                  </w:r>
                </w:p>
              </w:tc>
              <w:tc>
                <w:tcPr>
                  <w:tcW w:w="904" w:type="dxa"/>
                  <w:vAlign w:val="top"/>
                </w:tcPr>
                <w:p w14:paraId="6955FC3B">
                  <w:pPr>
                    <w:pStyle w:val="6"/>
                    <w:spacing w:before="80" w:line="263" w:lineRule="auto"/>
                    <w:ind w:left="352" w:right="26" w:hanging="314"/>
                    <w:rPr>
                      <w:sz w:val="20"/>
                      <w:szCs w:val="20"/>
                    </w:rPr>
                  </w:pPr>
                  <w:r>
                    <w:rPr>
                      <w:b/>
                      <w:bCs/>
                      <w:spacing w:val="6"/>
                      <w:sz w:val="20"/>
                      <w:szCs w:val="20"/>
                    </w:rPr>
                    <w:t>估算产生</w:t>
                  </w:r>
                  <w:r>
                    <w:rPr>
                      <w:spacing w:val="1"/>
                      <w:sz w:val="20"/>
                      <w:szCs w:val="20"/>
                    </w:rPr>
                    <w:t xml:space="preserve"> </w:t>
                  </w:r>
                  <w:r>
                    <w:rPr>
                      <w:b/>
                      <w:bCs/>
                      <w:spacing w:val="-2"/>
                      <w:sz w:val="20"/>
                      <w:szCs w:val="20"/>
                    </w:rPr>
                    <w:t>量</w:t>
                  </w:r>
                </w:p>
              </w:tc>
              <w:tc>
                <w:tcPr>
                  <w:tcW w:w="2377" w:type="dxa"/>
                  <w:vAlign w:val="top"/>
                </w:tcPr>
                <w:p w14:paraId="6108A9FB">
                  <w:pPr>
                    <w:pStyle w:val="6"/>
                    <w:spacing w:before="240" w:line="229" w:lineRule="auto"/>
                    <w:ind w:left="777"/>
                    <w:rPr>
                      <w:sz w:val="20"/>
                      <w:szCs w:val="20"/>
                    </w:rPr>
                  </w:pPr>
                  <w:r>
                    <w:rPr>
                      <w:b/>
                      <w:bCs/>
                      <w:spacing w:val="5"/>
                      <w:sz w:val="20"/>
                      <w:szCs w:val="20"/>
                    </w:rPr>
                    <w:t>处置方式</w:t>
                  </w:r>
                </w:p>
              </w:tc>
            </w:tr>
            <w:tr w14:paraId="2351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653" w:type="dxa"/>
                  <w:vAlign w:val="top"/>
                </w:tcPr>
                <w:p w14:paraId="35DE428A">
                  <w:pPr>
                    <w:spacing w:line="383" w:lineRule="auto"/>
                    <w:rPr>
                      <w:rFonts w:ascii="Arial"/>
                      <w:sz w:val="21"/>
                    </w:rPr>
                  </w:pPr>
                </w:p>
                <w:p w14:paraId="1262B751">
                  <w:pPr>
                    <w:spacing w:before="58"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8" w:type="dxa"/>
                  <w:vAlign w:val="top"/>
                </w:tcPr>
                <w:p w14:paraId="6A078EA7">
                  <w:pPr>
                    <w:spacing w:line="331" w:lineRule="auto"/>
                    <w:rPr>
                      <w:rFonts w:ascii="Arial"/>
                      <w:sz w:val="21"/>
                    </w:rPr>
                  </w:pPr>
                </w:p>
                <w:p w14:paraId="6B546247">
                  <w:pPr>
                    <w:pStyle w:val="6"/>
                    <w:spacing w:before="65" w:line="227" w:lineRule="auto"/>
                    <w:ind w:left="141"/>
                    <w:rPr>
                      <w:sz w:val="20"/>
                      <w:szCs w:val="20"/>
                    </w:rPr>
                  </w:pPr>
                  <w:r>
                    <w:rPr>
                      <w:spacing w:val="7"/>
                      <w:sz w:val="20"/>
                      <w:szCs w:val="20"/>
                    </w:rPr>
                    <w:t>废电池板</w:t>
                  </w:r>
                </w:p>
              </w:tc>
              <w:tc>
                <w:tcPr>
                  <w:tcW w:w="1063" w:type="dxa"/>
                  <w:vAlign w:val="top"/>
                </w:tcPr>
                <w:p w14:paraId="75664363">
                  <w:pPr>
                    <w:spacing w:line="331" w:lineRule="auto"/>
                    <w:rPr>
                      <w:rFonts w:ascii="Arial"/>
                      <w:sz w:val="21"/>
                    </w:rPr>
                  </w:pPr>
                </w:p>
                <w:p w14:paraId="0BF76EE9">
                  <w:pPr>
                    <w:pStyle w:val="6"/>
                    <w:spacing w:before="65" w:line="228" w:lineRule="auto"/>
                    <w:ind w:left="119"/>
                    <w:rPr>
                      <w:sz w:val="20"/>
                      <w:szCs w:val="20"/>
                    </w:rPr>
                  </w:pPr>
                  <w:r>
                    <w:rPr>
                      <w:spacing w:val="6"/>
                      <w:sz w:val="20"/>
                      <w:szCs w:val="20"/>
                    </w:rPr>
                    <w:t>一般固废</w:t>
                  </w:r>
                </w:p>
              </w:tc>
              <w:tc>
                <w:tcPr>
                  <w:tcW w:w="1313" w:type="dxa"/>
                  <w:vAlign w:val="top"/>
                </w:tcPr>
                <w:p w14:paraId="111C44AB">
                  <w:pPr>
                    <w:spacing w:line="331" w:lineRule="auto"/>
                    <w:rPr>
                      <w:rFonts w:ascii="Arial"/>
                      <w:sz w:val="21"/>
                    </w:rPr>
                  </w:pPr>
                </w:p>
                <w:p w14:paraId="24A934D1">
                  <w:pPr>
                    <w:pStyle w:val="6"/>
                    <w:spacing w:before="65" w:line="227" w:lineRule="auto"/>
                    <w:ind w:left="245"/>
                    <w:rPr>
                      <w:sz w:val="20"/>
                      <w:szCs w:val="20"/>
                    </w:rPr>
                  </w:pPr>
                  <w:r>
                    <w:rPr>
                      <w:spacing w:val="6"/>
                      <w:sz w:val="20"/>
                      <w:szCs w:val="20"/>
                    </w:rPr>
                    <w:t>光伏组件</w:t>
                  </w:r>
                </w:p>
              </w:tc>
              <w:tc>
                <w:tcPr>
                  <w:tcW w:w="784" w:type="dxa"/>
                  <w:vAlign w:val="top"/>
                </w:tcPr>
                <w:p w14:paraId="7D24DFBC">
                  <w:pPr>
                    <w:spacing w:line="331" w:lineRule="auto"/>
                    <w:rPr>
                      <w:rFonts w:ascii="Arial"/>
                      <w:sz w:val="21"/>
                    </w:rPr>
                  </w:pPr>
                </w:p>
                <w:p w14:paraId="3C2D2021">
                  <w:pPr>
                    <w:pStyle w:val="6"/>
                    <w:spacing w:before="65" w:line="228" w:lineRule="auto"/>
                    <w:ind w:left="205"/>
                    <w:rPr>
                      <w:sz w:val="20"/>
                      <w:szCs w:val="20"/>
                    </w:rPr>
                  </w:pPr>
                  <w:r>
                    <w:rPr>
                      <w:spacing w:val="-5"/>
                      <w:sz w:val="20"/>
                      <w:szCs w:val="20"/>
                    </w:rPr>
                    <w:t>固态</w:t>
                  </w:r>
                </w:p>
              </w:tc>
              <w:tc>
                <w:tcPr>
                  <w:tcW w:w="1300" w:type="dxa"/>
                  <w:vAlign w:val="top"/>
                </w:tcPr>
                <w:p w14:paraId="705FB1B5">
                  <w:pPr>
                    <w:pStyle w:val="6"/>
                    <w:spacing w:before="78" w:line="228" w:lineRule="auto"/>
                    <w:ind w:left="28"/>
                    <w:rPr>
                      <w:sz w:val="20"/>
                      <w:szCs w:val="20"/>
                    </w:rPr>
                  </w:pPr>
                  <w:r>
                    <w:rPr>
                      <w:spacing w:val="6"/>
                      <w:sz w:val="20"/>
                      <w:szCs w:val="20"/>
                    </w:rPr>
                    <w:t>铝合金边框、</w:t>
                  </w:r>
                </w:p>
                <w:p w14:paraId="2F0624C2">
                  <w:pPr>
                    <w:pStyle w:val="6"/>
                    <w:spacing w:before="73" w:line="263" w:lineRule="auto"/>
                    <w:ind w:left="215" w:right="157" w:hanging="86"/>
                    <w:rPr>
                      <w:sz w:val="20"/>
                      <w:szCs w:val="20"/>
                    </w:rPr>
                  </w:pPr>
                  <w:r>
                    <w:rPr>
                      <w:spacing w:val="1"/>
                      <w:sz w:val="20"/>
                      <w:szCs w:val="20"/>
                    </w:rPr>
                    <w:t xml:space="preserve">钢化玻璃、 </w:t>
                  </w:r>
                  <w:r>
                    <w:rPr>
                      <w:rFonts w:ascii="Times New Roman" w:hAnsi="Times New Roman" w:eastAsia="Times New Roman" w:cs="Times New Roman"/>
                      <w:sz w:val="20"/>
                      <w:szCs w:val="20"/>
                    </w:rPr>
                    <w:t>EVA</w:t>
                  </w:r>
                  <w:r>
                    <w:rPr>
                      <w:rFonts w:ascii="Times New Roman" w:hAnsi="Times New Roman" w:eastAsia="Times New Roman" w:cs="Times New Roman"/>
                      <w:spacing w:val="8"/>
                      <w:sz w:val="20"/>
                      <w:szCs w:val="20"/>
                    </w:rPr>
                    <w:t xml:space="preserve"> </w:t>
                  </w:r>
                  <w:r>
                    <w:rPr>
                      <w:sz w:val="20"/>
                      <w:szCs w:val="20"/>
                    </w:rPr>
                    <w:t>膜等</w:t>
                  </w:r>
                </w:p>
              </w:tc>
              <w:tc>
                <w:tcPr>
                  <w:tcW w:w="904" w:type="dxa"/>
                  <w:vAlign w:val="top"/>
                </w:tcPr>
                <w:p w14:paraId="09473569">
                  <w:pPr>
                    <w:spacing w:line="380" w:lineRule="auto"/>
                    <w:rPr>
                      <w:rFonts w:ascii="Arial"/>
                      <w:sz w:val="21"/>
                    </w:rPr>
                  </w:pPr>
                </w:p>
                <w:p w14:paraId="6C175D07">
                  <w:pPr>
                    <w:spacing w:before="57" w:line="199"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11t/a</w:t>
                  </w:r>
                </w:p>
              </w:tc>
              <w:tc>
                <w:tcPr>
                  <w:tcW w:w="2377" w:type="dxa"/>
                  <w:vMerge w:val="restart"/>
                  <w:tcBorders>
                    <w:bottom w:val="nil"/>
                  </w:tcBorders>
                  <w:vAlign w:val="top"/>
                </w:tcPr>
                <w:p w14:paraId="073BB8CB">
                  <w:pPr>
                    <w:pStyle w:val="6"/>
                    <w:spacing w:before="251" w:line="280" w:lineRule="auto"/>
                    <w:ind w:left="38" w:right="32" w:firstLine="7"/>
                    <w:rPr>
                      <w:sz w:val="20"/>
                      <w:szCs w:val="20"/>
                    </w:rPr>
                  </w:pPr>
                  <w:r>
                    <w:rPr>
                      <w:spacing w:val="8"/>
                      <w:sz w:val="20"/>
                      <w:szCs w:val="20"/>
                    </w:rPr>
                    <w:t>暂存于一般固废暂存间，</w:t>
                  </w:r>
                  <w:r>
                    <w:rPr>
                      <w:spacing w:val="5"/>
                      <w:sz w:val="20"/>
                      <w:szCs w:val="20"/>
                    </w:rPr>
                    <w:t xml:space="preserve"> </w:t>
                  </w:r>
                  <w:r>
                    <w:rPr>
                      <w:spacing w:val="9"/>
                      <w:sz w:val="20"/>
                      <w:szCs w:val="20"/>
                    </w:rPr>
                    <w:t>及时委托专业的回收厂家</w:t>
                  </w:r>
                </w:p>
                <w:p w14:paraId="20FD8ECA">
                  <w:pPr>
                    <w:pStyle w:val="6"/>
                    <w:spacing w:before="31" w:line="228" w:lineRule="auto"/>
                    <w:ind w:left="572"/>
                    <w:rPr>
                      <w:sz w:val="20"/>
                      <w:szCs w:val="20"/>
                    </w:rPr>
                  </w:pPr>
                  <w:r>
                    <w:rPr>
                      <w:spacing w:val="7"/>
                      <w:sz w:val="20"/>
                      <w:szCs w:val="20"/>
                    </w:rPr>
                    <w:t>收购回收处理</w:t>
                  </w:r>
                </w:p>
              </w:tc>
            </w:tr>
            <w:tr w14:paraId="7F3DE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53" w:type="dxa"/>
                  <w:tcBorders>
                    <w:bottom w:val="nil"/>
                  </w:tcBorders>
                  <w:vAlign w:val="top"/>
                </w:tcPr>
                <w:p w14:paraId="54B0C645">
                  <w:pPr>
                    <w:spacing w:before="124"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18" w:type="dxa"/>
                  <w:tcBorders>
                    <w:bottom w:val="nil"/>
                  </w:tcBorders>
                  <w:vAlign w:val="top"/>
                </w:tcPr>
                <w:p w14:paraId="5486C71F">
                  <w:pPr>
                    <w:pStyle w:val="6"/>
                    <w:spacing w:before="78" w:line="228" w:lineRule="auto"/>
                    <w:ind w:left="37"/>
                    <w:rPr>
                      <w:sz w:val="20"/>
                      <w:szCs w:val="20"/>
                    </w:rPr>
                  </w:pPr>
                  <w:r>
                    <w:rPr>
                      <w:spacing w:val="7"/>
                      <w:sz w:val="20"/>
                      <w:szCs w:val="20"/>
                    </w:rPr>
                    <w:t>废电气元件</w:t>
                  </w:r>
                </w:p>
              </w:tc>
              <w:tc>
                <w:tcPr>
                  <w:tcW w:w="1063" w:type="dxa"/>
                  <w:tcBorders>
                    <w:bottom w:val="nil"/>
                  </w:tcBorders>
                  <w:vAlign w:val="top"/>
                </w:tcPr>
                <w:p w14:paraId="544D9C4D">
                  <w:pPr>
                    <w:pStyle w:val="6"/>
                    <w:spacing w:before="79" w:line="228" w:lineRule="auto"/>
                    <w:ind w:left="119"/>
                    <w:rPr>
                      <w:sz w:val="20"/>
                      <w:szCs w:val="20"/>
                    </w:rPr>
                  </w:pPr>
                  <w:r>
                    <w:rPr>
                      <w:spacing w:val="6"/>
                      <w:sz w:val="20"/>
                      <w:szCs w:val="20"/>
                    </w:rPr>
                    <w:t>一般固废</w:t>
                  </w:r>
                </w:p>
              </w:tc>
              <w:tc>
                <w:tcPr>
                  <w:tcW w:w="1313" w:type="dxa"/>
                  <w:tcBorders>
                    <w:bottom w:val="nil"/>
                  </w:tcBorders>
                  <w:vAlign w:val="top"/>
                </w:tcPr>
                <w:p w14:paraId="183FE92B">
                  <w:pPr>
                    <w:pStyle w:val="6"/>
                    <w:spacing w:before="79" w:line="228" w:lineRule="auto"/>
                    <w:ind w:left="31"/>
                    <w:rPr>
                      <w:sz w:val="20"/>
                      <w:szCs w:val="20"/>
                    </w:rPr>
                  </w:pPr>
                  <w:r>
                    <w:rPr>
                      <w:spacing w:val="8"/>
                      <w:sz w:val="20"/>
                      <w:szCs w:val="20"/>
                    </w:rPr>
                    <w:t>逆变器、箱变</w:t>
                  </w:r>
                </w:p>
              </w:tc>
              <w:tc>
                <w:tcPr>
                  <w:tcW w:w="784" w:type="dxa"/>
                  <w:tcBorders>
                    <w:bottom w:val="nil"/>
                  </w:tcBorders>
                  <w:vAlign w:val="top"/>
                </w:tcPr>
                <w:p w14:paraId="346CF126">
                  <w:pPr>
                    <w:pStyle w:val="6"/>
                    <w:spacing w:before="79" w:line="228" w:lineRule="auto"/>
                    <w:ind w:left="205"/>
                    <w:rPr>
                      <w:sz w:val="20"/>
                      <w:szCs w:val="20"/>
                    </w:rPr>
                  </w:pPr>
                  <w:r>
                    <w:rPr>
                      <w:spacing w:val="-5"/>
                      <w:sz w:val="20"/>
                      <w:szCs w:val="20"/>
                    </w:rPr>
                    <w:t>固态</w:t>
                  </w:r>
                </w:p>
              </w:tc>
              <w:tc>
                <w:tcPr>
                  <w:tcW w:w="1300" w:type="dxa"/>
                  <w:tcBorders>
                    <w:bottom w:val="nil"/>
                  </w:tcBorders>
                  <w:vAlign w:val="top"/>
                </w:tcPr>
                <w:p w14:paraId="6FE6ADCF">
                  <w:pPr>
                    <w:pStyle w:val="6"/>
                    <w:spacing w:before="78" w:line="227" w:lineRule="auto"/>
                    <w:ind w:left="134"/>
                    <w:rPr>
                      <w:sz w:val="20"/>
                      <w:szCs w:val="20"/>
                    </w:rPr>
                  </w:pPr>
                  <w:r>
                    <w:rPr>
                      <w:spacing w:val="7"/>
                      <w:sz w:val="20"/>
                      <w:szCs w:val="20"/>
                    </w:rPr>
                    <w:t>不锈钢材料</w:t>
                  </w:r>
                </w:p>
              </w:tc>
              <w:tc>
                <w:tcPr>
                  <w:tcW w:w="904" w:type="dxa"/>
                  <w:tcBorders>
                    <w:bottom w:val="nil"/>
                  </w:tcBorders>
                  <w:vAlign w:val="top"/>
                </w:tcPr>
                <w:p w14:paraId="722CE9CF">
                  <w:pPr>
                    <w:spacing w:before="122" w:line="199"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0.7t/a</w:t>
                  </w:r>
                </w:p>
              </w:tc>
              <w:tc>
                <w:tcPr>
                  <w:tcW w:w="2377" w:type="dxa"/>
                  <w:vMerge w:val="continue"/>
                  <w:tcBorders>
                    <w:top w:val="nil"/>
                    <w:bottom w:val="nil"/>
                  </w:tcBorders>
                  <w:vAlign w:val="top"/>
                </w:tcPr>
                <w:p w14:paraId="6038780D">
                  <w:pPr>
                    <w:rPr>
                      <w:rFonts w:ascii="Arial"/>
                      <w:sz w:val="21"/>
                    </w:rPr>
                  </w:pPr>
                </w:p>
              </w:tc>
            </w:tr>
          </w:tbl>
          <w:p w14:paraId="63D3BECE">
            <w:pPr>
              <w:spacing w:line="14" w:lineRule="auto"/>
              <w:rPr>
                <w:rFonts w:ascii="Arial"/>
                <w:sz w:val="2"/>
              </w:rPr>
            </w:pPr>
          </w:p>
        </w:tc>
      </w:tr>
    </w:tbl>
    <w:p w14:paraId="043847A7">
      <w:pPr>
        <w:rPr>
          <w:rFonts w:ascii="Arial"/>
          <w:sz w:val="21"/>
        </w:rPr>
      </w:pPr>
    </w:p>
    <w:p w14:paraId="7F4A5522">
      <w:pPr>
        <w:rPr>
          <w:rFonts w:ascii="Arial" w:hAnsi="Arial" w:eastAsia="Arial" w:cs="Arial"/>
          <w:sz w:val="21"/>
          <w:szCs w:val="21"/>
        </w:rPr>
        <w:sectPr>
          <w:footerReference r:id="rId140" w:type="default"/>
          <w:pgSz w:w="11907" w:h="16840"/>
          <w:pgMar w:top="1431" w:right="907" w:bottom="1278" w:left="907" w:header="0" w:footer="1116" w:gutter="0"/>
          <w:cols w:space="720" w:num="1"/>
        </w:sectPr>
      </w:pPr>
    </w:p>
    <w:p w14:paraId="12DA22DF">
      <w:pPr>
        <w:spacing w:line="99" w:lineRule="exact"/>
      </w:pPr>
    </w:p>
    <w:tbl>
      <w:tblPr>
        <w:tblStyle w:val="5"/>
        <w:tblW w:w="10077"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0077"/>
      </w:tblGrid>
      <w:tr w14:paraId="574C7BFE">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715" w:hRule="atLeast"/>
        </w:trPr>
        <w:tc>
          <w:tcPr>
            <w:tcW w:w="10077" w:type="dxa"/>
            <w:vAlign w:val="top"/>
          </w:tcPr>
          <w:p w14:paraId="42006856">
            <w:pPr>
              <w:spacing w:line="96" w:lineRule="auto"/>
              <w:rPr>
                <w:rFonts w:ascii="Arial"/>
                <w:sz w:val="2"/>
              </w:rPr>
            </w:pPr>
            <w:r>
              <w:drawing>
                <wp:anchor distT="0" distB="0" distL="0" distR="0" simplePos="0" relativeHeight="251726848" behindDoc="0" locked="0" layoutInCell="1" allowOverlap="1">
                  <wp:simplePos x="0" y="0"/>
                  <wp:positionH relativeFrom="rightMargin">
                    <wp:posOffset>-6034405</wp:posOffset>
                  </wp:positionH>
                  <wp:positionV relativeFrom="topMargin">
                    <wp:posOffset>5782945</wp:posOffset>
                  </wp:positionV>
                  <wp:extent cx="6350" cy="292036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32"/>
                          <a:stretch>
                            <a:fillRect/>
                          </a:stretch>
                        </pic:blipFill>
                        <pic:spPr>
                          <a:xfrm>
                            <a:off x="0" y="0"/>
                            <a:ext cx="6350" cy="2920364"/>
                          </a:xfrm>
                          <a:prstGeom prst="rect">
                            <a:avLst/>
                          </a:prstGeom>
                        </pic:spPr>
                      </pic:pic>
                    </a:graphicData>
                  </a:graphic>
                </wp:anchor>
              </w:drawing>
            </w:r>
            <w:r>
              <w:pict>
                <v:shape id="_x0000_s1080" o:spid="_x0000_s1080" style="position:absolute;left:0pt;margin-left:28.35pt;margin-top:1pt;height:441.25pt;width:0.5pt;mso-position-horizontal-relative:page;mso-position-vertical-relative:page;z-index:251727872;mso-width-relative:page;mso-height-relative:page;" filled="f" stroked="t" coordsize="10,8825" path="m4,0l4,8824e">
                  <v:fill on="f" focussize="0,0"/>
                  <v:stroke weight="0.48pt" color="#000000" miterlimit="2" joinstyle="bevel"/>
                  <v:imagedata o:title=""/>
                  <o:lock v:ext="edit"/>
                </v:shape>
              </w:pict>
            </w:r>
          </w:p>
          <w:tbl>
            <w:tblPr>
              <w:tblStyle w:val="5"/>
              <w:tblW w:w="9514" w:type="dxa"/>
              <w:tblInd w:w="4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118"/>
              <w:gridCol w:w="384"/>
              <w:gridCol w:w="680"/>
              <w:gridCol w:w="1313"/>
              <w:gridCol w:w="588"/>
              <w:gridCol w:w="196"/>
              <w:gridCol w:w="1300"/>
              <w:gridCol w:w="903"/>
              <w:gridCol w:w="177"/>
              <w:gridCol w:w="2202"/>
            </w:tblGrid>
            <w:tr w14:paraId="725A3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53" w:type="dxa"/>
                  <w:tcBorders>
                    <w:top w:val="nil"/>
                  </w:tcBorders>
                  <w:vAlign w:val="top"/>
                </w:tcPr>
                <w:p w14:paraId="23CBB72C">
                  <w:pPr>
                    <w:rPr>
                      <w:rFonts w:ascii="Arial"/>
                      <w:sz w:val="21"/>
                    </w:rPr>
                  </w:pPr>
                </w:p>
              </w:tc>
              <w:tc>
                <w:tcPr>
                  <w:tcW w:w="1118" w:type="dxa"/>
                  <w:tcBorders>
                    <w:top w:val="nil"/>
                  </w:tcBorders>
                  <w:vAlign w:val="top"/>
                </w:tcPr>
                <w:p w14:paraId="31562992">
                  <w:pPr>
                    <w:rPr>
                      <w:rFonts w:ascii="Arial"/>
                      <w:sz w:val="21"/>
                    </w:rPr>
                  </w:pPr>
                </w:p>
              </w:tc>
              <w:tc>
                <w:tcPr>
                  <w:tcW w:w="1064" w:type="dxa"/>
                  <w:gridSpan w:val="2"/>
                  <w:tcBorders>
                    <w:top w:val="nil"/>
                  </w:tcBorders>
                  <w:vAlign w:val="top"/>
                </w:tcPr>
                <w:p w14:paraId="5C7C6C5A">
                  <w:pPr>
                    <w:rPr>
                      <w:rFonts w:ascii="Arial"/>
                      <w:sz w:val="21"/>
                    </w:rPr>
                  </w:pPr>
                </w:p>
              </w:tc>
              <w:tc>
                <w:tcPr>
                  <w:tcW w:w="1313" w:type="dxa"/>
                  <w:tcBorders>
                    <w:top w:val="nil"/>
                  </w:tcBorders>
                  <w:vAlign w:val="top"/>
                </w:tcPr>
                <w:p w14:paraId="350FF69E">
                  <w:pPr>
                    <w:pStyle w:val="6"/>
                    <w:spacing w:before="90" w:line="228" w:lineRule="auto"/>
                    <w:ind w:left="451"/>
                    <w:rPr>
                      <w:sz w:val="20"/>
                      <w:szCs w:val="20"/>
                    </w:rPr>
                  </w:pPr>
                  <w:r>
                    <w:rPr>
                      <w:spacing w:val="4"/>
                      <w:sz w:val="20"/>
                      <w:szCs w:val="20"/>
                    </w:rPr>
                    <w:t>检修</w:t>
                  </w:r>
                </w:p>
              </w:tc>
              <w:tc>
                <w:tcPr>
                  <w:tcW w:w="784" w:type="dxa"/>
                  <w:gridSpan w:val="2"/>
                  <w:tcBorders>
                    <w:top w:val="nil"/>
                  </w:tcBorders>
                  <w:vAlign w:val="top"/>
                </w:tcPr>
                <w:p w14:paraId="08FB3DA7">
                  <w:pPr>
                    <w:rPr>
                      <w:rFonts w:ascii="Arial"/>
                      <w:sz w:val="21"/>
                    </w:rPr>
                  </w:pPr>
                </w:p>
              </w:tc>
              <w:tc>
                <w:tcPr>
                  <w:tcW w:w="1300" w:type="dxa"/>
                  <w:tcBorders>
                    <w:top w:val="nil"/>
                  </w:tcBorders>
                  <w:vAlign w:val="top"/>
                </w:tcPr>
                <w:p w14:paraId="49F0A77D">
                  <w:pPr>
                    <w:rPr>
                      <w:rFonts w:ascii="Arial"/>
                      <w:sz w:val="21"/>
                    </w:rPr>
                  </w:pPr>
                </w:p>
              </w:tc>
              <w:tc>
                <w:tcPr>
                  <w:tcW w:w="903" w:type="dxa"/>
                  <w:tcBorders>
                    <w:top w:val="nil"/>
                  </w:tcBorders>
                  <w:vAlign w:val="top"/>
                </w:tcPr>
                <w:p w14:paraId="10048DD9">
                  <w:pPr>
                    <w:rPr>
                      <w:rFonts w:ascii="Arial"/>
                      <w:sz w:val="21"/>
                    </w:rPr>
                  </w:pPr>
                </w:p>
              </w:tc>
              <w:tc>
                <w:tcPr>
                  <w:tcW w:w="2379" w:type="dxa"/>
                  <w:gridSpan w:val="2"/>
                  <w:vMerge w:val="restart"/>
                  <w:tcBorders>
                    <w:top w:val="nil"/>
                    <w:bottom w:val="nil"/>
                  </w:tcBorders>
                  <w:vAlign w:val="top"/>
                </w:tcPr>
                <w:p w14:paraId="798111D2">
                  <w:pPr>
                    <w:rPr>
                      <w:rFonts w:ascii="Arial"/>
                      <w:sz w:val="21"/>
                    </w:rPr>
                  </w:pPr>
                </w:p>
              </w:tc>
            </w:tr>
            <w:tr w14:paraId="701A7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0" w:hRule="atLeast"/>
              </w:trPr>
              <w:tc>
                <w:tcPr>
                  <w:tcW w:w="653" w:type="dxa"/>
                  <w:vAlign w:val="top"/>
                </w:tcPr>
                <w:p w14:paraId="4C2A0BBE">
                  <w:pPr>
                    <w:spacing w:line="351" w:lineRule="auto"/>
                    <w:rPr>
                      <w:rFonts w:ascii="Arial"/>
                      <w:sz w:val="21"/>
                    </w:rPr>
                  </w:pPr>
                </w:p>
                <w:p w14:paraId="2163AF4C">
                  <w:pPr>
                    <w:spacing w:line="351" w:lineRule="auto"/>
                    <w:rPr>
                      <w:rFonts w:ascii="Arial"/>
                      <w:sz w:val="21"/>
                    </w:rPr>
                  </w:pPr>
                </w:p>
                <w:p w14:paraId="15A0BE14">
                  <w:pPr>
                    <w:spacing w:before="5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18" w:type="dxa"/>
                  <w:vAlign w:val="top"/>
                </w:tcPr>
                <w:p w14:paraId="7D773BE0">
                  <w:pPr>
                    <w:spacing w:line="325" w:lineRule="auto"/>
                    <w:rPr>
                      <w:rFonts w:ascii="Arial"/>
                      <w:sz w:val="21"/>
                    </w:rPr>
                  </w:pPr>
                </w:p>
                <w:p w14:paraId="01D796B5">
                  <w:pPr>
                    <w:spacing w:line="325" w:lineRule="auto"/>
                    <w:rPr>
                      <w:rFonts w:ascii="Arial"/>
                      <w:sz w:val="21"/>
                    </w:rPr>
                  </w:pPr>
                </w:p>
                <w:p w14:paraId="34FEE6E7">
                  <w:pPr>
                    <w:pStyle w:val="6"/>
                    <w:spacing w:before="65" w:line="228" w:lineRule="auto"/>
                    <w:ind w:left="141"/>
                    <w:rPr>
                      <w:sz w:val="20"/>
                      <w:szCs w:val="20"/>
                    </w:rPr>
                  </w:pPr>
                  <w:r>
                    <w:rPr>
                      <w:spacing w:val="7"/>
                      <w:sz w:val="20"/>
                      <w:szCs w:val="20"/>
                    </w:rPr>
                    <w:t>废逆变器</w:t>
                  </w:r>
                </w:p>
              </w:tc>
              <w:tc>
                <w:tcPr>
                  <w:tcW w:w="1064" w:type="dxa"/>
                  <w:gridSpan w:val="2"/>
                  <w:vAlign w:val="top"/>
                </w:tcPr>
                <w:p w14:paraId="1B7CC9EB">
                  <w:pPr>
                    <w:spacing w:line="325" w:lineRule="auto"/>
                    <w:rPr>
                      <w:rFonts w:ascii="Arial"/>
                      <w:sz w:val="21"/>
                    </w:rPr>
                  </w:pPr>
                </w:p>
                <w:p w14:paraId="6340FFBC">
                  <w:pPr>
                    <w:spacing w:line="325" w:lineRule="auto"/>
                    <w:rPr>
                      <w:rFonts w:ascii="Arial"/>
                      <w:sz w:val="21"/>
                    </w:rPr>
                  </w:pPr>
                </w:p>
                <w:p w14:paraId="39ECE93C">
                  <w:pPr>
                    <w:pStyle w:val="6"/>
                    <w:spacing w:before="65" w:line="228" w:lineRule="auto"/>
                    <w:ind w:left="119"/>
                    <w:rPr>
                      <w:sz w:val="20"/>
                      <w:szCs w:val="20"/>
                    </w:rPr>
                  </w:pPr>
                  <w:r>
                    <w:rPr>
                      <w:spacing w:val="6"/>
                      <w:sz w:val="20"/>
                      <w:szCs w:val="20"/>
                    </w:rPr>
                    <w:t>一般固废</w:t>
                  </w:r>
                </w:p>
              </w:tc>
              <w:tc>
                <w:tcPr>
                  <w:tcW w:w="1313" w:type="dxa"/>
                  <w:vAlign w:val="top"/>
                </w:tcPr>
                <w:p w14:paraId="034D6DF5">
                  <w:pPr>
                    <w:spacing w:line="325" w:lineRule="auto"/>
                    <w:rPr>
                      <w:rFonts w:ascii="Arial"/>
                      <w:sz w:val="21"/>
                    </w:rPr>
                  </w:pPr>
                </w:p>
                <w:p w14:paraId="38DF3950">
                  <w:pPr>
                    <w:spacing w:line="325" w:lineRule="auto"/>
                    <w:rPr>
                      <w:rFonts w:ascii="Arial"/>
                      <w:sz w:val="21"/>
                    </w:rPr>
                  </w:pPr>
                </w:p>
                <w:p w14:paraId="4356ADEE">
                  <w:pPr>
                    <w:pStyle w:val="6"/>
                    <w:spacing w:before="65" w:line="228" w:lineRule="auto"/>
                    <w:ind w:left="135"/>
                    <w:rPr>
                      <w:sz w:val="20"/>
                      <w:szCs w:val="20"/>
                    </w:rPr>
                  </w:pPr>
                  <w:r>
                    <w:rPr>
                      <w:spacing w:val="8"/>
                      <w:sz w:val="20"/>
                      <w:szCs w:val="20"/>
                    </w:rPr>
                    <w:t>逆变器损坏</w:t>
                  </w:r>
                </w:p>
              </w:tc>
              <w:tc>
                <w:tcPr>
                  <w:tcW w:w="784" w:type="dxa"/>
                  <w:gridSpan w:val="2"/>
                  <w:vAlign w:val="top"/>
                </w:tcPr>
                <w:p w14:paraId="6693C327">
                  <w:pPr>
                    <w:spacing w:line="325" w:lineRule="auto"/>
                    <w:rPr>
                      <w:rFonts w:ascii="Arial"/>
                      <w:sz w:val="21"/>
                    </w:rPr>
                  </w:pPr>
                </w:p>
                <w:p w14:paraId="6926D158">
                  <w:pPr>
                    <w:spacing w:line="325" w:lineRule="auto"/>
                    <w:rPr>
                      <w:rFonts w:ascii="Arial"/>
                      <w:sz w:val="21"/>
                    </w:rPr>
                  </w:pPr>
                </w:p>
                <w:p w14:paraId="3F189FB2">
                  <w:pPr>
                    <w:pStyle w:val="6"/>
                    <w:spacing w:before="65" w:line="228" w:lineRule="auto"/>
                    <w:ind w:left="204"/>
                    <w:rPr>
                      <w:sz w:val="20"/>
                      <w:szCs w:val="20"/>
                    </w:rPr>
                  </w:pPr>
                  <w:r>
                    <w:rPr>
                      <w:spacing w:val="-5"/>
                      <w:sz w:val="20"/>
                      <w:szCs w:val="20"/>
                    </w:rPr>
                    <w:t>固态</w:t>
                  </w:r>
                </w:p>
              </w:tc>
              <w:tc>
                <w:tcPr>
                  <w:tcW w:w="1300" w:type="dxa"/>
                  <w:vAlign w:val="top"/>
                </w:tcPr>
                <w:p w14:paraId="77190425">
                  <w:pPr>
                    <w:pStyle w:val="6"/>
                    <w:spacing w:before="80" w:line="288" w:lineRule="auto"/>
                    <w:ind w:left="26" w:right="18" w:firstLine="24"/>
                    <w:jc w:val="both"/>
                    <w:rPr>
                      <w:sz w:val="20"/>
                      <w:szCs w:val="20"/>
                    </w:rPr>
                  </w:pPr>
                  <w:r>
                    <w:rPr>
                      <w:spacing w:val="4"/>
                      <w:sz w:val="20"/>
                      <w:szCs w:val="20"/>
                    </w:rPr>
                    <w:t>电路板、熔断</w:t>
                  </w:r>
                  <w:r>
                    <w:rPr>
                      <w:sz w:val="20"/>
                      <w:szCs w:val="20"/>
                    </w:rPr>
                    <w:t xml:space="preserve"> </w:t>
                  </w:r>
                  <w:r>
                    <w:rPr>
                      <w:spacing w:val="8"/>
                      <w:sz w:val="20"/>
                      <w:szCs w:val="20"/>
                    </w:rPr>
                    <w:t>器、功率开关</w:t>
                  </w:r>
                  <w:r>
                    <w:rPr>
                      <w:sz w:val="20"/>
                      <w:szCs w:val="20"/>
                    </w:rPr>
                    <w:t xml:space="preserve"> </w:t>
                  </w:r>
                  <w:r>
                    <w:rPr>
                      <w:spacing w:val="1"/>
                      <w:sz w:val="20"/>
                      <w:szCs w:val="20"/>
                    </w:rPr>
                    <w:t>管、</w:t>
                  </w:r>
                  <w:r>
                    <w:rPr>
                      <w:spacing w:val="-58"/>
                      <w:sz w:val="20"/>
                      <w:szCs w:val="20"/>
                    </w:rPr>
                    <w:t xml:space="preserve"> </w:t>
                  </w:r>
                  <w:r>
                    <w:rPr>
                      <w:spacing w:val="1"/>
                      <w:sz w:val="20"/>
                      <w:szCs w:val="20"/>
                    </w:rPr>
                    <w:t>电感、电</w:t>
                  </w:r>
                  <w:r>
                    <w:rPr>
                      <w:sz w:val="20"/>
                      <w:szCs w:val="20"/>
                    </w:rPr>
                    <w:t xml:space="preserve"> </w:t>
                  </w:r>
                  <w:r>
                    <w:rPr>
                      <w:spacing w:val="6"/>
                      <w:sz w:val="20"/>
                      <w:szCs w:val="20"/>
                    </w:rPr>
                    <w:t>容、散热器，</w:t>
                  </w:r>
                </w:p>
                <w:p w14:paraId="2534356D">
                  <w:pPr>
                    <w:pStyle w:val="6"/>
                    <w:spacing w:before="30" w:line="228" w:lineRule="auto"/>
                    <w:ind w:left="240"/>
                    <w:rPr>
                      <w:sz w:val="20"/>
                      <w:szCs w:val="20"/>
                    </w:rPr>
                  </w:pPr>
                  <w:r>
                    <w:rPr>
                      <w:spacing w:val="6"/>
                      <w:sz w:val="20"/>
                      <w:szCs w:val="20"/>
                    </w:rPr>
                    <w:t>结构件等</w:t>
                  </w:r>
                </w:p>
              </w:tc>
              <w:tc>
                <w:tcPr>
                  <w:tcW w:w="903" w:type="dxa"/>
                  <w:vAlign w:val="top"/>
                </w:tcPr>
                <w:p w14:paraId="02B42005">
                  <w:pPr>
                    <w:spacing w:line="349" w:lineRule="auto"/>
                    <w:rPr>
                      <w:rFonts w:ascii="Arial"/>
                      <w:sz w:val="21"/>
                    </w:rPr>
                  </w:pPr>
                </w:p>
                <w:p w14:paraId="034D76C1">
                  <w:pPr>
                    <w:spacing w:line="350" w:lineRule="auto"/>
                    <w:rPr>
                      <w:rFonts w:ascii="Arial"/>
                      <w:sz w:val="21"/>
                    </w:rPr>
                  </w:pPr>
                </w:p>
                <w:p w14:paraId="20FD777A">
                  <w:pPr>
                    <w:spacing w:before="57" w:line="199"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1.79t/a</w:t>
                  </w:r>
                </w:p>
              </w:tc>
              <w:tc>
                <w:tcPr>
                  <w:tcW w:w="2379" w:type="dxa"/>
                  <w:gridSpan w:val="2"/>
                  <w:vMerge w:val="continue"/>
                  <w:tcBorders>
                    <w:top w:val="nil"/>
                  </w:tcBorders>
                  <w:vAlign w:val="top"/>
                </w:tcPr>
                <w:p w14:paraId="5A8A9352">
                  <w:pPr>
                    <w:rPr>
                      <w:rFonts w:ascii="Arial"/>
                      <w:sz w:val="21"/>
                    </w:rPr>
                  </w:pPr>
                </w:p>
              </w:tc>
            </w:tr>
            <w:tr w14:paraId="26249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9" w:hRule="atLeast"/>
              </w:trPr>
              <w:tc>
                <w:tcPr>
                  <w:tcW w:w="653" w:type="dxa"/>
                  <w:vAlign w:val="top"/>
                </w:tcPr>
                <w:p w14:paraId="450E74B5">
                  <w:pPr>
                    <w:spacing w:line="286" w:lineRule="auto"/>
                    <w:rPr>
                      <w:rFonts w:ascii="Arial"/>
                      <w:sz w:val="21"/>
                    </w:rPr>
                  </w:pPr>
                </w:p>
                <w:p w14:paraId="5CF65026">
                  <w:pPr>
                    <w:spacing w:line="286" w:lineRule="auto"/>
                    <w:rPr>
                      <w:rFonts w:ascii="Arial"/>
                      <w:sz w:val="21"/>
                    </w:rPr>
                  </w:pPr>
                </w:p>
                <w:p w14:paraId="5E33D7F4">
                  <w:pPr>
                    <w:spacing w:line="287" w:lineRule="auto"/>
                    <w:rPr>
                      <w:rFonts w:ascii="Arial"/>
                      <w:sz w:val="21"/>
                    </w:rPr>
                  </w:pPr>
                </w:p>
                <w:p w14:paraId="61E4529B">
                  <w:pPr>
                    <w:spacing w:before="58"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18" w:type="dxa"/>
                  <w:vAlign w:val="top"/>
                </w:tcPr>
                <w:p w14:paraId="7BE8F577">
                  <w:pPr>
                    <w:spacing w:line="246" w:lineRule="auto"/>
                    <w:rPr>
                      <w:rFonts w:ascii="Arial"/>
                      <w:sz w:val="21"/>
                    </w:rPr>
                  </w:pPr>
                </w:p>
                <w:p w14:paraId="24FC235E">
                  <w:pPr>
                    <w:spacing w:line="246" w:lineRule="auto"/>
                    <w:rPr>
                      <w:rFonts w:ascii="Arial"/>
                      <w:sz w:val="21"/>
                    </w:rPr>
                  </w:pPr>
                </w:p>
                <w:p w14:paraId="44831880">
                  <w:pPr>
                    <w:pStyle w:val="6"/>
                    <w:spacing w:before="65" w:line="228" w:lineRule="auto"/>
                    <w:ind w:left="143"/>
                    <w:rPr>
                      <w:sz w:val="20"/>
                      <w:szCs w:val="20"/>
                    </w:rPr>
                  </w:pPr>
                  <w:r>
                    <w:rPr>
                      <w:spacing w:val="6"/>
                      <w:sz w:val="20"/>
                      <w:szCs w:val="20"/>
                    </w:rPr>
                    <w:t>生活垃圾</w:t>
                  </w:r>
                </w:p>
                <w:p w14:paraId="549A992B">
                  <w:pPr>
                    <w:pStyle w:val="6"/>
                    <w:spacing w:before="71" w:line="281" w:lineRule="auto"/>
                    <w:ind w:left="352" w:right="33" w:hanging="304"/>
                    <w:rPr>
                      <w:sz w:val="20"/>
                      <w:szCs w:val="20"/>
                    </w:rPr>
                  </w:pPr>
                  <w:r>
                    <w:rPr>
                      <w:spacing w:val="6"/>
                      <w:sz w:val="20"/>
                      <w:szCs w:val="20"/>
                    </w:rPr>
                    <w:t>（含餐厨废</w:t>
                  </w:r>
                  <w:r>
                    <w:rPr>
                      <w:sz w:val="20"/>
                      <w:szCs w:val="20"/>
                    </w:rPr>
                    <w:t xml:space="preserve"> 物）</w:t>
                  </w:r>
                </w:p>
              </w:tc>
              <w:tc>
                <w:tcPr>
                  <w:tcW w:w="1064" w:type="dxa"/>
                  <w:gridSpan w:val="2"/>
                  <w:vAlign w:val="top"/>
                </w:tcPr>
                <w:p w14:paraId="7905E58C">
                  <w:pPr>
                    <w:spacing w:line="316" w:lineRule="auto"/>
                    <w:rPr>
                      <w:rFonts w:ascii="Arial"/>
                      <w:sz w:val="21"/>
                    </w:rPr>
                  </w:pPr>
                </w:p>
                <w:p w14:paraId="7B4A9A29">
                  <w:pPr>
                    <w:spacing w:line="316" w:lineRule="auto"/>
                    <w:rPr>
                      <w:rFonts w:ascii="Arial"/>
                      <w:sz w:val="21"/>
                    </w:rPr>
                  </w:pPr>
                </w:p>
                <w:p w14:paraId="493DDA57">
                  <w:pPr>
                    <w:spacing w:line="316" w:lineRule="auto"/>
                    <w:rPr>
                      <w:rFonts w:ascii="Arial"/>
                      <w:sz w:val="21"/>
                    </w:rPr>
                  </w:pPr>
                </w:p>
                <w:p w14:paraId="1CF23816">
                  <w:pPr>
                    <w:spacing w:before="57" w:line="96" w:lineRule="exact"/>
                    <w:ind w:left="422"/>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1313" w:type="dxa"/>
                  <w:vAlign w:val="top"/>
                </w:tcPr>
                <w:p w14:paraId="4E67D062">
                  <w:pPr>
                    <w:spacing w:line="269" w:lineRule="auto"/>
                    <w:rPr>
                      <w:rFonts w:ascii="Arial"/>
                      <w:sz w:val="21"/>
                    </w:rPr>
                  </w:pPr>
                </w:p>
                <w:p w14:paraId="6B7119FB">
                  <w:pPr>
                    <w:spacing w:line="270" w:lineRule="auto"/>
                    <w:rPr>
                      <w:rFonts w:ascii="Arial"/>
                      <w:sz w:val="21"/>
                    </w:rPr>
                  </w:pPr>
                </w:p>
                <w:p w14:paraId="44537EF1">
                  <w:pPr>
                    <w:spacing w:line="270" w:lineRule="auto"/>
                    <w:rPr>
                      <w:rFonts w:ascii="Arial"/>
                      <w:sz w:val="21"/>
                    </w:rPr>
                  </w:pPr>
                </w:p>
                <w:p w14:paraId="53120471">
                  <w:pPr>
                    <w:pStyle w:val="6"/>
                    <w:spacing w:before="65" w:line="228" w:lineRule="auto"/>
                    <w:ind w:left="243"/>
                    <w:rPr>
                      <w:sz w:val="20"/>
                      <w:szCs w:val="20"/>
                    </w:rPr>
                  </w:pPr>
                  <w:r>
                    <w:rPr>
                      <w:spacing w:val="7"/>
                      <w:sz w:val="20"/>
                      <w:szCs w:val="20"/>
                    </w:rPr>
                    <w:t>职工生活</w:t>
                  </w:r>
                </w:p>
              </w:tc>
              <w:tc>
                <w:tcPr>
                  <w:tcW w:w="784" w:type="dxa"/>
                  <w:gridSpan w:val="2"/>
                  <w:vAlign w:val="top"/>
                </w:tcPr>
                <w:p w14:paraId="1A73A068">
                  <w:pPr>
                    <w:spacing w:line="269" w:lineRule="auto"/>
                    <w:rPr>
                      <w:rFonts w:ascii="Arial"/>
                      <w:sz w:val="21"/>
                    </w:rPr>
                  </w:pPr>
                </w:p>
                <w:p w14:paraId="3DBF02FF">
                  <w:pPr>
                    <w:spacing w:line="270" w:lineRule="auto"/>
                    <w:rPr>
                      <w:rFonts w:ascii="Arial"/>
                      <w:sz w:val="21"/>
                    </w:rPr>
                  </w:pPr>
                </w:p>
                <w:p w14:paraId="7ACF158B">
                  <w:pPr>
                    <w:spacing w:line="270" w:lineRule="auto"/>
                    <w:rPr>
                      <w:rFonts w:ascii="Arial"/>
                      <w:sz w:val="21"/>
                    </w:rPr>
                  </w:pPr>
                </w:p>
                <w:p w14:paraId="2B83D019">
                  <w:pPr>
                    <w:pStyle w:val="6"/>
                    <w:spacing w:before="65" w:line="228" w:lineRule="auto"/>
                    <w:ind w:left="204"/>
                    <w:rPr>
                      <w:sz w:val="20"/>
                      <w:szCs w:val="20"/>
                    </w:rPr>
                  </w:pPr>
                  <w:r>
                    <w:rPr>
                      <w:spacing w:val="-5"/>
                      <w:sz w:val="20"/>
                      <w:szCs w:val="20"/>
                    </w:rPr>
                    <w:t>固态</w:t>
                  </w:r>
                </w:p>
              </w:tc>
              <w:tc>
                <w:tcPr>
                  <w:tcW w:w="1300" w:type="dxa"/>
                  <w:vAlign w:val="top"/>
                </w:tcPr>
                <w:p w14:paraId="461C2D56">
                  <w:pPr>
                    <w:spacing w:line="269" w:lineRule="auto"/>
                    <w:rPr>
                      <w:rFonts w:ascii="Arial"/>
                      <w:sz w:val="21"/>
                    </w:rPr>
                  </w:pPr>
                </w:p>
                <w:p w14:paraId="319C57A4">
                  <w:pPr>
                    <w:spacing w:line="270" w:lineRule="auto"/>
                    <w:rPr>
                      <w:rFonts w:ascii="Arial"/>
                      <w:sz w:val="21"/>
                    </w:rPr>
                  </w:pPr>
                </w:p>
                <w:p w14:paraId="4EE8C6DC">
                  <w:pPr>
                    <w:spacing w:line="270" w:lineRule="auto"/>
                    <w:rPr>
                      <w:rFonts w:ascii="Arial"/>
                      <w:sz w:val="21"/>
                    </w:rPr>
                  </w:pPr>
                </w:p>
                <w:p w14:paraId="3EFD9586">
                  <w:pPr>
                    <w:pStyle w:val="6"/>
                    <w:spacing w:before="65" w:line="227" w:lineRule="auto"/>
                    <w:ind w:left="236"/>
                    <w:rPr>
                      <w:sz w:val="20"/>
                      <w:szCs w:val="20"/>
                    </w:rPr>
                  </w:pPr>
                  <w:r>
                    <w:rPr>
                      <w:spacing w:val="7"/>
                      <w:sz w:val="20"/>
                      <w:szCs w:val="20"/>
                    </w:rPr>
                    <w:t>有机质等</w:t>
                  </w:r>
                </w:p>
              </w:tc>
              <w:tc>
                <w:tcPr>
                  <w:tcW w:w="903" w:type="dxa"/>
                  <w:vAlign w:val="top"/>
                </w:tcPr>
                <w:p w14:paraId="4A9674C5">
                  <w:pPr>
                    <w:spacing w:line="285" w:lineRule="auto"/>
                    <w:rPr>
                      <w:rFonts w:ascii="Arial"/>
                      <w:sz w:val="21"/>
                    </w:rPr>
                  </w:pPr>
                </w:p>
                <w:p w14:paraId="2F0D2BC7">
                  <w:pPr>
                    <w:spacing w:line="285" w:lineRule="auto"/>
                    <w:rPr>
                      <w:rFonts w:ascii="Arial"/>
                      <w:sz w:val="21"/>
                    </w:rPr>
                  </w:pPr>
                </w:p>
                <w:p w14:paraId="3B7687BF">
                  <w:pPr>
                    <w:spacing w:line="286" w:lineRule="auto"/>
                    <w:rPr>
                      <w:rFonts w:ascii="Arial"/>
                      <w:sz w:val="21"/>
                    </w:rPr>
                  </w:pPr>
                </w:p>
                <w:p w14:paraId="2156F59C">
                  <w:pPr>
                    <w:spacing w:before="57" w:line="199"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4.38t/a</w:t>
                  </w:r>
                </w:p>
              </w:tc>
              <w:tc>
                <w:tcPr>
                  <w:tcW w:w="2379" w:type="dxa"/>
                  <w:gridSpan w:val="2"/>
                  <w:vAlign w:val="top"/>
                </w:tcPr>
                <w:p w14:paraId="22D7DA65">
                  <w:pPr>
                    <w:pStyle w:val="6"/>
                    <w:spacing w:before="80" w:line="228" w:lineRule="auto"/>
                    <w:ind w:left="75"/>
                    <w:rPr>
                      <w:sz w:val="20"/>
                      <w:szCs w:val="20"/>
                    </w:rPr>
                  </w:pPr>
                  <w:r>
                    <w:rPr>
                      <w:spacing w:val="5"/>
                      <w:sz w:val="20"/>
                      <w:szCs w:val="20"/>
                    </w:rPr>
                    <w:t>日产日清，分类收集后能</w:t>
                  </w:r>
                </w:p>
                <w:p w14:paraId="723CFE30">
                  <w:pPr>
                    <w:pStyle w:val="6"/>
                    <w:spacing w:before="72" w:line="228" w:lineRule="auto"/>
                    <w:ind w:left="59"/>
                    <w:rPr>
                      <w:sz w:val="20"/>
                      <w:szCs w:val="20"/>
                    </w:rPr>
                  </w:pPr>
                  <w:r>
                    <w:rPr>
                      <w:spacing w:val="7"/>
                      <w:sz w:val="20"/>
                      <w:szCs w:val="20"/>
                    </w:rPr>
                    <w:t>回收利用的回收利用，不</w:t>
                  </w:r>
                </w:p>
                <w:p w14:paraId="71BE36CE">
                  <w:pPr>
                    <w:pStyle w:val="6"/>
                    <w:spacing w:before="72" w:line="228" w:lineRule="auto"/>
                    <w:ind w:left="47"/>
                    <w:rPr>
                      <w:sz w:val="20"/>
                      <w:szCs w:val="20"/>
                    </w:rPr>
                  </w:pPr>
                  <w:r>
                    <w:rPr>
                      <w:spacing w:val="8"/>
                      <w:sz w:val="20"/>
                      <w:szCs w:val="20"/>
                    </w:rPr>
                    <w:t>能回收利用的委托当地环</w:t>
                  </w:r>
                </w:p>
                <w:p w14:paraId="122D41F7">
                  <w:pPr>
                    <w:pStyle w:val="6"/>
                    <w:spacing w:before="74" w:line="228" w:lineRule="auto"/>
                    <w:ind w:left="40"/>
                    <w:rPr>
                      <w:sz w:val="20"/>
                      <w:szCs w:val="20"/>
                    </w:rPr>
                  </w:pPr>
                  <w:r>
                    <w:rPr>
                      <w:spacing w:val="9"/>
                      <w:sz w:val="20"/>
                      <w:szCs w:val="20"/>
                    </w:rPr>
                    <w:t>卫部门统一处置；餐厨废</w:t>
                  </w:r>
                </w:p>
                <w:p w14:paraId="5E5687FC">
                  <w:pPr>
                    <w:pStyle w:val="6"/>
                    <w:spacing w:before="72" w:line="228" w:lineRule="auto"/>
                    <w:ind w:left="39"/>
                    <w:rPr>
                      <w:sz w:val="20"/>
                      <w:szCs w:val="20"/>
                    </w:rPr>
                  </w:pPr>
                  <w:r>
                    <w:rPr>
                      <w:spacing w:val="9"/>
                      <w:sz w:val="20"/>
                      <w:szCs w:val="20"/>
                    </w:rPr>
                    <w:t>物委托有资质的单位清运</w:t>
                  </w:r>
                </w:p>
                <w:p w14:paraId="3D15D3C6">
                  <w:pPr>
                    <w:pStyle w:val="6"/>
                    <w:spacing w:before="71" w:line="231" w:lineRule="auto"/>
                    <w:ind w:left="988"/>
                    <w:rPr>
                      <w:sz w:val="20"/>
                      <w:szCs w:val="20"/>
                    </w:rPr>
                  </w:pPr>
                  <w:r>
                    <w:rPr>
                      <w:spacing w:val="2"/>
                      <w:sz w:val="20"/>
                      <w:szCs w:val="20"/>
                    </w:rPr>
                    <w:t>处置</w:t>
                  </w:r>
                </w:p>
              </w:tc>
            </w:tr>
            <w:tr w14:paraId="525DD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0" w:hRule="atLeast"/>
              </w:trPr>
              <w:tc>
                <w:tcPr>
                  <w:tcW w:w="653" w:type="dxa"/>
                  <w:vAlign w:val="top"/>
                </w:tcPr>
                <w:p w14:paraId="0F6AD735">
                  <w:pPr>
                    <w:spacing w:line="272" w:lineRule="auto"/>
                    <w:rPr>
                      <w:rFonts w:ascii="Arial"/>
                      <w:sz w:val="21"/>
                    </w:rPr>
                  </w:pPr>
                </w:p>
                <w:p w14:paraId="6DAF7E64">
                  <w:pPr>
                    <w:spacing w:line="273" w:lineRule="auto"/>
                    <w:rPr>
                      <w:rFonts w:ascii="Arial"/>
                      <w:sz w:val="21"/>
                    </w:rPr>
                  </w:pPr>
                </w:p>
                <w:p w14:paraId="4EBB5CB6">
                  <w:pPr>
                    <w:spacing w:before="57" w:line="192" w:lineRule="auto"/>
                    <w:ind w:left="33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18" w:type="dxa"/>
                  <w:vAlign w:val="top"/>
                </w:tcPr>
                <w:p w14:paraId="5F40E3EC">
                  <w:pPr>
                    <w:spacing w:line="332" w:lineRule="auto"/>
                    <w:rPr>
                      <w:rFonts w:ascii="Arial"/>
                      <w:sz w:val="21"/>
                    </w:rPr>
                  </w:pPr>
                </w:p>
                <w:p w14:paraId="3159BA20">
                  <w:pPr>
                    <w:pStyle w:val="6"/>
                    <w:spacing w:before="65" w:line="283" w:lineRule="auto"/>
                    <w:ind w:left="246" w:right="33" w:hanging="206"/>
                    <w:rPr>
                      <w:sz w:val="20"/>
                      <w:szCs w:val="20"/>
                    </w:rPr>
                  </w:pPr>
                  <w:r>
                    <w:rPr>
                      <w:spacing w:val="7"/>
                      <w:sz w:val="20"/>
                      <w:szCs w:val="20"/>
                    </w:rPr>
                    <w:t>污水处理设</w:t>
                  </w:r>
                  <w:r>
                    <w:rPr>
                      <w:spacing w:val="3"/>
                      <w:sz w:val="20"/>
                      <w:szCs w:val="20"/>
                    </w:rPr>
                    <w:t xml:space="preserve"> </w:t>
                  </w:r>
                  <w:r>
                    <w:rPr>
                      <w:spacing w:val="7"/>
                      <w:sz w:val="20"/>
                      <w:szCs w:val="20"/>
                    </w:rPr>
                    <w:t>施污泥</w:t>
                  </w:r>
                </w:p>
              </w:tc>
              <w:tc>
                <w:tcPr>
                  <w:tcW w:w="1064" w:type="dxa"/>
                  <w:gridSpan w:val="2"/>
                  <w:vAlign w:val="top"/>
                </w:tcPr>
                <w:p w14:paraId="5F821917">
                  <w:pPr>
                    <w:spacing w:line="246" w:lineRule="auto"/>
                    <w:rPr>
                      <w:rFonts w:ascii="Arial"/>
                      <w:sz w:val="21"/>
                    </w:rPr>
                  </w:pPr>
                </w:p>
                <w:p w14:paraId="12B9C467">
                  <w:pPr>
                    <w:spacing w:line="246" w:lineRule="auto"/>
                    <w:rPr>
                      <w:rFonts w:ascii="Arial"/>
                      <w:sz w:val="21"/>
                    </w:rPr>
                  </w:pPr>
                </w:p>
                <w:p w14:paraId="228D594D">
                  <w:pPr>
                    <w:pStyle w:val="6"/>
                    <w:spacing w:before="65" w:line="228" w:lineRule="auto"/>
                    <w:ind w:left="119"/>
                    <w:rPr>
                      <w:sz w:val="20"/>
                      <w:szCs w:val="20"/>
                    </w:rPr>
                  </w:pPr>
                  <w:r>
                    <w:rPr>
                      <w:spacing w:val="6"/>
                      <w:sz w:val="20"/>
                      <w:szCs w:val="20"/>
                    </w:rPr>
                    <w:t>一般固废</w:t>
                  </w:r>
                </w:p>
              </w:tc>
              <w:tc>
                <w:tcPr>
                  <w:tcW w:w="1313" w:type="dxa"/>
                  <w:vAlign w:val="top"/>
                </w:tcPr>
                <w:p w14:paraId="344760AC">
                  <w:pPr>
                    <w:spacing w:line="245" w:lineRule="auto"/>
                    <w:rPr>
                      <w:rFonts w:ascii="Arial"/>
                      <w:sz w:val="21"/>
                    </w:rPr>
                  </w:pPr>
                </w:p>
                <w:p w14:paraId="0AF6AC19">
                  <w:pPr>
                    <w:spacing w:line="246" w:lineRule="auto"/>
                    <w:rPr>
                      <w:rFonts w:ascii="Arial"/>
                      <w:sz w:val="21"/>
                    </w:rPr>
                  </w:pPr>
                </w:p>
                <w:p w14:paraId="79F3A340">
                  <w:pPr>
                    <w:pStyle w:val="6"/>
                    <w:spacing w:before="65" w:line="228" w:lineRule="auto"/>
                    <w:ind w:left="244"/>
                    <w:rPr>
                      <w:sz w:val="20"/>
                      <w:szCs w:val="20"/>
                    </w:rPr>
                  </w:pPr>
                  <w:r>
                    <w:rPr>
                      <w:spacing w:val="6"/>
                      <w:sz w:val="20"/>
                      <w:szCs w:val="20"/>
                    </w:rPr>
                    <w:t>污水处理</w:t>
                  </w:r>
                </w:p>
              </w:tc>
              <w:tc>
                <w:tcPr>
                  <w:tcW w:w="784" w:type="dxa"/>
                  <w:gridSpan w:val="2"/>
                  <w:vAlign w:val="top"/>
                </w:tcPr>
                <w:p w14:paraId="791A114F">
                  <w:pPr>
                    <w:spacing w:line="246" w:lineRule="auto"/>
                    <w:rPr>
                      <w:rFonts w:ascii="Arial"/>
                      <w:sz w:val="21"/>
                    </w:rPr>
                  </w:pPr>
                </w:p>
                <w:p w14:paraId="6E597EC0">
                  <w:pPr>
                    <w:spacing w:line="246" w:lineRule="auto"/>
                    <w:rPr>
                      <w:rFonts w:ascii="Arial"/>
                      <w:sz w:val="21"/>
                    </w:rPr>
                  </w:pPr>
                </w:p>
                <w:p w14:paraId="799785F3">
                  <w:pPr>
                    <w:pStyle w:val="6"/>
                    <w:spacing w:before="65" w:line="228" w:lineRule="auto"/>
                    <w:ind w:left="204"/>
                    <w:rPr>
                      <w:sz w:val="20"/>
                      <w:szCs w:val="20"/>
                    </w:rPr>
                  </w:pPr>
                  <w:r>
                    <w:rPr>
                      <w:spacing w:val="-5"/>
                      <w:sz w:val="20"/>
                      <w:szCs w:val="20"/>
                    </w:rPr>
                    <w:t>固态</w:t>
                  </w:r>
                </w:p>
              </w:tc>
              <w:tc>
                <w:tcPr>
                  <w:tcW w:w="1300" w:type="dxa"/>
                  <w:vAlign w:val="top"/>
                </w:tcPr>
                <w:p w14:paraId="1505354A">
                  <w:pPr>
                    <w:spacing w:line="245" w:lineRule="auto"/>
                    <w:rPr>
                      <w:rFonts w:ascii="Arial"/>
                      <w:sz w:val="21"/>
                    </w:rPr>
                  </w:pPr>
                </w:p>
                <w:p w14:paraId="272BA720">
                  <w:pPr>
                    <w:spacing w:line="246" w:lineRule="auto"/>
                    <w:rPr>
                      <w:rFonts w:ascii="Arial"/>
                      <w:sz w:val="21"/>
                    </w:rPr>
                  </w:pPr>
                </w:p>
                <w:p w14:paraId="6F89A800">
                  <w:pPr>
                    <w:pStyle w:val="6"/>
                    <w:spacing w:before="65" w:line="227" w:lineRule="auto"/>
                    <w:ind w:left="342"/>
                    <w:rPr>
                      <w:sz w:val="20"/>
                      <w:szCs w:val="20"/>
                    </w:rPr>
                  </w:pPr>
                  <w:r>
                    <w:rPr>
                      <w:spacing w:val="6"/>
                      <w:sz w:val="20"/>
                      <w:szCs w:val="20"/>
                    </w:rPr>
                    <w:t>有机物</w:t>
                  </w:r>
                </w:p>
              </w:tc>
              <w:tc>
                <w:tcPr>
                  <w:tcW w:w="903" w:type="dxa"/>
                  <w:vAlign w:val="top"/>
                </w:tcPr>
                <w:p w14:paraId="515AD82B">
                  <w:pPr>
                    <w:spacing w:line="269" w:lineRule="auto"/>
                    <w:rPr>
                      <w:rFonts w:ascii="Arial"/>
                      <w:sz w:val="21"/>
                    </w:rPr>
                  </w:pPr>
                </w:p>
                <w:p w14:paraId="0AB35ABA">
                  <w:pPr>
                    <w:spacing w:line="269" w:lineRule="auto"/>
                    <w:rPr>
                      <w:rFonts w:ascii="Arial"/>
                      <w:sz w:val="21"/>
                    </w:rPr>
                  </w:pPr>
                </w:p>
                <w:p w14:paraId="5EC533E3">
                  <w:pPr>
                    <w:spacing w:before="58" w:line="199"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1t/a</w:t>
                  </w:r>
                </w:p>
              </w:tc>
              <w:tc>
                <w:tcPr>
                  <w:tcW w:w="2379" w:type="dxa"/>
                  <w:gridSpan w:val="2"/>
                  <w:vAlign w:val="top"/>
                </w:tcPr>
                <w:p w14:paraId="1AC18936">
                  <w:pPr>
                    <w:pStyle w:val="6"/>
                    <w:spacing w:before="79" w:line="228" w:lineRule="auto"/>
                    <w:ind w:left="39"/>
                    <w:rPr>
                      <w:sz w:val="20"/>
                      <w:szCs w:val="20"/>
                    </w:rPr>
                  </w:pPr>
                  <w:r>
                    <w:rPr>
                      <w:spacing w:val="9"/>
                      <w:sz w:val="20"/>
                      <w:szCs w:val="20"/>
                    </w:rPr>
                    <w:t>化粪池及污水处理站污泥</w:t>
                  </w:r>
                </w:p>
                <w:p w14:paraId="33F4C1D5">
                  <w:pPr>
                    <w:pStyle w:val="6"/>
                    <w:spacing w:before="72" w:line="228" w:lineRule="auto"/>
                    <w:ind w:left="38"/>
                    <w:rPr>
                      <w:sz w:val="20"/>
                      <w:szCs w:val="20"/>
                    </w:rPr>
                  </w:pPr>
                  <w:r>
                    <w:rPr>
                      <w:spacing w:val="9"/>
                      <w:sz w:val="20"/>
                      <w:szCs w:val="20"/>
                    </w:rPr>
                    <w:t>委托当地环卫部门定期清</w:t>
                  </w:r>
                </w:p>
                <w:p w14:paraId="21B9A7E7">
                  <w:pPr>
                    <w:pStyle w:val="6"/>
                    <w:spacing w:before="75" w:line="228" w:lineRule="auto"/>
                    <w:ind w:left="39"/>
                    <w:rPr>
                      <w:sz w:val="20"/>
                      <w:szCs w:val="20"/>
                    </w:rPr>
                  </w:pPr>
                  <w:r>
                    <w:rPr>
                      <w:spacing w:val="9"/>
                      <w:sz w:val="20"/>
                      <w:szCs w:val="20"/>
                    </w:rPr>
                    <w:t>掏；隔油池废油委托有资</w:t>
                  </w:r>
                </w:p>
                <w:p w14:paraId="3B2611CB">
                  <w:pPr>
                    <w:pStyle w:val="6"/>
                    <w:spacing w:before="72" w:line="228" w:lineRule="auto"/>
                    <w:ind w:left="354"/>
                    <w:rPr>
                      <w:sz w:val="20"/>
                      <w:szCs w:val="20"/>
                    </w:rPr>
                  </w:pPr>
                  <w:r>
                    <w:rPr>
                      <w:spacing w:val="8"/>
                      <w:sz w:val="20"/>
                      <w:szCs w:val="20"/>
                    </w:rPr>
                    <w:t>质的单位清运处置</w:t>
                  </w:r>
                </w:p>
              </w:tc>
            </w:tr>
            <w:tr w14:paraId="233AB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653" w:type="dxa"/>
                  <w:vAlign w:val="top"/>
                </w:tcPr>
                <w:p w14:paraId="719154B0">
                  <w:pPr>
                    <w:spacing w:line="385" w:lineRule="auto"/>
                    <w:rPr>
                      <w:rFonts w:ascii="Arial"/>
                      <w:sz w:val="21"/>
                    </w:rPr>
                  </w:pPr>
                </w:p>
                <w:p w14:paraId="5767AC7F">
                  <w:pPr>
                    <w:spacing w:before="57" w:line="195" w:lineRule="auto"/>
                    <w:ind w:left="33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18" w:type="dxa"/>
                  <w:vAlign w:val="top"/>
                </w:tcPr>
                <w:p w14:paraId="479A2265">
                  <w:pPr>
                    <w:pStyle w:val="6"/>
                    <w:spacing w:before="80" w:line="228" w:lineRule="auto"/>
                    <w:ind w:left="37"/>
                    <w:rPr>
                      <w:sz w:val="20"/>
                      <w:szCs w:val="20"/>
                    </w:rPr>
                  </w:pPr>
                  <w:r>
                    <w:rPr>
                      <w:spacing w:val="8"/>
                      <w:sz w:val="20"/>
                      <w:szCs w:val="20"/>
                    </w:rPr>
                    <w:t>废变压器油</w:t>
                  </w:r>
                </w:p>
                <w:p w14:paraId="6C6A78C1">
                  <w:pPr>
                    <w:pStyle w:val="6"/>
                    <w:spacing w:before="72" w:line="263" w:lineRule="auto"/>
                    <w:ind w:left="354" w:right="139" w:hanging="202"/>
                    <w:rPr>
                      <w:sz w:val="20"/>
                      <w:szCs w:val="20"/>
                    </w:rPr>
                  </w:pPr>
                  <w:r>
                    <w:rPr>
                      <w:spacing w:val="5"/>
                      <w:sz w:val="20"/>
                      <w:szCs w:val="20"/>
                    </w:rPr>
                    <w:t>（维修产</w:t>
                  </w:r>
                  <w:r>
                    <w:rPr>
                      <w:sz w:val="20"/>
                      <w:szCs w:val="20"/>
                    </w:rPr>
                    <w:t xml:space="preserve"> </w:t>
                  </w:r>
                  <w:r>
                    <w:rPr>
                      <w:spacing w:val="-1"/>
                      <w:sz w:val="20"/>
                      <w:szCs w:val="20"/>
                    </w:rPr>
                    <w:t>生）</w:t>
                  </w:r>
                </w:p>
              </w:tc>
              <w:tc>
                <w:tcPr>
                  <w:tcW w:w="1064" w:type="dxa"/>
                  <w:gridSpan w:val="2"/>
                  <w:vAlign w:val="top"/>
                </w:tcPr>
                <w:p w14:paraId="73977622">
                  <w:pPr>
                    <w:spacing w:line="332" w:lineRule="auto"/>
                    <w:rPr>
                      <w:rFonts w:ascii="Arial"/>
                      <w:sz w:val="21"/>
                    </w:rPr>
                  </w:pPr>
                </w:p>
                <w:p w14:paraId="33955C87">
                  <w:pPr>
                    <w:pStyle w:val="6"/>
                    <w:spacing w:before="65" w:line="228" w:lineRule="auto"/>
                    <w:ind w:left="118"/>
                    <w:rPr>
                      <w:sz w:val="20"/>
                      <w:szCs w:val="20"/>
                    </w:rPr>
                  </w:pPr>
                  <w:r>
                    <w:rPr>
                      <w:spacing w:val="6"/>
                      <w:sz w:val="20"/>
                      <w:szCs w:val="20"/>
                    </w:rPr>
                    <w:t>危险废物</w:t>
                  </w:r>
                </w:p>
              </w:tc>
              <w:tc>
                <w:tcPr>
                  <w:tcW w:w="1313" w:type="dxa"/>
                  <w:vAlign w:val="top"/>
                </w:tcPr>
                <w:p w14:paraId="590A1E9A">
                  <w:pPr>
                    <w:spacing w:line="332" w:lineRule="auto"/>
                    <w:rPr>
                      <w:rFonts w:ascii="Arial"/>
                      <w:sz w:val="21"/>
                    </w:rPr>
                  </w:pPr>
                </w:p>
                <w:p w14:paraId="675A36F8">
                  <w:pPr>
                    <w:pStyle w:val="6"/>
                    <w:spacing w:before="65" w:line="228" w:lineRule="auto"/>
                    <w:ind w:left="136"/>
                    <w:rPr>
                      <w:sz w:val="20"/>
                      <w:szCs w:val="20"/>
                    </w:rPr>
                  </w:pPr>
                  <w:r>
                    <w:rPr>
                      <w:spacing w:val="8"/>
                      <w:sz w:val="20"/>
                      <w:szCs w:val="20"/>
                    </w:rPr>
                    <w:t>变压器检修</w:t>
                  </w:r>
                </w:p>
              </w:tc>
              <w:tc>
                <w:tcPr>
                  <w:tcW w:w="784" w:type="dxa"/>
                  <w:gridSpan w:val="2"/>
                  <w:vAlign w:val="top"/>
                </w:tcPr>
                <w:p w14:paraId="0884D445">
                  <w:pPr>
                    <w:spacing w:line="332" w:lineRule="auto"/>
                    <w:rPr>
                      <w:rFonts w:ascii="Arial"/>
                      <w:sz w:val="21"/>
                    </w:rPr>
                  </w:pPr>
                </w:p>
                <w:p w14:paraId="6DF0086E">
                  <w:pPr>
                    <w:pStyle w:val="6"/>
                    <w:spacing w:before="65" w:line="228" w:lineRule="auto"/>
                    <w:ind w:left="188"/>
                    <w:rPr>
                      <w:sz w:val="20"/>
                      <w:szCs w:val="20"/>
                    </w:rPr>
                  </w:pPr>
                  <w:r>
                    <w:rPr>
                      <w:spacing w:val="3"/>
                      <w:sz w:val="20"/>
                      <w:szCs w:val="20"/>
                    </w:rPr>
                    <w:t>液态</w:t>
                  </w:r>
                </w:p>
              </w:tc>
              <w:tc>
                <w:tcPr>
                  <w:tcW w:w="1300" w:type="dxa"/>
                  <w:vAlign w:val="top"/>
                </w:tcPr>
                <w:p w14:paraId="0FB50598">
                  <w:pPr>
                    <w:spacing w:line="332" w:lineRule="auto"/>
                    <w:rPr>
                      <w:rFonts w:ascii="Arial"/>
                      <w:sz w:val="21"/>
                    </w:rPr>
                  </w:pPr>
                </w:p>
                <w:p w14:paraId="1EFF40CA">
                  <w:pPr>
                    <w:pStyle w:val="6"/>
                    <w:spacing w:before="65" w:line="228" w:lineRule="auto"/>
                    <w:ind w:left="340"/>
                    <w:rPr>
                      <w:sz w:val="20"/>
                      <w:szCs w:val="20"/>
                    </w:rPr>
                  </w:pPr>
                  <w:r>
                    <w:rPr>
                      <w:spacing w:val="7"/>
                      <w:sz w:val="20"/>
                      <w:szCs w:val="20"/>
                    </w:rPr>
                    <w:t>矿物油</w:t>
                  </w:r>
                </w:p>
              </w:tc>
              <w:tc>
                <w:tcPr>
                  <w:tcW w:w="903" w:type="dxa"/>
                  <w:vAlign w:val="top"/>
                </w:tcPr>
                <w:p w14:paraId="59DCAE6E">
                  <w:pPr>
                    <w:spacing w:line="332" w:lineRule="auto"/>
                    <w:rPr>
                      <w:rFonts w:ascii="Arial"/>
                      <w:sz w:val="21"/>
                    </w:rPr>
                  </w:pPr>
                </w:p>
                <w:p w14:paraId="45CEE60A">
                  <w:pPr>
                    <w:pStyle w:val="6"/>
                    <w:spacing w:before="65" w:line="228" w:lineRule="auto"/>
                    <w:ind w:left="113"/>
                    <w:rPr>
                      <w:sz w:val="20"/>
                      <w:szCs w:val="20"/>
                    </w:rPr>
                  </w:pPr>
                  <w:r>
                    <w:rPr>
                      <w:rFonts w:ascii="Times New Roman" w:hAnsi="Times New Roman" w:eastAsia="Times New Roman" w:cs="Times New Roman"/>
                      <w:spacing w:val="3"/>
                      <w:sz w:val="20"/>
                      <w:szCs w:val="20"/>
                    </w:rPr>
                    <w:t>5.43t/</w:t>
                  </w:r>
                  <w:r>
                    <w:rPr>
                      <w:spacing w:val="3"/>
                      <w:sz w:val="20"/>
                      <w:szCs w:val="20"/>
                    </w:rPr>
                    <w:t>次</w:t>
                  </w:r>
                </w:p>
              </w:tc>
              <w:tc>
                <w:tcPr>
                  <w:tcW w:w="2379" w:type="dxa"/>
                  <w:gridSpan w:val="2"/>
                  <w:vAlign w:val="top"/>
                </w:tcPr>
                <w:p w14:paraId="04970A08">
                  <w:pPr>
                    <w:pStyle w:val="6"/>
                    <w:spacing w:before="80" w:line="228" w:lineRule="auto"/>
                    <w:ind w:left="39"/>
                    <w:rPr>
                      <w:sz w:val="20"/>
                      <w:szCs w:val="20"/>
                    </w:rPr>
                  </w:pPr>
                  <w:r>
                    <w:rPr>
                      <w:spacing w:val="8"/>
                      <w:sz w:val="20"/>
                      <w:szCs w:val="20"/>
                    </w:rPr>
                    <w:t>集中收集后，暂存于危废</w:t>
                  </w:r>
                </w:p>
                <w:p w14:paraId="1CAB8779">
                  <w:pPr>
                    <w:pStyle w:val="6"/>
                    <w:spacing w:before="72" w:line="228" w:lineRule="auto"/>
                    <w:ind w:left="39"/>
                    <w:rPr>
                      <w:sz w:val="20"/>
                      <w:szCs w:val="20"/>
                    </w:rPr>
                  </w:pPr>
                  <w:r>
                    <w:rPr>
                      <w:spacing w:val="8"/>
                      <w:sz w:val="20"/>
                      <w:szCs w:val="20"/>
                    </w:rPr>
                    <w:t>贮存库，并委托有资质单</w:t>
                  </w:r>
                </w:p>
                <w:p w14:paraId="2A8A2797">
                  <w:pPr>
                    <w:pStyle w:val="6"/>
                    <w:spacing w:before="75" w:line="229" w:lineRule="auto"/>
                    <w:ind w:left="879"/>
                    <w:rPr>
                      <w:sz w:val="20"/>
                      <w:szCs w:val="20"/>
                    </w:rPr>
                  </w:pPr>
                  <w:r>
                    <w:rPr>
                      <w:spacing w:val="6"/>
                      <w:sz w:val="20"/>
                      <w:szCs w:val="20"/>
                    </w:rPr>
                    <w:t>位处置</w:t>
                  </w:r>
                </w:p>
              </w:tc>
            </w:tr>
            <w:tr w14:paraId="4D4A5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9" w:hRule="atLeast"/>
              </w:trPr>
              <w:tc>
                <w:tcPr>
                  <w:tcW w:w="653" w:type="dxa"/>
                  <w:vAlign w:val="top"/>
                </w:tcPr>
                <w:p w14:paraId="66AF0AFD">
                  <w:pPr>
                    <w:spacing w:line="287" w:lineRule="auto"/>
                    <w:rPr>
                      <w:rFonts w:ascii="Arial"/>
                      <w:sz w:val="21"/>
                    </w:rPr>
                  </w:pPr>
                </w:p>
                <w:p w14:paraId="45A165A0">
                  <w:pPr>
                    <w:spacing w:line="288" w:lineRule="auto"/>
                    <w:rPr>
                      <w:rFonts w:ascii="Arial"/>
                      <w:sz w:val="21"/>
                    </w:rPr>
                  </w:pPr>
                </w:p>
                <w:p w14:paraId="4AD82ED1">
                  <w:pPr>
                    <w:spacing w:line="288" w:lineRule="auto"/>
                    <w:rPr>
                      <w:rFonts w:ascii="Arial"/>
                      <w:sz w:val="21"/>
                    </w:rPr>
                  </w:pPr>
                </w:p>
                <w:p w14:paraId="467B904A">
                  <w:pPr>
                    <w:spacing w:before="58" w:line="192"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18" w:type="dxa"/>
                  <w:vAlign w:val="top"/>
                </w:tcPr>
                <w:p w14:paraId="0692479B">
                  <w:pPr>
                    <w:spacing w:line="245" w:lineRule="auto"/>
                    <w:rPr>
                      <w:rFonts w:ascii="Arial"/>
                      <w:sz w:val="21"/>
                    </w:rPr>
                  </w:pPr>
                </w:p>
                <w:p w14:paraId="45F81527">
                  <w:pPr>
                    <w:spacing w:line="246" w:lineRule="auto"/>
                    <w:rPr>
                      <w:rFonts w:ascii="Arial"/>
                      <w:sz w:val="21"/>
                    </w:rPr>
                  </w:pPr>
                </w:p>
                <w:p w14:paraId="25CDD68A">
                  <w:pPr>
                    <w:pStyle w:val="6"/>
                    <w:spacing w:before="65" w:line="228" w:lineRule="auto"/>
                    <w:ind w:left="141"/>
                    <w:rPr>
                      <w:sz w:val="20"/>
                      <w:szCs w:val="20"/>
                    </w:rPr>
                  </w:pPr>
                  <w:r>
                    <w:rPr>
                      <w:spacing w:val="7"/>
                      <w:sz w:val="20"/>
                      <w:szCs w:val="20"/>
                    </w:rPr>
                    <w:t>事故废油</w:t>
                  </w:r>
                </w:p>
                <w:p w14:paraId="763B70C1">
                  <w:pPr>
                    <w:pStyle w:val="6"/>
                    <w:spacing w:before="74" w:line="285" w:lineRule="auto"/>
                    <w:ind w:left="354" w:right="139" w:hanging="202"/>
                    <w:rPr>
                      <w:sz w:val="20"/>
                      <w:szCs w:val="20"/>
                    </w:rPr>
                  </w:pPr>
                  <w:r>
                    <w:rPr>
                      <w:spacing w:val="5"/>
                      <w:sz w:val="20"/>
                      <w:szCs w:val="20"/>
                    </w:rPr>
                    <w:t>（泄露产</w:t>
                  </w:r>
                  <w:r>
                    <w:rPr>
                      <w:sz w:val="20"/>
                      <w:szCs w:val="20"/>
                    </w:rPr>
                    <w:t xml:space="preserve"> </w:t>
                  </w:r>
                  <w:r>
                    <w:rPr>
                      <w:spacing w:val="-1"/>
                      <w:sz w:val="20"/>
                      <w:szCs w:val="20"/>
                    </w:rPr>
                    <w:t>生）</w:t>
                  </w:r>
                </w:p>
              </w:tc>
              <w:tc>
                <w:tcPr>
                  <w:tcW w:w="1064" w:type="dxa"/>
                  <w:gridSpan w:val="2"/>
                  <w:vAlign w:val="top"/>
                </w:tcPr>
                <w:p w14:paraId="61F27755">
                  <w:pPr>
                    <w:spacing w:line="270" w:lineRule="auto"/>
                    <w:rPr>
                      <w:rFonts w:ascii="Arial"/>
                      <w:sz w:val="21"/>
                    </w:rPr>
                  </w:pPr>
                </w:p>
                <w:p w14:paraId="3BEA5C85">
                  <w:pPr>
                    <w:spacing w:line="270" w:lineRule="auto"/>
                    <w:rPr>
                      <w:rFonts w:ascii="Arial"/>
                      <w:sz w:val="21"/>
                    </w:rPr>
                  </w:pPr>
                </w:p>
                <w:p w14:paraId="7644A625">
                  <w:pPr>
                    <w:spacing w:line="271" w:lineRule="auto"/>
                    <w:rPr>
                      <w:rFonts w:ascii="Arial"/>
                      <w:sz w:val="21"/>
                    </w:rPr>
                  </w:pPr>
                </w:p>
                <w:p w14:paraId="764EBFE7">
                  <w:pPr>
                    <w:pStyle w:val="6"/>
                    <w:spacing w:before="65" w:line="228" w:lineRule="auto"/>
                    <w:ind w:left="118"/>
                    <w:rPr>
                      <w:sz w:val="20"/>
                      <w:szCs w:val="20"/>
                    </w:rPr>
                  </w:pPr>
                  <w:r>
                    <w:rPr>
                      <w:spacing w:val="6"/>
                      <w:sz w:val="20"/>
                      <w:szCs w:val="20"/>
                    </w:rPr>
                    <w:t>危险废物</w:t>
                  </w:r>
                </w:p>
              </w:tc>
              <w:tc>
                <w:tcPr>
                  <w:tcW w:w="1313" w:type="dxa"/>
                  <w:vAlign w:val="top"/>
                </w:tcPr>
                <w:p w14:paraId="36CF9930">
                  <w:pPr>
                    <w:spacing w:line="325" w:lineRule="auto"/>
                    <w:rPr>
                      <w:rFonts w:ascii="Arial"/>
                      <w:sz w:val="21"/>
                    </w:rPr>
                  </w:pPr>
                </w:p>
                <w:p w14:paraId="29B4B7AA">
                  <w:pPr>
                    <w:spacing w:line="326" w:lineRule="auto"/>
                    <w:rPr>
                      <w:rFonts w:ascii="Arial"/>
                      <w:sz w:val="21"/>
                    </w:rPr>
                  </w:pPr>
                </w:p>
                <w:p w14:paraId="17A6A66B">
                  <w:pPr>
                    <w:pStyle w:val="6"/>
                    <w:spacing w:before="65" w:line="280" w:lineRule="auto"/>
                    <w:ind w:left="558" w:right="27" w:hanging="527"/>
                    <w:rPr>
                      <w:sz w:val="20"/>
                      <w:szCs w:val="20"/>
                    </w:rPr>
                  </w:pPr>
                  <w:r>
                    <w:rPr>
                      <w:spacing w:val="8"/>
                      <w:sz w:val="20"/>
                      <w:szCs w:val="20"/>
                    </w:rPr>
                    <w:t>变压器事故情</w:t>
                  </w:r>
                  <w:r>
                    <w:rPr>
                      <w:sz w:val="20"/>
                      <w:szCs w:val="20"/>
                    </w:rPr>
                    <w:t xml:space="preserve"> 况</w:t>
                  </w:r>
                </w:p>
              </w:tc>
              <w:tc>
                <w:tcPr>
                  <w:tcW w:w="784" w:type="dxa"/>
                  <w:gridSpan w:val="2"/>
                  <w:vAlign w:val="top"/>
                </w:tcPr>
                <w:p w14:paraId="56CFFBD9">
                  <w:pPr>
                    <w:spacing w:line="270" w:lineRule="auto"/>
                    <w:rPr>
                      <w:rFonts w:ascii="Arial"/>
                      <w:sz w:val="21"/>
                    </w:rPr>
                  </w:pPr>
                </w:p>
                <w:p w14:paraId="60D0D0AD">
                  <w:pPr>
                    <w:spacing w:line="270" w:lineRule="auto"/>
                    <w:rPr>
                      <w:rFonts w:ascii="Arial"/>
                      <w:sz w:val="21"/>
                    </w:rPr>
                  </w:pPr>
                </w:p>
                <w:p w14:paraId="08138120">
                  <w:pPr>
                    <w:spacing w:line="271" w:lineRule="auto"/>
                    <w:rPr>
                      <w:rFonts w:ascii="Arial"/>
                      <w:sz w:val="21"/>
                    </w:rPr>
                  </w:pPr>
                </w:p>
                <w:p w14:paraId="773AD61A">
                  <w:pPr>
                    <w:pStyle w:val="6"/>
                    <w:spacing w:before="65" w:line="228" w:lineRule="auto"/>
                    <w:ind w:left="188"/>
                    <w:rPr>
                      <w:sz w:val="20"/>
                      <w:szCs w:val="20"/>
                    </w:rPr>
                  </w:pPr>
                  <w:r>
                    <w:rPr>
                      <w:spacing w:val="3"/>
                      <w:sz w:val="20"/>
                      <w:szCs w:val="20"/>
                    </w:rPr>
                    <w:t>液态</w:t>
                  </w:r>
                </w:p>
              </w:tc>
              <w:tc>
                <w:tcPr>
                  <w:tcW w:w="1300" w:type="dxa"/>
                  <w:vAlign w:val="top"/>
                </w:tcPr>
                <w:p w14:paraId="6361CAE8">
                  <w:pPr>
                    <w:spacing w:line="270" w:lineRule="auto"/>
                    <w:rPr>
                      <w:rFonts w:ascii="Arial"/>
                      <w:sz w:val="21"/>
                    </w:rPr>
                  </w:pPr>
                </w:p>
                <w:p w14:paraId="125F317A">
                  <w:pPr>
                    <w:spacing w:line="270" w:lineRule="auto"/>
                    <w:rPr>
                      <w:rFonts w:ascii="Arial"/>
                      <w:sz w:val="21"/>
                    </w:rPr>
                  </w:pPr>
                </w:p>
                <w:p w14:paraId="370B537E">
                  <w:pPr>
                    <w:spacing w:line="270" w:lineRule="auto"/>
                    <w:rPr>
                      <w:rFonts w:ascii="Arial"/>
                      <w:sz w:val="21"/>
                    </w:rPr>
                  </w:pPr>
                </w:p>
                <w:p w14:paraId="72C69EC2">
                  <w:pPr>
                    <w:pStyle w:val="6"/>
                    <w:spacing w:before="65" w:line="228" w:lineRule="auto"/>
                    <w:ind w:left="340"/>
                    <w:rPr>
                      <w:sz w:val="20"/>
                      <w:szCs w:val="20"/>
                    </w:rPr>
                  </w:pPr>
                  <w:r>
                    <w:rPr>
                      <w:spacing w:val="7"/>
                      <w:sz w:val="20"/>
                      <w:szCs w:val="20"/>
                    </w:rPr>
                    <w:t>矿物油</w:t>
                  </w:r>
                </w:p>
              </w:tc>
              <w:tc>
                <w:tcPr>
                  <w:tcW w:w="903" w:type="dxa"/>
                  <w:vAlign w:val="top"/>
                </w:tcPr>
                <w:p w14:paraId="4CBC9E1B">
                  <w:pPr>
                    <w:spacing w:line="333" w:lineRule="auto"/>
                    <w:rPr>
                      <w:rFonts w:ascii="Arial"/>
                      <w:sz w:val="21"/>
                    </w:rPr>
                  </w:pPr>
                </w:p>
                <w:p w14:paraId="76E00DDE">
                  <w:pPr>
                    <w:pStyle w:val="6"/>
                    <w:spacing w:before="65" w:line="294" w:lineRule="auto"/>
                    <w:ind w:left="74" w:right="31" w:hanging="47"/>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8.69t/</w:t>
                  </w:r>
                  <w:r>
                    <w:rPr>
                      <w:spacing w:val="-3"/>
                      <w:sz w:val="20"/>
                      <w:szCs w:val="20"/>
                    </w:rPr>
                    <w:t>次，</w:t>
                  </w:r>
                  <w:r>
                    <w:rPr>
                      <w:sz w:val="20"/>
                      <w:szCs w:val="20"/>
                    </w:rPr>
                    <w:t xml:space="preserve"> </w:t>
                  </w:r>
                  <w:r>
                    <w:rPr>
                      <w:spacing w:val="29"/>
                      <w:sz w:val="20"/>
                      <w:szCs w:val="20"/>
                    </w:rPr>
                    <w:t>最大值</w:t>
                  </w:r>
                  <w:r>
                    <w:rPr>
                      <w:sz w:val="20"/>
                      <w:szCs w:val="20"/>
                    </w:rPr>
                    <w:t xml:space="preserve">  </w:t>
                  </w:r>
                  <w:r>
                    <w:rPr>
                      <w:rFonts w:ascii="Times New Roman" w:hAnsi="Times New Roman" w:eastAsia="Times New Roman" w:cs="Times New Roman"/>
                      <w:spacing w:val="1"/>
                      <w:sz w:val="20"/>
                      <w:szCs w:val="20"/>
                    </w:rPr>
                    <w:t>108.626t/</w:t>
                  </w:r>
                </w:p>
                <w:p w14:paraId="1E110909">
                  <w:pPr>
                    <w:pStyle w:val="6"/>
                    <w:spacing w:before="40" w:line="228" w:lineRule="auto"/>
                    <w:ind w:left="359"/>
                    <w:rPr>
                      <w:sz w:val="20"/>
                      <w:szCs w:val="20"/>
                    </w:rPr>
                  </w:pPr>
                  <w:r>
                    <w:rPr>
                      <w:sz w:val="20"/>
                      <w:szCs w:val="20"/>
                    </w:rPr>
                    <w:t>次</w:t>
                  </w:r>
                </w:p>
              </w:tc>
              <w:tc>
                <w:tcPr>
                  <w:tcW w:w="2379" w:type="dxa"/>
                  <w:gridSpan w:val="2"/>
                  <w:vAlign w:val="top"/>
                </w:tcPr>
                <w:p w14:paraId="7CBF7506">
                  <w:pPr>
                    <w:pStyle w:val="6"/>
                    <w:spacing w:before="79" w:line="290" w:lineRule="auto"/>
                    <w:ind w:left="38" w:right="34"/>
                    <w:jc w:val="both"/>
                    <w:rPr>
                      <w:sz w:val="20"/>
                      <w:szCs w:val="20"/>
                    </w:rPr>
                  </w:pPr>
                  <w:r>
                    <w:rPr>
                      <w:spacing w:val="8"/>
                      <w:sz w:val="20"/>
                      <w:szCs w:val="20"/>
                    </w:rPr>
                    <w:t>集中收集后，暂存于危废</w:t>
                  </w:r>
                  <w:r>
                    <w:rPr>
                      <w:spacing w:val="9"/>
                      <w:sz w:val="20"/>
                      <w:szCs w:val="20"/>
                    </w:rPr>
                    <w:t xml:space="preserve"> 贮存库，并委托有资质单</w:t>
                  </w:r>
                  <w:r>
                    <w:rPr>
                      <w:sz w:val="20"/>
                      <w:szCs w:val="20"/>
                    </w:rPr>
                    <w:t xml:space="preserve"> </w:t>
                  </w:r>
                  <w:r>
                    <w:rPr>
                      <w:spacing w:val="9"/>
                      <w:sz w:val="20"/>
                      <w:szCs w:val="20"/>
                    </w:rPr>
                    <w:t>位处置；最不利情况下由</w:t>
                  </w:r>
                  <w:r>
                    <w:rPr>
                      <w:sz w:val="20"/>
                      <w:szCs w:val="20"/>
                    </w:rPr>
                    <w:t xml:space="preserve"> </w:t>
                  </w:r>
                  <w:r>
                    <w:rPr>
                      <w:spacing w:val="9"/>
                      <w:sz w:val="20"/>
                      <w:szCs w:val="20"/>
                    </w:rPr>
                    <w:t>事故油池联合收集后立即</w:t>
                  </w:r>
                  <w:r>
                    <w:rPr>
                      <w:spacing w:val="1"/>
                      <w:sz w:val="20"/>
                      <w:szCs w:val="20"/>
                    </w:rPr>
                    <w:t xml:space="preserve"> </w:t>
                  </w:r>
                  <w:r>
                    <w:rPr>
                      <w:spacing w:val="9"/>
                      <w:sz w:val="20"/>
                      <w:szCs w:val="20"/>
                    </w:rPr>
                    <w:t>委托有资质单位上门清运</w:t>
                  </w:r>
                </w:p>
                <w:p w14:paraId="0B18EB59">
                  <w:pPr>
                    <w:pStyle w:val="6"/>
                    <w:spacing w:before="29" w:line="230" w:lineRule="auto"/>
                    <w:ind w:left="883"/>
                    <w:rPr>
                      <w:sz w:val="20"/>
                      <w:szCs w:val="20"/>
                    </w:rPr>
                  </w:pPr>
                  <w:r>
                    <w:rPr>
                      <w:spacing w:val="1"/>
                      <w:sz w:val="20"/>
                      <w:szCs w:val="20"/>
                    </w:rPr>
                    <w:t>处置。</w:t>
                  </w:r>
                </w:p>
              </w:tc>
            </w:tr>
            <w:tr w14:paraId="514D4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653" w:type="dxa"/>
                  <w:vAlign w:val="top"/>
                </w:tcPr>
                <w:p w14:paraId="7971EA0C">
                  <w:pPr>
                    <w:spacing w:before="285" w:line="195"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18" w:type="dxa"/>
                  <w:vAlign w:val="top"/>
                </w:tcPr>
                <w:p w14:paraId="7B1B84EA">
                  <w:pPr>
                    <w:pStyle w:val="6"/>
                    <w:spacing w:before="240" w:line="228" w:lineRule="auto"/>
                    <w:ind w:left="37"/>
                    <w:rPr>
                      <w:sz w:val="20"/>
                      <w:szCs w:val="20"/>
                    </w:rPr>
                  </w:pPr>
                  <w:r>
                    <w:rPr>
                      <w:spacing w:val="8"/>
                      <w:sz w:val="20"/>
                      <w:szCs w:val="20"/>
                    </w:rPr>
                    <w:t>废铅酸电池</w:t>
                  </w:r>
                </w:p>
              </w:tc>
              <w:tc>
                <w:tcPr>
                  <w:tcW w:w="1064" w:type="dxa"/>
                  <w:gridSpan w:val="2"/>
                  <w:vAlign w:val="top"/>
                </w:tcPr>
                <w:p w14:paraId="13CC203B">
                  <w:pPr>
                    <w:pStyle w:val="6"/>
                    <w:spacing w:before="240" w:line="228" w:lineRule="auto"/>
                    <w:ind w:left="118"/>
                    <w:rPr>
                      <w:sz w:val="20"/>
                      <w:szCs w:val="20"/>
                    </w:rPr>
                  </w:pPr>
                  <w:r>
                    <w:rPr>
                      <w:spacing w:val="6"/>
                      <w:sz w:val="20"/>
                      <w:szCs w:val="20"/>
                    </w:rPr>
                    <w:t>危险废物</w:t>
                  </w:r>
                </w:p>
              </w:tc>
              <w:tc>
                <w:tcPr>
                  <w:tcW w:w="1313" w:type="dxa"/>
                  <w:vAlign w:val="top"/>
                </w:tcPr>
                <w:p w14:paraId="676E3F45">
                  <w:pPr>
                    <w:pStyle w:val="6"/>
                    <w:spacing w:before="240" w:line="228" w:lineRule="auto"/>
                    <w:ind w:left="161"/>
                    <w:rPr>
                      <w:sz w:val="20"/>
                      <w:szCs w:val="20"/>
                    </w:rPr>
                  </w:pPr>
                  <w:r>
                    <w:rPr>
                      <w:spacing w:val="3"/>
                      <w:sz w:val="20"/>
                      <w:szCs w:val="20"/>
                    </w:rPr>
                    <w:t>电池组更换</w:t>
                  </w:r>
                </w:p>
              </w:tc>
              <w:tc>
                <w:tcPr>
                  <w:tcW w:w="784" w:type="dxa"/>
                  <w:gridSpan w:val="2"/>
                  <w:vAlign w:val="top"/>
                </w:tcPr>
                <w:p w14:paraId="1EB0355E">
                  <w:pPr>
                    <w:pStyle w:val="6"/>
                    <w:spacing w:before="240" w:line="228" w:lineRule="auto"/>
                    <w:ind w:left="204"/>
                    <w:rPr>
                      <w:sz w:val="20"/>
                      <w:szCs w:val="20"/>
                    </w:rPr>
                  </w:pPr>
                  <w:r>
                    <w:rPr>
                      <w:spacing w:val="-5"/>
                      <w:sz w:val="20"/>
                      <w:szCs w:val="20"/>
                    </w:rPr>
                    <w:t>固态</w:t>
                  </w:r>
                </w:p>
              </w:tc>
              <w:tc>
                <w:tcPr>
                  <w:tcW w:w="1300" w:type="dxa"/>
                  <w:vAlign w:val="top"/>
                </w:tcPr>
                <w:p w14:paraId="14EFA6C5">
                  <w:pPr>
                    <w:pStyle w:val="6"/>
                    <w:spacing w:before="239" w:line="229" w:lineRule="auto"/>
                    <w:ind w:left="235"/>
                    <w:rPr>
                      <w:sz w:val="20"/>
                      <w:szCs w:val="20"/>
                    </w:rPr>
                  </w:pPr>
                  <w:r>
                    <w:rPr>
                      <w:spacing w:val="8"/>
                      <w:sz w:val="20"/>
                      <w:szCs w:val="20"/>
                    </w:rPr>
                    <w:t>铅、硫酸</w:t>
                  </w:r>
                </w:p>
              </w:tc>
              <w:tc>
                <w:tcPr>
                  <w:tcW w:w="903" w:type="dxa"/>
                  <w:vAlign w:val="top"/>
                </w:tcPr>
                <w:p w14:paraId="6DD23C97">
                  <w:pPr>
                    <w:spacing w:before="281" w:line="199"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3.64t/a</w:t>
                  </w:r>
                </w:p>
              </w:tc>
              <w:tc>
                <w:tcPr>
                  <w:tcW w:w="2379" w:type="dxa"/>
                  <w:gridSpan w:val="2"/>
                  <w:vAlign w:val="top"/>
                </w:tcPr>
                <w:p w14:paraId="195C09DB">
                  <w:pPr>
                    <w:pStyle w:val="6"/>
                    <w:spacing w:before="82" w:line="262" w:lineRule="auto"/>
                    <w:ind w:left="573" w:right="36" w:hanging="532"/>
                    <w:rPr>
                      <w:sz w:val="20"/>
                      <w:szCs w:val="20"/>
                    </w:rPr>
                  </w:pPr>
                  <w:r>
                    <w:rPr>
                      <w:spacing w:val="8"/>
                      <w:sz w:val="20"/>
                      <w:szCs w:val="20"/>
                    </w:rPr>
                    <w:t>危废贮存库暂存、委托有</w:t>
                  </w:r>
                  <w:r>
                    <w:rPr>
                      <w:spacing w:val="6"/>
                      <w:sz w:val="20"/>
                      <w:szCs w:val="20"/>
                    </w:rPr>
                    <w:t xml:space="preserve"> 资质单位处置</w:t>
                  </w:r>
                </w:p>
              </w:tc>
            </w:tr>
            <w:tr w14:paraId="60813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514" w:type="dxa"/>
                  <w:gridSpan w:val="11"/>
                  <w:tcBorders>
                    <w:right w:val="nil"/>
                  </w:tcBorders>
                  <w:vAlign w:val="top"/>
                </w:tcPr>
                <w:p w14:paraId="45432010">
                  <w:pPr>
                    <w:pStyle w:val="6"/>
                    <w:spacing w:before="33" w:line="216" w:lineRule="auto"/>
                    <w:ind w:left="3657"/>
                    <w:rPr>
                      <w:sz w:val="20"/>
                      <w:szCs w:val="20"/>
                    </w:rPr>
                  </w:pPr>
                  <w:r>
                    <w:rPr>
                      <w:b/>
                      <w:bCs/>
                      <w:spacing w:val="5"/>
                      <w:sz w:val="20"/>
                      <w:szCs w:val="20"/>
                    </w:rPr>
                    <w:t>表</w:t>
                  </w:r>
                  <w:r>
                    <w:rPr>
                      <w:spacing w:val="-42"/>
                      <w:sz w:val="20"/>
                      <w:szCs w:val="20"/>
                    </w:rPr>
                    <w:t xml:space="preserve"> </w:t>
                  </w:r>
                  <w:r>
                    <w:rPr>
                      <w:rFonts w:ascii="Times New Roman" w:hAnsi="Times New Roman" w:eastAsia="Times New Roman" w:cs="Times New Roman"/>
                      <w:b/>
                      <w:bCs/>
                      <w:spacing w:val="5"/>
                      <w:sz w:val="20"/>
                      <w:szCs w:val="20"/>
                    </w:rPr>
                    <w:t>4-13</w:t>
                  </w:r>
                  <w:r>
                    <w:rPr>
                      <w:rFonts w:ascii="Times New Roman" w:hAnsi="Times New Roman" w:eastAsia="Times New Roman" w:cs="Times New Roman"/>
                      <w:b/>
                      <w:bCs/>
                      <w:spacing w:val="1"/>
                      <w:sz w:val="20"/>
                      <w:szCs w:val="20"/>
                    </w:rPr>
                    <w:t xml:space="preserve">    </w:t>
                  </w:r>
                  <w:r>
                    <w:rPr>
                      <w:b/>
                      <w:bCs/>
                      <w:spacing w:val="5"/>
                      <w:sz w:val="20"/>
                      <w:szCs w:val="20"/>
                    </w:rPr>
                    <w:t>危险废物汇总表</w:t>
                  </w:r>
                </w:p>
              </w:tc>
            </w:tr>
            <w:tr w14:paraId="05CA1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55" w:type="dxa"/>
                  <w:gridSpan w:val="3"/>
                  <w:vAlign w:val="top"/>
                </w:tcPr>
                <w:p w14:paraId="34C8401D">
                  <w:pPr>
                    <w:pStyle w:val="6"/>
                    <w:spacing w:before="79" w:line="229" w:lineRule="auto"/>
                    <w:ind w:left="928"/>
                    <w:rPr>
                      <w:sz w:val="20"/>
                      <w:szCs w:val="20"/>
                    </w:rPr>
                  </w:pPr>
                  <w:r>
                    <w:rPr>
                      <w:b/>
                      <w:bCs/>
                      <w:spacing w:val="4"/>
                      <w:sz w:val="20"/>
                      <w:szCs w:val="20"/>
                    </w:rPr>
                    <w:t>序号</w:t>
                  </w:r>
                </w:p>
              </w:tc>
              <w:tc>
                <w:tcPr>
                  <w:tcW w:w="2581" w:type="dxa"/>
                  <w:gridSpan w:val="3"/>
                  <w:vAlign w:val="top"/>
                </w:tcPr>
                <w:p w14:paraId="39C4C3B5">
                  <w:pPr>
                    <w:spacing w:before="108" w:line="195" w:lineRule="auto"/>
                    <w:ind w:left="12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76" w:type="dxa"/>
                  <w:gridSpan w:val="4"/>
                  <w:vAlign w:val="top"/>
                </w:tcPr>
                <w:p w14:paraId="4AE832A3">
                  <w:pPr>
                    <w:spacing w:before="108" w:line="195" w:lineRule="auto"/>
                    <w:ind w:left="123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02" w:type="dxa"/>
                  <w:vAlign w:val="top"/>
                </w:tcPr>
                <w:p w14:paraId="357A3B06">
                  <w:pPr>
                    <w:spacing w:before="108" w:line="195" w:lineRule="auto"/>
                    <w:ind w:left="105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26794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155" w:type="dxa"/>
                  <w:gridSpan w:val="3"/>
                  <w:vAlign w:val="top"/>
                </w:tcPr>
                <w:p w14:paraId="0F04CDCD">
                  <w:pPr>
                    <w:pStyle w:val="6"/>
                    <w:spacing w:before="147" w:line="228" w:lineRule="auto"/>
                    <w:ind w:left="509"/>
                    <w:rPr>
                      <w:sz w:val="20"/>
                      <w:szCs w:val="20"/>
                    </w:rPr>
                  </w:pPr>
                  <w:r>
                    <w:rPr>
                      <w:b/>
                      <w:bCs/>
                      <w:spacing w:val="6"/>
                      <w:sz w:val="20"/>
                      <w:szCs w:val="20"/>
                    </w:rPr>
                    <w:t>危险废物名称</w:t>
                  </w:r>
                </w:p>
              </w:tc>
              <w:tc>
                <w:tcPr>
                  <w:tcW w:w="2581" w:type="dxa"/>
                  <w:gridSpan w:val="3"/>
                  <w:vAlign w:val="top"/>
                </w:tcPr>
                <w:p w14:paraId="6032A38E">
                  <w:pPr>
                    <w:pStyle w:val="6"/>
                    <w:spacing w:before="137" w:line="228" w:lineRule="auto"/>
                    <w:ind w:left="139"/>
                    <w:rPr>
                      <w:sz w:val="20"/>
                      <w:szCs w:val="20"/>
                    </w:rPr>
                  </w:pPr>
                  <w:r>
                    <w:rPr>
                      <w:spacing w:val="8"/>
                      <w:sz w:val="20"/>
                      <w:szCs w:val="20"/>
                    </w:rPr>
                    <w:t>废变压器油（维修产生）</w:t>
                  </w:r>
                </w:p>
              </w:tc>
              <w:tc>
                <w:tcPr>
                  <w:tcW w:w="2576" w:type="dxa"/>
                  <w:gridSpan w:val="4"/>
                  <w:vAlign w:val="top"/>
                </w:tcPr>
                <w:p w14:paraId="0968121F">
                  <w:pPr>
                    <w:pStyle w:val="6"/>
                    <w:spacing w:before="137" w:line="228" w:lineRule="auto"/>
                    <w:ind w:left="244"/>
                    <w:rPr>
                      <w:sz w:val="20"/>
                      <w:szCs w:val="20"/>
                    </w:rPr>
                  </w:pPr>
                  <w:r>
                    <w:rPr>
                      <w:spacing w:val="8"/>
                      <w:sz w:val="20"/>
                      <w:szCs w:val="20"/>
                    </w:rPr>
                    <w:t>事故废油（泄露产生）</w:t>
                  </w:r>
                </w:p>
              </w:tc>
              <w:tc>
                <w:tcPr>
                  <w:tcW w:w="2202" w:type="dxa"/>
                  <w:vAlign w:val="top"/>
                </w:tcPr>
                <w:p w14:paraId="56FDE16B">
                  <w:pPr>
                    <w:pStyle w:val="6"/>
                    <w:spacing w:before="138" w:line="228" w:lineRule="auto"/>
                    <w:ind w:left="581"/>
                    <w:rPr>
                      <w:sz w:val="20"/>
                      <w:szCs w:val="20"/>
                    </w:rPr>
                  </w:pPr>
                  <w:r>
                    <w:rPr>
                      <w:spacing w:val="8"/>
                      <w:sz w:val="20"/>
                      <w:szCs w:val="20"/>
                    </w:rPr>
                    <w:t>废铅酸电池</w:t>
                  </w:r>
                </w:p>
              </w:tc>
            </w:tr>
            <w:tr w14:paraId="0DC1F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2155" w:type="dxa"/>
                  <w:gridSpan w:val="3"/>
                  <w:vAlign w:val="top"/>
                </w:tcPr>
                <w:p w14:paraId="298BA9C5">
                  <w:pPr>
                    <w:pStyle w:val="6"/>
                    <w:spacing w:before="239" w:line="228" w:lineRule="auto"/>
                    <w:ind w:left="509"/>
                    <w:rPr>
                      <w:sz w:val="20"/>
                      <w:szCs w:val="20"/>
                    </w:rPr>
                  </w:pPr>
                  <w:r>
                    <w:rPr>
                      <w:b/>
                      <w:bCs/>
                      <w:spacing w:val="6"/>
                      <w:sz w:val="20"/>
                      <w:szCs w:val="20"/>
                    </w:rPr>
                    <w:t>危险废物类别</w:t>
                  </w:r>
                </w:p>
              </w:tc>
              <w:tc>
                <w:tcPr>
                  <w:tcW w:w="2581" w:type="dxa"/>
                  <w:gridSpan w:val="3"/>
                  <w:vAlign w:val="top"/>
                </w:tcPr>
                <w:p w14:paraId="597B8B52">
                  <w:pPr>
                    <w:pStyle w:val="6"/>
                    <w:spacing w:before="82" w:line="262" w:lineRule="auto"/>
                    <w:ind w:left="1084" w:right="39" w:hanging="1045"/>
                    <w:rPr>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08 </w:t>
                  </w:r>
                  <w:r>
                    <w:rPr>
                      <w:spacing w:val="9"/>
                      <w:sz w:val="20"/>
                      <w:szCs w:val="20"/>
                    </w:rPr>
                    <w:t>废矿物油与含矿物油</w:t>
                  </w:r>
                  <w:r>
                    <w:rPr>
                      <w:spacing w:val="5"/>
                      <w:sz w:val="20"/>
                      <w:szCs w:val="20"/>
                    </w:rPr>
                    <w:t xml:space="preserve"> 废物</w:t>
                  </w:r>
                </w:p>
              </w:tc>
              <w:tc>
                <w:tcPr>
                  <w:tcW w:w="2576" w:type="dxa"/>
                  <w:gridSpan w:val="4"/>
                  <w:vAlign w:val="top"/>
                </w:tcPr>
                <w:p w14:paraId="31F4CC0A">
                  <w:pPr>
                    <w:pStyle w:val="6"/>
                    <w:spacing w:before="71" w:line="267" w:lineRule="auto"/>
                    <w:ind w:left="1083" w:right="35" w:hanging="1045"/>
                    <w:rPr>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08 </w:t>
                  </w:r>
                  <w:r>
                    <w:rPr>
                      <w:spacing w:val="9"/>
                      <w:sz w:val="20"/>
                      <w:szCs w:val="20"/>
                    </w:rPr>
                    <w:t>废矿物油与含矿物油</w:t>
                  </w:r>
                  <w:r>
                    <w:rPr>
                      <w:spacing w:val="5"/>
                      <w:sz w:val="20"/>
                      <w:szCs w:val="20"/>
                    </w:rPr>
                    <w:t xml:space="preserve"> 废物</w:t>
                  </w:r>
                </w:p>
              </w:tc>
              <w:tc>
                <w:tcPr>
                  <w:tcW w:w="2202" w:type="dxa"/>
                  <w:vAlign w:val="top"/>
                </w:tcPr>
                <w:p w14:paraId="34F3BCE0">
                  <w:pPr>
                    <w:pStyle w:val="6"/>
                    <w:spacing w:before="232" w:line="228" w:lineRule="auto"/>
                    <w:ind w:left="375"/>
                    <w:rPr>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31 </w:t>
                  </w:r>
                  <w:r>
                    <w:rPr>
                      <w:spacing w:val="9"/>
                      <w:sz w:val="20"/>
                      <w:szCs w:val="20"/>
                    </w:rPr>
                    <w:t>含铅废物</w:t>
                  </w:r>
                </w:p>
              </w:tc>
            </w:tr>
            <w:tr w14:paraId="141F2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55" w:type="dxa"/>
                  <w:gridSpan w:val="3"/>
                  <w:vAlign w:val="top"/>
                </w:tcPr>
                <w:p w14:paraId="27A56B38">
                  <w:pPr>
                    <w:pStyle w:val="6"/>
                    <w:spacing w:before="80" w:line="228" w:lineRule="auto"/>
                    <w:ind w:left="509"/>
                    <w:rPr>
                      <w:sz w:val="20"/>
                      <w:szCs w:val="20"/>
                    </w:rPr>
                  </w:pPr>
                  <w:r>
                    <w:rPr>
                      <w:b/>
                      <w:bCs/>
                      <w:spacing w:val="6"/>
                      <w:sz w:val="20"/>
                      <w:szCs w:val="20"/>
                    </w:rPr>
                    <w:t>危险废物代码</w:t>
                  </w:r>
                </w:p>
              </w:tc>
              <w:tc>
                <w:tcPr>
                  <w:tcW w:w="2581" w:type="dxa"/>
                  <w:gridSpan w:val="3"/>
                  <w:vAlign w:val="top"/>
                </w:tcPr>
                <w:p w14:paraId="4A105FCD">
                  <w:pPr>
                    <w:spacing w:before="124" w:line="195"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900-220-08</w:t>
                  </w:r>
                </w:p>
              </w:tc>
              <w:tc>
                <w:tcPr>
                  <w:tcW w:w="2576" w:type="dxa"/>
                  <w:gridSpan w:val="4"/>
                  <w:vAlign w:val="top"/>
                </w:tcPr>
                <w:p w14:paraId="443A5C42">
                  <w:pPr>
                    <w:spacing w:before="107" w:line="195" w:lineRule="auto"/>
                    <w:ind w:left="8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900-220-08</w:t>
                  </w:r>
                </w:p>
              </w:tc>
              <w:tc>
                <w:tcPr>
                  <w:tcW w:w="2202" w:type="dxa"/>
                  <w:vAlign w:val="top"/>
                </w:tcPr>
                <w:p w14:paraId="1A8D01D9">
                  <w:pPr>
                    <w:spacing w:before="107"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900-052-31</w:t>
                  </w:r>
                </w:p>
              </w:tc>
            </w:tr>
            <w:tr w14:paraId="206C2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2155" w:type="dxa"/>
                  <w:gridSpan w:val="3"/>
                  <w:vAlign w:val="top"/>
                </w:tcPr>
                <w:p w14:paraId="0DAF0759">
                  <w:pPr>
                    <w:pStyle w:val="6"/>
                    <w:spacing w:before="78" w:line="228" w:lineRule="auto"/>
                    <w:ind w:left="612"/>
                    <w:rPr>
                      <w:sz w:val="20"/>
                      <w:szCs w:val="20"/>
                    </w:rPr>
                  </w:pPr>
                  <w:r>
                    <w:rPr>
                      <w:b/>
                      <w:bCs/>
                      <w:spacing w:val="6"/>
                      <w:sz w:val="20"/>
                      <w:szCs w:val="20"/>
                    </w:rPr>
                    <w:t>产生量合计</w:t>
                  </w:r>
                </w:p>
              </w:tc>
              <w:tc>
                <w:tcPr>
                  <w:tcW w:w="2581" w:type="dxa"/>
                  <w:gridSpan w:val="3"/>
                  <w:vAlign w:val="top"/>
                </w:tcPr>
                <w:p w14:paraId="5F77D624">
                  <w:pPr>
                    <w:pStyle w:val="6"/>
                    <w:spacing w:before="78" w:line="228" w:lineRule="auto"/>
                    <w:ind w:left="950"/>
                    <w:rPr>
                      <w:sz w:val="20"/>
                      <w:szCs w:val="20"/>
                    </w:rPr>
                  </w:pPr>
                  <w:r>
                    <w:rPr>
                      <w:rFonts w:ascii="Times New Roman" w:hAnsi="Times New Roman" w:eastAsia="Times New Roman" w:cs="Times New Roman"/>
                      <w:spacing w:val="3"/>
                      <w:sz w:val="20"/>
                      <w:szCs w:val="20"/>
                    </w:rPr>
                    <w:t>5.43t/</w:t>
                  </w:r>
                  <w:r>
                    <w:rPr>
                      <w:spacing w:val="3"/>
                      <w:sz w:val="20"/>
                      <w:szCs w:val="20"/>
                    </w:rPr>
                    <w:t>次</w:t>
                  </w:r>
                </w:p>
              </w:tc>
              <w:tc>
                <w:tcPr>
                  <w:tcW w:w="2576" w:type="dxa"/>
                  <w:gridSpan w:val="4"/>
                  <w:vAlign w:val="top"/>
                </w:tcPr>
                <w:p w14:paraId="6FED2943">
                  <w:pPr>
                    <w:pStyle w:val="6"/>
                    <w:spacing w:before="80" w:line="263" w:lineRule="auto"/>
                    <w:ind w:left="1195" w:right="92" w:hanging="1088"/>
                    <w:rPr>
                      <w:sz w:val="20"/>
                      <w:szCs w:val="20"/>
                    </w:rPr>
                  </w:pPr>
                  <w:r>
                    <w:rPr>
                      <w:rFonts w:ascii="Times New Roman" w:hAnsi="Times New Roman" w:eastAsia="Times New Roman" w:cs="Times New Roman"/>
                      <w:spacing w:val="3"/>
                      <w:sz w:val="20"/>
                      <w:szCs w:val="20"/>
                    </w:rPr>
                    <w:t>8.69t/</w:t>
                  </w:r>
                  <w:r>
                    <w:rPr>
                      <w:spacing w:val="3"/>
                      <w:sz w:val="20"/>
                      <w:szCs w:val="20"/>
                    </w:rPr>
                    <w:t>次，最大值</w:t>
                  </w:r>
                  <w:r>
                    <w:rPr>
                      <w:spacing w:val="-12"/>
                      <w:sz w:val="20"/>
                      <w:szCs w:val="20"/>
                    </w:rPr>
                    <w:t xml:space="preserve"> </w:t>
                  </w:r>
                  <w:r>
                    <w:rPr>
                      <w:rFonts w:ascii="Times New Roman" w:hAnsi="Times New Roman" w:eastAsia="Times New Roman" w:cs="Times New Roman"/>
                      <w:spacing w:val="3"/>
                      <w:sz w:val="20"/>
                      <w:szCs w:val="20"/>
                    </w:rPr>
                    <w:t>108.626t/</w:t>
                  </w:r>
                  <w:r>
                    <w:rPr>
                      <w:rFonts w:ascii="Times New Roman" w:hAnsi="Times New Roman" w:eastAsia="Times New Roman" w:cs="Times New Roman"/>
                      <w:sz w:val="20"/>
                      <w:szCs w:val="20"/>
                    </w:rPr>
                    <w:t xml:space="preserve"> </w:t>
                  </w:r>
                  <w:r>
                    <w:rPr>
                      <w:sz w:val="20"/>
                      <w:szCs w:val="20"/>
                    </w:rPr>
                    <w:t>次</w:t>
                  </w:r>
                </w:p>
              </w:tc>
              <w:tc>
                <w:tcPr>
                  <w:tcW w:w="2202" w:type="dxa"/>
                  <w:vAlign w:val="top"/>
                </w:tcPr>
                <w:p w14:paraId="014862F0">
                  <w:pPr>
                    <w:spacing w:before="264"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3.64t/a</w:t>
                  </w:r>
                </w:p>
              </w:tc>
            </w:tr>
            <w:tr w14:paraId="778B5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55" w:type="dxa"/>
                  <w:gridSpan w:val="3"/>
                  <w:vAlign w:val="top"/>
                </w:tcPr>
                <w:p w14:paraId="4CC1D294">
                  <w:pPr>
                    <w:pStyle w:val="6"/>
                    <w:spacing w:before="80" w:line="228" w:lineRule="auto"/>
                    <w:ind w:left="401"/>
                    <w:rPr>
                      <w:sz w:val="20"/>
                      <w:szCs w:val="20"/>
                    </w:rPr>
                  </w:pPr>
                  <w:r>
                    <w:rPr>
                      <w:b/>
                      <w:bCs/>
                      <w:spacing w:val="7"/>
                      <w:sz w:val="20"/>
                      <w:szCs w:val="20"/>
                    </w:rPr>
                    <w:t>产生工序及装置</w:t>
                  </w:r>
                </w:p>
              </w:tc>
              <w:tc>
                <w:tcPr>
                  <w:tcW w:w="2581" w:type="dxa"/>
                  <w:gridSpan w:val="3"/>
                  <w:vAlign w:val="top"/>
                </w:tcPr>
                <w:p w14:paraId="0A8582F1">
                  <w:pPr>
                    <w:pStyle w:val="6"/>
                    <w:spacing w:before="71" w:line="228" w:lineRule="auto"/>
                    <w:ind w:left="771"/>
                    <w:rPr>
                      <w:sz w:val="20"/>
                      <w:szCs w:val="20"/>
                    </w:rPr>
                  </w:pPr>
                  <w:r>
                    <w:rPr>
                      <w:spacing w:val="7"/>
                      <w:sz w:val="20"/>
                      <w:szCs w:val="20"/>
                    </w:rPr>
                    <w:t>变压器检修</w:t>
                  </w:r>
                </w:p>
              </w:tc>
              <w:tc>
                <w:tcPr>
                  <w:tcW w:w="2576" w:type="dxa"/>
                  <w:gridSpan w:val="4"/>
                  <w:vAlign w:val="top"/>
                </w:tcPr>
                <w:p w14:paraId="3967F715">
                  <w:pPr>
                    <w:pStyle w:val="6"/>
                    <w:spacing w:before="71" w:line="228" w:lineRule="auto"/>
                    <w:ind w:left="770"/>
                    <w:rPr>
                      <w:sz w:val="20"/>
                      <w:szCs w:val="20"/>
                    </w:rPr>
                  </w:pPr>
                  <w:r>
                    <w:rPr>
                      <w:spacing w:val="7"/>
                      <w:sz w:val="20"/>
                      <w:szCs w:val="20"/>
                    </w:rPr>
                    <w:t>变压器事故</w:t>
                  </w:r>
                </w:p>
              </w:tc>
              <w:tc>
                <w:tcPr>
                  <w:tcW w:w="2202" w:type="dxa"/>
                  <w:vAlign w:val="top"/>
                </w:tcPr>
                <w:p w14:paraId="4AC2C43D">
                  <w:pPr>
                    <w:pStyle w:val="6"/>
                    <w:spacing w:before="71" w:line="228" w:lineRule="auto"/>
                    <w:ind w:left="696"/>
                    <w:rPr>
                      <w:sz w:val="20"/>
                      <w:szCs w:val="20"/>
                    </w:rPr>
                  </w:pPr>
                  <w:r>
                    <w:rPr>
                      <w:spacing w:val="5"/>
                      <w:sz w:val="20"/>
                      <w:szCs w:val="20"/>
                    </w:rPr>
                    <w:t>蓄电池组</w:t>
                  </w:r>
                </w:p>
              </w:tc>
            </w:tr>
            <w:tr w14:paraId="30D31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55" w:type="dxa"/>
                  <w:gridSpan w:val="3"/>
                  <w:vAlign w:val="top"/>
                </w:tcPr>
                <w:p w14:paraId="56458F1A">
                  <w:pPr>
                    <w:pStyle w:val="6"/>
                    <w:spacing w:before="79" w:line="230" w:lineRule="auto"/>
                    <w:ind w:left="931"/>
                    <w:rPr>
                      <w:sz w:val="20"/>
                      <w:szCs w:val="20"/>
                    </w:rPr>
                  </w:pPr>
                  <w:r>
                    <w:rPr>
                      <w:b/>
                      <w:bCs/>
                      <w:spacing w:val="2"/>
                      <w:sz w:val="20"/>
                      <w:szCs w:val="20"/>
                    </w:rPr>
                    <w:t>形态</w:t>
                  </w:r>
                </w:p>
              </w:tc>
              <w:tc>
                <w:tcPr>
                  <w:tcW w:w="2581" w:type="dxa"/>
                  <w:gridSpan w:val="3"/>
                  <w:vAlign w:val="top"/>
                </w:tcPr>
                <w:p w14:paraId="0937557B">
                  <w:pPr>
                    <w:pStyle w:val="6"/>
                    <w:spacing w:before="79" w:line="228" w:lineRule="auto"/>
                    <w:ind w:left="1087"/>
                    <w:rPr>
                      <w:sz w:val="20"/>
                      <w:szCs w:val="20"/>
                    </w:rPr>
                  </w:pPr>
                  <w:r>
                    <w:rPr>
                      <w:spacing w:val="3"/>
                      <w:sz w:val="20"/>
                      <w:szCs w:val="20"/>
                    </w:rPr>
                    <w:t>液态</w:t>
                  </w:r>
                </w:p>
              </w:tc>
              <w:tc>
                <w:tcPr>
                  <w:tcW w:w="2576" w:type="dxa"/>
                  <w:gridSpan w:val="4"/>
                  <w:vAlign w:val="top"/>
                </w:tcPr>
                <w:p w14:paraId="6097344E">
                  <w:pPr>
                    <w:pStyle w:val="6"/>
                    <w:spacing w:before="79" w:line="228" w:lineRule="auto"/>
                    <w:ind w:left="1086"/>
                    <w:rPr>
                      <w:sz w:val="20"/>
                      <w:szCs w:val="20"/>
                    </w:rPr>
                  </w:pPr>
                  <w:r>
                    <w:rPr>
                      <w:spacing w:val="3"/>
                      <w:sz w:val="20"/>
                      <w:szCs w:val="20"/>
                    </w:rPr>
                    <w:t>液态</w:t>
                  </w:r>
                </w:p>
              </w:tc>
              <w:tc>
                <w:tcPr>
                  <w:tcW w:w="2202" w:type="dxa"/>
                  <w:vAlign w:val="top"/>
                </w:tcPr>
                <w:p w14:paraId="1C00F970">
                  <w:pPr>
                    <w:pStyle w:val="6"/>
                    <w:spacing w:before="79" w:line="228" w:lineRule="auto"/>
                    <w:ind w:left="914"/>
                    <w:rPr>
                      <w:sz w:val="20"/>
                      <w:szCs w:val="20"/>
                    </w:rPr>
                  </w:pPr>
                  <w:r>
                    <w:rPr>
                      <w:spacing w:val="-5"/>
                      <w:sz w:val="20"/>
                      <w:szCs w:val="20"/>
                    </w:rPr>
                    <w:t>固态</w:t>
                  </w:r>
                </w:p>
              </w:tc>
            </w:tr>
            <w:tr w14:paraId="62FD3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55" w:type="dxa"/>
                  <w:gridSpan w:val="3"/>
                  <w:vAlign w:val="top"/>
                </w:tcPr>
                <w:p w14:paraId="23B5A5FE">
                  <w:pPr>
                    <w:pStyle w:val="6"/>
                    <w:spacing w:before="80" w:line="228" w:lineRule="auto"/>
                    <w:ind w:left="718"/>
                    <w:rPr>
                      <w:sz w:val="20"/>
                      <w:szCs w:val="20"/>
                    </w:rPr>
                  </w:pPr>
                  <w:r>
                    <w:rPr>
                      <w:b/>
                      <w:bCs/>
                      <w:spacing w:val="6"/>
                      <w:sz w:val="20"/>
                      <w:szCs w:val="20"/>
                    </w:rPr>
                    <w:t>有害成分</w:t>
                  </w:r>
                </w:p>
              </w:tc>
              <w:tc>
                <w:tcPr>
                  <w:tcW w:w="2581" w:type="dxa"/>
                  <w:gridSpan w:val="3"/>
                  <w:vAlign w:val="top"/>
                </w:tcPr>
                <w:p w14:paraId="7432437D">
                  <w:pPr>
                    <w:pStyle w:val="6"/>
                    <w:spacing w:before="69" w:line="228" w:lineRule="auto"/>
                    <w:ind w:left="979"/>
                    <w:rPr>
                      <w:sz w:val="20"/>
                      <w:szCs w:val="20"/>
                    </w:rPr>
                  </w:pPr>
                  <w:r>
                    <w:rPr>
                      <w:spacing w:val="7"/>
                      <w:sz w:val="20"/>
                      <w:szCs w:val="20"/>
                    </w:rPr>
                    <w:t>矿物油</w:t>
                  </w:r>
                </w:p>
              </w:tc>
              <w:tc>
                <w:tcPr>
                  <w:tcW w:w="2576" w:type="dxa"/>
                  <w:gridSpan w:val="4"/>
                  <w:vAlign w:val="top"/>
                </w:tcPr>
                <w:p w14:paraId="6C0F72F1">
                  <w:pPr>
                    <w:pStyle w:val="6"/>
                    <w:spacing w:before="69" w:line="228" w:lineRule="auto"/>
                    <w:ind w:left="978"/>
                    <w:rPr>
                      <w:sz w:val="20"/>
                      <w:szCs w:val="20"/>
                    </w:rPr>
                  </w:pPr>
                  <w:r>
                    <w:rPr>
                      <w:spacing w:val="7"/>
                      <w:sz w:val="20"/>
                      <w:szCs w:val="20"/>
                    </w:rPr>
                    <w:t>矿物油</w:t>
                  </w:r>
                </w:p>
              </w:tc>
              <w:tc>
                <w:tcPr>
                  <w:tcW w:w="2202" w:type="dxa"/>
                  <w:vAlign w:val="top"/>
                </w:tcPr>
                <w:p w14:paraId="14AF3F6B">
                  <w:pPr>
                    <w:pStyle w:val="6"/>
                    <w:spacing w:before="70" w:line="229" w:lineRule="auto"/>
                    <w:ind w:left="790"/>
                    <w:rPr>
                      <w:sz w:val="20"/>
                      <w:szCs w:val="20"/>
                    </w:rPr>
                  </w:pPr>
                  <w:r>
                    <w:rPr>
                      <w:spacing w:val="6"/>
                      <w:sz w:val="20"/>
                      <w:szCs w:val="20"/>
                    </w:rPr>
                    <w:t>铅、酸</w:t>
                  </w:r>
                </w:p>
              </w:tc>
            </w:tr>
            <w:tr w14:paraId="4D27D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55" w:type="dxa"/>
                  <w:gridSpan w:val="3"/>
                  <w:vAlign w:val="top"/>
                </w:tcPr>
                <w:p w14:paraId="689E9403">
                  <w:pPr>
                    <w:pStyle w:val="6"/>
                    <w:spacing w:before="80" w:line="228" w:lineRule="auto"/>
                    <w:ind w:left="718"/>
                    <w:rPr>
                      <w:sz w:val="20"/>
                      <w:szCs w:val="20"/>
                    </w:rPr>
                  </w:pPr>
                  <w:r>
                    <w:rPr>
                      <w:b/>
                      <w:bCs/>
                      <w:spacing w:val="6"/>
                      <w:sz w:val="20"/>
                      <w:szCs w:val="20"/>
                    </w:rPr>
                    <w:t>产废周期</w:t>
                  </w:r>
                </w:p>
              </w:tc>
              <w:tc>
                <w:tcPr>
                  <w:tcW w:w="2581" w:type="dxa"/>
                  <w:gridSpan w:val="3"/>
                  <w:vAlign w:val="top"/>
                </w:tcPr>
                <w:p w14:paraId="13F00D5B">
                  <w:pPr>
                    <w:pStyle w:val="6"/>
                    <w:spacing w:before="71" w:line="228" w:lineRule="auto"/>
                    <w:ind w:left="983"/>
                    <w:rPr>
                      <w:sz w:val="20"/>
                      <w:szCs w:val="20"/>
                    </w:rPr>
                  </w:pPr>
                  <w:r>
                    <w:rPr>
                      <w:spacing w:val="5"/>
                      <w:sz w:val="20"/>
                      <w:szCs w:val="20"/>
                    </w:rPr>
                    <w:t>不定期</w:t>
                  </w:r>
                </w:p>
              </w:tc>
              <w:tc>
                <w:tcPr>
                  <w:tcW w:w="2576" w:type="dxa"/>
                  <w:gridSpan w:val="4"/>
                  <w:vAlign w:val="top"/>
                </w:tcPr>
                <w:p w14:paraId="131ACE72">
                  <w:pPr>
                    <w:pStyle w:val="6"/>
                    <w:spacing w:before="71" w:line="228" w:lineRule="auto"/>
                    <w:ind w:left="982"/>
                    <w:rPr>
                      <w:sz w:val="20"/>
                      <w:szCs w:val="20"/>
                    </w:rPr>
                  </w:pPr>
                  <w:r>
                    <w:rPr>
                      <w:spacing w:val="5"/>
                      <w:sz w:val="20"/>
                      <w:szCs w:val="20"/>
                    </w:rPr>
                    <w:t>不定期</w:t>
                  </w:r>
                </w:p>
              </w:tc>
              <w:tc>
                <w:tcPr>
                  <w:tcW w:w="2202" w:type="dxa"/>
                  <w:vAlign w:val="top"/>
                </w:tcPr>
                <w:p w14:paraId="77D74A45">
                  <w:pPr>
                    <w:pStyle w:val="6"/>
                    <w:spacing w:before="70" w:line="228" w:lineRule="auto"/>
                    <w:ind w:left="837"/>
                    <w:rPr>
                      <w:sz w:val="20"/>
                      <w:szCs w:val="20"/>
                    </w:rPr>
                  </w:pPr>
                  <w:r>
                    <w:rPr>
                      <w:rFonts w:ascii="Times New Roman" w:hAnsi="Times New Roman" w:eastAsia="Times New Roman" w:cs="Times New Roman"/>
                      <w:sz w:val="20"/>
                      <w:szCs w:val="20"/>
                    </w:rPr>
                    <w:t>6-8</w:t>
                  </w:r>
                  <w:r>
                    <w:rPr>
                      <w:rFonts w:ascii="Times New Roman" w:hAnsi="Times New Roman" w:eastAsia="Times New Roman" w:cs="Times New Roman"/>
                      <w:spacing w:val="13"/>
                      <w:w w:val="101"/>
                      <w:sz w:val="20"/>
                      <w:szCs w:val="20"/>
                    </w:rPr>
                    <w:t xml:space="preserve"> </w:t>
                  </w:r>
                  <w:r>
                    <w:rPr>
                      <w:sz w:val="20"/>
                      <w:szCs w:val="20"/>
                    </w:rPr>
                    <w:t>年</w:t>
                  </w:r>
                </w:p>
              </w:tc>
            </w:tr>
            <w:tr w14:paraId="1798B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55" w:type="dxa"/>
                  <w:gridSpan w:val="3"/>
                  <w:vAlign w:val="top"/>
                </w:tcPr>
                <w:p w14:paraId="1B9404F1">
                  <w:pPr>
                    <w:pStyle w:val="6"/>
                    <w:spacing w:before="80" w:line="228" w:lineRule="auto"/>
                    <w:ind w:left="720"/>
                    <w:rPr>
                      <w:sz w:val="20"/>
                      <w:szCs w:val="20"/>
                    </w:rPr>
                  </w:pPr>
                  <w:r>
                    <w:rPr>
                      <w:b/>
                      <w:bCs/>
                      <w:spacing w:val="5"/>
                      <w:sz w:val="20"/>
                      <w:szCs w:val="20"/>
                    </w:rPr>
                    <w:t>危险特性</w:t>
                  </w:r>
                </w:p>
              </w:tc>
              <w:tc>
                <w:tcPr>
                  <w:tcW w:w="2581" w:type="dxa"/>
                  <w:gridSpan w:val="3"/>
                  <w:vAlign w:val="top"/>
                </w:tcPr>
                <w:p w14:paraId="5B3FFA92">
                  <w:pPr>
                    <w:pStyle w:val="6"/>
                    <w:spacing w:before="110" w:line="183" w:lineRule="auto"/>
                    <w:ind w:left="109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4"/>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2576" w:type="dxa"/>
                  <w:gridSpan w:val="4"/>
                  <w:vAlign w:val="top"/>
                </w:tcPr>
                <w:p w14:paraId="6950998D">
                  <w:pPr>
                    <w:pStyle w:val="6"/>
                    <w:spacing w:before="110" w:line="183"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4"/>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2202" w:type="dxa"/>
                  <w:vAlign w:val="top"/>
                </w:tcPr>
                <w:p w14:paraId="5D4EFEC1">
                  <w:pPr>
                    <w:spacing w:before="110" w:line="192" w:lineRule="auto"/>
                    <w:ind w:left="1041"/>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r>
            <w:tr w14:paraId="1CF1C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155" w:type="dxa"/>
                  <w:gridSpan w:val="3"/>
                  <w:tcBorders>
                    <w:bottom w:val="nil"/>
                  </w:tcBorders>
                  <w:vAlign w:val="top"/>
                </w:tcPr>
                <w:p w14:paraId="3CAD28B9">
                  <w:pPr>
                    <w:pStyle w:val="6"/>
                    <w:spacing w:before="78" w:line="228" w:lineRule="auto"/>
                    <w:ind w:left="507"/>
                    <w:rPr>
                      <w:sz w:val="20"/>
                      <w:szCs w:val="20"/>
                    </w:rPr>
                  </w:pPr>
                  <w:r>
                    <w:rPr>
                      <w:b/>
                      <w:bCs/>
                      <w:spacing w:val="6"/>
                      <w:sz w:val="20"/>
                      <w:szCs w:val="20"/>
                    </w:rPr>
                    <w:t>贮存场所名称</w:t>
                  </w:r>
                </w:p>
              </w:tc>
              <w:tc>
                <w:tcPr>
                  <w:tcW w:w="2581" w:type="dxa"/>
                  <w:gridSpan w:val="3"/>
                  <w:tcBorders>
                    <w:bottom w:val="nil"/>
                  </w:tcBorders>
                  <w:vAlign w:val="top"/>
                </w:tcPr>
                <w:p w14:paraId="11CEC5C7">
                  <w:pPr>
                    <w:pStyle w:val="6"/>
                    <w:spacing w:before="85" w:line="228" w:lineRule="auto"/>
                    <w:ind w:left="773"/>
                    <w:rPr>
                      <w:sz w:val="20"/>
                      <w:szCs w:val="20"/>
                    </w:rPr>
                  </w:pPr>
                  <w:r>
                    <w:rPr>
                      <w:spacing w:val="7"/>
                      <w:sz w:val="20"/>
                      <w:szCs w:val="20"/>
                    </w:rPr>
                    <w:t>危废贮存库</w:t>
                  </w:r>
                </w:p>
              </w:tc>
              <w:tc>
                <w:tcPr>
                  <w:tcW w:w="2576" w:type="dxa"/>
                  <w:gridSpan w:val="4"/>
                  <w:tcBorders>
                    <w:bottom w:val="nil"/>
                  </w:tcBorders>
                  <w:vAlign w:val="top"/>
                </w:tcPr>
                <w:p w14:paraId="7FAA10B7">
                  <w:pPr>
                    <w:pStyle w:val="6"/>
                    <w:spacing w:before="85" w:line="228" w:lineRule="auto"/>
                    <w:ind w:left="772"/>
                    <w:rPr>
                      <w:sz w:val="20"/>
                      <w:szCs w:val="20"/>
                    </w:rPr>
                  </w:pPr>
                  <w:r>
                    <w:rPr>
                      <w:spacing w:val="7"/>
                      <w:sz w:val="20"/>
                      <w:szCs w:val="20"/>
                    </w:rPr>
                    <w:t>危废贮存库</w:t>
                  </w:r>
                </w:p>
              </w:tc>
              <w:tc>
                <w:tcPr>
                  <w:tcW w:w="2202" w:type="dxa"/>
                  <w:tcBorders>
                    <w:bottom w:val="nil"/>
                  </w:tcBorders>
                  <w:vAlign w:val="top"/>
                </w:tcPr>
                <w:p w14:paraId="656923E5">
                  <w:pPr>
                    <w:pStyle w:val="6"/>
                    <w:spacing w:before="85" w:line="228" w:lineRule="auto"/>
                    <w:ind w:left="584"/>
                    <w:rPr>
                      <w:sz w:val="20"/>
                      <w:szCs w:val="20"/>
                    </w:rPr>
                  </w:pPr>
                  <w:r>
                    <w:rPr>
                      <w:spacing w:val="7"/>
                      <w:sz w:val="20"/>
                      <w:szCs w:val="20"/>
                    </w:rPr>
                    <w:t>危废贮存库</w:t>
                  </w:r>
                </w:p>
              </w:tc>
            </w:tr>
          </w:tbl>
          <w:p w14:paraId="75B06638">
            <w:pPr>
              <w:spacing w:line="14" w:lineRule="auto"/>
              <w:rPr>
                <w:rFonts w:ascii="Arial"/>
                <w:sz w:val="2"/>
              </w:rPr>
            </w:pPr>
          </w:p>
        </w:tc>
      </w:tr>
    </w:tbl>
    <w:p w14:paraId="58CDD33E">
      <w:pPr>
        <w:rPr>
          <w:rFonts w:ascii="Arial"/>
          <w:sz w:val="21"/>
        </w:rPr>
      </w:pPr>
    </w:p>
    <w:p w14:paraId="23B25EBC">
      <w:pPr>
        <w:rPr>
          <w:rFonts w:ascii="Arial" w:hAnsi="Arial" w:eastAsia="Arial" w:cs="Arial"/>
          <w:sz w:val="21"/>
          <w:szCs w:val="21"/>
        </w:rPr>
        <w:sectPr>
          <w:footerReference r:id="rId141" w:type="default"/>
          <w:pgSz w:w="11907" w:h="16840"/>
          <w:pgMar w:top="1431" w:right="907" w:bottom="1278" w:left="907" w:header="0" w:footer="1116" w:gutter="0"/>
          <w:cols w:space="720" w:num="1"/>
        </w:sectPr>
      </w:pPr>
    </w:p>
    <w:p w14:paraId="1704553C">
      <w:pPr>
        <w:spacing w:line="99" w:lineRule="exact"/>
      </w:pPr>
    </w:p>
    <w:tbl>
      <w:tblPr>
        <w:tblStyle w:val="5"/>
        <w:tblW w:w="1007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0077"/>
      </w:tblGrid>
      <w:tr w14:paraId="69CE4E2B">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37" w:hRule="atLeast"/>
        </w:trPr>
        <w:tc>
          <w:tcPr>
            <w:tcW w:w="10077" w:type="dxa"/>
            <w:vAlign w:val="top"/>
          </w:tcPr>
          <w:p w14:paraId="5993D92E">
            <w:pPr>
              <w:spacing w:line="96" w:lineRule="auto"/>
              <w:rPr>
                <w:rFonts w:ascii="Arial"/>
                <w:sz w:val="2"/>
              </w:rPr>
            </w:pPr>
          </w:p>
          <w:tbl>
            <w:tblPr>
              <w:tblStyle w:val="5"/>
              <w:tblW w:w="9514" w:type="dxa"/>
              <w:tblInd w:w="4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6"/>
              <w:gridCol w:w="2580"/>
              <w:gridCol w:w="2577"/>
              <w:gridCol w:w="2201"/>
            </w:tblGrid>
            <w:tr w14:paraId="68A68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2156" w:type="dxa"/>
                  <w:tcBorders>
                    <w:top w:val="nil"/>
                  </w:tcBorders>
                  <w:vAlign w:val="top"/>
                </w:tcPr>
                <w:p w14:paraId="6DA6DE1A">
                  <w:pPr>
                    <w:pStyle w:val="6"/>
                    <w:spacing w:before="89" w:line="228" w:lineRule="auto"/>
                    <w:ind w:left="718"/>
                    <w:rPr>
                      <w:sz w:val="20"/>
                      <w:szCs w:val="20"/>
                    </w:rPr>
                  </w:pPr>
                  <w:r>
                    <w:rPr>
                      <w:b/>
                      <w:bCs/>
                      <w:spacing w:val="6"/>
                      <w:sz w:val="20"/>
                      <w:szCs w:val="20"/>
                    </w:rPr>
                    <w:t>贮存能力</w:t>
                  </w:r>
                </w:p>
              </w:tc>
              <w:tc>
                <w:tcPr>
                  <w:tcW w:w="2580" w:type="dxa"/>
                  <w:tcBorders>
                    <w:top w:val="nil"/>
                  </w:tcBorders>
                  <w:vAlign w:val="top"/>
                </w:tcPr>
                <w:p w14:paraId="16B4D14A">
                  <w:pPr>
                    <w:spacing w:before="133" w:line="195" w:lineRule="auto"/>
                    <w:ind w:left="10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17.6t</w:t>
                  </w:r>
                </w:p>
              </w:tc>
              <w:tc>
                <w:tcPr>
                  <w:tcW w:w="2577" w:type="dxa"/>
                  <w:tcBorders>
                    <w:top w:val="nil"/>
                  </w:tcBorders>
                  <w:vAlign w:val="top"/>
                </w:tcPr>
                <w:p w14:paraId="5A5A1857">
                  <w:pPr>
                    <w:spacing w:before="133" w:line="195" w:lineRule="auto"/>
                    <w:ind w:left="10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17.6t</w:t>
                  </w:r>
                </w:p>
              </w:tc>
              <w:tc>
                <w:tcPr>
                  <w:tcW w:w="2201" w:type="dxa"/>
                  <w:tcBorders>
                    <w:top w:val="nil"/>
                  </w:tcBorders>
                  <w:vAlign w:val="top"/>
                </w:tcPr>
                <w:p w14:paraId="7F06F94E">
                  <w:pPr>
                    <w:spacing w:before="133" w:line="195"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17.6t</w:t>
                  </w:r>
                </w:p>
              </w:tc>
            </w:tr>
            <w:tr w14:paraId="12A75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156" w:type="dxa"/>
                  <w:vAlign w:val="top"/>
                </w:tcPr>
                <w:p w14:paraId="0CA2F8D9">
                  <w:pPr>
                    <w:pStyle w:val="6"/>
                    <w:spacing w:before="79" w:line="228" w:lineRule="auto"/>
                    <w:ind w:left="718"/>
                    <w:rPr>
                      <w:sz w:val="20"/>
                      <w:szCs w:val="20"/>
                    </w:rPr>
                  </w:pPr>
                  <w:r>
                    <w:rPr>
                      <w:b/>
                      <w:bCs/>
                      <w:spacing w:val="6"/>
                      <w:sz w:val="20"/>
                      <w:szCs w:val="20"/>
                    </w:rPr>
                    <w:t>贮存周期</w:t>
                  </w:r>
                </w:p>
              </w:tc>
              <w:tc>
                <w:tcPr>
                  <w:tcW w:w="2580" w:type="dxa"/>
                  <w:vAlign w:val="top"/>
                </w:tcPr>
                <w:p w14:paraId="04B48160">
                  <w:pPr>
                    <w:pStyle w:val="6"/>
                    <w:spacing w:before="86" w:line="228" w:lineRule="auto"/>
                    <w:ind w:left="968"/>
                    <w:rPr>
                      <w:sz w:val="20"/>
                      <w:szCs w:val="20"/>
                    </w:rPr>
                  </w:pPr>
                  <w:r>
                    <w:rPr>
                      <w:spacing w:val="-1"/>
                      <w:sz w:val="20"/>
                      <w:szCs w:val="20"/>
                    </w:rPr>
                    <w:t>＜</w:t>
                  </w:r>
                  <w:r>
                    <w:rPr>
                      <w:rFonts w:ascii="Times New Roman" w:hAnsi="Times New Roman" w:eastAsia="Times New Roman" w:cs="Times New Roman"/>
                      <w:spacing w:val="-1"/>
                      <w:sz w:val="20"/>
                      <w:szCs w:val="20"/>
                    </w:rPr>
                    <w:t>12</w:t>
                  </w:r>
                  <w:r>
                    <w:rPr>
                      <w:rFonts w:ascii="Times New Roman" w:hAnsi="Times New Roman" w:eastAsia="Times New Roman" w:cs="Times New Roman"/>
                      <w:spacing w:val="15"/>
                      <w:sz w:val="20"/>
                      <w:szCs w:val="20"/>
                    </w:rPr>
                    <w:t xml:space="preserve"> </w:t>
                  </w:r>
                  <w:r>
                    <w:rPr>
                      <w:spacing w:val="-1"/>
                      <w:sz w:val="20"/>
                      <w:szCs w:val="20"/>
                    </w:rPr>
                    <w:t>月</w:t>
                  </w:r>
                </w:p>
              </w:tc>
              <w:tc>
                <w:tcPr>
                  <w:tcW w:w="2577" w:type="dxa"/>
                  <w:vAlign w:val="top"/>
                </w:tcPr>
                <w:p w14:paraId="32436C7C">
                  <w:pPr>
                    <w:pStyle w:val="6"/>
                    <w:spacing w:before="86" w:line="228" w:lineRule="auto"/>
                    <w:ind w:left="968"/>
                    <w:rPr>
                      <w:sz w:val="20"/>
                      <w:szCs w:val="20"/>
                    </w:rPr>
                  </w:pPr>
                  <w:r>
                    <w:rPr>
                      <w:spacing w:val="-1"/>
                      <w:sz w:val="20"/>
                      <w:szCs w:val="20"/>
                    </w:rPr>
                    <w:t>＜</w:t>
                  </w:r>
                  <w:r>
                    <w:rPr>
                      <w:rFonts w:ascii="Times New Roman" w:hAnsi="Times New Roman" w:eastAsia="Times New Roman" w:cs="Times New Roman"/>
                      <w:spacing w:val="-1"/>
                      <w:sz w:val="20"/>
                      <w:szCs w:val="20"/>
                    </w:rPr>
                    <w:t>12</w:t>
                  </w:r>
                  <w:r>
                    <w:rPr>
                      <w:rFonts w:ascii="Times New Roman" w:hAnsi="Times New Roman" w:eastAsia="Times New Roman" w:cs="Times New Roman"/>
                      <w:spacing w:val="15"/>
                      <w:sz w:val="20"/>
                      <w:szCs w:val="20"/>
                    </w:rPr>
                    <w:t xml:space="preserve"> </w:t>
                  </w:r>
                  <w:r>
                    <w:rPr>
                      <w:spacing w:val="-1"/>
                      <w:sz w:val="20"/>
                      <w:szCs w:val="20"/>
                    </w:rPr>
                    <w:t>月</w:t>
                  </w:r>
                </w:p>
              </w:tc>
              <w:tc>
                <w:tcPr>
                  <w:tcW w:w="2201" w:type="dxa"/>
                  <w:vAlign w:val="top"/>
                </w:tcPr>
                <w:p w14:paraId="439208A7">
                  <w:pPr>
                    <w:pStyle w:val="6"/>
                    <w:spacing w:before="86" w:line="228" w:lineRule="auto"/>
                    <w:ind w:left="779"/>
                    <w:rPr>
                      <w:sz w:val="20"/>
                      <w:szCs w:val="20"/>
                    </w:rPr>
                  </w:pPr>
                  <w:r>
                    <w:rPr>
                      <w:spacing w:val="-1"/>
                      <w:sz w:val="20"/>
                      <w:szCs w:val="20"/>
                    </w:rPr>
                    <w:t>＜</w:t>
                  </w:r>
                  <w:r>
                    <w:rPr>
                      <w:rFonts w:ascii="Times New Roman" w:hAnsi="Times New Roman" w:eastAsia="Times New Roman" w:cs="Times New Roman"/>
                      <w:spacing w:val="-1"/>
                      <w:sz w:val="20"/>
                      <w:szCs w:val="20"/>
                    </w:rPr>
                    <w:t>12</w:t>
                  </w:r>
                  <w:r>
                    <w:rPr>
                      <w:rFonts w:ascii="Times New Roman" w:hAnsi="Times New Roman" w:eastAsia="Times New Roman" w:cs="Times New Roman"/>
                      <w:spacing w:val="15"/>
                      <w:sz w:val="20"/>
                      <w:szCs w:val="20"/>
                    </w:rPr>
                    <w:t xml:space="preserve"> </w:t>
                  </w:r>
                  <w:r>
                    <w:rPr>
                      <w:spacing w:val="-1"/>
                      <w:sz w:val="20"/>
                      <w:szCs w:val="20"/>
                    </w:rPr>
                    <w:t>月</w:t>
                  </w:r>
                </w:p>
              </w:tc>
            </w:tr>
            <w:tr w14:paraId="262A1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156" w:type="dxa"/>
                  <w:vAlign w:val="top"/>
                </w:tcPr>
                <w:p w14:paraId="01118EE4">
                  <w:pPr>
                    <w:pStyle w:val="6"/>
                    <w:spacing w:before="95" w:line="228" w:lineRule="auto"/>
                    <w:ind w:left="718"/>
                    <w:rPr>
                      <w:sz w:val="20"/>
                      <w:szCs w:val="20"/>
                    </w:rPr>
                  </w:pPr>
                  <w:r>
                    <w:rPr>
                      <w:b/>
                      <w:bCs/>
                      <w:spacing w:val="6"/>
                      <w:sz w:val="20"/>
                      <w:szCs w:val="20"/>
                    </w:rPr>
                    <w:t>贮存方式</w:t>
                  </w:r>
                </w:p>
              </w:tc>
              <w:tc>
                <w:tcPr>
                  <w:tcW w:w="2580" w:type="dxa"/>
                  <w:vAlign w:val="top"/>
                </w:tcPr>
                <w:p w14:paraId="4A1B4D78">
                  <w:pPr>
                    <w:pStyle w:val="6"/>
                    <w:spacing w:before="86" w:line="228" w:lineRule="auto"/>
                    <w:ind w:left="1086"/>
                    <w:rPr>
                      <w:sz w:val="20"/>
                      <w:szCs w:val="20"/>
                    </w:rPr>
                  </w:pPr>
                  <w:r>
                    <w:rPr>
                      <w:spacing w:val="3"/>
                      <w:sz w:val="20"/>
                      <w:szCs w:val="20"/>
                    </w:rPr>
                    <w:t>桶装</w:t>
                  </w:r>
                </w:p>
              </w:tc>
              <w:tc>
                <w:tcPr>
                  <w:tcW w:w="2577" w:type="dxa"/>
                  <w:vAlign w:val="top"/>
                </w:tcPr>
                <w:p w14:paraId="53E65E9E">
                  <w:pPr>
                    <w:pStyle w:val="6"/>
                    <w:spacing w:before="86" w:line="228" w:lineRule="auto"/>
                    <w:ind w:left="351"/>
                    <w:rPr>
                      <w:sz w:val="20"/>
                      <w:szCs w:val="20"/>
                    </w:rPr>
                  </w:pPr>
                  <w:r>
                    <w:rPr>
                      <w:spacing w:val="8"/>
                      <w:sz w:val="20"/>
                      <w:szCs w:val="20"/>
                    </w:rPr>
                    <w:t>桶装、事故油池暂存</w:t>
                  </w:r>
                </w:p>
              </w:tc>
              <w:tc>
                <w:tcPr>
                  <w:tcW w:w="2201" w:type="dxa"/>
                  <w:vAlign w:val="top"/>
                </w:tcPr>
                <w:p w14:paraId="0F637BD5">
                  <w:pPr>
                    <w:pStyle w:val="6"/>
                    <w:spacing w:before="86" w:line="228" w:lineRule="auto"/>
                    <w:ind w:left="897"/>
                    <w:rPr>
                      <w:sz w:val="20"/>
                      <w:szCs w:val="20"/>
                    </w:rPr>
                  </w:pPr>
                  <w:r>
                    <w:rPr>
                      <w:spacing w:val="3"/>
                      <w:sz w:val="20"/>
                      <w:szCs w:val="20"/>
                    </w:rPr>
                    <w:t>桶装</w:t>
                  </w:r>
                </w:p>
              </w:tc>
            </w:tr>
            <w:tr w14:paraId="44FD2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156" w:type="dxa"/>
                  <w:vAlign w:val="top"/>
                </w:tcPr>
                <w:p w14:paraId="4063119E">
                  <w:pPr>
                    <w:pStyle w:val="6"/>
                    <w:spacing w:before="79" w:line="229" w:lineRule="auto"/>
                    <w:ind w:left="405"/>
                    <w:rPr>
                      <w:sz w:val="20"/>
                      <w:szCs w:val="20"/>
                    </w:rPr>
                  </w:pPr>
                  <w:r>
                    <w:rPr>
                      <w:b/>
                      <w:bCs/>
                      <w:spacing w:val="6"/>
                      <w:sz w:val="20"/>
                      <w:szCs w:val="20"/>
                    </w:rPr>
                    <w:t>处置方式及去向</w:t>
                  </w:r>
                </w:p>
              </w:tc>
              <w:tc>
                <w:tcPr>
                  <w:tcW w:w="2580" w:type="dxa"/>
                  <w:vAlign w:val="top"/>
                </w:tcPr>
                <w:p w14:paraId="50D9A94C">
                  <w:pPr>
                    <w:pStyle w:val="6"/>
                    <w:spacing w:before="69" w:line="228" w:lineRule="auto"/>
                    <w:ind w:left="349"/>
                    <w:rPr>
                      <w:sz w:val="20"/>
                      <w:szCs w:val="20"/>
                    </w:rPr>
                  </w:pPr>
                  <w:r>
                    <w:rPr>
                      <w:spacing w:val="9"/>
                      <w:sz w:val="20"/>
                      <w:szCs w:val="20"/>
                    </w:rPr>
                    <w:t>委托有资质单位处置</w:t>
                  </w:r>
                </w:p>
              </w:tc>
              <w:tc>
                <w:tcPr>
                  <w:tcW w:w="2577" w:type="dxa"/>
                  <w:vAlign w:val="top"/>
                </w:tcPr>
                <w:p w14:paraId="48C1FB9D">
                  <w:pPr>
                    <w:pStyle w:val="6"/>
                    <w:spacing w:before="69" w:line="228" w:lineRule="auto"/>
                    <w:ind w:left="349"/>
                    <w:rPr>
                      <w:sz w:val="20"/>
                      <w:szCs w:val="20"/>
                    </w:rPr>
                  </w:pPr>
                  <w:r>
                    <w:rPr>
                      <w:spacing w:val="9"/>
                      <w:sz w:val="20"/>
                      <w:szCs w:val="20"/>
                    </w:rPr>
                    <w:t>委托有资质单位处置</w:t>
                  </w:r>
                </w:p>
              </w:tc>
              <w:tc>
                <w:tcPr>
                  <w:tcW w:w="2201" w:type="dxa"/>
                  <w:vAlign w:val="top"/>
                </w:tcPr>
                <w:p w14:paraId="55353FD2">
                  <w:pPr>
                    <w:pStyle w:val="6"/>
                    <w:spacing w:before="69" w:line="228" w:lineRule="auto"/>
                    <w:ind w:left="160"/>
                    <w:rPr>
                      <w:sz w:val="20"/>
                      <w:szCs w:val="20"/>
                    </w:rPr>
                  </w:pPr>
                  <w:r>
                    <w:rPr>
                      <w:spacing w:val="9"/>
                      <w:sz w:val="20"/>
                      <w:szCs w:val="20"/>
                    </w:rPr>
                    <w:t>委托有资质单位处置</w:t>
                  </w:r>
                </w:p>
              </w:tc>
            </w:tr>
            <w:tr w14:paraId="11C29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0" w:hRule="atLeast"/>
              </w:trPr>
              <w:tc>
                <w:tcPr>
                  <w:tcW w:w="9514" w:type="dxa"/>
                  <w:gridSpan w:val="4"/>
                  <w:tcBorders>
                    <w:bottom w:val="nil"/>
                    <w:right w:val="nil"/>
                  </w:tcBorders>
                  <w:vAlign w:val="top"/>
                </w:tcPr>
                <w:p w14:paraId="4AE365ED">
                  <w:pPr>
                    <w:pStyle w:val="6"/>
                    <w:spacing w:before="36" w:line="219" w:lineRule="auto"/>
                    <w:ind w:left="591"/>
                  </w:pPr>
                  <w:r>
                    <w:rPr>
                      <w:rFonts w:ascii="Times New Roman" w:hAnsi="Times New Roman" w:eastAsia="Times New Roman" w:cs="Times New Roman"/>
                      <w:b/>
                      <w:bCs/>
                      <w:spacing w:val="-2"/>
                    </w:rPr>
                    <w:t>3</w:t>
                  </w:r>
                  <w:r>
                    <w:rPr>
                      <w:b/>
                      <w:bCs/>
                      <w:spacing w:val="-2"/>
                    </w:rPr>
                    <w:t>）危废贮存库容积设置论证</w:t>
                  </w:r>
                </w:p>
                <w:p w14:paraId="559E0849">
                  <w:pPr>
                    <w:pStyle w:val="6"/>
                    <w:spacing w:before="177" w:line="354" w:lineRule="auto"/>
                    <w:ind w:left="117" w:right="3" w:firstLine="483"/>
                    <w:jc w:val="both"/>
                  </w:pPr>
                  <w:r>
                    <w:rPr>
                      <w:spacing w:val="-5"/>
                    </w:rPr>
                    <w:t>项目升压站设置</w:t>
                  </w:r>
                  <w:r>
                    <w:rPr>
                      <w:spacing w:val="-2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8"/>
                      <w:w w:val="101"/>
                    </w:rPr>
                    <w:t xml:space="preserve"> </w:t>
                  </w:r>
                  <w:r>
                    <w:rPr>
                      <w:spacing w:val="-5"/>
                    </w:rPr>
                    <w:t>间</w:t>
                  </w:r>
                  <w:r>
                    <w:rPr>
                      <w:spacing w:val="-55"/>
                    </w:rPr>
                    <w:t xml:space="preserve"> </w:t>
                  </w:r>
                  <w:r>
                    <w:rPr>
                      <w:rFonts w:ascii="Times New Roman" w:hAnsi="Times New Roman" w:eastAsia="Times New Roman" w:cs="Times New Roman"/>
                      <w:spacing w:val="-5"/>
                    </w:rPr>
                    <w:t>28m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28"/>
                      <w:w w:val="102"/>
                      <w:position w:val="8"/>
                      <w:sz w:val="15"/>
                      <w:szCs w:val="15"/>
                    </w:rPr>
                    <w:t xml:space="preserve"> </w:t>
                  </w:r>
                  <w:r>
                    <w:rPr>
                      <w:spacing w:val="-5"/>
                    </w:rPr>
                    <w:t>的危废贮存库。根据上文核算结果，本项目涉及的危险废物</w:t>
                  </w:r>
                  <w:r>
                    <w:t xml:space="preserve"> </w:t>
                  </w:r>
                  <w:r>
                    <w:rPr>
                      <w:spacing w:val="-2"/>
                    </w:rPr>
                    <w:t>主要包括废铅酸蓄电池、变压器废油。其中废铅酸蓄电池所需容积约为</w:t>
                  </w:r>
                  <w:r>
                    <w:rPr>
                      <w:spacing w:val="-24"/>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16m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0"/>
                      <w:position w:val="8"/>
                      <w:sz w:val="15"/>
                      <w:szCs w:val="15"/>
                    </w:rPr>
                    <w:t xml:space="preserve"> </w:t>
                  </w:r>
                  <w:r>
                    <w:rPr>
                      <w:spacing w:val="-2"/>
                    </w:rPr>
                    <w:t>，变压器废</w:t>
                  </w:r>
                  <w:r>
                    <w:t xml:space="preserve"> </w:t>
                  </w:r>
                  <w:r>
                    <w:rPr>
                      <w:spacing w:val="-4"/>
                    </w:rPr>
                    <w:t>油总容积约</w:t>
                  </w:r>
                  <w:r>
                    <w:rPr>
                      <w:spacing w:val="-32"/>
                    </w:rPr>
                    <w:t xml:space="preserve"> </w:t>
                  </w:r>
                  <w:r>
                    <w:rPr>
                      <w:rFonts w:ascii="Times New Roman" w:hAnsi="Times New Roman" w:eastAsia="Times New Roman" w:cs="Times New Roman"/>
                      <w:spacing w:val="-4"/>
                    </w:rPr>
                    <w:t>15.8m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9"/>
                      <w:position w:val="8"/>
                      <w:sz w:val="15"/>
                      <w:szCs w:val="15"/>
                    </w:rPr>
                    <w:t xml:space="preserve"> </w:t>
                  </w:r>
                  <w:r>
                    <w:rPr>
                      <w:spacing w:val="-4"/>
                    </w:rPr>
                    <w:t>，合计并取整后总容积约</w:t>
                  </w:r>
                  <w:r>
                    <w:rPr>
                      <w:spacing w:val="-32"/>
                    </w:rPr>
                    <w:t xml:space="preserve"> </w:t>
                  </w:r>
                  <w:r>
                    <w:rPr>
                      <w:rFonts w:ascii="Times New Roman" w:hAnsi="Times New Roman" w:eastAsia="Times New Roman" w:cs="Times New Roman"/>
                      <w:spacing w:val="-4"/>
                    </w:rPr>
                    <w:t>17m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0"/>
                      <w:position w:val="8"/>
                      <w:sz w:val="15"/>
                      <w:szCs w:val="15"/>
                    </w:rPr>
                    <w:t xml:space="preserve"> </w:t>
                  </w:r>
                  <w:r>
                    <w:rPr>
                      <w:spacing w:val="-4"/>
                    </w:rPr>
                    <w:t>，变化系数取</w:t>
                  </w:r>
                  <w:r>
                    <w:rPr>
                      <w:spacing w:val="-32"/>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29"/>
                    </w:rPr>
                    <w:t xml:space="preserve"> </w:t>
                  </w:r>
                  <w:r>
                    <w:rPr>
                      <w:spacing w:val="-4"/>
                    </w:rPr>
                    <w:t>的预留空间，计</w:t>
                  </w:r>
                  <w:r>
                    <w:rPr>
                      <w:spacing w:val="-5"/>
                    </w:rPr>
                    <w:t>算得升</w:t>
                  </w:r>
                  <w:r>
                    <w:t xml:space="preserve"> </w:t>
                  </w:r>
                  <w:r>
                    <w:rPr>
                      <w:spacing w:val="-2"/>
                    </w:rPr>
                    <w:t>压站危废贮存库容积应不小于</w:t>
                  </w:r>
                  <w:r>
                    <w:rPr>
                      <w:spacing w:val="-51"/>
                    </w:rPr>
                    <w:t xml:space="preserve"> </w:t>
                  </w:r>
                  <w:r>
                    <w:rPr>
                      <w:rFonts w:ascii="Times New Roman" w:hAnsi="Times New Roman" w:eastAsia="Times New Roman" w:cs="Times New Roman"/>
                      <w:spacing w:val="-2"/>
                    </w:rPr>
                    <w:t>20.4m</w:t>
                  </w:r>
                  <w:r>
                    <w:rPr>
                      <w:rFonts w:ascii="Times New Roman" w:hAnsi="Times New Roman" w:eastAsia="Times New Roman" w:cs="Times New Roman"/>
                      <w:spacing w:val="-2"/>
                      <w:position w:val="8"/>
                      <w:sz w:val="15"/>
                      <w:szCs w:val="15"/>
                    </w:rPr>
                    <w:t>3</w:t>
                  </w:r>
                  <w:r>
                    <w:rPr>
                      <w:spacing w:val="-2"/>
                    </w:rPr>
                    <w:t>。项目升压站拟设置的危废贮存库占地面积</w:t>
                  </w:r>
                  <w:r>
                    <w:rPr>
                      <w:spacing w:val="-55"/>
                    </w:rPr>
                    <w:t xml:space="preserve"> </w:t>
                  </w:r>
                  <w:r>
                    <w:rPr>
                      <w:rFonts w:ascii="Times New Roman" w:hAnsi="Times New Roman" w:eastAsia="Times New Roman" w:cs="Times New Roman"/>
                      <w:spacing w:val="-2"/>
                    </w:rPr>
                    <w:t>28m</w:t>
                  </w:r>
                  <w:r>
                    <w:rPr>
                      <w:rFonts w:ascii="Times New Roman" w:hAnsi="Times New Roman" w:eastAsia="Times New Roman" w:cs="Times New Roman"/>
                      <w:spacing w:val="-2"/>
                      <w:position w:val="8"/>
                      <w:sz w:val="15"/>
                      <w:szCs w:val="15"/>
                    </w:rPr>
                    <w:t>2</w:t>
                  </w:r>
                  <w:r>
                    <w:rPr>
                      <w:spacing w:val="-2"/>
                    </w:rPr>
                    <w:t>（高</w:t>
                  </w:r>
                  <w:r>
                    <w:t xml:space="preserve"> </w:t>
                  </w:r>
                  <w:r>
                    <w:rPr>
                      <w:rFonts w:ascii="Times New Roman" w:hAnsi="Times New Roman" w:eastAsia="Times New Roman" w:cs="Times New Roman"/>
                      <w:spacing w:val="-2"/>
                    </w:rPr>
                    <w:t>3m</w:t>
                  </w:r>
                  <w:r>
                    <w:rPr>
                      <w:rFonts w:ascii="Times New Roman" w:hAnsi="Times New Roman" w:eastAsia="Times New Roman" w:cs="Times New Roman"/>
                      <w:spacing w:val="-30"/>
                    </w:rPr>
                    <w:t xml:space="preserve"> </w:t>
                  </w:r>
                  <w:r>
                    <w:rPr>
                      <w:spacing w:val="-2"/>
                    </w:rPr>
                    <w:t>，堆高按照</w:t>
                  </w:r>
                  <w:r>
                    <w:rPr>
                      <w:spacing w:val="-32"/>
                    </w:rPr>
                    <w:t xml:space="preserve"> </w:t>
                  </w:r>
                  <w:r>
                    <w:rPr>
                      <w:rFonts w:ascii="Times New Roman" w:hAnsi="Times New Roman" w:eastAsia="Times New Roman" w:cs="Times New Roman"/>
                      <w:spacing w:val="-2"/>
                    </w:rPr>
                    <w:t xml:space="preserve">1.5m </w:t>
                  </w:r>
                  <w:r>
                    <w:rPr>
                      <w:spacing w:val="-2"/>
                    </w:rPr>
                    <w:t>计算，折算成可堆存容积</w:t>
                  </w:r>
                  <w:r>
                    <w:rPr>
                      <w:spacing w:val="-56"/>
                    </w:rPr>
                    <w:t xml:space="preserve"> </w:t>
                  </w:r>
                  <w:r>
                    <w:rPr>
                      <w:rFonts w:ascii="Times New Roman" w:hAnsi="Times New Roman" w:eastAsia="Times New Roman" w:cs="Times New Roman"/>
                      <w:spacing w:val="-2"/>
                    </w:rPr>
                    <w:t>42m</w:t>
                  </w:r>
                  <w:r>
                    <w:rPr>
                      <w:rFonts w:ascii="Times New Roman" w:hAnsi="Times New Roman" w:eastAsia="Times New Roman" w:cs="Times New Roman"/>
                      <w:spacing w:val="-2"/>
                      <w:position w:val="7"/>
                      <w:sz w:val="15"/>
                      <w:szCs w:val="15"/>
                    </w:rPr>
                    <w:t xml:space="preserve">3 </w:t>
                  </w:r>
                  <w:r>
                    <w:rPr>
                      <w:spacing w:val="-12"/>
                    </w:rPr>
                    <w:t>），</w:t>
                  </w:r>
                  <w:r>
                    <w:rPr>
                      <w:spacing w:val="-2"/>
                    </w:rPr>
                    <w:t>可满足危险废物的暂</w:t>
                  </w:r>
                  <w:r>
                    <w:rPr>
                      <w:spacing w:val="-3"/>
                    </w:rPr>
                    <w:t>存管理。</w:t>
                  </w:r>
                </w:p>
                <w:p w14:paraId="07203E83">
                  <w:pPr>
                    <w:pStyle w:val="6"/>
                    <w:spacing w:before="36" w:line="219" w:lineRule="auto"/>
                    <w:ind w:left="593"/>
                  </w:pPr>
                  <w:r>
                    <w:rPr>
                      <w:rFonts w:ascii="Times New Roman" w:hAnsi="Times New Roman" w:eastAsia="Times New Roman" w:cs="Times New Roman"/>
                      <w:b/>
                      <w:bCs/>
                      <w:spacing w:val="-3"/>
                    </w:rPr>
                    <w:t>4</w:t>
                  </w:r>
                  <w:r>
                    <w:rPr>
                      <w:b/>
                      <w:bCs/>
                      <w:spacing w:val="-3"/>
                    </w:rPr>
                    <w:t>）固体废物环境管理要求</w:t>
                  </w:r>
                </w:p>
                <w:p w14:paraId="19086684">
                  <w:pPr>
                    <w:pStyle w:val="6"/>
                    <w:spacing w:before="181" w:line="339" w:lineRule="auto"/>
                    <w:ind w:left="115" w:firstLine="477"/>
                  </w:pPr>
                  <w:r>
                    <w:rPr>
                      <w:spacing w:val="-14"/>
                    </w:rPr>
                    <w:t>①设置</w:t>
                  </w:r>
                  <w:r>
                    <w:rPr>
                      <w:spacing w:val="-20"/>
                    </w:rPr>
                    <w:t xml:space="preserve"> </w:t>
                  </w:r>
                  <w:r>
                    <w:rPr>
                      <w:rFonts w:ascii="Times New Roman" w:hAnsi="Times New Roman" w:eastAsia="Times New Roman" w:cs="Times New Roman"/>
                      <w:spacing w:val="-14"/>
                    </w:rPr>
                    <w:t>1</w:t>
                  </w:r>
                  <w:r>
                    <w:rPr>
                      <w:rFonts w:ascii="Times New Roman" w:hAnsi="Times New Roman" w:eastAsia="Times New Roman" w:cs="Times New Roman"/>
                      <w:spacing w:val="28"/>
                    </w:rPr>
                    <w:t xml:space="preserve"> </w:t>
                  </w:r>
                  <w:r>
                    <w:rPr>
                      <w:spacing w:val="-14"/>
                    </w:rPr>
                    <w:t>间</w:t>
                  </w:r>
                  <w:r>
                    <w:rPr>
                      <w:spacing w:val="-33"/>
                    </w:rPr>
                    <w:t xml:space="preserve"> </w:t>
                  </w:r>
                  <w:r>
                    <w:rPr>
                      <w:rFonts w:ascii="Times New Roman" w:hAnsi="Times New Roman" w:eastAsia="Times New Roman" w:cs="Times New Roman"/>
                      <w:spacing w:val="-14"/>
                    </w:rPr>
                    <w:t>10m</w:t>
                  </w:r>
                  <w:r>
                    <w:rPr>
                      <w:rFonts w:ascii="Times New Roman" w:hAnsi="Times New Roman" w:eastAsia="Times New Roman" w:cs="Times New Roman"/>
                      <w:spacing w:val="-7"/>
                      <w:position w:val="7"/>
                      <w:sz w:val="15"/>
                      <w:szCs w:val="15"/>
                    </w:rPr>
                    <w:t>2</w:t>
                  </w:r>
                  <w:r>
                    <w:rPr>
                      <w:rFonts w:ascii="Times New Roman" w:hAnsi="Times New Roman" w:eastAsia="Times New Roman" w:cs="Times New Roman"/>
                      <w:spacing w:val="13"/>
                      <w:position w:val="7"/>
                      <w:sz w:val="15"/>
                      <w:szCs w:val="15"/>
                    </w:rPr>
                    <w:t xml:space="preserve"> </w:t>
                  </w:r>
                  <w:r>
                    <w:rPr>
                      <w:spacing w:val="-7"/>
                    </w:rPr>
                    <w:t>一般固废暂存间，储存能力为</w:t>
                  </w:r>
                  <w:r>
                    <w:rPr>
                      <w:spacing w:val="-33"/>
                    </w:rPr>
                    <w:t xml:space="preserve"> </w:t>
                  </w:r>
                  <w:r>
                    <w:rPr>
                      <w:rFonts w:ascii="Times New Roman" w:hAnsi="Times New Roman" w:eastAsia="Times New Roman" w:cs="Times New Roman"/>
                      <w:spacing w:val="-7"/>
                    </w:rPr>
                    <w:t>10t</w:t>
                  </w:r>
                  <w:r>
                    <w:rPr>
                      <w:spacing w:val="-7"/>
                    </w:rPr>
                    <w:t>，收集暂存项目产生的废弃电池板、</w:t>
                  </w:r>
                  <w:r>
                    <w:t xml:space="preserve"> </w:t>
                  </w:r>
                  <w:r>
                    <w:rPr>
                      <w:spacing w:val="-1"/>
                    </w:rPr>
                    <w:t>废电气元件及废逆变器，定期交于生产厂家回收处理。一般工业固废暂存间</w:t>
                  </w:r>
                  <w:r>
                    <w:rPr>
                      <w:spacing w:val="-2"/>
                    </w:rPr>
                    <w:t>的设置应符合</w:t>
                  </w:r>
                  <w:r>
                    <w:t xml:space="preserve"> </w:t>
                  </w:r>
                  <w:r>
                    <w:rPr>
                      <w:spacing w:val="-4"/>
                    </w:rPr>
                    <w:t>《一般工业固体废物贮存和填埋污染控制标准》（</w:t>
                  </w:r>
                  <w:r>
                    <w:rPr>
                      <w:rFonts w:ascii="Times New Roman" w:hAnsi="Times New Roman" w:eastAsia="Times New Roman" w:cs="Times New Roman"/>
                      <w:spacing w:val="-4"/>
                    </w:rPr>
                    <w:t>GB</w:t>
                  </w:r>
                  <w:r>
                    <w:rPr>
                      <w:rFonts w:ascii="Times New Roman" w:hAnsi="Times New Roman" w:eastAsia="Times New Roman" w:cs="Times New Roman"/>
                      <w:spacing w:val="28"/>
                    </w:rPr>
                    <w:t xml:space="preserve"> </w:t>
                  </w:r>
                  <w:r>
                    <w:rPr>
                      <w:rFonts w:ascii="Times New Roman" w:hAnsi="Times New Roman" w:eastAsia="Times New Roman" w:cs="Times New Roman"/>
                      <w:spacing w:val="-4"/>
                    </w:rPr>
                    <w:t>18599-2020</w:t>
                  </w:r>
                  <w:r>
                    <w:rPr>
                      <w:spacing w:val="-4"/>
                    </w:rPr>
                    <w:t>）及国家、</w:t>
                  </w:r>
                  <w:r>
                    <w:rPr>
                      <w:spacing w:val="-5"/>
                    </w:rPr>
                    <w:t>地方法律法规</w:t>
                  </w:r>
                  <w:r>
                    <w:t xml:space="preserve"> </w:t>
                  </w:r>
                  <w:r>
                    <w:rPr>
                      <w:spacing w:val="-3"/>
                    </w:rPr>
                    <w:t>的环保要求：</w:t>
                  </w:r>
                  <w:r>
                    <w:rPr>
                      <w:rFonts w:ascii="Times New Roman" w:hAnsi="Times New Roman" w:eastAsia="Times New Roman" w:cs="Times New Roman"/>
                      <w:spacing w:val="-3"/>
                    </w:rPr>
                    <w:t>a</w:t>
                  </w:r>
                  <w:r>
                    <w:rPr>
                      <w:rFonts w:ascii="Times New Roman" w:hAnsi="Times New Roman" w:eastAsia="Times New Roman" w:cs="Times New Roman"/>
                      <w:spacing w:val="-28"/>
                    </w:rPr>
                    <w:t xml:space="preserve"> </w:t>
                  </w:r>
                  <w:r>
                    <w:rPr>
                      <w:spacing w:val="-3"/>
                    </w:rPr>
                    <w:t>、基础必须进行防渗；</w:t>
                  </w:r>
                  <w:r>
                    <w:rPr>
                      <w:rFonts w:ascii="Times New Roman" w:hAnsi="Times New Roman" w:eastAsia="Times New Roman" w:cs="Times New Roman"/>
                      <w:spacing w:val="-3"/>
                    </w:rPr>
                    <w:t>b</w:t>
                  </w:r>
                  <w:r>
                    <w:rPr>
                      <w:rFonts w:ascii="Times New Roman" w:hAnsi="Times New Roman" w:eastAsia="Times New Roman" w:cs="Times New Roman"/>
                      <w:spacing w:val="-32"/>
                    </w:rPr>
                    <w:t xml:space="preserve"> </w:t>
                  </w:r>
                  <w:r>
                    <w:rPr>
                      <w:spacing w:val="-3"/>
                    </w:rPr>
                    <w:t>、为加强监督管理，暂存间应按</w:t>
                  </w:r>
                  <w:r>
                    <w:rPr>
                      <w:spacing w:val="-52"/>
                    </w:rPr>
                    <w:t xml:space="preserve"> </w:t>
                  </w:r>
                  <w:r>
                    <w:rPr>
                      <w:rFonts w:ascii="Times New Roman" w:hAnsi="Times New Roman" w:eastAsia="Times New Roman" w:cs="Times New Roman"/>
                      <w:spacing w:val="-3"/>
                    </w:rPr>
                    <w:t xml:space="preserve">GB15562.2 </w:t>
                  </w:r>
                  <w:r>
                    <w:rPr>
                      <w:spacing w:val="-3"/>
                    </w:rPr>
                    <w:t>要求设</w:t>
                  </w:r>
                  <w:r>
                    <w:t xml:space="preserve"> </w:t>
                  </w:r>
                  <w:r>
                    <w:rPr>
                      <w:spacing w:val="-4"/>
                    </w:rPr>
                    <w:t>置环境保护图形标志；</w:t>
                  </w:r>
                  <w:r>
                    <w:rPr>
                      <w:rFonts w:ascii="Times New Roman" w:hAnsi="Times New Roman" w:eastAsia="Times New Roman" w:cs="Times New Roman"/>
                      <w:spacing w:val="-4"/>
                    </w:rPr>
                    <w:t>c</w:t>
                  </w:r>
                  <w:r>
                    <w:rPr>
                      <w:spacing w:val="-4"/>
                    </w:rPr>
                    <w:t>、应建立检查维护制度，发现有损坏可能或异常应及时采取措施进</w:t>
                  </w:r>
                  <w:r>
                    <w:rPr>
                      <w:spacing w:val="9"/>
                    </w:rPr>
                    <w:t xml:space="preserve"> </w:t>
                  </w:r>
                  <w:r>
                    <w:rPr>
                      <w:spacing w:val="-4"/>
                    </w:rPr>
                    <w:t>行修复；</w:t>
                  </w:r>
                  <w:r>
                    <w:rPr>
                      <w:rFonts w:ascii="Times New Roman" w:hAnsi="Times New Roman" w:eastAsia="Times New Roman" w:cs="Times New Roman"/>
                      <w:spacing w:val="-4"/>
                    </w:rPr>
                    <w:t>d</w:t>
                  </w:r>
                  <w:r>
                    <w:rPr>
                      <w:spacing w:val="-4"/>
                    </w:rPr>
                    <w:t>、应建立档案制度，将入场的一般工业固体废物种类和数量，出入库</w:t>
                  </w:r>
                  <w:r>
                    <w:rPr>
                      <w:spacing w:val="-5"/>
                    </w:rPr>
                    <w:t>情况详细记</w:t>
                  </w:r>
                  <w:r>
                    <w:t xml:space="preserve"> </w:t>
                  </w:r>
                  <w:r>
                    <w:rPr>
                      <w:spacing w:val="-3"/>
                    </w:rPr>
                    <w:t>录在案，长期保存，供随时查阅。</w:t>
                  </w:r>
                </w:p>
                <w:p w14:paraId="1E3B4E4D">
                  <w:pPr>
                    <w:pStyle w:val="6"/>
                    <w:spacing w:before="178" w:line="336" w:lineRule="auto"/>
                    <w:ind w:left="116" w:firstLine="475"/>
                  </w:pPr>
                  <w:r>
                    <w:rPr>
                      <w:spacing w:val="-5"/>
                    </w:rPr>
                    <w:t>②升压站内设置</w:t>
                  </w:r>
                  <w:r>
                    <w:rPr>
                      <w:rFonts w:ascii="Times New Roman" w:hAnsi="Times New Roman" w:eastAsia="Times New Roman" w:cs="Times New Roman"/>
                      <w:spacing w:val="-5"/>
                    </w:rPr>
                    <w:t>1</w:t>
                  </w:r>
                  <w:r>
                    <w:rPr>
                      <w:spacing w:val="-5"/>
                    </w:rPr>
                    <w:t>间面积为</w:t>
                  </w:r>
                  <w:r>
                    <w:rPr>
                      <w:rFonts w:ascii="Times New Roman" w:hAnsi="Times New Roman" w:eastAsia="Times New Roman" w:cs="Times New Roman"/>
                      <w:spacing w:val="-5"/>
                    </w:rPr>
                    <w:t>28m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2"/>
                      <w:position w:val="8"/>
                      <w:sz w:val="15"/>
                      <w:szCs w:val="15"/>
                    </w:rPr>
                    <w:t xml:space="preserve"> </w:t>
                  </w:r>
                  <w:r>
                    <w:rPr>
                      <w:spacing w:val="-5"/>
                    </w:rPr>
                    <w:t>的危废贮存库，废铅蓄电池、维修产生的废变压器油和</w:t>
                  </w:r>
                  <w:r>
                    <w:t xml:space="preserve"> </w:t>
                  </w:r>
                  <w:r>
                    <w:rPr>
                      <w:spacing w:val="-1"/>
                    </w:rPr>
                    <w:t>事故废油在危废贮存库贮存分区之间应采取隔离措施，隔离措施可根据危险废物特性采用</w:t>
                  </w:r>
                  <w:r>
                    <w:rPr>
                      <w:spacing w:val="11"/>
                    </w:rPr>
                    <w:t xml:space="preserve"> </w:t>
                  </w:r>
                  <w:r>
                    <w:rPr>
                      <w:spacing w:val="-1"/>
                    </w:rPr>
                    <w:t>过道、隔板或隔墙等方式，避免不相容的危险废物接触、混合，并以醒目的方式标注“危</w:t>
                  </w:r>
                  <w:r>
                    <w:rPr>
                      <w:spacing w:val="11"/>
                    </w:rPr>
                    <w:t xml:space="preserve"> </w:t>
                  </w:r>
                  <w:r>
                    <w:rPr>
                      <w:spacing w:val="-2"/>
                    </w:rPr>
                    <w:t>险废物贮存分区标志</w:t>
                  </w:r>
                  <w:r>
                    <w:rPr>
                      <w:spacing w:val="-70"/>
                    </w:rPr>
                    <w:t xml:space="preserve"> </w:t>
                  </w:r>
                  <w:r>
                    <w:rPr>
                      <w:spacing w:val="-2"/>
                    </w:rPr>
                    <w:t>”字样。危废贮存库采用全封闭式，严格按照《危险废物贮存污染控</w:t>
                  </w:r>
                  <w:r>
                    <w:t xml:space="preserve"> </w:t>
                  </w:r>
                  <w:r>
                    <w:rPr>
                      <w:spacing w:val="-6"/>
                    </w:rPr>
                    <w:t>制标准》（</w:t>
                  </w:r>
                  <w:r>
                    <w:rPr>
                      <w:rFonts w:ascii="Times New Roman" w:hAnsi="Times New Roman" w:eastAsia="Times New Roman" w:cs="Times New Roman"/>
                      <w:spacing w:val="-6"/>
                    </w:rPr>
                    <w:t>GB</w:t>
                  </w:r>
                  <w:r>
                    <w:rPr>
                      <w:rFonts w:ascii="Times New Roman" w:hAnsi="Times New Roman" w:eastAsia="Times New Roman" w:cs="Times New Roman"/>
                      <w:spacing w:val="28"/>
                      <w:w w:val="101"/>
                    </w:rPr>
                    <w:t xml:space="preserve"> </w:t>
                  </w:r>
                  <w:r>
                    <w:rPr>
                      <w:rFonts w:ascii="Times New Roman" w:hAnsi="Times New Roman" w:eastAsia="Times New Roman" w:cs="Times New Roman"/>
                      <w:spacing w:val="-6"/>
                    </w:rPr>
                    <w:t>18597-2023</w:t>
                  </w:r>
                  <w:r>
                    <w:rPr>
                      <w:spacing w:val="-6"/>
                    </w:rPr>
                    <w:t>）的有关要求进行设计，等效黏土防渗层</w:t>
                  </w:r>
                  <w:r>
                    <w:rPr>
                      <w:rFonts w:ascii="Times New Roman" w:hAnsi="Times New Roman" w:eastAsia="Times New Roman" w:cs="Times New Roman"/>
                      <w:spacing w:val="-6"/>
                    </w:rPr>
                    <w:t>Mb≥6</w:t>
                  </w:r>
                  <w:r>
                    <w:rPr>
                      <w:rFonts w:ascii="Times New Roman" w:hAnsi="Times New Roman" w:eastAsia="Times New Roman" w:cs="Times New Roman"/>
                      <w:spacing w:val="-7"/>
                    </w:rPr>
                    <w:t>m</w:t>
                  </w:r>
                  <w:r>
                    <w:rPr>
                      <w:spacing w:val="-7"/>
                    </w:rPr>
                    <w:t>，</w:t>
                  </w:r>
                  <w:r>
                    <w:rPr>
                      <w:rFonts w:ascii="Times New Roman" w:hAnsi="Times New Roman" w:eastAsia="Times New Roman" w:cs="Times New Roman"/>
                      <w:spacing w:val="-7"/>
                    </w:rPr>
                    <w:t>K≤1×10</w:t>
                  </w:r>
                  <w:r>
                    <w:rPr>
                      <w:rFonts w:ascii="Times New Roman" w:hAnsi="Times New Roman" w:eastAsia="Times New Roman" w:cs="Times New Roman"/>
                      <w:spacing w:val="-7"/>
                      <w:position w:val="8"/>
                      <w:sz w:val="15"/>
                      <w:szCs w:val="15"/>
                    </w:rPr>
                    <w:t>-7</w:t>
                  </w:r>
                  <w:r>
                    <w:rPr>
                      <w:rFonts w:ascii="Times New Roman" w:hAnsi="Times New Roman" w:eastAsia="Times New Roman" w:cs="Times New Roman"/>
                      <w:spacing w:val="-7"/>
                    </w:rPr>
                    <w:t>cm/s</w:t>
                  </w:r>
                  <w:r>
                    <w:rPr>
                      <w:spacing w:val="-7"/>
                    </w:rPr>
                    <w:t>，</w:t>
                  </w:r>
                  <w:r>
                    <w:t xml:space="preserve"> </w:t>
                  </w:r>
                  <w:r>
                    <w:rPr>
                      <w:spacing w:val="-2"/>
                    </w:rPr>
                    <w:t>或至少</w:t>
                  </w:r>
                  <w:r>
                    <w:rPr>
                      <w:rFonts w:ascii="Times New Roman" w:hAnsi="Times New Roman" w:eastAsia="Times New Roman" w:cs="Times New Roman"/>
                      <w:spacing w:val="-2"/>
                    </w:rPr>
                    <w:t>2mm</w:t>
                  </w:r>
                  <w:r>
                    <w:rPr>
                      <w:spacing w:val="-2"/>
                    </w:rPr>
                    <w:t>厚高密度聚乙烯膜等人工防渗材料（渗透系数</w:t>
                  </w:r>
                  <w:r>
                    <w:rPr>
                      <w:rFonts w:ascii="Times New Roman" w:hAnsi="Times New Roman" w:eastAsia="Times New Roman" w:cs="Times New Roman"/>
                      <w:spacing w:val="-2"/>
                    </w:rPr>
                    <w:t>≤1×10</w:t>
                  </w:r>
                  <w:r>
                    <w:rPr>
                      <w:rFonts w:ascii="Times New Roman" w:hAnsi="Times New Roman" w:eastAsia="Times New Roman" w:cs="Times New Roman"/>
                      <w:spacing w:val="-2"/>
                      <w:position w:val="8"/>
                      <w:sz w:val="15"/>
                      <w:szCs w:val="15"/>
                    </w:rPr>
                    <w:t>-10</w:t>
                  </w:r>
                  <w:r>
                    <w:rPr>
                      <w:rFonts w:ascii="Times New Roman" w:hAnsi="Times New Roman" w:eastAsia="Times New Roman" w:cs="Times New Roman"/>
                      <w:spacing w:val="-2"/>
                    </w:rPr>
                    <w:t>cm/s</w:t>
                  </w:r>
                  <w:r>
                    <w:rPr>
                      <w:spacing w:val="-15"/>
                    </w:rPr>
                    <w:t>），</w:t>
                  </w:r>
                  <w:r>
                    <w:rPr>
                      <w:spacing w:val="-2"/>
                    </w:rPr>
                    <w:t>或其他防渗性能</w:t>
                  </w:r>
                </w:p>
                <w:p w14:paraId="010322BA">
                  <w:pPr>
                    <w:pStyle w:val="6"/>
                    <w:spacing w:before="148" w:line="354" w:lineRule="auto"/>
                    <w:ind w:left="115" w:right="3" w:firstLine="2"/>
                    <w:jc w:val="both"/>
                  </w:pPr>
                  <w:r>
                    <w:rPr>
                      <w:spacing w:val="2"/>
                    </w:rPr>
                    <w:t>等效的材料，并按照《</w:t>
                  </w:r>
                  <w:r>
                    <w:fldChar w:fldCharType="begin"/>
                  </w:r>
                  <w:r>
                    <w:instrText xml:space="preserve"> HYPERLINK "https://mp.weixin.qq.com/s?__biz=MzIzMjIxNTc5Nw==&amp;mid=2247702462&amp;idx=2&amp;sn=5e98e17fb1b6687ba596bee36d1a13b5&amp;chksm=e895d224dfe25b32e4fe7a179859d5742cb48344317c6087027e34635cb800496b7a615d02c1&amp;mpshare=1&amp;scene=24&amp;srcid=03126t3l4r7hneaxMAQCjLej&amp;sharer_sharetime=1678601519933&amp;sharer_shareid=81ea4fcbbd91328b79320cfb5a318675&amp;key=17ff30f6f0feaa63893e190f920e5bc4981bfbb55dc0fa6811a987988ee678e7d76e50a67033dc42e5ee190c5f5c88067afb53b8dfd24f3c534acf9efb84853f18cf61d79000fa8804668b44db2e63c7088a0528f51df3beae9ad89df7de5189e15f37332cf2b10137989577effb2e5d24c24ec901d3d8dae095d7427413912c&amp;ascene=0&amp;uin=MjM3NTAzNDQxNw==&amp;devicetype=Windows+10+x64&amp;version=6309001c&amp;lang=zh_CN&amp;countrycode=CN&amp;exportkey=n_ChQIAhIQ20jkuKT3oDF1HKFFDU/AjxLgAQIE97dBBAEAAAAAAEd7MX719eEAAAAOpnltbLcz9gKNyK89dVj0zHz5xTF4V9v9MRGYQjcPAiDdauKnh8Sg809MavE4bv2ih8ZqSrGvW7HjYSqrjspqYS1z90OHb+IfWKET1hcyVdeVvL70Qs5uabgJEJ71/jcrqvhgOcTwzKEnc3BcJj1oCFHRdsRz3WUyRxSyBY0PECaPy1K2fZnmZQ5jucadnWHrVJyqyZde+3JEmQ0RXfB/pKyWxQiHlIoxxbIJniTDazZ+khcSfJMFRruDAgCgmMe0Zr/ev5tamy9y&amp;acctmode=0&amp;pass_ticket=eMIlM6lKATFPft/lMmDKrNTOJ/M4WYtweqF+JFmsuChLAENa04MdFA6nTarJPg0OVIS5nEzNTACMVv+IyscuRA==&amp;wx_header=1&amp;fontgear=2" </w:instrText>
                  </w:r>
                  <w:r>
                    <w:fldChar w:fldCharType="separate"/>
                  </w:r>
                  <w:r>
                    <w:rPr>
                      <w:spacing w:val="2"/>
                    </w:rPr>
                    <w:t>危险废物识别标志设置技术规范</w:t>
                  </w:r>
                  <w:r>
                    <w:rPr>
                      <w:spacing w:val="2"/>
                    </w:rPr>
                    <w:fldChar w:fldCharType="end"/>
                  </w:r>
                  <w:r>
                    <w:rPr>
                      <w:spacing w:val="2"/>
                    </w:rPr>
                    <w:t>》（</w:t>
                  </w:r>
                  <w:r>
                    <w:rPr>
                      <w:rFonts w:ascii="Times New Roman" w:hAnsi="Times New Roman" w:eastAsia="Times New Roman" w:cs="Times New Roman"/>
                    </w:rPr>
                    <w:t>HJ</w:t>
                  </w:r>
                  <w:r>
                    <w:rPr>
                      <w:rFonts w:ascii="Times New Roman" w:hAnsi="Times New Roman" w:eastAsia="Times New Roman" w:cs="Times New Roman"/>
                      <w:spacing w:val="33"/>
                      <w:w w:val="101"/>
                    </w:rPr>
                    <w:t xml:space="preserve"> </w:t>
                  </w:r>
                  <w:r>
                    <w:rPr>
                      <w:rFonts w:ascii="Times New Roman" w:hAnsi="Times New Roman" w:eastAsia="Times New Roman" w:cs="Times New Roman"/>
                      <w:spacing w:val="1"/>
                    </w:rPr>
                    <w:t>1276-2022</w:t>
                  </w:r>
                  <w:r>
                    <w:rPr>
                      <w:spacing w:val="1"/>
                    </w:rPr>
                    <w:t>）要求配设醒目</w:t>
                  </w:r>
                  <w:r>
                    <w:t xml:space="preserve"> </w:t>
                  </w:r>
                  <w:r>
                    <w:rPr>
                      <w:spacing w:val="1"/>
                    </w:rPr>
                    <w:t>的警示标识。危险废物定期委托具备相应危废处置资质的单位进行处置</w:t>
                  </w:r>
                  <w:r>
                    <w:t>，其转移严格按照 《危险废物转移管理办法》（</w:t>
                  </w:r>
                  <w:r>
                    <w:rPr>
                      <w:rFonts w:ascii="Times New Roman" w:hAnsi="Times New Roman" w:eastAsia="Times New Roman" w:cs="Times New Roman"/>
                    </w:rPr>
                    <w:t>2021</w:t>
                  </w:r>
                  <w:r>
                    <w:t>年</w:t>
                  </w:r>
                  <w:r>
                    <w:rPr>
                      <w:rFonts w:ascii="Times New Roman" w:hAnsi="Times New Roman" w:eastAsia="Times New Roman" w:cs="Times New Roman"/>
                    </w:rPr>
                    <w:t>9</w:t>
                  </w:r>
                  <w:r>
                    <w:t>月</w:t>
                  </w:r>
                  <w:r>
                    <w:rPr>
                      <w:rFonts w:ascii="Times New Roman" w:hAnsi="Times New Roman" w:eastAsia="Times New Roman" w:cs="Times New Roman"/>
                    </w:rPr>
                    <w:t>18</w:t>
                  </w:r>
                  <w:r>
                    <w:t>日由生态环</w:t>
                  </w:r>
                  <w:r>
                    <w:rPr>
                      <w:spacing w:val="-1"/>
                    </w:rPr>
                    <w:t>境部部务会议审议通过，</w:t>
                  </w:r>
                  <w:r>
                    <w:rPr>
                      <w:spacing w:val="-71"/>
                    </w:rPr>
                    <w:t xml:space="preserve"> </w:t>
                  </w:r>
                  <w:r>
                    <w:rPr>
                      <w:spacing w:val="-1"/>
                    </w:rPr>
                    <w:t>自</w:t>
                  </w:r>
                  <w:r>
                    <w:rPr>
                      <w:rFonts w:ascii="Times New Roman" w:hAnsi="Times New Roman" w:eastAsia="Times New Roman" w:cs="Times New Roman"/>
                      <w:spacing w:val="-1"/>
                    </w:rPr>
                    <w:t>2022</w:t>
                  </w:r>
                  <w:r>
                    <w:rPr>
                      <w:spacing w:val="-1"/>
                    </w:rPr>
                    <w:t>年</w:t>
                  </w:r>
                  <w:r>
                    <w:rPr>
                      <w:rFonts w:ascii="Times New Roman" w:hAnsi="Times New Roman" w:eastAsia="Times New Roman" w:cs="Times New Roman"/>
                      <w:spacing w:val="-1"/>
                    </w:rPr>
                    <w:t>1</w:t>
                  </w:r>
                  <w:r>
                    <w:rPr>
                      <w:rFonts w:ascii="Times New Roman" w:hAnsi="Times New Roman" w:eastAsia="Times New Roman" w:cs="Times New Roman"/>
                    </w:rPr>
                    <w:t xml:space="preserve"> </w:t>
                  </w:r>
                  <w:r>
                    <w:rPr>
                      <w:spacing w:val="-2"/>
                    </w:rPr>
                    <w:t>月</w:t>
                  </w:r>
                  <w:r>
                    <w:rPr>
                      <w:rFonts w:ascii="Times New Roman" w:hAnsi="Times New Roman" w:eastAsia="Times New Roman" w:cs="Times New Roman"/>
                      <w:spacing w:val="-2"/>
                    </w:rPr>
                    <w:t>1</w:t>
                  </w:r>
                  <w:r>
                    <w:rPr>
                      <w:spacing w:val="-2"/>
                    </w:rPr>
                    <w:t>日起施行）要求执行。配置人员对危险废物进行收集、暂存和保管</w:t>
                  </w:r>
                  <w:r>
                    <w:rPr>
                      <w:spacing w:val="-3"/>
                    </w:rPr>
                    <w:t>。建立危险废物产生</w:t>
                  </w:r>
                  <w:r>
                    <w:t xml:space="preserve"> </w:t>
                  </w:r>
                  <w:r>
                    <w:rPr>
                      <w:spacing w:val="1"/>
                    </w:rPr>
                    <w:t>记录台账，定期检查自行贮存和处置的危险废物记录及相关证明材料，</w:t>
                  </w:r>
                  <w:r>
                    <w:t xml:space="preserve">妥善保存危废转移 </w:t>
                  </w:r>
                  <w:r>
                    <w:rPr>
                      <w:spacing w:val="-1"/>
                    </w:rPr>
                    <w:t>联单及危废处置协议等相关资料。</w:t>
                  </w:r>
                </w:p>
              </w:tc>
            </w:tr>
          </w:tbl>
          <w:p w14:paraId="7068129E">
            <w:pPr>
              <w:spacing w:line="14" w:lineRule="auto"/>
              <w:rPr>
                <w:rFonts w:ascii="Arial"/>
                <w:sz w:val="2"/>
              </w:rPr>
            </w:pPr>
          </w:p>
        </w:tc>
      </w:tr>
    </w:tbl>
    <w:p w14:paraId="25434907">
      <w:pPr>
        <w:rPr>
          <w:rFonts w:ascii="Arial"/>
          <w:sz w:val="21"/>
        </w:rPr>
      </w:pPr>
    </w:p>
    <w:p w14:paraId="04E283C4">
      <w:pPr>
        <w:rPr>
          <w:rFonts w:ascii="Arial" w:hAnsi="Arial" w:eastAsia="Arial" w:cs="Arial"/>
          <w:sz w:val="21"/>
          <w:szCs w:val="21"/>
        </w:rPr>
        <w:sectPr>
          <w:footerReference r:id="rId142" w:type="default"/>
          <w:pgSz w:w="11907" w:h="16840"/>
          <w:pgMar w:top="1431" w:right="907" w:bottom="1278" w:left="907" w:header="0" w:footer="1116" w:gutter="0"/>
          <w:cols w:space="720" w:num="1"/>
        </w:sectPr>
      </w:pPr>
    </w:p>
    <w:p w14:paraId="55295AD2">
      <w:pPr>
        <w:spacing w:line="99" w:lineRule="exact"/>
      </w:pPr>
    </w:p>
    <w:tbl>
      <w:tblPr>
        <w:tblStyle w:val="5"/>
        <w:tblW w:w="1007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343"/>
        <w:gridCol w:w="770"/>
        <w:gridCol w:w="1085"/>
        <w:gridCol w:w="7062"/>
        <w:gridCol w:w="352"/>
      </w:tblGrid>
      <w:tr w14:paraId="51FC2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2" w:hRule="atLeast"/>
        </w:trPr>
        <w:tc>
          <w:tcPr>
            <w:tcW w:w="465" w:type="dxa"/>
            <w:vMerge w:val="restart"/>
            <w:tcBorders>
              <w:top w:val="single" w:color="000000" w:sz="6" w:space="0"/>
              <w:left w:val="single" w:color="000000" w:sz="6" w:space="0"/>
              <w:bottom w:val="nil"/>
            </w:tcBorders>
            <w:vAlign w:val="top"/>
          </w:tcPr>
          <w:p w14:paraId="7859B92B">
            <w:pPr>
              <w:rPr>
                <w:rFonts w:ascii="Arial"/>
                <w:sz w:val="21"/>
              </w:rPr>
            </w:pPr>
          </w:p>
        </w:tc>
        <w:tc>
          <w:tcPr>
            <w:tcW w:w="9612" w:type="dxa"/>
            <w:gridSpan w:val="5"/>
            <w:tcBorders>
              <w:top w:val="single" w:color="000000" w:sz="6" w:space="0"/>
              <w:right w:val="single" w:color="000000" w:sz="6" w:space="0"/>
            </w:tcBorders>
            <w:vAlign w:val="top"/>
          </w:tcPr>
          <w:p w14:paraId="334BC405">
            <w:pPr>
              <w:pStyle w:val="6"/>
              <w:spacing w:before="41" w:line="220" w:lineRule="auto"/>
              <w:ind w:left="599"/>
            </w:pPr>
            <w:r>
              <w:rPr>
                <w:b/>
                <w:bCs/>
                <w:spacing w:val="-5"/>
              </w:rPr>
              <w:t>（</w:t>
            </w:r>
            <w:r>
              <w:rPr>
                <w:rFonts w:ascii="Times New Roman" w:hAnsi="Times New Roman" w:eastAsia="Times New Roman" w:cs="Times New Roman"/>
                <w:b/>
                <w:bCs/>
                <w:spacing w:val="-5"/>
              </w:rPr>
              <w:t>6</w:t>
            </w:r>
            <w:r>
              <w:rPr>
                <w:b/>
                <w:bCs/>
                <w:spacing w:val="-5"/>
              </w:rPr>
              <w:t>）环境风险分析</w:t>
            </w:r>
          </w:p>
          <w:p w14:paraId="7FBAF218">
            <w:pPr>
              <w:pStyle w:val="6"/>
              <w:spacing w:before="179" w:line="218" w:lineRule="auto"/>
              <w:ind w:left="587"/>
              <w:outlineLvl w:val="0"/>
            </w:pPr>
            <w:r>
              <w:rPr>
                <w:spacing w:val="1"/>
              </w:rPr>
              <w:t>环境风险评价的目的是分析和预测建设项目存在的潜在危险、有害因</w:t>
            </w:r>
            <w:r>
              <w:t>素，项目建设和</w:t>
            </w:r>
          </w:p>
          <w:p w14:paraId="5B1D7509">
            <w:pPr>
              <w:pStyle w:val="6"/>
              <w:spacing w:before="184" w:line="352" w:lineRule="auto"/>
              <w:ind w:left="108" w:right="102" w:hanging="1"/>
              <w:jc w:val="both"/>
            </w:pPr>
            <w:r>
              <w:rPr>
                <w:spacing w:val="1"/>
              </w:rPr>
              <w:t>运营期间可能发生的突发性事件或事故，引起有毒有害和易燃易爆等</w:t>
            </w:r>
            <w:r>
              <w:t xml:space="preserve">物质的泄漏，所造成 </w:t>
            </w:r>
            <w:r>
              <w:rPr>
                <w:spacing w:val="1"/>
              </w:rPr>
              <w:t>的人身安全与环境影响和损害程度，提出合理可行的防范、应急</w:t>
            </w:r>
            <w:r>
              <w:t xml:space="preserve">与减缓措施，以使建设项 </w:t>
            </w:r>
            <w:r>
              <w:rPr>
                <w:spacing w:val="1"/>
              </w:rPr>
              <w:t>目事故率、损失和环境影响达到可接受的水平。本次评价根据《</w:t>
            </w:r>
            <w:r>
              <w:t xml:space="preserve">建设项目环境风险评价技 </w:t>
            </w:r>
            <w:r>
              <w:rPr>
                <w:spacing w:val="-2"/>
              </w:rPr>
              <w:t>术导则》（</w:t>
            </w:r>
            <w:r>
              <w:rPr>
                <w:rFonts w:ascii="Times New Roman" w:hAnsi="Times New Roman" w:eastAsia="Times New Roman" w:cs="Times New Roman"/>
                <w:spacing w:val="-2"/>
              </w:rPr>
              <w:t>HJ</w:t>
            </w:r>
            <w:r>
              <w:rPr>
                <w:rFonts w:ascii="Times New Roman" w:hAnsi="Times New Roman" w:eastAsia="Times New Roman" w:cs="Times New Roman"/>
                <w:spacing w:val="32"/>
                <w:w w:val="101"/>
              </w:rPr>
              <w:t xml:space="preserve"> </w:t>
            </w:r>
            <w:r>
              <w:rPr>
                <w:rFonts w:ascii="Times New Roman" w:hAnsi="Times New Roman" w:eastAsia="Times New Roman" w:cs="Times New Roman"/>
                <w:spacing w:val="-2"/>
              </w:rPr>
              <w:t>169-2018</w:t>
            </w:r>
            <w:r>
              <w:rPr>
                <w:spacing w:val="-2"/>
              </w:rPr>
              <w:t>）要求进行评价。</w:t>
            </w:r>
          </w:p>
          <w:p w14:paraId="4AA08648">
            <w:pPr>
              <w:pStyle w:val="6"/>
              <w:spacing w:before="37" w:line="220" w:lineRule="auto"/>
              <w:ind w:left="594"/>
              <w:outlineLvl w:val="0"/>
            </w:pPr>
            <w:r>
              <w:rPr>
                <w:rFonts w:ascii="Times New Roman" w:hAnsi="Times New Roman" w:eastAsia="Times New Roman" w:cs="Times New Roman"/>
                <w:b/>
                <w:bCs/>
                <w:spacing w:val="-4"/>
              </w:rPr>
              <w:t>1</w:t>
            </w:r>
            <w:r>
              <w:rPr>
                <w:b/>
                <w:bCs/>
                <w:spacing w:val="-4"/>
              </w:rPr>
              <w:t>）风险调查</w:t>
            </w:r>
          </w:p>
          <w:p w14:paraId="7A79A1C5">
            <w:pPr>
              <w:pStyle w:val="6"/>
              <w:spacing w:before="174" w:line="223" w:lineRule="auto"/>
              <w:ind w:left="2901"/>
              <w:rPr>
                <w:sz w:val="20"/>
                <w:szCs w:val="20"/>
              </w:rPr>
            </w:pPr>
            <w:r>
              <w:rPr>
                <w:b/>
                <w:bCs/>
                <w:spacing w:val="6"/>
                <w:sz w:val="20"/>
                <w:szCs w:val="20"/>
              </w:rPr>
              <w:t>表</w:t>
            </w:r>
            <w:r>
              <w:rPr>
                <w:spacing w:val="-38"/>
                <w:sz w:val="20"/>
                <w:szCs w:val="20"/>
              </w:rPr>
              <w:t xml:space="preserve"> </w:t>
            </w:r>
            <w:r>
              <w:rPr>
                <w:rFonts w:ascii="Times New Roman" w:hAnsi="Times New Roman" w:eastAsia="Times New Roman" w:cs="Times New Roman"/>
                <w:b/>
                <w:bCs/>
                <w:spacing w:val="6"/>
                <w:sz w:val="20"/>
                <w:szCs w:val="20"/>
              </w:rPr>
              <w:t xml:space="preserve">4-14    </w:t>
            </w:r>
            <w:r>
              <w:rPr>
                <w:b/>
                <w:bCs/>
                <w:spacing w:val="6"/>
                <w:sz w:val="20"/>
                <w:szCs w:val="20"/>
              </w:rPr>
              <w:t>项目涉及的危险物质情况一览表</w:t>
            </w:r>
          </w:p>
          <w:tbl>
            <w:tblPr>
              <w:tblStyle w:val="5"/>
              <w:tblW w:w="8935" w:type="dxa"/>
              <w:tblInd w:w="3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5"/>
              <w:gridCol w:w="811"/>
              <w:gridCol w:w="3411"/>
              <w:gridCol w:w="1728"/>
            </w:tblGrid>
            <w:tr w14:paraId="35B09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985" w:type="dxa"/>
                  <w:vAlign w:val="top"/>
                </w:tcPr>
                <w:p w14:paraId="37ACF77E">
                  <w:pPr>
                    <w:pStyle w:val="6"/>
                    <w:spacing w:before="81" w:line="219" w:lineRule="auto"/>
                    <w:ind w:left="1078"/>
                    <w:rPr>
                      <w:sz w:val="20"/>
                      <w:szCs w:val="20"/>
                    </w:rPr>
                  </w:pPr>
                  <w:r>
                    <w:rPr>
                      <w:b/>
                      <w:bCs/>
                      <w:spacing w:val="5"/>
                      <w:sz w:val="20"/>
                      <w:szCs w:val="20"/>
                    </w:rPr>
                    <w:t>危险物质</w:t>
                  </w:r>
                </w:p>
              </w:tc>
              <w:tc>
                <w:tcPr>
                  <w:tcW w:w="811" w:type="dxa"/>
                  <w:vAlign w:val="top"/>
                </w:tcPr>
                <w:p w14:paraId="614B523B">
                  <w:pPr>
                    <w:pStyle w:val="6"/>
                    <w:spacing w:before="81" w:line="219" w:lineRule="auto"/>
                    <w:ind w:left="203"/>
                    <w:rPr>
                      <w:sz w:val="20"/>
                      <w:szCs w:val="20"/>
                    </w:rPr>
                  </w:pPr>
                  <w:r>
                    <w:rPr>
                      <w:b/>
                      <w:bCs/>
                      <w:spacing w:val="2"/>
                      <w:sz w:val="20"/>
                      <w:szCs w:val="20"/>
                    </w:rPr>
                    <w:t>形态</w:t>
                  </w:r>
                </w:p>
              </w:tc>
              <w:tc>
                <w:tcPr>
                  <w:tcW w:w="3411" w:type="dxa"/>
                  <w:vAlign w:val="top"/>
                </w:tcPr>
                <w:p w14:paraId="5CBEEE7F">
                  <w:pPr>
                    <w:pStyle w:val="6"/>
                    <w:spacing w:before="81" w:line="219" w:lineRule="auto"/>
                    <w:ind w:left="1187"/>
                    <w:rPr>
                      <w:sz w:val="20"/>
                      <w:szCs w:val="20"/>
                    </w:rPr>
                  </w:pPr>
                  <w:r>
                    <w:rPr>
                      <w:b/>
                      <w:bCs/>
                      <w:spacing w:val="6"/>
                      <w:sz w:val="20"/>
                      <w:szCs w:val="20"/>
                    </w:rPr>
                    <w:t>最大储存量</w:t>
                  </w:r>
                </w:p>
              </w:tc>
              <w:tc>
                <w:tcPr>
                  <w:tcW w:w="1728" w:type="dxa"/>
                  <w:vAlign w:val="top"/>
                </w:tcPr>
                <w:p w14:paraId="5B00A7DB">
                  <w:pPr>
                    <w:pStyle w:val="6"/>
                    <w:spacing w:before="81" w:line="219" w:lineRule="auto"/>
                    <w:ind w:left="661"/>
                    <w:rPr>
                      <w:sz w:val="20"/>
                      <w:szCs w:val="20"/>
                    </w:rPr>
                  </w:pPr>
                  <w:r>
                    <w:rPr>
                      <w:b/>
                      <w:bCs/>
                      <w:spacing w:val="2"/>
                      <w:sz w:val="20"/>
                      <w:szCs w:val="20"/>
                    </w:rPr>
                    <w:t>备注</w:t>
                  </w:r>
                </w:p>
              </w:tc>
            </w:tr>
            <w:tr w14:paraId="0805B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2985" w:type="dxa"/>
                  <w:vAlign w:val="top"/>
                </w:tcPr>
                <w:p w14:paraId="669B394A">
                  <w:pPr>
                    <w:spacing w:line="244" w:lineRule="auto"/>
                    <w:rPr>
                      <w:rFonts w:ascii="Arial"/>
                      <w:sz w:val="21"/>
                    </w:rPr>
                  </w:pPr>
                </w:p>
                <w:p w14:paraId="30C1F582">
                  <w:pPr>
                    <w:spacing w:line="245" w:lineRule="auto"/>
                    <w:rPr>
                      <w:rFonts w:ascii="Arial"/>
                      <w:sz w:val="21"/>
                    </w:rPr>
                  </w:pPr>
                </w:p>
                <w:p w14:paraId="53041231">
                  <w:pPr>
                    <w:pStyle w:val="6"/>
                    <w:spacing w:before="65" w:line="229" w:lineRule="auto"/>
                    <w:ind w:left="1078"/>
                    <w:rPr>
                      <w:sz w:val="20"/>
                      <w:szCs w:val="20"/>
                    </w:rPr>
                  </w:pPr>
                  <w:r>
                    <w:rPr>
                      <w:spacing w:val="7"/>
                      <w:sz w:val="20"/>
                      <w:szCs w:val="20"/>
                    </w:rPr>
                    <w:t>变压器油</w:t>
                  </w:r>
                </w:p>
              </w:tc>
              <w:tc>
                <w:tcPr>
                  <w:tcW w:w="811" w:type="dxa"/>
                  <w:vAlign w:val="top"/>
                </w:tcPr>
                <w:p w14:paraId="3FCBB2EE">
                  <w:pPr>
                    <w:spacing w:line="244" w:lineRule="auto"/>
                    <w:rPr>
                      <w:rFonts w:ascii="Arial"/>
                      <w:sz w:val="21"/>
                    </w:rPr>
                  </w:pPr>
                </w:p>
                <w:p w14:paraId="6D027BF5">
                  <w:pPr>
                    <w:spacing w:line="245" w:lineRule="auto"/>
                    <w:rPr>
                      <w:rFonts w:ascii="Arial"/>
                      <w:sz w:val="21"/>
                    </w:rPr>
                  </w:pPr>
                </w:p>
                <w:p w14:paraId="504051CD">
                  <w:pPr>
                    <w:pStyle w:val="6"/>
                    <w:spacing w:before="65" w:line="228" w:lineRule="auto"/>
                    <w:ind w:left="202"/>
                    <w:rPr>
                      <w:sz w:val="20"/>
                      <w:szCs w:val="20"/>
                    </w:rPr>
                  </w:pPr>
                  <w:r>
                    <w:rPr>
                      <w:spacing w:val="3"/>
                      <w:sz w:val="20"/>
                      <w:szCs w:val="20"/>
                    </w:rPr>
                    <w:t>液态</w:t>
                  </w:r>
                </w:p>
              </w:tc>
              <w:tc>
                <w:tcPr>
                  <w:tcW w:w="3411" w:type="dxa"/>
                  <w:vAlign w:val="top"/>
                </w:tcPr>
                <w:p w14:paraId="4AE21702">
                  <w:pPr>
                    <w:spacing w:line="328" w:lineRule="auto"/>
                    <w:rPr>
                      <w:rFonts w:ascii="Arial"/>
                      <w:sz w:val="21"/>
                    </w:rPr>
                  </w:pPr>
                </w:p>
                <w:p w14:paraId="271DBC14">
                  <w:pPr>
                    <w:pStyle w:val="6"/>
                    <w:spacing w:before="65" w:line="283" w:lineRule="auto"/>
                    <w:ind w:left="109" w:right="106" w:firstLine="198"/>
                    <w:rPr>
                      <w:sz w:val="20"/>
                      <w:szCs w:val="20"/>
                    </w:rPr>
                  </w:pPr>
                  <w:r>
                    <w:rPr>
                      <w:rFonts w:ascii="Times New Roman" w:hAnsi="Times New Roman" w:eastAsia="Times New Roman" w:cs="Times New Roman"/>
                      <w:spacing w:val="6"/>
                      <w:sz w:val="20"/>
                      <w:szCs w:val="20"/>
                    </w:rPr>
                    <w:t>108.626t</w:t>
                  </w:r>
                  <w:r>
                    <w:rPr>
                      <w:spacing w:val="6"/>
                      <w:sz w:val="20"/>
                      <w:szCs w:val="20"/>
                    </w:rPr>
                    <w:t>（其中主变压器总油重</w:t>
                  </w:r>
                  <w:r>
                    <w:rPr>
                      <w:sz w:val="20"/>
                      <w:szCs w:val="20"/>
                    </w:rPr>
                    <w:t xml:space="preserve">  </w:t>
                  </w:r>
                  <w:r>
                    <w:rPr>
                      <w:rFonts w:ascii="Times New Roman" w:hAnsi="Times New Roman" w:eastAsia="Times New Roman" w:cs="Times New Roman"/>
                      <w:spacing w:val="4"/>
                      <w:sz w:val="20"/>
                      <w:szCs w:val="20"/>
                    </w:rPr>
                    <w:t>41.826t</w:t>
                  </w:r>
                  <w:r>
                    <w:rPr>
                      <w:rFonts w:ascii="Times New Roman" w:hAnsi="Times New Roman" w:eastAsia="Times New Roman" w:cs="Times New Roman"/>
                      <w:spacing w:val="-25"/>
                      <w:sz w:val="20"/>
                      <w:szCs w:val="20"/>
                    </w:rPr>
                    <w:t xml:space="preserve"> </w:t>
                  </w:r>
                  <w:r>
                    <w:rPr>
                      <w:spacing w:val="4"/>
                      <w:sz w:val="20"/>
                      <w:szCs w:val="20"/>
                    </w:rPr>
                    <w:t>，箱式变压器油重约</w:t>
                  </w:r>
                  <w:r>
                    <w:rPr>
                      <w:spacing w:val="-36"/>
                      <w:sz w:val="20"/>
                      <w:szCs w:val="20"/>
                    </w:rPr>
                    <w:t xml:space="preserve"> </w:t>
                  </w:r>
                  <w:r>
                    <w:rPr>
                      <w:rFonts w:ascii="Times New Roman" w:hAnsi="Times New Roman" w:eastAsia="Times New Roman" w:cs="Times New Roman"/>
                      <w:spacing w:val="4"/>
                      <w:sz w:val="20"/>
                      <w:szCs w:val="20"/>
                    </w:rPr>
                    <w:t>66.8t</w:t>
                  </w:r>
                  <w:r>
                    <w:rPr>
                      <w:spacing w:val="4"/>
                      <w:sz w:val="20"/>
                      <w:szCs w:val="20"/>
                    </w:rPr>
                    <w:t>）</w:t>
                  </w:r>
                </w:p>
              </w:tc>
              <w:tc>
                <w:tcPr>
                  <w:tcW w:w="1728" w:type="dxa"/>
                  <w:vAlign w:val="top"/>
                </w:tcPr>
                <w:p w14:paraId="3C8B8A61">
                  <w:pPr>
                    <w:pStyle w:val="6"/>
                    <w:spacing w:before="76" w:line="228" w:lineRule="auto"/>
                    <w:ind w:left="241"/>
                    <w:rPr>
                      <w:sz w:val="20"/>
                      <w:szCs w:val="20"/>
                    </w:rPr>
                  </w:pPr>
                  <w:r>
                    <w:rPr>
                      <w:spacing w:val="8"/>
                      <w:sz w:val="20"/>
                      <w:szCs w:val="20"/>
                    </w:rPr>
                    <w:t>贮存在变压器</w:t>
                  </w:r>
                </w:p>
                <w:p w14:paraId="2D5EBE24">
                  <w:pPr>
                    <w:pStyle w:val="6"/>
                    <w:spacing w:before="72" w:line="228" w:lineRule="auto"/>
                    <w:ind w:left="160"/>
                    <w:rPr>
                      <w:sz w:val="20"/>
                      <w:szCs w:val="20"/>
                    </w:rPr>
                  </w:pPr>
                  <w:r>
                    <w:rPr>
                      <w:spacing w:val="-1"/>
                      <w:sz w:val="20"/>
                      <w:szCs w:val="20"/>
                    </w:rPr>
                    <w:t>内，</w:t>
                  </w:r>
                  <w:r>
                    <w:rPr>
                      <w:spacing w:val="-58"/>
                      <w:sz w:val="20"/>
                      <w:szCs w:val="20"/>
                    </w:rPr>
                    <w:t xml:space="preserve"> </w:t>
                  </w:r>
                  <w:r>
                    <w:rPr>
                      <w:spacing w:val="-1"/>
                      <w:sz w:val="20"/>
                      <w:szCs w:val="20"/>
                    </w:rPr>
                    <w:t>由设备厂家</w:t>
                  </w:r>
                </w:p>
                <w:p w14:paraId="4C826E58">
                  <w:pPr>
                    <w:pStyle w:val="6"/>
                    <w:spacing w:before="74" w:line="227" w:lineRule="auto"/>
                    <w:ind w:left="136"/>
                    <w:rPr>
                      <w:sz w:val="20"/>
                      <w:szCs w:val="20"/>
                    </w:rPr>
                  </w:pPr>
                  <w:r>
                    <w:rPr>
                      <w:spacing w:val="8"/>
                      <w:sz w:val="20"/>
                      <w:szCs w:val="20"/>
                    </w:rPr>
                    <w:t>提供变压器油的</w:t>
                  </w:r>
                </w:p>
                <w:p w14:paraId="769D74C3">
                  <w:pPr>
                    <w:pStyle w:val="6"/>
                    <w:spacing w:before="73" w:line="218" w:lineRule="auto"/>
                    <w:ind w:left="661"/>
                    <w:rPr>
                      <w:sz w:val="20"/>
                      <w:szCs w:val="20"/>
                    </w:rPr>
                  </w:pPr>
                  <w:r>
                    <w:rPr>
                      <w:spacing w:val="4"/>
                      <w:sz w:val="20"/>
                      <w:szCs w:val="20"/>
                    </w:rPr>
                    <w:t>重量</w:t>
                  </w:r>
                </w:p>
              </w:tc>
            </w:tr>
            <w:tr w14:paraId="012D2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985" w:type="dxa"/>
                  <w:vAlign w:val="top"/>
                </w:tcPr>
                <w:p w14:paraId="28933EDB">
                  <w:pPr>
                    <w:pStyle w:val="6"/>
                    <w:spacing w:before="80" w:line="216" w:lineRule="auto"/>
                    <w:ind w:left="343"/>
                    <w:rPr>
                      <w:sz w:val="20"/>
                      <w:szCs w:val="20"/>
                    </w:rPr>
                  </w:pPr>
                  <w:r>
                    <w:rPr>
                      <w:spacing w:val="8"/>
                      <w:sz w:val="20"/>
                      <w:szCs w:val="20"/>
                    </w:rPr>
                    <w:t>废变压器油（维修产生）</w:t>
                  </w:r>
                </w:p>
              </w:tc>
              <w:tc>
                <w:tcPr>
                  <w:tcW w:w="811" w:type="dxa"/>
                  <w:vAlign w:val="top"/>
                </w:tcPr>
                <w:p w14:paraId="30275166">
                  <w:pPr>
                    <w:pStyle w:val="6"/>
                    <w:spacing w:before="80" w:line="216" w:lineRule="auto"/>
                    <w:ind w:left="202"/>
                    <w:rPr>
                      <w:sz w:val="20"/>
                      <w:szCs w:val="20"/>
                    </w:rPr>
                  </w:pPr>
                  <w:r>
                    <w:rPr>
                      <w:spacing w:val="3"/>
                      <w:sz w:val="20"/>
                      <w:szCs w:val="20"/>
                    </w:rPr>
                    <w:t>液态</w:t>
                  </w:r>
                </w:p>
              </w:tc>
              <w:tc>
                <w:tcPr>
                  <w:tcW w:w="3411" w:type="dxa"/>
                  <w:vAlign w:val="top"/>
                </w:tcPr>
                <w:p w14:paraId="7A2B4CB5">
                  <w:pPr>
                    <w:pStyle w:val="6"/>
                    <w:spacing w:before="80" w:line="216" w:lineRule="auto"/>
                    <w:ind w:left="1081"/>
                    <w:rPr>
                      <w:sz w:val="20"/>
                      <w:szCs w:val="20"/>
                    </w:rPr>
                  </w:pPr>
                  <w:r>
                    <w:rPr>
                      <w:rFonts w:ascii="Times New Roman" w:hAnsi="Times New Roman" w:eastAsia="Times New Roman" w:cs="Times New Roman"/>
                      <w:spacing w:val="4"/>
                      <w:sz w:val="20"/>
                      <w:szCs w:val="20"/>
                    </w:rPr>
                    <w:t>5.43t</w:t>
                  </w:r>
                  <w:r>
                    <w:rPr>
                      <w:spacing w:val="4"/>
                      <w:sz w:val="20"/>
                      <w:szCs w:val="20"/>
                    </w:rPr>
                    <w:t>（桶装）</w:t>
                  </w:r>
                </w:p>
              </w:tc>
              <w:tc>
                <w:tcPr>
                  <w:tcW w:w="1728" w:type="dxa"/>
                  <w:vMerge w:val="restart"/>
                  <w:tcBorders>
                    <w:bottom w:val="nil"/>
                  </w:tcBorders>
                  <w:vAlign w:val="top"/>
                </w:tcPr>
                <w:p w14:paraId="22B9732B">
                  <w:pPr>
                    <w:pStyle w:val="6"/>
                    <w:spacing w:before="168" w:line="228" w:lineRule="auto"/>
                    <w:ind w:left="142"/>
                    <w:rPr>
                      <w:sz w:val="20"/>
                      <w:szCs w:val="20"/>
                    </w:rPr>
                  </w:pPr>
                  <w:r>
                    <w:rPr>
                      <w:spacing w:val="7"/>
                      <w:sz w:val="20"/>
                      <w:szCs w:val="20"/>
                    </w:rPr>
                    <w:t>收集后升压站危</w:t>
                  </w:r>
                </w:p>
                <w:p w14:paraId="0EB166BD">
                  <w:pPr>
                    <w:pStyle w:val="6"/>
                    <w:spacing w:before="72" w:line="228" w:lineRule="auto"/>
                    <w:ind w:left="134"/>
                    <w:rPr>
                      <w:sz w:val="20"/>
                      <w:szCs w:val="20"/>
                    </w:rPr>
                  </w:pPr>
                  <w:r>
                    <w:rPr>
                      <w:spacing w:val="8"/>
                      <w:sz w:val="20"/>
                      <w:szCs w:val="20"/>
                    </w:rPr>
                    <w:t>废贮存库分区暂</w:t>
                  </w:r>
                </w:p>
                <w:p w14:paraId="4D982B52">
                  <w:pPr>
                    <w:pStyle w:val="6"/>
                    <w:spacing w:before="74" w:line="228" w:lineRule="auto"/>
                    <w:ind w:left="763"/>
                    <w:rPr>
                      <w:sz w:val="20"/>
                      <w:szCs w:val="20"/>
                    </w:rPr>
                  </w:pPr>
                  <w:r>
                    <w:rPr>
                      <w:spacing w:val="1"/>
                      <w:sz w:val="20"/>
                      <w:szCs w:val="20"/>
                    </w:rPr>
                    <w:t>存</w:t>
                  </w:r>
                </w:p>
              </w:tc>
            </w:tr>
            <w:tr w14:paraId="1DD38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985" w:type="dxa"/>
                  <w:vAlign w:val="top"/>
                </w:tcPr>
                <w:p w14:paraId="362DF0B9">
                  <w:pPr>
                    <w:pStyle w:val="6"/>
                    <w:spacing w:before="79" w:line="217" w:lineRule="auto"/>
                    <w:ind w:left="449"/>
                    <w:rPr>
                      <w:sz w:val="20"/>
                      <w:szCs w:val="20"/>
                    </w:rPr>
                  </w:pPr>
                  <w:r>
                    <w:rPr>
                      <w:spacing w:val="8"/>
                      <w:sz w:val="20"/>
                      <w:szCs w:val="20"/>
                    </w:rPr>
                    <w:t>事故废油（泄露产生）</w:t>
                  </w:r>
                </w:p>
              </w:tc>
              <w:tc>
                <w:tcPr>
                  <w:tcW w:w="811" w:type="dxa"/>
                  <w:vAlign w:val="top"/>
                </w:tcPr>
                <w:p w14:paraId="58119D86">
                  <w:pPr>
                    <w:pStyle w:val="6"/>
                    <w:spacing w:before="79" w:line="217" w:lineRule="auto"/>
                    <w:ind w:left="202"/>
                    <w:rPr>
                      <w:sz w:val="20"/>
                      <w:szCs w:val="20"/>
                    </w:rPr>
                  </w:pPr>
                  <w:r>
                    <w:rPr>
                      <w:spacing w:val="3"/>
                      <w:sz w:val="20"/>
                      <w:szCs w:val="20"/>
                    </w:rPr>
                    <w:t>液态</w:t>
                  </w:r>
                </w:p>
              </w:tc>
              <w:tc>
                <w:tcPr>
                  <w:tcW w:w="3411" w:type="dxa"/>
                  <w:vAlign w:val="top"/>
                </w:tcPr>
                <w:p w14:paraId="2C3DD757">
                  <w:pPr>
                    <w:pStyle w:val="6"/>
                    <w:spacing w:before="79" w:line="217" w:lineRule="auto"/>
                    <w:ind w:left="1083"/>
                    <w:rPr>
                      <w:sz w:val="20"/>
                      <w:szCs w:val="20"/>
                    </w:rPr>
                  </w:pPr>
                  <w:r>
                    <w:rPr>
                      <w:rFonts w:ascii="Times New Roman" w:hAnsi="Times New Roman" w:eastAsia="Times New Roman" w:cs="Times New Roman"/>
                      <w:spacing w:val="3"/>
                      <w:sz w:val="20"/>
                      <w:szCs w:val="20"/>
                    </w:rPr>
                    <w:t>8.69t</w:t>
                  </w:r>
                  <w:r>
                    <w:rPr>
                      <w:spacing w:val="3"/>
                      <w:sz w:val="20"/>
                      <w:szCs w:val="20"/>
                    </w:rPr>
                    <w:t>（桶装）</w:t>
                  </w:r>
                </w:p>
              </w:tc>
              <w:tc>
                <w:tcPr>
                  <w:tcW w:w="1728" w:type="dxa"/>
                  <w:vMerge w:val="continue"/>
                  <w:tcBorders>
                    <w:top w:val="nil"/>
                    <w:bottom w:val="nil"/>
                  </w:tcBorders>
                  <w:vAlign w:val="top"/>
                </w:tcPr>
                <w:p w14:paraId="09869A68">
                  <w:pPr>
                    <w:rPr>
                      <w:rFonts w:ascii="Arial"/>
                      <w:sz w:val="21"/>
                    </w:rPr>
                  </w:pPr>
                </w:p>
              </w:tc>
            </w:tr>
            <w:tr w14:paraId="25433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5" w:type="dxa"/>
                  <w:vAlign w:val="top"/>
                </w:tcPr>
                <w:p w14:paraId="09E02E33">
                  <w:pPr>
                    <w:pStyle w:val="6"/>
                    <w:spacing w:before="160" w:line="228" w:lineRule="auto"/>
                    <w:ind w:left="971"/>
                    <w:rPr>
                      <w:sz w:val="20"/>
                      <w:szCs w:val="20"/>
                    </w:rPr>
                  </w:pPr>
                  <w:r>
                    <w:rPr>
                      <w:spacing w:val="8"/>
                      <w:sz w:val="20"/>
                      <w:szCs w:val="20"/>
                    </w:rPr>
                    <w:t>废铅蓄电池</w:t>
                  </w:r>
                </w:p>
              </w:tc>
              <w:tc>
                <w:tcPr>
                  <w:tcW w:w="811" w:type="dxa"/>
                  <w:vAlign w:val="top"/>
                </w:tcPr>
                <w:p w14:paraId="18A52CB0">
                  <w:pPr>
                    <w:pStyle w:val="6"/>
                    <w:spacing w:before="160" w:line="228" w:lineRule="auto"/>
                    <w:ind w:left="218"/>
                    <w:rPr>
                      <w:sz w:val="20"/>
                      <w:szCs w:val="20"/>
                    </w:rPr>
                  </w:pPr>
                  <w:r>
                    <w:rPr>
                      <w:spacing w:val="-5"/>
                      <w:sz w:val="20"/>
                      <w:szCs w:val="20"/>
                    </w:rPr>
                    <w:t>固体</w:t>
                  </w:r>
                </w:p>
              </w:tc>
              <w:tc>
                <w:tcPr>
                  <w:tcW w:w="3411" w:type="dxa"/>
                  <w:vAlign w:val="top"/>
                </w:tcPr>
                <w:p w14:paraId="26EB429D">
                  <w:pPr>
                    <w:spacing w:before="196" w:line="195" w:lineRule="auto"/>
                    <w:ind w:left="1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3.64t</w:t>
                  </w:r>
                </w:p>
              </w:tc>
              <w:tc>
                <w:tcPr>
                  <w:tcW w:w="1728" w:type="dxa"/>
                  <w:vMerge w:val="continue"/>
                  <w:tcBorders>
                    <w:top w:val="nil"/>
                  </w:tcBorders>
                  <w:vAlign w:val="top"/>
                </w:tcPr>
                <w:p w14:paraId="70F483E1">
                  <w:pPr>
                    <w:rPr>
                      <w:rFonts w:ascii="Arial"/>
                      <w:sz w:val="21"/>
                    </w:rPr>
                  </w:pPr>
                </w:p>
              </w:tc>
            </w:tr>
            <w:tr w14:paraId="53395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935" w:type="dxa"/>
                  <w:gridSpan w:val="4"/>
                  <w:vAlign w:val="top"/>
                </w:tcPr>
                <w:p w14:paraId="1CDD8A0D">
                  <w:pPr>
                    <w:pStyle w:val="6"/>
                    <w:spacing w:before="82" w:line="257" w:lineRule="auto"/>
                    <w:ind w:left="112" w:right="213" w:firstLine="3"/>
                    <w:rPr>
                      <w:sz w:val="20"/>
                      <w:szCs w:val="20"/>
                    </w:rPr>
                  </w:pPr>
                  <w:r>
                    <w:rPr>
                      <w:spacing w:val="10"/>
                      <w:sz w:val="20"/>
                      <w:szCs w:val="20"/>
                    </w:rPr>
                    <w:t>注：废铅蓄电池无临界值，本次废铅蓄电池内危险物质以硫酸和铅计</w:t>
                  </w:r>
                  <w:r>
                    <w:rPr>
                      <w:spacing w:val="9"/>
                      <w:sz w:val="20"/>
                      <w:szCs w:val="20"/>
                    </w:rPr>
                    <w:t>，硫酸含量按废铅蓄电池</w:t>
                  </w:r>
                  <w:r>
                    <w:rPr>
                      <w:sz w:val="20"/>
                      <w:szCs w:val="20"/>
                    </w:rPr>
                    <w:t xml:space="preserve"> </w:t>
                  </w:r>
                  <w:r>
                    <w:rPr>
                      <w:rFonts w:ascii="Times New Roman" w:hAnsi="Times New Roman" w:eastAsia="Times New Roman" w:cs="Times New Roman"/>
                      <w:spacing w:val="7"/>
                      <w:sz w:val="20"/>
                      <w:szCs w:val="20"/>
                    </w:rPr>
                    <w:t>20%</w:t>
                  </w:r>
                  <w:r>
                    <w:rPr>
                      <w:spacing w:val="7"/>
                      <w:sz w:val="20"/>
                      <w:szCs w:val="20"/>
                    </w:rPr>
                    <w:t>计，铅含量按废铅蓄电池</w:t>
                  </w:r>
                  <w:r>
                    <w:rPr>
                      <w:spacing w:val="-31"/>
                      <w:sz w:val="20"/>
                      <w:szCs w:val="20"/>
                    </w:rPr>
                    <w:t xml:space="preserve"> </w:t>
                  </w:r>
                  <w:r>
                    <w:rPr>
                      <w:rFonts w:ascii="Times New Roman" w:hAnsi="Times New Roman" w:eastAsia="Times New Roman" w:cs="Times New Roman"/>
                      <w:spacing w:val="7"/>
                      <w:sz w:val="20"/>
                      <w:szCs w:val="20"/>
                    </w:rPr>
                    <w:t>35%</w:t>
                  </w:r>
                  <w:r>
                    <w:rPr>
                      <w:spacing w:val="7"/>
                      <w:sz w:val="20"/>
                      <w:szCs w:val="20"/>
                    </w:rPr>
                    <w:t>计。</w:t>
                  </w:r>
                </w:p>
              </w:tc>
            </w:tr>
          </w:tbl>
          <w:p w14:paraId="59720BBD">
            <w:pPr>
              <w:pStyle w:val="6"/>
              <w:spacing w:before="36" w:line="219" w:lineRule="auto"/>
              <w:ind w:left="588"/>
              <w:outlineLvl w:val="0"/>
            </w:pPr>
            <w:r>
              <w:rPr>
                <w:spacing w:val="-1"/>
              </w:rPr>
              <w:t>本项目所涉及的环境风险物质的危险特性及理化性质如下：</w:t>
            </w:r>
          </w:p>
          <w:p w14:paraId="471A5AF5">
            <w:pPr>
              <w:pStyle w:val="6"/>
              <w:spacing w:before="177" w:line="224" w:lineRule="auto"/>
              <w:ind w:left="3532"/>
              <w:rPr>
                <w:sz w:val="20"/>
                <w:szCs w:val="20"/>
              </w:rPr>
            </w:pPr>
            <w:r>
              <w:rPr>
                <w:b/>
                <w:bCs/>
                <w:spacing w:val="5"/>
                <w:sz w:val="20"/>
                <w:szCs w:val="20"/>
              </w:rPr>
              <w:t>表</w:t>
            </w:r>
            <w:r>
              <w:rPr>
                <w:spacing w:val="-35"/>
                <w:sz w:val="20"/>
                <w:szCs w:val="20"/>
              </w:rPr>
              <w:t xml:space="preserve"> </w:t>
            </w:r>
            <w:r>
              <w:rPr>
                <w:rFonts w:ascii="Times New Roman" w:hAnsi="Times New Roman" w:eastAsia="Times New Roman" w:cs="Times New Roman"/>
                <w:b/>
                <w:bCs/>
                <w:spacing w:val="5"/>
                <w:sz w:val="20"/>
                <w:szCs w:val="20"/>
              </w:rPr>
              <w:t xml:space="preserve">4-15    </w:t>
            </w:r>
            <w:r>
              <w:rPr>
                <w:b/>
                <w:bCs/>
                <w:spacing w:val="5"/>
                <w:sz w:val="20"/>
                <w:szCs w:val="20"/>
              </w:rPr>
              <w:t>变压器油理化性质</w:t>
            </w:r>
          </w:p>
          <w:tbl>
            <w:tblPr>
              <w:tblStyle w:val="5"/>
              <w:tblW w:w="8935" w:type="dxa"/>
              <w:tblInd w:w="3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1"/>
              <w:gridCol w:w="7824"/>
            </w:tblGrid>
            <w:tr w14:paraId="780D5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11" w:type="dxa"/>
                  <w:vAlign w:val="top"/>
                </w:tcPr>
                <w:p w14:paraId="672B89D0">
                  <w:pPr>
                    <w:pStyle w:val="6"/>
                    <w:spacing w:before="63" w:line="217" w:lineRule="auto"/>
                    <w:ind w:left="351"/>
                    <w:rPr>
                      <w:sz w:val="20"/>
                      <w:szCs w:val="20"/>
                    </w:rPr>
                  </w:pPr>
                  <w:r>
                    <w:rPr>
                      <w:b/>
                      <w:bCs/>
                      <w:spacing w:val="2"/>
                      <w:sz w:val="20"/>
                      <w:szCs w:val="20"/>
                    </w:rPr>
                    <w:t>名称</w:t>
                  </w:r>
                </w:p>
              </w:tc>
              <w:tc>
                <w:tcPr>
                  <w:tcW w:w="7824" w:type="dxa"/>
                  <w:vAlign w:val="top"/>
                </w:tcPr>
                <w:p w14:paraId="4F19D753">
                  <w:pPr>
                    <w:pStyle w:val="6"/>
                    <w:spacing w:before="63" w:line="217" w:lineRule="auto"/>
                    <w:ind w:left="3495"/>
                    <w:rPr>
                      <w:sz w:val="20"/>
                      <w:szCs w:val="20"/>
                    </w:rPr>
                  </w:pPr>
                  <w:r>
                    <w:rPr>
                      <w:b/>
                      <w:bCs/>
                      <w:spacing w:val="5"/>
                      <w:sz w:val="20"/>
                      <w:szCs w:val="20"/>
                    </w:rPr>
                    <w:t>理化性质</w:t>
                  </w:r>
                </w:p>
              </w:tc>
            </w:tr>
            <w:tr w14:paraId="7C2E6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6" w:hRule="atLeast"/>
              </w:trPr>
              <w:tc>
                <w:tcPr>
                  <w:tcW w:w="1111" w:type="dxa"/>
                  <w:vAlign w:val="top"/>
                </w:tcPr>
                <w:p w14:paraId="6E18C4B6">
                  <w:pPr>
                    <w:spacing w:line="288" w:lineRule="auto"/>
                    <w:rPr>
                      <w:rFonts w:ascii="Arial"/>
                      <w:sz w:val="21"/>
                    </w:rPr>
                  </w:pPr>
                </w:p>
                <w:p w14:paraId="107AA6E5">
                  <w:pPr>
                    <w:spacing w:line="288" w:lineRule="auto"/>
                    <w:rPr>
                      <w:rFonts w:ascii="Arial"/>
                      <w:sz w:val="21"/>
                    </w:rPr>
                  </w:pPr>
                </w:p>
                <w:p w14:paraId="224FB3BF">
                  <w:pPr>
                    <w:spacing w:line="289" w:lineRule="auto"/>
                    <w:rPr>
                      <w:rFonts w:ascii="Arial"/>
                      <w:sz w:val="21"/>
                    </w:rPr>
                  </w:pPr>
                </w:p>
                <w:p w14:paraId="1D41D91E">
                  <w:pPr>
                    <w:spacing w:line="289" w:lineRule="auto"/>
                    <w:rPr>
                      <w:rFonts w:ascii="Arial"/>
                      <w:sz w:val="21"/>
                    </w:rPr>
                  </w:pPr>
                </w:p>
                <w:p w14:paraId="78AF8A1C">
                  <w:pPr>
                    <w:pStyle w:val="6"/>
                    <w:spacing w:before="65" w:line="229" w:lineRule="auto"/>
                    <w:ind w:left="139"/>
                    <w:rPr>
                      <w:sz w:val="20"/>
                      <w:szCs w:val="20"/>
                    </w:rPr>
                  </w:pPr>
                  <w:r>
                    <w:rPr>
                      <w:spacing w:val="7"/>
                      <w:sz w:val="20"/>
                      <w:szCs w:val="20"/>
                    </w:rPr>
                    <w:t>变压器油</w:t>
                  </w:r>
                </w:p>
              </w:tc>
              <w:tc>
                <w:tcPr>
                  <w:tcW w:w="7824" w:type="dxa"/>
                  <w:vAlign w:val="top"/>
                </w:tcPr>
                <w:p w14:paraId="7453A128">
                  <w:pPr>
                    <w:pStyle w:val="6"/>
                    <w:spacing w:before="93" w:line="228" w:lineRule="auto"/>
                    <w:ind w:left="115"/>
                    <w:rPr>
                      <w:sz w:val="20"/>
                      <w:szCs w:val="20"/>
                    </w:rPr>
                  </w:pPr>
                  <w:r>
                    <w:rPr>
                      <w:spacing w:val="8"/>
                      <w:sz w:val="20"/>
                      <w:szCs w:val="20"/>
                    </w:rPr>
                    <w:t>外观与性状：稍有粘稠半透明液体；</w:t>
                  </w:r>
                </w:p>
                <w:p w14:paraId="6FF33408">
                  <w:pPr>
                    <w:pStyle w:val="6"/>
                    <w:spacing w:before="50" w:line="300" w:lineRule="auto"/>
                    <w:ind w:left="111" w:right="4118"/>
                    <w:rPr>
                      <w:sz w:val="20"/>
                      <w:szCs w:val="20"/>
                    </w:rPr>
                  </w:pPr>
                  <w:r>
                    <w:rPr>
                      <w:spacing w:val="3"/>
                      <w:sz w:val="20"/>
                      <w:szCs w:val="20"/>
                    </w:rPr>
                    <w:t>相对密度（水</w:t>
                  </w:r>
                  <w:r>
                    <w:rPr>
                      <w:rFonts w:ascii="Times New Roman" w:hAnsi="Times New Roman" w:eastAsia="Times New Roman" w:cs="Times New Roman"/>
                      <w:spacing w:val="3"/>
                      <w:sz w:val="20"/>
                      <w:szCs w:val="20"/>
                    </w:rPr>
                    <w:t>=1</w:t>
                  </w:r>
                  <w:r>
                    <w:rPr>
                      <w:spacing w:val="22"/>
                      <w:sz w:val="20"/>
                      <w:szCs w:val="20"/>
                    </w:rPr>
                    <w:t>）：</w:t>
                  </w:r>
                  <w:r>
                    <w:rPr>
                      <w:rFonts w:ascii="Times New Roman" w:hAnsi="Times New Roman" w:eastAsia="Times New Roman" w:cs="Times New Roman"/>
                      <w:spacing w:val="3"/>
                      <w:sz w:val="20"/>
                      <w:szCs w:val="20"/>
                    </w:rPr>
                    <w:t>0.86</w:t>
                  </w:r>
                  <w:r>
                    <w:rPr>
                      <w:spacing w:val="3"/>
                      <w:sz w:val="20"/>
                      <w:szCs w:val="20"/>
                    </w:rPr>
                    <w:t>～</w:t>
                  </w:r>
                  <w:r>
                    <w:rPr>
                      <w:rFonts w:ascii="Times New Roman" w:hAnsi="Times New Roman" w:eastAsia="Times New Roman" w:cs="Times New Roman"/>
                      <w:spacing w:val="3"/>
                      <w:sz w:val="20"/>
                      <w:szCs w:val="20"/>
                    </w:rPr>
                    <w:t>0.895g/</w:t>
                  </w:r>
                  <w:r>
                    <w:rPr>
                      <w:rFonts w:ascii="Times New Roman" w:hAnsi="Times New Roman" w:eastAsia="Times New Roman" w:cs="Times New Roman"/>
                      <w:sz w:val="20"/>
                      <w:szCs w:val="20"/>
                    </w:rPr>
                    <w:t>cm</w:t>
                  </w:r>
                  <w:r>
                    <w:rPr>
                      <w:rFonts w:ascii="Times New Roman" w:hAnsi="Times New Roman" w:eastAsia="Times New Roman" w:cs="Times New Roman"/>
                      <w:spacing w:val="3"/>
                      <w:position w:val="6"/>
                      <w:sz w:val="13"/>
                      <w:szCs w:val="13"/>
                    </w:rPr>
                    <w:t>3</w:t>
                  </w:r>
                  <w:r>
                    <w:rPr>
                      <w:spacing w:val="3"/>
                      <w:sz w:val="20"/>
                      <w:szCs w:val="20"/>
                    </w:rPr>
                    <w:t>；</w:t>
                  </w:r>
                  <w:r>
                    <w:rPr>
                      <w:sz w:val="20"/>
                      <w:szCs w:val="20"/>
                    </w:rPr>
                    <w:t xml:space="preserve"> </w:t>
                  </w:r>
                  <w:r>
                    <w:rPr>
                      <w:spacing w:val="5"/>
                      <w:sz w:val="20"/>
                      <w:szCs w:val="20"/>
                    </w:rPr>
                    <w:t>相对蒸气密度（空气</w:t>
                  </w:r>
                  <w:r>
                    <w:rPr>
                      <w:rFonts w:ascii="Times New Roman" w:hAnsi="Times New Roman" w:eastAsia="Times New Roman" w:cs="Times New Roman"/>
                      <w:spacing w:val="5"/>
                      <w:sz w:val="20"/>
                      <w:szCs w:val="20"/>
                    </w:rPr>
                    <w:t>=1</w:t>
                  </w:r>
                  <w:r>
                    <w:rPr>
                      <w:spacing w:val="25"/>
                      <w:sz w:val="20"/>
                      <w:szCs w:val="20"/>
                    </w:rPr>
                    <w:t>）：</w:t>
                  </w:r>
                  <w:r>
                    <w:rPr>
                      <w:rFonts w:ascii="Times New Roman" w:hAnsi="Times New Roman" w:eastAsia="Times New Roman" w:cs="Times New Roman"/>
                      <w:spacing w:val="5"/>
                      <w:sz w:val="20"/>
                      <w:szCs w:val="20"/>
                    </w:rPr>
                    <w:t>1.4</w:t>
                  </w:r>
                  <w:r>
                    <w:rPr>
                      <w:spacing w:val="5"/>
                      <w:sz w:val="20"/>
                      <w:szCs w:val="20"/>
                    </w:rPr>
                    <w:t>；</w:t>
                  </w:r>
                </w:p>
                <w:p w14:paraId="180048B4">
                  <w:pPr>
                    <w:pStyle w:val="6"/>
                    <w:spacing w:before="51" w:line="228" w:lineRule="auto"/>
                    <w:ind w:left="130"/>
                    <w:rPr>
                      <w:sz w:val="20"/>
                      <w:szCs w:val="20"/>
                    </w:rPr>
                  </w:pPr>
                  <w:r>
                    <w:rPr>
                      <w:spacing w:val="-7"/>
                      <w:sz w:val="20"/>
                      <w:szCs w:val="20"/>
                    </w:rPr>
                    <w:t>闪点</w:t>
                  </w:r>
                  <w:r>
                    <w:rPr>
                      <w:spacing w:val="28"/>
                      <w:sz w:val="20"/>
                      <w:szCs w:val="20"/>
                    </w:rPr>
                    <w:t xml:space="preserve"> </w:t>
                  </w:r>
                  <w:r>
                    <w:rPr>
                      <w:spacing w:val="-7"/>
                      <w:sz w:val="20"/>
                      <w:szCs w:val="20"/>
                    </w:rPr>
                    <w:t>(</w:t>
                  </w:r>
                  <w:r>
                    <w:rPr>
                      <w:rFonts w:ascii="Times New Roman" w:hAnsi="Times New Roman" w:eastAsia="Times New Roman" w:cs="Times New Roman"/>
                      <w:spacing w:val="-7"/>
                      <w:sz w:val="20"/>
                      <w:szCs w:val="20"/>
                    </w:rPr>
                    <w:t>℃</w:t>
                  </w:r>
                  <w:r>
                    <w:rPr>
                      <w:spacing w:val="-7"/>
                      <w:sz w:val="20"/>
                      <w:szCs w:val="20"/>
                    </w:rPr>
                    <w:t>)</w:t>
                  </w:r>
                  <w:r>
                    <w:rPr>
                      <w:spacing w:val="44"/>
                      <w:sz w:val="20"/>
                      <w:szCs w:val="20"/>
                    </w:rPr>
                    <w:t xml:space="preserve"> </w:t>
                  </w:r>
                  <w:r>
                    <w:rPr>
                      <w:spacing w:val="-7"/>
                      <w:sz w:val="20"/>
                      <w:szCs w:val="20"/>
                    </w:rPr>
                    <w:t>:</w:t>
                  </w:r>
                  <w:r>
                    <w:rPr>
                      <w:spacing w:val="58"/>
                      <w:sz w:val="20"/>
                      <w:szCs w:val="20"/>
                    </w:rPr>
                    <w:t xml:space="preserve"> </w:t>
                  </w:r>
                  <w:r>
                    <w:rPr>
                      <w:rFonts w:ascii="Times New Roman" w:hAnsi="Times New Roman" w:eastAsia="Times New Roman" w:cs="Times New Roman"/>
                      <w:spacing w:val="-7"/>
                      <w:sz w:val="20"/>
                      <w:szCs w:val="20"/>
                    </w:rPr>
                    <w:t>≥135</w:t>
                  </w:r>
                  <w:r>
                    <w:rPr>
                      <w:spacing w:val="-7"/>
                      <w:sz w:val="20"/>
                      <w:szCs w:val="20"/>
                    </w:rPr>
                    <w:t>；</w:t>
                  </w:r>
                </w:p>
                <w:p w14:paraId="7FE33703">
                  <w:pPr>
                    <w:pStyle w:val="6"/>
                    <w:spacing w:before="85" w:line="228" w:lineRule="auto"/>
                    <w:ind w:left="113"/>
                    <w:rPr>
                      <w:sz w:val="20"/>
                      <w:szCs w:val="20"/>
                    </w:rPr>
                  </w:pPr>
                  <w:r>
                    <w:rPr>
                      <w:spacing w:val="7"/>
                      <w:sz w:val="20"/>
                      <w:szCs w:val="20"/>
                    </w:rPr>
                    <w:t>溶解性：不溶于水；</w:t>
                  </w:r>
                </w:p>
                <w:p w14:paraId="6AD1D87F">
                  <w:pPr>
                    <w:pStyle w:val="6"/>
                    <w:spacing w:before="86" w:line="228" w:lineRule="auto"/>
                    <w:ind w:left="113"/>
                    <w:rPr>
                      <w:sz w:val="20"/>
                      <w:szCs w:val="20"/>
                    </w:rPr>
                  </w:pPr>
                  <w:r>
                    <w:rPr>
                      <w:spacing w:val="8"/>
                      <w:sz w:val="20"/>
                      <w:szCs w:val="20"/>
                    </w:rPr>
                    <w:t>火灾类别：丙类，可燃液体；</w:t>
                  </w:r>
                </w:p>
                <w:p w14:paraId="0A40B1F7">
                  <w:pPr>
                    <w:pStyle w:val="6"/>
                    <w:spacing w:before="85" w:line="247" w:lineRule="auto"/>
                    <w:ind w:left="120" w:right="106" w:hanging="3"/>
                    <w:rPr>
                      <w:sz w:val="20"/>
                      <w:szCs w:val="20"/>
                    </w:rPr>
                  </w:pPr>
                  <w:r>
                    <w:rPr>
                      <w:spacing w:val="4"/>
                      <w:sz w:val="20"/>
                      <w:szCs w:val="20"/>
                    </w:rPr>
                    <w:t>急性毒性：大鼠吸入</w:t>
                  </w:r>
                  <w:r>
                    <w:rPr>
                      <w:spacing w:val="-41"/>
                      <w:sz w:val="20"/>
                      <w:szCs w:val="20"/>
                    </w:rPr>
                    <w:t xml:space="preserve"> </w:t>
                  </w:r>
                  <w:r>
                    <w:rPr>
                      <w:rFonts w:ascii="Times New Roman" w:hAnsi="Times New Roman" w:eastAsia="Times New Roman" w:cs="Times New Roman"/>
                      <w:sz w:val="20"/>
                      <w:szCs w:val="20"/>
                    </w:rPr>
                    <w:t>LC</w:t>
                  </w:r>
                  <w:r>
                    <w:rPr>
                      <w:rFonts w:ascii="Times New Roman" w:hAnsi="Times New Roman" w:eastAsia="Times New Roman" w:cs="Times New Roman"/>
                      <w:spacing w:val="4"/>
                      <w:sz w:val="20"/>
                      <w:szCs w:val="20"/>
                    </w:rPr>
                    <w:t>50</w:t>
                  </w:r>
                  <w:r>
                    <w:rPr>
                      <w:spacing w:val="4"/>
                      <w:sz w:val="20"/>
                      <w:szCs w:val="20"/>
                    </w:rPr>
                    <w:t>：</w:t>
                  </w:r>
                  <w:r>
                    <w:rPr>
                      <w:rFonts w:ascii="Times New Roman" w:hAnsi="Times New Roman" w:eastAsia="Times New Roman" w:cs="Times New Roman"/>
                      <w:spacing w:val="4"/>
                      <w:sz w:val="20"/>
                      <w:szCs w:val="20"/>
                    </w:rPr>
                    <w:t>300000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spacing w:val="4"/>
                      <w:sz w:val="20"/>
                      <w:szCs w:val="20"/>
                    </w:rPr>
                    <w:t>（</w:t>
                  </w:r>
                  <w:r>
                    <w:rPr>
                      <w:rFonts w:ascii="Times New Roman" w:hAnsi="Times New Roman" w:eastAsia="Times New Roman" w:cs="Times New Roman"/>
                      <w:spacing w:val="4"/>
                      <w:sz w:val="20"/>
                      <w:szCs w:val="20"/>
                    </w:rPr>
                    <w:t xml:space="preserve">5 </w:t>
                  </w:r>
                  <w:r>
                    <w:rPr>
                      <w:spacing w:val="4"/>
                      <w:sz w:val="20"/>
                      <w:szCs w:val="20"/>
                    </w:rPr>
                    <w:t>个月</w:t>
                  </w:r>
                  <w:r>
                    <w:rPr>
                      <w:spacing w:val="-9"/>
                      <w:sz w:val="20"/>
                      <w:szCs w:val="20"/>
                    </w:rPr>
                    <w:t>）；</w:t>
                  </w:r>
                  <w:r>
                    <w:rPr>
                      <w:spacing w:val="4"/>
                      <w:sz w:val="20"/>
                      <w:szCs w:val="20"/>
                    </w:rPr>
                    <w:t>小鼠吸入</w:t>
                  </w:r>
                  <w:r>
                    <w:rPr>
                      <w:spacing w:val="-40"/>
                      <w:sz w:val="20"/>
                      <w:szCs w:val="20"/>
                    </w:rPr>
                    <w:t xml:space="preserve"> </w:t>
                  </w:r>
                  <w:r>
                    <w:rPr>
                      <w:rFonts w:ascii="Times New Roman" w:hAnsi="Times New Roman" w:eastAsia="Times New Roman" w:cs="Times New Roman"/>
                      <w:sz w:val="20"/>
                      <w:szCs w:val="20"/>
                    </w:rPr>
                    <w:t>LC</w:t>
                  </w:r>
                  <w:r>
                    <w:rPr>
                      <w:rFonts w:ascii="Times New Roman" w:hAnsi="Times New Roman" w:eastAsia="Times New Roman" w:cs="Times New Roman"/>
                      <w:spacing w:val="4"/>
                      <w:sz w:val="20"/>
                      <w:szCs w:val="20"/>
                    </w:rPr>
                    <w:t>50</w:t>
                  </w:r>
                  <w:r>
                    <w:rPr>
                      <w:spacing w:val="4"/>
                      <w:sz w:val="20"/>
                      <w:szCs w:val="20"/>
                    </w:rPr>
                    <w:t>：</w:t>
                  </w:r>
                  <w:r>
                    <w:rPr>
                      <w:rFonts w:ascii="Times New Roman" w:hAnsi="Times New Roman" w:eastAsia="Times New Roman" w:cs="Times New Roman"/>
                      <w:spacing w:val="4"/>
                      <w:sz w:val="20"/>
                      <w:szCs w:val="20"/>
                    </w:rPr>
                    <w:t>300000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position w:val="6"/>
                      <w:sz w:val="13"/>
                      <w:szCs w:val="13"/>
                    </w:rPr>
                    <w:t xml:space="preserve"> </w:t>
                  </w:r>
                  <w:r>
                    <w:rPr>
                      <w:spacing w:val="2"/>
                      <w:sz w:val="20"/>
                      <w:szCs w:val="20"/>
                    </w:rPr>
                    <w:t>（</w:t>
                  </w:r>
                  <w:r>
                    <w:rPr>
                      <w:rFonts w:ascii="Times New Roman" w:hAnsi="Times New Roman" w:eastAsia="Times New Roman" w:cs="Times New Roman"/>
                      <w:spacing w:val="2"/>
                      <w:sz w:val="20"/>
                      <w:szCs w:val="20"/>
                    </w:rPr>
                    <w:t xml:space="preserve">5 </w:t>
                  </w:r>
                  <w:r>
                    <w:rPr>
                      <w:spacing w:val="2"/>
                      <w:sz w:val="20"/>
                      <w:szCs w:val="20"/>
                    </w:rPr>
                    <w:t>个月）。</w:t>
                  </w:r>
                </w:p>
              </w:tc>
            </w:tr>
          </w:tbl>
          <w:p w14:paraId="306B7393">
            <w:pPr>
              <w:pStyle w:val="6"/>
              <w:spacing w:before="272" w:line="207" w:lineRule="auto"/>
              <w:ind w:left="2796"/>
              <w:rPr>
                <w:sz w:val="20"/>
                <w:szCs w:val="20"/>
              </w:rPr>
            </w:pPr>
            <w:r>
              <w:rPr>
                <w:b/>
                <w:bCs/>
                <w:spacing w:val="6"/>
                <w:sz w:val="20"/>
                <w:szCs w:val="20"/>
              </w:rPr>
              <w:t>表</w:t>
            </w:r>
            <w:r>
              <w:rPr>
                <w:spacing w:val="-35"/>
                <w:sz w:val="20"/>
                <w:szCs w:val="20"/>
              </w:rPr>
              <w:t xml:space="preserve"> </w:t>
            </w:r>
            <w:r>
              <w:rPr>
                <w:rFonts w:ascii="Times New Roman" w:hAnsi="Times New Roman" w:eastAsia="Times New Roman" w:cs="Times New Roman"/>
                <w:b/>
                <w:bCs/>
                <w:spacing w:val="6"/>
                <w:sz w:val="20"/>
                <w:szCs w:val="20"/>
              </w:rPr>
              <w:t xml:space="preserve">4-16    </w:t>
            </w:r>
            <w:r>
              <w:rPr>
                <w:b/>
                <w:bCs/>
                <w:spacing w:val="6"/>
                <w:sz w:val="20"/>
                <w:szCs w:val="20"/>
              </w:rPr>
              <w:t>危险物质主要成分基本性质一览表</w:t>
            </w:r>
          </w:p>
        </w:tc>
      </w:tr>
      <w:tr w14:paraId="225F8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65" w:type="dxa"/>
            <w:vMerge w:val="continue"/>
            <w:tcBorders>
              <w:top w:val="nil"/>
              <w:left w:val="single" w:color="000000" w:sz="6" w:space="0"/>
              <w:bottom w:val="nil"/>
            </w:tcBorders>
            <w:vAlign w:val="top"/>
          </w:tcPr>
          <w:p w14:paraId="318F9B2F">
            <w:pPr>
              <w:rPr>
                <w:rFonts w:ascii="Arial"/>
                <w:sz w:val="21"/>
              </w:rPr>
            </w:pPr>
          </w:p>
        </w:tc>
        <w:tc>
          <w:tcPr>
            <w:tcW w:w="343" w:type="dxa"/>
            <w:vMerge w:val="restart"/>
            <w:tcBorders>
              <w:top w:val="nil"/>
              <w:bottom w:val="nil"/>
            </w:tcBorders>
            <w:vAlign w:val="top"/>
          </w:tcPr>
          <w:p w14:paraId="7561C967">
            <w:pPr>
              <w:rPr>
                <w:rFonts w:ascii="Arial"/>
                <w:sz w:val="21"/>
              </w:rPr>
            </w:pPr>
          </w:p>
        </w:tc>
        <w:tc>
          <w:tcPr>
            <w:tcW w:w="770" w:type="dxa"/>
            <w:vMerge w:val="restart"/>
            <w:tcBorders>
              <w:bottom w:val="nil"/>
            </w:tcBorders>
            <w:vAlign w:val="top"/>
          </w:tcPr>
          <w:p w14:paraId="7BF1801A">
            <w:pPr>
              <w:spacing w:line="263" w:lineRule="auto"/>
              <w:rPr>
                <w:rFonts w:ascii="Arial"/>
                <w:sz w:val="21"/>
              </w:rPr>
            </w:pPr>
          </w:p>
          <w:p w14:paraId="2DE53ED7">
            <w:pPr>
              <w:spacing w:line="263" w:lineRule="auto"/>
              <w:rPr>
                <w:rFonts w:ascii="Arial"/>
                <w:sz w:val="21"/>
              </w:rPr>
            </w:pPr>
          </w:p>
          <w:p w14:paraId="1847B519">
            <w:pPr>
              <w:spacing w:line="264" w:lineRule="auto"/>
              <w:rPr>
                <w:rFonts w:ascii="Arial"/>
                <w:sz w:val="21"/>
              </w:rPr>
            </w:pPr>
          </w:p>
          <w:p w14:paraId="52E84D09">
            <w:pPr>
              <w:pStyle w:val="6"/>
              <w:spacing w:before="65" w:line="319" w:lineRule="auto"/>
              <w:ind w:left="174" w:right="181" w:hanging="1"/>
              <w:rPr>
                <w:sz w:val="20"/>
                <w:szCs w:val="20"/>
              </w:rPr>
            </w:pPr>
            <w:r>
              <w:rPr>
                <w:spacing w:val="5"/>
                <w:sz w:val="20"/>
                <w:szCs w:val="20"/>
              </w:rPr>
              <w:t>废变</w:t>
            </w:r>
            <w:r>
              <w:rPr>
                <w:sz w:val="20"/>
                <w:szCs w:val="20"/>
              </w:rPr>
              <w:t xml:space="preserve"> </w:t>
            </w:r>
            <w:r>
              <w:rPr>
                <w:spacing w:val="4"/>
                <w:sz w:val="20"/>
                <w:szCs w:val="20"/>
              </w:rPr>
              <w:t>压油</w:t>
            </w:r>
          </w:p>
        </w:tc>
        <w:tc>
          <w:tcPr>
            <w:tcW w:w="1085" w:type="dxa"/>
            <w:vAlign w:val="top"/>
          </w:tcPr>
          <w:p w14:paraId="006F8D2B">
            <w:pPr>
              <w:pStyle w:val="6"/>
              <w:spacing w:before="119" w:line="216" w:lineRule="auto"/>
              <w:ind w:left="124"/>
              <w:rPr>
                <w:sz w:val="20"/>
                <w:szCs w:val="20"/>
              </w:rPr>
            </w:pPr>
            <w:r>
              <w:rPr>
                <w:spacing w:val="6"/>
                <w:sz w:val="20"/>
                <w:szCs w:val="20"/>
              </w:rPr>
              <w:t>危险废物</w:t>
            </w:r>
          </w:p>
        </w:tc>
        <w:tc>
          <w:tcPr>
            <w:tcW w:w="7062" w:type="dxa"/>
            <w:vAlign w:val="top"/>
          </w:tcPr>
          <w:p w14:paraId="742B5C71">
            <w:pPr>
              <w:pStyle w:val="6"/>
              <w:spacing w:before="119" w:line="216" w:lineRule="auto"/>
              <w:ind w:left="1542"/>
              <w:rPr>
                <w:sz w:val="20"/>
                <w:szCs w:val="20"/>
              </w:rPr>
            </w:pPr>
            <w:r>
              <w:rPr>
                <w:spacing w:val="9"/>
                <w:sz w:val="20"/>
                <w:szCs w:val="20"/>
              </w:rPr>
              <w:t>变压器检修和事故过程中产生的废变压器油</w:t>
            </w:r>
          </w:p>
        </w:tc>
        <w:tc>
          <w:tcPr>
            <w:tcW w:w="352" w:type="dxa"/>
            <w:vMerge w:val="restart"/>
            <w:tcBorders>
              <w:top w:val="nil"/>
              <w:bottom w:val="nil"/>
              <w:right w:val="single" w:color="000000" w:sz="6" w:space="0"/>
            </w:tcBorders>
            <w:vAlign w:val="top"/>
          </w:tcPr>
          <w:p w14:paraId="687D91CE">
            <w:pPr>
              <w:rPr>
                <w:rFonts w:ascii="Arial"/>
                <w:sz w:val="21"/>
              </w:rPr>
            </w:pPr>
          </w:p>
        </w:tc>
      </w:tr>
      <w:tr w14:paraId="255CD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65" w:type="dxa"/>
            <w:vMerge w:val="continue"/>
            <w:tcBorders>
              <w:top w:val="nil"/>
              <w:left w:val="single" w:color="000000" w:sz="6" w:space="0"/>
              <w:bottom w:val="nil"/>
            </w:tcBorders>
            <w:vAlign w:val="top"/>
          </w:tcPr>
          <w:p w14:paraId="0A029C77">
            <w:pPr>
              <w:rPr>
                <w:rFonts w:ascii="Arial"/>
                <w:sz w:val="21"/>
              </w:rPr>
            </w:pPr>
          </w:p>
        </w:tc>
        <w:tc>
          <w:tcPr>
            <w:tcW w:w="343" w:type="dxa"/>
            <w:vMerge w:val="continue"/>
            <w:tcBorders>
              <w:top w:val="nil"/>
              <w:bottom w:val="nil"/>
            </w:tcBorders>
            <w:vAlign w:val="top"/>
          </w:tcPr>
          <w:p w14:paraId="212C1286">
            <w:pPr>
              <w:rPr>
                <w:rFonts w:ascii="Arial"/>
                <w:sz w:val="21"/>
              </w:rPr>
            </w:pPr>
          </w:p>
        </w:tc>
        <w:tc>
          <w:tcPr>
            <w:tcW w:w="770" w:type="dxa"/>
            <w:vMerge w:val="continue"/>
            <w:tcBorders>
              <w:top w:val="nil"/>
              <w:bottom w:val="nil"/>
            </w:tcBorders>
            <w:vAlign w:val="top"/>
          </w:tcPr>
          <w:p w14:paraId="483AB390">
            <w:pPr>
              <w:rPr>
                <w:rFonts w:ascii="Arial"/>
                <w:sz w:val="21"/>
              </w:rPr>
            </w:pPr>
          </w:p>
        </w:tc>
        <w:tc>
          <w:tcPr>
            <w:tcW w:w="1085" w:type="dxa"/>
            <w:vAlign w:val="top"/>
          </w:tcPr>
          <w:p w14:paraId="1295E92E">
            <w:pPr>
              <w:pStyle w:val="6"/>
              <w:spacing w:before="121" w:line="216" w:lineRule="auto"/>
              <w:ind w:left="120"/>
              <w:rPr>
                <w:sz w:val="20"/>
                <w:szCs w:val="20"/>
              </w:rPr>
            </w:pPr>
            <w:r>
              <w:rPr>
                <w:spacing w:val="7"/>
                <w:sz w:val="20"/>
                <w:szCs w:val="20"/>
              </w:rPr>
              <w:t>废物类别</w:t>
            </w:r>
          </w:p>
        </w:tc>
        <w:tc>
          <w:tcPr>
            <w:tcW w:w="7062" w:type="dxa"/>
            <w:vAlign w:val="top"/>
          </w:tcPr>
          <w:p w14:paraId="4E931635">
            <w:pPr>
              <w:pStyle w:val="6"/>
              <w:spacing w:before="121" w:line="216" w:lineRule="auto"/>
              <w:ind w:left="2072"/>
              <w:rPr>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08 </w:t>
            </w:r>
            <w:r>
              <w:rPr>
                <w:spacing w:val="9"/>
                <w:sz w:val="20"/>
                <w:szCs w:val="20"/>
              </w:rPr>
              <w:t>废矿物油与含矿物油废物</w:t>
            </w:r>
          </w:p>
        </w:tc>
        <w:tc>
          <w:tcPr>
            <w:tcW w:w="352" w:type="dxa"/>
            <w:vMerge w:val="continue"/>
            <w:tcBorders>
              <w:top w:val="nil"/>
              <w:bottom w:val="nil"/>
              <w:right w:val="single" w:color="000000" w:sz="6" w:space="0"/>
            </w:tcBorders>
            <w:vAlign w:val="top"/>
          </w:tcPr>
          <w:p w14:paraId="55774AB5">
            <w:pPr>
              <w:rPr>
                <w:rFonts w:ascii="Arial"/>
                <w:sz w:val="21"/>
              </w:rPr>
            </w:pPr>
          </w:p>
        </w:tc>
      </w:tr>
      <w:tr w14:paraId="13754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65" w:type="dxa"/>
            <w:vMerge w:val="continue"/>
            <w:tcBorders>
              <w:top w:val="nil"/>
              <w:left w:val="single" w:color="000000" w:sz="6" w:space="0"/>
              <w:bottom w:val="nil"/>
            </w:tcBorders>
            <w:vAlign w:val="top"/>
          </w:tcPr>
          <w:p w14:paraId="18565B87">
            <w:pPr>
              <w:rPr>
                <w:rFonts w:ascii="Arial"/>
                <w:sz w:val="21"/>
              </w:rPr>
            </w:pPr>
          </w:p>
        </w:tc>
        <w:tc>
          <w:tcPr>
            <w:tcW w:w="343" w:type="dxa"/>
            <w:vMerge w:val="continue"/>
            <w:tcBorders>
              <w:top w:val="nil"/>
              <w:bottom w:val="nil"/>
            </w:tcBorders>
            <w:vAlign w:val="top"/>
          </w:tcPr>
          <w:p w14:paraId="64BCBF14">
            <w:pPr>
              <w:rPr>
                <w:rFonts w:ascii="Arial"/>
                <w:sz w:val="21"/>
              </w:rPr>
            </w:pPr>
          </w:p>
        </w:tc>
        <w:tc>
          <w:tcPr>
            <w:tcW w:w="770" w:type="dxa"/>
            <w:vMerge w:val="continue"/>
            <w:tcBorders>
              <w:top w:val="nil"/>
              <w:bottom w:val="nil"/>
            </w:tcBorders>
            <w:vAlign w:val="top"/>
          </w:tcPr>
          <w:p w14:paraId="1B3EA292">
            <w:pPr>
              <w:rPr>
                <w:rFonts w:ascii="Arial"/>
                <w:sz w:val="21"/>
              </w:rPr>
            </w:pPr>
          </w:p>
        </w:tc>
        <w:tc>
          <w:tcPr>
            <w:tcW w:w="1085" w:type="dxa"/>
            <w:vAlign w:val="top"/>
          </w:tcPr>
          <w:p w14:paraId="0D903D16">
            <w:pPr>
              <w:pStyle w:val="6"/>
              <w:spacing w:before="121" w:line="216" w:lineRule="auto"/>
              <w:ind w:left="124"/>
              <w:rPr>
                <w:sz w:val="20"/>
                <w:szCs w:val="20"/>
              </w:rPr>
            </w:pPr>
            <w:r>
              <w:rPr>
                <w:spacing w:val="6"/>
                <w:sz w:val="20"/>
                <w:szCs w:val="20"/>
              </w:rPr>
              <w:t>危险代码</w:t>
            </w:r>
          </w:p>
        </w:tc>
        <w:tc>
          <w:tcPr>
            <w:tcW w:w="7062" w:type="dxa"/>
            <w:vAlign w:val="top"/>
          </w:tcPr>
          <w:p w14:paraId="5093E735">
            <w:pPr>
              <w:spacing w:before="156" w:line="195" w:lineRule="auto"/>
              <w:ind w:left="30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900-220-08</w:t>
            </w:r>
          </w:p>
        </w:tc>
        <w:tc>
          <w:tcPr>
            <w:tcW w:w="352" w:type="dxa"/>
            <w:vMerge w:val="continue"/>
            <w:tcBorders>
              <w:top w:val="nil"/>
              <w:bottom w:val="nil"/>
              <w:right w:val="single" w:color="000000" w:sz="6" w:space="0"/>
            </w:tcBorders>
            <w:vAlign w:val="top"/>
          </w:tcPr>
          <w:p w14:paraId="10374852">
            <w:pPr>
              <w:rPr>
                <w:rFonts w:ascii="Arial"/>
                <w:sz w:val="21"/>
              </w:rPr>
            </w:pPr>
          </w:p>
        </w:tc>
      </w:tr>
      <w:tr w14:paraId="3FEB1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65" w:type="dxa"/>
            <w:vMerge w:val="continue"/>
            <w:tcBorders>
              <w:top w:val="nil"/>
              <w:left w:val="single" w:color="000000" w:sz="6" w:space="0"/>
              <w:bottom w:val="nil"/>
            </w:tcBorders>
            <w:vAlign w:val="top"/>
          </w:tcPr>
          <w:p w14:paraId="459FAEC5">
            <w:pPr>
              <w:rPr>
                <w:rFonts w:ascii="Arial"/>
                <w:sz w:val="21"/>
              </w:rPr>
            </w:pPr>
          </w:p>
        </w:tc>
        <w:tc>
          <w:tcPr>
            <w:tcW w:w="343" w:type="dxa"/>
            <w:vMerge w:val="continue"/>
            <w:tcBorders>
              <w:top w:val="nil"/>
              <w:bottom w:val="nil"/>
            </w:tcBorders>
            <w:vAlign w:val="top"/>
          </w:tcPr>
          <w:p w14:paraId="6C0E73F9">
            <w:pPr>
              <w:rPr>
                <w:rFonts w:ascii="Arial"/>
                <w:sz w:val="21"/>
              </w:rPr>
            </w:pPr>
          </w:p>
        </w:tc>
        <w:tc>
          <w:tcPr>
            <w:tcW w:w="770" w:type="dxa"/>
            <w:vMerge w:val="continue"/>
            <w:tcBorders>
              <w:top w:val="nil"/>
              <w:bottom w:val="nil"/>
            </w:tcBorders>
            <w:vAlign w:val="top"/>
          </w:tcPr>
          <w:p w14:paraId="003502EA">
            <w:pPr>
              <w:rPr>
                <w:rFonts w:ascii="Arial"/>
                <w:sz w:val="21"/>
              </w:rPr>
            </w:pPr>
          </w:p>
        </w:tc>
        <w:tc>
          <w:tcPr>
            <w:tcW w:w="1085" w:type="dxa"/>
            <w:vAlign w:val="top"/>
          </w:tcPr>
          <w:p w14:paraId="44968C57">
            <w:pPr>
              <w:pStyle w:val="6"/>
              <w:spacing w:before="119" w:line="217" w:lineRule="auto"/>
              <w:ind w:left="124"/>
              <w:rPr>
                <w:sz w:val="20"/>
                <w:szCs w:val="20"/>
              </w:rPr>
            </w:pPr>
            <w:r>
              <w:rPr>
                <w:spacing w:val="6"/>
                <w:sz w:val="20"/>
                <w:szCs w:val="20"/>
              </w:rPr>
              <w:t>危险特征</w:t>
            </w:r>
          </w:p>
        </w:tc>
        <w:tc>
          <w:tcPr>
            <w:tcW w:w="7062" w:type="dxa"/>
            <w:vAlign w:val="top"/>
          </w:tcPr>
          <w:p w14:paraId="04F24F07">
            <w:pPr>
              <w:pStyle w:val="6"/>
              <w:spacing w:before="119" w:line="217" w:lineRule="auto"/>
              <w:ind w:left="2387"/>
              <w:rPr>
                <w:sz w:val="20"/>
                <w:szCs w:val="20"/>
              </w:rPr>
            </w:pPr>
            <w:r>
              <w:rPr>
                <w:rFonts w:ascii="Times New Roman" w:hAnsi="Times New Roman" w:eastAsia="Times New Roman" w:cs="Times New Roman"/>
                <w:spacing w:val="6"/>
                <w:sz w:val="20"/>
                <w:szCs w:val="20"/>
              </w:rPr>
              <w:t>T</w:t>
            </w:r>
            <w:r>
              <w:rPr>
                <w:spacing w:val="6"/>
                <w:sz w:val="20"/>
                <w:szCs w:val="20"/>
              </w:rPr>
              <w:t>（毒性</w:t>
            </w:r>
            <w:r>
              <w:rPr>
                <w:spacing w:val="14"/>
                <w:sz w:val="20"/>
                <w:szCs w:val="20"/>
              </w:rPr>
              <w:t>），</w:t>
            </w:r>
            <w:r>
              <w:rPr>
                <w:rFonts w:ascii="Times New Roman" w:hAnsi="Times New Roman" w:eastAsia="Times New Roman" w:cs="Times New Roman"/>
                <w:spacing w:val="6"/>
                <w:sz w:val="20"/>
                <w:szCs w:val="20"/>
              </w:rPr>
              <w:t>I</w:t>
            </w:r>
            <w:r>
              <w:rPr>
                <w:spacing w:val="6"/>
                <w:sz w:val="20"/>
                <w:szCs w:val="20"/>
              </w:rPr>
              <w:t>（易燃性）</w:t>
            </w:r>
          </w:p>
        </w:tc>
        <w:tc>
          <w:tcPr>
            <w:tcW w:w="352" w:type="dxa"/>
            <w:vMerge w:val="continue"/>
            <w:tcBorders>
              <w:top w:val="nil"/>
              <w:bottom w:val="nil"/>
              <w:right w:val="single" w:color="000000" w:sz="6" w:space="0"/>
            </w:tcBorders>
            <w:vAlign w:val="top"/>
          </w:tcPr>
          <w:p w14:paraId="3E1B00F8">
            <w:pPr>
              <w:rPr>
                <w:rFonts w:ascii="Arial"/>
                <w:sz w:val="21"/>
              </w:rPr>
            </w:pPr>
          </w:p>
        </w:tc>
      </w:tr>
      <w:tr w14:paraId="257B2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465" w:type="dxa"/>
            <w:vMerge w:val="continue"/>
            <w:tcBorders>
              <w:top w:val="nil"/>
              <w:left w:val="single" w:color="000000" w:sz="6" w:space="0"/>
              <w:bottom w:val="single" w:color="000000" w:sz="6" w:space="0"/>
            </w:tcBorders>
            <w:vAlign w:val="top"/>
          </w:tcPr>
          <w:p w14:paraId="18F998E8">
            <w:pPr>
              <w:rPr>
                <w:rFonts w:ascii="Arial"/>
                <w:sz w:val="21"/>
              </w:rPr>
            </w:pPr>
          </w:p>
        </w:tc>
        <w:tc>
          <w:tcPr>
            <w:tcW w:w="343" w:type="dxa"/>
            <w:vMerge w:val="continue"/>
            <w:tcBorders>
              <w:top w:val="nil"/>
              <w:bottom w:val="single" w:color="000000" w:sz="6" w:space="0"/>
            </w:tcBorders>
            <w:vAlign w:val="top"/>
          </w:tcPr>
          <w:p w14:paraId="26CE6A76">
            <w:pPr>
              <w:rPr>
                <w:rFonts w:ascii="Arial"/>
                <w:sz w:val="21"/>
              </w:rPr>
            </w:pPr>
          </w:p>
        </w:tc>
        <w:tc>
          <w:tcPr>
            <w:tcW w:w="770" w:type="dxa"/>
            <w:vMerge w:val="continue"/>
            <w:tcBorders>
              <w:top w:val="nil"/>
              <w:bottom w:val="single" w:color="000000" w:sz="6" w:space="0"/>
            </w:tcBorders>
            <w:vAlign w:val="top"/>
          </w:tcPr>
          <w:p w14:paraId="00A559D3">
            <w:pPr>
              <w:rPr>
                <w:rFonts w:ascii="Arial"/>
                <w:sz w:val="21"/>
              </w:rPr>
            </w:pPr>
          </w:p>
        </w:tc>
        <w:tc>
          <w:tcPr>
            <w:tcW w:w="1085" w:type="dxa"/>
            <w:tcBorders>
              <w:bottom w:val="single" w:color="000000" w:sz="6" w:space="0"/>
            </w:tcBorders>
            <w:vAlign w:val="top"/>
          </w:tcPr>
          <w:p w14:paraId="7C794143">
            <w:pPr>
              <w:pStyle w:val="6"/>
              <w:spacing w:before="301" w:line="228" w:lineRule="auto"/>
              <w:ind w:left="124"/>
              <w:rPr>
                <w:sz w:val="20"/>
                <w:szCs w:val="20"/>
              </w:rPr>
            </w:pPr>
            <w:r>
              <w:rPr>
                <w:spacing w:val="6"/>
                <w:sz w:val="20"/>
                <w:szCs w:val="20"/>
              </w:rPr>
              <w:t>危险特性</w:t>
            </w:r>
          </w:p>
        </w:tc>
        <w:tc>
          <w:tcPr>
            <w:tcW w:w="7062" w:type="dxa"/>
            <w:tcBorders>
              <w:bottom w:val="single" w:color="000000" w:sz="6" w:space="0"/>
            </w:tcBorders>
            <w:vAlign w:val="top"/>
          </w:tcPr>
          <w:p w14:paraId="5E893B4B">
            <w:pPr>
              <w:pStyle w:val="6"/>
              <w:spacing w:before="121" w:line="279" w:lineRule="auto"/>
              <w:ind w:left="3118" w:right="98" w:hanging="3010"/>
              <w:rPr>
                <w:sz w:val="20"/>
                <w:szCs w:val="20"/>
              </w:rPr>
            </w:pPr>
            <w:r>
              <w:rPr>
                <w:spacing w:val="7"/>
                <w:sz w:val="20"/>
                <w:szCs w:val="20"/>
              </w:rPr>
              <w:t>废变压油中含有致癌，致突变，致变形物质及废酸，重金属等物质，对人体</w:t>
            </w:r>
            <w:r>
              <w:rPr>
                <w:spacing w:val="17"/>
                <w:sz w:val="20"/>
                <w:szCs w:val="20"/>
              </w:rPr>
              <w:t xml:space="preserve"> </w:t>
            </w:r>
            <w:r>
              <w:rPr>
                <w:spacing w:val="6"/>
                <w:sz w:val="20"/>
                <w:szCs w:val="20"/>
              </w:rPr>
              <w:t>危害极大</w:t>
            </w:r>
          </w:p>
        </w:tc>
        <w:tc>
          <w:tcPr>
            <w:tcW w:w="352" w:type="dxa"/>
            <w:vMerge w:val="continue"/>
            <w:tcBorders>
              <w:top w:val="nil"/>
              <w:bottom w:val="single" w:color="000000" w:sz="6" w:space="0"/>
              <w:right w:val="single" w:color="000000" w:sz="6" w:space="0"/>
            </w:tcBorders>
            <w:vAlign w:val="top"/>
          </w:tcPr>
          <w:p w14:paraId="24466C28">
            <w:pPr>
              <w:rPr>
                <w:rFonts w:ascii="Arial"/>
                <w:sz w:val="21"/>
              </w:rPr>
            </w:pPr>
          </w:p>
        </w:tc>
      </w:tr>
    </w:tbl>
    <w:p w14:paraId="02789D13">
      <w:pPr>
        <w:rPr>
          <w:rFonts w:ascii="Arial"/>
          <w:sz w:val="21"/>
        </w:rPr>
      </w:pPr>
    </w:p>
    <w:p w14:paraId="4568003F">
      <w:pPr>
        <w:rPr>
          <w:rFonts w:ascii="Arial" w:hAnsi="Arial" w:eastAsia="Arial" w:cs="Arial"/>
          <w:sz w:val="21"/>
          <w:szCs w:val="21"/>
        </w:rPr>
        <w:sectPr>
          <w:footerReference r:id="rId143" w:type="default"/>
          <w:pgSz w:w="11907" w:h="16840"/>
          <w:pgMar w:top="1431" w:right="907" w:bottom="1278" w:left="907" w:header="0" w:footer="1116" w:gutter="0"/>
          <w:cols w:space="720" w:num="1"/>
        </w:sectPr>
      </w:pPr>
    </w:p>
    <w:p w14:paraId="7F89D9BC">
      <w:pPr>
        <w:spacing w:line="99" w:lineRule="exact"/>
      </w:pPr>
    </w:p>
    <w:tbl>
      <w:tblPr>
        <w:tblStyle w:val="5"/>
        <w:tblW w:w="10077"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
        <w:gridCol w:w="9612"/>
      </w:tblGrid>
      <w:tr w14:paraId="06369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0" w:hRule="atLeast"/>
        </w:trPr>
        <w:tc>
          <w:tcPr>
            <w:tcW w:w="465" w:type="dxa"/>
            <w:tcBorders>
              <w:left w:val="single" w:color="000000" w:sz="6" w:space="0"/>
              <w:right w:val="single" w:color="000000" w:sz="2" w:space="0"/>
            </w:tcBorders>
            <w:vAlign w:val="top"/>
          </w:tcPr>
          <w:p w14:paraId="2C30F7DD">
            <w:pPr>
              <w:rPr>
                <w:rFonts w:ascii="Arial"/>
                <w:sz w:val="21"/>
              </w:rPr>
            </w:pPr>
          </w:p>
        </w:tc>
        <w:tc>
          <w:tcPr>
            <w:tcW w:w="9612" w:type="dxa"/>
            <w:tcBorders>
              <w:left w:val="single" w:color="000000" w:sz="2" w:space="0"/>
              <w:right w:val="single" w:color="000000" w:sz="6" w:space="0"/>
            </w:tcBorders>
            <w:vAlign w:val="top"/>
          </w:tcPr>
          <w:p w14:paraId="5CAEE2C9">
            <w:pPr>
              <w:spacing w:line="104" w:lineRule="auto"/>
              <w:rPr>
                <w:rFonts w:ascii="Arial"/>
                <w:sz w:val="2"/>
              </w:rPr>
            </w:pPr>
          </w:p>
          <w:tbl>
            <w:tblPr>
              <w:tblStyle w:val="5"/>
              <w:tblW w:w="8935" w:type="dxa"/>
              <w:tblInd w:w="3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1086"/>
              <w:gridCol w:w="7074"/>
            </w:tblGrid>
            <w:tr w14:paraId="1E156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75" w:type="dxa"/>
                  <w:vMerge w:val="restart"/>
                  <w:tcBorders>
                    <w:top w:val="nil"/>
                    <w:bottom w:val="nil"/>
                  </w:tcBorders>
                  <w:vAlign w:val="top"/>
                </w:tcPr>
                <w:p w14:paraId="7457007A">
                  <w:pPr>
                    <w:spacing w:line="241" w:lineRule="auto"/>
                    <w:rPr>
                      <w:rFonts w:ascii="Arial"/>
                      <w:sz w:val="21"/>
                    </w:rPr>
                  </w:pPr>
                </w:p>
                <w:p w14:paraId="1E6074B0">
                  <w:pPr>
                    <w:spacing w:line="242" w:lineRule="auto"/>
                    <w:rPr>
                      <w:rFonts w:ascii="Arial"/>
                      <w:sz w:val="21"/>
                    </w:rPr>
                  </w:pPr>
                </w:p>
                <w:p w14:paraId="46214152">
                  <w:pPr>
                    <w:spacing w:line="242" w:lineRule="auto"/>
                    <w:rPr>
                      <w:rFonts w:ascii="Arial"/>
                      <w:sz w:val="21"/>
                    </w:rPr>
                  </w:pPr>
                </w:p>
                <w:p w14:paraId="5BA8B9D1">
                  <w:pPr>
                    <w:spacing w:line="242" w:lineRule="auto"/>
                    <w:rPr>
                      <w:rFonts w:ascii="Arial"/>
                      <w:sz w:val="21"/>
                    </w:rPr>
                  </w:pPr>
                </w:p>
                <w:p w14:paraId="4DC251E2">
                  <w:pPr>
                    <w:pStyle w:val="6"/>
                    <w:spacing w:before="65" w:line="228" w:lineRule="auto"/>
                    <w:ind w:left="182"/>
                    <w:rPr>
                      <w:sz w:val="20"/>
                      <w:szCs w:val="20"/>
                    </w:rPr>
                  </w:pPr>
                  <w:r>
                    <w:rPr>
                      <w:spacing w:val="5"/>
                      <w:sz w:val="20"/>
                      <w:szCs w:val="20"/>
                    </w:rPr>
                    <w:t>废铅</w:t>
                  </w:r>
                </w:p>
                <w:p w14:paraId="748E4142">
                  <w:pPr>
                    <w:pStyle w:val="6"/>
                    <w:spacing w:before="112" w:line="228" w:lineRule="auto"/>
                    <w:ind w:left="192"/>
                    <w:rPr>
                      <w:sz w:val="20"/>
                      <w:szCs w:val="20"/>
                    </w:rPr>
                  </w:pPr>
                  <w:r>
                    <w:rPr>
                      <w:sz w:val="20"/>
                      <w:szCs w:val="20"/>
                    </w:rPr>
                    <w:t>蓄电</w:t>
                  </w:r>
                </w:p>
                <w:p w14:paraId="16CC0E91">
                  <w:pPr>
                    <w:pStyle w:val="6"/>
                    <w:spacing w:before="113" w:line="237" w:lineRule="auto"/>
                    <w:ind w:left="288"/>
                    <w:rPr>
                      <w:sz w:val="20"/>
                      <w:szCs w:val="20"/>
                    </w:rPr>
                  </w:pPr>
                  <w:r>
                    <w:rPr>
                      <w:sz w:val="20"/>
                      <w:szCs w:val="20"/>
                    </w:rPr>
                    <w:t>池</w:t>
                  </w:r>
                </w:p>
              </w:tc>
              <w:tc>
                <w:tcPr>
                  <w:tcW w:w="1086" w:type="dxa"/>
                  <w:tcBorders>
                    <w:top w:val="nil"/>
                  </w:tcBorders>
                  <w:vAlign w:val="top"/>
                </w:tcPr>
                <w:p w14:paraId="6AB27C4D">
                  <w:pPr>
                    <w:pStyle w:val="6"/>
                    <w:spacing w:before="118" w:line="227" w:lineRule="auto"/>
                    <w:ind w:left="128"/>
                    <w:rPr>
                      <w:sz w:val="20"/>
                      <w:szCs w:val="20"/>
                    </w:rPr>
                  </w:pPr>
                  <w:r>
                    <w:rPr>
                      <w:spacing w:val="6"/>
                      <w:sz w:val="20"/>
                      <w:szCs w:val="20"/>
                    </w:rPr>
                    <w:t>危险废物</w:t>
                  </w:r>
                </w:p>
              </w:tc>
              <w:tc>
                <w:tcPr>
                  <w:tcW w:w="7074" w:type="dxa"/>
                  <w:tcBorders>
                    <w:top w:val="nil"/>
                  </w:tcBorders>
                  <w:vAlign w:val="top"/>
                </w:tcPr>
                <w:p w14:paraId="29B17FF1">
                  <w:pPr>
                    <w:pStyle w:val="6"/>
                    <w:spacing w:before="118" w:line="227" w:lineRule="auto"/>
                    <w:ind w:left="1858"/>
                    <w:rPr>
                      <w:sz w:val="20"/>
                      <w:szCs w:val="20"/>
                    </w:rPr>
                  </w:pPr>
                  <w:r>
                    <w:rPr>
                      <w:spacing w:val="9"/>
                      <w:sz w:val="20"/>
                      <w:szCs w:val="20"/>
                    </w:rPr>
                    <w:t>废铅蓄电池暂存过程中产生的废酸液</w:t>
                  </w:r>
                </w:p>
              </w:tc>
            </w:tr>
            <w:tr w14:paraId="1DA78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75" w:type="dxa"/>
                  <w:vMerge w:val="continue"/>
                  <w:tcBorders>
                    <w:top w:val="nil"/>
                    <w:bottom w:val="nil"/>
                  </w:tcBorders>
                  <w:vAlign w:val="top"/>
                </w:tcPr>
                <w:p w14:paraId="08261B70">
                  <w:pPr>
                    <w:rPr>
                      <w:rFonts w:ascii="Arial"/>
                      <w:sz w:val="21"/>
                    </w:rPr>
                  </w:pPr>
                </w:p>
              </w:tc>
              <w:tc>
                <w:tcPr>
                  <w:tcW w:w="1086" w:type="dxa"/>
                  <w:vAlign w:val="top"/>
                </w:tcPr>
                <w:p w14:paraId="53B4E35C">
                  <w:pPr>
                    <w:pStyle w:val="6"/>
                    <w:spacing w:before="109" w:line="226" w:lineRule="auto"/>
                    <w:ind w:left="124"/>
                    <w:rPr>
                      <w:sz w:val="20"/>
                      <w:szCs w:val="20"/>
                    </w:rPr>
                  </w:pPr>
                  <w:r>
                    <w:rPr>
                      <w:spacing w:val="7"/>
                      <w:sz w:val="20"/>
                      <w:szCs w:val="20"/>
                    </w:rPr>
                    <w:t>废物类别</w:t>
                  </w:r>
                </w:p>
              </w:tc>
              <w:tc>
                <w:tcPr>
                  <w:tcW w:w="7074" w:type="dxa"/>
                  <w:vAlign w:val="top"/>
                </w:tcPr>
                <w:p w14:paraId="5E03FB5B">
                  <w:pPr>
                    <w:pStyle w:val="6"/>
                    <w:spacing w:before="109" w:line="226" w:lineRule="auto"/>
                    <w:ind w:left="2810"/>
                    <w:rPr>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31 </w:t>
                  </w:r>
                  <w:r>
                    <w:rPr>
                      <w:spacing w:val="9"/>
                      <w:sz w:val="20"/>
                      <w:szCs w:val="20"/>
                    </w:rPr>
                    <w:t>含铅废物</w:t>
                  </w:r>
                </w:p>
              </w:tc>
            </w:tr>
            <w:tr w14:paraId="7BD20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75" w:type="dxa"/>
                  <w:vMerge w:val="continue"/>
                  <w:tcBorders>
                    <w:top w:val="nil"/>
                    <w:bottom w:val="nil"/>
                  </w:tcBorders>
                  <w:vAlign w:val="top"/>
                </w:tcPr>
                <w:p w14:paraId="39A50747">
                  <w:pPr>
                    <w:rPr>
                      <w:rFonts w:ascii="Arial"/>
                      <w:sz w:val="21"/>
                    </w:rPr>
                  </w:pPr>
                </w:p>
              </w:tc>
              <w:tc>
                <w:tcPr>
                  <w:tcW w:w="1086" w:type="dxa"/>
                  <w:vAlign w:val="top"/>
                </w:tcPr>
                <w:p w14:paraId="2E2BAC71">
                  <w:pPr>
                    <w:pStyle w:val="6"/>
                    <w:spacing w:before="110" w:line="226" w:lineRule="auto"/>
                    <w:ind w:left="128"/>
                    <w:rPr>
                      <w:sz w:val="20"/>
                      <w:szCs w:val="20"/>
                    </w:rPr>
                  </w:pPr>
                  <w:r>
                    <w:rPr>
                      <w:spacing w:val="6"/>
                      <w:sz w:val="20"/>
                      <w:szCs w:val="20"/>
                    </w:rPr>
                    <w:t>危险代码</w:t>
                  </w:r>
                </w:p>
              </w:tc>
              <w:tc>
                <w:tcPr>
                  <w:tcW w:w="7074" w:type="dxa"/>
                  <w:vAlign w:val="top"/>
                </w:tcPr>
                <w:p w14:paraId="05606921">
                  <w:pPr>
                    <w:spacing w:before="145" w:line="195" w:lineRule="auto"/>
                    <w:ind w:left="30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900-052-31</w:t>
                  </w:r>
                </w:p>
              </w:tc>
            </w:tr>
            <w:tr w14:paraId="1694B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75" w:type="dxa"/>
                  <w:vMerge w:val="continue"/>
                  <w:tcBorders>
                    <w:top w:val="nil"/>
                    <w:bottom w:val="nil"/>
                  </w:tcBorders>
                  <w:vAlign w:val="top"/>
                </w:tcPr>
                <w:p w14:paraId="4DA83BFF">
                  <w:pPr>
                    <w:rPr>
                      <w:rFonts w:ascii="Arial"/>
                      <w:sz w:val="21"/>
                    </w:rPr>
                  </w:pPr>
                </w:p>
              </w:tc>
              <w:tc>
                <w:tcPr>
                  <w:tcW w:w="1086" w:type="dxa"/>
                  <w:vAlign w:val="top"/>
                </w:tcPr>
                <w:p w14:paraId="402E42B4">
                  <w:pPr>
                    <w:pStyle w:val="6"/>
                    <w:spacing w:before="109" w:line="226" w:lineRule="auto"/>
                    <w:ind w:left="128"/>
                    <w:rPr>
                      <w:sz w:val="20"/>
                      <w:szCs w:val="20"/>
                    </w:rPr>
                  </w:pPr>
                  <w:r>
                    <w:rPr>
                      <w:spacing w:val="6"/>
                      <w:sz w:val="20"/>
                      <w:szCs w:val="20"/>
                    </w:rPr>
                    <w:t>危险特征</w:t>
                  </w:r>
                </w:p>
              </w:tc>
              <w:tc>
                <w:tcPr>
                  <w:tcW w:w="7074" w:type="dxa"/>
                  <w:vAlign w:val="top"/>
                </w:tcPr>
                <w:p w14:paraId="6E49D7EA">
                  <w:pPr>
                    <w:pStyle w:val="6"/>
                    <w:spacing w:before="109" w:line="226" w:lineRule="auto"/>
                    <w:ind w:left="2354"/>
                    <w:rPr>
                      <w:sz w:val="20"/>
                      <w:szCs w:val="20"/>
                    </w:rPr>
                  </w:pPr>
                  <w:r>
                    <w:rPr>
                      <w:rFonts w:ascii="Times New Roman" w:hAnsi="Times New Roman" w:eastAsia="Times New Roman" w:cs="Times New Roman"/>
                      <w:spacing w:val="6"/>
                      <w:sz w:val="20"/>
                      <w:szCs w:val="20"/>
                    </w:rPr>
                    <w:t>T</w:t>
                  </w:r>
                  <w:r>
                    <w:rPr>
                      <w:spacing w:val="6"/>
                      <w:sz w:val="20"/>
                      <w:szCs w:val="20"/>
                    </w:rPr>
                    <w:t>（毒性</w:t>
                  </w:r>
                  <w:r>
                    <w:rPr>
                      <w:spacing w:val="16"/>
                      <w:sz w:val="20"/>
                      <w:szCs w:val="20"/>
                    </w:rPr>
                    <w:t>），</w:t>
                  </w:r>
                  <w:r>
                    <w:rPr>
                      <w:rFonts w:ascii="Times New Roman" w:hAnsi="Times New Roman" w:eastAsia="Times New Roman" w:cs="Times New Roman"/>
                      <w:spacing w:val="6"/>
                      <w:sz w:val="20"/>
                      <w:szCs w:val="20"/>
                    </w:rPr>
                    <w:t>C</w:t>
                  </w:r>
                  <w:r>
                    <w:rPr>
                      <w:spacing w:val="6"/>
                      <w:sz w:val="20"/>
                      <w:szCs w:val="20"/>
                    </w:rPr>
                    <w:t>（腐蚀性）</w:t>
                  </w:r>
                </w:p>
              </w:tc>
            </w:tr>
            <w:tr w14:paraId="28C40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775" w:type="dxa"/>
                  <w:vMerge w:val="continue"/>
                  <w:tcBorders>
                    <w:top w:val="nil"/>
                  </w:tcBorders>
                  <w:vAlign w:val="top"/>
                </w:tcPr>
                <w:p w14:paraId="38BD82F4">
                  <w:pPr>
                    <w:rPr>
                      <w:rFonts w:ascii="Arial"/>
                      <w:sz w:val="21"/>
                    </w:rPr>
                  </w:pPr>
                </w:p>
              </w:tc>
              <w:tc>
                <w:tcPr>
                  <w:tcW w:w="1086" w:type="dxa"/>
                  <w:vAlign w:val="top"/>
                </w:tcPr>
                <w:p w14:paraId="2A467718">
                  <w:pPr>
                    <w:spacing w:line="291" w:lineRule="auto"/>
                    <w:rPr>
                      <w:rFonts w:ascii="Arial"/>
                      <w:sz w:val="21"/>
                    </w:rPr>
                  </w:pPr>
                </w:p>
                <w:p w14:paraId="4D44357A">
                  <w:pPr>
                    <w:spacing w:line="292" w:lineRule="auto"/>
                    <w:rPr>
                      <w:rFonts w:ascii="Arial"/>
                      <w:sz w:val="21"/>
                    </w:rPr>
                  </w:pPr>
                </w:p>
                <w:p w14:paraId="51FDE912">
                  <w:pPr>
                    <w:pStyle w:val="6"/>
                    <w:spacing w:before="65" w:line="228" w:lineRule="auto"/>
                    <w:ind w:left="128"/>
                    <w:rPr>
                      <w:sz w:val="20"/>
                      <w:szCs w:val="20"/>
                    </w:rPr>
                  </w:pPr>
                  <w:r>
                    <w:rPr>
                      <w:spacing w:val="6"/>
                      <w:sz w:val="20"/>
                      <w:szCs w:val="20"/>
                    </w:rPr>
                    <w:t>危险特性</w:t>
                  </w:r>
                </w:p>
              </w:tc>
              <w:tc>
                <w:tcPr>
                  <w:tcW w:w="7074" w:type="dxa"/>
                  <w:vAlign w:val="top"/>
                </w:tcPr>
                <w:p w14:paraId="1E562B2B">
                  <w:pPr>
                    <w:pStyle w:val="6"/>
                    <w:spacing w:before="110" w:line="323" w:lineRule="auto"/>
                    <w:ind w:left="111" w:right="39"/>
                    <w:jc w:val="both"/>
                    <w:rPr>
                      <w:sz w:val="20"/>
                      <w:szCs w:val="20"/>
                    </w:rPr>
                  </w:pPr>
                  <w:r>
                    <w:rPr>
                      <w:spacing w:val="10"/>
                      <w:sz w:val="20"/>
                      <w:szCs w:val="20"/>
                    </w:rPr>
                    <w:t>废蓄电池的危害主要集中在其中所含的少量的</w:t>
                  </w:r>
                  <w:r>
                    <w:rPr>
                      <w:spacing w:val="9"/>
                      <w:sz w:val="20"/>
                      <w:szCs w:val="20"/>
                    </w:rPr>
                    <w:t>重金属上，如铅、汞、镉等。</w:t>
                  </w:r>
                  <w:r>
                    <w:rPr>
                      <w:sz w:val="20"/>
                      <w:szCs w:val="20"/>
                    </w:rPr>
                    <w:t xml:space="preserve"> </w:t>
                  </w:r>
                  <w:r>
                    <w:rPr>
                      <w:spacing w:val="3"/>
                      <w:sz w:val="20"/>
                      <w:szCs w:val="20"/>
                    </w:rPr>
                    <w:t>这些有毒物质通过各种途径进入人体内，长期积累难以排除，损害神经系统、</w:t>
                  </w:r>
                  <w:r>
                    <w:rPr>
                      <w:spacing w:val="15"/>
                      <w:sz w:val="20"/>
                      <w:szCs w:val="20"/>
                    </w:rPr>
                    <w:t xml:space="preserve"> </w:t>
                  </w:r>
                  <w:r>
                    <w:rPr>
                      <w:spacing w:val="8"/>
                      <w:sz w:val="20"/>
                      <w:szCs w:val="20"/>
                    </w:rPr>
                    <w:t>造血功能和骨骼，甚至可以致癌。废铅蓄电池</w:t>
                  </w:r>
                  <w:r>
                    <w:rPr>
                      <w:spacing w:val="7"/>
                      <w:sz w:val="20"/>
                      <w:szCs w:val="20"/>
                    </w:rPr>
                    <w:t>内含有硫酸，具有腐蚀性，一</w:t>
                  </w:r>
                </w:p>
                <w:p w14:paraId="61F6B709">
                  <w:pPr>
                    <w:pStyle w:val="6"/>
                    <w:spacing w:before="31" w:line="226" w:lineRule="auto"/>
                    <w:ind w:left="2075"/>
                    <w:rPr>
                      <w:sz w:val="20"/>
                      <w:szCs w:val="20"/>
                    </w:rPr>
                  </w:pPr>
                  <w:r>
                    <w:rPr>
                      <w:spacing w:val="8"/>
                      <w:sz w:val="20"/>
                      <w:szCs w:val="20"/>
                    </w:rPr>
                    <w:t>旦接触人体将对皮肤造成灼伤。</w:t>
                  </w:r>
                </w:p>
              </w:tc>
            </w:tr>
          </w:tbl>
          <w:p w14:paraId="47CD1540">
            <w:pPr>
              <w:pStyle w:val="6"/>
              <w:spacing w:before="37" w:line="219" w:lineRule="auto"/>
              <w:ind w:left="584"/>
              <w:outlineLvl w:val="0"/>
            </w:pPr>
            <w:r>
              <w:rPr>
                <w:rFonts w:ascii="Times New Roman" w:hAnsi="Times New Roman" w:eastAsia="Times New Roman" w:cs="Times New Roman"/>
                <w:b/>
                <w:bCs/>
                <w:spacing w:val="-3"/>
              </w:rPr>
              <w:t>2</w:t>
            </w:r>
            <w:r>
              <w:rPr>
                <w:b/>
                <w:bCs/>
                <w:spacing w:val="-3"/>
              </w:rPr>
              <w:t>）环境敏感目标概况</w:t>
            </w:r>
          </w:p>
          <w:p w14:paraId="6116E5E9">
            <w:pPr>
              <w:pStyle w:val="6"/>
              <w:spacing w:before="181" w:line="350" w:lineRule="auto"/>
              <w:ind w:left="106" w:right="41" w:firstLine="484"/>
              <w:jc w:val="both"/>
            </w:pPr>
            <w:r>
              <w:rPr>
                <w:spacing w:val="1"/>
              </w:rPr>
              <w:t>项目存在的风险物质发生泄漏或泄漏事故发生后燃烧、爆炸</w:t>
            </w:r>
            <w:r>
              <w:t xml:space="preserve">产生的次生污染物，可能 </w:t>
            </w:r>
            <w:r>
              <w:rPr>
                <w:spacing w:val="-4"/>
              </w:rPr>
              <w:t>对区域大气环境、地表水环境及地下水环境产生影响，项目环境风险敏感目</w:t>
            </w:r>
            <w:r>
              <w:rPr>
                <w:spacing w:val="-5"/>
              </w:rPr>
              <w:t>标详见表</w:t>
            </w:r>
            <w:r>
              <w:rPr>
                <w:spacing w:val="-51"/>
              </w:rPr>
              <w:t xml:space="preserve"> </w:t>
            </w:r>
            <w:r>
              <w:rPr>
                <w:rFonts w:ascii="Times New Roman" w:hAnsi="Times New Roman" w:eastAsia="Times New Roman" w:cs="Times New Roman"/>
                <w:spacing w:val="-5"/>
              </w:rPr>
              <w:t>3-10</w:t>
            </w:r>
            <w:r>
              <w:rPr>
                <w:spacing w:val="-5"/>
              </w:rPr>
              <w:t>，</w:t>
            </w:r>
            <w:r>
              <w:t xml:space="preserve"> 同时为防止造成地下水污染，增加项目区浅层</w:t>
            </w:r>
            <w:r>
              <w:rPr>
                <w:spacing w:val="-1"/>
              </w:rPr>
              <w:t>地下水作为保护目标。</w:t>
            </w:r>
          </w:p>
          <w:p w14:paraId="3A639D2F">
            <w:pPr>
              <w:pStyle w:val="6"/>
              <w:spacing w:before="35" w:line="218" w:lineRule="auto"/>
              <w:ind w:left="582"/>
              <w:outlineLvl w:val="0"/>
            </w:pPr>
            <w:r>
              <w:rPr>
                <w:rFonts w:ascii="Times New Roman" w:hAnsi="Times New Roman" w:eastAsia="Times New Roman" w:cs="Times New Roman"/>
                <w:b/>
                <w:bCs/>
                <w:spacing w:val="-2"/>
              </w:rPr>
              <w:t>3</w:t>
            </w:r>
            <w:r>
              <w:rPr>
                <w:b/>
                <w:bCs/>
                <w:spacing w:val="-2"/>
              </w:rPr>
              <w:t>）风险潜势初判及评价等级</w:t>
            </w:r>
          </w:p>
          <w:p w14:paraId="29803BED">
            <w:pPr>
              <w:pStyle w:val="6"/>
              <w:spacing w:before="182" w:line="218" w:lineRule="auto"/>
              <w:ind w:left="587"/>
            </w:pPr>
            <w:r>
              <w:rPr>
                <w:spacing w:val="-1"/>
              </w:rPr>
              <w:t>根据《建设项目环境风险评价技术导则》（</w:t>
            </w:r>
            <w:r>
              <w:rPr>
                <w:rFonts w:ascii="Times New Roman" w:hAnsi="Times New Roman" w:eastAsia="Times New Roman" w:cs="Times New Roman"/>
                <w:spacing w:val="-1"/>
              </w:rPr>
              <w:t>HJ</w:t>
            </w:r>
            <w:r>
              <w:rPr>
                <w:rFonts w:ascii="Times New Roman" w:hAnsi="Times New Roman" w:eastAsia="Times New Roman" w:cs="Times New Roman"/>
                <w:spacing w:val="30"/>
                <w:w w:val="101"/>
              </w:rPr>
              <w:t xml:space="preserve"> </w:t>
            </w:r>
            <w:r>
              <w:rPr>
                <w:rFonts w:ascii="Times New Roman" w:hAnsi="Times New Roman" w:eastAsia="Times New Roman" w:cs="Times New Roman"/>
                <w:spacing w:val="-1"/>
              </w:rPr>
              <w:t>169-2018</w:t>
            </w:r>
            <w:r>
              <w:rPr>
                <w:spacing w:val="-1"/>
              </w:rPr>
              <w:t>）的要求，建设项</w:t>
            </w:r>
            <w:r>
              <w:rPr>
                <w:spacing w:val="-2"/>
              </w:rPr>
              <w:t>目环境风险</w:t>
            </w:r>
          </w:p>
          <w:p w14:paraId="1083DAC8">
            <w:pPr>
              <w:pStyle w:val="6"/>
              <w:spacing w:before="185" w:line="219" w:lineRule="auto"/>
              <w:ind w:left="106"/>
            </w:pPr>
            <w:r>
              <w:rPr>
                <w:spacing w:val="-6"/>
              </w:rPr>
              <w:t>潜势划分为</w:t>
            </w:r>
            <w:r>
              <w:rPr>
                <w:rFonts w:ascii="Times New Roman" w:hAnsi="Times New Roman" w:eastAsia="Times New Roman" w:cs="Times New Roman"/>
                <w:spacing w:val="-6"/>
              </w:rPr>
              <w:t>Ⅰ</w:t>
            </w:r>
            <w:r>
              <w:rPr>
                <w:rFonts w:ascii="Times New Roman" w:hAnsi="Times New Roman" w:eastAsia="Times New Roman" w:cs="Times New Roman"/>
                <w:spacing w:val="-19"/>
              </w:rPr>
              <w:t xml:space="preserve"> </w:t>
            </w:r>
            <w:r>
              <w:rPr>
                <w:spacing w:val="-6"/>
              </w:rPr>
              <w:t>、</w:t>
            </w:r>
            <w:r>
              <w:rPr>
                <w:rFonts w:ascii="Times New Roman" w:hAnsi="Times New Roman" w:eastAsia="Times New Roman" w:cs="Times New Roman"/>
                <w:spacing w:val="-6"/>
              </w:rPr>
              <w:t>Ⅱ</w:t>
            </w:r>
            <w:r>
              <w:rPr>
                <w:rFonts w:ascii="Times New Roman" w:hAnsi="Times New Roman" w:eastAsia="Times New Roman" w:cs="Times New Roman"/>
                <w:spacing w:val="-33"/>
              </w:rPr>
              <w:t xml:space="preserve"> </w:t>
            </w:r>
            <w:r>
              <w:rPr>
                <w:spacing w:val="-6"/>
              </w:rPr>
              <w:t>、</w:t>
            </w:r>
            <w:r>
              <w:rPr>
                <w:rFonts w:ascii="Times New Roman" w:hAnsi="Times New Roman" w:eastAsia="Times New Roman" w:cs="Times New Roman"/>
                <w:spacing w:val="-6"/>
              </w:rPr>
              <w:t>Ⅲ</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Ⅳ/Ⅳ</w:t>
            </w:r>
            <w:r>
              <w:rPr>
                <w:rFonts w:ascii="Times New Roman" w:hAnsi="Times New Roman" w:eastAsia="Times New Roman" w:cs="Times New Roman"/>
                <w:spacing w:val="-6"/>
                <w:position w:val="7"/>
                <w:sz w:val="15"/>
                <w:szCs w:val="15"/>
              </w:rPr>
              <w:t>+</w:t>
            </w:r>
            <w:r>
              <w:rPr>
                <w:spacing w:val="-6"/>
              </w:rPr>
              <w:t>级。</w:t>
            </w:r>
          </w:p>
          <w:p w14:paraId="10140D26">
            <w:pPr>
              <w:pStyle w:val="6"/>
              <w:spacing w:before="179" w:line="348" w:lineRule="auto"/>
              <w:ind w:left="108" w:right="102" w:firstLine="479"/>
              <w:jc w:val="both"/>
            </w:pPr>
            <w:r>
              <w:rPr>
                <w:spacing w:val="1"/>
              </w:rPr>
              <w:t>计算所涉及的每种危险物质在厂界内的最大存在总量与其在《建设项</w:t>
            </w:r>
            <w:r>
              <w:t xml:space="preserve">目环境风险评价 </w:t>
            </w:r>
            <w:r>
              <w:rPr>
                <w:spacing w:val="-3"/>
              </w:rPr>
              <w:t>技术导则》（</w:t>
            </w:r>
            <w:r>
              <w:rPr>
                <w:rFonts w:ascii="Times New Roman" w:hAnsi="Times New Roman" w:eastAsia="Times New Roman" w:cs="Times New Roman"/>
                <w:spacing w:val="-3"/>
              </w:rPr>
              <w:t>HJ</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169-2018</w:t>
            </w:r>
            <w:r>
              <w:rPr>
                <w:spacing w:val="-3"/>
              </w:rPr>
              <w:t>）附录</w:t>
            </w:r>
            <w:r>
              <w:rPr>
                <w:spacing w:val="-56"/>
              </w:rPr>
              <w:t xml:space="preserve"> </w:t>
            </w:r>
            <w:r>
              <w:rPr>
                <w:rFonts w:ascii="Times New Roman" w:hAnsi="Times New Roman" w:eastAsia="Times New Roman" w:cs="Times New Roman"/>
                <w:spacing w:val="-4"/>
              </w:rPr>
              <w:t>B</w:t>
            </w:r>
            <w:r>
              <w:rPr>
                <w:rFonts w:ascii="Times New Roman" w:hAnsi="Times New Roman" w:eastAsia="Times New Roman" w:cs="Times New Roman"/>
                <w:spacing w:val="30"/>
                <w:w w:val="101"/>
              </w:rPr>
              <w:t xml:space="preserve"> </w:t>
            </w:r>
            <w:r>
              <w:rPr>
                <w:spacing w:val="-4"/>
              </w:rPr>
              <w:t>中对应临界量的比值</w:t>
            </w:r>
            <w:r>
              <w:rPr>
                <w:spacing w:val="-52"/>
              </w:rPr>
              <w:t xml:space="preserve"> </w:t>
            </w:r>
            <w:r>
              <w:rPr>
                <w:rFonts w:ascii="Times New Roman" w:hAnsi="Times New Roman" w:eastAsia="Times New Roman" w:cs="Times New Roman"/>
                <w:spacing w:val="-4"/>
              </w:rPr>
              <w:t>Q</w:t>
            </w:r>
            <w:r>
              <w:rPr>
                <w:rFonts w:ascii="Times New Roman" w:hAnsi="Times New Roman" w:eastAsia="Times New Roman" w:cs="Times New Roman"/>
                <w:spacing w:val="-28"/>
              </w:rPr>
              <w:t xml:space="preserve"> </w:t>
            </w:r>
            <w:r>
              <w:rPr>
                <w:spacing w:val="-4"/>
              </w:rPr>
              <w:t>。在不同厂区的同一种物质，按</w:t>
            </w:r>
            <w:r>
              <w:t xml:space="preserve"> </w:t>
            </w:r>
            <w:r>
              <w:rPr>
                <w:spacing w:val="-1"/>
              </w:rPr>
              <w:t>其在厂界内的最大存在总量计算。</w:t>
            </w:r>
          </w:p>
          <w:p w14:paraId="093E380B">
            <w:pPr>
              <w:pStyle w:val="6"/>
              <w:spacing w:before="46" w:line="335" w:lineRule="auto"/>
              <w:ind w:left="110" w:right="102" w:firstLine="492"/>
            </w:pPr>
            <w:r>
              <w:rPr>
                <w:spacing w:val="2"/>
              </w:rPr>
              <w:t>当只涉及一种危险物质时，计算该物质的总量与其临界量比值，即为</w:t>
            </w:r>
            <w:r>
              <w:rPr>
                <w:rFonts w:ascii="Times New Roman" w:hAnsi="Times New Roman" w:eastAsia="Times New Roman" w:cs="Times New Roman"/>
                <w:spacing w:val="2"/>
              </w:rPr>
              <w:t>Q</w:t>
            </w:r>
            <w:r>
              <w:rPr>
                <w:spacing w:val="2"/>
              </w:rPr>
              <w:t>；当存在多种</w:t>
            </w:r>
            <w:r>
              <w:rPr>
                <w:spacing w:val="7"/>
              </w:rPr>
              <w:t xml:space="preserve"> </w:t>
            </w:r>
            <w:r>
              <w:rPr>
                <w:spacing w:val="-1"/>
              </w:rPr>
              <w:t>危险物质时，则按下式计算物质总量与其临界量比值（</w:t>
            </w:r>
            <w:r>
              <w:rPr>
                <w:rFonts w:ascii="Times New Roman" w:hAnsi="Times New Roman" w:eastAsia="Times New Roman" w:cs="Times New Roman"/>
                <w:spacing w:val="-1"/>
              </w:rPr>
              <w:t>Q</w:t>
            </w:r>
            <w:r>
              <w:rPr>
                <w:spacing w:val="5"/>
              </w:rPr>
              <w:t>）：</w:t>
            </w:r>
          </w:p>
          <w:p w14:paraId="31BEC054">
            <w:pPr>
              <w:spacing w:line="322" w:lineRule="exact"/>
              <w:ind w:left="586"/>
              <w:rPr>
                <w:rFonts w:ascii="Times New Roman" w:hAnsi="Times New Roman" w:eastAsia="Times New Roman" w:cs="Times New Roman"/>
                <w:sz w:val="15"/>
                <w:szCs w:val="15"/>
              </w:rPr>
            </w:pPr>
            <w:r>
              <w:rPr>
                <w:rFonts w:ascii="Times New Roman" w:hAnsi="Times New Roman" w:eastAsia="Times New Roman" w:cs="Times New Roman"/>
                <w:spacing w:val="-1"/>
                <w:position w:val="4"/>
                <w:sz w:val="24"/>
                <w:szCs w:val="24"/>
              </w:rPr>
              <w:t>Q=q</w:t>
            </w:r>
            <w:r>
              <w:rPr>
                <w:rFonts w:ascii="Times New Roman" w:hAnsi="Times New Roman" w:eastAsia="Times New Roman" w:cs="Times New Roman"/>
                <w:spacing w:val="-1"/>
                <w:position w:val="3"/>
                <w:sz w:val="15"/>
                <w:szCs w:val="15"/>
              </w:rPr>
              <w:t>1</w:t>
            </w:r>
            <w:r>
              <w:rPr>
                <w:rFonts w:ascii="Times New Roman" w:hAnsi="Times New Roman" w:eastAsia="Times New Roman" w:cs="Times New Roman"/>
                <w:spacing w:val="-1"/>
                <w:position w:val="4"/>
                <w:sz w:val="24"/>
                <w:szCs w:val="24"/>
              </w:rPr>
              <w:t>/Q</w:t>
            </w:r>
            <w:r>
              <w:rPr>
                <w:rFonts w:ascii="Times New Roman" w:hAnsi="Times New Roman" w:eastAsia="Times New Roman" w:cs="Times New Roman"/>
                <w:spacing w:val="-1"/>
                <w:position w:val="3"/>
                <w:sz w:val="15"/>
                <w:szCs w:val="15"/>
              </w:rPr>
              <w:t>1</w:t>
            </w:r>
            <w:r>
              <w:rPr>
                <w:rFonts w:ascii="Times New Roman" w:hAnsi="Times New Roman" w:eastAsia="Times New Roman" w:cs="Times New Roman"/>
                <w:spacing w:val="-1"/>
                <w:position w:val="4"/>
                <w:sz w:val="24"/>
                <w:szCs w:val="24"/>
              </w:rPr>
              <w:t>+q</w:t>
            </w:r>
            <w:r>
              <w:rPr>
                <w:rFonts w:ascii="Times New Roman" w:hAnsi="Times New Roman" w:eastAsia="Times New Roman" w:cs="Times New Roman"/>
                <w:spacing w:val="-1"/>
                <w:position w:val="3"/>
                <w:sz w:val="15"/>
                <w:szCs w:val="15"/>
              </w:rPr>
              <w:t>2</w:t>
            </w:r>
            <w:r>
              <w:rPr>
                <w:rFonts w:ascii="Times New Roman" w:hAnsi="Times New Roman" w:eastAsia="Times New Roman" w:cs="Times New Roman"/>
                <w:spacing w:val="-1"/>
                <w:position w:val="4"/>
                <w:sz w:val="24"/>
                <w:szCs w:val="24"/>
              </w:rPr>
              <w:t>/Q</w:t>
            </w:r>
            <w:r>
              <w:rPr>
                <w:rFonts w:ascii="Times New Roman" w:hAnsi="Times New Roman" w:eastAsia="Times New Roman" w:cs="Times New Roman"/>
                <w:spacing w:val="-1"/>
                <w:position w:val="3"/>
                <w:sz w:val="15"/>
                <w:szCs w:val="15"/>
              </w:rPr>
              <w:t>2</w:t>
            </w:r>
            <w:r>
              <w:rPr>
                <w:rFonts w:ascii="Times New Roman" w:hAnsi="Times New Roman" w:eastAsia="Times New Roman" w:cs="Times New Roman"/>
                <w:spacing w:val="-1"/>
                <w:position w:val="4"/>
                <w:sz w:val="24"/>
                <w:szCs w:val="24"/>
              </w:rPr>
              <w:t>+q</w:t>
            </w:r>
            <w:r>
              <w:rPr>
                <w:rFonts w:ascii="Times New Roman" w:hAnsi="Times New Roman" w:eastAsia="Times New Roman" w:cs="Times New Roman"/>
                <w:spacing w:val="-1"/>
                <w:position w:val="3"/>
                <w:sz w:val="15"/>
                <w:szCs w:val="15"/>
              </w:rPr>
              <w:t>3</w:t>
            </w:r>
            <w:r>
              <w:rPr>
                <w:rFonts w:ascii="Times New Roman" w:hAnsi="Times New Roman" w:eastAsia="Times New Roman" w:cs="Times New Roman"/>
                <w:spacing w:val="-1"/>
                <w:position w:val="4"/>
                <w:sz w:val="24"/>
                <w:szCs w:val="24"/>
              </w:rPr>
              <w:t>/Q</w:t>
            </w:r>
            <w:r>
              <w:rPr>
                <w:rFonts w:ascii="Times New Roman" w:hAnsi="Times New Roman" w:eastAsia="Times New Roman" w:cs="Times New Roman"/>
                <w:spacing w:val="-1"/>
                <w:position w:val="3"/>
                <w:sz w:val="15"/>
                <w:szCs w:val="15"/>
              </w:rPr>
              <w:t>3</w:t>
            </w:r>
            <w:r>
              <w:rPr>
                <w:rFonts w:ascii="Times New Roman" w:hAnsi="Times New Roman" w:eastAsia="Times New Roman" w:cs="Times New Roman"/>
                <w:spacing w:val="-1"/>
                <w:position w:val="4"/>
                <w:sz w:val="24"/>
                <w:szCs w:val="24"/>
              </w:rPr>
              <w:t>+</w:t>
            </w:r>
            <w:r>
              <w:rPr>
                <w:rFonts w:ascii="Times New Roman" w:hAnsi="Times New Roman" w:eastAsia="Times New Roman" w:cs="Times New Roman"/>
                <w:spacing w:val="42"/>
                <w:w w:val="101"/>
                <w:position w:val="4"/>
                <w:sz w:val="24"/>
                <w:szCs w:val="24"/>
              </w:rPr>
              <w:t xml:space="preserve"> </w:t>
            </w:r>
            <w:r>
              <w:rPr>
                <w:rFonts w:ascii="Times New Roman" w:hAnsi="Times New Roman" w:eastAsia="Times New Roman" w:cs="Times New Roman"/>
                <w:spacing w:val="-1"/>
                <w:position w:val="4"/>
                <w:sz w:val="24"/>
                <w:szCs w:val="24"/>
              </w:rPr>
              <w:t>······+q</w:t>
            </w:r>
            <w:r>
              <w:rPr>
                <w:rFonts w:ascii="Times New Roman" w:hAnsi="Times New Roman" w:eastAsia="Times New Roman" w:cs="Times New Roman"/>
                <w:spacing w:val="-1"/>
                <w:position w:val="4"/>
                <w:sz w:val="15"/>
                <w:szCs w:val="15"/>
              </w:rPr>
              <w:t>n</w:t>
            </w:r>
            <w:r>
              <w:rPr>
                <w:rFonts w:ascii="Times New Roman" w:hAnsi="Times New Roman" w:eastAsia="Times New Roman" w:cs="Times New Roman"/>
                <w:spacing w:val="-1"/>
                <w:position w:val="4"/>
                <w:sz w:val="24"/>
                <w:szCs w:val="24"/>
              </w:rPr>
              <w:t>/Q</w:t>
            </w:r>
            <w:r>
              <w:rPr>
                <w:rFonts w:ascii="Times New Roman" w:hAnsi="Times New Roman" w:eastAsia="Times New Roman" w:cs="Times New Roman"/>
                <w:spacing w:val="-1"/>
                <w:position w:val="4"/>
                <w:sz w:val="15"/>
                <w:szCs w:val="15"/>
              </w:rPr>
              <w:t>n</w:t>
            </w:r>
          </w:p>
          <w:p w14:paraId="1D6AD222">
            <w:pPr>
              <w:pStyle w:val="6"/>
              <w:spacing w:before="153" w:line="212" w:lineRule="auto"/>
              <w:ind w:left="592"/>
            </w:pPr>
            <w:r>
              <w:rPr>
                <w:spacing w:val="-9"/>
              </w:rPr>
              <w:t>式中</w:t>
            </w:r>
            <w:r>
              <w:rPr>
                <w:spacing w:val="-50"/>
              </w:rPr>
              <w:t xml:space="preserve"> </w:t>
            </w:r>
            <w:r>
              <w:rPr>
                <w:rFonts w:ascii="Times New Roman" w:hAnsi="Times New Roman" w:eastAsia="Times New Roman" w:cs="Times New Roman"/>
                <w:spacing w:val="-9"/>
              </w:rPr>
              <w:t>q</w:t>
            </w:r>
            <w:r>
              <w:rPr>
                <w:rFonts w:ascii="Times New Roman" w:hAnsi="Times New Roman" w:eastAsia="Times New Roman" w:cs="Times New Roman"/>
                <w:spacing w:val="-9"/>
                <w:position w:val="-1"/>
                <w:sz w:val="15"/>
                <w:szCs w:val="15"/>
              </w:rPr>
              <w:t>1</w:t>
            </w:r>
            <w:r>
              <w:rPr>
                <w:rFonts w:ascii="Times New Roman" w:hAnsi="Times New Roman" w:eastAsia="Times New Roman" w:cs="Times New Roman"/>
                <w:spacing w:val="-10"/>
                <w:position w:val="-1"/>
                <w:sz w:val="15"/>
                <w:szCs w:val="15"/>
              </w:rPr>
              <w:t xml:space="preserve"> </w:t>
            </w:r>
            <w:r>
              <w:rPr>
                <w:spacing w:val="-9"/>
              </w:rPr>
              <w:t>，</w:t>
            </w:r>
            <w:r>
              <w:rPr>
                <w:rFonts w:ascii="Times New Roman" w:hAnsi="Times New Roman" w:eastAsia="Times New Roman" w:cs="Times New Roman"/>
                <w:spacing w:val="-9"/>
              </w:rPr>
              <w:t>q</w:t>
            </w:r>
            <w:r>
              <w:rPr>
                <w:rFonts w:ascii="Times New Roman" w:hAnsi="Times New Roman" w:eastAsia="Times New Roman" w:cs="Times New Roman"/>
                <w:spacing w:val="-9"/>
                <w:position w:val="-1"/>
                <w:sz w:val="15"/>
                <w:szCs w:val="15"/>
              </w:rPr>
              <w:t xml:space="preserve">2 </w:t>
            </w:r>
            <w:r>
              <w:rPr>
                <w:spacing w:val="-9"/>
              </w:rPr>
              <w:t>，</w:t>
            </w:r>
            <w:r>
              <w:rPr>
                <w:rFonts w:ascii="Times New Roman" w:hAnsi="Times New Roman" w:eastAsia="Times New Roman" w:cs="Times New Roman"/>
              </w:rPr>
              <w:t>q</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1"/>
                <w:position w:val="-1"/>
                <w:sz w:val="15"/>
                <w:szCs w:val="15"/>
              </w:rPr>
              <w:t xml:space="preserve"> </w:t>
            </w:r>
            <w:r>
              <w:rPr>
                <w:rFonts w:ascii="Times New Roman" w:hAnsi="Times New Roman" w:eastAsia="Times New Roman" w:cs="Times New Roman"/>
                <w:spacing w:val="-32"/>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32"/>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32"/>
              </w:rPr>
              <w:t>·</w:t>
            </w:r>
            <w:r>
              <w:rPr>
                <w:rFonts w:ascii="Times New Roman" w:hAnsi="Times New Roman" w:eastAsia="Times New Roman" w:cs="Times New Roman"/>
                <w:spacing w:val="-34"/>
              </w:rPr>
              <w:t xml:space="preserve"> </w:t>
            </w:r>
            <w:r>
              <w:rPr>
                <w:rFonts w:ascii="Times New Roman" w:hAnsi="Times New Roman" w:eastAsia="Times New Roman" w:cs="Times New Roman"/>
                <w:spacing w:val="-32"/>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32"/>
              </w:rPr>
              <w:t>·</w:t>
            </w:r>
            <w:r>
              <w:rPr>
                <w:rFonts w:ascii="Times New Roman" w:hAnsi="Times New Roman" w:eastAsia="Times New Roman" w:cs="Times New Roman"/>
                <w:spacing w:val="-30"/>
              </w:rPr>
              <w:t xml:space="preserve"> </w:t>
            </w:r>
            <w:r>
              <w:rPr>
                <w:rFonts w:ascii="Times New Roman" w:hAnsi="Times New Roman" w:eastAsia="Times New Roman" w:cs="Times New Roman"/>
                <w:spacing w:val="-32"/>
              </w:rPr>
              <w:t>·</w:t>
            </w:r>
            <w:r>
              <w:rPr>
                <w:rFonts w:ascii="Times New Roman" w:hAnsi="Times New Roman" w:eastAsia="Times New Roman" w:cs="Times New Roman"/>
                <w:spacing w:val="-30"/>
              </w:rPr>
              <w:t xml:space="preserve"> </w:t>
            </w:r>
            <w:r>
              <w:rPr>
                <w:spacing w:val="-32"/>
              </w:rPr>
              <w:t>,</w:t>
            </w:r>
            <w:r>
              <w:rPr>
                <w:spacing w:val="62"/>
              </w:rPr>
              <w:t xml:space="preserve"> </w:t>
            </w:r>
            <w:r>
              <w:rPr>
                <w:rFonts w:ascii="Times New Roman" w:hAnsi="Times New Roman" w:eastAsia="Times New Roman" w:cs="Times New Roman"/>
                <w:spacing w:val="-32"/>
              </w:rPr>
              <w:t>q</w:t>
            </w:r>
            <w:r>
              <w:rPr>
                <w:rFonts w:ascii="Times New Roman" w:hAnsi="Times New Roman" w:eastAsia="Times New Roman" w:cs="Times New Roman"/>
                <w:sz w:val="15"/>
                <w:szCs w:val="15"/>
              </w:rPr>
              <w:t>n</w:t>
            </w:r>
            <w:r>
              <w:rPr>
                <w:rFonts w:ascii="Times New Roman" w:hAnsi="Times New Roman" w:eastAsia="Times New Roman" w:cs="Times New Roman"/>
              </w:rPr>
              <w:t>--</w:t>
            </w:r>
            <w:r>
              <w:t>每种危险物质实际存在量，</w:t>
            </w:r>
            <w:r>
              <w:rPr>
                <w:rFonts w:ascii="Times New Roman" w:hAnsi="Times New Roman" w:eastAsia="Times New Roman" w:cs="Times New Roman"/>
              </w:rPr>
              <w:t>t</w:t>
            </w:r>
            <w:r>
              <w:t>；</w:t>
            </w:r>
          </w:p>
          <w:p w14:paraId="18044242">
            <w:pPr>
              <w:pStyle w:val="6"/>
              <w:spacing w:before="192" w:line="336" w:lineRule="auto"/>
              <w:ind w:left="602" w:right="913" w:hanging="16"/>
            </w:pPr>
            <w:r>
              <w:rPr>
                <w:rFonts w:ascii="Times New Roman" w:hAnsi="Times New Roman" w:eastAsia="Times New Roman" w:cs="Times New Roman"/>
                <w:spacing w:val="-3"/>
              </w:rPr>
              <w:t>Q</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position w:val="-1"/>
                <w:sz w:val="15"/>
                <w:szCs w:val="15"/>
              </w:rPr>
              <w:t xml:space="preserve"> </w:t>
            </w:r>
            <w:r>
              <w:rPr>
                <w:spacing w:val="-9"/>
              </w:rPr>
              <w:t>，</w:t>
            </w:r>
            <w:r>
              <w:rPr>
                <w:rFonts w:ascii="Times New Roman" w:hAnsi="Times New Roman" w:eastAsia="Times New Roman" w:cs="Times New Roman"/>
                <w:spacing w:val="-9"/>
              </w:rPr>
              <w:t>Q</w:t>
            </w:r>
            <w:r>
              <w:rPr>
                <w:rFonts w:ascii="Times New Roman" w:hAnsi="Times New Roman" w:eastAsia="Times New Roman" w:cs="Times New Roman"/>
                <w:spacing w:val="-9"/>
                <w:position w:val="-1"/>
                <w:sz w:val="15"/>
                <w:szCs w:val="15"/>
              </w:rPr>
              <w:t>2</w:t>
            </w:r>
            <w:r>
              <w:rPr>
                <w:rFonts w:ascii="Times New Roman" w:hAnsi="Times New Roman" w:eastAsia="Times New Roman" w:cs="Times New Roman"/>
                <w:spacing w:val="-10"/>
                <w:position w:val="-1"/>
                <w:sz w:val="15"/>
                <w:szCs w:val="15"/>
              </w:rPr>
              <w:t xml:space="preserve"> </w:t>
            </w:r>
            <w:r>
              <w:rPr>
                <w:spacing w:val="-14"/>
              </w:rPr>
              <w:t>，</w:t>
            </w:r>
            <w:r>
              <w:rPr>
                <w:rFonts w:ascii="Times New Roman" w:hAnsi="Times New Roman" w:eastAsia="Times New Roman" w:cs="Times New Roman"/>
                <w:spacing w:val="-14"/>
              </w:rPr>
              <w:t>Q</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1"/>
                <w:position w:val="-1"/>
                <w:sz w:val="15"/>
                <w:szCs w:val="15"/>
              </w:rPr>
              <w:t xml:space="preserve"> </w:t>
            </w:r>
            <w:r>
              <w:rPr>
                <w:rFonts w:ascii="Times New Roman" w:hAnsi="Times New Roman" w:eastAsia="Times New Roman" w:cs="Times New Roman"/>
                <w:spacing w:val="-8"/>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8"/>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8"/>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8"/>
              </w:rPr>
              <w:t>·</w:t>
            </w:r>
            <w:r>
              <w:rPr>
                <w:rFonts w:ascii="Times New Roman" w:hAnsi="Times New Roman" w:eastAsia="Times New Roman" w:cs="Times New Roman"/>
                <w:spacing w:val="-31"/>
              </w:rPr>
              <w:t xml:space="preserve"> </w:t>
            </w:r>
            <w:r>
              <w:rPr>
                <w:rFonts w:ascii="Times New Roman" w:hAnsi="Times New Roman" w:eastAsia="Times New Roman" w:cs="Times New Roman"/>
                <w:spacing w:val="-8"/>
              </w:rPr>
              <w:t>·</w:t>
            </w:r>
            <w:r>
              <w:rPr>
                <w:rFonts w:ascii="Times New Roman" w:hAnsi="Times New Roman" w:eastAsia="Times New Roman" w:cs="Times New Roman"/>
                <w:spacing w:val="-29"/>
              </w:rPr>
              <w:t xml:space="preserve"> </w:t>
            </w:r>
            <w:r>
              <w:rPr>
                <w:spacing w:val="-8"/>
              </w:rPr>
              <w:t>,</w:t>
            </w:r>
            <w:r>
              <w:rPr>
                <w:spacing w:val="62"/>
              </w:rPr>
              <w:t xml:space="preserve"> </w:t>
            </w:r>
            <w:r>
              <w:rPr>
                <w:rFonts w:ascii="Times New Roman" w:hAnsi="Times New Roman" w:eastAsia="Times New Roman" w:cs="Times New Roman"/>
                <w:spacing w:val="-8"/>
              </w:rPr>
              <w:t>Qn--</w:t>
            </w:r>
            <w:r>
              <w:rPr>
                <w:spacing w:val="-8"/>
              </w:rPr>
              <w:t>与各危险物质相对应的生产场所或贮存区的临界量，</w:t>
            </w:r>
            <w:r>
              <w:rPr>
                <w:rFonts w:ascii="Times New Roman" w:hAnsi="Times New Roman" w:eastAsia="Times New Roman" w:cs="Times New Roman"/>
                <w:spacing w:val="-8"/>
              </w:rPr>
              <w:t>t</w:t>
            </w:r>
            <w:r>
              <w:rPr>
                <w:spacing w:val="-8"/>
              </w:rPr>
              <w:t>。</w:t>
            </w:r>
            <w:r>
              <w:t xml:space="preserve"> </w:t>
            </w:r>
            <w:r>
              <w:rPr>
                <w:spacing w:val="-4"/>
              </w:rPr>
              <w:t>当</w:t>
            </w:r>
            <w:r>
              <w:rPr>
                <w:spacing w:val="-41"/>
              </w:rPr>
              <w:t xml:space="preserve"> </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20"/>
                <w:w w:val="101"/>
              </w:rPr>
              <w:t xml:space="preserve"> </w:t>
            </w:r>
            <w:r>
              <w:rPr>
                <w:spacing w:val="-4"/>
              </w:rPr>
              <w:t>时，该项目环境风险潜势为</w:t>
            </w:r>
            <w:r>
              <w:rPr>
                <w:spacing w:val="-54"/>
              </w:rPr>
              <w:t xml:space="preserve"> </w:t>
            </w:r>
            <w:r>
              <w:rPr>
                <w:rFonts w:ascii="Times New Roman" w:hAnsi="Times New Roman" w:eastAsia="Times New Roman" w:cs="Times New Roman"/>
                <w:spacing w:val="-4"/>
              </w:rPr>
              <w:t>I</w:t>
            </w:r>
            <w:r>
              <w:rPr>
                <w:spacing w:val="-4"/>
              </w:rPr>
              <w:t>。</w:t>
            </w:r>
          </w:p>
          <w:p w14:paraId="71FA7452">
            <w:pPr>
              <w:pStyle w:val="6"/>
              <w:spacing w:before="60" w:line="212" w:lineRule="auto"/>
              <w:ind w:left="602"/>
            </w:pPr>
            <w:r>
              <w:rPr>
                <w:spacing w:val="1"/>
              </w:rPr>
              <w:t>当</w:t>
            </w:r>
            <w:r>
              <w:rPr>
                <w:spacing w:val="-47"/>
              </w:rPr>
              <w:t xml:space="preserve"> </w:t>
            </w:r>
            <w:r>
              <w:rPr>
                <w:rFonts w:ascii="Times New Roman" w:hAnsi="Times New Roman" w:eastAsia="Times New Roman" w:cs="Times New Roman"/>
                <w:spacing w:val="1"/>
              </w:rPr>
              <w:t>Q≥1</w:t>
            </w:r>
            <w:r>
              <w:rPr>
                <w:rFonts w:ascii="Times New Roman" w:hAnsi="Times New Roman" w:eastAsia="Times New Roman" w:cs="Times New Roman"/>
                <w:spacing w:val="20"/>
                <w:w w:val="101"/>
              </w:rPr>
              <w:t xml:space="preserve"> </w:t>
            </w:r>
            <w:r>
              <w:rPr>
                <w:spacing w:val="1"/>
              </w:rPr>
              <w:t>时，将</w:t>
            </w:r>
            <w:r>
              <w:rPr>
                <w:spacing w:val="-52"/>
              </w:rPr>
              <w:t xml:space="preserve"> </w:t>
            </w:r>
            <w:r>
              <w:rPr>
                <w:rFonts w:ascii="Times New Roman" w:hAnsi="Times New Roman" w:eastAsia="Times New Roman" w:cs="Times New Roman"/>
                <w:spacing w:val="1"/>
              </w:rPr>
              <w:t xml:space="preserve">Q </w:t>
            </w:r>
            <w:r>
              <w:rPr>
                <w:spacing w:val="1"/>
              </w:rPr>
              <w:t>值划分为</w:t>
            </w:r>
            <w:r>
              <w:rPr>
                <w:spacing w:val="-18"/>
              </w:rPr>
              <w:t>：（</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1≤Q</w:t>
            </w:r>
            <w:r>
              <w:rPr>
                <w:spacing w:val="1"/>
              </w:rPr>
              <w:t>＜</w:t>
            </w:r>
            <w:r>
              <w:rPr>
                <w:rFonts w:ascii="Times New Roman" w:hAnsi="Times New Roman" w:eastAsia="Times New Roman" w:cs="Times New Roman"/>
                <w:spacing w:val="1"/>
              </w:rPr>
              <w:t>10</w:t>
            </w:r>
            <w:r>
              <w:rPr>
                <w:spacing w:val="-18"/>
              </w:rPr>
              <w:t>；（</w:t>
            </w:r>
            <w:r>
              <w:rPr>
                <w:rFonts w:ascii="Times New Roman" w:hAnsi="Times New Roman" w:eastAsia="Times New Roman" w:cs="Times New Roman"/>
                <w:spacing w:val="1"/>
              </w:rPr>
              <w:t>2</w:t>
            </w:r>
            <w:r>
              <w:rPr>
                <w:spacing w:val="1"/>
              </w:rPr>
              <w:t>）</w:t>
            </w:r>
            <w:r>
              <w:rPr>
                <w:rFonts w:ascii="Times New Roman" w:hAnsi="Times New Roman" w:eastAsia="Times New Roman" w:cs="Times New Roman"/>
                <w:spacing w:val="1"/>
              </w:rPr>
              <w:t>10≤Q</w:t>
            </w:r>
            <w:r>
              <w:rPr>
                <w:spacing w:val="1"/>
              </w:rPr>
              <w:t>＜</w:t>
            </w:r>
            <w:r>
              <w:rPr>
                <w:rFonts w:ascii="Times New Roman" w:hAnsi="Times New Roman" w:eastAsia="Times New Roman" w:cs="Times New Roman"/>
                <w:spacing w:val="1"/>
              </w:rPr>
              <w:t>100</w:t>
            </w:r>
            <w:r>
              <w:rPr>
                <w:spacing w:val="-18"/>
              </w:rPr>
              <w:t>；（</w:t>
            </w:r>
            <w:r>
              <w:rPr>
                <w:rFonts w:ascii="Times New Roman" w:hAnsi="Times New Roman" w:eastAsia="Times New Roman" w:cs="Times New Roman"/>
                <w:spacing w:val="1"/>
              </w:rPr>
              <w:t>3</w:t>
            </w:r>
            <w:r>
              <w:rPr>
                <w:spacing w:val="1"/>
              </w:rPr>
              <w:t>）</w:t>
            </w:r>
            <w:r>
              <w:rPr>
                <w:rFonts w:ascii="Times New Roman" w:hAnsi="Times New Roman" w:eastAsia="Times New Roman" w:cs="Times New Roman"/>
                <w:spacing w:val="1"/>
              </w:rPr>
              <w:t>Q≥100</w:t>
            </w:r>
            <w:r>
              <w:rPr>
                <w:spacing w:val="1"/>
              </w:rPr>
              <w:t>。</w:t>
            </w:r>
          </w:p>
          <w:p w14:paraId="077337A1">
            <w:pPr>
              <w:pStyle w:val="6"/>
              <w:spacing w:before="190" w:line="219" w:lineRule="auto"/>
              <w:ind w:left="591"/>
            </w:pPr>
            <w:r>
              <w:rPr>
                <w:spacing w:val="-1"/>
              </w:rPr>
              <w:t>项目涉及的主要危险物质最大贮存量及临界量见下表：</w:t>
            </w:r>
          </w:p>
          <w:p w14:paraId="3BCB6D46">
            <w:pPr>
              <w:pStyle w:val="6"/>
              <w:spacing w:before="178" w:line="221" w:lineRule="auto"/>
              <w:ind w:left="2450"/>
              <w:rPr>
                <w:sz w:val="20"/>
                <w:szCs w:val="20"/>
              </w:rPr>
            </w:pPr>
            <w:r>
              <w:rPr>
                <w:b/>
                <w:bCs/>
                <w:spacing w:val="6"/>
                <w:sz w:val="20"/>
                <w:szCs w:val="20"/>
              </w:rPr>
              <w:t>表</w:t>
            </w:r>
            <w:r>
              <w:rPr>
                <w:spacing w:val="-40"/>
                <w:sz w:val="20"/>
                <w:szCs w:val="20"/>
              </w:rPr>
              <w:t xml:space="preserve"> </w:t>
            </w:r>
            <w:r>
              <w:rPr>
                <w:rFonts w:ascii="Times New Roman" w:hAnsi="Times New Roman" w:eastAsia="Times New Roman" w:cs="Times New Roman"/>
                <w:b/>
                <w:bCs/>
                <w:spacing w:val="6"/>
                <w:sz w:val="20"/>
                <w:szCs w:val="20"/>
              </w:rPr>
              <w:t xml:space="preserve">4-17    </w:t>
            </w:r>
            <w:r>
              <w:rPr>
                <w:b/>
                <w:bCs/>
                <w:spacing w:val="6"/>
                <w:sz w:val="20"/>
                <w:szCs w:val="20"/>
              </w:rPr>
              <w:t>危险物质数量与临界量比值</w:t>
            </w:r>
            <w:r>
              <w:rPr>
                <w:spacing w:val="-40"/>
                <w:sz w:val="20"/>
                <w:szCs w:val="20"/>
              </w:rPr>
              <w:t xml:space="preserve"> </w:t>
            </w:r>
            <w:r>
              <w:rPr>
                <w:rFonts w:ascii="Times New Roman" w:hAnsi="Times New Roman" w:eastAsia="Times New Roman" w:cs="Times New Roman"/>
                <w:b/>
                <w:bCs/>
                <w:spacing w:val="6"/>
                <w:sz w:val="20"/>
                <w:szCs w:val="20"/>
              </w:rPr>
              <w:t xml:space="preserve">Q </w:t>
            </w:r>
            <w:r>
              <w:rPr>
                <w:b/>
                <w:bCs/>
                <w:spacing w:val="6"/>
                <w:sz w:val="20"/>
                <w:szCs w:val="20"/>
              </w:rPr>
              <w:t>计算一览表</w:t>
            </w:r>
          </w:p>
          <w:p w14:paraId="22DD1950">
            <w:pPr>
              <w:spacing w:line="32" w:lineRule="auto"/>
              <w:rPr>
                <w:rFonts w:ascii="Arial"/>
                <w:sz w:val="2"/>
              </w:rPr>
            </w:pPr>
          </w:p>
          <w:tbl>
            <w:tblPr>
              <w:tblStyle w:val="5"/>
              <w:tblW w:w="9389"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6"/>
              <w:gridCol w:w="1380"/>
              <w:gridCol w:w="1401"/>
              <w:gridCol w:w="1681"/>
              <w:gridCol w:w="1198"/>
              <w:gridCol w:w="1313"/>
            </w:tblGrid>
            <w:tr w14:paraId="1AE7E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416" w:type="dxa"/>
                  <w:vAlign w:val="top"/>
                </w:tcPr>
                <w:p w14:paraId="70653E9A">
                  <w:pPr>
                    <w:pStyle w:val="6"/>
                    <w:spacing w:before="82" w:line="218" w:lineRule="auto"/>
                    <w:ind w:left="688"/>
                    <w:rPr>
                      <w:sz w:val="20"/>
                      <w:szCs w:val="20"/>
                    </w:rPr>
                  </w:pPr>
                  <w:r>
                    <w:rPr>
                      <w:b/>
                      <w:bCs/>
                      <w:spacing w:val="6"/>
                      <w:sz w:val="20"/>
                      <w:szCs w:val="20"/>
                    </w:rPr>
                    <w:t>危险品名称</w:t>
                  </w:r>
                </w:p>
              </w:tc>
              <w:tc>
                <w:tcPr>
                  <w:tcW w:w="1380" w:type="dxa"/>
                  <w:vAlign w:val="top"/>
                </w:tcPr>
                <w:p w14:paraId="438701CD">
                  <w:pPr>
                    <w:pStyle w:val="6"/>
                    <w:spacing w:before="82" w:line="218" w:lineRule="auto"/>
                    <w:ind w:left="272"/>
                    <w:rPr>
                      <w:sz w:val="20"/>
                      <w:szCs w:val="20"/>
                    </w:rPr>
                  </w:pPr>
                  <w:r>
                    <w:rPr>
                      <w:b/>
                      <w:bCs/>
                      <w:spacing w:val="6"/>
                      <w:sz w:val="20"/>
                      <w:szCs w:val="20"/>
                    </w:rPr>
                    <w:t>贮存设施</w:t>
                  </w:r>
                </w:p>
              </w:tc>
              <w:tc>
                <w:tcPr>
                  <w:tcW w:w="1401" w:type="dxa"/>
                  <w:vAlign w:val="top"/>
                </w:tcPr>
                <w:p w14:paraId="05228E36">
                  <w:pPr>
                    <w:pStyle w:val="6"/>
                    <w:spacing w:before="82" w:line="218" w:lineRule="auto"/>
                    <w:ind w:left="284"/>
                    <w:rPr>
                      <w:sz w:val="20"/>
                      <w:szCs w:val="20"/>
                    </w:rPr>
                  </w:pPr>
                  <w:r>
                    <w:rPr>
                      <w:b/>
                      <w:bCs/>
                      <w:spacing w:val="6"/>
                      <w:sz w:val="20"/>
                      <w:szCs w:val="20"/>
                    </w:rPr>
                    <w:t>贮存方式</w:t>
                  </w:r>
                </w:p>
              </w:tc>
              <w:tc>
                <w:tcPr>
                  <w:tcW w:w="1681" w:type="dxa"/>
                  <w:vAlign w:val="top"/>
                </w:tcPr>
                <w:p w14:paraId="2A9BC1D4">
                  <w:pPr>
                    <w:pStyle w:val="6"/>
                    <w:spacing w:before="82" w:line="218" w:lineRule="auto"/>
                    <w:ind w:left="75"/>
                    <w:rPr>
                      <w:sz w:val="20"/>
                      <w:szCs w:val="20"/>
                    </w:rPr>
                  </w:pPr>
                  <w:r>
                    <w:rPr>
                      <w:b/>
                      <w:bCs/>
                      <w:spacing w:val="5"/>
                      <w:sz w:val="20"/>
                      <w:szCs w:val="20"/>
                    </w:rPr>
                    <w:t>最大贮存量（</w:t>
                  </w:r>
                  <w:r>
                    <w:rPr>
                      <w:rFonts w:ascii="Times New Roman" w:hAnsi="Times New Roman" w:eastAsia="Times New Roman" w:cs="Times New Roman"/>
                      <w:b/>
                      <w:bCs/>
                      <w:spacing w:val="5"/>
                      <w:sz w:val="20"/>
                      <w:szCs w:val="20"/>
                    </w:rPr>
                    <w:t>t</w:t>
                  </w:r>
                  <w:r>
                    <w:rPr>
                      <w:b/>
                      <w:bCs/>
                      <w:spacing w:val="5"/>
                      <w:sz w:val="20"/>
                      <w:szCs w:val="20"/>
                    </w:rPr>
                    <w:t>）</w:t>
                  </w:r>
                </w:p>
              </w:tc>
              <w:tc>
                <w:tcPr>
                  <w:tcW w:w="1198" w:type="dxa"/>
                  <w:vAlign w:val="top"/>
                </w:tcPr>
                <w:p w14:paraId="5CA5934F">
                  <w:pPr>
                    <w:pStyle w:val="6"/>
                    <w:spacing w:before="82" w:line="218" w:lineRule="auto"/>
                    <w:ind w:left="54"/>
                    <w:rPr>
                      <w:sz w:val="20"/>
                      <w:szCs w:val="20"/>
                    </w:rPr>
                  </w:pPr>
                  <w:r>
                    <w:rPr>
                      <w:b/>
                      <w:bCs/>
                      <w:spacing w:val="2"/>
                      <w:sz w:val="20"/>
                      <w:szCs w:val="20"/>
                    </w:rPr>
                    <w:t>临界量（</w:t>
                  </w:r>
                  <w:r>
                    <w:rPr>
                      <w:rFonts w:ascii="Times New Roman" w:hAnsi="Times New Roman" w:eastAsia="Times New Roman" w:cs="Times New Roman"/>
                      <w:b/>
                      <w:bCs/>
                      <w:spacing w:val="2"/>
                      <w:sz w:val="20"/>
                      <w:szCs w:val="20"/>
                    </w:rPr>
                    <w:t>t</w:t>
                  </w:r>
                  <w:r>
                    <w:rPr>
                      <w:b/>
                      <w:bCs/>
                      <w:spacing w:val="2"/>
                      <w:sz w:val="20"/>
                      <w:szCs w:val="20"/>
                    </w:rPr>
                    <w:t>）</w:t>
                  </w:r>
                </w:p>
              </w:tc>
              <w:tc>
                <w:tcPr>
                  <w:tcW w:w="1313" w:type="dxa"/>
                  <w:vAlign w:val="top"/>
                </w:tcPr>
                <w:p w14:paraId="3913CFEB">
                  <w:pPr>
                    <w:spacing w:before="117" w:line="197" w:lineRule="auto"/>
                    <w:ind w:left="49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q/Q</w:t>
                  </w:r>
                </w:p>
              </w:tc>
            </w:tr>
            <w:tr w14:paraId="3FE05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416" w:type="dxa"/>
                  <w:vAlign w:val="top"/>
                </w:tcPr>
                <w:p w14:paraId="774112F6">
                  <w:pPr>
                    <w:pStyle w:val="6"/>
                    <w:spacing w:before="72" w:line="224" w:lineRule="auto"/>
                    <w:ind w:left="794"/>
                    <w:rPr>
                      <w:sz w:val="20"/>
                      <w:szCs w:val="20"/>
                    </w:rPr>
                  </w:pPr>
                  <w:r>
                    <w:rPr>
                      <w:spacing w:val="7"/>
                      <w:sz w:val="20"/>
                      <w:szCs w:val="20"/>
                    </w:rPr>
                    <w:t>变压器油</w:t>
                  </w:r>
                </w:p>
              </w:tc>
              <w:tc>
                <w:tcPr>
                  <w:tcW w:w="1380" w:type="dxa"/>
                  <w:vAlign w:val="top"/>
                </w:tcPr>
                <w:p w14:paraId="000822DB">
                  <w:pPr>
                    <w:pStyle w:val="6"/>
                    <w:spacing w:before="76" w:line="220" w:lineRule="auto"/>
                    <w:ind w:left="274"/>
                    <w:rPr>
                      <w:sz w:val="20"/>
                      <w:szCs w:val="20"/>
                    </w:rPr>
                  </w:pPr>
                  <w:r>
                    <w:rPr>
                      <w:spacing w:val="7"/>
                      <w:sz w:val="20"/>
                      <w:szCs w:val="20"/>
                    </w:rPr>
                    <w:t>变压器内</w:t>
                  </w:r>
                </w:p>
              </w:tc>
              <w:tc>
                <w:tcPr>
                  <w:tcW w:w="1401" w:type="dxa"/>
                  <w:vAlign w:val="top"/>
                </w:tcPr>
                <w:p w14:paraId="02470546">
                  <w:pPr>
                    <w:spacing w:before="109" w:line="198"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81" w:type="dxa"/>
                  <w:vAlign w:val="top"/>
                </w:tcPr>
                <w:p w14:paraId="4ADDBBEE">
                  <w:pPr>
                    <w:spacing w:before="11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108.626</w:t>
                  </w:r>
                </w:p>
              </w:tc>
              <w:tc>
                <w:tcPr>
                  <w:tcW w:w="1198" w:type="dxa"/>
                  <w:vAlign w:val="top"/>
                </w:tcPr>
                <w:p w14:paraId="03ED2E99">
                  <w:pPr>
                    <w:spacing w:before="112"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313" w:type="dxa"/>
                  <w:vAlign w:val="top"/>
                </w:tcPr>
                <w:p w14:paraId="4674A301">
                  <w:pPr>
                    <w:spacing w:before="112"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0.0435</w:t>
                  </w:r>
                </w:p>
              </w:tc>
            </w:tr>
            <w:tr w14:paraId="1F3D8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416" w:type="dxa"/>
                  <w:vAlign w:val="top"/>
                </w:tcPr>
                <w:p w14:paraId="1D6A670D">
                  <w:pPr>
                    <w:pStyle w:val="6"/>
                    <w:spacing w:before="214" w:line="227" w:lineRule="auto"/>
                    <w:ind w:left="58"/>
                    <w:rPr>
                      <w:sz w:val="20"/>
                      <w:szCs w:val="20"/>
                    </w:rPr>
                  </w:pPr>
                  <w:r>
                    <w:rPr>
                      <w:spacing w:val="8"/>
                      <w:sz w:val="20"/>
                      <w:szCs w:val="20"/>
                    </w:rPr>
                    <w:t>废变压器油（维修产生）</w:t>
                  </w:r>
                </w:p>
              </w:tc>
              <w:tc>
                <w:tcPr>
                  <w:tcW w:w="1380" w:type="dxa"/>
                  <w:vAlign w:val="top"/>
                </w:tcPr>
                <w:p w14:paraId="4F6C5481">
                  <w:pPr>
                    <w:pStyle w:val="6"/>
                    <w:spacing w:before="236" w:line="227" w:lineRule="auto"/>
                    <w:ind w:left="171"/>
                    <w:rPr>
                      <w:sz w:val="20"/>
                      <w:szCs w:val="20"/>
                    </w:rPr>
                  </w:pPr>
                  <w:r>
                    <w:rPr>
                      <w:spacing w:val="7"/>
                      <w:sz w:val="20"/>
                      <w:szCs w:val="20"/>
                    </w:rPr>
                    <w:t>危废贮存库</w:t>
                  </w:r>
                </w:p>
              </w:tc>
              <w:tc>
                <w:tcPr>
                  <w:tcW w:w="1401" w:type="dxa"/>
                  <w:vAlign w:val="top"/>
                </w:tcPr>
                <w:p w14:paraId="1D87C239">
                  <w:pPr>
                    <w:pStyle w:val="6"/>
                    <w:spacing w:before="77" w:line="257" w:lineRule="auto"/>
                    <w:ind w:left="494" w:right="71" w:hanging="419"/>
                    <w:rPr>
                      <w:sz w:val="20"/>
                      <w:szCs w:val="20"/>
                    </w:rPr>
                  </w:pPr>
                  <w:r>
                    <w:rPr>
                      <w:spacing w:val="8"/>
                      <w:sz w:val="20"/>
                      <w:szCs w:val="20"/>
                    </w:rPr>
                    <w:t>专用容器（桶</w:t>
                  </w:r>
                  <w:r>
                    <w:rPr>
                      <w:sz w:val="20"/>
                      <w:szCs w:val="20"/>
                    </w:rPr>
                    <w:t xml:space="preserve"> 装）</w:t>
                  </w:r>
                </w:p>
              </w:tc>
              <w:tc>
                <w:tcPr>
                  <w:tcW w:w="1681" w:type="dxa"/>
                  <w:vAlign w:val="top"/>
                </w:tcPr>
                <w:p w14:paraId="11A199AB">
                  <w:pPr>
                    <w:spacing w:before="271"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5.43</w:t>
                  </w:r>
                </w:p>
              </w:tc>
              <w:tc>
                <w:tcPr>
                  <w:tcW w:w="1198" w:type="dxa"/>
                  <w:vAlign w:val="top"/>
                </w:tcPr>
                <w:p w14:paraId="054C3F7F">
                  <w:pPr>
                    <w:spacing w:before="27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313" w:type="dxa"/>
                  <w:vAlign w:val="top"/>
                </w:tcPr>
                <w:p w14:paraId="3106984B">
                  <w:pPr>
                    <w:spacing w:before="271"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0.0022</w:t>
                  </w:r>
                </w:p>
              </w:tc>
            </w:tr>
            <w:tr w14:paraId="44CCA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2416" w:type="dxa"/>
                  <w:tcBorders>
                    <w:bottom w:val="nil"/>
                  </w:tcBorders>
                  <w:vAlign w:val="top"/>
                </w:tcPr>
                <w:p w14:paraId="6D609031">
                  <w:pPr>
                    <w:pStyle w:val="6"/>
                    <w:spacing w:before="215" w:line="227" w:lineRule="auto"/>
                    <w:ind w:left="162"/>
                    <w:rPr>
                      <w:sz w:val="20"/>
                      <w:szCs w:val="20"/>
                    </w:rPr>
                  </w:pPr>
                  <w:r>
                    <w:rPr>
                      <w:spacing w:val="8"/>
                      <w:sz w:val="20"/>
                      <w:szCs w:val="20"/>
                    </w:rPr>
                    <w:t>事故废油（泄露产生）</w:t>
                  </w:r>
                </w:p>
              </w:tc>
              <w:tc>
                <w:tcPr>
                  <w:tcW w:w="1380" w:type="dxa"/>
                  <w:tcBorders>
                    <w:bottom w:val="nil"/>
                  </w:tcBorders>
                  <w:vAlign w:val="top"/>
                </w:tcPr>
                <w:p w14:paraId="178EBEFD">
                  <w:pPr>
                    <w:pStyle w:val="6"/>
                    <w:spacing w:before="236" w:line="227" w:lineRule="auto"/>
                    <w:ind w:left="171"/>
                    <w:rPr>
                      <w:sz w:val="20"/>
                      <w:szCs w:val="20"/>
                    </w:rPr>
                  </w:pPr>
                  <w:r>
                    <w:rPr>
                      <w:spacing w:val="7"/>
                      <w:sz w:val="20"/>
                      <w:szCs w:val="20"/>
                    </w:rPr>
                    <w:t>危废贮存库</w:t>
                  </w:r>
                </w:p>
              </w:tc>
              <w:tc>
                <w:tcPr>
                  <w:tcW w:w="1401" w:type="dxa"/>
                  <w:tcBorders>
                    <w:bottom w:val="nil"/>
                  </w:tcBorders>
                  <w:vAlign w:val="top"/>
                </w:tcPr>
                <w:p w14:paraId="11B03FCB">
                  <w:pPr>
                    <w:pStyle w:val="6"/>
                    <w:spacing w:before="76" w:line="254" w:lineRule="auto"/>
                    <w:ind w:left="494" w:right="71" w:hanging="419"/>
                    <w:rPr>
                      <w:sz w:val="20"/>
                      <w:szCs w:val="20"/>
                    </w:rPr>
                  </w:pPr>
                  <w:r>
                    <w:rPr>
                      <w:spacing w:val="8"/>
                      <w:sz w:val="20"/>
                      <w:szCs w:val="20"/>
                    </w:rPr>
                    <w:t>专用容器（桶</w:t>
                  </w:r>
                  <w:r>
                    <w:rPr>
                      <w:sz w:val="20"/>
                      <w:szCs w:val="20"/>
                    </w:rPr>
                    <w:t xml:space="preserve"> 装）</w:t>
                  </w:r>
                </w:p>
              </w:tc>
              <w:tc>
                <w:tcPr>
                  <w:tcW w:w="1681" w:type="dxa"/>
                  <w:tcBorders>
                    <w:bottom w:val="nil"/>
                  </w:tcBorders>
                  <w:vAlign w:val="top"/>
                </w:tcPr>
                <w:p w14:paraId="0AC79D95">
                  <w:pPr>
                    <w:spacing w:before="272" w:line="195" w:lineRule="auto"/>
                    <w:ind w:left="6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8.69</w:t>
                  </w:r>
                </w:p>
              </w:tc>
              <w:tc>
                <w:tcPr>
                  <w:tcW w:w="1198" w:type="dxa"/>
                  <w:tcBorders>
                    <w:bottom w:val="nil"/>
                  </w:tcBorders>
                  <w:vAlign w:val="top"/>
                </w:tcPr>
                <w:p w14:paraId="0D2E97C6">
                  <w:pPr>
                    <w:spacing w:before="272"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313" w:type="dxa"/>
                  <w:tcBorders>
                    <w:bottom w:val="nil"/>
                  </w:tcBorders>
                  <w:vAlign w:val="top"/>
                </w:tcPr>
                <w:p w14:paraId="232F9141">
                  <w:pPr>
                    <w:spacing w:before="272"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0.0035</w:t>
                  </w:r>
                </w:p>
              </w:tc>
            </w:tr>
          </w:tbl>
          <w:p w14:paraId="4840084F">
            <w:pPr>
              <w:spacing w:line="14" w:lineRule="auto"/>
              <w:rPr>
                <w:rFonts w:ascii="Arial"/>
                <w:sz w:val="2"/>
              </w:rPr>
            </w:pPr>
          </w:p>
        </w:tc>
      </w:tr>
    </w:tbl>
    <w:p w14:paraId="6CCF0652">
      <w:pPr>
        <w:rPr>
          <w:rFonts w:ascii="Arial"/>
          <w:sz w:val="21"/>
        </w:rPr>
      </w:pPr>
    </w:p>
    <w:p w14:paraId="1CD21AC1">
      <w:pPr>
        <w:rPr>
          <w:rFonts w:ascii="Arial" w:hAnsi="Arial" w:eastAsia="Arial" w:cs="Arial"/>
          <w:sz w:val="21"/>
          <w:szCs w:val="21"/>
        </w:rPr>
        <w:sectPr>
          <w:footerReference r:id="rId144" w:type="default"/>
          <w:pgSz w:w="11907" w:h="16840"/>
          <w:pgMar w:top="1431" w:right="907" w:bottom="1278" w:left="907" w:header="0" w:footer="1116" w:gutter="0"/>
          <w:cols w:space="720" w:num="1"/>
        </w:sectPr>
      </w:pPr>
    </w:p>
    <w:p w14:paraId="79DA199B">
      <w:pPr>
        <w:spacing w:line="99" w:lineRule="exact"/>
      </w:pPr>
      <w:r>
        <w:pict>
          <v:shape id="_x0000_s1081" o:spid="_x0000_s1081" style="position:absolute;left:0pt;margin-left:543.45pt;margin-top:78pt;height:65.5pt;width:0.5pt;mso-position-horizontal-relative:page;mso-position-vertical-relative:page;z-index:251728896;mso-width-relative:page;mso-height-relative:page;" filled="f" stroked="t" coordsize="10,1310" o:allowincell="f" path="m4,0l4,1310e">
            <v:fill on="f" focussize="0,0"/>
            <v:stroke weight="0.48pt" color="#000000" miterlimit="2" joinstyle="bevel"/>
            <v:imagedata o:title=""/>
            <o:lock v:ext="edit"/>
          </v:shape>
        </w:pict>
      </w:r>
    </w:p>
    <w:tbl>
      <w:tblPr>
        <w:tblStyle w:val="5"/>
        <w:tblW w:w="1007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6"/>
        <w:gridCol w:w="2408"/>
        <w:gridCol w:w="1379"/>
        <w:gridCol w:w="1400"/>
        <w:gridCol w:w="1680"/>
        <w:gridCol w:w="1197"/>
        <w:gridCol w:w="1432"/>
      </w:tblGrid>
      <w:tr w14:paraId="09D6D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465" w:type="dxa"/>
            <w:vMerge w:val="restart"/>
            <w:tcBorders>
              <w:top w:val="single" w:color="000000" w:sz="6" w:space="0"/>
              <w:left w:val="single" w:color="000000" w:sz="6" w:space="0"/>
              <w:bottom w:val="nil"/>
            </w:tcBorders>
            <w:vAlign w:val="top"/>
          </w:tcPr>
          <w:p w14:paraId="4CC5C22A">
            <w:pPr>
              <w:rPr>
                <w:rFonts w:ascii="Arial"/>
                <w:sz w:val="21"/>
              </w:rPr>
            </w:pPr>
          </w:p>
        </w:tc>
        <w:tc>
          <w:tcPr>
            <w:tcW w:w="116" w:type="dxa"/>
            <w:vMerge w:val="restart"/>
            <w:tcBorders>
              <w:top w:val="single" w:color="000000" w:sz="6" w:space="0"/>
              <w:bottom w:val="nil"/>
            </w:tcBorders>
            <w:vAlign w:val="top"/>
          </w:tcPr>
          <w:p w14:paraId="6675546D">
            <w:pPr>
              <w:rPr>
                <w:rFonts w:ascii="Arial"/>
                <w:sz w:val="21"/>
              </w:rPr>
            </w:pPr>
          </w:p>
        </w:tc>
        <w:tc>
          <w:tcPr>
            <w:tcW w:w="2408" w:type="dxa"/>
            <w:vAlign w:val="top"/>
          </w:tcPr>
          <w:p w14:paraId="14FC4984">
            <w:pPr>
              <w:pStyle w:val="6"/>
              <w:spacing w:before="67" w:line="228" w:lineRule="auto"/>
              <w:jc w:val="right"/>
              <w:rPr>
                <w:sz w:val="20"/>
                <w:szCs w:val="20"/>
              </w:rPr>
            </w:pPr>
            <w:r>
              <w:rPr>
                <w:spacing w:val="-3"/>
                <w:sz w:val="20"/>
                <w:szCs w:val="20"/>
              </w:rPr>
              <w:t>铅（废铅蓄电池内电解液）</w:t>
            </w:r>
          </w:p>
        </w:tc>
        <w:tc>
          <w:tcPr>
            <w:tcW w:w="1379" w:type="dxa"/>
            <w:vAlign w:val="top"/>
          </w:tcPr>
          <w:p w14:paraId="34F8F50D">
            <w:pPr>
              <w:pStyle w:val="6"/>
              <w:spacing w:before="91" w:line="219" w:lineRule="auto"/>
              <w:ind w:left="169"/>
              <w:rPr>
                <w:sz w:val="20"/>
                <w:szCs w:val="20"/>
              </w:rPr>
            </w:pPr>
            <w:r>
              <w:rPr>
                <w:spacing w:val="7"/>
                <w:sz w:val="20"/>
                <w:szCs w:val="20"/>
              </w:rPr>
              <w:t>危废贮存库</w:t>
            </w:r>
          </w:p>
        </w:tc>
        <w:tc>
          <w:tcPr>
            <w:tcW w:w="1400" w:type="dxa"/>
            <w:vAlign w:val="top"/>
          </w:tcPr>
          <w:p w14:paraId="4F27EC9C">
            <w:pPr>
              <w:pStyle w:val="6"/>
              <w:spacing w:before="91" w:line="219" w:lineRule="auto"/>
              <w:ind w:left="286"/>
              <w:rPr>
                <w:sz w:val="20"/>
                <w:szCs w:val="20"/>
              </w:rPr>
            </w:pPr>
            <w:r>
              <w:rPr>
                <w:spacing w:val="7"/>
                <w:sz w:val="20"/>
                <w:szCs w:val="20"/>
              </w:rPr>
              <w:t>专用容器</w:t>
            </w:r>
          </w:p>
        </w:tc>
        <w:tc>
          <w:tcPr>
            <w:tcW w:w="1680" w:type="dxa"/>
            <w:vAlign w:val="top"/>
          </w:tcPr>
          <w:p w14:paraId="3A3FBF06">
            <w:pPr>
              <w:spacing w:before="128"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1.274</w:t>
            </w:r>
          </w:p>
        </w:tc>
        <w:tc>
          <w:tcPr>
            <w:tcW w:w="1197" w:type="dxa"/>
            <w:vAlign w:val="top"/>
          </w:tcPr>
          <w:p w14:paraId="7C8642E9">
            <w:pPr>
              <w:spacing w:before="128" w:line="195"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32" w:type="dxa"/>
            <w:tcBorders>
              <w:top w:val="single" w:color="000000" w:sz="6" w:space="0"/>
              <w:right w:val="single" w:color="000000" w:sz="6" w:space="0"/>
            </w:tcBorders>
            <w:vAlign w:val="top"/>
          </w:tcPr>
          <w:p w14:paraId="60476E36">
            <w:pPr>
              <w:spacing w:before="128"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0.0255</w:t>
            </w:r>
          </w:p>
        </w:tc>
      </w:tr>
      <w:tr w14:paraId="697D6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65" w:type="dxa"/>
            <w:vMerge w:val="continue"/>
            <w:tcBorders>
              <w:top w:val="nil"/>
              <w:left w:val="single" w:color="000000" w:sz="6" w:space="0"/>
              <w:bottom w:val="nil"/>
            </w:tcBorders>
            <w:vAlign w:val="top"/>
          </w:tcPr>
          <w:p w14:paraId="65E0D503">
            <w:pPr>
              <w:rPr>
                <w:rFonts w:ascii="Arial"/>
                <w:sz w:val="21"/>
              </w:rPr>
            </w:pPr>
          </w:p>
        </w:tc>
        <w:tc>
          <w:tcPr>
            <w:tcW w:w="116" w:type="dxa"/>
            <w:vMerge w:val="continue"/>
            <w:tcBorders>
              <w:top w:val="nil"/>
              <w:bottom w:val="nil"/>
            </w:tcBorders>
            <w:vAlign w:val="top"/>
          </w:tcPr>
          <w:p w14:paraId="585C8A6D">
            <w:pPr>
              <w:rPr>
                <w:rFonts w:ascii="Arial"/>
                <w:sz w:val="21"/>
              </w:rPr>
            </w:pPr>
          </w:p>
        </w:tc>
        <w:tc>
          <w:tcPr>
            <w:tcW w:w="9496" w:type="dxa"/>
            <w:gridSpan w:val="6"/>
            <w:tcBorders>
              <w:right w:val="single" w:color="000000" w:sz="6" w:space="0"/>
            </w:tcBorders>
            <w:vAlign w:val="top"/>
          </w:tcPr>
          <w:p w14:paraId="21955ACF">
            <w:pPr>
              <w:pStyle w:val="6"/>
              <w:spacing w:before="76" w:line="227" w:lineRule="auto"/>
              <w:ind w:left="33"/>
              <w:rPr>
                <w:sz w:val="20"/>
                <w:szCs w:val="20"/>
              </w:rPr>
            </w:pPr>
            <w:r>
              <w:rPr>
                <w:spacing w:val="8"/>
                <w:sz w:val="20"/>
                <w:szCs w:val="20"/>
              </w:rPr>
              <w:t>注：废铅蓄电池无临界值，本次废铅蓄电池内危险物质以硫酸和铅计，硫酸含量按废铅蓄电池</w:t>
            </w:r>
            <w:r>
              <w:rPr>
                <w:spacing w:val="-35"/>
                <w:sz w:val="20"/>
                <w:szCs w:val="20"/>
              </w:rPr>
              <w:t xml:space="preserve"> </w:t>
            </w:r>
            <w:r>
              <w:rPr>
                <w:rFonts w:ascii="Times New Roman" w:hAnsi="Times New Roman" w:eastAsia="Times New Roman" w:cs="Times New Roman"/>
                <w:spacing w:val="8"/>
                <w:sz w:val="20"/>
                <w:szCs w:val="20"/>
              </w:rPr>
              <w:t>20%</w:t>
            </w:r>
            <w:r>
              <w:rPr>
                <w:spacing w:val="8"/>
                <w:sz w:val="20"/>
                <w:szCs w:val="20"/>
              </w:rPr>
              <w:t>计，</w:t>
            </w:r>
          </w:p>
          <w:p w14:paraId="2A4B73B5">
            <w:pPr>
              <w:pStyle w:val="6"/>
              <w:spacing w:before="73" w:line="219" w:lineRule="auto"/>
              <w:ind w:left="3316"/>
              <w:rPr>
                <w:sz w:val="20"/>
                <w:szCs w:val="20"/>
              </w:rPr>
            </w:pPr>
            <w:r>
              <w:rPr>
                <w:spacing w:val="7"/>
                <w:sz w:val="20"/>
                <w:szCs w:val="20"/>
              </w:rPr>
              <w:t>铅含量按废铅蓄电池</w:t>
            </w:r>
            <w:r>
              <w:rPr>
                <w:spacing w:val="-37"/>
                <w:sz w:val="20"/>
                <w:szCs w:val="20"/>
              </w:rPr>
              <w:t xml:space="preserve"> </w:t>
            </w:r>
            <w:r>
              <w:rPr>
                <w:rFonts w:ascii="Times New Roman" w:hAnsi="Times New Roman" w:eastAsia="Times New Roman" w:cs="Times New Roman"/>
                <w:spacing w:val="7"/>
                <w:sz w:val="20"/>
                <w:szCs w:val="20"/>
              </w:rPr>
              <w:t>35%</w:t>
            </w:r>
            <w:r>
              <w:rPr>
                <w:spacing w:val="7"/>
                <w:sz w:val="20"/>
                <w:szCs w:val="20"/>
              </w:rPr>
              <w:t>计。</w:t>
            </w:r>
          </w:p>
        </w:tc>
      </w:tr>
      <w:tr w14:paraId="35A80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65" w:type="dxa"/>
            <w:vMerge w:val="continue"/>
            <w:tcBorders>
              <w:top w:val="nil"/>
              <w:left w:val="single" w:color="000000" w:sz="6" w:space="0"/>
              <w:bottom w:val="nil"/>
            </w:tcBorders>
            <w:vAlign w:val="top"/>
          </w:tcPr>
          <w:p w14:paraId="2B1859A1">
            <w:pPr>
              <w:rPr>
                <w:rFonts w:ascii="Arial"/>
                <w:sz w:val="21"/>
              </w:rPr>
            </w:pPr>
          </w:p>
        </w:tc>
        <w:tc>
          <w:tcPr>
            <w:tcW w:w="116" w:type="dxa"/>
            <w:vMerge w:val="continue"/>
            <w:tcBorders>
              <w:top w:val="nil"/>
              <w:bottom w:val="nil"/>
            </w:tcBorders>
            <w:vAlign w:val="top"/>
          </w:tcPr>
          <w:p w14:paraId="333610C1">
            <w:pPr>
              <w:rPr>
                <w:rFonts w:ascii="Arial"/>
                <w:sz w:val="21"/>
              </w:rPr>
            </w:pPr>
          </w:p>
        </w:tc>
        <w:tc>
          <w:tcPr>
            <w:tcW w:w="2408" w:type="dxa"/>
            <w:vAlign w:val="top"/>
          </w:tcPr>
          <w:p w14:paraId="01154E75">
            <w:pPr>
              <w:pStyle w:val="6"/>
              <w:spacing w:before="78" w:line="218" w:lineRule="auto"/>
              <w:ind w:left="994"/>
              <w:rPr>
                <w:sz w:val="20"/>
                <w:szCs w:val="20"/>
              </w:rPr>
            </w:pPr>
            <w:r>
              <w:rPr>
                <w:spacing w:val="4"/>
                <w:sz w:val="20"/>
                <w:szCs w:val="20"/>
              </w:rPr>
              <w:t>合计</w:t>
            </w:r>
          </w:p>
        </w:tc>
        <w:tc>
          <w:tcPr>
            <w:tcW w:w="5656" w:type="dxa"/>
            <w:gridSpan w:val="4"/>
            <w:vAlign w:val="top"/>
          </w:tcPr>
          <w:p w14:paraId="165821D5">
            <w:pPr>
              <w:spacing w:before="110" w:line="201" w:lineRule="auto"/>
              <w:ind w:left="2606"/>
              <w:rPr>
                <w:rFonts w:ascii="Times New Roman" w:hAnsi="Times New Roman" w:eastAsia="Times New Roman" w:cs="Times New Roman"/>
                <w:sz w:val="13"/>
                <w:szCs w:val="13"/>
              </w:rPr>
            </w:pPr>
            <w:r>
              <w:rPr>
                <w:rFonts w:ascii="Times New Roman" w:hAnsi="Times New Roman" w:eastAsia="Times New Roman" w:cs="Times New Roman"/>
                <w:sz w:val="20"/>
                <w:szCs w:val="20"/>
              </w:rPr>
              <w:t>q</w:t>
            </w:r>
            <w:r>
              <w:rPr>
                <w:rFonts w:ascii="Times New Roman" w:hAnsi="Times New Roman" w:eastAsia="Times New Roman" w:cs="Times New Roman"/>
                <w:sz w:val="13"/>
                <w:szCs w:val="13"/>
              </w:rPr>
              <w:t>n</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Q</w:t>
            </w:r>
            <w:r>
              <w:rPr>
                <w:rFonts w:ascii="Times New Roman" w:hAnsi="Times New Roman" w:eastAsia="Times New Roman" w:cs="Times New Roman"/>
                <w:sz w:val="13"/>
                <w:szCs w:val="13"/>
              </w:rPr>
              <w:t>n</w:t>
            </w:r>
          </w:p>
        </w:tc>
        <w:tc>
          <w:tcPr>
            <w:tcW w:w="1432" w:type="dxa"/>
            <w:tcBorders>
              <w:right w:val="single" w:color="000000" w:sz="6" w:space="0"/>
            </w:tcBorders>
            <w:vAlign w:val="top"/>
          </w:tcPr>
          <w:p w14:paraId="3F8541EB">
            <w:pPr>
              <w:spacing w:before="114"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0.0747</w:t>
            </w:r>
          </w:p>
        </w:tc>
      </w:tr>
      <w:tr w14:paraId="1B4E7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9" w:hRule="atLeast"/>
        </w:trPr>
        <w:tc>
          <w:tcPr>
            <w:tcW w:w="465" w:type="dxa"/>
            <w:vMerge w:val="continue"/>
            <w:tcBorders>
              <w:top w:val="nil"/>
              <w:left w:val="single" w:color="000000" w:sz="6" w:space="0"/>
              <w:bottom w:val="single" w:color="000000" w:sz="6" w:space="0"/>
            </w:tcBorders>
            <w:vAlign w:val="top"/>
          </w:tcPr>
          <w:p w14:paraId="0F36077D">
            <w:pPr>
              <w:rPr>
                <w:rFonts w:ascii="Arial"/>
                <w:sz w:val="21"/>
              </w:rPr>
            </w:pPr>
          </w:p>
        </w:tc>
        <w:tc>
          <w:tcPr>
            <w:tcW w:w="9612" w:type="dxa"/>
            <w:gridSpan w:val="7"/>
            <w:tcBorders>
              <w:bottom w:val="single" w:color="000000" w:sz="6" w:space="0"/>
              <w:right w:val="single" w:color="000000" w:sz="6" w:space="0"/>
            </w:tcBorders>
            <w:vAlign w:val="top"/>
          </w:tcPr>
          <w:p w14:paraId="064E2A48">
            <w:pPr>
              <w:pStyle w:val="6"/>
              <w:spacing w:before="39" w:line="344" w:lineRule="auto"/>
              <w:ind w:left="113" w:right="102" w:firstLine="474"/>
            </w:pPr>
            <w:r>
              <w:rPr>
                <w:spacing w:val="1"/>
              </w:rPr>
              <w:t>环境风险评价工作等级划分为一级、二级、三级。根据建设项目涉及</w:t>
            </w:r>
            <w:r>
              <w:t>的物质及工艺系 统危险性和所在地的环境敏感性确定环境风</w:t>
            </w:r>
            <w:r>
              <w:rPr>
                <w:spacing w:val="-1"/>
              </w:rPr>
              <w:t>险潜势，按照下表确定评价工作等级。</w:t>
            </w:r>
          </w:p>
          <w:p w14:paraId="6D727F81">
            <w:pPr>
              <w:pStyle w:val="6"/>
              <w:spacing w:before="31" w:line="224" w:lineRule="auto"/>
              <w:ind w:left="3532"/>
              <w:rPr>
                <w:sz w:val="20"/>
                <w:szCs w:val="20"/>
              </w:rPr>
            </w:pPr>
            <w:r>
              <w:rPr>
                <w:b/>
                <w:bCs/>
                <w:spacing w:val="5"/>
                <w:sz w:val="20"/>
                <w:szCs w:val="20"/>
              </w:rPr>
              <w:t>表</w:t>
            </w:r>
            <w:r>
              <w:rPr>
                <w:spacing w:val="-35"/>
                <w:sz w:val="20"/>
                <w:szCs w:val="20"/>
              </w:rPr>
              <w:t xml:space="preserve"> </w:t>
            </w:r>
            <w:r>
              <w:rPr>
                <w:rFonts w:ascii="Times New Roman" w:hAnsi="Times New Roman" w:eastAsia="Times New Roman" w:cs="Times New Roman"/>
                <w:b/>
                <w:bCs/>
                <w:spacing w:val="5"/>
                <w:sz w:val="20"/>
                <w:szCs w:val="20"/>
              </w:rPr>
              <w:t xml:space="preserve">4-18    </w:t>
            </w:r>
            <w:r>
              <w:rPr>
                <w:b/>
                <w:bCs/>
                <w:spacing w:val="5"/>
                <w:sz w:val="20"/>
                <w:szCs w:val="20"/>
              </w:rPr>
              <w:t>评价工作等级划分</w:t>
            </w:r>
          </w:p>
          <w:tbl>
            <w:tblPr>
              <w:tblStyle w:val="5"/>
              <w:tblW w:w="8935" w:type="dxa"/>
              <w:tblInd w:w="3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9"/>
              <w:gridCol w:w="1784"/>
              <w:gridCol w:w="1784"/>
              <w:gridCol w:w="1787"/>
              <w:gridCol w:w="1791"/>
            </w:tblGrid>
            <w:tr w14:paraId="71BC8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789" w:type="dxa"/>
                  <w:vAlign w:val="top"/>
                </w:tcPr>
                <w:p w14:paraId="3C5CCF44">
                  <w:pPr>
                    <w:pStyle w:val="6"/>
                    <w:spacing w:before="97" w:line="221" w:lineRule="auto"/>
                    <w:ind w:left="267"/>
                    <w:rPr>
                      <w:sz w:val="20"/>
                      <w:szCs w:val="20"/>
                    </w:rPr>
                  </w:pPr>
                  <w:r>
                    <w:rPr>
                      <w:b/>
                      <w:bCs/>
                      <w:spacing w:val="6"/>
                      <w:sz w:val="20"/>
                      <w:szCs w:val="20"/>
                    </w:rPr>
                    <w:t>环境风险潜势</w:t>
                  </w:r>
                </w:p>
              </w:tc>
              <w:tc>
                <w:tcPr>
                  <w:tcW w:w="1784" w:type="dxa"/>
                  <w:vAlign w:val="top"/>
                </w:tcPr>
                <w:p w14:paraId="6041D7B9">
                  <w:pPr>
                    <w:pStyle w:val="6"/>
                    <w:spacing w:before="125" w:line="194" w:lineRule="auto"/>
                    <w:ind w:left="529"/>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Ⅳ</w:t>
                  </w:r>
                  <w:r>
                    <w:rPr>
                      <w:rFonts w:ascii="Times New Roman" w:hAnsi="Times New Roman" w:eastAsia="Times New Roman" w:cs="Times New Roman"/>
                      <w:spacing w:val="-27"/>
                      <w:sz w:val="20"/>
                      <w:szCs w:val="20"/>
                    </w:rPr>
                    <w:t xml:space="preserve"> </w:t>
                  </w:r>
                  <w:r>
                    <w:rPr>
                      <w:spacing w:val="1"/>
                      <w:sz w:val="20"/>
                      <w:szCs w:val="20"/>
                    </w:rPr>
                    <w:t>、</w:t>
                  </w:r>
                  <w:r>
                    <w:rPr>
                      <w:rFonts w:ascii="Times New Roman" w:hAnsi="Times New Roman" w:eastAsia="Times New Roman" w:cs="Times New Roman"/>
                      <w:spacing w:val="1"/>
                      <w:sz w:val="20"/>
                      <w:szCs w:val="20"/>
                    </w:rPr>
                    <w:t>Ⅳ</w:t>
                  </w:r>
                  <w:r>
                    <w:rPr>
                      <w:rFonts w:ascii="Times New Roman" w:hAnsi="Times New Roman" w:eastAsia="Times New Roman" w:cs="Times New Roman"/>
                      <w:spacing w:val="1"/>
                      <w:position w:val="6"/>
                      <w:sz w:val="13"/>
                      <w:szCs w:val="13"/>
                    </w:rPr>
                    <w:t>+</w:t>
                  </w:r>
                </w:p>
              </w:tc>
              <w:tc>
                <w:tcPr>
                  <w:tcW w:w="1784" w:type="dxa"/>
                  <w:vAlign w:val="top"/>
                </w:tcPr>
                <w:p w14:paraId="425D8817">
                  <w:pPr>
                    <w:spacing w:before="136" w:line="192" w:lineRule="auto"/>
                    <w:ind w:left="7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787" w:type="dxa"/>
                  <w:vAlign w:val="top"/>
                </w:tcPr>
                <w:p w14:paraId="64EF0DF9">
                  <w:pPr>
                    <w:spacing w:before="136" w:line="192" w:lineRule="auto"/>
                    <w:ind w:left="828"/>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791" w:type="dxa"/>
                  <w:vAlign w:val="top"/>
                </w:tcPr>
                <w:p w14:paraId="454828FE">
                  <w:pPr>
                    <w:spacing w:before="136" w:line="192" w:lineRule="auto"/>
                    <w:ind w:left="862"/>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14:paraId="1099D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789" w:type="dxa"/>
                  <w:vAlign w:val="top"/>
                </w:tcPr>
                <w:p w14:paraId="6EC43C52">
                  <w:pPr>
                    <w:pStyle w:val="6"/>
                    <w:spacing w:before="96" w:line="222" w:lineRule="auto"/>
                    <w:ind w:left="266"/>
                    <w:rPr>
                      <w:sz w:val="20"/>
                      <w:szCs w:val="20"/>
                    </w:rPr>
                  </w:pPr>
                  <w:r>
                    <w:rPr>
                      <w:b/>
                      <w:bCs/>
                      <w:spacing w:val="7"/>
                      <w:sz w:val="20"/>
                      <w:szCs w:val="20"/>
                    </w:rPr>
                    <w:t>评价工作等级</w:t>
                  </w:r>
                </w:p>
              </w:tc>
              <w:tc>
                <w:tcPr>
                  <w:tcW w:w="1784" w:type="dxa"/>
                  <w:vAlign w:val="top"/>
                </w:tcPr>
                <w:p w14:paraId="31A352CD">
                  <w:pPr>
                    <w:pStyle w:val="6"/>
                    <w:spacing w:before="174" w:line="156" w:lineRule="exact"/>
                    <w:ind w:left="795"/>
                    <w:rPr>
                      <w:sz w:val="20"/>
                      <w:szCs w:val="20"/>
                    </w:rPr>
                  </w:pPr>
                  <w:r>
                    <w:rPr>
                      <w:position w:val="-4"/>
                      <w:sz w:val="20"/>
                      <w:szCs w:val="20"/>
                    </w:rPr>
                    <w:t>一</w:t>
                  </w:r>
                </w:p>
              </w:tc>
              <w:tc>
                <w:tcPr>
                  <w:tcW w:w="1784" w:type="dxa"/>
                  <w:vAlign w:val="top"/>
                </w:tcPr>
                <w:p w14:paraId="4ABE90E9">
                  <w:pPr>
                    <w:pStyle w:val="6"/>
                    <w:spacing w:before="135" w:line="183" w:lineRule="auto"/>
                    <w:ind w:left="794"/>
                    <w:rPr>
                      <w:sz w:val="20"/>
                      <w:szCs w:val="20"/>
                    </w:rPr>
                  </w:pPr>
                  <w:r>
                    <w:rPr>
                      <w:sz w:val="20"/>
                      <w:szCs w:val="20"/>
                    </w:rPr>
                    <w:t>二</w:t>
                  </w:r>
                </w:p>
              </w:tc>
              <w:tc>
                <w:tcPr>
                  <w:tcW w:w="1787" w:type="dxa"/>
                  <w:vAlign w:val="top"/>
                </w:tcPr>
                <w:p w14:paraId="7D2CE302">
                  <w:pPr>
                    <w:pStyle w:val="6"/>
                    <w:spacing w:before="96" w:line="222" w:lineRule="auto"/>
                    <w:ind w:left="794"/>
                    <w:rPr>
                      <w:sz w:val="20"/>
                      <w:szCs w:val="20"/>
                    </w:rPr>
                  </w:pPr>
                  <w:r>
                    <w:rPr>
                      <w:sz w:val="20"/>
                      <w:szCs w:val="20"/>
                    </w:rPr>
                    <w:t>三</w:t>
                  </w:r>
                </w:p>
              </w:tc>
              <w:tc>
                <w:tcPr>
                  <w:tcW w:w="1791" w:type="dxa"/>
                  <w:vAlign w:val="top"/>
                </w:tcPr>
                <w:p w14:paraId="19784205">
                  <w:pPr>
                    <w:pStyle w:val="6"/>
                    <w:spacing w:before="96" w:line="222" w:lineRule="auto"/>
                    <w:ind w:left="485"/>
                    <w:rPr>
                      <w:sz w:val="20"/>
                      <w:szCs w:val="20"/>
                    </w:rPr>
                  </w:pPr>
                  <w:r>
                    <w:rPr>
                      <w:spacing w:val="6"/>
                      <w:sz w:val="20"/>
                      <w:szCs w:val="20"/>
                    </w:rPr>
                    <w:t>简单分析</w:t>
                  </w:r>
                </w:p>
              </w:tc>
            </w:tr>
          </w:tbl>
          <w:p w14:paraId="4C4BF48B">
            <w:pPr>
              <w:pStyle w:val="6"/>
              <w:spacing w:before="35" w:line="335" w:lineRule="auto"/>
              <w:ind w:left="120" w:right="102" w:firstLine="495"/>
            </w:pPr>
            <w:r>
              <w:rPr>
                <w:spacing w:val="-3"/>
              </w:rPr>
              <w:t>由上表可知，本项目危险物质与临界量的比值</w:t>
            </w:r>
            <w:r>
              <w:rPr>
                <w:spacing w:val="-48"/>
              </w:rPr>
              <w:t xml:space="preserve"> </w:t>
            </w:r>
            <w:r>
              <w:rPr>
                <w:rFonts w:ascii="Times New Roman" w:hAnsi="Times New Roman" w:eastAsia="Times New Roman" w:cs="Times New Roman"/>
                <w:spacing w:val="-3"/>
              </w:rPr>
              <w:t xml:space="preserve">Q </w:t>
            </w:r>
            <w:r>
              <w:rPr>
                <w:spacing w:val="-3"/>
              </w:rPr>
              <w:t>为</w:t>
            </w:r>
            <w:r>
              <w:rPr>
                <w:spacing w:val="-52"/>
              </w:rPr>
              <w:t xml:space="preserve"> </w:t>
            </w:r>
            <w:r>
              <w:rPr>
                <w:rFonts w:ascii="Times New Roman" w:hAnsi="Times New Roman" w:eastAsia="Times New Roman" w:cs="Times New Roman"/>
                <w:spacing w:val="-3"/>
              </w:rPr>
              <w:t>0.0747</w:t>
            </w:r>
            <w:r>
              <w:rPr>
                <w:spacing w:val="-3"/>
              </w:rPr>
              <w:t>，</w:t>
            </w:r>
            <w:r>
              <w:rPr>
                <w:rFonts w:ascii="Times New Roman" w:hAnsi="Times New Roman" w:eastAsia="Times New Roman" w:cs="Times New Roman"/>
                <w:spacing w:val="-3"/>
              </w:rPr>
              <w:t>Q</w:t>
            </w:r>
            <w:r>
              <w:rPr>
                <w:spacing w:val="-3"/>
              </w:rPr>
              <w:t>＜</w:t>
            </w:r>
            <w:r>
              <w:rPr>
                <w:rFonts w:ascii="Times New Roman" w:hAnsi="Times New Roman" w:eastAsia="Times New Roman" w:cs="Times New Roman"/>
                <w:spacing w:val="-3"/>
              </w:rPr>
              <w:t>1</w:t>
            </w:r>
            <w:r>
              <w:rPr>
                <w:spacing w:val="-3"/>
              </w:rPr>
              <w:t>，确定本项目环境风</w:t>
            </w:r>
            <w:r>
              <w:t xml:space="preserve"> </w:t>
            </w:r>
            <w:r>
              <w:rPr>
                <w:spacing w:val="-10"/>
              </w:rPr>
              <w:t>险潜势为</w:t>
            </w:r>
            <w:r>
              <w:rPr>
                <w:spacing w:val="-16"/>
              </w:rPr>
              <w:t xml:space="preserve"> </w:t>
            </w:r>
            <w:r>
              <w:rPr>
                <w:spacing w:val="-10"/>
              </w:rPr>
              <w:t>Ⅰ</w:t>
            </w:r>
            <w:r>
              <w:rPr>
                <w:spacing w:val="-91"/>
              </w:rPr>
              <w:t xml:space="preserve"> </w:t>
            </w:r>
            <w:r>
              <w:rPr>
                <w:spacing w:val="-10"/>
              </w:rPr>
              <w:t>,</w:t>
            </w:r>
            <w:r>
              <w:rPr>
                <w:spacing w:val="63"/>
              </w:rPr>
              <w:t xml:space="preserve"> </w:t>
            </w:r>
            <w:r>
              <w:rPr>
                <w:spacing w:val="-10"/>
              </w:rPr>
              <w:t>环境风险评价工作等级为简单分析。</w:t>
            </w:r>
          </w:p>
          <w:p w14:paraId="2A2DC29A">
            <w:pPr>
              <w:pStyle w:val="6"/>
              <w:spacing w:before="62" w:line="220" w:lineRule="auto"/>
              <w:ind w:left="586"/>
            </w:pPr>
            <w:r>
              <w:rPr>
                <w:rFonts w:ascii="Times New Roman" w:hAnsi="Times New Roman" w:eastAsia="Times New Roman" w:cs="Times New Roman"/>
                <w:b/>
                <w:bCs/>
                <w:spacing w:val="-3"/>
              </w:rPr>
              <w:t>4</w:t>
            </w:r>
            <w:r>
              <w:rPr>
                <w:b/>
                <w:bCs/>
                <w:spacing w:val="-3"/>
              </w:rPr>
              <w:t>）环境风险识别</w:t>
            </w:r>
          </w:p>
          <w:p w14:paraId="5C662D6F">
            <w:pPr>
              <w:pStyle w:val="6"/>
              <w:spacing w:before="179" w:line="353" w:lineRule="auto"/>
              <w:ind w:left="106" w:right="102" w:firstLine="480"/>
              <w:jc w:val="both"/>
            </w:pPr>
            <w:r>
              <w:rPr>
                <w:spacing w:val="1"/>
              </w:rPr>
              <w:t>根据项目涉及的主要危险物质的识别，可能产生的环境风险类型有变</w:t>
            </w:r>
            <w:r>
              <w:t xml:space="preserve">压器油在使用过 </w:t>
            </w:r>
            <w:r>
              <w:rPr>
                <w:spacing w:val="1"/>
              </w:rPr>
              <w:t>程中若操作不当造成物质泄漏和危废贮存库泄漏，泄漏后遇火源或在高</w:t>
            </w:r>
            <w:r>
              <w:t xml:space="preserve">温（高于闪点）等 </w:t>
            </w:r>
            <w:r>
              <w:rPr>
                <w:spacing w:val="1"/>
              </w:rPr>
              <w:t>特殊情况下，将引发火灾爆炸风险。项目发生上述环境风险事故后危险</w:t>
            </w:r>
            <w:r>
              <w:t xml:space="preserve">物质可能向环境转 </w:t>
            </w:r>
            <w:r>
              <w:rPr>
                <w:spacing w:val="-1"/>
              </w:rPr>
              <w:t>移的途径、可能影响的环境敏感目标情况详见下表。</w:t>
            </w:r>
          </w:p>
          <w:p w14:paraId="33144241">
            <w:pPr>
              <w:pStyle w:val="6"/>
              <w:spacing w:before="31" w:line="222" w:lineRule="auto"/>
              <w:ind w:left="2690"/>
              <w:rPr>
                <w:sz w:val="20"/>
                <w:szCs w:val="20"/>
              </w:rPr>
            </w:pPr>
            <w:r>
              <w:rPr>
                <w:b/>
                <w:bCs/>
                <w:spacing w:val="6"/>
                <w:sz w:val="20"/>
                <w:szCs w:val="20"/>
              </w:rPr>
              <w:t>表</w:t>
            </w:r>
            <w:r>
              <w:rPr>
                <w:spacing w:val="-30"/>
                <w:sz w:val="20"/>
                <w:szCs w:val="20"/>
              </w:rPr>
              <w:t xml:space="preserve"> </w:t>
            </w:r>
            <w:r>
              <w:rPr>
                <w:rFonts w:ascii="Times New Roman" w:hAnsi="Times New Roman" w:eastAsia="Times New Roman" w:cs="Times New Roman"/>
                <w:b/>
                <w:bCs/>
                <w:spacing w:val="6"/>
                <w:sz w:val="20"/>
                <w:szCs w:val="20"/>
              </w:rPr>
              <w:t xml:space="preserve">4-19    </w:t>
            </w:r>
            <w:r>
              <w:rPr>
                <w:b/>
                <w:bCs/>
                <w:spacing w:val="6"/>
                <w:sz w:val="20"/>
                <w:szCs w:val="20"/>
              </w:rPr>
              <w:t>项目危险物质向环境转移途径识别表</w:t>
            </w:r>
          </w:p>
          <w:tbl>
            <w:tblPr>
              <w:tblStyle w:val="5"/>
              <w:tblW w:w="903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7"/>
              <w:gridCol w:w="1090"/>
              <w:gridCol w:w="873"/>
              <w:gridCol w:w="4861"/>
              <w:gridCol w:w="1545"/>
            </w:tblGrid>
            <w:tr w14:paraId="6AB87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67" w:type="dxa"/>
                  <w:vAlign w:val="top"/>
                </w:tcPr>
                <w:p w14:paraId="606124BA">
                  <w:pPr>
                    <w:pStyle w:val="6"/>
                    <w:spacing w:before="135" w:line="229" w:lineRule="auto"/>
                    <w:ind w:left="126"/>
                    <w:rPr>
                      <w:sz w:val="20"/>
                      <w:szCs w:val="20"/>
                    </w:rPr>
                  </w:pPr>
                  <w:r>
                    <w:rPr>
                      <w:b/>
                      <w:bCs/>
                      <w:spacing w:val="4"/>
                      <w:sz w:val="20"/>
                      <w:szCs w:val="20"/>
                    </w:rPr>
                    <w:t>序号</w:t>
                  </w:r>
                </w:p>
              </w:tc>
              <w:tc>
                <w:tcPr>
                  <w:tcW w:w="1090" w:type="dxa"/>
                  <w:vAlign w:val="top"/>
                </w:tcPr>
                <w:p w14:paraId="338BE69B">
                  <w:pPr>
                    <w:pStyle w:val="6"/>
                    <w:spacing w:before="136" w:line="228" w:lineRule="auto"/>
                    <w:ind w:left="130"/>
                    <w:rPr>
                      <w:sz w:val="20"/>
                      <w:szCs w:val="20"/>
                    </w:rPr>
                  </w:pPr>
                  <w:r>
                    <w:rPr>
                      <w:b/>
                      <w:bCs/>
                      <w:spacing w:val="5"/>
                      <w:sz w:val="20"/>
                      <w:szCs w:val="20"/>
                    </w:rPr>
                    <w:t>危险物质</w:t>
                  </w:r>
                </w:p>
              </w:tc>
              <w:tc>
                <w:tcPr>
                  <w:tcW w:w="873" w:type="dxa"/>
                  <w:vAlign w:val="top"/>
                </w:tcPr>
                <w:p w14:paraId="0BBF82D0">
                  <w:pPr>
                    <w:pStyle w:val="6"/>
                    <w:spacing w:before="16" w:line="213" w:lineRule="auto"/>
                    <w:ind w:left="135" w:right="119" w:hanging="11"/>
                    <w:rPr>
                      <w:sz w:val="20"/>
                      <w:szCs w:val="20"/>
                    </w:rPr>
                  </w:pPr>
                  <w:r>
                    <w:rPr>
                      <w:b/>
                      <w:bCs/>
                      <w:spacing w:val="5"/>
                      <w:sz w:val="20"/>
                      <w:szCs w:val="20"/>
                    </w:rPr>
                    <w:t>环境风</w:t>
                  </w:r>
                  <w:r>
                    <w:rPr>
                      <w:sz w:val="20"/>
                      <w:szCs w:val="20"/>
                    </w:rPr>
                    <w:t xml:space="preserve"> </w:t>
                  </w:r>
                  <w:r>
                    <w:rPr>
                      <w:b/>
                      <w:bCs/>
                      <w:spacing w:val="1"/>
                      <w:sz w:val="20"/>
                      <w:szCs w:val="20"/>
                    </w:rPr>
                    <w:t>险类型</w:t>
                  </w:r>
                </w:p>
              </w:tc>
              <w:tc>
                <w:tcPr>
                  <w:tcW w:w="4861" w:type="dxa"/>
                  <w:vAlign w:val="top"/>
                </w:tcPr>
                <w:p w14:paraId="598CD00C">
                  <w:pPr>
                    <w:pStyle w:val="6"/>
                    <w:spacing w:before="135" w:line="228" w:lineRule="auto"/>
                    <w:ind w:left="1699"/>
                    <w:rPr>
                      <w:sz w:val="20"/>
                      <w:szCs w:val="20"/>
                    </w:rPr>
                  </w:pPr>
                  <w:r>
                    <w:rPr>
                      <w:b/>
                      <w:bCs/>
                      <w:spacing w:val="7"/>
                      <w:sz w:val="20"/>
                      <w:szCs w:val="20"/>
                    </w:rPr>
                    <w:t>影响环境的途径</w:t>
                  </w:r>
                </w:p>
              </w:tc>
              <w:tc>
                <w:tcPr>
                  <w:tcW w:w="1545" w:type="dxa"/>
                  <w:vAlign w:val="top"/>
                </w:tcPr>
                <w:p w14:paraId="05BCED22">
                  <w:pPr>
                    <w:pStyle w:val="6"/>
                    <w:spacing w:before="16" w:line="213" w:lineRule="auto"/>
                    <w:ind w:left="251" w:right="139" w:hanging="104"/>
                    <w:rPr>
                      <w:sz w:val="20"/>
                      <w:szCs w:val="20"/>
                    </w:rPr>
                  </w:pPr>
                  <w:r>
                    <w:rPr>
                      <w:b/>
                      <w:bCs/>
                      <w:spacing w:val="6"/>
                      <w:sz w:val="20"/>
                      <w:szCs w:val="20"/>
                    </w:rPr>
                    <w:t>可能影响的环</w:t>
                  </w:r>
                  <w:r>
                    <w:rPr>
                      <w:spacing w:val="3"/>
                      <w:sz w:val="20"/>
                      <w:szCs w:val="20"/>
                    </w:rPr>
                    <w:t xml:space="preserve"> </w:t>
                  </w:r>
                  <w:r>
                    <w:rPr>
                      <w:b/>
                      <w:bCs/>
                      <w:spacing w:val="6"/>
                      <w:sz w:val="20"/>
                      <w:szCs w:val="20"/>
                    </w:rPr>
                    <w:t>境敏感目标</w:t>
                  </w:r>
                </w:p>
              </w:tc>
            </w:tr>
            <w:tr w14:paraId="4BA28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6" w:hRule="atLeast"/>
              </w:trPr>
              <w:tc>
                <w:tcPr>
                  <w:tcW w:w="667" w:type="dxa"/>
                  <w:vAlign w:val="top"/>
                </w:tcPr>
                <w:p w14:paraId="7A2EB324">
                  <w:pPr>
                    <w:spacing w:line="353" w:lineRule="auto"/>
                    <w:rPr>
                      <w:rFonts w:ascii="Arial"/>
                      <w:sz w:val="21"/>
                    </w:rPr>
                  </w:pPr>
                </w:p>
                <w:p w14:paraId="457BCBFD">
                  <w:pPr>
                    <w:spacing w:line="353" w:lineRule="auto"/>
                    <w:rPr>
                      <w:rFonts w:ascii="Arial"/>
                      <w:sz w:val="21"/>
                    </w:rPr>
                  </w:pPr>
                </w:p>
                <w:p w14:paraId="2573B210">
                  <w:pPr>
                    <w:spacing w:before="5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90" w:type="dxa"/>
                  <w:vAlign w:val="top"/>
                </w:tcPr>
                <w:p w14:paraId="592DF2EE">
                  <w:pPr>
                    <w:spacing w:line="306" w:lineRule="auto"/>
                    <w:rPr>
                      <w:rFonts w:ascii="Arial"/>
                      <w:sz w:val="21"/>
                    </w:rPr>
                  </w:pPr>
                </w:p>
                <w:p w14:paraId="60A39100">
                  <w:pPr>
                    <w:pStyle w:val="6"/>
                    <w:spacing w:before="65" w:line="223" w:lineRule="auto"/>
                    <w:ind w:left="127" w:right="127" w:firstLine="105"/>
                    <w:rPr>
                      <w:sz w:val="20"/>
                      <w:szCs w:val="20"/>
                    </w:rPr>
                  </w:pPr>
                  <w:r>
                    <w:rPr>
                      <w:spacing w:val="6"/>
                      <w:sz w:val="20"/>
                      <w:szCs w:val="20"/>
                    </w:rPr>
                    <w:t>变压器</w:t>
                  </w:r>
                  <w:r>
                    <w:rPr>
                      <w:sz w:val="20"/>
                      <w:szCs w:val="20"/>
                    </w:rPr>
                    <w:t xml:space="preserve">  </w:t>
                  </w:r>
                  <w:r>
                    <w:rPr>
                      <w:spacing w:val="7"/>
                      <w:sz w:val="20"/>
                      <w:szCs w:val="20"/>
                    </w:rPr>
                    <w:t>油、废变</w:t>
                  </w:r>
                  <w:r>
                    <w:rPr>
                      <w:sz w:val="20"/>
                      <w:szCs w:val="20"/>
                    </w:rPr>
                    <w:t xml:space="preserve"> </w:t>
                  </w:r>
                  <w:r>
                    <w:rPr>
                      <w:spacing w:val="7"/>
                      <w:sz w:val="20"/>
                      <w:szCs w:val="20"/>
                    </w:rPr>
                    <w:t>压器油、</w:t>
                  </w:r>
                  <w:r>
                    <w:rPr>
                      <w:sz w:val="20"/>
                      <w:szCs w:val="20"/>
                    </w:rPr>
                    <w:t xml:space="preserve"> </w:t>
                  </w:r>
                  <w:r>
                    <w:rPr>
                      <w:spacing w:val="7"/>
                      <w:sz w:val="20"/>
                      <w:szCs w:val="20"/>
                    </w:rPr>
                    <w:t>事故废油</w:t>
                  </w:r>
                </w:p>
              </w:tc>
              <w:tc>
                <w:tcPr>
                  <w:tcW w:w="873" w:type="dxa"/>
                  <w:vAlign w:val="top"/>
                </w:tcPr>
                <w:p w14:paraId="66942DDD">
                  <w:pPr>
                    <w:spacing w:line="331" w:lineRule="auto"/>
                    <w:rPr>
                      <w:rFonts w:ascii="Arial"/>
                      <w:sz w:val="21"/>
                    </w:rPr>
                  </w:pPr>
                </w:p>
                <w:p w14:paraId="3D100050">
                  <w:pPr>
                    <w:spacing w:line="332" w:lineRule="auto"/>
                    <w:rPr>
                      <w:rFonts w:ascii="Arial"/>
                      <w:sz w:val="21"/>
                    </w:rPr>
                  </w:pPr>
                </w:p>
                <w:p w14:paraId="38299D61">
                  <w:pPr>
                    <w:pStyle w:val="6"/>
                    <w:spacing w:before="65" w:line="229" w:lineRule="auto"/>
                    <w:ind w:left="233"/>
                    <w:rPr>
                      <w:sz w:val="20"/>
                      <w:szCs w:val="20"/>
                    </w:rPr>
                  </w:pPr>
                  <w:r>
                    <w:rPr>
                      <w:spacing w:val="3"/>
                      <w:sz w:val="20"/>
                      <w:szCs w:val="20"/>
                    </w:rPr>
                    <w:t>泄漏</w:t>
                  </w:r>
                </w:p>
              </w:tc>
              <w:tc>
                <w:tcPr>
                  <w:tcW w:w="4861" w:type="dxa"/>
                  <w:vAlign w:val="top"/>
                </w:tcPr>
                <w:p w14:paraId="07BC1FA9">
                  <w:pPr>
                    <w:pStyle w:val="6"/>
                    <w:spacing w:before="11" w:line="222" w:lineRule="auto"/>
                    <w:ind w:left="113" w:right="132" w:hanging="1"/>
                    <w:rPr>
                      <w:sz w:val="20"/>
                      <w:szCs w:val="20"/>
                    </w:rPr>
                  </w:pPr>
                  <w:r>
                    <w:rPr>
                      <w:spacing w:val="9"/>
                      <w:sz w:val="20"/>
                      <w:szCs w:val="20"/>
                    </w:rPr>
                    <w:t>①泄漏后可能通过雨水沟进入附近水体，造成水环</w:t>
                  </w:r>
                  <w:r>
                    <w:rPr>
                      <w:spacing w:val="11"/>
                      <w:sz w:val="20"/>
                      <w:szCs w:val="20"/>
                    </w:rPr>
                    <w:t xml:space="preserve"> </w:t>
                  </w:r>
                  <w:r>
                    <w:rPr>
                      <w:spacing w:val="6"/>
                      <w:sz w:val="20"/>
                      <w:szCs w:val="20"/>
                    </w:rPr>
                    <w:t>境污染事故。</w:t>
                  </w:r>
                </w:p>
                <w:p w14:paraId="739BDBEF">
                  <w:pPr>
                    <w:pStyle w:val="6"/>
                    <w:spacing w:before="1" w:line="221" w:lineRule="auto"/>
                    <w:ind w:left="116" w:right="132" w:hanging="5"/>
                    <w:rPr>
                      <w:sz w:val="20"/>
                      <w:szCs w:val="20"/>
                    </w:rPr>
                  </w:pPr>
                  <w:r>
                    <w:rPr>
                      <w:spacing w:val="9"/>
                      <w:sz w:val="20"/>
                      <w:szCs w:val="20"/>
                    </w:rPr>
                    <w:t>②泄漏后可能通过下渗进入地下水，造成地下水污</w:t>
                  </w:r>
                  <w:r>
                    <w:rPr>
                      <w:spacing w:val="12"/>
                      <w:sz w:val="20"/>
                      <w:szCs w:val="20"/>
                    </w:rPr>
                    <w:t xml:space="preserve"> </w:t>
                  </w:r>
                  <w:r>
                    <w:rPr>
                      <w:spacing w:val="4"/>
                      <w:sz w:val="20"/>
                      <w:szCs w:val="20"/>
                    </w:rPr>
                    <w:t>染事故。</w:t>
                  </w:r>
                </w:p>
                <w:p w14:paraId="6AF70403">
                  <w:pPr>
                    <w:pStyle w:val="6"/>
                    <w:spacing w:before="1" w:line="216" w:lineRule="auto"/>
                    <w:ind w:left="114" w:right="132" w:hanging="3"/>
                    <w:rPr>
                      <w:sz w:val="20"/>
                      <w:szCs w:val="20"/>
                    </w:rPr>
                  </w:pPr>
                  <w:r>
                    <w:rPr>
                      <w:spacing w:val="9"/>
                      <w:sz w:val="20"/>
                      <w:szCs w:val="20"/>
                    </w:rPr>
                    <w:t>③泄漏后，发生火灾、爆炸所产生的液体挥发形成</w:t>
                  </w:r>
                  <w:r>
                    <w:rPr>
                      <w:spacing w:val="12"/>
                      <w:sz w:val="20"/>
                      <w:szCs w:val="20"/>
                    </w:rPr>
                    <w:t xml:space="preserve"> </w:t>
                  </w:r>
                  <w:r>
                    <w:rPr>
                      <w:spacing w:val="7"/>
                      <w:sz w:val="20"/>
                      <w:szCs w:val="20"/>
                    </w:rPr>
                    <w:t>的蒸汽，</w:t>
                  </w:r>
                  <w:r>
                    <w:rPr>
                      <w:spacing w:val="-48"/>
                      <w:sz w:val="20"/>
                      <w:szCs w:val="20"/>
                    </w:rPr>
                    <w:t xml:space="preserve"> </w:t>
                  </w:r>
                  <w:r>
                    <w:rPr>
                      <w:spacing w:val="7"/>
                      <w:sz w:val="20"/>
                      <w:szCs w:val="20"/>
                    </w:rPr>
                    <w:t>以及次生污染物，将对周边大气产生环境</w:t>
                  </w:r>
                  <w:r>
                    <w:rPr>
                      <w:sz w:val="20"/>
                      <w:szCs w:val="20"/>
                    </w:rPr>
                    <w:t xml:space="preserve"> </w:t>
                  </w:r>
                  <w:r>
                    <w:rPr>
                      <w:spacing w:val="2"/>
                      <w:sz w:val="20"/>
                      <w:szCs w:val="20"/>
                    </w:rPr>
                    <w:t>污染。</w:t>
                  </w:r>
                </w:p>
              </w:tc>
              <w:tc>
                <w:tcPr>
                  <w:tcW w:w="1545" w:type="dxa"/>
                  <w:vAlign w:val="top"/>
                </w:tcPr>
                <w:p w14:paraId="06C73602">
                  <w:pPr>
                    <w:spacing w:line="271" w:lineRule="auto"/>
                    <w:rPr>
                      <w:rFonts w:ascii="Arial"/>
                      <w:sz w:val="21"/>
                    </w:rPr>
                  </w:pPr>
                </w:p>
                <w:p w14:paraId="6A35635D">
                  <w:pPr>
                    <w:spacing w:line="272" w:lineRule="auto"/>
                    <w:rPr>
                      <w:rFonts w:ascii="Arial"/>
                      <w:sz w:val="21"/>
                    </w:rPr>
                  </w:pPr>
                </w:p>
                <w:p w14:paraId="4D5FDF62">
                  <w:pPr>
                    <w:pStyle w:val="6"/>
                    <w:spacing w:before="65" w:line="225" w:lineRule="auto"/>
                    <w:ind w:left="462" w:right="37" w:hanging="345"/>
                    <w:rPr>
                      <w:sz w:val="20"/>
                      <w:szCs w:val="20"/>
                    </w:rPr>
                  </w:pPr>
                  <w:r>
                    <w:rPr>
                      <w:spacing w:val="-3"/>
                      <w:sz w:val="20"/>
                      <w:szCs w:val="20"/>
                    </w:rPr>
                    <w:t>大气、地表水、</w:t>
                  </w:r>
                  <w:r>
                    <w:rPr>
                      <w:spacing w:val="5"/>
                      <w:sz w:val="20"/>
                      <w:szCs w:val="20"/>
                    </w:rPr>
                    <w:t xml:space="preserve"> </w:t>
                  </w:r>
                  <w:r>
                    <w:rPr>
                      <w:spacing w:val="6"/>
                      <w:sz w:val="20"/>
                      <w:szCs w:val="20"/>
                    </w:rPr>
                    <w:t>地下水</w:t>
                  </w:r>
                </w:p>
              </w:tc>
            </w:tr>
          </w:tbl>
          <w:p w14:paraId="0D938C21">
            <w:pPr>
              <w:pStyle w:val="6"/>
              <w:spacing w:before="34" w:line="220" w:lineRule="auto"/>
              <w:ind w:left="588"/>
            </w:pPr>
            <w:r>
              <w:rPr>
                <w:rFonts w:ascii="Times New Roman" w:hAnsi="Times New Roman" w:eastAsia="Times New Roman" w:cs="Times New Roman"/>
                <w:b/>
                <w:bCs/>
                <w:spacing w:val="-3"/>
              </w:rPr>
              <w:t>5</w:t>
            </w:r>
            <w:r>
              <w:rPr>
                <w:b/>
                <w:bCs/>
                <w:spacing w:val="-3"/>
              </w:rPr>
              <w:t>）环境风险分析</w:t>
            </w:r>
          </w:p>
          <w:p w14:paraId="3B310329">
            <w:pPr>
              <w:pStyle w:val="6"/>
              <w:spacing w:before="182" w:line="217" w:lineRule="auto"/>
              <w:ind w:left="589"/>
            </w:pPr>
            <w:r>
              <w:rPr>
                <w:spacing w:val="-1"/>
              </w:rPr>
              <w:t>①大气环境风险分析</w:t>
            </w:r>
          </w:p>
          <w:p w14:paraId="345994E7">
            <w:pPr>
              <w:pStyle w:val="6"/>
              <w:spacing w:before="190" w:line="355" w:lineRule="auto"/>
              <w:ind w:left="106" w:right="143" w:firstLine="480"/>
              <w:jc w:val="both"/>
            </w:pPr>
            <w:r>
              <w:t>变压器油在使用、储运过程中若操作不当或设备损坏造成物</w:t>
            </w:r>
            <w:r>
              <w:rPr>
                <w:spacing w:val="-1"/>
              </w:rPr>
              <w:t>质泄漏，变压器油、废变</w:t>
            </w:r>
            <w:r>
              <w:t xml:space="preserve"> 压器油（单次维修废油）、事故废油储运过程中发生泄漏，泄漏后</w:t>
            </w:r>
            <w:r>
              <w:rPr>
                <w:spacing w:val="-1"/>
              </w:rPr>
              <w:t>遇火源或在高温（高于</w:t>
            </w:r>
            <w:r>
              <w:t xml:space="preserve"> 闪点）等特殊情况下，将引发火灾爆炸风险，将对周边大气产生较</w:t>
            </w:r>
            <w:r>
              <w:rPr>
                <w:spacing w:val="-1"/>
              </w:rPr>
              <w:t>为严重的环境污染。由</w:t>
            </w:r>
            <w:r>
              <w:t xml:space="preserve"> 于变压器油泄漏后进入事故油池，事故废油、过滤废变压器油（油</w:t>
            </w:r>
            <w:r>
              <w:rPr>
                <w:spacing w:val="-1"/>
              </w:rPr>
              <w:t>渣）泄漏后进入危废贮</w:t>
            </w:r>
            <w:r>
              <w:t xml:space="preserve"> 存库设置的导流沟和收集池内，暴露在空气中的量较小，通过加强</w:t>
            </w:r>
            <w:r>
              <w:rPr>
                <w:spacing w:val="-1"/>
              </w:rPr>
              <w:t>巡检等措施后可以及时</w:t>
            </w:r>
            <w:r>
              <w:t xml:space="preserve"> 发生泄漏，切断泄漏源，并及时用油桶收容泄漏物，在采取以上应</w:t>
            </w:r>
            <w:r>
              <w:rPr>
                <w:spacing w:val="-1"/>
              </w:rPr>
              <w:t>急措施后引起火灾爆炸</w:t>
            </w:r>
            <w:r>
              <w:t xml:space="preserve"> </w:t>
            </w:r>
            <w:r>
              <w:rPr>
                <w:spacing w:val="-2"/>
              </w:rPr>
              <w:t>的可能性较小。</w:t>
            </w:r>
          </w:p>
          <w:p w14:paraId="5738E60C">
            <w:pPr>
              <w:pStyle w:val="6"/>
              <w:spacing w:before="32" w:line="219" w:lineRule="auto"/>
              <w:ind w:left="590"/>
            </w:pPr>
            <w:r>
              <w:t>建设单位需强化禁火区域安全管理，严禁烟火，将生</w:t>
            </w:r>
            <w:r>
              <w:rPr>
                <w:spacing w:val="-1"/>
              </w:rPr>
              <w:t>产、储存装置区域列为禁火区，</w:t>
            </w:r>
          </w:p>
        </w:tc>
      </w:tr>
    </w:tbl>
    <w:p w14:paraId="4E8628D9">
      <w:pPr>
        <w:rPr>
          <w:rFonts w:ascii="Arial"/>
          <w:sz w:val="21"/>
        </w:rPr>
      </w:pPr>
    </w:p>
    <w:p w14:paraId="2CE65604">
      <w:pPr>
        <w:rPr>
          <w:rFonts w:ascii="Arial" w:hAnsi="Arial" w:eastAsia="Arial" w:cs="Arial"/>
          <w:sz w:val="21"/>
          <w:szCs w:val="21"/>
        </w:rPr>
        <w:sectPr>
          <w:footerReference r:id="rId145" w:type="default"/>
          <w:pgSz w:w="11907" w:h="16840"/>
          <w:pgMar w:top="1431" w:right="907" w:bottom="1278" w:left="907" w:header="0" w:footer="1116" w:gutter="0"/>
          <w:cols w:space="720" w:num="1"/>
        </w:sectPr>
      </w:pPr>
    </w:p>
    <w:p w14:paraId="4DF72230">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05AB9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5" w:type="dxa"/>
            <w:tcBorders>
              <w:right w:val="single" w:color="000000" w:sz="2" w:space="0"/>
            </w:tcBorders>
            <w:vAlign w:val="top"/>
          </w:tcPr>
          <w:p w14:paraId="517241BE">
            <w:pPr>
              <w:rPr>
                <w:rFonts w:ascii="Arial"/>
                <w:sz w:val="21"/>
              </w:rPr>
            </w:pPr>
          </w:p>
        </w:tc>
        <w:tc>
          <w:tcPr>
            <w:tcW w:w="9612" w:type="dxa"/>
            <w:tcBorders>
              <w:left w:val="single" w:color="000000" w:sz="2" w:space="0"/>
            </w:tcBorders>
            <w:vAlign w:val="top"/>
          </w:tcPr>
          <w:p w14:paraId="15306F02">
            <w:pPr>
              <w:pStyle w:val="6"/>
              <w:spacing w:before="39" w:line="350" w:lineRule="auto"/>
              <w:ind w:left="108" w:right="143" w:firstLine="16"/>
              <w:jc w:val="both"/>
            </w:pPr>
            <w:r>
              <w:rPr>
                <w:spacing w:val="-1"/>
              </w:rPr>
              <w:t>区内加强火源管理，严禁吸烟。升压站内严禁存放易燃易爆物品。在变压器、危废贮存库</w:t>
            </w:r>
            <w:r>
              <w:rPr>
                <w:spacing w:val="10"/>
              </w:rPr>
              <w:t xml:space="preserve"> </w:t>
            </w:r>
            <w:r>
              <w:t>附近，配置推车式泡沫灭火器及沙箱等灭火器材，设置室外消</w:t>
            </w:r>
            <w:r>
              <w:rPr>
                <w:spacing w:val="-1"/>
              </w:rPr>
              <w:t>火栓。建设单位应认真落实</w:t>
            </w:r>
            <w:r>
              <w:t xml:space="preserve"> </w:t>
            </w:r>
            <w:r>
              <w:rPr>
                <w:spacing w:val="-1"/>
              </w:rPr>
              <w:t>风险防范措施，大气环境风险可控，对周边环境影响较小。</w:t>
            </w:r>
          </w:p>
          <w:p w14:paraId="67CD4D13">
            <w:pPr>
              <w:pStyle w:val="6"/>
              <w:spacing w:before="36" w:line="217" w:lineRule="auto"/>
              <w:ind w:left="585"/>
            </w:pPr>
            <w:r>
              <w:rPr>
                <w:spacing w:val="-1"/>
              </w:rPr>
              <w:t>②地表水环境风险分析</w:t>
            </w:r>
          </w:p>
          <w:p w14:paraId="6E5E3919">
            <w:pPr>
              <w:pStyle w:val="6"/>
              <w:spacing w:before="181" w:line="356" w:lineRule="auto"/>
              <w:ind w:left="106" w:right="102" w:firstLine="481"/>
            </w:pPr>
            <w:r>
              <w:rPr>
                <w:spacing w:val="1"/>
              </w:rPr>
              <w:t>若因管理不当或设备损坏导致变压器油、废变压器油、事故废油发</w:t>
            </w:r>
            <w:r>
              <w:t xml:space="preserve">生泄漏，在雨天时 </w:t>
            </w:r>
            <w:r>
              <w:rPr>
                <w:spacing w:val="1"/>
              </w:rPr>
              <w:t>可能随地表径流一起进入地表水，对地表水造成污染。由于项目主变压</w:t>
            </w:r>
            <w:r>
              <w:t xml:space="preserve">器附近设有事故油 </w:t>
            </w:r>
            <w:r>
              <w:rPr>
                <w:spacing w:val="1"/>
              </w:rPr>
              <w:t>池，箱式变压器油箱一侧设置事故油池，若变压器发生泄漏后，事故废</w:t>
            </w:r>
            <w:r>
              <w:t xml:space="preserve">油将全部进入事故 </w:t>
            </w:r>
            <w:r>
              <w:rPr>
                <w:spacing w:val="1"/>
              </w:rPr>
              <w:t>油池，事故油池设计阶段按要求采取重点防渗措施，经事故油池收集的</w:t>
            </w:r>
            <w:r>
              <w:t xml:space="preserve">事故废油在危废贮 </w:t>
            </w:r>
            <w:r>
              <w:rPr>
                <w:spacing w:val="1"/>
              </w:rPr>
              <w:t>存库暂存，并委托有资质单位处置。项目升压站危废贮存库设置有导流</w:t>
            </w:r>
            <w:r>
              <w:t xml:space="preserve">沟和收集池，若废 </w:t>
            </w:r>
            <w:r>
              <w:rPr>
                <w:spacing w:val="1"/>
              </w:rPr>
              <w:t>变压器油、事故废油确实发生了泄漏事故，及时切断泄漏源，封闭现场</w:t>
            </w:r>
            <w:r>
              <w:t xml:space="preserve">，采用合适的材料 </w:t>
            </w:r>
            <w:r>
              <w:rPr>
                <w:spacing w:val="1"/>
              </w:rPr>
              <w:t>收容泄漏物。通过及时采取应急措施处理后变压器油、废变压器油、事</w:t>
            </w:r>
            <w:r>
              <w:t xml:space="preserve">故废油不会随地表 </w:t>
            </w:r>
            <w:r>
              <w:rPr>
                <w:spacing w:val="-1"/>
              </w:rPr>
              <w:t>径流一起进入地表水。地表水环境风险可控。</w:t>
            </w:r>
          </w:p>
          <w:p w14:paraId="25E3EB83">
            <w:pPr>
              <w:pStyle w:val="6"/>
              <w:spacing w:before="36" w:line="217" w:lineRule="auto"/>
              <w:ind w:left="588"/>
            </w:pPr>
            <w:r>
              <w:rPr>
                <w:spacing w:val="-1"/>
              </w:rPr>
              <w:t>③地下水及土壤环境风险分析</w:t>
            </w:r>
          </w:p>
          <w:p w14:paraId="7993B617">
            <w:pPr>
              <w:pStyle w:val="6"/>
              <w:spacing w:before="187" w:line="356" w:lineRule="auto"/>
              <w:ind w:left="107" w:right="42" w:firstLine="480"/>
            </w:pPr>
            <w:r>
              <w:rPr>
                <w:spacing w:val="1"/>
              </w:rPr>
              <w:t>若集油坑、事故油池及危废贮存库设置的防渗层破裂或失效，变压</w:t>
            </w:r>
            <w:r>
              <w:t xml:space="preserve">器油、废变压器油 </w:t>
            </w:r>
            <w:r>
              <w:rPr>
                <w:spacing w:val="-4"/>
              </w:rPr>
              <w:t>（单次维修废油）、事故废油下渗后可能对地下水及土壤造成污染，导致泄漏主要原因为：</w:t>
            </w:r>
            <w:r>
              <w:rPr>
                <w:spacing w:val="10"/>
              </w:rPr>
              <w:t xml:space="preserve"> </w:t>
            </w:r>
            <w:r>
              <w:rPr>
                <w:spacing w:val="1"/>
              </w:rPr>
              <w:t>衬垫材料不良或施工不当引起衬垫失效；基础不均匀沉降引起的衬垫</w:t>
            </w:r>
            <w:r>
              <w:t xml:space="preserve">破裂；人为破坏引起 </w:t>
            </w:r>
            <w:r>
              <w:rPr>
                <w:spacing w:val="1"/>
              </w:rPr>
              <w:t>衬垫失效。项目在基建期根据环评要求及设计规范的要求严格做好防</w:t>
            </w:r>
            <w:r>
              <w:t>渗工程，重点防渗技 术要求为：等效黏土防渗层</w:t>
            </w:r>
            <w:r>
              <w:rPr>
                <w:spacing w:val="-54"/>
              </w:rPr>
              <w:t xml:space="preserve"> </w:t>
            </w:r>
            <w:r>
              <w:rPr>
                <w:rFonts w:ascii="Times New Roman" w:hAnsi="Times New Roman" w:eastAsia="Times New Roman" w:cs="Times New Roman"/>
              </w:rPr>
              <w:t>Mb≥6m</w:t>
            </w:r>
            <w:r>
              <w:rPr>
                <w:rFonts w:ascii="Times New Roman" w:hAnsi="Times New Roman" w:eastAsia="Times New Roman" w:cs="Times New Roman"/>
                <w:spacing w:val="-28"/>
              </w:rPr>
              <w:t xml:space="preserve"> </w:t>
            </w:r>
            <w:r>
              <w:t>，</w:t>
            </w:r>
            <w:r>
              <w:rPr>
                <w:rFonts w:ascii="Times New Roman" w:hAnsi="Times New Roman" w:eastAsia="Times New Roman" w:cs="Times New Roman"/>
              </w:rPr>
              <w:t>K≤1×10</w:t>
            </w:r>
            <w:r>
              <w:rPr>
                <w:rFonts w:ascii="Times New Roman" w:hAnsi="Times New Roman" w:eastAsia="Times New Roman" w:cs="Times New Roman"/>
                <w:position w:val="7"/>
                <w:sz w:val="15"/>
                <w:szCs w:val="15"/>
              </w:rPr>
              <w:t>-7</w:t>
            </w:r>
            <w:r>
              <w:rPr>
                <w:rFonts w:ascii="Times New Roman" w:hAnsi="Times New Roman" w:eastAsia="Times New Roman" w:cs="Times New Roman"/>
              </w:rPr>
              <w:t>cm/s</w:t>
            </w:r>
            <w:r>
              <w:rPr>
                <w:rFonts w:ascii="Times New Roman" w:hAnsi="Times New Roman" w:eastAsia="Times New Roman" w:cs="Times New Roman"/>
                <w:spacing w:val="-28"/>
              </w:rPr>
              <w:t xml:space="preserve"> </w:t>
            </w:r>
            <w:r>
              <w:t>，或至少</w:t>
            </w:r>
            <w:r>
              <w:rPr>
                <w:spacing w:val="-50"/>
              </w:rPr>
              <w:t xml:space="preserve"> </w:t>
            </w:r>
            <w:r>
              <w:rPr>
                <w:rFonts w:ascii="Times New Roman" w:hAnsi="Times New Roman" w:eastAsia="Times New Roman" w:cs="Times New Roman"/>
              </w:rPr>
              <w:t>2</w:t>
            </w:r>
            <w:r>
              <w:rPr>
                <w:rFonts w:ascii="Times New Roman" w:hAnsi="Times New Roman" w:eastAsia="Times New Roman" w:cs="Times New Roman"/>
                <w:spacing w:val="-1"/>
              </w:rPr>
              <w:t>mm</w:t>
            </w:r>
            <w:r>
              <w:rPr>
                <w:rFonts w:ascii="Times New Roman" w:hAnsi="Times New Roman" w:eastAsia="Times New Roman" w:cs="Times New Roman"/>
                <w:spacing w:val="18"/>
                <w:w w:val="101"/>
              </w:rPr>
              <w:t xml:space="preserve"> </w:t>
            </w:r>
            <w:r>
              <w:rPr>
                <w:spacing w:val="-1"/>
              </w:rPr>
              <w:t>厚高密度聚乙烯膜等人</w:t>
            </w:r>
            <w:r>
              <w:t xml:space="preserve"> </w:t>
            </w:r>
            <w:r>
              <w:rPr>
                <w:spacing w:val="-1"/>
              </w:rPr>
              <w:t>工防渗材料（渗透系数</w:t>
            </w:r>
            <w:r>
              <w:rPr>
                <w:rFonts w:ascii="Times New Roman" w:hAnsi="Times New Roman" w:eastAsia="Times New Roman" w:cs="Times New Roman"/>
                <w:spacing w:val="-1"/>
              </w:rPr>
              <w:t>≤1×10</w:t>
            </w:r>
            <w:r>
              <w:rPr>
                <w:rFonts w:ascii="Times New Roman" w:hAnsi="Times New Roman" w:eastAsia="Times New Roman" w:cs="Times New Roman"/>
                <w:spacing w:val="-1"/>
                <w:position w:val="8"/>
                <w:sz w:val="15"/>
                <w:szCs w:val="15"/>
              </w:rPr>
              <w:t>-10</w:t>
            </w:r>
            <w:r>
              <w:rPr>
                <w:rFonts w:ascii="Times New Roman" w:hAnsi="Times New Roman" w:eastAsia="Times New Roman" w:cs="Times New Roman"/>
                <w:spacing w:val="-1"/>
              </w:rPr>
              <w:t>cm/s</w:t>
            </w:r>
            <w:r>
              <w:rPr>
                <w:spacing w:val="-2"/>
              </w:rPr>
              <w:t>），</w:t>
            </w:r>
            <w:r>
              <w:rPr>
                <w:spacing w:val="-1"/>
              </w:rPr>
              <w:t>或其他防渗性能等效的材料，且提高工程质量</w:t>
            </w:r>
            <w:r>
              <w:rPr>
                <w:spacing w:val="-2"/>
              </w:rPr>
              <w:t>。废</w:t>
            </w:r>
            <w:r>
              <w:t xml:space="preserve"> </w:t>
            </w:r>
            <w:r>
              <w:rPr>
                <w:spacing w:val="2"/>
              </w:rPr>
              <w:t>铅蓄电池内的硫酸泄漏可能对地下水及土壤造</w:t>
            </w:r>
            <w:r>
              <w:rPr>
                <w:spacing w:val="1"/>
              </w:rPr>
              <w:t>成污染，废铅蓄电池内硫酸和铅含量较小，</w:t>
            </w:r>
            <w:r>
              <w:t xml:space="preserve"> </w:t>
            </w:r>
            <w:r>
              <w:rPr>
                <w:spacing w:val="1"/>
              </w:rPr>
              <w:t>且废铅蓄电池贮存在危废贮存库内，危废贮存库做重点防渗处理，渗</w:t>
            </w:r>
            <w:r>
              <w:t>入地下水及土壤可能 性较小，运营期加强监管的基础上，则地下</w:t>
            </w:r>
            <w:r>
              <w:rPr>
                <w:spacing w:val="-1"/>
              </w:rPr>
              <w:t>水及土壤环境风险可控。</w:t>
            </w:r>
          </w:p>
          <w:p w14:paraId="0DF347FD">
            <w:pPr>
              <w:pStyle w:val="6"/>
              <w:spacing w:before="34" w:line="353" w:lineRule="auto"/>
              <w:ind w:left="107" w:right="102" w:firstLine="485"/>
            </w:pPr>
            <w:r>
              <w:rPr>
                <w:spacing w:val="1"/>
              </w:rPr>
              <w:t>另外，箱式变压器油箱一侧设有事故油池可以收集泄漏</w:t>
            </w:r>
            <w:r>
              <w:t xml:space="preserve">油，若流入地表土壤，第四系 </w:t>
            </w:r>
            <w:r>
              <w:rPr>
                <w:spacing w:val="1"/>
              </w:rPr>
              <w:t>残坡积粉质黏土、红黏土，其渗透性低，防污性能较强，向地下水及</w:t>
            </w:r>
            <w:r>
              <w:t xml:space="preserve">土壤渗透的影响范围 </w:t>
            </w:r>
            <w:r>
              <w:rPr>
                <w:spacing w:val="1"/>
              </w:rPr>
              <w:t>很小，电站内工作人员在巡检时能够及时发现并做出处理，污染地下</w:t>
            </w:r>
            <w:r>
              <w:t xml:space="preserve">水及土壤的可能性极 </w:t>
            </w:r>
            <w:r>
              <w:rPr>
                <w:spacing w:val="-5"/>
              </w:rPr>
              <w:t>小。</w:t>
            </w:r>
          </w:p>
          <w:p w14:paraId="2C5DC347">
            <w:pPr>
              <w:pStyle w:val="6"/>
              <w:spacing w:before="31" w:line="220" w:lineRule="auto"/>
              <w:ind w:left="589"/>
            </w:pPr>
            <w:r>
              <w:rPr>
                <w:rFonts w:ascii="Times New Roman" w:hAnsi="Times New Roman" w:eastAsia="Times New Roman" w:cs="Times New Roman"/>
                <w:b/>
                <w:bCs/>
                <w:spacing w:val="-3"/>
              </w:rPr>
              <w:t>6</w:t>
            </w:r>
            <w:r>
              <w:rPr>
                <w:b/>
                <w:bCs/>
                <w:spacing w:val="-3"/>
              </w:rPr>
              <w:t>）环境风险防范措施及应急要求</w:t>
            </w:r>
          </w:p>
          <w:p w14:paraId="54007495">
            <w:pPr>
              <w:pStyle w:val="6"/>
              <w:spacing w:before="182" w:line="217" w:lineRule="auto"/>
              <w:ind w:left="589"/>
            </w:pPr>
            <w:r>
              <w:rPr>
                <w:spacing w:val="-2"/>
              </w:rPr>
              <w:t>①防范措施</w:t>
            </w:r>
          </w:p>
          <w:p w14:paraId="10BD4368">
            <w:pPr>
              <w:pStyle w:val="6"/>
              <w:spacing w:before="183" w:line="219" w:lineRule="auto"/>
              <w:ind w:left="580"/>
            </w:pPr>
            <w:r>
              <w:rPr>
                <w:rFonts w:ascii="Times New Roman" w:hAnsi="Times New Roman" w:eastAsia="Times New Roman" w:cs="Times New Roman"/>
                <w:spacing w:val="-10"/>
              </w:rPr>
              <w:t xml:space="preserve">A.  </w:t>
            </w:r>
            <w:r>
              <w:rPr>
                <w:spacing w:val="-10"/>
              </w:rPr>
              <w:t>本项目在主变压器下设置一座</w:t>
            </w:r>
            <w:r>
              <w:rPr>
                <w:rFonts w:ascii="Times New Roman" w:hAnsi="Times New Roman" w:eastAsia="Times New Roman" w:cs="Times New Roman"/>
                <w:spacing w:val="-10"/>
              </w:rPr>
              <w:t>20%</w:t>
            </w:r>
            <w:r>
              <w:rPr>
                <w:spacing w:val="-10"/>
              </w:rPr>
              <w:t>油量事故油池（</w:t>
            </w:r>
            <w:r>
              <w:rPr>
                <w:rFonts w:ascii="Times New Roman" w:hAnsi="Times New Roman" w:eastAsia="Times New Roman" w:cs="Times New Roman"/>
                <w:spacing w:val="-10"/>
              </w:rPr>
              <w:t>10m</w:t>
            </w:r>
            <w:r>
              <w:rPr>
                <w:rFonts w:ascii="Times New Roman" w:hAnsi="Times New Roman" w:eastAsia="Times New Roman" w:cs="Times New Roman"/>
                <w:spacing w:val="-10"/>
                <w:position w:val="7"/>
                <w:sz w:val="15"/>
                <w:szCs w:val="15"/>
              </w:rPr>
              <w:t>3</w:t>
            </w:r>
            <w:r>
              <w:rPr>
                <w:spacing w:val="-26"/>
              </w:rPr>
              <w:t>），</w:t>
            </w:r>
            <w:r>
              <w:rPr>
                <w:spacing w:val="-17"/>
              </w:rPr>
              <w:t>并在主变压器东南侧设</w:t>
            </w:r>
            <w:r>
              <w:rPr>
                <w:spacing w:val="-32"/>
              </w:rPr>
              <w:t xml:space="preserve"> </w:t>
            </w:r>
            <w:r>
              <w:rPr>
                <w:rFonts w:ascii="Times New Roman" w:hAnsi="Times New Roman" w:eastAsia="Times New Roman" w:cs="Times New Roman"/>
                <w:spacing w:val="-17"/>
              </w:rPr>
              <w:t>1</w:t>
            </w:r>
            <w:r>
              <w:rPr>
                <w:rFonts w:ascii="Times New Roman" w:hAnsi="Times New Roman" w:eastAsia="Times New Roman" w:cs="Times New Roman"/>
                <w:spacing w:val="12"/>
              </w:rPr>
              <w:t xml:space="preserve"> </w:t>
            </w:r>
            <w:r>
              <w:rPr>
                <w:spacing w:val="-17"/>
              </w:rPr>
              <w:t>座</w:t>
            </w:r>
          </w:p>
        </w:tc>
      </w:tr>
    </w:tbl>
    <w:p w14:paraId="37DA7712">
      <w:pPr>
        <w:rPr>
          <w:rFonts w:ascii="Arial"/>
          <w:sz w:val="21"/>
        </w:rPr>
      </w:pPr>
    </w:p>
    <w:p w14:paraId="7BF6BE10">
      <w:pPr>
        <w:rPr>
          <w:rFonts w:ascii="Arial" w:hAnsi="Arial" w:eastAsia="Arial" w:cs="Arial"/>
          <w:sz w:val="21"/>
          <w:szCs w:val="21"/>
        </w:rPr>
        <w:sectPr>
          <w:footerReference r:id="rId146" w:type="default"/>
          <w:pgSz w:w="11907" w:h="16840"/>
          <w:pgMar w:top="1431" w:right="907" w:bottom="1278" w:left="907" w:header="0" w:footer="1116" w:gutter="0"/>
          <w:cols w:space="720" w:num="1"/>
        </w:sectPr>
      </w:pPr>
    </w:p>
    <w:p w14:paraId="1CF2DCA0">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68719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5" w:type="dxa"/>
            <w:tcBorders>
              <w:right w:val="single" w:color="000000" w:sz="2" w:space="0"/>
            </w:tcBorders>
            <w:vAlign w:val="top"/>
          </w:tcPr>
          <w:p w14:paraId="6B1ECC80">
            <w:pPr>
              <w:rPr>
                <w:rFonts w:ascii="Arial"/>
                <w:sz w:val="21"/>
              </w:rPr>
            </w:pPr>
          </w:p>
        </w:tc>
        <w:tc>
          <w:tcPr>
            <w:tcW w:w="9612" w:type="dxa"/>
            <w:tcBorders>
              <w:left w:val="single" w:color="000000" w:sz="2" w:space="0"/>
            </w:tcBorders>
            <w:vAlign w:val="top"/>
          </w:tcPr>
          <w:p w14:paraId="51105A4C">
            <w:pPr>
              <w:pStyle w:val="6"/>
              <w:spacing w:before="43" w:line="356" w:lineRule="auto"/>
              <w:ind w:left="103" w:right="102" w:firstLine="23"/>
              <w:jc w:val="both"/>
            </w:pPr>
            <w:r>
              <w:rPr>
                <w:rFonts w:ascii="Times New Roman" w:hAnsi="Times New Roman" w:eastAsia="Times New Roman" w:cs="Times New Roman"/>
                <w:spacing w:val="2"/>
              </w:rPr>
              <w:t>100%</w:t>
            </w:r>
            <w:r>
              <w:rPr>
                <w:spacing w:val="2"/>
              </w:rPr>
              <w:t>事故油池（有效容积约</w:t>
            </w:r>
            <w:r>
              <w:rPr>
                <w:spacing w:val="-44"/>
              </w:rPr>
              <w:t xml:space="preserve"> </w:t>
            </w:r>
            <w:r>
              <w:rPr>
                <w:rFonts w:ascii="Times New Roman" w:hAnsi="Times New Roman" w:eastAsia="Times New Roman" w:cs="Times New Roman"/>
                <w:spacing w:val="2"/>
              </w:rPr>
              <w:t>50m</w:t>
            </w:r>
            <w:r>
              <w:rPr>
                <w:rFonts w:ascii="Times New Roman" w:hAnsi="Times New Roman" w:eastAsia="Times New Roman" w:cs="Times New Roman"/>
                <w:spacing w:val="2"/>
                <w:position w:val="8"/>
                <w:sz w:val="15"/>
                <w:szCs w:val="15"/>
              </w:rPr>
              <w:t xml:space="preserve">3 </w:t>
            </w:r>
            <w:r>
              <w:rPr>
                <w:spacing w:val="-7"/>
              </w:rPr>
              <w:t>）；</w:t>
            </w:r>
            <w:r>
              <w:rPr>
                <w:spacing w:val="2"/>
              </w:rPr>
              <w:t>在箱式变压器下设置一个等容积集油坑</w:t>
            </w:r>
            <w:r>
              <w:rPr>
                <w:spacing w:val="1"/>
              </w:rPr>
              <w:t>，即：</w:t>
            </w:r>
            <w:r>
              <w:rPr>
                <w:rFonts w:ascii="Times New Roman" w:hAnsi="Times New Roman" w:eastAsia="Times New Roman" w:cs="Times New Roman"/>
                <w:spacing w:val="1"/>
              </w:rPr>
              <w:t>3</w:t>
            </w:r>
            <w:r>
              <w:rPr>
                <w:rFonts w:ascii="Times New Roman" w:hAnsi="Times New Roman" w:eastAsia="Times New Roman" w:cs="Times New Roman"/>
                <w:spacing w:val="33"/>
                <w:w w:val="101"/>
              </w:rPr>
              <w:t xml:space="preserve"> </w:t>
            </w:r>
            <w:r>
              <w:rPr>
                <w:spacing w:val="1"/>
              </w:rPr>
              <w:t>台</w:t>
            </w:r>
            <w:r>
              <w:t xml:space="preserve"> </w:t>
            </w:r>
            <w:r>
              <w:rPr>
                <w:rFonts w:ascii="Times New Roman" w:hAnsi="Times New Roman" w:eastAsia="Times New Roman" w:cs="Times New Roman"/>
                <w:spacing w:val="-1"/>
              </w:rPr>
              <w:t>900kVA</w:t>
            </w:r>
            <w:r>
              <w:rPr>
                <w:rFonts w:ascii="Times New Roman" w:hAnsi="Times New Roman" w:eastAsia="Times New Roman" w:cs="Times New Roman"/>
                <w:spacing w:val="38"/>
                <w:w w:val="101"/>
              </w:rPr>
              <w:t xml:space="preserve"> </w:t>
            </w:r>
            <w:r>
              <w:rPr>
                <w:spacing w:val="-1"/>
              </w:rPr>
              <w:t>箱变下各设一个</w:t>
            </w:r>
            <w:r>
              <w:rPr>
                <w:spacing w:val="-42"/>
              </w:rPr>
              <w:t xml:space="preserve"> </w:t>
            </w:r>
            <w:r>
              <w:rPr>
                <w:rFonts w:ascii="Times New Roman" w:hAnsi="Times New Roman" w:eastAsia="Times New Roman" w:cs="Times New Roman"/>
                <w:spacing w:val="-1"/>
              </w:rPr>
              <w:t>0.8m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9"/>
                <w:position w:val="7"/>
                <w:sz w:val="15"/>
                <w:szCs w:val="15"/>
              </w:rPr>
              <w:t xml:space="preserve"> </w:t>
            </w:r>
            <w:r>
              <w:rPr>
                <w:spacing w:val="-1"/>
              </w:rPr>
              <w:t>集油坑，</w:t>
            </w:r>
            <w:r>
              <w:rPr>
                <w:rFonts w:ascii="Times New Roman" w:hAnsi="Times New Roman" w:eastAsia="Times New Roman" w:cs="Times New Roman"/>
                <w:spacing w:val="-1"/>
              </w:rPr>
              <w:t>2</w:t>
            </w:r>
            <w:r>
              <w:rPr>
                <w:rFonts w:ascii="Times New Roman" w:hAnsi="Times New Roman" w:eastAsia="Times New Roman" w:cs="Times New Roman"/>
                <w:spacing w:val="37"/>
                <w:w w:val="101"/>
              </w:rPr>
              <w:t xml:space="preserve"> </w:t>
            </w:r>
            <w:r>
              <w:rPr>
                <w:spacing w:val="-1"/>
              </w:rPr>
              <w:t>台</w:t>
            </w:r>
            <w:r>
              <w:rPr>
                <w:spacing w:val="-23"/>
              </w:rPr>
              <w:t xml:space="preserve"> </w:t>
            </w:r>
            <w:r>
              <w:rPr>
                <w:rFonts w:ascii="Times New Roman" w:hAnsi="Times New Roman" w:eastAsia="Times New Roman" w:cs="Times New Roman"/>
                <w:spacing w:val="-1"/>
              </w:rPr>
              <w:t>1200kVA</w:t>
            </w:r>
            <w:r>
              <w:rPr>
                <w:rFonts w:ascii="Times New Roman" w:hAnsi="Times New Roman" w:eastAsia="Times New Roman" w:cs="Times New Roman"/>
                <w:spacing w:val="21"/>
              </w:rPr>
              <w:t xml:space="preserve"> </w:t>
            </w:r>
            <w:r>
              <w:rPr>
                <w:spacing w:val="-1"/>
              </w:rPr>
              <w:t>箱变各设一个</w:t>
            </w:r>
            <w:r>
              <w:rPr>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9"/>
                <w:position w:val="7"/>
                <w:sz w:val="15"/>
                <w:szCs w:val="15"/>
              </w:rPr>
              <w:t xml:space="preserve"> </w:t>
            </w:r>
            <w:r>
              <w:rPr>
                <w:spacing w:val="-1"/>
              </w:rPr>
              <w:t>集油坑，</w:t>
            </w:r>
            <w:r>
              <w:rPr>
                <w:rFonts w:ascii="Times New Roman" w:hAnsi="Times New Roman" w:eastAsia="Times New Roman" w:cs="Times New Roman"/>
                <w:spacing w:val="-1"/>
              </w:rPr>
              <w:t>5</w:t>
            </w:r>
            <w:r>
              <w:rPr>
                <w:rFonts w:ascii="Times New Roman" w:hAnsi="Times New Roman" w:eastAsia="Times New Roman" w:cs="Times New Roman"/>
                <w:spacing w:val="37"/>
                <w:w w:val="101"/>
              </w:rPr>
              <w:t xml:space="preserve"> </w:t>
            </w:r>
            <w:r>
              <w:rPr>
                <w:spacing w:val="-1"/>
              </w:rPr>
              <w:t>台</w:t>
            </w:r>
            <w:r>
              <w:t xml:space="preserve"> </w:t>
            </w:r>
            <w:r>
              <w:rPr>
                <w:rFonts w:ascii="Times New Roman" w:hAnsi="Times New Roman" w:eastAsia="Times New Roman" w:cs="Times New Roman"/>
                <w:spacing w:val="-1"/>
              </w:rPr>
              <w:t>1800kVA</w:t>
            </w:r>
            <w:r>
              <w:rPr>
                <w:rFonts w:ascii="Times New Roman" w:hAnsi="Times New Roman" w:eastAsia="Times New Roman" w:cs="Times New Roman"/>
                <w:spacing w:val="18"/>
              </w:rPr>
              <w:t xml:space="preserve"> </w:t>
            </w:r>
            <w:r>
              <w:rPr>
                <w:spacing w:val="-1"/>
              </w:rPr>
              <w:t>箱变各设一个</w:t>
            </w:r>
            <w:r>
              <w:rPr>
                <w:spacing w:val="-27"/>
              </w:rPr>
              <w:t xml:space="preserve"> </w:t>
            </w:r>
            <w:r>
              <w:rPr>
                <w:rFonts w:ascii="Times New Roman" w:hAnsi="Times New Roman" w:eastAsia="Times New Roman" w:cs="Times New Roman"/>
                <w:spacing w:val="-1"/>
              </w:rPr>
              <w:t>1.6m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6"/>
                <w:w w:val="101"/>
                <w:position w:val="7"/>
                <w:sz w:val="15"/>
                <w:szCs w:val="15"/>
              </w:rPr>
              <w:t xml:space="preserve"> </w:t>
            </w:r>
            <w:r>
              <w:rPr>
                <w:spacing w:val="-1"/>
              </w:rPr>
              <w:t>集油坑，</w:t>
            </w:r>
            <w:r>
              <w:rPr>
                <w:rFonts w:ascii="Times New Roman" w:hAnsi="Times New Roman" w:eastAsia="Times New Roman" w:cs="Times New Roman"/>
                <w:spacing w:val="-1"/>
              </w:rPr>
              <w:t>3</w:t>
            </w:r>
            <w:r>
              <w:rPr>
                <w:rFonts w:ascii="Times New Roman" w:hAnsi="Times New Roman" w:eastAsia="Times New Roman" w:cs="Times New Roman"/>
                <w:spacing w:val="33"/>
              </w:rPr>
              <w:t xml:space="preserve"> </w:t>
            </w:r>
            <w:r>
              <w:rPr>
                <w:spacing w:val="-1"/>
              </w:rPr>
              <w:t>台</w:t>
            </w:r>
            <w:r>
              <w:rPr>
                <w:spacing w:val="-48"/>
              </w:rPr>
              <w:t xml:space="preserve"> </w:t>
            </w:r>
            <w:r>
              <w:rPr>
                <w:rFonts w:ascii="Times New Roman" w:hAnsi="Times New Roman" w:eastAsia="Times New Roman" w:cs="Times New Roman"/>
                <w:spacing w:val="-1"/>
              </w:rPr>
              <w:t>2100kVA</w:t>
            </w:r>
            <w:r>
              <w:rPr>
                <w:rFonts w:ascii="Times New Roman" w:hAnsi="Times New Roman" w:eastAsia="Times New Roman" w:cs="Times New Roman"/>
                <w:spacing w:val="19"/>
              </w:rPr>
              <w:t xml:space="preserve"> </w:t>
            </w:r>
            <w:r>
              <w:rPr>
                <w:spacing w:val="-1"/>
              </w:rPr>
              <w:t>型箱</w:t>
            </w:r>
            <w:r>
              <w:rPr>
                <w:spacing w:val="-2"/>
              </w:rPr>
              <w:t>变各设一个</w:t>
            </w:r>
            <w:r>
              <w:rPr>
                <w:spacing w:val="-50"/>
              </w:rPr>
              <w:t xml:space="preserve"> </w:t>
            </w:r>
            <w:r>
              <w:rPr>
                <w:rFonts w:ascii="Times New Roman" w:hAnsi="Times New Roman" w:eastAsia="Times New Roman" w:cs="Times New Roman"/>
                <w:spacing w:val="-2"/>
              </w:rPr>
              <w:t>2.0m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3"/>
                <w:w w:val="102"/>
                <w:position w:val="7"/>
                <w:sz w:val="15"/>
                <w:szCs w:val="15"/>
              </w:rPr>
              <w:t xml:space="preserve"> </w:t>
            </w:r>
            <w:r>
              <w:rPr>
                <w:spacing w:val="-2"/>
              </w:rPr>
              <w:t>集油坑，</w:t>
            </w:r>
            <w:r>
              <w:rPr>
                <w:rFonts w:ascii="Times New Roman" w:hAnsi="Times New Roman" w:eastAsia="Times New Roman" w:cs="Times New Roman"/>
                <w:spacing w:val="-2"/>
              </w:rPr>
              <w:t>3</w:t>
            </w:r>
            <w:r>
              <w:rPr>
                <w:rFonts w:ascii="Times New Roman" w:hAnsi="Times New Roman" w:eastAsia="Times New Roman" w:cs="Times New Roman"/>
                <w:spacing w:val="32"/>
                <w:w w:val="101"/>
              </w:rPr>
              <w:t xml:space="preserve"> </w:t>
            </w:r>
            <w:r>
              <w:rPr>
                <w:spacing w:val="-2"/>
              </w:rPr>
              <w:t>台</w:t>
            </w:r>
            <w:r>
              <w:t xml:space="preserve"> </w:t>
            </w:r>
            <w:r>
              <w:rPr>
                <w:rFonts w:ascii="Times New Roman" w:hAnsi="Times New Roman" w:eastAsia="Times New Roman" w:cs="Times New Roman"/>
                <w:spacing w:val="-1"/>
              </w:rPr>
              <w:t>2400kVA</w:t>
            </w:r>
            <w:r>
              <w:rPr>
                <w:rFonts w:ascii="Times New Roman" w:hAnsi="Times New Roman" w:eastAsia="Times New Roman" w:cs="Times New Roman"/>
                <w:spacing w:val="16"/>
                <w:w w:val="101"/>
              </w:rPr>
              <w:t xml:space="preserve"> </w:t>
            </w:r>
            <w:r>
              <w:rPr>
                <w:spacing w:val="-1"/>
              </w:rPr>
              <w:t>型箱变各设一个</w:t>
            </w:r>
            <w:r>
              <w:rPr>
                <w:spacing w:val="-53"/>
              </w:rPr>
              <w:t xml:space="preserve"> </w:t>
            </w:r>
            <w:r>
              <w:rPr>
                <w:rFonts w:ascii="Times New Roman" w:hAnsi="Times New Roman" w:eastAsia="Times New Roman" w:cs="Times New Roman"/>
                <w:spacing w:val="-1"/>
              </w:rPr>
              <w:t>2.2m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4"/>
                <w:position w:val="8"/>
                <w:sz w:val="15"/>
                <w:szCs w:val="15"/>
              </w:rPr>
              <w:t xml:space="preserve"> </w:t>
            </w:r>
            <w:r>
              <w:rPr>
                <w:spacing w:val="-1"/>
              </w:rPr>
              <w:t>集油坑，</w:t>
            </w:r>
            <w:r>
              <w:rPr>
                <w:rFonts w:ascii="Times New Roman" w:hAnsi="Times New Roman" w:eastAsia="Times New Roman" w:cs="Times New Roman"/>
                <w:spacing w:val="-1"/>
              </w:rPr>
              <w:t>2</w:t>
            </w:r>
            <w:r>
              <w:rPr>
                <w:rFonts w:ascii="Times New Roman" w:hAnsi="Times New Roman" w:eastAsia="Times New Roman" w:cs="Times New Roman"/>
                <w:spacing w:val="30"/>
                <w:w w:val="101"/>
              </w:rPr>
              <w:t xml:space="preserve"> </w:t>
            </w:r>
            <w:r>
              <w:rPr>
                <w:spacing w:val="-1"/>
              </w:rPr>
              <w:t>台</w:t>
            </w:r>
            <w:r>
              <w:rPr>
                <w:spacing w:val="-50"/>
              </w:rPr>
              <w:t xml:space="preserve"> </w:t>
            </w:r>
            <w:r>
              <w:rPr>
                <w:rFonts w:ascii="Times New Roman" w:hAnsi="Times New Roman" w:eastAsia="Times New Roman" w:cs="Times New Roman"/>
                <w:spacing w:val="-1"/>
              </w:rPr>
              <w:t>2700kVA</w:t>
            </w:r>
            <w:r>
              <w:rPr>
                <w:rFonts w:ascii="Times New Roman" w:hAnsi="Times New Roman" w:eastAsia="Times New Roman" w:cs="Times New Roman"/>
                <w:spacing w:val="18"/>
                <w:w w:val="101"/>
              </w:rPr>
              <w:t xml:space="preserve"> </w:t>
            </w:r>
            <w:r>
              <w:rPr>
                <w:spacing w:val="-1"/>
              </w:rPr>
              <w:t>型箱变各设一个</w:t>
            </w:r>
            <w:r>
              <w:rPr>
                <w:spacing w:val="-50"/>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2"/>
              </w:rPr>
              <w:t>.3m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6"/>
                <w:position w:val="8"/>
                <w:sz w:val="15"/>
                <w:szCs w:val="15"/>
              </w:rPr>
              <w:t xml:space="preserve"> </w:t>
            </w:r>
            <w:r>
              <w:rPr>
                <w:spacing w:val="-2"/>
              </w:rPr>
              <w:t>集油坑，</w:t>
            </w:r>
            <w:r>
              <w:rPr>
                <w:rFonts w:ascii="Times New Roman" w:hAnsi="Times New Roman" w:eastAsia="Times New Roman" w:cs="Times New Roman"/>
                <w:spacing w:val="-2"/>
              </w:rPr>
              <w:t>19</w:t>
            </w:r>
            <w:r>
              <w:rPr>
                <w:rFonts w:ascii="Times New Roman" w:hAnsi="Times New Roman" w:eastAsia="Times New Roman" w:cs="Times New Roman"/>
              </w:rPr>
              <w:t xml:space="preserve"> </w:t>
            </w:r>
            <w:r>
              <w:rPr>
                <w:spacing w:val="-1"/>
              </w:rPr>
              <w:t>台</w:t>
            </w:r>
            <w:r>
              <w:rPr>
                <w:spacing w:val="-33"/>
              </w:rPr>
              <w:t xml:space="preserve"> </w:t>
            </w:r>
            <w:r>
              <w:rPr>
                <w:rFonts w:ascii="Times New Roman" w:hAnsi="Times New Roman" w:eastAsia="Times New Roman" w:cs="Times New Roman"/>
                <w:spacing w:val="-1"/>
              </w:rPr>
              <w:t xml:space="preserve">3300kVA </w:t>
            </w:r>
            <w:r>
              <w:rPr>
                <w:spacing w:val="-1"/>
              </w:rPr>
              <w:t>型箱变各设一个</w:t>
            </w:r>
            <w:r>
              <w:rPr>
                <w:spacing w:val="-55"/>
              </w:rPr>
              <w:t xml:space="preserve"> </w:t>
            </w:r>
            <w:r>
              <w:rPr>
                <w:rFonts w:ascii="Times New Roman" w:hAnsi="Times New Roman" w:eastAsia="Times New Roman" w:cs="Times New Roman"/>
                <w:spacing w:val="-1"/>
              </w:rPr>
              <w:t>2.5m</w:t>
            </w:r>
            <w:r>
              <w:rPr>
                <w:rFonts w:ascii="Times New Roman" w:hAnsi="Times New Roman" w:eastAsia="Times New Roman" w:cs="Times New Roman"/>
                <w:spacing w:val="-1"/>
                <w:position w:val="8"/>
                <w:sz w:val="15"/>
                <w:szCs w:val="15"/>
              </w:rPr>
              <w:t xml:space="preserve">3 </w:t>
            </w:r>
            <w:r>
              <w:rPr>
                <w:spacing w:val="-1"/>
              </w:rPr>
              <w:t>集油坑。变压器在事故情况下，泄漏的变压器油流经集</w:t>
            </w:r>
            <w:r>
              <w:t xml:space="preserve"> 油坑内铺设的鹅卵石层（鹅卵石层可起到吸热、散热作用</w:t>
            </w:r>
            <w:r>
              <w:rPr>
                <w:spacing w:val="17"/>
              </w:rPr>
              <w:t>），</w:t>
            </w:r>
            <w:r>
              <w:t xml:space="preserve">并经事故排油管自流进入事 </w:t>
            </w:r>
            <w:r>
              <w:rPr>
                <w:spacing w:val="1"/>
              </w:rPr>
              <w:t>故油池存放；箱变在事故情况下，泄漏的变压器油经排油管自流进入事故</w:t>
            </w:r>
            <w:r>
              <w:t xml:space="preserve">油池存放。严格 </w:t>
            </w:r>
            <w:r>
              <w:rPr>
                <w:spacing w:val="1"/>
              </w:rPr>
              <w:t>做好防渗工程，施工期加强工程监理和环境监理，提高防渗工程质量，做好照</w:t>
            </w:r>
            <w:r>
              <w:t xml:space="preserve">片、录像以 </w:t>
            </w:r>
            <w:r>
              <w:rPr>
                <w:spacing w:val="-1"/>
              </w:rPr>
              <w:t>及相关文字说明等存档资料。</w:t>
            </w:r>
          </w:p>
          <w:p w14:paraId="197E145F">
            <w:pPr>
              <w:pStyle w:val="6"/>
              <w:spacing w:before="31" w:line="355" w:lineRule="auto"/>
              <w:ind w:left="102" w:right="41" w:firstLine="480"/>
            </w:pPr>
            <w:r>
              <w:rPr>
                <w:rFonts w:ascii="Times New Roman" w:hAnsi="Times New Roman" w:eastAsia="Times New Roman" w:cs="Times New Roman"/>
                <w:spacing w:val="-3"/>
              </w:rPr>
              <w:t>B.</w:t>
            </w:r>
            <w:r>
              <w:rPr>
                <w:rFonts w:ascii="Times New Roman" w:hAnsi="Times New Roman" w:eastAsia="Times New Roman" w:cs="Times New Roman"/>
                <w:spacing w:val="24"/>
                <w:w w:val="101"/>
              </w:rPr>
              <w:t xml:space="preserve">  </w:t>
            </w:r>
            <w:r>
              <w:rPr>
                <w:spacing w:val="-3"/>
              </w:rPr>
              <w:t>分区防渗：光伏区的箱式变压器、事故油池，升压站的主变压器、集油坑、事故油</w:t>
            </w:r>
            <w:r>
              <w:t xml:space="preserve"> </w:t>
            </w:r>
            <w:r>
              <w:rPr>
                <w:spacing w:val="10"/>
              </w:rPr>
              <w:t>池和危废贮存库按重点防渗区进行建设，防渗技术要求为：等效黏土防渗层</w:t>
            </w:r>
            <w:r>
              <w:rPr>
                <w:spacing w:val="-39"/>
              </w:rPr>
              <w:t xml:space="preserve"> </w:t>
            </w:r>
            <w:r>
              <w:rPr>
                <w:rFonts w:ascii="Times New Roman" w:hAnsi="Times New Roman" w:eastAsia="Times New Roman" w:cs="Times New Roman"/>
              </w:rPr>
              <w:t>Mb</w:t>
            </w:r>
            <w:r>
              <w:rPr>
                <w:rFonts w:ascii="Times New Roman" w:hAnsi="Times New Roman" w:eastAsia="Times New Roman" w:cs="Times New Roman"/>
                <w:spacing w:val="10"/>
              </w:rPr>
              <w:t>≥6m</w:t>
            </w:r>
            <w:r>
              <w:rPr>
                <w:rFonts w:ascii="Times New Roman" w:hAnsi="Times New Roman" w:eastAsia="Times New Roman" w:cs="Times New Roman"/>
                <w:spacing w:val="-19"/>
              </w:rPr>
              <w:t xml:space="preserve"> </w:t>
            </w:r>
            <w:r>
              <w:rPr>
                <w:spacing w:val="10"/>
              </w:rPr>
              <w:t>，</w:t>
            </w:r>
            <w:r>
              <w:t xml:space="preserve"> </w:t>
            </w:r>
            <w:r>
              <w:rPr>
                <w:rFonts w:ascii="Times New Roman" w:hAnsi="Times New Roman" w:eastAsia="Times New Roman" w:cs="Times New Roman"/>
              </w:rPr>
              <w:t>K≤1×10</w:t>
            </w:r>
            <w:r>
              <w:rPr>
                <w:rFonts w:ascii="Times New Roman" w:hAnsi="Times New Roman" w:eastAsia="Times New Roman" w:cs="Times New Roman"/>
                <w:position w:val="8"/>
                <w:sz w:val="15"/>
                <w:szCs w:val="15"/>
              </w:rPr>
              <w:t>-7</w:t>
            </w:r>
            <w:r>
              <w:rPr>
                <w:rFonts w:ascii="Times New Roman" w:hAnsi="Times New Roman" w:eastAsia="Times New Roman" w:cs="Times New Roman"/>
              </w:rPr>
              <w:t>cm/s</w:t>
            </w:r>
            <w:r>
              <w:rPr>
                <w:rFonts w:ascii="Times New Roman" w:hAnsi="Times New Roman" w:eastAsia="Times New Roman" w:cs="Times New Roman"/>
                <w:spacing w:val="-31"/>
              </w:rPr>
              <w:t xml:space="preserve"> </w:t>
            </w:r>
            <w:r>
              <w:t>，或至少</w:t>
            </w:r>
            <w:r>
              <w:rPr>
                <w:spacing w:val="-55"/>
              </w:rPr>
              <w:t xml:space="preserve"> </w:t>
            </w:r>
            <w:r>
              <w:rPr>
                <w:rFonts w:ascii="Times New Roman" w:hAnsi="Times New Roman" w:eastAsia="Times New Roman" w:cs="Times New Roman"/>
              </w:rPr>
              <w:t xml:space="preserve">2mm </w:t>
            </w:r>
            <w:r>
              <w:rPr>
                <w:spacing w:val="-1"/>
              </w:rPr>
              <w:t>厚高密度聚乙烯膜等人工防渗材料（渗透系数</w:t>
            </w:r>
            <w:r>
              <w:rPr>
                <w:rFonts w:ascii="Times New Roman" w:hAnsi="Times New Roman" w:eastAsia="Times New Roman" w:cs="Times New Roman"/>
                <w:spacing w:val="-1"/>
              </w:rPr>
              <w:t>≤1×10</w:t>
            </w:r>
            <w:r>
              <w:rPr>
                <w:rFonts w:ascii="Times New Roman" w:hAnsi="Times New Roman" w:eastAsia="Times New Roman" w:cs="Times New Roman"/>
                <w:spacing w:val="-1"/>
                <w:position w:val="8"/>
                <w:sz w:val="15"/>
                <w:szCs w:val="15"/>
              </w:rPr>
              <w:t>-10</w:t>
            </w:r>
            <w:r>
              <w:rPr>
                <w:rFonts w:ascii="Times New Roman" w:hAnsi="Times New Roman" w:eastAsia="Times New Roman" w:cs="Times New Roman"/>
                <w:spacing w:val="-1"/>
              </w:rPr>
              <w:t>cm/s</w:t>
            </w:r>
            <w:r>
              <w:rPr>
                <w:spacing w:val="-29"/>
              </w:rPr>
              <w:t>），</w:t>
            </w:r>
            <w:r>
              <w:t xml:space="preserve"> </w:t>
            </w:r>
            <w:r>
              <w:rPr>
                <w:spacing w:val="1"/>
              </w:rPr>
              <w:t>或其他防渗性能等效的材料；其他生产区按一般防渗区进行建设，防渗技术</w:t>
            </w:r>
            <w:r>
              <w:t xml:space="preserve">要求为：粘土 </w:t>
            </w:r>
            <w:r>
              <w:rPr>
                <w:spacing w:val="-2"/>
              </w:rPr>
              <w:t>衬层厚度应不小于</w:t>
            </w:r>
            <w:r>
              <w:rPr>
                <w:spacing w:val="-51"/>
              </w:rPr>
              <w:t xml:space="preserve"> </w:t>
            </w:r>
            <w:r>
              <w:rPr>
                <w:rFonts w:ascii="Times New Roman" w:hAnsi="Times New Roman" w:eastAsia="Times New Roman" w:cs="Times New Roman"/>
                <w:spacing w:val="-2"/>
              </w:rPr>
              <w:t>0.75m</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pacing w:val="-2"/>
                <w:position w:val="7"/>
                <w:sz w:val="15"/>
                <w:szCs w:val="15"/>
              </w:rPr>
              <w:t>-7</w:t>
            </w:r>
            <w:r>
              <w:rPr>
                <w:rFonts w:ascii="Times New Roman" w:hAnsi="Times New Roman" w:eastAsia="Times New Roman" w:cs="Times New Roman"/>
                <w:spacing w:val="-2"/>
              </w:rPr>
              <w:t>cm/s</w:t>
            </w:r>
            <w:r>
              <w:rPr>
                <w:spacing w:val="-2"/>
              </w:rPr>
              <w:t>；升压站占地区域内综合楼和附属用房进行</w:t>
            </w:r>
            <w:r>
              <w:rPr>
                <w:spacing w:val="-3"/>
              </w:rPr>
              <w:t>简单防</w:t>
            </w:r>
            <w:r>
              <w:t xml:space="preserve"> </w:t>
            </w:r>
            <w:r>
              <w:rPr>
                <w:spacing w:val="-1"/>
              </w:rPr>
              <w:t>渗，采取一般地面水泥硬化。</w:t>
            </w:r>
          </w:p>
          <w:p w14:paraId="28CD5B7B">
            <w:pPr>
              <w:pStyle w:val="6"/>
              <w:spacing w:before="36" w:line="219" w:lineRule="auto"/>
              <w:ind w:left="651"/>
            </w:pPr>
            <w:r>
              <w:rPr>
                <w:rFonts w:ascii="Times New Roman" w:hAnsi="Times New Roman" w:eastAsia="Times New Roman" w:cs="Times New Roman"/>
                <w:spacing w:val="-1"/>
              </w:rPr>
              <w:t>C.</w:t>
            </w:r>
            <w:r>
              <w:rPr>
                <w:spacing w:val="-1"/>
              </w:rPr>
              <w:t>运营期定期检查各储存设施，避免出现泄漏等不良情况；</w:t>
            </w:r>
          </w:p>
          <w:p w14:paraId="0BE26B2F">
            <w:pPr>
              <w:pStyle w:val="6"/>
              <w:spacing w:before="181" w:line="344" w:lineRule="auto"/>
              <w:ind w:left="106" w:right="41" w:firstLine="466"/>
            </w:pPr>
            <w:r>
              <w:rPr>
                <w:rFonts w:ascii="Times New Roman" w:hAnsi="Times New Roman" w:eastAsia="Times New Roman" w:cs="Times New Roman"/>
                <w:spacing w:val="-3"/>
              </w:rPr>
              <w:t>D.</w:t>
            </w:r>
            <w:r>
              <w:rPr>
                <w:spacing w:val="-3"/>
              </w:rPr>
              <w:t>危废贮存库设置有导流沟和收集池，若废变压器油、事故废油</w:t>
            </w:r>
            <w:r>
              <w:rPr>
                <w:spacing w:val="-4"/>
              </w:rPr>
              <w:t>确实发生了泄漏事故，</w:t>
            </w:r>
            <w:r>
              <w:t xml:space="preserve"> </w:t>
            </w:r>
            <w:r>
              <w:rPr>
                <w:spacing w:val="-1"/>
              </w:rPr>
              <w:t>及时切断泄漏源，封闭现场，采用合适的材料收容泄漏物；</w:t>
            </w:r>
          </w:p>
          <w:p w14:paraId="606FB5D2">
            <w:pPr>
              <w:pStyle w:val="6"/>
              <w:spacing w:before="39" w:line="350" w:lineRule="auto"/>
              <w:ind w:left="107" w:right="102" w:firstLine="466"/>
            </w:pPr>
            <w:r>
              <w:rPr>
                <w:rFonts w:ascii="Times New Roman" w:hAnsi="Times New Roman" w:eastAsia="Times New Roman" w:cs="Times New Roman"/>
                <w:spacing w:val="2"/>
              </w:rPr>
              <w:t>E.</w:t>
            </w:r>
            <w:r>
              <w:rPr>
                <w:spacing w:val="2"/>
              </w:rPr>
              <w:t>废铅蓄电池内的硫酸和铅泄漏可及时用石灰覆盖、中和，并采用收集桶单独收集后</w:t>
            </w:r>
            <w:r>
              <w:rPr>
                <w:spacing w:val="1"/>
              </w:rPr>
              <w:t xml:space="preserve"> </w:t>
            </w:r>
            <w:r>
              <w:rPr>
                <w:spacing w:val="-3"/>
              </w:rPr>
              <w:t>装入耐酸、耐腐蚀的不锈钢内衬</w:t>
            </w:r>
            <w:r>
              <w:rPr>
                <w:spacing w:val="-56"/>
              </w:rPr>
              <w:t xml:space="preserve"> </w:t>
            </w:r>
            <w:r>
              <w:rPr>
                <w:rFonts w:ascii="Times New Roman" w:hAnsi="Times New Roman" w:eastAsia="Times New Roman" w:cs="Times New Roman"/>
                <w:spacing w:val="-3"/>
              </w:rPr>
              <w:t xml:space="preserve">PE </w:t>
            </w:r>
            <w:r>
              <w:rPr>
                <w:spacing w:val="-3"/>
              </w:rPr>
              <w:t>材质密闭周转箱内，暂存于危</w:t>
            </w:r>
            <w:r>
              <w:rPr>
                <w:spacing w:val="-4"/>
              </w:rPr>
              <w:t>废贮存库内，委托有相应</w:t>
            </w:r>
            <w:r>
              <w:t xml:space="preserve"> </w:t>
            </w:r>
            <w:r>
              <w:rPr>
                <w:spacing w:val="-2"/>
              </w:rPr>
              <w:t>资质单位清运处置；</w:t>
            </w:r>
          </w:p>
          <w:p w14:paraId="49F417EB">
            <w:pPr>
              <w:pStyle w:val="6"/>
              <w:spacing w:before="36" w:line="350" w:lineRule="auto"/>
              <w:ind w:left="110" w:right="102" w:firstLine="461"/>
              <w:jc w:val="both"/>
            </w:pPr>
            <w:r>
              <w:rPr>
                <w:rFonts w:ascii="Times New Roman" w:hAnsi="Times New Roman" w:eastAsia="Times New Roman" w:cs="Times New Roman"/>
                <w:spacing w:val="-1"/>
              </w:rPr>
              <w:t>F.</w:t>
            </w:r>
            <w:r>
              <w:rPr>
                <w:spacing w:val="-1"/>
              </w:rPr>
              <w:t>危险废物的贮存严格按照《危险废物贮存污染控制标准》（</w:t>
            </w:r>
            <w:r>
              <w:rPr>
                <w:rFonts w:ascii="Times New Roman" w:hAnsi="Times New Roman" w:eastAsia="Times New Roman" w:cs="Times New Roman"/>
                <w:spacing w:val="-1"/>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1"/>
              </w:rPr>
              <w:t>18597-2</w:t>
            </w:r>
            <w:r>
              <w:rPr>
                <w:rFonts w:ascii="Times New Roman" w:hAnsi="Times New Roman" w:eastAsia="Times New Roman" w:cs="Times New Roman"/>
                <w:spacing w:val="-2"/>
              </w:rPr>
              <w:t>023</w:t>
            </w:r>
            <w:r>
              <w:rPr>
                <w:spacing w:val="-2"/>
              </w:rPr>
              <w:t>）和《危</w:t>
            </w:r>
            <w:r>
              <w:t xml:space="preserve"> </w:t>
            </w:r>
            <w:r>
              <w:rPr>
                <w:spacing w:val="-2"/>
              </w:rPr>
              <w:t>险废物收集、贮存、运输技术规范》（</w:t>
            </w:r>
            <w:r>
              <w:rPr>
                <w:rFonts w:ascii="Times New Roman" w:hAnsi="Times New Roman" w:eastAsia="Times New Roman" w:cs="Times New Roman"/>
                <w:spacing w:val="-2"/>
              </w:rPr>
              <w:t>HJ2025-2012</w:t>
            </w:r>
            <w:r>
              <w:rPr>
                <w:spacing w:val="-2"/>
              </w:rPr>
              <w:t>）的相关要求执行，危险废物在升压站</w:t>
            </w:r>
            <w:r>
              <w:rPr>
                <w:spacing w:val="10"/>
              </w:rPr>
              <w:t xml:space="preserve"> </w:t>
            </w:r>
            <w:r>
              <w:rPr>
                <w:spacing w:val="-2"/>
              </w:rPr>
              <w:t>危废贮存库分类分区存放；</w:t>
            </w:r>
          </w:p>
          <w:p w14:paraId="0C8A843A">
            <w:pPr>
              <w:pStyle w:val="6"/>
              <w:spacing w:before="32" w:line="347" w:lineRule="auto"/>
              <w:ind w:left="133" w:right="102" w:firstLine="452"/>
            </w:pPr>
            <w:r>
              <w:rPr>
                <w:rFonts w:ascii="Times New Roman" w:hAnsi="Times New Roman" w:eastAsia="Times New Roman" w:cs="Times New Roman"/>
                <w:spacing w:val="1"/>
              </w:rPr>
              <w:t>G.</w:t>
            </w:r>
            <w:r>
              <w:rPr>
                <w:spacing w:val="1"/>
              </w:rPr>
              <w:t>加强对操作人员的岗位培训，建立健全的环保管理机制和各项环保规章制度，落实</w:t>
            </w:r>
            <w:r>
              <w:t xml:space="preserve"> </w:t>
            </w:r>
            <w:r>
              <w:rPr>
                <w:spacing w:val="-1"/>
              </w:rPr>
              <w:t>岗位环保责任制，加强环境风险防范工作，防止事故排放导致</w:t>
            </w:r>
            <w:r>
              <w:rPr>
                <w:spacing w:val="-2"/>
              </w:rPr>
              <w:t>环境问题。</w:t>
            </w:r>
          </w:p>
          <w:p w14:paraId="6ACF0D58">
            <w:pPr>
              <w:pStyle w:val="6"/>
              <w:spacing w:before="33" w:line="217" w:lineRule="auto"/>
              <w:ind w:left="588"/>
              <w:outlineLvl w:val="0"/>
            </w:pPr>
            <w:r>
              <w:rPr>
                <w:spacing w:val="-1"/>
              </w:rPr>
              <w:t>②突发环境风险事件应急预案</w:t>
            </w:r>
          </w:p>
          <w:p w14:paraId="1EAED53D">
            <w:pPr>
              <w:pStyle w:val="6"/>
              <w:spacing w:before="186" w:line="342" w:lineRule="auto"/>
              <w:ind w:left="111" w:right="102" w:firstLine="476"/>
            </w:pPr>
            <w:r>
              <w:rPr>
                <w:spacing w:val="1"/>
              </w:rPr>
              <w:t>针对本项目可能发生的突发事故，为了将风险事故率降低到最低，建</w:t>
            </w:r>
            <w:r>
              <w:t xml:space="preserve">设单位应编制突 </w:t>
            </w:r>
            <w:r>
              <w:rPr>
                <w:spacing w:val="1"/>
              </w:rPr>
              <w:t>发环境事件应急预案并报昆明市生态环境局寻甸分局备案。</w:t>
            </w:r>
            <w:r>
              <w:t>建设单位应严格按照《企业突</w:t>
            </w:r>
          </w:p>
        </w:tc>
      </w:tr>
    </w:tbl>
    <w:p w14:paraId="36F3A6C8">
      <w:pPr>
        <w:rPr>
          <w:rFonts w:ascii="Arial"/>
          <w:sz w:val="21"/>
        </w:rPr>
      </w:pPr>
    </w:p>
    <w:p w14:paraId="6D99205B">
      <w:pPr>
        <w:rPr>
          <w:rFonts w:ascii="Arial" w:hAnsi="Arial" w:eastAsia="Arial" w:cs="Arial"/>
          <w:sz w:val="21"/>
          <w:szCs w:val="21"/>
        </w:rPr>
        <w:sectPr>
          <w:footerReference r:id="rId147" w:type="default"/>
          <w:pgSz w:w="11907" w:h="16840"/>
          <w:pgMar w:top="1431" w:right="907" w:bottom="1278" w:left="907" w:header="0" w:footer="1116" w:gutter="0"/>
          <w:cols w:space="720" w:num="1"/>
        </w:sectPr>
      </w:pPr>
    </w:p>
    <w:p w14:paraId="36629035">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20310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89" w:hRule="atLeast"/>
        </w:trPr>
        <w:tc>
          <w:tcPr>
            <w:tcW w:w="465" w:type="dxa"/>
            <w:tcBorders>
              <w:bottom w:val="single" w:color="000000" w:sz="4" w:space="0"/>
              <w:right w:val="single" w:color="000000" w:sz="2" w:space="0"/>
            </w:tcBorders>
            <w:vAlign w:val="top"/>
          </w:tcPr>
          <w:p w14:paraId="03C74B82">
            <w:pPr>
              <w:rPr>
                <w:rFonts w:ascii="Arial"/>
                <w:sz w:val="21"/>
              </w:rPr>
            </w:pPr>
          </w:p>
        </w:tc>
        <w:tc>
          <w:tcPr>
            <w:tcW w:w="9612" w:type="dxa"/>
            <w:tcBorders>
              <w:left w:val="single" w:color="000000" w:sz="2" w:space="0"/>
              <w:bottom w:val="single" w:color="000000" w:sz="4" w:space="0"/>
            </w:tcBorders>
            <w:vAlign w:val="top"/>
          </w:tcPr>
          <w:p w14:paraId="07B17A51">
            <w:pPr>
              <w:pStyle w:val="6"/>
              <w:spacing w:before="40" w:line="349" w:lineRule="auto"/>
              <w:ind w:left="107" w:right="102" w:firstLine="3"/>
              <w:jc w:val="both"/>
            </w:pPr>
            <w:r>
              <w:rPr>
                <w:spacing w:val="1"/>
              </w:rPr>
              <w:t>发环境事件风险分级方法》（</w:t>
            </w:r>
            <w:r>
              <w:rPr>
                <w:rFonts w:ascii="Times New Roman" w:hAnsi="Times New Roman" w:eastAsia="Times New Roman" w:cs="Times New Roman"/>
              </w:rPr>
              <w:t>HJ</w:t>
            </w:r>
            <w:r>
              <w:rPr>
                <w:rFonts w:ascii="Times New Roman" w:hAnsi="Times New Roman" w:eastAsia="Times New Roman" w:cs="Times New Roman"/>
                <w:spacing w:val="1"/>
              </w:rPr>
              <w:t>941-2018</w:t>
            </w:r>
            <w:r>
              <w:rPr>
                <w:spacing w:val="1"/>
              </w:rPr>
              <w:t>）、《企业突发环境事件应急预案编制指</w:t>
            </w:r>
            <w:r>
              <w:t xml:space="preserve">南》和 </w:t>
            </w:r>
            <w:r>
              <w:rPr>
                <w:spacing w:val="1"/>
              </w:rPr>
              <w:t>《企业突发环境事件风险评估指南（试行）》开展应急预案的编制工</w:t>
            </w:r>
            <w:r>
              <w:t>作，包括环境风险评 估报告、环境应急资源调查报告和突发环境</w:t>
            </w:r>
            <w:r>
              <w:rPr>
                <w:spacing w:val="-1"/>
              </w:rPr>
              <w:t>事件应急预案三个报告。</w:t>
            </w:r>
          </w:p>
          <w:p w14:paraId="431C0F14">
            <w:pPr>
              <w:pStyle w:val="6"/>
              <w:spacing w:before="38" w:line="220" w:lineRule="auto"/>
              <w:ind w:left="588"/>
            </w:pPr>
            <w:r>
              <w:rPr>
                <w:rFonts w:ascii="Times New Roman" w:hAnsi="Times New Roman" w:eastAsia="Times New Roman" w:cs="Times New Roman"/>
                <w:b/>
                <w:bCs/>
                <w:spacing w:val="-3"/>
              </w:rPr>
              <w:t>7</w:t>
            </w:r>
            <w:r>
              <w:rPr>
                <w:b/>
                <w:bCs/>
                <w:spacing w:val="-3"/>
              </w:rPr>
              <w:t>）环境风险分析结论</w:t>
            </w:r>
          </w:p>
          <w:p w14:paraId="462BFD67">
            <w:pPr>
              <w:pStyle w:val="6"/>
              <w:spacing w:before="181" w:line="350" w:lineRule="auto"/>
              <w:ind w:left="108" w:right="102" w:firstLine="480"/>
              <w:jc w:val="both"/>
            </w:pPr>
            <w:r>
              <w:rPr>
                <w:spacing w:val="-3"/>
              </w:rPr>
              <w:t>本项目环境风险潜势为</w:t>
            </w:r>
            <w:r>
              <w:rPr>
                <w:spacing w:val="-54"/>
              </w:rPr>
              <w:t xml:space="preserve"> </w:t>
            </w:r>
            <w:r>
              <w:rPr>
                <w:rFonts w:ascii="Times New Roman" w:hAnsi="Times New Roman" w:eastAsia="Times New Roman" w:cs="Times New Roman"/>
                <w:spacing w:val="-3"/>
              </w:rPr>
              <w:t>I</w:t>
            </w:r>
            <w:r>
              <w:rPr>
                <w:spacing w:val="-3"/>
              </w:rPr>
              <w:t>，则不设评价等级，仅进行简单分析。根据《建设项目</w:t>
            </w:r>
            <w:r>
              <w:rPr>
                <w:spacing w:val="-4"/>
              </w:rPr>
              <w:t>环境风</w:t>
            </w:r>
            <w:r>
              <w:t xml:space="preserve"> </w:t>
            </w:r>
            <w:r>
              <w:rPr>
                <w:spacing w:val="-1"/>
              </w:rPr>
              <w:t>险评价技术导则》（</w:t>
            </w:r>
            <w:r>
              <w:rPr>
                <w:rFonts w:ascii="Times New Roman" w:hAnsi="Times New Roman" w:eastAsia="Times New Roman" w:cs="Times New Roman"/>
                <w:spacing w:val="-1"/>
              </w:rPr>
              <w:t>HJ169-2018</w:t>
            </w:r>
            <w:r>
              <w:rPr>
                <w:spacing w:val="-1"/>
              </w:rPr>
              <w:t>）的要求，进行环境风险简单分析的项目按照其附录</w:t>
            </w:r>
            <w:r>
              <w:rPr>
                <w:spacing w:val="-56"/>
              </w:rPr>
              <w:t xml:space="preserve"> </w:t>
            </w:r>
            <w:r>
              <w:rPr>
                <w:rFonts w:ascii="Times New Roman" w:hAnsi="Times New Roman" w:eastAsia="Times New Roman" w:cs="Times New Roman"/>
                <w:spacing w:val="-1"/>
              </w:rPr>
              <w:t>A</w:t>
            </w:r>
            <w:r>
              <w:rPr>
                <w:rFonts w:ascii="Times New Roman" w:hAnsi="Times New Roman" w:eastAsia="Times New Roman" w:cs="Times New Roman"/>
                <w:spacing w:val="29"/>
              </w:rPr>
              <w:t xml:space="preserve"> </w:t>
            </w:r>
            <w:r>
              <w:rPr>
                <w:spacing w:val="-1"/>
              </w:rPr>
              <w:t>的</w:t>
            </w:r>
            <w:r>
              <w:t xml:space="preserve"> </w:t>
            </w:r>
            <w:r>
              <w:rPr>
                <w:spacing w:val="-1"/>
              </w:rPr>
              <w:t>要求填写建设项目环境风险简单分析内容表。具体如下。</w:t>
            </w:r>
          </w:p>
          <w:p w14:paraId="745BABAD">
            <w:pPr>
              <w:pStyle w:val="6"/>
              <w:spacing w:before="30" w:line="223" w:lineRule="auto"/>
              <w:ind w:left="3007"/>
              <w:rPr>
                <w:sz w:val="20"/>
                <w:szCs w:val="20"/>
              </w:rPr>
            </w:pPr>
            <w:r>
              <w:rPr>
                <w:b/>
                <w:bCs/>
                <w:spacing w:val="6"/>
                <w:sz w:val="20"/>
                <w:szCs w:val="20"/>
              </w:rPr>
              <w:t>表</w:t>
            </w:r>
            <w:r>
              <w:rPr>
                <w:spacing w:val="-35"/>
                <w:sz w:val="20"/>
                <w:szCs w:val="20"/>
              </w:rPr>
              <w:t xml:space="preserve"> </w:t>
            </w:r>
            <w:r>
              <w:rPr>
                <w:rFonts w:ascii="Times New Roman" w:hAnsi="Times New Roman" w:eastAsia="Times New Roman" w:cs="Times New Roman"/>
                <w:b/>
                <w:bCs/>
                <w:spacing w:val="6"/>
                <w:sz w:val="20"/>
                <w:szCs w:val="20"/>
              </w:rPr>
              <w:t xml:space="preserve">4-20    </w:t>
            </w:r>
            <w:r>
              <w:rPr>
                <w:b/>
                <w:bCs/>
                <w:spacing w:val="6"/>
                <w:sz w:val="20"/>
                <w:szCs w:val="20"/>
              </w:rPr>
              <w:t>建设项目环境风险简单分析内容表</w:t>
            </w:r>
          </w:p>
          <w:tbl>
            <w:tblPr>
              <w:tblStyle w:val="5"/>
              <w:tblW w:w="9389"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7"/>
              <w:gridCol w:w="7912"/>
            </w:tblGrid>
            <w:tr w14:paraId="46AC7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77" w:type="dxa"/>
                  <w:vAlign w:val="top"/>
                </w:tcPr>
                <w:p w14:paraId="002565B9">
                  <w:pPr>
                    <w:pStyle w:val="6"/>
                    <w:spacing w:before="36" w:line="218" w:lineRule="auto"/>
                    <w:ind w:left="67"/>
                    <w:rPr>
                      <w:sz w:val="20"/>
                      <w:szCs w:val="20"/>
                    </w:rPr>
                  </w:pPr>
                  <w:r>
                    <w:rPr>
                      <w:spacing w:val="7"/>
                      <w:sz w:val="20"/>
                      <w:szCs w:val="20"/>
                    </w:rPr>
                    <w:t>建设项目名称</w:t>
                  </w:r>
                </w:p>
              </w:tc>
              <w:tc>
                <w:tcPr>
                  <w:tcW w:w="7912" w:type="dxa"/>
                  <w:vAlign w:val="top"/>
                </w:tcPr>
                <w:p w14:paraId="2BEADBC5">
                  <w:pPr>
                    <w:pStyle w:val="6"/>
                    <w:spacing w:before="36" w:line="218" w:lineRule="auto"/>
                    <w:ind w:left="61"/>
                    <w:rPr>
                      <w:sz w:val="20"/>
                      <w:szCs w:val="20"/>
                    </w:rPr>
                  </w:pPr>
                  <w:r>
                    <w:rPr>
                      <w:spacing w:val="8"/>
                      <w:sz w:val="20"/>
                      <w:szCs w:val="20"/>
                    </w:rPr>
                    <w:t>化桃箐光伏发电项目</w:t>
                  </w:r>
                </w:p>
              </w:tc>
            </w:tr>
            <w:tr w14:paraId="0E98B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77" w:type="dxa"/>
                  <w:vAlign w:val="top"/>
                </w:tcPr>
                <w:p w14:paraId="7C2666FE">
                  <w:pPr>
                    <w:pStyle w:val="6"/>
                    <w:spacing w:before="29" w:line="219" w:lineRule="auto"/>
                    <w:ind w:left="67"/>
                    <w:rPr>
                      <w:sz w:val="20"/>
                      <w:szCs w:val="20"/>
                    </w:rPr>
                  </w:pPr>
                  <w:r>
                    <w:rPr>
                      <w:spacing w:val="6"/>
                      <w:sz w:val="20"/>
                      <w:szCs w:val="20"/>
                    </w:rPr>
                    <w:t>建设地点</w:t>
                  </w:r>
                </w:p>
              </w:tc>
              <w:tc>
                <w:tcPr>
                  <w:tcW w:w="7912" w:type="dxa"/>
                  <w:vAlign w:val="top"/>
                </w:tcPr>
                <w:p w14:paraId="53741073">
                  <w:pPr>
                    <w:pStyle w:val="6"/>
                    <w:spacing w:before="29" w:line="219" w:lineRule="auto"/>
                    <w:ind w:left="66"/>
                    <w:rPr>
                      <w:sz w:val="20"/>
                      <w:szCs w:val="20"/>
                    </w:rPr>
                  </w:pPr>
                  <w:r>
                    <w:rPr>
                      <w:spacing w:val="9"/>
                      <w:sz w:val="20"/>
                      <w:szCs w:val="20"/>
                    </w:rPr>
                    <w:t>云南省昆明市寻甸回族彝族自治县河口镇境内</w:t>
                  </w:r>
                </w:p>
              </w:tc>
            </w:tr>
            <w:tr w14:paraId="0B4AE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477" w:type="dxa"/>
                  <w:vAlign w:val="top"/>
                </w:tcPr>
                <w:p w14:paraId="742B8470">
                  <w:pPr>
                    <w:pStyle w:val="6"/>
                    <w:spacing w:before="167" w:line="228" w:lineRule="auto"/>
                    <w:ind w:left="64"/>
                    <w:rPr>
                      <w:sz w:val="20"/>
                      <w:szCs w:val="20"/>
                    </w:rPr>
                  </w:pPr>
                  <w:r>
                    <w:rPr>
                      <w:spacing w:val="7"/>
                      <w:sz w:val="20"/>
                      <w:szCs w:val="20"/>
                    </w:rPr>
                    <w:t>地理坐标</w:t>
                  </w:r>
                </w:p>
              </w:tc>
              <w:tc>
                <w:tcPr>
                  <w:tcW w:w="7912" w:type="dxa"/>
                  <w:vAlign w:val="top"/>
                </w:tcPr>
                <w:p w14:paraId="0D9E731D">
                  <w:pPr>
                    <w:pStyle w:val="6"/>
                    <w:spacing w:before="30" w:line="235" w:lineRule="auto"/>
                    <w:ind w:left="225" w:right="56" w:hanging="163"/>
                    <w:rPr>
                      <w:sz w:val="20"/>
                      <w:szCs w:val="20"/>
                    </w:rPr>
                  </w:pPr>
                  <w:r>
                    <w:rPr>
                      <w:spacing w:val="-2"/>
                      <w:sz w:val="20"/>
                      <w:szCs w:val="20"/>
                    </w:rPr>
                    <w:t>光伏场区地理坐标介于东经</w:t>
                  </w:r>
                  <w:r>
                    <w:rPr>
                      <w:spacing w:val="-21"/>
                      <w:sz w:val="20"/>
                      <w:szCs w:val="20"/>
                    </w:rPr>
                    <w:t xml:space="preserve"> </w:t>
                  </w:r>
                  <w:r>
                    <w:rPr>
                      <w:rFonts w:ascii="Times New Roman" w:hAnsi="Times New Roman" w:eastAsia="Times New Roman" w:cs="Times New Roman"/>
                      <w:spacing w:val="-2"/>
                      <w:sz w:val="20"/>
                      <w:szCs w:val="20"/>
                    </w:rPr>
                    <w:t>103</w:t>
                  </w:r>
                  <w:r>
                    <w:rPr>
                      <w:rFonts w:ascii="Times New Roman" w:hAnsi="Times New Roman" w:eastAsia="Times New Roman" w:cs="Times New Roman"/>
                      <w:spacing w:val="-24"/>
                      <w:sz w:val="20"/>
                      <w:szCs w:val="20"/>
                    </w:rPr>
                    <w:t xml:space="preserve"> </w:t>
                  </w:r>
                  <w:r>
                    <w:rPr>
                      <w:spacing w:val="-2"/>
                      <w:sz w:val="20"/>
                      <w:szCs w:val="20"/>
                    </w:rPr>
                    <w:t>°</w:t>
                  </w:r>
                  <w:r>
                    <w:rPr>
                      <w:rFonts w:ascii="Times New Roman" w:hAnsi="Times New Roman" w:eastAsia="Times New Roman" w:cs="Times New Roman"/>
                      <w:spacing w:val="-2"/>
                      <w:sz w:val="20"/>
                      <w:szCs w:val="20"/>
                    </w:rPr>
                    <w:t>22</w:t>
                  </w:r>
                  <w:r>
                    <w:rPr>
                      <w:rFonts w:ascii="Times New Roman" w:hAnsi="Times New Roman" w:eastAsia="Times New Roman" w:cs="Times New Roman"/>
                      <w:spacing w:val="-11"/>
                      <w:sz w:val="20"/>
                      <w:szCs w:val="20"/>
                    </w:rPr>
                    <w:t xml:space="preserve"> </w:t>
                  </w:r>
                  <w:r>
                    <w:rPr>
                      <w:spacing w:val="-2"/>
                      <w:sz w:val="20"/>
                      <w:szCs w:val="20"/>
                    </w:rPr>
                    <w:t>′</w:t>
                  </w:r>
                  <w:r>
                    <w:rPr>
                      <w:rFonts w:ascii="Times New Roman" w:hAnsi="Times New Roman" w:eastAsia="Times New Roman" w:cs="Times New Roman"/>
                      <w:spacing w:val="-3"/>
                      <w:sz w:val="20"/>
                      <w:szCs w:val="20"/>
                    </w:rPr>
                    <w:t>30</w:t>
                  </w:r>
                  <w:r>
                    <w:rPr>
                      <w:rFonts w:ascii="Times New Roman" w:hAnsi="Times New Roman" w:eastAsia="Times New Roman" w:cs="Times New Roman"/>
                      <w:spacing w:val="-11"/>
                      <w:sz w:val="20"/>
                      <w:szCs w:val="20"/>
                    </w:rPr>
                    <w:t xml:space="preserve"> </w:t>
                  </w:r>
                  <w:r>
                    <w:rPr>
                      <w:spacing w:val="-3"/>
                      <w:sz w:val="20"/>
                      <w:szCs w:val="20"/>
                    </w:rPr>
                    <w:t>″</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3"/>
                      <w:sz w:val="20"/>
                      <w:szCs w:val="20"/>
                    </w:rPr>
                    <w:t>103</w:t>
                  </w:r>
                  <w:r>
                    <w:rPr>
                      <w:rFonts w:ascii="Times New Roman" w:hAnsi="Times New Roman" w:eastAsia="Times New Roman" w:cs="Times New Roman"/>
                      <w:spacing w:val="-21"/>
                      <w:sz w:val="20"/>
                      <w:szCs w:val="20"/>
                    </w:rPr>
                    <w:t xml:space="preserve"> </w:t>
                  </w:r>
                  <w:r>
                    <w:rPr>
                      <w:spacing w:val="-3"/>
                      <w:sz w:val="20"/>
                      <w:szCs w:val="20"/>
                    </w:rPr>
                    <w:t>°</w:t>
                  </w:r>
                  <w:r>
                    <w:rPr>
                      <w:rFonts w:ascii="Times New Roman" w:hAnsi="Times New Roman" w:eastAsia="Times New Roman" w:cs="Times New Roman"/>
                      <w:spacing w:val="-3"/>
                      <w:sz w:val="20"/>
                      <w:szCs w:val="20"/>
                    </w:rPr>
                    <w:t>28</w:t>
                  </w:r>
                  <w:r>
                    <w:rPr>
                      <w:rFonts w:ascii="Times New Roman" w:hAnsi="Times New Roman" w:eastAsia="Times New Roman" w:cs="Times New Roman"/>
                      <w:spacing w:val="-14"/>
                      <w:sz w:val="20"/>
                      <w:szCs w:val="20"/>
                    </w:rPr>
                    <w:t xml:space="preserve"> </w:t>
                  </w:r>
                  <w:r>
                    <w:rPr>
                      <w:spacing w:val="-3"/>
                      <w:sz w:val="20"/>
                      <w:szCs w:val="20"/>
                    </w:rPr>
                    <w:t>′</w:t>
                  </w:r>
                  <w:r>
                    <w:rPr>
                      <w:rFonts w:ascii="Times New Roman" w:hAnsi="Times New Roman" w:eastAsia="Times New Roman" w:cs="Times New Roman"/>
                      <w:spacing w:val="-3"/>
                      <w:sz w:val="20"/>
                      <w:szCs w:val="20"/>
                    </w:rPr>
                    <w:t>20</w:t>
                  </w:r>
                  <w:r>
                    <w:rPr>
                      <w:rFonts w:ascii="Times New Roman" w:hAnsi="Times New Roman" w:eastAsia="Times New Roman" w:cs="Times New Roman"/>
                      <w:spacing w:val="-13"/>
                      <w:sz w:val="20"/>
                      <w:szCs w:val="20"/>
                    </w:rPr>
                    <w:t xml:space="preserve"> </w:t>
                  </w:r>
                  <w:r>
                    <w:rPr>
                      <w:spacing w:val="-3"/>
                      <w:sz w:val="20"/>
                      <w:szCs w:val="20"/>
                    </w:rPr>
                    <w:t>″，北纬</w:t>
                  </w:r>
                  <w:r>
                    <w:rPr>
                      <w:spacing w:val="-38"/>
                      <w:sz w:val="20"/>
                      <w:szCs w:val="20"/>
                    </w:rPr>
                    <w:t xml:space="preserve"> </w:t>
                  </w:r>
                  <w:r>
                    <w:rPr>
                      <w:rFonts w:ascii="Times New Roman" w:hAnsi="Times New Roman" w:eastAsia="Times New Roman" w:cs="Times New Roman"/>
                      <w:spacing w:val="-3"/>
                      <w:sz w:val="20"/>
                      <w:szCs w:val="20"/>
                    </w:rPr>
                    <w:t>25</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42</w:t>
                  </w:r>
                  <w:r>
                    <w:rPr>
                      <w:rFonts w:ascii="Times New Roman" w:hAnsi="Times New Roman" w:eastAsia="Times New Roman" w:cs="Times New Roman"/>
                      <w:spacing w:val="-14"/>
                      <w:sz w:val="20"/>
                      <w:szCs w:val="20"/>
                    </w:rPr>
                    <w:t xml:space="preserve"> </w:t>
                  </w:r>
                  <w:r>
                    <w:rPr>
                      <w:spacing w:val="-3"/>
                      <w:sz w:val="20"/>
                      <w:szCs w:val="20"/>
                    </w:rPr>
                    <w:t>′</w:t>
                  </w:r>
                  <w:r>
                    <w:rPr>
                      <w:rFonts w:ascii="Times New Roman" w:hAnsi="Times New Roman" w:eastAsia="Times New Roman" w:cs="Times New Roman"/>
                      <w:spacing w:val="-3"/>
                      <w:sz w:val="20"/>
                      <w:szCs w:val="20"/>
                    </w:rPr>
                    <w:t>30</w:t>
                  </w:r>
                  <w:r>
                    <w:rPr>
                      <w:rFonts w:ascii="Times New Roman" w:hAnsi="Times New Roman" w:eastAsia="Times New Roman" w:cs="Times New Roman"/>
                      <w:spacing w:val="-13"/>
                      <w:sz w:val="20"/>
                      <w:szCs w:val="20"/>
                    </w:rPr>
                    <w:t xml:space="preserve"> </w:t>
                  </w:r>
                  <w:r>
                    <w:rPr>
                      <w:spacing w:val="-3"/>
                      <w:sz w:val="20"/>
                      <w:szCs w:val="20"/>
                    </w:rPr>
                    <w:t>″</w:t>
                  </w:r>
                  <w:r>
                    <w:rPr>
                      <w:rFonts w:ascii="Times New Roman" w:hAnsi="Times New Roman" w:eastAsia="Times New Roman" w:cs="Times New Roman"/>
                      <w:spacing w:val="-3"/>
                      <w:sz w:val="20"/>
                      <w:szCs w:val="20"/>
                    </w:rPr>
                    <w:t>~26</w:t>
                  </w:r>
                  <w:r>
                    <w:rPr>
                      <w:rFonts w:ascii="Times New Roman" w:hAnsi="Times New Roman" w:eastAsia="Times New Roman" w:cs="Times New Roman"/>
                      <w:spacing w:val="-22"/>
                      <w:sz w:val="20"/>
                      <w:szCs w:val="20"/>
                    </w:rPr>
                    <w:t xml:space="preserve"> </w:t>
                  </w:r>
                  <w:r>
                    <w:rPr>
                      <w:spacing w:val="-3"/>
                      <w:sz w:val="20"/>
                      <w:szCs w:val="20"/>
                    </w:rPr>
                    <w:t>°</w:t>
                  </w:r>
                  <w:r>
                    <w:rPr>
                      <w:sz w:val="20"/>
                      <w:szCs w:val="20"/>
                    </w:rPr>
                    <w:t xml:space="preserve"> </w:t>
                  </w:r>
                  <w:r>
                    <w:rPr>
                      <w:rFonts w:ascii="Times New Roman" w:hAnsi="Times New Roman" w:eastAsia="Times New Roman" w:cs="Times New Roman"/>
                      <w:sz w:val="20"/>
                      <w:szCs w:val="20"/>
                    </w:rPr>
                    <w:t>40</w:t>
                  </w:r>
                  <w:r>
                    <w:rPr>
                      <w:rFonts w:ascii="Times New Roman" w:hAnsi="Times New Roman" w:eastAsia="Times New Roman" w:cs="Times New Roman"/>
                      <w:spacing w:val="-5"/>
                      <w:sz w:val="20"/>
                      <w:szCs w:val="20"/>
                    </w:rPr>
                    <w:t xml:space="preserve"> </w:t>
                  </w:r>
                  <w:r>
                    <w:rPr>
                      <w:sz w:val="20"/>
                      <w:szCs w:val="20"/>
                    </w:rPr>
                    <w:t>′</w:t>
                  </w:r>
                  <w:r>
                    <w:rPr>
                      <w:rFonts w:ascii="Times New Roman" w:hAnsi="Times New Roman" w:eastAsia="Times New Roman" w:cs="Times New Roman"/>
                      <w:sz w:val="20"/>
                      <w:szCs w:val="20"/>
                    </w:rPr>
                    <w:t>00</w:t>
                  </w:r>
                  <w:r>
                    <w:rPr>
                      <w:rFonts w:ascii="Times New Roman" w:hAnsi="Times New Roman" w:eastAsia="Times New Roman" w:cs="Times New Roman"/>
                      <w:spacing w:val="-10"/>
                      <w:sz w:val="20"/>
                      <w:szCs w:val="20"/>
                    </w:rPr>
                    <w:t xml:space="preserve"> </w:t>
                  </w:r>
                  <w:r>
                    <w:rPr>
                      <w:sz w:val="20"/>
                      <w:szCs w:val="20"/>
                    </w:rPr>
                    <w:t>″</w:t>
                  </w:r>
                  <w:r>
                    <w:rPr>
                      <w:spacing w:val="-75"/>
                      <w:sz w:val="20"/>
                      <w:szCs w:val="20"/>
                    </w:rPr>
                    <w:t xml:space="preserve"> </w:t>
                  </w:r>
                  <w:r>
                    <w:rPr>
                      <w:sz w:val="20"/>
                      <w:szCs w:val="20"/>
                    </w:rPr>
                    <w:t>，升压站中心坐标位于东经</w:t>
                  </w:r>
                  <w:r>
                    <w:rPr>
                      <w:spacing w:val="-21"/>
                      <w:sz w:val="20"/>
                      <w:szCs w:val="20"/>
                    </w:rPr>
                    <w:t xml:space="preserve"> </w:t>
                  </w:r>
                  <w:r>
                    <w:rPr>
                      <w:rFonts w:ascii="Times New Roman" w:hAnsi="Times New Roman" w:eastAsia="Times New Roman" w:cs="Times New Roman"/>
                      <w:sz w:val="20"/>
                      <w:szCs w:val="20"/>
                    </w:rPr>
                    <w:t>103</w:t>
                  </w:r>
                  <w:r>
                    <w:rPr>
                      <w:rFonts w:ascii="Times New Roman" w:hAnsi="Times New Roman" w:eastAsia="Times New Roman" w:cs="Times New Roman"/>
                      <w:spacing w:val="-24"/>
                      <w:sz w:val="20"/>
                      <w:szCs w:val="20"/>
                    </w:rPr>
                    <w:t xml:space="preserve"> </w:t>
                  </w:r>
                  <w:r>
                    <w:rPr>
                      <w:sz w:val="20"/>
                      <w:szCs w:val="20"/>
                    </w:rPr>
                    <w:t>°</w:t>
                  </w:r>
                  <w:r>
                    <w:rPr>
                      <w:rFonts w:ascii="Times New Roman" w:hAnsi="Times New Roman" w:eastAsia="Times New Roman" w:cs="Times New Roman"/>
                      <w:sz w:val="20"/>
                      <w:szCs w:val="20"/>
                    </w:rPr>
                    <w:t>25</w:t>
                  </w:r>
                  <w:r>
                    <w:rPr>
                      <w:rFonts w:ascii="Times New Roman" w:hAnsi="Times New Roman" w:eastAsia="Times New Roman" w:cs="Times New Roman"/>
                      <w:spacing w:val="-14"/>
                      <w:sz w:val="20"/>
                      <w:szCs w:val="20"/>
                    </w:rPr>
                    <w:t xml:space="preserve"> </w:t>
                  </w:r>
                  <w:r>
                    <w:rPr>
                      <w:sz w:val="20"/>
                      <w:szCs w:val="20"/>
                    </w:rPr>
                    <w:t>′</w:t>
                  </w:r>
                  <w:r>
                    <w:rPr>
                      <w:rFonts w:ascii="Times New Roman" w:hAnsi="Times New Roman" w:eastAsia="Times New Roman" w:cs="Times New Roman"/>
                      <w:sz w:val="20"/>
                      <w:szCs w:val="20"/>
                    </w:rPr>
                    <w:t>28.293</w:t>
                  </w:r>
                  <w:r>
                    <w:rPr>
                      <w:rFonts w:ascii="Times New Roman" w:hAnsi="Times New Roman" w:eastAsia="Times New Roman" w:cs="Times New Roman"/>
                      <w:spacing w:val="-13"/>
                      <w:sz w:val="20"/>
                      <w:szCs w:val="20"/>
                    </w:rPr>
                    <w:t xml:space="preserve"> </w:t>
                  </w:r>
                  <w:r>
                    <w:rPr>
                      <w:sz w:val="20"/>
                      <w:szCs w:val="20"/>
                    </w:rPr>
                    <w:t>″</w:t>
                  </w:r>
                  <w:r>
                    <w:rPr>
                      <w:spacing w:val="-72"/>
                      <w:sz w:val="20"/>
                      <w:szCs w:val="20"/>
                    </w:rPr>
                    <w:t xml:space="preserve"> </w:t>
                  </w:r>
                  <w:r>
                    <w:rPr>
                      <w:sz w:val="20"/>
                      <w:szCs w:val="20"/>
                    </w:rPr>
                    <w:t>，北纬</w:t>
                  </w:r>
                  <w:r>
                    <w:rPr>
                      <w:spacing w:val="-43"/>
                      <w:sz w:val="20"/>
                      <w:szCs w:val="20"/>
                    </w:rPr>
                    <w:t xml:space="preserve"> </w:t>
                  </w:r>
                  <w:r>
                    <w:rPr>
                      <w:rFonts w:ascii="Times New Roman" w:hAnsi="Times New Roman" w:eastAsia="Times New Roman" w:cs="Times New Roman"/>
                      <w:sz w:val="20"/>
                      <w:szCs w:val="20"/>
                    </w:rPr>
                    <w:t>25</w:t>
                  </w:r>
                  <w:r>
                    <w:rPr>
                      <w:rFonts w:ascii="Times New Roman" w:hAnsi="Times New Roman" w:eastAsia="Times New Roman" w:cs="Times New Roman"/>
                      <w:spacing w:val="-22"/>
                      <w:sz w:val="20"/>
                      <w:szCs w:val="20"/>
                    </w:rPr>
                    <w:t xml:space="preserve"> </w:t>
                  </w:r>
                  <w:r>
                    <w:rPr>
                      <w:sz w:val="20"/>
                      <w:szCs w:val="20"/>
                    </w:rPr>
                    <w:t>°</w:t>
                  </w:r>
                  <w:r>
                    <w:rPr>
                      <w:rFonts w:ascii="Times New Roman" w:hAnsi="Times New Roman" w:eastAsia="Times New Roman" w:cs="Times New Roman"/>
                      <w:sz w:val="20"/>
                      <w:szCs w:val="20"/>
                    </w:rPr>
                    <w:t>41</w:t>
                  </w:r>
                  <w:r>
                    <w:rPr>
                      <w:rFonts w:ascii="Times New Roman" w:hAnsi="Times New Roman" w:eastAsia="Times New Roman" w:cs="Times New Roman"/>
                      <w:spacing w:val="-11"/>
                      <w:sz w:val="20"/>
                      <w:szCs w:val="20"/>
                    </w:rPr>
                    <w:t xml:space="preserve"> </w:t>
                  </w:r>
                  <w:r>
                    <w:rPr>
                      <w:sz w:val="20"/>
                      <w:szCs w:val="20"/>
                    </w:rPr>
                    <w:t>′</w:t>
                  </w:r>
                  <w:r>
                    <w:rPr>
                      <w:rFonts w:ascii="Times New Roman" w:hAnsi="Times New Roman" w:eastAsia="Times New Roman" w:cs="Times New Roman"/>
                      <w:sz w:val="20"/>
                      <w:szCs w:val="20"/>
                    </w:rPr>
                    <w:t>32.340</w:t>
                  </w:r>
                  <w:r>
                    <w:rPr>
                      <w:rFonts w:ascii="Times New Roman" w:hAnsi="Times New Roman" w:eastAsia="Times New Roman" w:cs="Times New Roman"/>
                      <w:spacing w:val="-11"/>
                      <w:sz w:val="20"/>
                      <w:szCs w:val="20"/>
                    </w:rPr>
                    <w:t xml:space="preserve"> </w:t>
                  </w:r>
                  <w:r>
                    <w:rPr>
                      <w:sz w:val="20"/>
                      <w:szCs w:val="20"/>
                    </w:rPr>
                    <w:t>″</w:t>
                  </w:r>
                </w:p>
              </w:tc>
            </w:tr>
            <w:tr w14:paraId="0CF9C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477" w:type="dxa"/>
                  <w:vAlign w:val="top"/>
                </w:tcPr>
                <w:p w14:paraId="695F68AD">
                  <w:pPr>
                    <w:pStyle w:val="6"/>
                    <w:spacing w:before="165" w:line="239" w:lineRule="auto"/>
                    <w:ind w:left="63" w:right="57" w:firstLine="2"/>
                    <w:rPr>
                      <w:sz w:val="20"/>
                      <w:szCs w:val="20"/>
                    </w:rPr>
                  </w:pPr>
                  <w:r>
                    <w:rPr>
                      <w:spacing w:val="24"/>
                      <w:sz w:val="20"/>
                      <w:szCs w:val="20"/>
                    </w:rPr>
                    <w:t>主要危险物质</w:t>
                  </w:r>
                  <w:r>
                    <w:rPr>
                      <w:spacing w:val="3"/>
                      <w:sz w:val="20"/>
                      <w:szCs w:val="20"/>
                    </w:rPr>
                    <w:t xml:space="preserve"> </w:t>
                  </w:r>
                  <w:r>
                    <w:rPr>
                      <w:spacing w:val="7"/>
                      <w:sz w:val="20"/>
                      <w:szCs w:val="20"/>
                    </w:rPr>
                    <w:t>及分布</w:t>
                  </w:r>
                </w:p>
              </w:tc>
              <w:tc>
                <w:tcPr>
                  <w:tcW w:w="7912" w:type="dxa"/>
                  <w:vAlign w:val="top"/>
                </w:tcPr>
                <w:p w14:paraId="683844E4">
                  <w:pPr>
                    <w:pStyle w:val="6"/>
                    <w:spacing w:before="28" w:line="241" w:lineRule="auto"/>
                    <w:ind w:left="61" w:right="6" w:firstLine="3"/>
                    <w:jc w:val="both"/>
                    <w:rPr>
                      <w:sz w:val="20"/>
                      <w:szCs w:val="20"/>
                    </w:rPr>
                  </w:pPr>
                  <w:r>
                    <w:rPr>
                      <w:spacing w:val="10"/>
                      <w:sz w:val="20"/>
                      <w:szCs w:val="20"/>
                    </w:rPr>
                    <w:t>该项目涉及的危险物质主要有变压器油、废变压器油、事故废油，变压器油储存于变</w:t>
                  </w:r>
                  <w:r>
                    <w:rPr>
                      <w:spacing w:val="15"/>
                      <w:sz w:val="20"/>
                      <w:szCs w:val="20"/>
                    </w:rPr>
                    <w:t xml:space="preserve"> </w:t>
                  </w:r>
                  <w:r>
                    <w:rPr>
                      <w:spacing w:val="3"/>
                      <w:sz w:val="20"/>
                      <w:szCs w:val="20"/>
                    </w:rPr>
                    <w:t>压器内，最大储存量为</w:t>
                  </w:r>
                  <w:r>
                    <w:rPr>
                      <w:spacing w:val="-21"/>
                      <w:sz w:val="20"/>
                      <w:szCs w:val="20"/>
                    </w:rPr>
                    <w:t xml:space="preserve"> </w:t>
                  </w:r>
                  <w:r>
                    <w:rPr>
                      <w:rFonts w:ascii="Times New Roman" w:hAnsi="Times New Roman" w:eastAsia="Times New Roman" w:cs="Times New Roman"/>
                      <w:spacing w:val="3"/>
                      <w:sz w:val="20"/>
                      <w:szCs w:val="20"/>
                    </w:rPr>
                    <w:t>108.626t</w:t>
                  </w:r>
                  <w:r>
                    <w:rPr>
                      <w:spacing w:val="3"/>
                      <w:sz w:val="20"/>
                      <w:szCs w:val="20"/>
                    </w:rPr>
                    <w:t>；废变压器油暂存于危废贮存库，最大储存量为</w:t>
                  </w:r>
                  <w:r>
                    <w:rPr>
                      <w:spacing w:val="-32"/>
                      <w:sz w:val="20"/>
                      <w:szCs w:val="20"/>
                    </w:rPr>
                    <w:t xml:space="preserve"> </w:t>
                  </w:r>
                  <w:r>
                    <w:rPr>
                      <w:spacing w:val="3"/>
                      <w:sz w:val="20"/>
                      <w:szCs w:val="20"/>
                    </w:rPr>
                    <w:t>5</w:t>
                  </w:r>
                  <w:r>
                    <w:rPr>
                      <w:spacing w:val="2"/>
                      <w:sz w:val="20"/>
                      <w:szCs w:val="20"/>
                    </w:rPr>
                    <w:t>.43</w:t>
                  </w:r>
                  <w:r>
                    <w:rPr>
                      <w:rFonts w:ascii="Times New Roman" w:hAnsi="Times New Roman" w:eastAsia="Times New Roman" w:cs="Times New Roman"/>
                      <w:spacing w:val="2"/>
                      <w:sz w:val="20"/>
                      <w:szCs w:val="20"/>
                    </w:rPr>
                    <w:t>t</w:t>
                  </w:r>
                  <w:r>
                    <w:rPr>
                      <w:spacing w:val="2"/>
                      <w:sz w:val="20"/>
                      <w:szCs w:val="20"/>
                    </w:rPr>
                    <w:t>；</w:t>
                  </w:r>
                  <w:r>
                    <w:rPr>
                      <w:sz w:val="20"/>
                      <w:szCs w:val="20"/>
                    </w:rPr>
                    <w:t xml:space="preserve"> </w:t>
                  </w:r>
                  <w:r>
                    <w:rPr>
                      <w:spacing w:val="7"/>
                      <w:sz w:val="20"/>
                      <w:szCs w:val="20"/>
                    </w:rPr>
                    <w:t>事故废油暂存于危废贮存库，最大储存量为</w:t>
                  </w:r>
                  <w:r>
                    <w:rPr>
                      <w:spacing w:val="-27"/>
                      <w:sz w:val="20"/>
                      <w:szCs w:val="20"/>
                    </w:rPr>
                    <w:t xml:space="preserve"> </w:t>
                  </w:r>
                  <w:r>
                    <w:rPr>
                      <w:rFonts w:ascii="Times New Roman" w:hAnsi="Times New Roman" w:eastAsia="Times New Roman" w:cs="Times New Roman"/>
                      <w:spacing w:val="7"/>
                      <w:sz w:val="20"/>
                      <w:szCs w:val="20"/>
                    </w:rPr>
                    <w:t>8.69t</w:t>
                  </w:r>
                  <w:r>
                    <w:rPr>
                      <w:spacing w:val="7"/>
                      <w:sz w:val="20"/>
                      <w:szCs w:val="20"/>
                    </w:rPr>
                    <w:t>；废铅蓄电池</w:t>
                  </w:r>
                  <w:r>
                    <w:rPr>
                      <w:spacing w:val="-39"/>
                      <w:sz w:val="20"/>
                      <w:szCs w:val="20"/>
                    </w:rPr>
                    <w:t xml:space="preserve"> </w:t>
                  </w:r>
                  <w:r>
                    <w:rPr>
                      <w:rFonts w:ascii="Times New Roman" w:hAnsi="Times New Roman" w:eastAsia="Times New Roman" w:cs="Times New Roman"/>
                      <w:spacing w:val="7"/>
                      <w:sz w:val="20"/>
                      <w:szCs w:val="20"/>
                    </w:rPr>
                    <w:t>3.64t</w:t>
                  </w:r>
                  <w:r>
                    <w:rPr>
                      <w:spacing w:val="7"/>
                      <w:sz w:val="20"/>
                      <w:szCs w:val="20"/>
                    </w:rPr>
                    <w:t>。</w:t>
                  </w:r>
                </w:p>
              </w:tc>
            </w:tr>
            <w:tr w14:paraId="7441B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4" w:hRule="atLeast"/>
              </w:trPr>
              <w:tc>
                <w:tcPr>
                  <w:tcW w:w="1477" w:type="dxa"/>
                  <w:vAlign w:val="top"/>
                </w:tcPr>
                <w:p w14:paraId="0ECACF77">
                  <w:pPr>
                    <w:rPr>
                      <w:rFonts w:ascii="Arial"/>
                      <w:sz w:val="21"/>
                    </w:rPr>
                  </w:pPr>
                </w:p>
                <w:p w14:paraId="08AAA4D9">
                  <w:pPr>
                    <w:rPr>
                      <w:rFonts w:ascii="Arial"/>
                      <w:sz w:val="21"/>
                    </w:rPr>
                  </w:pPr>
                </w:p>
                <w:p w14:paraId="05945EF3">
                  <w:pPr>
                    <w:rPr>
                      <w:rFonts w:ascii="Arial"/>
                      <w:sz w:val="21"/>
                    </w:rPr>
                  </w:pPr>
                </w:p>
                <w:p w14:paraId="36886B5A">
                  <w:pPr>
                    <w:rPr>
                      <w:rFonts w:ascii="Arial"/>
                      <w:sz w:val="21"/>
                    </w:rPr>
                  </w:pPr>
                </w:p>
                <w:p w14:paraId="13800F7A">
                  <w:pPr>
                    <w:rPr>
                      <w:rFonts w:ascii="Arial"/>
                      <w:sz w:val="21"/>
                    </w:rPr>
                  </w:pPr>
                </w:p>
                <w:p w14:paraId="0F27E2B3">
                  <w:pPr>
                    <w:rPr>
                      <w:rFonts w:ascii="Arial"/>
                      <w:sz w:val="21"/>
                    </w:rPr>
                  </w:pPr>
                </w:p>
                <w:p w14:paraId="36D61A6A">
                  <w:pPr>
                    <w:rPr>
                      <w:rFonts w:ascii="Arial"/>
                      <w:sz w:val="21"/>
                    </w:rPr>
                  </w:pPr>
                </w:p>
                <w:p w14:paraId="76FC68F3">
                  <w:pPr>
                    <w:rPr>
                      <w:rFonts w:ascii="Arial"/>
                      <w:sz w:val="21"/>
                    </w:rPr>
                  </w:pPr>
                </w:p>
                <w:p w14:paraId="252CF1BE">
                  <w:pPr>
                    <w:rPr>
                      <w:rFonts w:ascii="Arial"/>
                      <w:sz w:val="21"/>
                    </w:rPr>
                  </w:pPr>
                </w:p>
                <w:p w14:paraId="294D1E73">
                  <w:pPr>
                    <w:spacing w:line="241" w:lineRule="auto"/>
                    <w:rPr>
                      <w:rFonts w:ascii="Arial"/>
                      <w:sz w:val="21"/>
                    </w:rPr>
                  </w:pPr>
                </w:p>
                <w:p w14:paraId="7CF261D2">
                  <w:pPr>
                    <w:pStyle w:val="6"/>
                    <w:spacing w:before="65" w:line="245" w:lineRule="auto"/>
                    <w:ind w:left="63"/>
                    <w:jc w:val="both"/>
                    <w:rPr>
                      <w:sz w:val="20"/>
                      <w:szCs w:val="20"/>
                    </w:rPr>
                  </w:pPr>
                  <w:r>
                    <w:rPr>
                      <w:spacing w:val="20"/>
                      <w:sz w:val="20"/>
                      <w:szCs w:val="20"/>
                    </w:rPr>
                    <w:t>环境影响途径</w:t>
                  </w:r>
                  <w:r>
                    <w:rPr>
                      <w:sz w:val="20"/>
                      <w:szCs w:val="20"/>
                    </w:rPr>
                    <w:t xml:space="preserve">  </w:t>
                  </w:r>
                  <w:r>
                    <w:rPr>
                      <w:spacing w:val="-7"/>
                      <w:sz w:val="20"/>
                      <w:szCs w:val="20"/>
                    </w:rPr>
                    <w:t>及</w:t>
                  </w:r>
                  <w:r>
                    <w:rPr>
                      <w:spacing w:val="-11"/>
                      <w:sz w:val="20"/>
                      <w:szCs w:val="20"/>
                    </w:rPr>
                    <w:t xml:space="preserve"> </w:t>
                  </w:r>
                  <w:r>
                    <w:rPr>
                      <w:spacing w:val="-7"/>
                      <w:sz w:val="20"/>
                      <w:szCs w:val="20"/>
                    </w:rPr>
                    <w:t>危</w:t>
                  </w:r>
                  <w:r>
                    <w:rPr>
                      <w:spacing w:val="-13"/>
                      <w:sz w:val="20"/>
                      <w:szCs w:val="20"/>
                    </w:rPr>
                    <w:t xml:space="preserve"> </w:t>
                  </w:r>
                  <w:r>
                    <w:rPr>
                      <w:spacing w:val="-7"/>
                      <w:sz w:val="20"/>
                      <w:szCs w:val="20"/>
                    </w:rPr>
                    <w:t>害</w:t>
                  </w:r>
                  <w:r>
                    <w:rPr>
                      <w:spacing w:val="-13"/>
                      <w:sz w:val="20"/>
                      <w:szCs w:val="20"/>
                    </w:rPr>
                    <w:t xml:space="preserve"> </w:t>
                  </w:r>
                  <w:r>
                    <w:rPr>
                      <w:spacing w:val="-7"/>
                      <w:sz w:val="20"/>
                      <w:szCs w:val="20"/>
                    </w:rPr>
                    <w:t>后 果</w:t>
                  </w:r>
                  <w:r>
                    <w:rPr>
                      <w:sz w:val="20"/>
                      <w:szCs w:val="20"/>
                    </w:rPr>
                    <w:t xml:space="preserve">  </w:t>
                  </w:r>
                  <w:r>
                    <w:rPr>
                      <w:spacing w:val="13"/>
                      <w:sz w:val="20"/>
                      <w:szCs w:val="20"/>
                    </w:rPr>
                    <w:t>（大气</w:t>
                  </w:r>
                  <w:r>
                    <w:rPr>
                      <w:spacing w:val="-57"/>
                      <w:sz w:val="20"/>
                      <w:szCs w:val="20"/>
                    </w:rPr>
                    <w:t xml:space="preserve"> </w:t>
                  </w:r>
                  <w:r>
                    <w:rPr>
                      <w:spacing w:val="13"/>
                      <w:sz w:val="20"/>
                      <w:szCs w:val="20"/>
                    </w:rPr>
                    <w:t>、地表</w:t>
                  </w:r>
                  <w:r>
                    <w:rPr>
                      <w:sz w:val="20"/>
                      <w:szCs w:val="20"/>
                    </w:rPr>
                    <w:t xml:space="preserve">  </w:t>
                  </w:r>
                  <w:r>
                    <w:rPr>
                      <w:spacing w:val="1"/>
                      <w:sz w:val="20"/>
                      <w:szCs w:val="20"/>
                    </w:rPr>
                    <w:t>水、地下水等）</w:t>
                  </w:r>
                </w:p>
              </w:tc>
              <w:tc>
                <w:tcPr>
                  <w:tcW w:w="7912" w:type="dxa"/>
                  <w:vAlign w:val="top"/>
                </w:tcPr>
                <w:p w14:paraId="67B2022A">
                  <w:pPr>
                    <w:pStyle w:val="6"/>
                    <w:spacing w:before="30" w:line="226" w:lineRule="auto"/>
                    <w:ind w:left="64"/>
                    <w:rPr>
                      <w:sz w:val="20"/>
                      <w:szCs w:val="20"/>
                    </w:rPr>
                  </w:pPr>
                  <w:r>
                    <w:rPr>
                      <w:spacing w:val="9"/>
                      <w:sz w:val="20"/>
                      <w:szCs w:val="20"/>
                    </w:rPr>
                    <w:t>该项目危险废物储存过程中存在火灾、爆炸、泄漏和劳动职业安全卫生的风险。</w:t>
                  </w:r>
                </w:p>
                <w:p w14:paraId="722596C8">
                  <w:pPr>
                    <w:pStyle w:val="6"/>
                    <w:spacing w:before="25" w:line="228" w:lineRule="auto"/>
                    <w:ind w:left="71"/>
                    <w:rPr>
                      <w:sz w:val="20"/>
                      <w:szCs w:val="20"/>
                    </w:rPr>
                  </w:pPr>
                  <w:r>
                    <w:rPr>
                      <w:b/>
                      <w:bCs/>
                      <w:spacing w:val="5"/>
                      <w:sz w:val="20"/>
                      <w:szCs w:val="20"/>
                    </w:rPr>
                    <w:t>（一）影响途径</w:t>
                  </w:r>
                </w:p>
                <w:p w14:paraId="64622486">
                  <w:pPr>
                    <w:pStyle w:val="6"/>
                    <w:spacing w:before="24" w:line="243" w:lineRule="auto"/>
                    <w:ind w:left="61" w:right="56" w:firstLine="2"/>
                    <w:jc w:val="both"/>
                    <w:rPr>
                      <w:sz w:val="20"/>
                      <w:szCs w:val="20"/>
                    </w:rPr>
                  </w:pPr>
                  <w:r>
                    <w:rPr>
                      <w:spacing w:val="10"/>
                      <w:sz w:val="20"/>
                      <w:szCs w:val="20"/>
                    </w:rPr>
                    <w:t>该项目变压器油、废变压器油、事故废油在存储及运输过程中火灾、爆炸、泄漏的环</w:t>
                  </w:r>
                  <w:r>
                    <w:rPr>
                      <w:spacing w:val="15"/>
                      <w:sz w:val="20"/>
                      <w:szCs w:val="20"/>
                    </w:rPr>
                    <w:t xml:space="preserve"> </w:t>
                  </w:r>
                  <w:r>
                    <w:rPr>
                      <w:spacing w:val="10"/>
                      <w:sz w:val="20"/>
                      <w:szCs w:val="20"/>
                    </w:rPr>
                    <w:t>境风险。主要影响途径为变压器油、废变压器油、事故废油泄漏、遇火时，有可能发</w:t>
                  </w:r>
                  <w:r>
                    <w:rPr>
                      <w:spacing w:val="17"/>
                      <w:sz w:val="20"/>
                      <w:szCs w:val="20"/>
                    </w:rPr>
                    <w:t xml:space="preserve"> </w:t>
                  </w:r>
                  <w:r>
                    <w:rPr>
                      <w:spacing w:val="9"/>
                      <w:sz w:val="20"/>
                      <w:szCs w:val="20"/>
                    </w:rPr>
                    <w:t>生爆炸事故；泄漏可能会对区域地表水、地下水及土壤造成影响。</w:t>
                  </w:r>
                </w:p>
                <w:p w14:paraId="2F04D082">
                  <w:pPr>
                    <w:pStyle w:val="6"/>
                    <w:spacing w:before="28" w:line="228" w:lineRule="auto"/>
                    <w:ind w:left="71"/>
                    <w:rPr>
                      <w:sz w:val="20"/>
                      <w:szCs w:val="20"/>
                    </w:rPr>
                  </w:pPr>
                  <w:r>
                    <w:rPr>
                      <w:b/>
                      <w:bCs/>
                      <w:spacing w:val="6"/>
                      <w:sz w:val="20"/>
                      <w:szCs w:val="20"/>
                    </w:rPr>
                    <w:t>（二）危害及后果</w:t>
                  </w:r>
                </w:p>
                <w:p w14:paraId="438C055A">
                  <w:pPr>
                    <w:pStyle w:val="6"/>
                    <w:spacing w:before="27" w:line="225" w:lineRule="auto"/>
                    <w:ind w:left="60"/>
                    <w:rPr>
                      <w:sz w:val="20"/>
                      <w:szCs w:val="20"/>
                    </w:rPr>
                  </w:pPr>
                  <w:r>
                    <w:rPr>
                      <w:b/>
                      <w:bCs/>
                      <w:spacing w:val="7"/>
                      <w:sz w:val="20"/>
                      <w:szCs w:val="20"/>
                    </w:rPr>
                    <w:t>①火灾及爆炸危害及后果</w:t>
                  </w:r>
                </w:p>
                <w:p w14:paraId="6C43A11C">
                  <w:pPr>
                    <w:pStyle w:val="6"/>
                    <w:spacing w:before="28" w:line="245" w:lineRule="auto"/>
                    <w:ind w:left="50" w:right="58" w:firstLine="14"/>
                    <w:jc w:val="both"/>
                    <w:rPr>
                      <w:sz w:val="20"/>
                      <w:szCs w:val="20"/>
                    </w:rPr>
                  </w:pPr>
                  <w:r>
                    <w:rPr>
                      <w:spacing w:val="9"/>
                      <w:sz w:val="20"/>
                      <w:szCs w:val="20"/>
                    </w:rPr>
                    <w:t>发生火灾及爆炸，环评考虑其对环境的影响主要为伴</w:t>
                  </w:r>
                  <w:r>
                    <w:rPr>
                      <w:spacing w:val="8"/>
                      <w:sz w:val="20"/>
                      <w:szCs w:val="20"/>
                    </w:rPr>
                    <w:t>生</w:t>
                  </w:r>
                  <w:r>
                    <w:rPr>
                      <w:rFonts w:ascii="Times New Roman" w:hAnsi="Times New Roman" w:eastAsia="Times New Roman" w:cs="Times New Roman"/>
                      <w:spacing w:val="8"/>
                      <w:sz w:val="20"/>
                      <w:szCs w:val="20"/>
                    </w:rPr>
                    <w:t>/</w:t>
                  </w:r>
                  <w:r>
                    <w:rPr>
                      <w:spacing w:val="8"/>
                      <w:sz w:val="20"/>
                      <w:szCs w:val="20"/>
                    </w:rPr>
                    <w:t>次生因素对环境的影响，主要</w:t>
                  </w:r>
                  <w:r>
                    <w:rPr>
                      <w:sz w:val="20"/>
                      <w:szCs w:val="20"/>
                    </w:rPr>
                    <w:t xml:space="preserve"> </w:t>
                  </w:r>
                  <w:r>
                    <w:rPr>
                      <w:spacing w:val="10"/>
                      <w:sz w:val="20"/>
                      <w:szCs w:val="20"/>
                    </w:rPr>
                    <w:t>为大气污染物对环境的影响。危险物质发生火灾、爆炸事故时，伴生的大气污染物有</w:t>
                  </w:r>
                  <w:r>
                    <w:rPr>
                      <w:sz w:val="20"/>
                      <w:szCs w:val="20"/>
                    </w:rPr>
                    <w:t xml:space="preserve"> </w:t>
                  </w:r>
                  <w:r>
                    <w:rPr>
                      <w:rFonts w:ascii="Times New Roman" w:hAnsi="Times New Roman" w:eastAsia="Times New Roman" w:cs="Times New Roman"/>
                      <w:sz w:val="20"/>
                      <w:szCs w:val="20"/>
                    </w:rPr>
                    <w:t>NOx</w:t>
                  </w:r>
                  <w:r>
                    <w:rPr>
                      <w:rFonts w:ascii="Times New Roman" w:hAnsi="Times New Roman" w:eastAsia="Times New Roman" w:cs="Times New Roman"/>
                      <w:spacing w:val="-18"/>
                      <w:sz w:val="20"/>
                      <w:szCs w:val="20"/>
                    </w:rPr>
                    <w:t xml:space="preserve"> </w:t>
                  </w:r>
                  <w:r>
                    <w:rPr>
                      <w:spacing w:val="8"/>
                      <w:sz w:val="20"/>
                      <w:szCs w:val="20"/>
                    </w:rPr>
                    <w:t>、</w:t>
                  </w:r>
                  <w:r>
                    <w:rPr>
                      <w:rFonts w:ascii="Times New Roman" w:hAnsi="Times New Roman" w:eastAsia="Times New Roman" w:cs="Times New Roman"/>
                      <w:sz w:val="20"/>
                      <w:szCs w:val="20"/>
                    </w:rPr>
                    <w:t>CO</w:t>
                  </w:r>
                  <w:r>
                    <w:rPr>
                      <w:rFonts w:ascii="Times New Roman" w:hAnsi="Times New Roman" w:eastAsia="Times New Roman" w:cs="Times New Roman"/>
                      <w:spacing w:val="-24"/>
                      <w:sz w:val="20"/>
                      <w:szCs w:val="20"/>
                    </w:rPr>
                    <w:t xml:space="preserve"> </w:t>
                  </w:r>
                  <w:r>
                    <w:rPr>
                      <w:spacing w:val="8"/>
                      <w:sz w:val="20"/>
                      <w:szCs w:val="20"/>
                    </w:rPr>
                    <w:t>、烟尘等，将会对环境造成一定影响，但产生时间较短，产生量不大，对环</w:t>
                  </w:r>
                  <w:r>
                    <w:rPr>
                      <w:sz w:val="20"/>
                      <w:szCs w:val="20"/>
                    </w:rPr>
                    <w:t xml:space="preserve"> </w:t>
                  </w:r>
                  <w:r>
                    <w:rPr>
                      <w:spacing w:val="8"/>
                      <w:sz w:val="20"/>
                      <w:szCs w:val="20"/>
                    </w:rPr>
                    <w:t>境影响较小。</w:t>
                  </w:r>
                </w:p>
                <w:p w14:paraId="392AC6FD">
                  <w:pPr>
                    <w:pStyle w:val="6"/>
                    <w:spacing w:before="27" w:line="225" w:lineRule="auto"/>
                    <w:ind w:left="59"/>
                    <w:rPr>
                      <w:sz w:val="20"/>
                      <w:szCs w:val="20"/>
                    </w:rPr>
                  </w:pPr>
                  <w:r>
                    <w:rPr>
                      <w:b/>
                      <w:bCs/>
                      <w:spacing w:val="7"/>
                      <w:sz w:val="20"/>
                      <w:szCs w:val="20"/>
                    </w:rPr>
                    <w:t>②泄漏危害及后果</w:t>
                  </w:r>
                </w:p>
                <w:p w14:paraId="26E49C32">
                  <w:pPr>
                    <w:pStyle w:val="6"/>
                    <w:spacing w:before="28" w:line="248" w:lineRule="auto"/>
                    <w:ind w:left="57" w:right="39" w:firstLine="3"/>
                    <w:rPr>
                      <w:sz w:val="20"/>
                      <w:szCs w:val="20"/>
                    </w:rPr>
                  </w:pPr>
                  <w:r>
                    <w:rPr>
                      <w:spacing w:val="10"/>
                      <w:sz w:val="20"/>
                      <w:szCs w:val="20"/>
                    </w:rPr>
                    <w:t>变压器油、废变压器油、事故废油发生泄漏可能会对区域地表水、地下水及土壤造成</w:t>
                  </w:r>
                  <w:r>
                    <w:rPr>
                      <w:spacing w:val="16"/>
                      <w:sz w:val="20"/>
                      <w:szCs w:val="20"/>
                    </w:rPr>
                    <w:t xml:space="preserve"> </w:t>
                  </w:r>
                  <w:r>
                    <w:rPr>
                      <w:spacing w:val="6"/>
                      <w:sz w:val="20"/>
                      <w:szCs w:val="20"/>
                    </w:rPr>
                    <w:t>影响，根据项目的实际情况，项目泄漏主要局限于厂区内，主变压器下设置一座</w:t>
                  </w:r>
                  <w:r>
                    <w:rPr>
                      <w:rFonts w:ascii="Times New Roman" w:hAnsi="Times New Roman" w:eastAsia="Times New Roman" w:cs="Times New Roman"/>
                      <w:spacing w:val="6"/>
                      <w:sz w:val="20"/>
                      <w:szCs w:val="20"/>
                    </w:rPr>
                    <w:t>20%</w:t>
                  </w:r>
                  <w:r>
                    <w:rPr>
                      <w:spacing w:val="6"/>
                      <w:sz w:val="20"/>
                      <w:szCs w:val="20"/>
                    </w:rPr>
                    <w:t>油</w:t>
                  </w:r>
                  <w:r>
                    <w:rPr>
                      <w:spacing w:val="8"/>
                      <w:sz w:val="20"/>
                      <w:szCs w:val="20"/>
                    </w:rPr>
                    <w:t xml:space="preserve"> </w:t>
                  </w:r>
                  <w:r>
                    <w:rPr>
                      <w:spacing w:val="-1"/>
                      <w:sz w:val="20"/>
                      <w:szCs w:val="20"/>
                    </w:rPr>
                    <w:t>量事故油池（</w:t>
                  </w:r>
                  <w:r>
                    <w:rPr>
                      <w:rFonts w:ascii="Times New Roman" w:hAnsi="Times New Roman" w:eastAsia="Times New Roman" w:cs="Times New Roman"/>
                      <w:spacing w:val="-1"/>
                      <w:sz w:val="20"/>
                      <w:szCs w:val="20"/>
                    </w:rPr>
                    <w:t>10m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1"/>
                      <w:position w:val="6"/>
                      <w:sz w:val="13"/>
                      <w:szCs w:val="13"/>
                    </w:rPr>
                    <w:t xml:space="preserve"> </w:t>
                  </w:r>
                  <w:r>
                    <w:rPr>
                      <w:spacing w:val="-21"/>
                      <w:sz w:val="20"/>
                      <w:szCs w:val="20"/>
                    </w:rPr>
                    <w:t>），</w:t>
                  </w:r>
                  <w:r>
                    <w:rPr>
                      <w:spacing w:val="-1"/>
                      <w:sz w:val="20"/>
                      <w:szCs w:val="20"/>
                    </w:rPr>
                    <w:t>并在主变压器东南侧设</w:t>
                  </w:r>
                  <w:r>
                    <w:rPr>
                      <w:spacing w:val="-23"/>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4"/>
                      <w:sz w:val="20"/>
                      <w:szCs w:val="20"/>
                    </w:rPr>
                    <w:t xml:space="preserve"> </w:t>
                  </w:r>
                  <w:r>
                    <w:rPr>
                      <w:spacing w:val="-1"/>
                      <w:sz w:val="20"/>
                      <w:szCs w:val="20"/>
                    </w:rPr>
                    <w:t>座</w:t>
                  </w:r>
                  <w:r>
                    <w:rPr>
                      <w:spacing w:val="-23"/>
                      <w:sz w:val="20"/>
                      <w:szCs w:val="20"/>
                    </w:rPr>
                    <w:t xml:space="preserve"> </w:t>
                  </w:r>
                  <w:r>
                    <w:rPr>
                      <w:rFonts w:ascii="Times New Roman" w:hAnsi="Times New Roman" w:eastAsia="Times New Roman" w:cs="Times New Roman"/>
                      <w:spacing w:val="-1"/>
                      <w:sz w:val="20"/>
                      <w:szCs w:val="20"/>
                    </w:rPr>
                    <w:t>100%</w:t>
                  </w:r>
                  <w:r>
                    <w:rPr>
                      <w:spacing w:val="-1"/>
                      <w:sz w:val="20"/>
                      <w:szCs w:val="20"/>
                    </w:rPr>
                    <w:t>事故油池</w:t>
                  </w:r>
                  <w:r>
                    <w:rPr>
                      <w:spacing w:val="-2"/>
                      <w:sz w:val="20"/>
                      <w:szCs w:val="20"/>
                    </w:rPr>
                    <w:t>（有效容积约</w:t>
                  </w:r>
                  <w:r>
                    <w:rPr>
                      <w:spacing w:val="-35"/>
                      <w:sz w:val="20"/>
                      <w:szCs w:val="20"/>
                    </w:rPr>
                    <w:t xml:space="preserve"> </w:t>
                  </w:r>
                  <w:r>
                    <w:rPr>
                      <w:rFonts w:ascii="Times New Roman" w:hAnsi="Times New Roman" w:eastAsia="Times New Roman" w:cs="Times New Roman"/>
                      <w:spacing w:val="-2"/>
                      <w:sz w:val="20"/>
                      <w:szCs w:val="20"/>
                    </w:rPr>
                    <w:t>50m</w:t>
                  </w:r>
                  <w:r>
                    <w:rPr>
                      <w:rFonts w:ascii="Times New Roman" w:hAnsi="Times New Roman" w:eastAsia="Times New Roman" w:cs="Times New Roman"/>
                      <w:spacing w:val="-2"/>
                      <w:position w:val="6"/>
                      <w:sz w:val="13"/>
                      <w:szCs w:val="13"/>
                    </w:rPr>
                    <w:t xml:space="preserve">3 </w:t>
                  </w:r>
                  <w:r>
                    <w:rPr>
                      <w:spacing w:val="-21"/>
                      <w:sz w:val="20"/>
                      <w:szCs w:val="20"/>
                    </w:rPr>
                    <w:t>）；</w:t>
                  </w:r>
                  <w:r>
                    <w:rPr>
                      <w:sz w:val="20"/>
                      <w:szCs w:val="20"/>
                    </w:rPr>
                    <w:t xml:space="preserve"> </w:t>
                  </w:r>
                  <w:r>
                    <w:rPr>
                      <w:spacing w:val="6"/>
                      <w:sz w:val="20"/>
                      <w:szCs w:val="20"/>
                    </w:rPr>
                    <w:t>在箱式变压器下设置一个等容积集油坑，即：</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28"/>
                      <w:w w:val="101"/>
                      <w:sz w:val="20"/>
                      <w:szCs w:val="20"/>
                    </w:rPr>
                    <w:t xml:space="preserve"> </w:t>
                  </w:r>
                  <w:r>
                    <w:rPr>
                      <w:spacing w:val="6"/>
                      <w:sz w:val="20"/>
                      <w:szCs w:val="20"/>
                    </w:rPr>
                    <w:t>台</w:t>
                  </w:r>
                  <w:r>
                    <w:rPr>
                      <w:spacing w:val="-39"/>
                      <w:sz w:val="20"/>
                      <w:szCs w:val="20"/>
                    </w:rPr>
                    <w:t xml:space="preserve"> </w:t>
                  </w:r>
                  <w:r>
                    <w:rPr>
                      <w:rFonts w:ascii="Times New Roman" w:hAnsi="Times New Roman" w:eastAsia="Times New Roman" w:cs="Times New Roman"/>
                      <w:spacing w:val="6"/>
                      <w:sz w:val="20"/>
                      <w:szCs w:val="20"/>
                    </w:rPr>
                    <w:t>900</w:t>
                  </w:r>
                  <w:r>
                    <w:rPr>
                      <w:rFonts w:ascii="Times New Roman" w:hAnsi="Times New Roman" w:eastAsia="Times New Roman" w:cs="Times New Roman"/>
                      <w:sz w:val="20"/>
                      <w:szCs w:val="20"/>
                    </w:rPr>
                    <w:t>kVA</w:t>
                  </w:r>
                  <w:r>
                    <w:rPr>
                      <w:rFonts w:ascii="Times New Roman" w:hAnsi="Times New Roman" w:eastAsia="Times New Roman" w:cs="Times New Roman"/>
                      <w:spacing w:val="6"/>
                      <w:sz w:val="20"/>
                      <w:szCs w:val="20"/>
                    </w:rPr>
                    <w:t xml:space="preserve"> </w:t>
                  </w:r>
                  <w:r>
                    <w:rPr>
                      <w:spacing w:val="6"/>
                      <w:sz w:val="20"/>
                      <w:szCs w:val="20"/>
                    </w:rPr>
                    <w:t>箱变下各设一个</w:t>
                  </w:r>
                  <w:r>
                    <w:rPr>
                      <w:spacing w:val="-38"/>
                      <w:sz w:val="20"/>
                      <w:szCs w:val="20"/>
                    </w:rPr>
                    <w:t xml:space="preserve"> </w:t>
                  </w:r>
                  <w:r>
                    <w:rPr>
                      <w:rFonts w:ascii="Times New Roman" w:hAnsi="Times New Roman" w:eastAsia="Times New Roman" w:cs="Times New Roman"/>
                      <w:spacing w:val="6"/>
                      <w:sz w:val="20"/>
                      <w:szCs w:val="20"/>
                    </w:rPr>
                    <w:t>0.8m</w:t>
                  </w:r>
                  <w:r>
                    <w:rPr>
                      <w:rFonts w:ascii="Times New Roman" w:hAnsi="Times New Roman" w:eastAsia="Times New Roman" w:cs="Times New Roman"/>
                      <w:spacing w:val="6"/>
                      <w:position w:val="6"/>
                      <w:sz w:val="13"/>
                      <w:szCs w:val="13"/>
                    </w:rPr>
                    <w:t xml:space="preserve">3 </w:t>
                  </w:r>
                  <w:r>
                    <w:rPr>
                      <w:spacing w:val="6"/>
                      <w:sz w:val="20"/>
                      <w:szCs w:val="20"/>
                    </w:rPr>
                    <w:t>集油</w:t>
                  </w:r>
                  <w:r>
                    <w:rPr>
                      <w:sz w:val="20"/>
                      <w:szCs w:val="20"/>
                    </w:rPr>
                    <w:t xml:space="preserve"> </w:t>
                  </w:r>
                  <w:r>
                    <w:rPr>
                      <w:spacing w:val="4"/>
                      <w:sz w:val="20"/>
                      <w:szCs w:val="20"/>
                    </w:rPr>
                    <w:t>坑，</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28"/>
                      <w:w w:val="101"/>
                      <w:sz w:val="20"/>
                      <w:szCs w:val="20"/>
                    </w:rPr>
                    <w:t xml:space="preserve"> </w:t>
                  </w:r>
                  <w:r>
                    <w:rPr>
                      <w:spacing w:val="4"/>
                      <w:sz w:val="20"/>
                      <w:szCs w:val="20"/>
                    </w:rPr>
                    <w:t>台</w:t>
                  </w:r>
                  <w:r>
                    <w:rPr>
                      <w:spacing w:val="-18"/>
                      <w:sz w:val="20"/>
                      <w:szCs w:val="20"/>
                    </w:rPr>
                    <w:t xml:space="preserve"> </w:t>
                  </w:r>
                  <w:r>
                    <w:rPr>
                      <w:rFonts w:ascii="Times New Roman" w:hAnsi="Times New Roman" w:eastAsia="Times New Roman" w:cs="Times New Roman"/>
                      <w:spacing w:val="4"/>
                      <w:sz w:val="20"/>
                      <w:szCs w:val="20"/>
                    </w:rPr>
                    <w:t>1200</w:t>
                  </w:r>
                  <w:r>
                    <w:rPr>
                      <w:rFonts w:ascii="Times New Roman" w:hAnsi="Times New Roman" w:eastAsia="Times New Roman" w:cs="Times New Roman"/>
                      <w:sz w:val="20"/>
                      <w:szCs w:val="20"/>
                    </w:rPr>
                    <w:t>kVA</w:t>
                  </w:r>
                  <w:r>
                    <w:rPr>
                      <w:rFonts w:ascii="Times New Roman" w:hAnsi="Times New Roman" w:eastAsia="Times New Roman" w:cs="Times New Roman"/>
                      <w:spacing w:val="15"/>
                      <w:sz w:val="20"/>
                      <w:szCs w:val="20"/>
                    </w:rPr>
                    <w:t xml:space="preserve"> </w:t>
                  </w:r>
                  <w:r>
                    <w:rPr>
                      <w:spacing w:val="4"/>
                      <w:sz w:val="20"/>
                      <w:szCs w:val="20"/>
                    </w:rPr>
                    <w:t>箱变各设一个</w:t>
                  </w:r>
                  <w:r>
                    <w:rPr>
                      <w:spacing w:val="-21"/>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11"/>
                      <w:position w:val="6"/>
                      <w:sz w:val="13"/>
                      <w:szCs w:val="13"/>
                    </w:rPr>
                    <w:t xml:space="preserve"> </w:t>
                  </w:r>
                  <w:r>
                    <w:rPr>
                      <w:spacing w:val="4"/>
                      <w:sz w:val="20"/>
                      <w:szCs w:val="20"/>
                    </w:rPr>
                    <w:t>集油坑，</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0"/>
                      <w:w w:val="101"/>
                      <w:sz w:val="20"/>
                      <w:szCs w:val="20"/>
                    </w:rPr>
                    <w:t xml:space="preserve"> </w:t>
                  </w:r>
                  <w:r>
                    <w:rPr>
                      <w:spacing w:val="4"/>
                      <w:sz w:val="20"/>
                      <w:szCs w:val="20"/>
                    </w:rPr>
                    <w:t>台</w:t>
                  </w:r>
                  <w:r>
                    <w:rPr>
                      <w:spacing w:val="-21"/>
                      <w:sz w:val="20"/>
                      <w:szCs w:val="20"/>
                    </w:rPr>
                    <w:t xml:space="preserve"> </w:t>
                  </w:r>
                  <w:r>
                    <w:rPr>
                      <w:rFonts w:ascii="Times New Roman" w:hAnsi="Times New Roman" w:eastAsia="Times New Roman" w:cs="Times New Roman"/>
                      <w:spacing w:val="4"/>
                      <w:sz w:val="20"/>
                      <w:szCs w:val="20"/>
                    </w:rPr>
                    <w:t>18</w:t>
                  </w:r>
                  <w:r>
                    <w:rPr>
                      <w:rFonts w:ascii="Times New Roman" w:hAnsi="Times New Roman" w:eastAsia="Times New Roman" w:cs="Times New Roman"/>
                      <w:spacing w:val="3"/>
                      <w:sz w:val="20"/>
                      <w:szCs w:val="20"/>
                    </w:rPr>
                    <w:t>00</w:t>
                  </w:r>
                  <w:r>
                    <w:rPr>
                      <w:rFonts w:ascii="Times New Roman" w:hAnsi="Times New Roman" w:eastAsia="Times New Roman" w:cs="Times New Roman"/>
                      <w:sz w:val="20"/>
                      <w:szCs w:val="20"/>
                    </w:rPr>
                    <w:t>kVA</w:t>
                  </w:r>
                  <w:r>
                    <w:rPr>
                      <w:rFonts w:ascii="Times New Roman" w:hAnsi="Times New Roman" w:eastAsia="Times New Roman" w:cs="Times New Roman"/>
                      <w:spacing w:val="16"/>
                      <w:sz w:val="20"/>
                      <w:szCs w:val="20"/>
                    </w:rPr>
                    <w:t xml:space="preserve"> </w:t>
                  </w:r>
                  <w:r>
                    <w:rPr>
                      <w:spacing w:val="3"/>
                      <w:sz w:val="20"/>
                      <w:szCs w:val="20"/>
                    </w:rPr>
                    <w:t>箱变各设一个</w:t>
                  </w:r>
                  <w:r>
                    <w:rPr>
                      <w:spacing w:val="-21"/>
                      <w:sz w:val="20"/>
                      <w:szCs w:val="20"/>
                    </w:rPr>
                    <w:t xml:space="preserve"> </w:t>
                  </w:r>
                  <w:r>
                    <w:rPr>
                      <w:rFonts w:ascii="Times New Roman" w:hAnsi="Times New Roman" w:eastAsia="Times New Roman" w:cs="Times New Roman"/>
                      <w:spacing w:val="3"/>
                      <w:sz w:val="20"/>
                      <w:szCs w:val="20"/>
                    </w:rPr>
                    <w:t>1.6m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13"/>
                      <w:w w:val="101"/>
                      <w:position w:val="6"/>
                      <w:sz w:val="13"/>
                      <w:szCs w:val="13"/>
                    </w:rPr>
                    <w:t xml:space="preserve"> </w:t>
                  </w:r>
                  <w:r>
                    <w:rPr>
                      <w:spacing w:val="3"/>
                      <w:sz w:val="20"/>
                      <w:szCs w:val="20"/>
                    </w:rPr>
                    <w:t>集</w:t>
                  </w:r>
                  <w:r>
                    <w:rPr>
                      <w:sz w:val="20"/>
                      <w:szCs w:val="20"/>
                    </w:rPr>
                    <w:t xml:space="preserve"> 油坑，</w:t>
                  </w:r>
                  <w:r>
                    <w:rPr>
                      <w:rFonts w:ascii="Times New Roman" w:hAnsi="Times New Roman" w:eastAsia="Times New Roman" w:cs="Times New Roman"/>
                      <w:sz w:val="20"/>
                      <w:szCs w:val="20"/>
                    </w:rPr>
                    <w:t>3</w:t>
                  </w:r>
                  <w:r>
                    <w:rPr>
                      <w:rFonts w:ascii="Times New Roman" w:hAnsi="Times New Roman" w:eastAsia="Times New Roman" w:cs="Times New Roman"/>
                      <w:spacing w:val="26"/>
                      <w:w w:val="101"/>
                      <w:sz w:val="20"/>
                      <w:szCs w:val="20"/>
                    </w:rPr>
                    <w:t xml:space="preserve"> </w:t>
                  </w:r>
                  <w:r>
                    <w:rPr>
                      <w:sz w:val="20"/>
                      <w:szCs w:val="20"/>
                    </w:rPr>
                    <w:t>台</w:t>
                  </w:r>
                  <w:r>
                    <w:rPr>
                      <w:spacing w:val="-51"/>
                      <w:sz w:val="20"/>
                      <w:szCs w:val="20"/>
                    </w:rPr>
                    <w:t xml:space="preserve"> </w:t>
                  </w:r>
                  <w:r>
                    <w:rPr>
                      <w:rFonts w:ascii="Times New Roman" w:hAnsi="Times New Roman" w:eastAsia="Times New Roman" w:cs="Times New Roman"/>
                      <w:sz w:val="20"/>
                      <w:szCs w:val="20"/>
                    </w:rPr>
                    <w:t xml:space="preserve">2100kVA </w:t>
                  </w:r>
                  <w:r>
                    <w:rPr>
                      <w:sz w:val="20"/>
                      <w:szCs w:val="20"/>
                    </w:rPr>
                    <w:t>型箱变各设一个</w:t>
                  </w:r>
                  <w:r>
                    <w:rPr>
                      <w:spacing w:val="-50"/>
                      <w:sz w:val="20"/>
                      <w:szCs w:val="20"/>
                    </w:rPr>
                    <w:t xml:space="preserve"> </w:t>
                  </w:r>
                  <w:r>
                    <w:rPr>
                      <w:rFonts w:ascii="Times New Roman" w:hAnsi="Times New Roman" w:eastAsia="Times New Roman" w:cs="Times New Roman"/>
                      <w:sz w:val="20"/>
                      <w:szCs w:val="20"/>
                    </w:rPr>
                    <w:t>2.0m</w:t>
                  </w:r>
                  <w:r>
                    <w:rPr>
                      <w:rFonts w:ascii="Times New Roman" w:hAnsi="Times New Roman" w:eastAsia="Times New Roman" w:cs="Times New Roman"/>
                      <w:position w:val="6"/>
                      <w:sz w:val="13"/>
                      <w:szCs w:val="13"/>
                    </w:rPr>
                    <w:t xml:space="preserve">3 </w:t>
                  </w:r>
                  <w:r>
                    <w:rPr>
                      <w:sz w:val="20"/>
                      <w:szCs w:val="20"/>
                    </w:rPr>
                    <w:t>集油坑，</w:t>
                  </w:r>
                  <w:r>
                    <w:rPr>
                      <w:rFonts w:ascii="Times New Roman" w:hAnsi="Times New Roman" w:eastAsia="Times New Roman" w:cs="Times New Roman"/>
                      <w:sz w:val="20"/>
                      <w:szCs w:val="20"/>
                    </w:rPr>
                    <w:t>3</w:t>
                  </w:r>
                  <w:r>
                    <w:rPr>
                      <w:rFonts w:ascii="Times New Roman" w:hAnsi="Times New Roman" w:eastAsia="Times New Roman" w:cs="Times New Roman"/>
                      <w:spacing w:val="17"/>
                      <w:sz w:val="20"/>
                      <w:szCs w:val="20"/>
                    </w:rPr>
                    <w:t xml:space="preserve"> </w:t>
                  </w:r>
                  <w:r>
                    <w:rPr>
                      <w:sz w:val="20"/>
                      <w:szCs w:val="20"/>
                    </w:rPr>
                    <w:t>台</w:t>
                  </w:r>
                  <w:r>
                    <w:rPr>
                      <w:spacing w:val="-51"/>
                      <w:sz w:val="20"/>
                      <w:szCs w:val="20"/>
                    </w:rPr>
                    <w:t xml:space="preserve"> </w:t>
                  </w:r>
                  <w:r>
                    <w:rPr>
                      <w:rFonts w:ascii="Times New Roman" w:hAnsi="Times New Roman" w:eastAsia="Times New Roman" w:cs="Times New Roman"/>
                      <w:sz w:val="20"/>
                      <w:szCs w:val="20"/>
                    </w:rPr>
                    <w:t xml:space="preserve">2400kVA </w:t>
                  </w:r>
                  <w:r>
                    <w:rPr>
                      <w:sz w:val="20"/>
                      <w:szCs w:val="20"/>
                    </w:rPr>
                    <w:t>型箱变各设一个</w:t>
                  </w:r>
                  <w:r>
                    <w:rPr>
                      <w:spacing w:val="-50"/>
                      <w:sz w:val="20"/>
                      <w:szCs w:val="20"/>
                    </w:rPr>
                    <w:t xml:space="preserve"> </w:t>
                  </w:r>
                  <w:r>
                    <w:rPr>
                      <w:rFonts w:ascii="Times New Roman" w:hAnsi="Times New Roman" w:eastAsia="Times New Roman" w:cs="Times New Roman"/>
                      <w:sz w:val="20"/>
                      <w:szCs w:val="20"/>
                    </w:rPr>
                    <w:t>2.2m</w:t>
                  </w:r>
                  <w:r>
                    <w:rPr>
                      <w:rFonts w:ascii="Times New Roman" w:hAnsi="Times New Roman" w:eastAsia="Times New Roman" w:cs="Times New Roman"/>
                      <w:position w:val="6"/>
                      <w:sz w:val="13"/>
                      <w:szCs w:val="13"/>
                    </w:rPr>
                    <w:t xml:space="preserve">3  </w:t>
                  </w:r>
                  <w:r>
                    <w:rPr>
                      <w:spacing w:val="4"/>
                      <w:sz w:val="20"/>
                      <w:szCs w:val="20"/>
                    </w:rPr>
                    <w:t>集油坑，</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28"/>
                      <w:sz w:val="20"/>
                      <w:szCs w:val="20"/>
                    </w:rPr>
                    <w:t xml:space="preserve"> </w:t>
                  </w:r>
                  <w:r>
                    <w:rPr>
                      <w:spacing w:val="4"/>
                      <w:sz w:val="20"/>
                      <w:szCs w:val="20"/>
                    </w:rPr>
                    <w:t>台</w:t>
                  </w:r>
                  <w:r>
                    <w:rPr>
                      <w:spacing w:val="-43"/>
                      <w:sz w:val="20"/>
                      <w:szCs w:val="20"/>
                    </w:rPr>
                    <w:t xml:space="preserve"> </w:t>
                  </w:r>
                  <w:r>
                    <w:rPr>
                      <w:rFonts w:ascii="Times New Roman" w:hAnsi="Times New Roman" w:eastAsia="Times New Roman" w:cs="Times New Roman"/>
                      <w:spacing w:val="4"/>
                      <w:sz w:val="20"/>
                      <w:szCs w:val="20"/>
                    </w:rPr>
                    <w:t>2700</w:t>
                  </w:r>
                  <w:r>
                    <w:rPr>
                      <w:rFonts w:ascii="Times New Roman" w:hAnsi="Times New Roman" w:eastAsia="Times New Roman" w:cs="Times New Roman"/>
                      <w:sz w:val="20"/>
                      <w:szCs w:val="20"/>
                    </w:rPr>
                    <w:t>kVA</w:t>
                  </w:r>
                  <w:r>
                    <w:rPr>
                      <w:rFonts w:ascii="Times New Roman" w:hAnsi="Times New Roman" w:eastAsia="Times New Roman" w:cs="Times New Roman"/>
                      <w:spacing w:val="15"/>
                      <w:w w:val="101"/>
                      <w:sz w:val="20"/>
                      <w:szCs w:val="20"/>
                    </w:rPr>
                    <w:t xml:space="preserve"> </w:t>
                  </w:r>
                  <w:r>
                    <w:rPr>
                      <w:spacing w:val="4"/>
                      <w:sz w:val="20"/>
                      <w:szCs w:val="20"/>
                    </w:rPr>
                    <w:t>型箱变各设一个</w:t>
                  </w:r>
                  <w:r>
                    <w:rPr>
                      <w:spacing w:val="-43"/>
                      <w:sz w:val="20"/>
                      <w:szCs w:val="20"/>
                    </w:rPr>
                    <w:t xml:space="preserve"> </w:t>
                  </w:r>
                  <w:r>
                    <w:rPr>
                      <w:rFonts w:ascii="Times New Roman" w:hAnsi="Times New Roman" w:eastAsia="Times New Roman" w:cs="Times New Roman"/>
                      <w:spacing w:val="4"/>
                      <w:sz w:val="20"/>
                      <w:szCs w:val="20"/>
                    </w:rPr>
                    <w:t>2.3m</w:t>
                  </w:r>
                  <w:r>
                    <w:rPr>
                      <w:rFonts w:ascii="Times New Roman" w:hAnsi="Times New Roman" w:eastAsia="Times New Roman" w:cs="Times New Roman"/>
                      <w:spacing w:val="4"/>
                      <w:position w:val="6"/>
                      <w:sz w:val="13"/>
                      <w:szCs w:val="13"/>
                    </w:rPr>
                    <w:t xml:space="preserve">3 </w:t>
                  </w:r>
                  <w:r>
                    <w:rPr>
                      <w:spacing w:val="4"/>
                      <w:sz w:val="20"/>
                      <w:szCs w:val="20"/>
                    </w:rPr>
                    <w:t>集油坑</w:t>
                  </w:r>
                  <w:r>
                    <w:rPr>
                      <w:spacing w:val="3"/>
                      <w:sz w:val="20"/>
                      <w:szCs w:val="20"/>
                    </w:rPr>
                    <w:t>，</w:t>
                  </w:r>
                  <w:r>
                    <w:rPr>
                      <w:rFonts w:ascii="Times New Roman" w:hAnsi="Times New Roman" w:eastAsia="Times New Roman" w:cs="Times New Roman"/>
                      <w:spacing w:val="3"/>
                      <w:sz w:val="20"/>
                      <w:szCs w:val="20"/>
                    </w:rPr>
                    <w:t>19</w:t>
                  </w:r>
                  <w:r>
                    <w:rPr>
                      <w:rFonts w:ascii="Times New Roman" w:hAnsi="Times New Roman" w:eastAsia="Times New Roman" w:cs="Times New Roman"/>
                      <w:spacing w:val="26"/>
                      <w:sz w:val="20"/>
                      <w:szCs w:val="20"/>
                    </w:rPr>
                    <w:t xml:space="preserve"> </w:t>
                  </w:r>
                  <w:r>
                    <w:rPr>
                      <w:spacing w:val="3"/>
                      <w:sz w:val="20"/>
                      <w:szCs w:val="20"/>
                    </w:rPr>
                    <w:t>台</w:t>
                  </w:r>
                  <w:r>
                    <w:rPr>
                      <w:spacing w:val="-37"/>
                      <w:sz w:val="20"/>
                      <w:szCs w:val="20"/>
                    </w:rPr>
                    <w:t xml:space="preserve"> </w:t>
                  </w:r>
                  <w:r>
                    <w:rPr>
                      <w:rFonts w:ascii="Times New Roman" w:hAnsi="Times New Roman" w:eastAsia="Times New Roman" w:cs="Times New Roman"/>
                      <w:spacing w:val="3"/>
                      <w:sz w:val="20"/>
                      <w:szCs w:val="20"/>
                    </w:rPr>
                    <w:t>3300</w:t>
                  </w:r>
                  <w:r>
                    <w:rPr>
                      <w:rFonts w:ascii="Times New Roman" w:hAnsi="Times New Roman" w:eastAsia="Times New Roman" w:cs="Times New Roman"/>
                      <w:sz w:val="20"/>
                      <w:szCs w:val="20"/>
                    </w:rPr>
                    <w:t>kVA</w:t>
                  </w:r>
                  <w:r>
                    <w:rPr>
                      <w:rFonts w:ascii="Times New Roman" w:hAnsi="Times New Roman" w:eastAsia="Times New Roman" w:cs="Times New Roman"/>
                      <w:spacing w:val="16"/>
                      <w:sz w:val="20"/>
                      <w:szCs w:val="20"/>
                    </w:rPr>
                    <w:t xml:space="preserve"> </w:t>
                  </w:r>
                  <w:r>
                    <w:rPr>
                      <w:spacing w:val="3"/>
                      <w:sz w:val="20"/>
                      <w:szCs w:val="20"/>
                    </w:rPr>
                    <w:t>型箱变各设一个</w:t>
                  </w:r>
                  <w:r>
                    <w:rPr>
                      <w:sz w:val="20"/>
                      <w:szCs w:val="20"/>
                    </w:rPr>
                    <w:t xml:space="preserve"> </w:t>
                  </w:r>
                  <w:r>
                    <w:rPr>
                      <w:rFonts w:ascii="Times New Roman" w:hAnsi="Times New Roman" w:eastAsia="Times New Roman" w:cs="Times New Roman"/>
                      <w:spacing w:val="7"/>
                      <w:sz w:val="20"/>
                      <w:szCs w:val="20"/>
                    </w:rPr>
                    <w:t>2.5m</w:t>
                  </w:r>
                  <w:r>
                    <w:rPr>
                      <w:rFonts w:ascii="Times New Roman" w:hAnsi="Times New Roman" w:eastAsia="Times New Roman" w:cs="Times New Roman"/>
                      <w:spacing w:val="7"/>
                      <w:position w:val="6"/>
                      <w:sz w:val="13"/>
                      <w:szCs w:val="13"/>
                    </w:rPr>
                    <w:t xml:space="preserve">3 </w:t>
                  </w:r>
                  <w:r>
                    <w:rPr>
                      <w:spacing w:val="7"/>
                      <w:sz w:val="20"/>
                      <w:szCs w:val="20"/>
                    </w:rPr>
                    <w:t>集油坑收集泄漏油；项目危废贮存库设置有导流沟和收集池，若确实发生了泄漏</w:t>
                  </w:r>
                  <w:r>
                    <w:rPr>
                      <w:sz w:val="20"/>
                      <w:szCs w:val="20"/>
                    </w:rPr>
                    <w:t xml:space="preserve"> </w:t>
                  </w:r>
                  <w:r>
                    <w:rPr>
                      <w:spacing w:val="11"/>
                      <w:sz w:val="20"/>
                      <w:szCs w:val="20"/>
                    </w:rPr>
                    <w:t>事故，及时切断泄漏源，封闭现场，采用合</w:t>
                  </w:r>
                  <w:r>
                    <w:rPr>
                      <w:spacing w:val="10"/>
                      <w:sz w:val="20"/>
                      <w:szCs w:val="20"/>
                    </w:rPr>
                    <w:t>适的材料收容泄漏物；暂存于危废贮存库</w:t>
                  </w:r>
                  <w:r>
                    <w:rPr>
                      <w:sz w:val="20"/>
                      <w:szCs w:val="20"/>
                    </w:rPr>
                    <w:t xml:space="preserve"> </w:t>
                  </w:r>
                  <w:r>
                    <w:rPr>
                      <w:spacing w:val="9"/>
                      <w:sz w:val="20"/>
                      <w:szCs w:val="20"/>
                    </w:rPr>
                    <w:t>内，委托有相应资质单位清运处置。项目泄漏对外环境的影响较小。</w:t>
                  </w:r>
                </w:p>
              </w:tc>
            </w:tr>
            <w:tr w14:paraId="304B6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6" w:hRule="atLeast"/>
              </w:trPr>
              <w:tc>
                <w:tcPr>
                  <w:tcW w:w="1477" w:type="dxa"/>
                  <w:tcBorders>
                    <w:bottom w:val="nil"/>
                  </w:tcBorders>
                  <w:vAlign w:val="top"/>
                </w:tcPr>
                <w:p w14:paraId="559E5E1F">
                  <w:pPr>
                    <w:spacing w:line="259" w:lineRule="auto"/>
                    <w:rPr>
                      <w:rFonts w:ascii="Arial"/>
                      <w:sz w:val="21"/>
                    </w:rPr>
                  </w:pPr>
                </w:p>
                <w:p w14:paraId="2CD1666D">
                  <w:pPr>
                    <w:spacing w:line="259" w:lineRule="auto"/>
                    <w:rPr>
                      <w:rFonts w:ascii="Arial"/>
                      <w:sz w:val="21"/>
                    </w:rPr>
                  </w:pPr>
                </w:p>
                <w:p w14:paraId="08FF60C3">
                  <w:pPr>
                    <w:spacing w:line="259" w:lineRule="auto"/>
                    <w:rPr>
                      <w:rFonts w:ascii="Arial"/>
                      <w:sz w:val="21"/>
                    </w:rPr>
                  </w:pPr>
                </w:p>
                <w:p w14:paraId="7695587A">
                  <w:pPr>
                    <w:pStyle w:val="6"/>
                    <w:spacing w:before="65"/>
                    <w:ind w:left="65" w:right="57"/>
                    <w:rPr>
                      <w:sz w:val="20"/>
                      <w:szCs w:val="20"/>
                    </w:rPr>
                  </w:pPr>
                  <w:r>
                    <w:rPr>
                      <w:spacing w:val="24"/>
                      <w:sz w:val="20"/>
                      <w:szCs w:val="20"/>
                    </w:rPr>
                    <w:t>风险防范措施</w:t>
                  </w:r>
                  <w:r>
                    <w:rPr>
                      <w:spacing w:val="4"/>
                      <w:sz w:val="20"/>
                      <w:szCs w:val="20"/>
                    </w:rPr>
                    <w:t xml:space="preserve"> 要求</w:t>
                  </w:r>
                </w:p>
              </w:tc>
              <w:tc>
                <w:tcPr>
                  <w:tcW w:w="7912" w:type="dxa"/>
                  <w:tcBorders>
                    <w:bottom w:val="nil"/>
                  </w:tcBorders>
                  <w:vAlign w:val="top"/>
                </w:tcPr>
                <w:p w14:paraId="0C601647">
                  <w:pPr>
                    <w:pStyle w:val="6"/>
                    <w:spacing w:before="32" w:line="228" w:lineRule="auto"/>
                    <w:ind w:left="61"/>
                    <w:rPr>
                      <w:sz w:val="20"/>
                      <w:szCs w:val="20"/>
                    </w:rPr>
                  </w:pPr>
                  <w:r>
                    <w:rPr>
                      <w:spacing w:val="9"/>
                      <w:sz w:val="20"/>
                      <w:szCs w:val="20"/>
                    </w:rPr>
                    <w:t>根据该项目环境影响途径，提出以下风险防范措施：</w:t>
                  </w:r>
                </w:p>
                <w:p w14:paraId="7B2A6EAB">
                  <w:pPr>
                    <w:pStyle w:val="6"/>
                    <w:spacing w:before="25" w:line="225" w:lineRule="auto"/>
                    <w:ind w:left="480"/>
                    <w:rPr>
                      <w:sz w:val="20"/>
                      <w:szCs w:val="20"/>
                    </w:rPr>
                  </w:pPr>
                  <w:r>
                    <w:rPr>
                      <w:spacing w:val="7"/>
                      <w:sz w:val="20"/>
                      <w:szCs w:val="20"/>
                    </w:rPr>
                    <w:t>①防范措施</w:t>
                  </w:r>
                </w:p>
                <w:p w14:paraId="0EBC8DD8">
                  <w:pPr>
                    <w:pStyle w:val="6"/>
                    <w:spacing w:before="25" w:line="245" w:lineRule="auto"/>
                    <w:ind w:left="61" w:right="4" w:firstLine="413"/>
                    <w:rPr>
                      <w:sz w:val="20"/>
                      <w:szCs w:val="20"/>
                    </w:rPr>
                  </w:pPr>
                  <w:r>
                    <w:rPr>
                      <w:rFonts w:ascii="Times New Roman" w:hAnsi="Times New Roman" w:eastAsia="Times New Roman" w:cs="Times New Roman"/>
                      <w:spacing w:val="-4"/>
                      <w:sz w:val="20"/>
                      <w:szCs w:val="20"/>
                    </w:rPr>
                    <w:t>A.</w:t>
                  </w:r>
                  <w:r>
                    <w:rPr>
                      <w:spacing w:val="-4"/>
                      <w:sz w:val="20"/>
                      <w:szCs w:val="20"/>
                    </w:rPr>
                    <w:t>本项目在主变压器下设置一座</w:t>
                  </w:r>
                  <w:r>
                    <w:rPr>
                      <w:rFonts w:ascii="Times New Roman" w:hAnsi="Times New Roman" w:eastAsia="Times New Roman" w:cs="Times New Roman"/>
                      <w:spacing w:val="-4"/>
                      <w:sz w:val="20"/>
                      <w:szCs w:val="20"/>
                    </w:rPr>
                    <w:t>20%</w:t>
                  </w:r>
                  <w:r>
                    <w:rPr>
                      <w:spacing w:val="-4"/>
                      <w:sz w:val="20"/>
                      <w:szCs w:val="20"/>
                    </w:rPr>
                    <w:t>油量事故油池（</w:t>
                  </w:r>
                  <w:r>
                    <w:rPr>
                      <w:rFonts w:ascii="Times New Roman" w:hAnsi="Times New Roman" w:eastAsia="Times New Roman" w:cs="Times New Roman"/>
                      <w:spacing w:val="-4"/>
                      <w:sz w:val="20"/>
                      <w:szCs w:val="20"/>
                    </w:rPr>
                    <w:t>10m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10"/>
                      <w:position w:val="6"/>
                      <w:sz w:val="13"/>
                      <w:szCs w:val="13"/>
                    </w:rPr>
                    <w:t xml:space="preserve"> </w:t>
                  </w:r>
                  <w:r>
                    <w:rPr>
                      <w:spacing w:val="-24"/>
                      <w:sz w:val="20"/>
                      <w:szCs w:val="20"/>
                    </w:rPr>
                    <w:t>），</w:t>
                  </w:r>
                  <w:r>
                    <w:rPr>
                      <w:spacing w:val="-4"/>
                      <w:sz w:val="20"/>
                      <w:szCs w:val="20"/>
                    </w:rPr>
                    <w:t>并在主变压器东南侧设</w:t>
                  </w:r>
                  <w:r>
                    <w:rPr>
                      <w:spacing w:val="-23"/>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z w:val="20"/>
                      <w:szCs w:val="20"/>
                    </w:rPr>
                    <w:t xml:space="preserve">  </w:t>
                  </w:r>
                  <w:r>
                    <w:rPr>
                      <w:spacing w:val="5"/>
                      <w:sz w:val="20"/>
                      <w:szCs w:val="20"/>
                    </w:rPr>
                    <w:t>座</w:t>
                  </w:r>
                  <w:r>
                    <w:rPr>
                      <w:spacing w:val="-22"/>
                      <w:sz w:val="20"/>
                      <w:szCs w:val="20"/>
                    </w:rPr>
                    <w:t xml:space="preserve"> </w:t>
                  </w:r>
                  <w:r>
                    <w:rPr>
                      <w:rFonts w:ascii="Times New Roman" w:hAnsi="Times New Roman" w:eastAsia="Times New Roman" w:cs="Times New Roman"/>
                      <w:spacing w:val="5"/>
                      <w:sz w:val="20"/>
                      <w:szCs w:val="20"/>
                    </w:rPr>
                    <w:t>100%</w:t>
                  </w:r>
                  <w:r>
                    <w:rPr>
                      <w:spacing w:val="5"/>
                      <w:sz w:val="20"/>
                      <w:szCs w:val="20"/>
                    </w:rPr>
                    <w:t>事故油池（有效容积约</w:t>
                  </w:r>
                  <w:r>
                    <w:rPr>
                      <w:spacing w:val="-35"/>
                      <w:sz w:val="20"/>
                      <w:szCs w:val="20"/>
                    </w:rPr>
                    <w:t xml:space="preserve"> </w:t>
                  </w:r>
                  <w:r>
                    <w:rPr>
                      <w:rFonts w:ascii="Times New Roman" w:hAnsi="Times New Roman" w:eastAsia="Times New Roman" w:cs="Times New Roman"/>
                      <w:spacing w:val="5"/>
                      <w:sz w:val="20"/>
                      <w:szCs w:val="20"/>
                    </w:rPr>
                    <w:t>50m</w:t>
                  </w:r>
                  <w:r>
                    <w:rPr>
                      <w:rFonts w:ascii="Times New Roman" w:hAnsi="Times New Roman" w:eastAsia="Times New Roman" w:cs="Times New Roman"/>
                      <w:spacing w:val="5"/>
                      <w:position w:val="6"/>
                      <w:sz w:val="13"/>
                      <w:szCs w:val="13"/>
                    </w:rPr>
                    <w:t xml:space="preserve">3 </w:t>
                  </w:r>
                  <w:r>
                    <w:rPr>
                      <w:spacing w:val="-11"/>
                      <w:sz w:val="20"/>
                      <w:szCs w:val="20"/>
                    </w:rPr>
                    <w:t>）；</w:t>
                  </w:r>
                  <w:r>
                    <w:rPr>
                      <w:spacing w:val="5"/>
                      <w:sz w:val="20"/>
                      <w:szCs w:val="20"/>
                    </w:rPr>
                    <w:t>在箱式变压器下设置一个等容积集油坑，即：</w:t>
                  </w:r>
                  <w:r>
                    <w:rPr>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21"/>
                      <w:w w:val="101"/>
                      <w:sz w:val="20"/>
                      <w:szCs w:val="20"/>
                    </w:rPr>
                    <w:t xml:space="preserve"> </w:t>
                  </w:r>
                  <w:r>
                    <w:rPr>
                      <w:spacing w:val="1"/>
                      <w:sz w:val="20"/>
                      <w:szCs w:val="20"/>
                    </w:rPr>
                    <w:t>台</w:t>
                  </w:r>
                  <w:r>
                    <w:rPr>
                      <w:spacing w:val="-47"/>
                      <w:sz w:val="20"/>
                      <w:szCs w:val="20"/>
                    </w:rPr>
                    <w:t xml:space="preserve"> </w:t>
                  </w:r>
                  <w:r>
                    <w:rPr>
                      <w:rFonts w:ascii="Times New Roman" w:hAnsi="Times New Roman" w:eastAsia="Times New Roman" w:cs="Times New Roman"/>
                      <w:spacing w:val="1"/>
                      <w:sz w:val="20"/>
                      <w:szCs w:val="20"/>
                    </w:rPr>
                    <w:t>900</w:t>
                  </w:r>
                  <w:r>
                    <w:rPr>
                      <w:rFonts w:ascii="Times New Roman" w:hAnsi="Times New Roman" w:eastAsia="Times New Roman" w:cs="Times New Roman"/>
                      <w:sz w:val="20"/>
                      <w:szCs w:val="20"/>
                    </w:rPr>
                    <w:t>kVA</w:t>
                  </w:r>
                  <w:r>
                    <w:rPr>
                      <w:rFonts w:ascii="Times New Roman" w:hAnsi="Times New Roman" w:eastAsia="Times New Roman" w:cs="Times New Roman"/>
                      <w:spacing w:val="1"/>
                      <w:sz w:val="20"/>
                      <w:szCs w:val="20"/>
                    </w:rPr>
                    <w:t xml:space="preserve"> </w:t>
                  </w:r>
                  <w:r>
                    <w:rPr>
                      <w:spacing w:val="1"/>
                      <w:sz w:val="20"/>
                      <w:szCs w:val="20"/>
                    </w:rPr>
                    <w:t>箱变下各设一个</w:t>
                  </w:r>
                  <w:r>
                    <w:rPr>
                      <w:spacing w:val="-44"/>
                      <w:sz w:val="20"/>
                      <w:szCs w:val="20"/>
                    </w:rPr>
                    <w:t xml:space="preserve"> </w:t>
                  </w:r>
                  <w:r>
                    <w:rPr>
                      <w:rFonts w:ascii="Times New Roman" w:hAnsi="Times New Roman" w:eastAsia="Times New Roman" w:cs="Times New Roman"/>
                      <w:spacing w:val="1"/>
                      <w:sz w:val="20"/>
                      <w:szCs w:val="20"/>
                    </w:rPr>
                    <w:t>0.8m</w:t>
                  </w:r>
                  <w:r>
                    <w:rPr>
                      <w:rFonts w:ascii="Times New Roman" w:hAnsi="Times New Roman" w:eastAsia="Times New Roman" w:cs="Times New Roman"/>
                      <w:spacing w:val="1"/>
                      <w:position w:val="6"/>
                      <w:sz w:val="13"/>
                      <w:szCs w:val="13"/>
                    </w:rPr>
                    <w:t xml:space="preserve">3 </w:t>
                  </w:r>
                  <w:r>
                    <w:rPr>
                      <w:spacing w:val="1"/>
                      <w:sz w:val="20"/>
                      <w:szCs w:val="20"/>
                    </w:rPr>
                    <w:t>集油坑，</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21"/>
                      <w:sz w:val="20"/>
                      <w:szCs w:val="20"/>
                    </w:rPr>
                    <w:t xml:space="preserve"> </w:t>
                  </w:r>
                  <w:r>
                    <w:rPr>
                      <w:spacing w:val="1"/>
                      <w:sz w:val="20"/>
                      <w:szCs w:val="20"/>
                    </w:rPr>
                    <w:t>台</w:t>
                  </w:r>
                  <w:r>
                    <w:rPr>
                      <w:spacing w:val="-28"/>
                      <w:sz w:val="20"/>
                      <w:szCs w:val="20"/>
                    </w:rPr>
                    <w:t xml:space="preserve"> </w:t>
                  </w:r>
                  <w:r>
                    <w:rPr>
                      <w:rFonts w:ascii="Times New Roman" w:hAnsi="Times New Roman" w:eastAsia="Times New Roman" w:cs="Times New Roman"/>
                      <w:spacing w:val="1"/>
                      <w:sz w:val="20"/>
                      <w:szCs w:val="20"/>
                    </w:rPr>
                    <w:t>1200</w:t>
                  </w:r>
                  <w:r>
                    <w:rPr>
                      <w:rFonts w:ascii="Times New Roman" w:hAnsi="Times New Roman" w:eastAsia="Times New Roman" w:cs="Times New Roman"/>
                      <w:sz w:val="20"/>
                      <w:szCs w:val="20"/>
                    </w:rPr>
                    <w:t>kVA</w:t>
                  </w:r>
                  <w:r>
                    <w:rPr>
                      <w:rFonts w:ascii="Times New Roman" w:hAnsi="Times New Roman" w:eastAsia="Times New Roman" w:cs="Times New Roman"/>
                      <w:spacing w:val="1"/>
                      <w:sz w:val="20"/>
                      <w:szCs w:val="20"/>
                    </w:rPr>
                    <w:t xml:space="preserve"> </w:t>
                  </w:r>
                  <w:r>
                    <w:rPr>
                      <w:spacing w:val="1"/>
                      <w:sz w:val="20"/>
                      <w:szCs w:val="20"/>
                    </w:rPr>
                    <w:t>箱变各设一个</w:t>
                  </w:r>
                  <w:r>
                    <w:rPr>
                      <w:spacing w:val="-30"/>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1m</w:t>
                  </w:r>
                  <w:r>
                    <w:rPr>
                      <w:rFonts w:ascii="Times New Roman" w:hAnsi="Times New Roman" w:eastAsia="Times New Roman" w:cs="Times New Roman"/>
                      <w:position w:val="6"/>
                      <w:sz w:val="13"/>
                      <w:szCs w:val="13"/>
                    </w:rPr>
                    <w:t xml:space="preserve">3 </w:t>
                  </w:r>
                  <w:r>
                    <w:rPr>
                      <w:sz w:val="20"/>
                      <w:szCs w:val="20"/>
                    </w:rPr>
                    <w:t xml:space="preserve">集油坑， </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30"/>
                      <w:w w:val="101"/>
                      <w:sz w:val="20"/>
                      <w:szCs w:val="20"/>
                    </w:rPr>
                    <w:t xml:space="preserve"> </w:t>
                  </w:r>
                  <w:r>
                    <w:rPr>
                      <w:spacing w:val="5"/>
                      <w:sz w:val="20"/>
                      <w:szCs w:val="20"/>
                    </w:rPr>
                    <w:t>台</w:t>
                  </w:r>
                  <w:r>
                    <w:rPr>
                      <w:spacing w:val="-21"/>
                      <w:sz w:val="20"/>
                      <w:szCs w:val="20"/>
                    </w:rPr>
                    <w:t xml:space="preserve"> </w:t>
                  </w:r>
                  <w:r>
                    <w:rPr>
                      <w:rFonts w:ascii="Times New Roman" w:hAnsi="Times New Roman" w:eastAsia="Times New Roman" w:cs="Times New Roman"/>
                      <w:spacing w:val="5"/>
                      <w:sz w:val="20"/>
                      <w:szCs w:val="20"/>
                    </w:rPr>
                    <w:t>1800</w:t>
                  </w:r>
                  <w:r>
                    <w:rPr>
                      <w:rFonts w:ascii="Times New Roman" w:hAnsi="Times New Roman" w:eastAsia="Times New Roman" w:cs="Times New Roman"/>
                      <w:sz w:val="20"/>
                      <w:szCs w:val="20"/>
                    </w:rPr>
                    <w:t>kVA</w:t>
                  </w:r>
                  <w:r>
                    <w:rPr>
                      <w:rFonts w:ascii="Times New Roman" w:hAnsi="Times New Roman" w:eastAsia="Times New Roman" w:cs="Times New Roman"/>
                      <w:spacing w:val="17"/>
                      <w:w w:val="101"/>
                      <w:sz w:val="20"/>
                      <w:szCs w:val="20"/>
                    </w:rPr>
                    <w:t xml:space="preserve"> </w:t>
                  </w:r>
                  <w:r>
                    <w:rPr>
                      <w:spacing w:val="5"/>
                      <w:sz w:val="20"/>
                      <w:szCs w:val="20"/>
                    </w:rPr>
                    <w:t>箱变各设一个</w:t>
                  </w:r>
                  <w:r>
                    <w:rPr>
                      <w:spacing w:val="-18"/>
                      <w:sz w:val="20"/>
                      <w:szCs w:val="20"/>
                    </w:rPr>
                    <w:t xml:space="preserve"> </w:t>
                  </w:r>
                  <w:r>
                    <w:rPr>
                      <w:rFonts w:ascii="Times New Roman" w:hAnsi="Times New Roman" w:eastAsia="Times New Roman" w:cs="Times New Roman"/>
                      <w:spacing w:val="5"/>
                      <w:sz w:val="20"/>
                      <w:szCs w:val="20"/>
                    </w:rPr>
                    <w:t>1.6m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10"/>
                      <w:w w:val="102"/>
                      <w:position w:val="6"/>
                      <w:sz w:val="13"/>
                      <w:szCs w:val="13"/>
                    </w:rPr>
                    <w:t xml:space="preserve"> </w:t>
                  </w:r>
                  <w:r>
                    <w:rPr>
                      <w:spacing w:val="5"/>
                      <w:sz w:val="20"/>
                      <w:szCs w:val="20"/>
                    </w:rPr>
                    <w:t>集油坑，</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30"/>
                      <w:w w:val="101"/>
                      <w:sz w:val="20"/>
                      <w:szCs w:val="20"/>
                    </w:rPr>
                    <w:t xml:space="preserve"> </w:t>
                  </w:r>
                  <w:r>
                    <w:rPr>
                      <w:spacing w:val="5"/>
                      <w:sz w:val="20"/>
                      <w:szCs w:val="20"/>
                    </w:rPr>
                    <w:t>台</w:t>
                  </w:r>
                  <w:r>
                    <w:rPr>
                      <w:spacing w:val="-41"/>
                      <w:sz w:val="20"/>
                      <w:szCs w:val="20"/>
                    </w:rPr>
                    <w:t xml:space="preserve"> </w:t>
                  </w:r>
                  <w:r>
                    <w:rPr>
                      <w:rFonts w:ascii="Times New Roman" w:hAnsi="Times New Roman" w:eastAsia="Times New Roman" w:cs="Times New Roman"/>
                      <w:spacing w:val="5"/>
                      <w:sz w:val="20"/>
                      <w:szCs w:val="20"/>
                    </w:rPr>
                    <w:t>2100</w:t>
                  </w:r>
                  <w:r>
                    <w:rPr>
                      <w:rFonts w:ascii="Times New Roman" w:hAnsi="Times New Roman" w:eastAsia="Times New Roman" w:cs="Times New Roman"/>
                      <w:sz w:val="20"/>
                      <w:szCs w:val="20"/>
                    </w:rPr>
                    <w:t>kVA</w:t>
                  </w:r>
                  <w:r>
                    <w:rPr>
                      <w:rFonts w:ascii="Times New Roman" w:hAnsi="Times New Roman" w:eastAsia="Times New Roman" w:cs="Times New Roman"/>
                      <w:spacing w:val="16"/>
                      <w:sz w:val="20"/>
                      <w:szCs w:val="20"/>
                    </w:rPr>
                    <w:t xml:space="preserve"> </w:t>
                  </w:r>
                  <w:r>
                    <w:rPr>
                      <w:spacing w:val="5"/>
                      <w:sz w:val="20"/>
                      <w:szCs w:val="20"/>
                    </w:rPr>
                    <w:t>型箱变各设一个</w:t>
                  </w:r>
                  <w:r>
                    <w:rPr>
                      <w:spacing w:val="-39"/>
                      <w:sz w:val="20"/>
                      <w:szCs w:val="20"/>
                    </w:rPr>
                    <w:t xml:space="preserve"> </w:t>
                  </w:r>
                  <w:r>
                    <w:rPr>
                      <w:rFonts w:ascii="Times New Roman" w:hAnsi="Times New Roman" w:eastAsia="Times New Roman" w:cs="Times New Roman"/>
                      <w:spacing w:val="5"/>
                      <w:sz w:val="20"/>
                      <w:szCs w:val="20"/>
                    </w:rPr>
                    <w:t>2.0m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13"/>
                      <w:w w:val="101"/>
                      <w:position w:val="6"/>
                      <w:sz w:val="13"/>
                      <w:szCs w:val="13"/>
                    </w:rPr>
                    <w:t xml:space="preserve"> </w:t>
                  </w:r>
                  <w:r>
                    <w:rPr>
                      <w:spacing w:val="5"/>
                      <w:sz w:val="20"/>
                      <w:szCs w:val="20"/>
                    </w:rPr>
                    <w:t>集油</w:t>
                  </w:r>
                  <w:r>
                    <w:rPr>
                      <w:sz w:val="20"/>
                      <w:szCs w:val="20"/>
                    </w:rPr>
                    <w:t xml:space="preserve"> </w:t>
                  </w:r>
                  <w:r>
                    <w:rPr>
                      <w:spacing w:val="3"/>
                      <w:sz w:val="20"/>
                      <w:szCs w:val="20"/>
                    </w:rPr>
                    <w:t>坑，</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27"/>
                      <w:w w:val="101"/>
                      <w:sz w:val="20"/>
                      <w:szCs w:val="20"/>
                    </w:rPr>
                    <w:t xml:space="preserve"> </w:t>
                  </w:r>
                  <w:r>
                    <w:rPr>
                      <w:spacing w:val="3"/>
                      <w:sz w:val="20"/>
                      <w:szCs w:val="20"/>
                    </w:rPr>
                    <w:t>台</w:t>
                  </w:r>
                  <w:r>
                    <w:rPr>
                      <w:spacing w:val="-41"/>
                      <w:sz w:val="20"/>
                      <w:szCs w:val="20"/>
                    </w:rPr>
                    <w:t xml:space="preserve"> </w:t>
                  </w:r>
                  <w:r>
                    <w:rPr>
                      <w:rFonts w:ascii="Times New Roman" w:hAnsi="Times New Roman" w:eastAsia="Times New Roman" w:cs="Times New Roman"/>
                      <w:spacing w:val="3"/>
                      <w:sz w:val="20"/>
                      <w:szCs w:val="20"/>
                    </w:rPr>
                    <w:t>2400</w:t>
                  </w:r>
                  <w:r>
                    <w:rPr>
                      <w:rFonts w:ascii="Times New Roman" w:hAnsi="Times New Roman" w:eastAsia="Times New Roman" w:cs="Times New Roman"/>
                      <w:sz w:val="20"/>
                      <w:szCs w:val="20"/>
                    </w:rPr>
                    <w:t>kVA</w:t>
                  </w:r>
                  <w:r>
                    <w:rPr>
                      <w:rFonts w:ascii="Times New Roman" w:hAnsi="Times New Roman" w:eastAsia="Times New Roman" w:cs="Times New Roman"/>
                      <w:spacing w:val="3"/>
                      <w:sz w:val="20"/>
                      <w:szCs w:val="20"/>
                    </w:rPr>
                    <w:t xml:space="preserve"> </w:t>
                  </w:r>
                  <w:r>
                    <w:rPr>
                      <w:spacing w:val="3"/>
                      <w:sz w:val="20"/>
                      <w:szCs w:val="20"/>
                    </w:rPr>
                    <w:t>型箱变各设一个</w:t>
                  </w:r>
                  <w:r>
                    <w:rPr>
                      <w:spacing w:val="-41"/>
                      <w:sz w:val="20"/>
                      <w:szCs w:val="20"/>
                    </w:rPr>
                    <w:t xml:space="preserve"> </w:t>
                  </w:r>
                  <w:r>
                    <w:rPr>
                      <w:rFonts w:ascii="Times New Roman" w:hAnsi="Times New Roman" w:eastAsia="Times New Roman" w:cs="Times New Roman"/>
                      <w:spacing w:val="3"/>
                      <w:sz w:val="20"/>
                      <w:szCs w:val="20"/>
                    </w:rPr>
                    <w:t>2.2m</w:t>
                  </w:r>
                  <w:r>
                    <w:rPr>
                      <w:rFonts w:ascii="Times New Roman" w:hAnsi="Times New Roman" w:eastAsia="Times New Roman" w:cs="Times New Roman"/>
                      <w:spacing w:val="3"/>
                      <w:position w:val="6"/>
                      <w:sz w:val="13"/>
                      <w:szCs w:val="13"/>
                    </w:rPr>
                    <w:t xml:space="preserve">3 </w:t>
                  </w:r>
                  <w:r>
                    <w:rPr>
                      <w:spacing w:val="3"/>
                      <w:sz w:val="20"/>
                      <w:szCs w:val="20"/>
                    </w:rPr>
                    <w:t>集油坑，</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9"/>
                      <w:sz w:val="20"/>
                      <w:szCs w:val="20"/>
                    </w:rPr>
                    <w:t xml:space="preserve"> </w:t>
                  </w:r>
                  <w:r>
                    <w:rPr>
                      <w:spacing w:val="3"/>
                      <w:sz w:val="20"/>
                      <w:szCs w:val="20"/>
                    </w:rPr>
                    <w:t>台</w:t>
                  </w:r>
                  <w:r>
                    <w:rPr>
                      <w:spacing w:val="-43"/>
                      <w:sz w:val="20"/>
                      <w:szCs w:val="20"/>
                    </w:rPr>
                    <w:t xml:space="preserve"> </w:t>
                  </w:r>
                  <w:r>
                    <w:rPr>
                      <w:rFonts w:ascii="Times New Roman" w:hAnsi="Times New Roman" w:eastAsia="Times New Roman" w:cs="Times New Roman"/>
                      <w:spacing w:val="3"/>
                      <w:sz w:val="20"/>
                      <w:szCs w:val="20"/>
                    </w:rPr>
                    <w:t>2700</w:t>
                  </w:r>
                  <w:r>
                    <w:rPr>
                      <w:rFonts w:ascii="Times New Roman" w:hAnsi="Times New Roman" w:eastAsia="Times New Roman" w:cs="Times New Roman"/>
                      <w:sz w:val="20"/>
                      <w:szCs w:val="20"/>
                    </w:rPr>
                    <w:t>kVA</w:t>
                  </w:r>
                  <w:r>
                    <w:rPr>
                      <w:rFonts w:ascii="Times New Roman" w:hAnsi="Times New Roman" w:eastAsia="Times New Roman" w:cs="Times New Roman"/>
                      <w:spacing w:val="15"/>
                      <w:sz w:val="20"/>
                      <w:szCs w:val="20"/>
                    </w:rPr>
                    <w:t xml:space="preserve"> </w:t>
                  </w:r>
                  <w:r>
                    <w:rPr>
                      <w:spacing w:val="3"/>
                      <w:sz w:val="20"/>
                      <w:szCs w:val="20"/>
                    </w:rPr>
                    <w:t>型箱变各设一个</w:t>
                  </w:r>
                  <w:r>
                    <w:rPr>
                      <w:spacing w:val="-41"/>
                      <w:sz w:val="20"/>
                      <w:szCs w:val="20"/>
                    </w:rPr>
                    <w:t xml:space="preserve"> </w:t>
                  </w:r>
                  <w:r>
                    <w:rPr>
                      <w:rFonts w:ascii="Times New Roman" w:hAnsi="Times New Roman" w:eastAsia="Times New Roman" w:cs="Times New Roman"/>
                      <w:spacing w:val="3"/>
                      <w:sz w:val="20"/>
                      <w:szCs w:val="20"/>
                    </w:rPr>
                    <w:t>2.3m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position w:val="6"/>
                      <w:sz w:val="13"/>
                      <w:szCs w:val="13"/>
                    </w:rPr>
                    <w:t xml:space="preserve">   </w:t>
                  </w:r>
                  <w:r>
                    <w:rPr>
                      <w:spacing w:val="6"/>
                      <w:sz w:val="20"/>
                      <w:szCs w:val="20"/>
                    </w:rPr>
                    <w:t>集油坑，</w:t>
                  </w:r>
                  <w:r>
                    <w:rPr>
                      <w:rFonts w:ascii="Times New Roman" w:hAnsi="Times New Roman" w:eastAsia="Times New Roman" w:cs="Times New Roman"/>
                      <w:spacing w:val="6"/>
                      <w:sz w:val="20"/>
                      <w:szCs w:val="20"/>
                    </w:rPr>
                    <w:t>19</w:t>
                  </w:r>
                  <w:r>
                    <w:rPr>
                      <w:rFonts w:ascii="Times New Roman" w:hAnsi="Times New Roman" w:eastAsia="Times New Roman" w:cs="Times New Roman"/>
                      <w:spacing w:val="26"/>
                      <w:sz w:val="20"/>
                      <w:szCs w:val="20"/>
                    </w:rPr>
                    <w:t xml:space="preserve"> </w:t>
                  </w:r>
                  <w:r>
                    <w:rPr>
                      <w:spacing w:val="6"/>
                      <w:sz w:val="20"/>
                      <w:szCs w:val="20"/>
                    </w:rPr>
                    <w:t>台</w:t>
                  </w:r>
                  <w:r>
                    <w:rPr>
                      <w:spacing w:val="-37"/>
                      <w:sz w:val="20"/>
                      <w:szCs w:val="20"/>
                    </w:rPr>
                    <w:t xml:space="preserve"> </w:t>
                  </w:r>
                  <w:r>
                    <w:rPr>
                      <w:rFonts w:ascii="Times New Roman" w:hAnsi="Times New Roman" w:eastAsia="Times New Roman" w:cs="Times New Roman"/>
                      <w:spacing w:val="6"/>
                      <w:sz w:val="20"/>
                      <w:szCs w:val="20"/>
                    </w:rPr>
                    <w:t>3300</w:t>
                  </w:r>
                  <w:r>
                    <w:rPr>
                      <w:rFonts w:ascii="Times New Roman" w:hAnsi="Times New Roman" w:eastAsia="Times New Roman" w:cs="Times New Roman"/>
                      <w:sz w:val="20"/>
                      <w:szCs w:val="20"/>
                    </w:rPr>
                    <w:t>kVA</w:t>
                  </w:r>
                  <w:r>
                    <w:rPr>
                      <w:rFonts w:ascii="Times New Roman" w:hAnsi="Times New Roman" w:eastAsia="Times New Roman" w:cs="Times New Roman"/>
                      <w:spacing w:val="15"/>
                      <w:w w:val="101"/>
                      <w:sz w:val="20"/>
                      <w:szCs w:val="20"/>
                    </w:rPr>
                    <w:t xml:space="preserve"> </w:t>
                  </w:r>
                  <w:r>
                    <w:rPr>
                      <w:spacing w:val="6"/>
                      <w:sz w:val="20"/>
                      <w:szCs w:val="20"/>
                    </w:rPr>
                    <w:t>型箱变各设一个</w:t>
                  </w:r>
                  <w:r>
                    <w:rPr>
                      <w:spacing w:val="-41"/>
                      <w:sz w:val="20"/>
                      <w:szCs w:val="20"/>
                    </w:rPr>
                    <w:t xml:space="preserve"> </w:t>
                  </w:r>
                  <w:r>
                    <w:rPr>
                      <w:rFonts w:ascii="Times New Roman" w:hAnsi="Times New Roman" w:eastAsia="Times New Roman" w:cs="Times New Roman"/>
                      <w:spacing w:val="6"/>
                      <w:sz w:val="20"/>
                      <w:szCs w:val="20"/>
                    </w:rPr>
                    <w:t>2.5m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11"/>
                      <w:position w:val="6"/>
                      <w:sz w:val="13"/>
                      <w:szCs w:val="13"/>
                    </w:rPr>
                    <w:t xml:space="preserve"> </w:t>
                  </w:r>
                  <w:r>
                    <w:rPr>
                      <w:spacing w:val="5"/>
                      <w:sz w:val="20"/>
                      <w:szCs w:val="20"/>
                    </w:rPr>
                    <w:t>集油坑。变压器在事故情况下，泄漏的</w:t>
                  </w:r>
                </w:p>
              </w:tc>
            </w:tr>
          </w:tbl>
          <w:p w14:paraId="1B60BFF4">
            <w:pPr>
              <w:spacing w:line="14" w:lineRule="auto"/>
              <w:rPr>
                <w:rFonts w:ascii="Arial"/>
                <w:sz w:val="2"/>
              </w:rPr>
            </w:pPr>
          </w:p>
        </w:tc>
      </w:tr>
    </w:tbl>
    <w:p w14:paraId="272726F7">
      <w:pPr>
        <w:rPr>
          <w:rFonts w:ascii="Arial"/>
          <w:sz w:val="21"/>
        </w:rPr>
      </w:pPr>
    </w:p>
    <w:p w14:paraId="5D5C293F">
      <w:pPr>
        <w:rPr>
          <w:rFonts w:ascii="Arial" w:hAnsi="Arial" w:eastAsia="Arial" w:cs="Arial"/>
          <w:sz w:val="21"/>
          <w:szCs w:val="21"/>
        </w:rPr>
        <w:sectPr>
          <w:footerReference r:id="rId148" w:type="default"/>
          <w:pgSz w:w="11907" w:h="16840"/>
          <w:pgMar w:top="1431" w:right="907" w:bottom="1278" w:left="907" w:header="0" w:footer="1116" w:gutter="0"/>
          <w:cols w:space="720" w:num="1"/>
        </w:sectPr>
      </w:pPr>
    </w:p>
    <w:p w14:paraId="3FEABCC8">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35374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2" w:hRule="atLeast"/>
        </w:trPr>
        <w:tc>
          <w:tcPr>
            <w:tcW w:w="465" w:type="dxa"/>
            <w:tcBorders>
              <w:top w:val="single" w:color="000000" w:sz="4" w:space="0"/>
              <w:right w:val="single" w:color="000000" w:sz="2" w:space="0"/>
            </w:tcBorders>
            <w:vAlign w:val="top"/>
          </w:tcPr>
          <w:p w14:paraId="0BBA00E8">
            <w:pPr>
              <w:rPr>
                <w:rFonts w:ascii="Arial"/>
                <w:sz w:val="21"/>
              </w:rPr>
            </w:pPr>
          </w:p>
        </w:tc>
        <w:tc>
          <w:tcPr>
            <w:tcW w:w="9612" w:type="dxa"/>
            <w:tcBorders>
              <w:top w:val="single" w:color="000000" w:sz="4" w:space="0"/>
              <w:left w:val="single" w:color="000000" w:sz="2" w:space="0"/>
            </w:tcBorders>
            <w:vAlign w:val="top"/>
          </w:tcPr>
          <w:p w14:paraId="4DDD68DB">
            <w:pPr>
              <w:spacing w:line="104" w:lineRule="auto"/>
              <w:rPr>
                <w:rFonts w:ascii="Arial"/>
                <w:sz w:val="2"/>
              </w:rPr>
            </w:pPr>
          </w:p>
          <w:tbl>
            <w:tblPr>
              <w:tblStyle w:val="5"/>
              <w:tblW w:w="9389"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7"/>
              <w:gridCol w:w="7912"/>
            </w:tblGrid>
            <w:tr w14:paraId="0F22F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3" w:hRule="atLeast"/>
              </w:trPr>
              <w:tc>
                <w:tcPr>
                  <w:tcW w:w="1477" w:type="dxa"/>
                  <w:tcBorders>
                    <w:top w:val="nil"/>
                  </w:tcBorders>
                  <w:vAlign w:val="top"/>
                </w:tcPr>
                <w:p w14:paraId="5D568A03">
                  <w:pPr>
                    <w:rPr>
                      <w:rFonts w:ascii="Arial"/>
                      <w:sz w:val="21"/>
                    </w:rPr>
                  </w:pPr>
                </w:p>
              </w:tc>
              <w:tc>
                <w:tcPr>
                  <w:tcW w:w="7912" w:type="dxa"/>
                  <w:tcBorders>
                    <w:top w:val="nil"/>
                  </w:tcBorders>
                  <w:vAlign w:val="top"/>
                </w:tcPr>
                <w:p w14:paraId="0CFF80AF">
                  <w:pPr>
                    <w:pStyle w:val="6"/>
                    <w:spacing w:before="42" w:line="245" w:lineRule="auto"/>
                    <w:ind w:left="59" w:right="58" w:firstLine="1"/>
                    <w:jc w:val="both"/>
                    <w:rPr>
                      <w:sz w:val="20"/>
                      <w:szCs w:val="20"/>
                    </w:rPr>
                  </w:pPr>
                  <w:r>
                    <w:rPr>
                      <w:spacing w:val="10"/>
                      <w:sz w:val="20"/>
                      <w:szCs w:val="20"/>
                    </w:rPr>
                    <w:t>变压器油流经集油坑内铺设的鹅卵石层（鹅卵石层可起到吸热、散热作用</w:t>
                  </w:r>
                  <w:r>
                    <w:rPr>
                      <w:spacing w:val="18"/>
                      <w:sz w:val="20"/>
                      <w:szCs w:val="20"/>
                    </w:rPr>
                    <w:t>），</w:t>
                  </w:r>
                  <w:r>
                    <w:rPr>
                      <w:spacing w:val="10"/>
                      <w:sz w:val="20"/>
                      <w:szCs w:val="20"/>
                    </w:rPr>
                    <w:t>并</w:t>
                  </w:r>
                  <w:r>
                    <w:rPr>
                      <w:spacing w:val="9"/>
                      <w:sz w:val="20"/>
                      <w:szCs w:val="20"/>
                    </w:rPr>
                    <w:t>经事</w:t>
                  </w:r>
                  <w:r>
                    <w:rPr>
                      <w:spacing w:val="1"/>
                      <w:sz w:val="20"/>
                      <w:szCs w:val="20"/>
                    </w:rPr>
                    <w:t xml:space="preserve"> </w:t>
                  </w:r>
                  <w:r>
                    <w:rPr>
                      <w:spacing w:val="10"/>
                      <w:sz w:val="20"/>
                      <w:szCs w:val="20"/>
                    </w:rPr>
                    <w:t>故排油管自流进入事故油池存放；箱变在事故情况下，泄漏的变压器油经排油管自流</w:t>
                  </w:r>
                  <w:r>
                    <w:rPr>
                      <w:spacing w:val="17"/>
                      <w:sz w:val="20"/>
                      <w:szCs w:val="20"/>
                    </w:rPr>
                    <w:t xml:space="preserve"> </w:t>
                  </w:r>
                  <w:r>
                    <w:rPr>
                      <w:spacing w:val="10"/>
                      <w:sz w:val="20"/>
                      <w:szCs w:val="20"/>
                    </w:rPr>
                    <w:t>进入事故油池存放。严格做好防渗工程，施工期加强工程监理和环境监理，提高防渗</w:t>
                  </w:r>
                  <w:r>
                    <w:rPr>
                      <w:spacing w:val="17"/>
                      <w:sz w:val="20"/>
                      <w:szCs w:val="20"/>
                    </w:rPr>
                    <w:t xml:space="preserve"> </w:t>
                  </w:r>
                  <w:r>
                    <w:rPr>
                      <w:spacing w:val="9"/>
                      <w:sz w:val="20"/>
                      <w:szCs w:val="20"/>
                    </w:rPr>
                    <w:t>工程质量，做好照片、录像以及相关文字说明等存档资料。</w:t>
                  </w:r>
                </w:p>
                <w:p w14:paraId="01F2B864">
                  <w:pPr>
                    <w:pStyle w:val="6"/>
                    <w:spacing w:before="28" w:line="247" w:lineRule="auto"/>
                    <w:ind w:left="55" w:right="56" w:firstLine="421"/>
                    <w:rPr>
                      <w:sz w:val="20"/>
                      <w:szCs w:val="20"/>
                    </w:rPr>
                  </w:pPr>
                  <w:r>
                    <w:rPr>
                      <w:rFonts w:ascii="Times New Roman" w:hAnsi="Times New Roman" w:eastAsia="Times New Roman" w:cs="Times New Roman"/>
                      <w:spacing w:val="11"/>
                      <w:sz w:val="20"/>
                      <w:szCs w:val="20"/>
                    </w:rPr>
                    <w:t>B.</w:t>
                  </w:r>
                  <w:r>
                    <w:rPr>
                      <w:spacing w:val="11"/>
                      <w:sz w:val="20"/>
                      <w:szCs w:val="20"/>
                    </w:rPr>
                    <w:t>分区防渗：光伏区的箱式变压器、事故油池，升压站的主</w:t>
                  </w:r>
                  <w:r>
                    <w:rPr>
                      <w:spacing w:val="10"/>
                      <w:sz w:val="20"/>
                      <w:szCs w:val="20"/>
                    </w:rPr>
                    <w:t>变压器、集油坑、事</w:t>
                  </w:r>
                  <w:r>
                    <w:rPr>
                      <w:sz w:val="20"/>
                      <w:szCs w:val="20"/>
                    </w:rPr>
                    <w:t xml:space="preserve"> </w:t>
                  </w:r>
                  <w:r>
                    <w:rPr>
                      <w:spacing w:val="20"/>
                      <w:sz w:val="20"/>
                      <w:szCs w:val="20"/>
                    </w:rPr>
                    <w:t>故油池和危废贮存库按重点防渗区进行建设，</w:t>
                  </w:r>
                  <w:r>
                    <w:rPr>
                      <w:spacing w:val="-54"/>
                      <w:sz w:val="20"/>
                      <w:szCs w:val="20"/>
                    </w:rPr>
                    <w:t xml:space="preserve"> </w:t>
                  </w:r>
                  <w:r>
                    <w:rPr>
                      <w:spacing w:val="20"/>
                      <w:sz w:val="20"/>
                      <w:szCs w:val="20"/>
                    </w:rPr>
                    <w:t>防渗技术要求为：</w:t>
                  </w:r>
                  <w:r>
                    <w:rPr>
                      <w:spacing w:val="-55"/>
                      <w:sz w:val="20"/>
                      <w:szCs w:val="20"/>
                    </w:rPr>
                    <w:t xml:space="preserve"> </w:t>
                  </w:r>
                  <w:r>
                    <w:rPr>
                      <w:spacing w:val="20"/>
                      <w:sz w:val="20"/>
                      <w:szCs w:val="20"/>
                    </w:rPr>
                    <w:t>等效黏土防渗层</w:t>
                  </w:r>
                  <w:r>
                    <w:rPr>
                      <w:sz w:val="20"/>
                      <w:szCs w:val="20"/>
                    </w:rPr>
                    <w:t xml:space="preserve"> </w:t>
                  </w:r>
                  <w:r>
                    <w:rPr>
                      <w:rFonts w:ascii="Times New Roman" w:hAnsi="Times New Roman" w:eastAsia="Times New Roman" w:cs="Times New Roman"/>
                      <w:sz w:val="20"/>
                      <w:szCs w:val="20"/>
                    </w:rPr>
                    <w:t>Mb</w:t>
                  </w:r>
                  <w:r>
                    <w:rPr>
                      <w:rFonts w:ascii="Times New Roman" w:hAnsi="Times New Roman" w:eastAsia="Times New Roman" w:cs="Times New Roman"/>
                      <w:spacing w:val="10"/>
                      <w:sz w:val="20"/>
                      <w:szCs w:val="20"/>
                    </w:rPr>
                    <w:t>≥6m</w:t>
                  </w:r>
                  <w:r>
                    <w:rPr>
                      <w:rFonts w:ascii="Times New Roman" w:hAnsi="Times New Roman" w:eastAsia="Times New Roman" w:cs="Times New Roman"/>
                      <w:spacing w:val="-19"/>
                      <w:sz w:val="20"/>
                      <w:szCs w:val="20"/>
                    </w:rPr>
                    <w:t xml:space="preserve"> </w:t>
                  </w:r>
                  <w:r>
                    <w:rPr>
                      <w:spacing w:val="10"/>
                      <w:sz w:val="20"/>
                      <w:szCs w:val="20"/>
                    </w:rPr>
                    <w:t>，</w:t>
                  </w:r>
                  <w:r>
                    <w:rPr>
                      <w:rFonts w:ascii="Times New Roman" w:hAnsi="Times New Roman" w:eastAsia="Times New Roman" w:cs="Times New Roman"/>
                      <w:spacing w:val="10"/>
                      <w:sz w:val="20"/>
                      <w:szCs w:val="20"/>
                    </w:rPr>
                    <w:t>K≤1×10</w:t>
                  </w:r>
                  <w:r>
                    <w:rPr>
                      <w:rFonts w:ascii="Times New Roman" w:hAnsi="Times New Roman" w:eastAsia="Times New Roman" w:cs="Times New Roman"/>
                      <w:spacing w:val="10"/>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10"/>
                      <w:sz w:val="20"/>
                      <w:szCs w:val="20"/>
                    </w:rPr>
                    <w:t>/s</w:t>
                  </w:r>
                  <w:r>
                    <w:rPr>
                      <w:rFonts w:ascii="Times New Roman" w:hAnsi="Times New Roman" w:eastAsia="Times New Roman" w:cs="Times New Roman"/>
                      <w:spacing w:val="-18"/>
                      <w:sz w:val="20"/>
                      <w:szCs w:val="20"/>
                    </w:rPr>
                    <w:t xml:space="preserve"> </w:t>
                  </w:r>
                  <w:r>
                    <w:rPr>
                      <w:spacing w:val="10"/>
                      <w:sz w:val="20"/>
                      <w:szCs w:val="20"/>
                    </w:rPr>
                    <w:t>，或至少</w:t>
                  </w:r>
                  <w:r>
                    <w:rPr>
                      <w:spacing w:val="-35"/>
                      <w:sz w:val="20"/>
                      <w:szCs w:val="20"/>
                    </w:rPr>
                    <w:t xml:space="preserve"> </w:t>
                  </w:r>
                  <w:r>
                    <w:rPr>
                      <w:rFonts w:ascii="Times New Roman" w:hAnsi="Times New Roman" w:eastAsia="Times New Roman" w:cs="Times New Roman"/>
                      <w:spacing w:val="10"/>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23"/>
                      <w:w w:val="101"/>
                      <w:sz w:val="20"/>
                      <w:szCs w:val="20"/>
                    </w:rPr>
                    <w:t xml:space="preserve"> </w:t>
                  </w:r>
                  <w:r>
                    <w:rPr>
                      <w:spacing w:val="10"/>
                      <w:sz w:val="20"/>
                      <w:szCs w:val="20"/>
                    </w:rPr>
                    <w:t>厚高密度聚乙烯膜等人工防渗材料</w:t>
                  </w:r>
                  <w:r>
                    <w:rPr>
                      <w:spacing w:val="9"/>
                      <w:sz w:val="20"/>
                      <w:szCs w:val="20"/>
                    </w:rPr>
                    <w:t>（渗透系数</w:t>
                  </w:r>
                  <w:r>
                    <w:rPr>
                      <w:sz w:val="20"/>
                      <w:szCs w:val="20"/>
                    </w:rPr>
                    <w:t xml:space="preserve"> </w:t>
                  </w:r>
                  <w:r>
                    <w:rPr>
                      <w:rFonts w:ascii="Times New Roman" w:hAnsi="Times New Roman" w:eastAsia="Times New Roman" w:cs="Times New Roman"/>
                      <w:spacing w:val="8"/>
                      <w:sz w:val="20"/>
                      <w:szCs w:val="20"/>
                    </w:rPr>
                    <w:t>≤1×10</w:t>
                  </w:r>
                  <w:r>
                    <w:rPr>
                      <w:rFonts w:ascii="Times New Roman" w:hAnsi="Times New Roman" w:eastAsia="Times New Roman" w:cs="Times New Roman"/>
                      <w:spacing w:val="8"/>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/s</w:t>
                  </w:r>
                  <w:r>
                    <w:rPr>
                      <w:spacing w:val="5"/>
                      <w:sz w:val="20"/>
                      <w:szCs w:val="20"/>
                    </w:rPr>
                    <w:t>），</w:t>
                  </w:r>
                  <w:r>
                    <w:rPr>
                      <w:spacing w:val="8"/>
                      <w:sz w:val="20"/>
                      <w:szCs w:val="20"/>
                    </w:rPr>
                    <w:t>或其他防渗性能等效的材料；其他生产区</w:t>
                  </w:r>
                  <w:r>
                    <w:rPr>
                      <w:spacing w:val="7"/>
                      <w:sz w:val="20"/>
                      <w:szCs w:val="20"/>
                    </w:rPr>
                    <w:t>按一般防渗区进行建设，防</w:t>
                  </w:r>
                  <w:r>
                    <w:rPr>
                      <w:sz w:val="20"/>
                      <w:szCs w:val="20"/>
                    </w:rPr>
                    <w:t xml:space="preserve"> </w:t>
                  </w:r>
                  <w:r>
                    <w:rPr>
                      <w:spacing w:val="6"/>
                      <w:sz w:val="20"/>
                      <w:szCs w:val="20"/>
                    </w:rPr>
                    <w:t>渗技术要求为：粘土衬层厚度应不小于</w:t>
                  </w:r>
                  <w:r>
                    <w:rPr>
                      <w:spacing w:val="-29"/>
                      <w:sz w:val="20"/>
                      <w:szCs w:val="20"/>
                    </w:rPr>
                    <w:t xml:space="preserve"> </w:t>
                  </w:r>
                  <w:r>
                    <w:rPr>
                      <w:rFonts w:ascii="Times New Roman" w:hAnsi="Times New Roman" w:eastAsia="Times New Roman" w:cs="Times New Roman"/>
                      <w:spacing w:val="6"/>
                      <w:sz w:val="20"/>
                      <w:szCs w:val="20"/>
                    </w:rPr>
                    <w:t>0.75m</w:t>
                  </w:r>
                  <w:r>
                    <w:rPr>
                      <w:spacing w:val="6"/>
                      <w:sz w:val="20"/>
                      <w:szCs w:val="20"/>
                    </w:rPr>
                    <w:t>，</w:t>
                  </w:r>
                  <w:r>
                    <w:rPr>
                      <w:rFonts w:ascii="Times New Roman" w:hAnsi="Times New Roman" w:eastAsia="Times New Roman" w:cs="Times New Roman"/>
                      <w:spacing w:val="6"/>
                      <w:sz w:val="20"/>
                      <w:szCs w:val="20"/>
                    </w:rPr>
                    <w:t>K≤1×10</w:t>
                  </w:r>
                  <w:r>
                    <w:rPr>
                      <w:rFonts w:ascii="Times New Roman" w:hAnsi="Times New Roman" w:eastAsia="Times New Roman" w:cs="Times New Roman"/>
                      <w:spacing w:val="6"/>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/s</w:t>
                  </w:r>
                  <w:r>
                    <w:rPr>
                      <w:spacing w:val="6"/>
                      <w:sz w:val="20"/>
                      <w:szCs w:val="20"/>
                    </w:rPr>
                    <w:t>；升压站占地区域内综合</w:t>
                  </w:r>
                  <w:r>
                    <w:rPr>
                      <w:sz w:val="20"/>
                      <w:szCs w:val="20"/>
                    </w:rPr>
                    <w:t xml:space="preserve"> </w:t>
                  </w:r>
                  <w:r>
                    <w:rPr>
                      <w:spacing w:val="9"/>
                      <w:sz w:val="20"/>
                      <w:szCs w:val="20"/>
                    </w:rPr>
                    <w:t>楼和附属用房进行简单防渗，采取一般地面水泥硬化。</w:t>
                  </w:r>
                </w:p>
                <w:p w14:paraId="56CD8974">
                  <w:pPr>
                    <w:pStyle w:val="6"/>
                    <w:spacing w:before="24" w:line="228" w:lineRule="auto"/>
                    <w:ind w:left="480"/>
                    <w:rPr>
                      <w:sz w:val="20"/>
                      <w:szCs w:val="20"/>
                    </w:rPr>
                  </w:pPr>
                  <w:r>
                    <w:rPr>
                      <w:rFonts w:ascii="Times New Roman" w:hAnsi="Times New Roman" w:eastAsia="Times New Roman" w:cs="Times New Roman"/>
                      <w:spacing w:val="9"/>
                      <w:sz w:val="20"/>
                      <w:szCs w:val="20"/>
                    </w:rPr>
                    <w:t>C.</w:t>
                  </w:r>
                  <w:r>
                    <w:rPr>
                      <w:spacing w:val="9"/>
                      <w:sz w:val="20"/>
                      <w:szCs w:val="20"/>
                    </w:rPr>
                    <w:t>运营期定期检查各储存设施，避免出现泄漏</w:t>
                  </w:r>
                  <w:r>
                    <w:rPr>
                      <w:spacing w:val="8"/>
                      <w:sz w:val="20"/>
                      <w:szCs w:val="20"/>
                    </w:rPr>
                    <w:t>等不良情况；</w:t>
                  </w:r>
                </w:p>
                <w:p w14:paraId="70ACF672">
                  <w:pPr>
                    <w:pStyle w:val="6"/>
                    <w:spacing w:before="26"/>
                    <w:ind w:left="61" w:right="58" w:firstLine="415"/>
                    <w:rPr>
                      <w:sz w:val="20"/>
                      <w:szCs w:val="20"/>
                    </w:rPr>
                  </w:pPr>
                  <w:r>
                    <w:rPr>
                      <w:rFonts w:ascii="Times New Roman" w:hAnsi="Times New Roman" w:eastAsia="Times New Roman" w:cs="Times New Roman"/>
                      <w:spacing w:val="10"/>
                      <w:sz w:val="20"/>
                      <w:szCs w:val="20"/>
                    </w:rPr>
                    <w:t>D.</w:t>
                  </w:r>
                  <w:r>
                    <w:rPr>
                      <w:spacing w:val="10"/>
                      <w:sz w:val="20"/>
                      <w:szCs w:val="20"/>
                    </w:rPr>
                    <w:t>危废贮存库设置有导流沟和收集池，若废变压器油、事故废油确实发生了泄漏</w:t>
                  </w:r>
                  <w:r>
                    <w:rPr>
                      <w:spacing w:val="16"/>
                      <w:sz w:val="20"/>
                      <w:szCs w:val="20"/>
                    </w:rPr>
                    <w:t xml:space="preserve"> </w:t>
                  </w:r>
                  <w:r>
                    <w:rPr>
                      <w:spacing w:val="9"/>
                      <w:sz w:val="20"/>
                      <w:szCs w:val="20"/>
                    </w:rPr>
                    <w:t>事故，及时切断泄漏源，封闭现场，采用合适的材料收容泄漏物；</w:t>
                  </w:r>
                </w:p>
                <w:p w14:paraId="08039A0B">
                  <w:pPr>
                    <w:pStyle w:val="6"/>
                    <w:spacing w:before="24" w:line="244" w:lineRule="auto"/>
                    <w:ind w:left="60" w:right="58" w:firstLine="417"/>
                    <w:rPr>
                      <w:sz w:val="20"/>
                      <w:szCs w:val="20"/>
                    </w:rPr>
                  </w:pPr>
                  <w:r>
                    <w:rPr>
                      <w:rFonts w:ascii="Times New Roman" w:hAnsi="Times New Roman" w:eastAsia="Times New Roman" w:cs="Times New Roman"/>
                      <w:spacing w:val="11"/>
                      <w:sz w:val="20"/>
                      <w:szCs w:val="20"/>
                    </w:rPr>
                    <w:t>E.</w:t>
                  </w:r>
                  <w:r>
                    <w:rPr>
                      <w:spacing w:val="11"/>
                      <w:sz w:val="20"/>
                      <w:szCs w:val="20"/>
                    </w:rPr>
                    <w:t>废铅蓄电池内的硫酸和铅泄漏可及时用石灰覆盖、中和，并采用收集桶单独收</w:t>
                  </w:r>
                  <w:r>
                    <w:rPr>
                      <w:spacing w:val="1"/>
                      <w:sz w:val="20"/>
                      <w:szCs w:val="20"/>
                    </w:rPr>
                    <w:t xml:space="preserve"> </w:t>
                  </w:r>
                  <w:r>
                    <w:rPr>
                      <w:spacing w:val="12"/>
                      <w:sz w:val="20"/>
                      <w:szCs w:val="20"/>
                    </w:rPr>
                    <w:t>集后装入耐酸、耐腐蚀的不锈钢内衬</w:t>
                  </w:r>
                  <w:r>
                    <w:rPr>
                      <w:spacing w:val="-29"/>
                      <w:sz w:val="20"/>
                      <w:szCs w:val="20"/>
                    </w:rPr>
                    <w:t xml:space="preserve"> </w:t>
                  </w:r>
                  <w:r>
                    <w:rPr>
                      <w:rFonts w:ascii="Times New Roman" w:hAnsi="Times New Roman" w:eastAsia="Times New Roman" w:cs="Times New Roman"/>
                      <w:sz w:val="20"/>
                      <w:szCs w:val="20"/>
                    </w:rPr>
                    <w:t>PE</w:t>
                  </w:r>
                  <w:r>
                    <w:rPr>
                      <w:rFonts w:ascii="Times New Roman" w:hAnsi="Times New Roman" w:eastAsia="Times New Roman" w:cs="Times New Roman"/>
                      <w:spacing w:val="12"/>
                      <w:sz w:val="20"/>
                      <w:szCs w:val="20"/>
                    </w:rPr>
                    <w:t xml:space="preserve"> </w:t>
                  </w:r>
                  <w:r>
                    <w:rPr>
                      <w:spacing w:val="12"/>
                      <w:sz w:val="20"/>
                      <w:szCs w:val="20"/>
                    </w:rPr>
                    <w:t>材质密闭周转箱内，暂存于危废贮存库内，</w:t>
                  </w:r>
                  <w:r>
                    <w:rPr>
                      <w:sz w:val="20"/>
                      <w:szCs w:val="20"/>
                    </w:rPr>
                    <w:t xml:space="preserve"> </w:t>
                  </w:r>
                  <w:r>
                    <w:rPr>
                      <w:spacing w:val="8"/>
                      <w:sz w:val="20"/>
                      <w:szCs w:val="20"/>
                    </w:rPr>
                    <w:t>委托有相应资质单位清运处置；</w:t>
                  </w:r>
                </w:p>
                <w:p w14:paraId="3C04ED92">
                  <w:pPr>
                    <w:pStyle w:val="6"/>
                    <w:spacing w:before="22" w:line="244" w:lineRule="auto"/>
                    <w:ind w:left="60" w:right="56" w:firstLine="416"/>
                    <w:jc w:val="both"/>
                    <w:rPr>
                      <w:sz w:val="20"/>
                      <w:szCs w:val="20"/>
                    </w:rPr>
                  </w:pPr>
                  <w:r>
                    <w:rPr>
                      <w:rFonts w:ascii="Times New Roman" w:hAnsi="Times New Roman" w:eastAsia="Times New Roman" w:cs="Times New Roman"/>
                      <w:spacing w:val="7"/>
                      <w:sz w:val="20"/>
                      <w:szCs w:val="20"/>
                    </w:rPr>
                    <w:t>F.</w:t>
                  </w:r>
                  <w:r>
                    <w:rPr>
                      <w:spacing w:val="7"/>
                      <w:sz w:val="20"/>
                      <w:szCs w:val="20"/>
                    </w:rPr>
                    <w:t>危险废物的贮存严格按照《危险废物贮存污染控制标准》（</w:t>
                  </w:r>
                  <w:r>
                    <w:rPr>
                      <w:rFonts w:ascii="Times New Roman" w:hAnsi="Times New Roman" w:eastAsia="Times New Roman" w:cs="Times New Roman"/>
                      <w:sz w:val="20"/>
                      <w:szCs w:val="20"/>
                    </w:rPr>
                    <w:t>GB</w:t>
                  </w:r>
                  <w:r>
                    <w:rPr>
                      <w:rFonts w:ascii="Times New Roman" w:hAnsi="Times New Roman" w:eastAsia="Times New Roman" w:cs="Times New Roman"/>
                      <w:spacing w:val="37"/>
                      <w:w w:val="101"/>
                      <w:sz w:val="20"/>
                      <w:szCs w:val="20"/>
                    </w:rPr>
                    <w:t xml:space="preserve"> </w:t>
                  </w:r>
                  <w:r>
                    <w:rPr>
                      <w:rFonts w:ascii="Times New Roman" w:hAnsi="Times New Roman" w:eastAsia="Times New Roman" w:cs="Times New Roman"/>
                      <w:spacing w:val="7"/>
                      <w:sz w:val="20"/>
                      <w:szCs w:val="20"/>
                    </w:rPr>
                    <w:t>18597-2023</w:t>
                  </w:r>
                  <w:r>
                    <w:rPr>
                      <w:spacing w:val="7"/>
                      <w:sz w:val="20"/>
                      <w:szCs w:val="20"/>
                    </w:rPr>
                    <w:t>）和</w:t>
                  </w:r>
                  <w:r>
                    <w:rPr>
                      <w:sz w:val="20"/>
                      <w:szCs w:val="20"/>
                    </w:rPr>
                    <w:t xml:space="preserve"> </w:t>
                  </w:r>
                  <w:r>
                    <w:rPr>
                      <w:spacing w:val="7"/>
                      <w:sz w:val="20"/>
                      <w:szCs w:val="20"/>
                    </w:rPr>
                    <w:t>《危险废物收集、贮存、运输技术规范》（</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2025-2012</w:t>
                  </w:r>
                  <w:r>
                    <w:rPr>
                      <w:spacing w:val="7"/>
                      <w:sz w:val="20"/>
                      <w:szCs w:val="20"/>
                    </w:rPr>
                    <w:t>）的相关要求执行，危险废物</w:t>
                  </w:r>
                  <w:r>
                    <w:rPr>
                      <w:spacing w:val="11"/>
                      <w:sz w:val="20"/>
                      <w:szCs w:val="20"/>
                    </w:rPr>
                    <w:t xml:space="preserve"> </w:t>
                  </w:r>
                  <w:r>
                    <w:rPr>
                      <w:spacing w:val="8"/>
                      <w:sz w:val="20"/>
                      <w:szCs w:val="20"/>
                    </w:rPr>
                    <w:t>在升压站危废贮存库分类分区存放；</w:t>
                  </w:r>
                </w:p>
                <w:p w14:paraId="689D15E4">
                  <w:pPr>
                    <w:pStyle w:val="6"/>
                    <w:spacing w:before="27" w:line="239" w:lineRule="auto"/>
                    <w:ind w:left="62" w:right="110" w:firstLine="417"/>
                    <w:rPr>
                      <w:sz w:val="20"/>
                      <w:szCs w:val="20"/>
                    </w:rPr>
                  </w:pPr>
                  <w:r>
                    <w:rPr>
                      <w:rFonts w:ascii="Times New Roman" w:hAnsi="Times New Roman" w:eastAsia="Times New Roman" w:cs="Times New Roman"/>
                      <w:spacing w:val="9"/>
                      <w:sz w:val="20"/>
                      <w:szCs w:val="20"/>
                    </w:rPr>
                    <w:t>G.</w:t>
                  </w:r>
                  <w:r>
                    <w:rPr>
                      <w:spacing w:val="9"/>
                      <w:sz w:val="20"/>
                      <w:szCs w:val="20"/>
                    </w:rPr>
                    <w:t>加强对操作人员的岗位培训，建立健全的环保管理机制和各项环保规章</w:t>
                  </w:r>
                  <w:r>
                    <w:rPr>
                      <w:spacing w:val="8"/>
                      <w:sz w:val="20"/>
                      <w:szCs w:val="20"/>
                    </w:rPr>
                    <w:t>制度，</w:t>
                  </w:r>
                  <w:r>
                    <w:rPr>
                      <w:sz w:val="20"/>
                      <w:szCs w:val="20"/>
                    </w:rPr>
                    <w:t xml:space="preserve"> </w:t>
                  </w:r>
                  <w:r>
                    <w:rPr>
                      <w:spacing w:val="9"/>
                      <w:sz w:val="20"/>
                      <w:szCs w:val="20"/>
                    </w:rPr>
                    <w:t>落实岗位环保责任制，加强环境风险防范工作，防止事故排放导致环境问题。</w:t>
                  </w:r>
                </w:p>
                <w:p w14:paraId="16F07CD8">
                  <w:pPr>
                    <w:pStyle w:val="6"/>
                    <w:spacing w:before="28" w:line="225" w:lineRule="auto"/>
                    <w:ind w:left="479"/>
                    <w:outlineLvl w:val="0"/>
                    <w:rPr>
                      <w:sz w:val="20"/>
                      <w:szCs w:val="20"/>
                    </w:rPr>
                  </w:pPr>
                  <w:r>
                    <w:rPr>
                      <w:spacing w:val="9"/>
                      <w:sz w:val="20"/>
                      <w:szCs w:val="20"/>
                    </w:rPr>
                    <w:t>②突发环境风险事件应急预案</w:t>
                  </w:r>
                </w:p>
                <w:p w14:paraId="60DD1D3B">
                  <w:pPr>
                    <w:pStyle w:val="6"/>
                    <w:spacing w:before="26" w:line="244" w:lineRule="auto"/>
                    <w:ind w:left="61" w:right="4" w:firstLine="420"/>
                    <w:jc w:val="both"/>
                    <w:rPr>
                      <w:sz w:val="20"/>
                      <w:szCs w:val="20"/>
                    </w:rPr>
                  </w:pPr>
                  <w:r>
                    <w:rPr>
                      <w:spacing w:val="10"/>
                      <w:sz w:val="20"/>
                      <w:szCs w:val="20"/>
                    </w:rPr>
                    <w:t>针对本项目可能发生的突发事故，为了将风险事故率降低到最低，建设单位应编</w:t>
                  </w:r>
                  <w:r>
                    <w:rPr>
                      <w:spacing w:val="16"/>
                      <w:sz w:val="20"/>
                      <w:szCs w:val="20"/>
                    </w:rPr>
                    <w:t xml:space="preserve"> </w:t>
                  </w:r>
                  <w:r>
                    <w:rPr>
                      <w:spacing w:val="10"/>
                      <w:sz w:val="20"/>
                      <w:szCs w:val="20"/>
                    </w:rPr>
                    <w:t>制突发环境事件应急预案并报昆明市生态环境局寻甸分局备案。建设单位应严格按照</w:t>
                  </w:r>
                  <w:r>
                    <w:rPr>
                      <w:spacing w:val="16"/>
                      <w:sz w:val="20"/>
                      <w:szCs w:val="20"/>
                    </w:rPr>
                    <w:t xml:space="preserve"> </w:t>
                  </w:r>
                  <w:r>
                    <w:rPr>
                      <w:spacing w:val="10"/>
                      <w:sz w:val="20"/>
                      <w:szCs w:val="20"/>
                    </w:rPr>
                    <w:t>《企业突发环境事件风险分级方法》（</w:t>
                  </w:r>
                  <w:r>
                    <w:rPr>
                      <w:rFonts w:ascii="Times New Roman" w:hAnsi="Times New Roman" w:eastAsia="Times New Roman" w:cs="Times New Roman"/>
                      <w:sz w:val="20"/>
                      <w:szCs w:val="20"/>
                    </w:rPr>
                    <w:t>HJ</w:t>
                  </w:r>
                  <w:r>
                    <w:rPr>
                      <w:rFonts w:ascii="Times New Roman" w:hAnsi="Times New Roman" w:eastAsia="Times New Roman" w:cs="Times New Roman"/>
                      <w:spacing w:val="10"/>
                      <w:sz w:val="20"/>
                      <w:szCs w:val="20"/>
                    </w:rPr>
                    <w:t>941-2018</w:t>
                  </w:r>
                  <w:r>
                    <w:rPr>
                      <w:spacing w:val="10"/>
                      <w:sz w:val="20"/>
                      <w:szCs w:val="20"/>
                    </w:rPr>
                    <w:t>）、《企业突发环境事件应</w:t>
                  </w:r>
                  <w:r>
                    <w:rPr>
                      <w:spacing w:val="9"/>
                      <w:sz w:val="20"/>
                      <w:szCs w:val="20"/>
                    </w:rPr>
                    <w:t>急预案</w:t>
                  </w:r>
                  <w:r>
                    <w:rPr>
                      <w:sz w:val="20"/>
                      <w:szCs w:val="20"/>
                    </w:rPr>
                    <w:t xml:space="preserve"> </w:t>
                  </w:r>
                  <w:r>
                    <w:rPr>
                      <w:spacing w:val="6"/>
                      <w:sz w:val="20"/>
                      <w:szCs w:val="20"/>
                    </w:rPr>
                    <w:t>编制指南》和《企业突发环境事件风险评估指南（试行）》开展应急预案的编制工作，</w:t>
                  </w:r>
                  <w:r>
                    <w:rPr>
                      <w:spacing w:val="12"/>
                      <w:sz w:val="20"/>
                      <w:szCs w:val="20"/>
                    </w:rPr>
                    <w:t xml:space="preserve"> </w:t>
                  </w:r>
                  <w:r>
                    <w:rPr>
                      <w:spacing w:val="9"/>
                      <w:sz w:val="20"/>
                      <w:szCs w:val="20"/>
                    </w:rPr>
                    <w:t>包括环境风险评估报告、环境应急资源调查报告和突发环境事件应急预案三个报告。</w:t>
                  </w:r>
                </w:p>
              </w:tc>
            </w:tr>
            <w:tr w14:paraId="7DDA7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389" w:type="dxa"/>
                  <w:gridSpan w:val="2"/>
                  <w:vAlign w:val="top"/>
                </w:tcPr>
                <w:p w14:paraId="1263412B">
                  <w:pPr>
                    <w:pStyle w:val="6"/>
                    <w:spacing w:line="251" w:lineRule="auto"/>
                    <w:ind w:left="65" w:right="58"/>
                    <w:rPr>
                      <w:sz w:val="20"/>
                      <w:szCs w:val="20"/>
                    </w:rPr>
                  </w:pPr>
                  <w:r>
                    <w:rPr>
                      <w:spacing w:val="8"/>
                      <w:sz w:val="20"/>
                      <w:szCs w:val="20"/>
                    </w:rPr>
                    <w:t>填报说明（列出项目相关信息及评价说明</w:t>
                  </w:r>
                  <w:r>
                    <w:rPr>
                      <w:spacing w:val="18"/>
                      <w:sz w:val="20"/>
                      <w:szCs w:val="20"/>
                    </w:rPr>
                    <w:t>）：</w:t>
                  </w:r>
                  <w:r>
                    <w:rPr>
                      <w:spacing w:val="8"/>
                      <w:sz w:val="20"/>
                      <w:szCs w:val="20"/>
                    </w:rPr>
                    <w:t>该项目</w:t>
                  </w:r>
                  <w:r>
                    <w:rPr>
                      <w:spacing w:val="-37"/>
                      <w:sz w:val="20"/>
                      <w:szCs w:val="20"/>
                    </w:rPr>
                    <w:t xml:space="preserve"> </w:t>
                  </w:r>
                  <w:r>
                    <w:rPr>
                      <w:rFonts w:ascii="Times New Roman" w:hAnsi="Times New Roman" w:eastAsia="Times New Roman" w:cs="Times New Roman"/>
                      <w:spacing w:val="8"/>
                      <w:sz w:val="20"/>
                      <w:szCs w:val="20"/>
                    </w:rPr>
                    <w:t>Q=0.0747</w:t>
                  </w:r>
                  <w:r>
                    <w:rPr>
                      <w:rFonts w:ascii="Times New Roman" w:hAnsi="Times New Roman" w:eastAsia="Times New Roman" w:cs="Times New Roman"/>
                      <w:spacing w:val="7"/>
                      <w:sz w:val="20"/>
                      <w:szCs w:val="20"/>
                    </w:rPr>
                    <w:t>&lt;1</w:t>
                  </w:r>
                  <w:r>
                    <w:rPr>
                      <w:rFonts w:ascii="Times New Roman" w:hAnsi="Times New Roman" w:eastAsia="Times New Roman" w:cs="Times New Roman"/>
                      <w:spacing w:val="-22"/>
                      <w:sz w:val="20"/>
                      <w:szCs w:val="20"/>
                    </w:rPr>
                    <w:t xml:space="preserve"> </w:t>
                  </w:r>
                  <w:r>
                    <w:rPr>
                      <w:spacing w:val="7"/>
                      <w:sz w:val="20"/>
                      <w:szCs w:val="20"/>
                    </w:rPr>
                    <w:t>，该项目环境风险潜势为</w:t>
                  </w:r>
                  <w:r>
                    <w:rPr>
                      <w:spacing w:val="-39"/>
                      <w:sz w:val="20"/>
                      <w:szCs w:val="20"/>
                    </w:rPr>
                    <w:t xml:space="preserve"> </w:t>
                  </w:r>
                  <w:r>
                    <w:rPr>
                      <w:rFonts w:ascii="Times New Roman" w:hAnsi="Times New Roman" w:eastAsia="Times New Roman" w:cs="Times New Roman"/>
                      <w:spacing w:val="7"/>
                      <w:sz w:val="20"/>
                      <w:szCs w:val="20"/>
                    </w:rPr>
                    <w:t>I</w:t>
                  </w:r>
                  <w:r>
                    <w:rPr>
                      <w:rFonts w:ascii="Times New Roman" w:hAnsi="Times New Roman" w:eastAsia="Times New Roman" w:cs="Times New Roman"/>
                      <w:spacing w:val="-25"/>
                      <w:sz w:val="20"/>
                      <w:szCs w:val="20"/>
                    </w:rPr>
                    <w:t xml:space="preserve"> </w:t>
                  </w:r>
                  <w:r>
                    <w:rPr>
                      <w:spacing w:val="7"/>
                      <w:sz w:val="20"/>
                      <w:szCs w:val="20"/>
                    </w:rPr>
                    <w:t>，不设评</w:t>
                  </w:r>
                  <w:r>
                    <w:rPr>
                      <w:sz w:val="20"/>
                      <w:szCs w:val="20"/>
                    </w:rPr>
                    <w:t xml:space="preserve"> </w:t>
                  </w:r>
                  <w:r>
                    <w:rPr>
                      <w:spacing w:val="8"/>
                      <w:sz w:val="20"/>
                      <w:szCs w:val="20"/>
                    </w:rPr>
                    <w:t>价等级，仅进行简单分析。</w:t>
                  </w:r>
                </w:p>
              </w:tc>
            </w:tr>
          </w:tbl>
          <w:p w14:paraId="19B93B09">
            <w:pPr>
              <w:pStyle w:val="6"/>
              <w:spacing w:before="37" w:line="350" w:lineRule="auto"/>
              <w:ind w:left="113" w:right="102" w:firstLine="477"/>
              <w:jc w:val="both"/>
            </w:pPr>
            <w:r>
              <w:rPr>
                <w:spacing w:val="1"/>
              </w:rPr>
              <w:t>综上，变压器油、废变压器油（单次维修废油）、事故废油的</w:t>
            </w:r>
            <w:r>
              <w:t xml:space="preserve">燃烧爆炸、废铅蓄电池 </w:t>
            </w:r>
            <w:r>
              <w:rPr>
                <w:spacing w:val="1"/>
              </w:rPr>
              <w:t>内的硫酸和铅泄漏产生的次生污染物对环境的影响，只</w:t>
            </w:r>
            <w:r>
              <w:t xml:space="preserve">要建设单位按照本报告提出的环境 </w:t>
            </w:r>
            <w:r>
              <w:rPr>
                <w:spacing w:val="-1"/>
              </w:rPr>
              <w:t>管理措施实施，项目环境风险影响范围较小，环境风险可接受。</w:t>
            </w:r>
          </w:p>
          <w:p w14:paraId="4063F847">
            <w:pPr>
              <w:pStyle w:val="6"/>
              <w:spacing w:before="33" w:line="219" w:lineRule="auto"/>
              <w:ind w:left="599"/>
            </w:pPr>
            <w:r>
              <w:rPr>
                <w:b/>
                <w:bCs/>
                <w:spacing w:val="-3"/>
              </w:rPr>
              <w:t>（</w:t>
            </w:r>
            <w:r>
              <w:rPr>
                <w:rFonts w:ascii="Times New Roman" w:hAnsi="Times New Roman" w:eastAsia="Times New Roman" w:cs="Times New Roman"/>
                <w:b/>
                <w:bCs/>
                <w:spacing w:val="-3"/>
              </w:rPr>
              <w:t>7</w:t>
            </w:r>
            <w:r>
              <w:rPr>
                <w:b/>
                <w:bCs/>
                <w:spacing w:val="-3"/>
              </w:rPr>
              <w:t>）升压站电磁辐射环境影响分析</w:t>
            </w:r>
          </w:p>
          <w:p w14:paraId="239CE567">
            <w:pPr>
              <w:pStyle w:val="6"/>
              <w:spacing w:before="183" w:line="344" w:lineRule="auto"/>
              <w:ind w:left="110" w:right="34" w:firstLine="453"/>
            </w:pPr>
            <w:r>
              <w:rPr>
                <w:spacing w:val="-11"/>
              </w:rPr>
              <w:t>根据类比预测分析，本项目</w:t>
            </w:r>
            <w:r>
              <w:rPr>
                <w:rFonts w:ascii="Times New Roman" w:hAnsi="Times New Roman" w:eastAsia="Times New Roman" w:cs="Times New Roman"/>
                <w:spacing w:val="-11"/>
              </w:rPr>
              <w:t>220kV</w:t>
            </w:r>
            <w:r>
              <w:rPr>
                <w:spacing w:val="-11"/>
              </w:rPr>
              <w:t>升压站建成投运后，其围墙外的工频电场将小于</w:t>
            </w:r>
            <w:r>
              <w:rPr>
                <w:rFonts w:ascii="Times New Roman" w:hAnsi="Times New Roman" w:eastAsia="Times New Roman" w:cs="Times New Roman"/>
                <w:spacing w:val="-11"/>
              </w:rPr>
              <w:t>4kV/m</w:t>
            </w:r>
            <w:r>
              <w:rPr>
                <w:spacing w:val="-11"/>
              </w:rPr>
              <w:t>，</w:t>
            </w:r>
            <w:r>
              <w:rPr>
                <w:spacing w:val="7"/>
              </w:rPr>
              <w:t xml:space="preserve"> </w:t>
            </w:r>
            <w:r>
              <w:rPr>
                <w:spacing w:val="-5"/>
              </w:rPr>
              <w:t>工频磁感应强度远小于</w:t>
            </w:r>
            <w:r>
              <w:rPr>
                <w:rFonts w:ascii="Times New Roman" w:hAnsi="Times New Roman" w:eastAsia="Times New Roman" w:cs="Times New Roman"/>
                <w:spacing w:val="-5"/>
              </w:rPr>
              <w:t>100μT</w:t>
            </w:r>
            <w:r>
              <w:rPr>
                <w:rFonts w:ascii="Times New Roman" w:hAnsi="Times New Roman" w:eastAsia="Times New Roman" w:cs="Times New Roman"/>
                <w:spacing w:val="-31"/>
              </w:rPr>
              <w:t xml:space="preserve"> </w:t>
            </w:r>
            <w:r>
              <w:rPr>
                <w:spacing w:val="-5"/>
              </w:rPr>
              <w:t>，满足相应的标准限值要求，对</w:t>
            </w:r>
            <w:r>
              <w:rPr>
                <w:spacing w:val="-6"/>
              </w:rPr>
              <w:t>周边环境影响小。</w:t>
            </w:r>
          </w:p>
          <w:p w14:paraId="5E6E9032">
            <w:pPr>
              <w:pStyle w:val="6"/>
              <w:spacing w:before="38" w:line="219" w:lineRule="auto"/>
              <w:ind w:left="592"/>
            </w:pPr>
            <w:r>
              <w:rPr>
                <w:spacing w:val="-2"/>
              </w:rPr>
              <w:t>具体分析见电磁辐射专章。</w:t>
            </w:r>
          </w:p>
          <w:p w14:paraId="7777331E">
            <w:pPr>
              <w:pStyle w:val="6"/>
              <w:spacing w:before="184" w:line="219" w:lineRule="auto"/>
              <w:ind w:left="599"/>
            </w:pPr>
            <w:r>
              <w:rPr>
                <w:b/>
                <w:bCs/>
                <w:spacing w:val="-3"/>
              </w:rPr>
              <w:t>（</w:t>
            </w:r>
            <w:r>
              <w:rPr>
                <w:rFonts w:ascii="Times New Roman" w:hAnsi="Times New Roman" w:eastAsia="Times New Roman" w:cs="Times New Roman"/>
                <w:b/>
                <w:bCs/>
                <w:spacing w:val="-3"/>
              </w:rPr>
              <w:t>8</w:t>
            </w:r>
            <w:r>
              <w:rPr>
                <w:b/>
                <w:bCs/>
                <w:spacing w:val="-3"/>
              </w:rPr>
              <w:t>）土壤、地下水环境影响分析</w:t>
            </w:r>
          </w:p>
          <w:p w14:paraId="5BD73719">
            <w:pPr>
              <w:pStyle w:val="6"/>
              <w:spacing w:before="180" w:line="350" w:lineRule="auto"/>
              <w:ind w:left="107" w:right="143" w:firstLine="483"/>
            </w:pPr>
            <w:r>
              <w:t>项目对项目区进行分区防渗：光伏区的箱式变压器</w:t>
            </w:r>
            <w:r>
              <w:rPr>
                <w:spacing w:val="-1"/>
              </w:rPr>
              <w:t>、事故油池，升压站的主变压器、</w:t>
            </w:r>
            <w:r>
              <w:t xml:space="preserve"> 集油坑、事故油池和危废贮存库按重点防渗区进行建设，防渗技</w:t>
            </w:r>
            <w:r>
              <w:rPr>
                <w:spacing w:val="-1"/>
              </w:rPr>
              <w:t>术要求为：等效黏土防渗</w:t>
            </w:r>
            <w:r>
              <w:t xml:space="preserve"> </w:t>
            </w:r>
            <w:r>
              <w:rPr>
                <w:spacing w:val="-1"/>
              </w:rPr>
              <w:t>层</w:t>
            </w:r>
            <w:r>
              <w:rPr>
                <w:spacing w:val="-56"/>
              </w:rPr>
              <w:t xml:space="preserve"> </w:t>
            </w:r>
            <w:r>
              <w:rPr>
                <w:rFonts w:ascii="Times New Roman" w:hAnsi="Times New Roman" w:eastAsia="Times New Roman" w:cs="Times New Roman"/>
                <w:spacing w:val="-1"/>
              </w:rPr>
              <w:t>Mb≥6m</w:t>
            </w:r>
            <w:r>
              <w:rPr>
                <w:rFonts w:ascii="Times New Roman" w:hAnsi="Times New Roman" w:eastAsia="Times New Roman" w:cs="Times New Roman"/>
                <w:spacing w:val="-33"/>
              </w:rPr>
              <w:t xml:space="preserve"> </w:t>
            </w:r>
            <w:r>
              <w:rPr>
                <w:spacing w:val="-1"/>
              </w:rPr>
              <w:t>，</w:t>
            </w:r>
            <w:r>
              <w:rPr>
                <w:rFonts w:ascii="Times New Roman" w:hAnsi="Times New Roman" w:eastAsia="Times New Roman" w:cs="Times New Roman"/>
                <w:spacing w:val="-1"/>
              </w:rPr>
              <w:t>K≤1×10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spacing w:val="-1"/>
              </w:rPr>
              <w:t>cm/s</w:t>
            </w:r>
            <w:r>
              <w:rPr>
                <w:rFonts w:ascii="Times New Roman" w:hAnsi="Times New Roman" w:eastAsia="Times New Roman" w:cs="Times New Roman"/>
                <w:spacing w:val="-30"/>
              </w:rPr>
              <w:t xml:space="preserve"> </w:t>
            </w:r>
            <w:r>
              <w:rPr>
                <w:spacing w:val="-1"/>
              </w:rPr>
              <w:t>，或</w:t>
            </w:r>
            <w:r>
              <w:rPr>
                <w:spacing w:val="-2"/>
              </w:rPr>
              <w:t>至少</w:t>
            </w:r>
            <w:r>
              <w:rPr>
                <w:spacing w:val="-55"/>
              </w:rPr>
              <w:t xml:space="preserve"> </w:t>
            </w:r>
            <w:r>
              <w:rPr>
                <w:rFonts w:ascii="Times New Roman" w:hAnsi="Times New Roman" w:eastAsia="Times New Roman" w:cs="Times New Roman"/>
                <w:spacing w:val="-2"/>
              </w:rPr>
              <w:t xml:space="preserve">2mm </w:t>
            </w:r>
            <w:r>
              <w:rPr>
                <w:spacing w:val="-2"/>
              </w:rPr>
              <w:t>厚高密度聚乙烯膜等人工防渗材料（渗透系数</w:t>
            </w:r>
          </w:p>
          <w:p w14:paraId="7D1748B3">
            <w:pPr>
              <w:pStyle w:val="6"/>
              <w:spacing w:before="36" w:line="219" w:lineRule="auto"/>
              <w:ind w:left="101"/>
            </w:pPr>
            <w:r>
              <w:rPr>
                <w:rFonts w:ascii="Times New Roman" w:hAnsi="Times New Roman" w:eastAsia="Times New Roman" w:cs="Times New Roman"/>
                <w:spacing w:val="-1"/>
              </w:rPr>
              <w:t>≤1×10</w:t>
            </w:r>
            <w:r>
              <w:rPr>
                <w:rFonts w:ascii="Times New Roman" w:hAnsi="Times New Roman" w:eastAsia="Times New Roman" w:cs="Times New Roman"/>
                <w:spacing w:val="-1"/>
                <w:position w:val="8"/>
                <w:sz w:val="15"/>
                <w:szCs w:val="15"/>
              </w:rPr>
              <w:t>-10</w:t>
            </w:r>
            <w:r>
              <w:rPr>
                <w:rFonts w:ascii="Times New Roman" w:hAnsi="Times New Roman" w:eastAsia="Times New Roman" w:cs="Times New Roman"/>
                <w:spacing w:val="-1"/>
              </w:rPr>
              <w:t>cm/s</w:t>
            </w:r>
            <w:r>
              <w:t>），</w:t>
            </w:r>
            <w:r>
              <w:rPr>
                <w:spacing w:val="-1"/>
              </w:rPr>
              <w:t>或其他防渗性能等效的材料；其他生产区按一般防渗区进行建设，防渗技</w:t>
            </w:r>
          </w:p>
        </w:tc>
      </w:tr>
    </w:tbl>
    <w:p w14:paraId="34883BCB">
      <w:pPr>
        <w:rPr>
          <w:rFonts w:ascii="Arial"/>
          <w:sz w:val="21"/>
        </w:rPr>
      </w:pPr>
    </w:p>
    <w:p w14:paraId="271C3699">
      <w:pPr>
        <w:rPr>
          <w:rFonts w:ascii="Arial" w:hAnsi="Arial" w:eastAsia="Arial" w:cs="Arial"/>
          <w:sz w:val="21"/>
          <w:szCs w:val="21"/>
        </w:rPr>
        <w:sectPr>
          <w:footerReference r:id="rId149" w:type="default"/>
          <w:pgSz w:w="11907" w:h="16840"/>
          <w:pgMar w:top="1431" w:right="907" w:bottom="1278" w:left="907" w:header="0" w:footer="1116" w:gutter="0"/>
          <w:cols w:space="720" w:num="1"/>
        </w:sectPr>
      </w:pPr>
    </w:p>
    <w:p w14:paraId="262BFF0A">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2F49F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465" w:type="dxa"/>
            <w:tcBorders>
              <w:right w:val="single" w:color="000000" w:sz="2" w:space="0"/>
            </w:tcBorders>
            <w:vAlign w:val="top"/>
          </w:tcPr>
          <w:p w14:paraId="6561A472">
            <w:pPr>
              <w:rPr>
                <w:rFonts w:ascii="Arial"/>
                <w:sz w:val="21"/>
              </w:rPr>
            </w:pPr>
          </w:p>
        </w:tc>
        <w:tc>
          <w:tcPr>
            <w:tcW w:w="9612" w:type="dxa"/>
            <w:tcBorders>
              <w:left w:val="single" w:color="000000" w:sz="2" w:space="0"/>
            </w:tcBorders>
            <w:vAlign w:val="top"/>
          </w:tcPr>
          <w:p w14:paraId="32809514">
            <w:pPr>
              <w:pStyle w:val="6"/>
              <w:spacing w:before="40" w:line="345" w:lineRule="auto"/>
              <w:ind w:left="109" w:right="102"/>
            </w:pPr>
            <w:r>
              <w:rPr>
                <w:spacing w:val="-2"/>
              </w:rPr>
              <w:t>术要求为：粘土衬层厚度应不小于</w:t>
            </w:r>
            <w:r>
              <w:rPr>
                <w:spacing w:val="-51"/>
              </w:rPr>
              <w:t xml:space="preserve"> </w:t>
            </w:r>
            <w:r>
              <w:rPr>
                <w:rFonts w:ascii="Times New Roman" w:hAnsi="Times New Roman" w:eastAsia="Times New Roman" w:cs="Times New Roman"/>
                <w:spacing w:val="-2"/>
              </w:rPr>
              <w:t>0.75m</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pacing w:val="-2"/>
                <w:position w:val="8"/>
                <w:sz w:val="15"/>
                <w:szCs w:val="15"/>
              </w:rPr>
              <w:t>-7</w:t>
            </w:r>
            <w:r>
              <w:rPr>
                <w:rFonts w:ascii="Times New Roman" w:hAnsi="Times New Roman" w:eastAsia="Times New Roman" w:cs="Times New Roman"/>
                <w:spacing w:val="-2"/>
              </w:rPr>
              <w:t>cm/s</w:t>
            </w:r>
            <w:r>
              <w:rPr>
                <w:spacing w:val="-2"/>
              </w:rPr>
              <w:t>；升压站占</w:t>
            </w:r>
            <w:r>
              <w:rPr>
                <w:spacing w:val="-3"/>
              </w:rPr>
              <w:t>地区域内综合楼和附属</w:t>
            </w:r>
            <w:r>
              <w:t xml:space="preserve"> </w:t>
            </w:r>
            <w:r>
              <w:rPr>
                <w:spacing w:val="-1"/>
              </w:rPr>
              <w:t>用房进行简单防渗，采取一般地面水泥硬化。</w:t>
            </w:r>
          </w:p>
          <w:p w14:paraId="5D5B1258">
            <w:pPr>
              <w:pStyle w:val="6"/>
              <w:spacing w:before="34" w:line="347" w:lineRule="auto"/>
              <w:ind w:left="107" w:right="22" w:firstLine="479"/>
            </w:pPr>
            <w:r>
              <w:rPr>
                <w:spacing w:val="-3"/>
              </w:rPr>
              <w:t>在做好项目分区防渗工作，设备设施运营管理工作，</w:t>
            </w:r>
            <w:r>
              <w:rPr>
                <w:spacing w:val="-4"/>
              </w:rPr>
              <w:t>项目正常生产的情况下，对土壤、</w:t>
            </w:r>
            <w:r>
              <w:t xml:space="preserve"> </w:t>
            </w:r>
            <w:r>
              <w:rPr>
                <w:spacing w:val="-2"/>
              </w:rPr>
              <w:t>地下水影响很小。</w:t>
            </w:r>
          </w:p>
          <w:p w14:paraId="29A3C680">
            <w:pPr>
              <w:pStyle w:val="6"/>
              <w:spacing w:before="34" w:line="219" w:lineRule="auto"/>
              <w:ind w:left="582"/>
            </w:pPr>
            <w:r>
              <w:rPr>
                <w:rFonts w:ascii="Times New Roman" w:hAnsi="Times New Roman" w:eastAsia="Times New Roman" w:cs="Times New Roman"/>
                <w:b/>
                <w:bCs/>
                <w:spacing w:val="-5"/>
              </w:rPr>
              <w:t>3</w:t>
            </w:r>
            <w:r>
              <w:rPr>
                <w:rFonts w:ascii="Times New Roman" w:hAnsi="Times New Roman" w:eastAsia="Times New Roman" w:cs="Times New Roman"/>
                <w:b/>
                <w:bCs/>
                <w:spacing w:val="-23"/>
              </w:rPr>
              <w:t xml:space="preserve"> </w:t>
            </w:r>
            <w:r>
              <w:rPr>
                <w:b/>
                <w:bCs/>
                <w:spacing w:val="-5"/>
              </w:rPr>
              <w:t>、服务期满后的环境影响</w:t>
            </w:r>
          </w:p>
          <w:p w14:paraId="69C67B40">
            <w:pPr>
              <w:pStyle w:val="6"/>
              <w:spacing w:before="179" w:line="355" w:lineRule="auto"/>
              <w:ind w:left="109" w:right="82" w:firstLine="481"/>
            </w:pPr>
            <w:r>
              <w:rPr>
                <w:spacing w:val="-2"/>
              </w:rPr>
              <w:t>项目光伏系统使用寿命</w:t>
            </w:r>
            <w:r>
              <w:rPr>
                <w:spacing w:val="-55"/>
              </w:rPr>
              <w:t xml:space="preserve"> </w:t>
            </w:r>
            <w:r>
              <w:rPr>
                <w:rFonts w:ascii="Times New Roman" w:hAnsi="Times New Roman" w:eastAsia="Times New Roman" w:cs="Times New Roman"/>
                <w:spacing w:val="-2"/>
              </w:rPr>
              <w:t xml:space="preserve">25 </w:t>
            </w:r>
            <w:r>
              <w:rPr>
                <w:spacing w:val="-2"/>
              </w:rPr>
              <w:t>年，其中组件寿命</w:t>
            </w:r>
            <w:r>
              <w:rPr>
                <w:spacing w:val="-55"/>
              </w:rPr>
              <w:t xml:space="preserve"> </w:t>
            </w:r>
            <w:r>
              <w:rPr>
                <w:rFonts w:ascii="Times New Roman" w:hAnsi="Times New Roman" w:eastAsia="Times New Roman" w:cs="Times New Roman"/>
                <w:spacing w:val="-2"/>
              </w:rPr>
              <w:t xml:space="preserve">25 </w:t>
            </w:r>
            <w:r>
              <w:rPr>
                <w:spacing w:val="-2"/>
              </w:rPr>
              <w:t>年，逆变器寿命</w:t>
            </w:r>
            <w:r>
              <w:rPr>
                <w:spacing w:val="-55"/>
              </w:rPr>
              <w:t xml:space="preserve"> </w:t>
            </w:r>
            <w:r>
              <w:rPr>
                <w:rFonts w:ascii="Times New Roman" w:hAnsi="Times New Roman" w:eastAsia="Times New Roman" w:cs="Times New Roman"/>
                <w:spacing w:val="-2"/>
              </w:rPr>
              <w:t xml:space="preserve">25 </w:t>
            </w:r>
            <w:r>
              <w:rPr>
                <w:spacing w:val="-2"/>
              </w:rPr>
              <w:t>年。服务</w:t>
            </w:r>
            <w:r>
              <w:rPr>
                <w:spacing w:val="-3"/>
              </w:rPr>
              <w:t>期满后，</w:t>
            </w:r>
            <w:r>
              <w:t xml:space="preserve"> </w:t>
            </w:r>
            <w:r>
              <w:rPr>
                <w:spacing w:val="1"/>
              </w:rPr>
              <w:t>按国家相关要求，将对电池组件及支架、逆变器、变压器等进行</w:t>
            </w:r>
            <w:r>
              <w:t xml:space="preserve">拆除或者更换。光伏组件 </w:t>
            </w:r>
            <w:r>
              <w:rPr>
                <w:spacing w:val="1"/>
              </w:rPr>
              <w:t>由设备厂家回收，逆变器、蓄电池和变压器等设备交由有资质单</w:t>
            </w:r>
            <w:r>
              <w:t xml:space="preserve">位处理，组件支架等钢材 </w:t>
            </w:r>
            <w:r>
              <w:rPr>
                <w:spacing w:val="1"/>
              </w:rPr>
              <w:t>可外售给物资回收公司，所有建（构）物及其基础由拆迁公司拆</w:t>
            </w:r>
            <w:r>
              <w:t xml:space="preserve">除、清理。光伏电站服务 </w:t>
            </w:r>
            <w:r>
              <w:rPr>
                <w:spacing w:val="1"/>
              </w:rPr>
              <w:t>期满后环境影响为拆除的太阳能电池板、蓄电池及升压站变压器</w:t>
            </w:r>
            <w:r>
              <w:t xml:space="preserve">等固体废物影响及基础拆 </w:t>
            </w:r>
            <w:r>
              <w:rPr>
                <w:spacing w:val="-2"/>
              </w:rPr>
              <w:t>除产生的生态环境影响。</w:t>
            </w:r>
          </w:p>
          <w:p w14:paraId="316D578A">
            <w:pPr>
              <w:pStyle w:val="6"/>
              <w:spacing w:before="32" w:line="219" w:lineRule="auto"/>
              <w:ind w:left="606"/>
            </w:pPr>
            <w:r>
              <w:rPr>
                <w:rFonts w:ascii="Times New Roman" w:hAnsi="Times New Roman" w:eastAsia="Times New Roman" w:cs="Times New Roman"/>
                <w:spacing w:val="-1"/>
              </w:rPr>
              <w:t>1</w:t>
            </w:r>
            <w:r>
              <w:rPr>
                <w:spacing w:val="-1"/>
              </w:rPr>
              <w:t>）拆除的太阳能电池板、蓄电池及升压站变压器等固</w:t>
            </w:r>
            <w:r>
              <w:rPr>
                <w:spacing w:val="-2"/>
              </w:rPr>
              <w:t>体废物</w:t>
            </w:r>
          </w:p>
          <w:p w14:paraId="048D57C6">
            <w:pPr>
              <w:pStyle w:val="6"/>
              <w:spacing w:before="187" w:line="352" w:lineRule="auto"/>
              <w:ind w:left="108" w:right="102" w:firstLine="478"/>
            </w:pPr>
            <w:r>
              <w:rPr>
                <w:spacing w:val="1"/>
              </w:rPr>
              <w:t>在光伏电站服务期满后，拆除所有太阳能电池板、蓄电池及升压站变压</w:t>
            </w:r>
            <w:r>
              <w:t xml:space="preserve">器，对环境具 </w:t>
            </w:r>
            <w:r>
              <w:rPr>
                <w:spacing w:val="1"/>
              </w:rPr>
              <w:t>有很强的破坏性。其中，光伏发电系统使用的蓄电池多含有毒物质</w:t>
            </w:r>
            <w:r>
              <w:t xml:space="preserve">，如若将电池大量丢弃 </w:t>
            </w:r>
            <w:r>
              <w:rPr>
                <w:spacing w:val="-2"/>
              </w:rPr>
              <w:t>于环境中，其中的酸、碱电解质溶液会影响土壤和水系的</w:t>
            </w:r>
            <w:r>
              <w:rPr>
                <w:spacing w:val="-60"/>
              </w:rPr>
              <w:t xml:space="preserve"> </w:t>
            </w:r>
            <w:r>
              <w:rPr>
                <w:rFonts w:ascii="Times New Roman" w:hAnsi="Times New Roman" w:eastAsia="Times New Roman" w:cs="Times New Roman"/>
                <w:spacing w:val="-2"/>
              </w:rPr>
              <w:t>pH</w:t>
            </w:r>
            <w:r>
              <w:rPr>
                <w:spacing w:val="-2"/>
              </w:rPr>
              <w:t>，使土壤和水系酸性</w:t>
            </w:r>
            <w:r>
              <w:rPr>
                <w:spacing w:val="-3"/>
              </w:rPr>
              <w:t>化或碱性</w:t>
            </w:r>
            <w:r>
              <w:t xml:space="preserve"> </w:t>
            </w:r>
            <w:r>
              <w:rPr>
                <w:spacing w:val="1"/>
              </w:rPr>
              <w:t>化，而汞、镉等重金属被生物吸收后，通过各种途径进入人类的食</w:t>
            </w:r>
            <w:r>
              <w:t>物链，在人体内聚集， 使人体致畸或致变，甚至导致死亡。因此，本项目服务期满后</w:t>
            </w:r>
            <w:r>
              <w:rPr>
                <w:spacing w:val="-1"/>
              </w:rPr>
              <w:t>将对废弃物进行安全处置。</w:t>
            </w:r>
          </w:p>
          <w:p w14:paraId="65D2C13E">
            <w:pPr>
              <w:pStyle w:val="6"/>
              <w:spacing w:before="42" w:line="217" w:lineRule="auto"/>
              <w:ind w:left="586"/>
            </w:pPr>
            <w:r>
              <w:rPr>
                <w:spacing w:val="-1"/>
              </w:rPr>
              <w:t>①项目服务期满后废太阳能电池由生产厂家回收再利用。</w:t>
            </w:r>
          </w:p>
          <w:p w14:paraId="55C87CBC">
            <w:pPr>
              <w:pStyle w:val="6"/>
              <w:spacing w:before="186" w:line="217" w:lineRule="auto"/>
              <w:ind w:left="585"/>
            </w:pPr>
            <w:r>
              <w:t>②项目使用开关站，服务期满后交由有资质的变压器回收处置</w:t>
            </w:r>
            <w:r>
              <w:rPr>
                <w:spacing w:val="-1"/>
              </w:rPr>
              <w:t>单位进行回收处理。</w:t>
            </w:r>
          </w:p>
          <w:p w14:paraId="183516BC">
            <w:pPr>
              <w:pStyle w:val="6"/>
              <w:spacing w:before="184" w:line="219" w:lineRule="auto"/>
              <w:ind w:left="583"/>
            </w:pPr>
            <w:r>
              <w:rPr>
                <w:rFonts w:ascii="Times New Roman" w:hAnsi="Times New Roman" w:eastAsia="Times New Roman" w:cs="Times New Roman"/>
                <w:spacing w:val="-1"/>
              </w:rPr>
              <w:t>2</w:t>
            </w:r>
            <w:r>
              <w:rPr>
                <w:spacing w:val="-1"/>
              </w:rPr>
              <w:t>）基础拆除产生的生态环境影响</w:t>
            </w:r>
          </w:p>
          <w:p w14:paraId="09B56900">
            <w:pPr>
              <w:pStyle w:val="6"/>
              <w:spacing w:before="184" w:line="346" w:lineRule="auto"/>
              <w:ind w:left="109" w:right="102" w:firstLine="479"/>
            </w:pPr>
            <w:r>
              <w:rPr>
                <w:spacing w:val="1"/>
              </w:rPr>
              <w:t>本项目服务期满后将对电池组件及支架、变压器等进行拆除或更换</w:t>
            </w:r>
            <w:r>
              <w:t xml:space="preserve">，这些活动会造成 </w:t>
            </w:r>
            <w:r>
              <w:rPr>
                <w:spacing w:val="-1"/>
              </w:rPr>
              <w:t>光伏组件基础土地部分破坏。因此，服务期满后应进行生态恢复：</w:t>
            </w:r>
          </w:p>
          <w:p w14:paraId="35EC5380">
            <w:pPr>
              <w:pStyle w:val="6"/>
              <w:spacing w:before="33" w:line="217" w:lineRule="auto"/>
              <w:ind w:left="586"/>
            </w:pPr>
            <w:r>
              <w:rPr>
                <w:spacing w:val="-1"/>
              </w:rPr>
              <w:t>①掘除硬化地面基础，对场地进行恢复；</w:t>
            </w:r>
          </w:p>
          <w:p w14:paraId="64B5B379">
            <w:pPr>
              <w:pStyle w:val="6"/>
              <w:spacing w:before="186" w:line="217" w:lineRule="auto"/>
              <w:ind w:left="585"/>
            </w:pPr>
            <w:r>
              <w:t>②拆除过程中应尽量减少对土地的扰动，对于项目厂区</w:t>
            </w:r>
            <w:r>
              <w:rPr>
                <w:spacing w:val="-1"/>
              </w:rPr>
              <w:t>原绿化土地应保留；</w:t>
            </w:r>
          </w:p>
          <w:p w14:paraId="02832B13">
            <w:pPr>
              <w:pStyle w:val="6"/>
              <w:spacing w:before="182" w:line="290" w:lineRule="auto"/>
              <w:ind w:left="107" w:right="102" w:firstLine="478"/>
            </w:pPr>
            <w:r>
              <w:rPr>
                <w:spacing w:val="1"/>
              </w:rPr>
              <w:t>③掘除混凝土的基础部分场地应进行恢复，恢复后的场地则进行洒水和压</w:t>
            </w:r>
            <w:r>
              <w:t xml:space="preserve">实，以固结 </w:t>
            </w:r>
            <w:r>
              <w:rPr>
                <w:spacing w:val="-1"/>
              </w:rPr>
              <w:t>地表，防止产生扬尘和对土壤的风蚀。</w:t>
            </w:r>
          </w:p>
          <w:p w14:paraId="554A8009">
            <w:pPr>
              <w:pStyle w:val="6"/>
              <w:spacing w:before="182" w:line="312" w:lineRule="auto"/>
              <w:ind w:left="105" w:right="102" w:firstLine="480"/>
            </w:pPr>
            <w:r>
              <w:rPr>
                <w:spacing w:val="1"/>
              </w:rPr>
              <w:t>④对场地进行平整，然后覆土植树，对场地内占用的灌木林地、其他草地</w:t>
            </w:r>
            <w:r>
              <w:t xml:space="preserve">和其他林地 </w:t>
            </w:r>
            <w:r>
              <w:rPr>
                <w:spacing w:val="1"/>
              </w:rPr>
              <w:t>进行植被恢复，对裸地进行复垦。根据新项目对地形地貌及景观的破坏程</w:t>
            </w:r>
            <w:r>
              <w:t xml:space="preserve">度，项目服务期 </w:t>
            </w:r>
            <w:r>
              <w:rPr>
                <w:spacing w:val="1"/>
              </w:rPr>
              <w:t>满后，设立专项资金，采取植被重建的方式厂区进行生态恢复，种植乔木</w:t>
            </w:r>
            <w:r>
              <w:t>、灌木以及草类</w:t>
            </w:r>
          </w:p>
        </w:tc>
      </w:tr>
    </w:tbl>
    <w:p w14:paraId="0D216267">
      <w:pPr>
        <w:rPr>
          <w:rFonts w:ascii="Arial"/>
          <w:sz w:val="21"/>
        </w:rPr>
      </w:pPr>
    </w:p>
    <w:p w14:paraId="62FC70A1">
      <w:pPr>
        <w:rPr>
          <w:rFonts w:ascii="Arial" w:hAnsi="Arial" w:eastAsia="Arial" w:cs="Arial"/>
          <w:sz w:val="21"/>
          <w:szCs w:val="21"/>
        </w:rPr>
        <w:sectPr>
          <w:footerReference r:id="rId150" w:type="default"/>
          <w:pgSz w:w="11907" w:h="16840"/>
          <w:pgMar w:top="1431" w:right="907" w:bottom="1278" w:left="907" w:header="0" w:footer="1116" w:gutter="0"/>
          <w:cols w:space="720" w:num="1"/>
        </w:sectPr>
      </w:pPr>
    </w:p>
    <w:p w14:paraId="25ECC360">
      <w:pPr>
        <w:spacing w:line="99" w:lineRule="exact"/>
      </w:pPr>
      <w:r>
        <w:pict>
          <v:shape id="_x0000_s1082" o:spid="_x0000_s1082" style="position:absolute;left:0pt;margin-left:68.4pt;margin-top:77.5pt;height:686.45pt;width:0.5pt;mso-position-horizontal-relative:page;mso-position-vertical-relative:page;z-index:251729920;mso-width-relative:page;mso-height-relative:page;" filled="f" stroked="t" coordsize="10,13729" o:allowincell="f" path="m4,0l4,13728e">
            <v:fill on="f" focussize="0,0"/>
            <v:stroke weight="0.48pt" color="#000000" miterlimit="2" joinstyle="bevel"/>
            <v:imagedata o:title=""/>
            <o:lock v:ext="edit"/>
          </v:shape>
        </w:pict>
      </w: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9610"/>
      </w:tblGrid>
      <w:tr w14:paraId="4F2FA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9" w:hRule="atLeast"/>
        </w:trPr>
        <w:tc>
          <w:tcPr>
            <w:tcW w:w="10077" w:type="dxa"/>
            <w:gridSpan w:val="2"/>
            <w:tcBorders>
              <w:bottom w:val="single" w:color="000000" w:sz="2" w:space="0"/>
            </w:tcBorders>
            <w:vAlign w:val="top"/>
          </w:tcPr>
          <w:p w14:paraId="3C3D3737">
            <w:pPr>
              <w:pStyle w:val="6"/>
              <w:spacing w:before="42" w:line="219" w:lineRule="auto"/>
              <w:ind w:left="568"/>
            </w:pPr>
            <w:r>
              <w:rPr>
                <w:spacing w:val="-3"/>
              </w:rPr>
              <w:t>植被等。</w:t>
            </w:r>
          </w:p>
          <w:p w14:paraId="17C7FC0A">
            <w:pPr>
              <w:pStyle w:val="6"/>
              <w:spacing w:before="180" w:line="343" w:lineRule="auto"/>
              <w:ind w:left="569" w:right="102" w:firstLine="480"/>
            </w:pPr>
            <w:r>
              <w:rPr>
                <w:spacing w:val="1"/>
              </w:rPr>
              <w:t>综上所述，建设单位在严格落实上述环境保护措施后，光伏电</w:t>
            </w:r>
            <w:r>
              <w:t xml:space="preserve">站服务期满后对环境产 </w:t>
            </w:r>
            <w:r>
              <w:rPr>
                <w:spacing w:val="-2"/>
              </w:rPr>
              <w:t>生的影响较小。</w:t>
            </w:r>
          </w:p>
        </w:tc>
      </w:tr>
      <w:tr w14:paraId="3749D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23" w:hRule="atLeast"/>
        </w:trPr>
        <w:tc>
          <w:tcPr>
            <w:tcW w:w="467" w:type="dxa"/>
            <w:tcBorders>
              <w:top w:val="single" w:color="000000" w:sz="2" w:space="0"/>
              <w:right w:val="nil"/>
            </w:tcBorders>
            <w:textDirection w:val="tbRlV"/>
            <w:vAlign w:val="top"/>
          </w:tcPr>
          <w:p w14:paraId="148F7C78">
            <w:pPr>
              <w:pStyle w:val="6"/>
              <w:spacing w:before="117" w:line="209" w:lineRule="auto"/>
              <w:ind w:left="4474"/>
            </w:pPr>
            <w:r>
              <w:rPr>
                <w:spacing w:val="24"/>
                <w:w w:val="117"/>
              </w:rPr>
              <w:t>选址选线环境合理性分析</w:t>
            </w:r>
          </w:p>
        </w:tc>
        <w:tc>
          <w:tcPr>
            <w:tcW w:w="9610" w:type="dxa"/>
            <w:tcBorders>
              <w:top w:val="single" w:color="000000" w:sz="2" w:space="0"/>
              <w:left w:val="nil"/>
            </w:tcBorders>
            <w:vAlign w:val="top"/>
          </w:tcPr>
          <w:p w14:paraId="5C29E738">
            <w:pPr>
              <w:pStyle w:val="6"/>
              <w:spacing w:before="36" w:line="220" w:lineRule="auto"/>
              <w:ind w:left="594"/>
            </w:pPr>
            <w:r>
              <w:rPr>
                <w:rFonts w:ascii="Times New Roman" w:hAnsi="Times New Roman" w:eastAsia="Times New Roman" w:cs="Times New Roman"/>
                <w:b/>
                <w:bCs/>
                <w:spacing w:val="-6"/>
              </w:rPr>
              <w:t>1</w:t>
            </w:r>
            <w:r>
              <w:rPr>
                <w:rFonts w:ascii="Times New Roman" w:hAnsi="Times New Roman" w:eastAsia="Times New Roman" w:cs="Times New Roman"/>
                <w:b/>
                <w:bCs/>
                <w:spacing w:val="-27"/>
              </w:rPr>
              <w:t xml:space="preserve"> </w:t>
            </w:r>
            <w:r>
              <w:rPr>
                <w:b/>
                <w:bCs/>
                <w:spacing w:val="-6"/>
              </w:rPr>
              <w:t>、工程选址合理性分析</w:t>
            </w:r>
          </w:p>
          <w:p w14:paraId="05DF8BE7">
            <w:pPr>
              <w:pStyle w:val="6"/>
              <w:spacing w:before="179" w:line="355" w:lineRule="auto"/>
              <w:ind w:left="109" w:right="41" w:firstLine="482"/>
              <w:jc w:val="both"/>
            </w:pPr>
            <w:r>
              <w:rPr>
                <w:spacing w:val="-3"/>
              </w:rPr>
              <w:t>项目所在区域年太阳水平总辐射平均值为</w:t>
            </w:r>
            <w:r>
              <w:rPr>
                <w:spacing w:val="-49"/>
              </w:rPr>
              <w:t xml:space="preserve"> </w:t>
            </w:r>
            <w:r>
              <w:rPr>
                <w:rFonts w:ascii="Times New Roman" w:hAnsi="Times New Roman" w:eastAsia="Times New Roman" w:cs="Times New Roman"/>
                <w:spacing w:val="-3"/>
              </w:rPr>
              <w:t>5727MJ/m</w:t>
            </w:r>
            <w:r>
              <w:rPr>
                <w:rFonts w:ascii="Times New Roman" w:hAnsi="Times New Roman" w:eastAsia="Times New Roman" w:cs="Times New Roman"/>
                <w:spacing w:val="-3"/>
                <w:position w:val="7"/>
                <w:sz w:val="15"/>
                <w:szCs w:val="15"/>
              </w:rPr>
              <w:t>2</w:t>
            </w:r>
            <w:r>
              <w:rPr>
                <w:spacing w:val="-3"/>
              </w:rPr>
              <w:t>，其</w:t>
            </w:r>
            <w:r>
              <w:rPr>
                <w:spacing w:val="-4"/>
              </w:rPr>
              <w:t>太阳能资源属于很丰富地区，</w:t>
            </w:r>
            <w:r>
              <w:t xml:space="preserve"> </w:t>
            </w:r>
            <w:r>
              <w:rPr>
                <w:spacing w:val="1"/>
              </w:rPr>
              <w:t>具备较好的工程开发条件。所在区域太阳能资源直射比</w:t>
            </w:r>
            <w:r>
              <w:rPr>
                <w:spacing w:val="-51"/>
              </w:rPr>
              <w:t xml:space="preserve"> </w:t>
            </w:r>
            <w:r>
              <w:rPr>
                <w:rFonts w:ascii="Times New Roman" w:hAnsi="Times New Roman" w:eastAsia="Times New Roman" w:cs="Times New Roman"/>
              </w:rPr>
              <w:t>HDRR</w:t>
            </w:r>
            <w:r>
              <w:rPr>
                <w:rFonts w:ascii="Times New Roman" w:hAnsi="Times New Roman" w:eastAsia="Times New Roman" w:cs="Times New Roman"/>
                <w:spacing w:val="1"/>
              </w:rPr>
              <w:t xml:space="preserve"> </w:t>
            </w:r>
            <w:r>
              <w:rPr>
                <w:spacing w:val="1"/>
              </w:rPr>
              <w:t>为</w:t>
            </w:r>
            <w:r>
              <w:rPr>
                <w:spacing w:val="-46"/>
              </w:rPr>
              <w:t xml:space="preserve"> </w:t>
            </w:r>
            <w:r>
              <w:rPr>
                <w:rFonts w:ascii="Times New Roman" w:hAnsi="Times New Roman" w:eastAsia="Times New Roman" w:cs="Times New Roman"/>
                <w:spacing w:val="1"/>
              </w:rPr>
              <w:t>0.</w:t>
            </w:r>
            <w:r>
              <w:rPr>
                <w:rFonts w:ascii="Times New Roman" w:hAnsi="Times New Roman" w:eastAsia="Times New Roman" w:cs="Times New Roman"/>
              </w:rPr>
              <w:t>524</w:t>
            </w:r>
            <w:r>
              <w:rPr>
                <w:rFonts w:ascii="Times New Roman" w:hAnsi="Times New Roman" w:eastAsia="Times New Roman" w:cs="Times New Roman"/>
                <w:spacing w:val="-29"/>
              </w:rPr>
              <w:t xml:space="preserve"> </w:t>
            </w:r>
            <w:r>
              <w:t>，太阳能资源直射 比等级为</w:t>
            </w:r>
            <w:r>
              <w:rPr>
                <w:spacing w:val="-52"/>
              </w:rPr>
              <w:t xml:space="preserve"> </w:t>
            </w:r>
            <w:r>
              <w:rPr>
                <w:rFonts w:ascii="Times New Roman" w:hAnsi="Times New Roman" w:eastAsia="Times New Roman" w:cs="Times New Roman"/>
              </w:rPr>
              <w:t xml:space="preserve">B </w:t>
            </w:r>
            <w:r>
              <w:t>级，等级名称为高，项目光伏电站场区日照时数为</w:t>
            </w:r>
            <w:r>
              <w:rPr>
                <w:spacing w:val="-54"/>
              </w:rPr>
              <w:t xml:space="preserve"> </w:t>
            </w:r>
            <w:r>
              <w:rPr>
                <w:rFonts w:ascii="Times New Roman" w:hAnsi="Times New Roman" w:eastAsia="Times New Roman" w:cs="Times New Roman"/>
              </w:rPr>
              <w:t>2119h</w:t>
            </w:r>
            <w:r>
              <w:rPr>
                <w:rFonts w:ascii="Times New Roman" w:hAnsi="Times New Roman" w:eastAsia="Times New Roman" w:cs="Times New Roman"/>
                <w:spacing w:val="-28"/>
              </w:rPr>
              <w:t xml:space="preserve"> </w:t>
            </w:r>
            <w:r>
              <w:t xml:space="preserve">。项目所在区域太阳 </w:t>
            </w:r>
            <w:r>
              <w:rPr>
                <w:spacing w:val="1"/>
              </w:rPr>
              <w:t>能资源稳定度属于很稳定级别，年内月太阳总辐射值变化平稳，有</w:t>
            </w:r>
            <w:r>
              <w:t xml:space="preserve">利于电能稳定输出。场 </w:t>
            </w:r>
            <w:r>
              <w:rPr>
                <w:spacing w:val="1"/>
              </w:rPr>
              <w:t>区区域构造稳定性较差，但场址距活动断裂有足够的安全距离，场</w:t>
            </w:r>
            <w:r>
              <w:t xml:space="preserve">地处于构造相对稳定地 </w:t>
            </w:r>
            <w:r>
              <w:rPr>
                <w:spacing w:val="-2"/>
              </w:rPr>
              <w:t>段，适宜项目的建设。</w:t>
            </w:r>
          </w:p>
          <w:p w14:paraId="33EFBB8A">
            <w:pPr>
              <w:pStyle w:val="6"/>
              <w:spacing w:before="34" w:line="220" w:lineRule="auto"/>
              <w:ind w:left="584"/>
            </w:pPr>
            <w:r>
              <w:rPr>
                <w:rFonts w:ascii="Times New Roman" w:hAnsi="Times New Roman" w:eastAsia="Times New Roman" w:cs="Times New Roman"/>
                <w:b/>
                <w:bCs/>
                <w:spacing w:val="-5"/>
              </w:rPr>
              <w:t>2</w:t>
            </w:r>
            <w:r>
              <w:rPr>
                <w:rFonts w:ascii="Times New Roman" w:hAnsi="Times New Roman" w:eastAsia="Times New Roman" w:cs="Times New Roman"/>
                <w:b/>
                <w:bCs/>
                <w:spacing w:val="-34"/>
              </w:rPr>
              <w:t xml:space="preserve"> </w:t>
            </w:r>
            <w:r>
              <w:rPr>
                <w:b/>
                <w:bCs/>
                <w:spacing w:val="-5"/>
              </w:rPr>
              <w:t>、环境合理性分析</w:t>
            </w:r>
          </w:p>
          <w:p w14:paraId="70CD72C8">
            <w:pPr>
              <w:pStyle w:val="6"/>
              <w:spacing w:before="179" w:line="219" w:lineRule="auto"/>
              <w:ind w:left="599"/>
            </w:pPr>
            <w:r>
              <w:rPr>
                <w:spacing w:val="-2"/>
              </w:rPr>
              <w:t>（</w:t>
            </w:r>
            <w:r>
              <w:rPr>
                <w:rFonts w:ascii="Times New Roman" w:hAnsi="Times New Roman" w:eastAsia="Times New Roman" w:cs="Times New Roman"/>
                <w:spacing w:val="-2"/>
              </w:rPr>
              <w:t>1</w:t>
            </w:r>
            <w:r>
              <w:rPr>
                <w:spacing w:val="-2"/>
              </w:rPr>
              <w:t>）政府部门相关意见</w:t>
            </w:r>
          </w:p>
          <w:p w14:paraId="56119953">
            <w:pPr>
              <w:pStyle w:val="6"/>
              <w:spacing w:before="183" w:line="219" w:lineRule="auto"/>
              <w:jc w:val="right"/>
            </w:pPr>
            <w:r>
              <w:rPr>
                <w:spacing w:val="-4"/>
              </w:rPr>
              <w:t>本项目在选址过程中，征求了项目所在地相关政府部门意见，意见符合性详见表</w:t>
            </w:r>
            <w:r>
              <w:rPr>
                <w:spacing w:val="-51"/>
              </w:rPr>
              <w:t xml:space="preserve"> </w:t>
            </w:r>
            <w:r>
              <w:rPr>
                <w:rFonts w:ascii="Times New Roman" w:hAnsi="Times New Roman" w:eastAsia="Times New Roman" w:cs="Times New Roman"/>
                <w:spacing w:val="-4"/>
              </w:rPr>
              <w:t>4-21</w:t>
            </w:r>
            <w:r>
              <w:rPr>
                <w:spacing w:val="-4"/>
              </w:rPr>
              <w:t>。</w:t>
            </w:r>
          </w:p>
          <w:p w14:paraId="4933396C">
            <w:pPr>
              <w:pStyle w:val="6"/>
              <w:spacing w:before="176" w:line="224" w:lineRule="auto"/>
              <w:ind w:left="3113"/>
              <w:rPr>
                <w:sz w:val="20"/>
                <w:szCs w:val="20"/>
              </w:rPr>
            </w:pPr>
            <w:r>
              <w:rPr>
                <w:b/>
                <w:bCs/>
                <w:spacing w:val="6"/>
                <w:sz w:val="20"/>
                <w:szCs w:val="20"/>
              </w:rPr>
              <w:t>表</w:t>
            </w:r>
            <w:r>
              <w:rPr>
                <w:spacing w:val="-43"/>
                <w:sz w:val="20"/>
                <w:szCs w:val="20"/>
              </w:rPr>
              <w:t xml:space="preserve"> </w:t>
            </w:r>
            <w:r>
              <w:rPr>
                <w:rFonts w:ascii="Times New Roman" w:hAnsi="Times New Roman" w:eastAsia="Times New Roman" w:cs="Times New Roman"/>
                <w:b/>
                <w:bCs/>
                <w:spacing w:val="6"/>
                <w:sz w:val="20"/>
                <w:szCs w:val="20"/>
              </w:rPr>
              <w:t xml:space="preserve">4-21    </w:t>
            </w:r>
            <w:r>
              <w:rPr>
                <w:b/>
                <w:bCs/>
                <w:spacing w:val="6"/>
                <w:sz w:val="20"/>
                <w:szCs w:val="20"/>
              </w:rPr>
              <w:t>与相关部门意见符合性</w:t>
            </w:r>
            <w:r>
              <w:rPr>
                <w:b/>
                <w:bCs/>
                <w:spacing w:val="5"/>
                <w:sz w:val="20"/>
                <w:szCs w:val="20"/>
              </w:rPr>
              <w:t>分析</w:t>
            </w:r>
          </w:p>
          <w:tbl>
            <w:tblPr>
              <w:tblStyle w:val="5"/>
              <w:tblW w:w="9387"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7"/>
              <w:gridCol w:w="954"/>
              <w:gridCol w:w="3232"/>
              <w:gridCol w:w="3613"/>
              <w:gridCol w:w="1101"/>
            </w:tblGrid>
            <w:tr w14:paraId="0C540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87" w:type="dxa"/>
                  <w:textDirection w:val="tbRlV"/>
                  <w:vAlign w:val="top"/>
                </w:tcPr>
                <w:p w14:paraId="26FFED8F">
                  <w:pPr>
                    <w:pStyle w:val="6"/>
                    <w:spacing w:before="138" w:line="218" w:lineRule="auto"/>
                    <w:ind w:left="36"/>
                    <w:rPr>
                      <w:sz w:val="20"/>
                      <w:szCs w:val="20"/>
                    </w:rPr>
                  </w:pPr>
                  <w:r>
                    <w:rPr>
                      <w:b/>
                      <w:bCs/>
                      <w:spacing w:val="6"/>
                      <w:sz w:val="20"/>
                      <w:szCs w:val="20"/>
                    </w:rPr>
                    <w:t>序</w:t>
                  </w:r>
                  <w:r>
                    <w:rPr>
                      <w:spacing w:val="-38"/>
                      <w:sz w:val="20"/>
                      <w:szCs w:val="20"/>
                    </w:rPr>
                    <w:t xml:space="preserve"> </w:t>
                  </w:r>
                  <w:r>
                    <w:rPr>
                      <w:b/>
                      <w:bCs/>
                      <w:spacing w:val="6"/>
                      <w:sz w:val="20"/>
                      <w:szCs w:val="20"/>
                    </w:rPr>
                    <w:t>号</w:t>
                  </w:r>
                </w:p>
              </w:tc>
              <w:tc>
                <w:tcPr>
                  <w:tcW w:w="954" w:type="dxa"/>
                  <w:vAlign w:val="top"/>
                </w:tcPr>
                <w:p w14:paraId="40BC2B9F">
                  <w:pPr>
                    <w:pStyle w:val="6"/>
                    <w:spacing w:before="37" w:line="234" w:lineRule="auto"/>
                    <w:ind w:left="375" w:right="163" w:hanging="211"/>
                    <w:rPr>
                      <w:sz w:val="20"/>
                      <w:szCs w:val="20"/>
                    </w:rPr>
                  </w:pPr>
                  <w:r>
                    <w:rPr>
                      <w:b/>
                      <w:bCs/>
                      <w:spacing w:val="4"/>
                      <w:sz w:val="20"/>
                      <w:szCs w:val="20"/>
                    </w:rPr>
                    <w:t>相关单</w:t>
                  </w:r>
                  <w:r>
                    <w:rPr>
                      <w:spacing w:val="1"/>
                      <w:sz w:val="20"/>
                      <w:szCs w:val="20"/>
                    </w:rPr>
                    <w:t xml:space="preserve"> </w:t>
                  </w:r>
                  <w:r>
                    <w:rPr>
                      <w:b/>
                      <w:bCs/>
                      <w:spacing w:val="-2"/>
                      <w:sz w:val="20"/>
                      <w:szCs w:val="20"/>
                    </w:rPr>
                    <w:t>位</w:t>
                  </w:r>
                </w:p>
              </w:tc>
              <w:tc>
                <w:tcPr>
                  <w:tcW w:w="3232" w:type="dxa"/>
                  <w:vAlign w:val="top"/>
                </w:tcPr>
                <w:p w14:paraId="31F23A88">
                  <w:pPr>
                    <w:pStyle w:val="6"/>
                    <w:spacing w:before="170" w:line="228" w:lineRule="auto"/>
                    <w:ind w:left="1199"/>
                    <w:rPr>
                      <w:sz w:val="20"/>
                      <w:szCs w:val="20"/>
                    </w:rPr>
                  </w:pPr>
                  <w:r>
                    <w:rPr>
                      <w:b/>
                      <w:bCs/>
                      <w:spacing w:val="6"/>
                      <w:sz w:val="20"/>
                      <w:szCs w:val="20"/>
                    </w:rPr>
                    <w:t>主要意见</w:t>
                  </w:r>
                </w:p>
              </w:tc>
              <w:tc>
                <w:tcPr>
                  <w:tcW w:w="3613" w:type="dxa"/>
                  <w:vAlign w:val="top"/>
                </w:tcPr>
                <w:p w14:paraId="2C4933F6">
                  <w:pPr>
                    <w:pStyle w:val="6"/>
                    <w:spacing w:before="170" w:line="228" w:lineRule="auto"/>
                    <w:ind w:left="1396"/>
                    <w:rPr>
                      <w:sz w:val="20"/>
                      <w:szCs w:val="20"/>
                    </w:rPr>
                  </w:pPr>
                  <w:r>
                    <w:rPr>
                      <w:b/>
                      <w:bCs/>
                      <w:spacing w:val="5"/>
                      <w:sz w:val="20"/>
                      <w:szCs w:val="20"/>
                    </w:rPr>
                    <w:t>项目情况</w:t>
                  </w:r>
                </w:p>
              </w:tc>
              <w:tc>
                <w:tcPr>
                  <w:tcW w:w="1101" w:type="dxa"/>
                  <w:vAlign w:val="top"/>
                </w:tcPr>
                <w:p w14:paraId="4E5FFDCE">
                  <w:pPr>
                    <w:pStyle w:val="6"/>
                    <w:spacing w:before="170" w:line="228" w:lineRule="auto"/>
                    <w:ind w:left="241"/>
                    <w:rPr>
                      <w:sz w:val="20"/>
                      <w:szCs w:val="20"/>
                    </w:rPr>
                  </w:pPr>
                  <w:r>
                    <w:rPr>
                      <w:b/>
                      <w:bCs/>
                      <w:spacing w:val="5"/>
                      <w:sz w:val="20"/>
                      <w:szCs w:val="20"/>
                    </w:rPr>
                    <w:t>符合性</w:t>
                  </w:r>
                </w:p>
              </w:tc>
            </w:tr>
            <w:tr w14:paraId="6A90B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487" w:type="dxa"/>
                  <w:vAlign w:val="top"/>
                </w:tcPr>
                <w:p w14:paraId="6EB43221">
                  <w:pPr>
                    <w:spacing w:line="275" w:lineRule="auto"/>
                    <w:rPr>
                      <w:rFonts w:ascii="Arial"/>
                      <w:sz w:val="21"/>
                    </w:rPr>
                  </w:pPr>
                </w:p>
                <w:p w14:paraId="601B6E16">
                  <w:pPr>
                    <w:spacing w:line="276" w:lineRule="auto"/>
                    <w:rPr>
                      <w:rFonts w:ascii="Arial"/>
                      <w:sz w:val="21"/>
                    </w:rPr>
                  </w:pPr>
                </w:p>
                <w:p w14:paraId="57A8062D">
                  <w:pPr>
                    <w:spacing w:before="5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54" w:type="dxa"/>
                  <w:vAlign w:val="top"/>
                </w:tcPr>
                <w:p w14:paraId="7009BE7D">
                  <w:pPr>
                    <w:pStyle w:val="6"/>
                    <w:spacing w:before="29" w:line="245" w:lineRule="auto"/>
                    <w:ind w:left="163" w:right="163" w:firstLine="5"/>
                    <w:jc w:val="both"/>
                    <w:rPr>
                      <w:sz w:val="20"/>
                      <w:szCs w:val="20"/>
                    </w:rPr>
                  </w:pPr>
                  <w:r>
                    <w:rPr>
                      <w:spacing w:val="5"/>
                      <w:sz w:val="20"/>
                      <w:szCs w:val="20"/>
                    </w:rPr>
                    <w:t>寻甸回</w:t>
                  </w:r>
                  <w:r>
                    <w:rPr>
                      <w:sz w:val="20"/>
                      <w:szCs w:val="20"/>
                    </w:rPr>
                    <w:t xml:space="preserve"> </w:t>
                  </w:r>
                  <w:r>
                    <w:rPr>
                      <w:spacing w:val="7"/>
                      <w:sz w:val="20"/>
                      <w:szCs w:val="20"/>
                    </w:rPr>
                    <w:t>族彝族</w:t>
                  </w:r>
                  <w:r>
                    <w:rPr>
                      <w:sz w:val="20"/>
                      <w:szCs w:val="20"/>
                    </w:rPr>
                    <w:t xml:space="preserve"> </w:t>
                  </w:r>
                  <w:r>
                    <w:rPr>
                      <w:spacing w:val="7"/>
                      <w:sz w:val="20"/>
                      <w:szCs w:val="20"/>
                    </w:rPr>
                    <w:t>自治县</w:t>
                  </w:r>
                  <w:r>
                    <w:rPr>
                      <w:sz w:val="20"/>
                      <w:szCs w:val="20"/>
                    </w:rPr>
                    <w:t xml:space="preserve"> </w:t>
                  </w:r>
                  <w:r>
                    <w:rPr>
                      <w:spacing w:val="7"/>
                      <w:sz w:val="20"/>
                      <w:szCs w:val="20"/>
                    </w:rPr>
                    <w:t>发展和</w:t>
                  </w:r>
                  <w:r>
                    <w:rPr>
                      <w:sz w:val="20"/>
                      <w:szCs w:val="20"/>
                    </w:rPr>
                    <w:t xml:space="preserve"> </w:t>
                  </w:r>
                  <w:r>
                    <w:rPr>
                      <w:spacing w:val="7"/>
                      <w:sz w:val="20"/>
                      <w:szCs w:val="20"/>
                    </w:rPr>
                    <w:t>改革局</w:t>
                  </w:r>
                </w:p>
              </w:tc>
              <w:tc>
                <w:tcPr>
                  <w:tcW w:w="3232" w:type="dxa"/>
                  <w:vAlign w:val="top"/>
                </w:tcPr>
                <w:p w14:paraId="04405E23">
                  <w:pPr>
                    <w:spacing w:line="372" w:lineRule="auto"/>
                    <w:rPr>
                      <w:rFonts w:ascii="Arial"/>
                      <w:sz w:val="21"/>
                    </w:rPr>
                  </w:pPr>
                </w:p>
                <w:p w14:paraId="1653C7C4">
                  <w:pPr>
                    <w:pStyle w:val="6"/>
                    <w:spacing w:before="65" w:line="239" w:lineRule="auto"/>
                    <w:ind w:left="993" w:right="146" w:hanging="822"/>
                    <w:rPr>
                      <w:sz w:val="20"/>
                      <w:szCs w:val="20"/>
                    </w:rPr>
                  </w:pPr>
                  <w:r>
                    <w:rPr>
                      <w:spacing w:val="7"/>
                      <w:sz w:val="20"/>
                      <w:szCs w:val="20"/>
                    </w:rPr>
                    <w:t>同意选址，请严格按要求办理手</w:t>
                  </w:r>
                  <w:r>
                    <w:rPr>
                      <w:spacing w:val="10"/>
                      <w:sz w:val="20"/>
                      <w:szCs w:val="20"/>
                    </w:rPr>
                    <w:t xml:space="preserve"> </w:t>
                  </w:r>
                  <w:r>
                    <w:rPr>
                      <w:spacing w:val="7"/>
                      <w:sz w:val="20"/>
                      <w:szCs w:val="20"/>
                    </w:rPr>
                    <w:t>续后开工建设</w:t>
                  </w:r>
                </w:p>
              </w:tc>
              <w:tc>
                <w:tcPr>
                  <w:tcW w:w="3613" w:type="dxa"/>
                  <w:vAlign w:val="top"/>
                </w:tcPr>
                <w:p w14:paraId="42A74D6A">
                  <w:pPr>
                    <w:spacing w:line="253" w:lineRule="auto"/>
                    <w:rPr>
                      <w:rFonts w:ascii="Arial"/>
                      <w:sz w:val="21"/>
                    </w:rPr>
                  </w:pPr>
                </w:p>
                <w:p w14:paraId="41069F80">
                  <w:pPr>
                    <w:spacing w:line="254" w:lineRule="auto"/>
                    <w:rPr>
                      <w:rFonts w:ascii="Arial"/>
                      <w:sz w:val="21"/>
                    </w:rPr>
                  </w:pPr>
                </w:p>
                <w:p w14:paraId="05CC09DB">
                  <w:pPr>
                    <w:pStyle w:val="6"/>
                    <w:spacing w:before="65" w:line="228" w:lineRule="auto"/>
                    <w:ind w:left="241"/>
                    <w:rPr>
                      <w:sz w:val="20"/>
                      <w:szCs w:val="20"/>
                    </w:rPr>
                  </w:pPr>
                  <w:r>
                    <w:rPr>
                      <w:spacing w:val="8"/>
                      <w:sz w:val="20"/>
                      <w:szCs w:val="20"/>
                    </w:rPr>
                    <w:t>项目正在进行各项手续办理工作。</w:t>
                  </w:r>
                </w:p>
              </w:tc>
              <w:tc>
                <w:tcPr>
                  <w:tcW w:w="1101" w:type="dxa"/>
                  <w:vAlign w:val="top"/>
                </w:tcPr>
                <w:p w14:paraId="3829F8EC">
                  <w:pPr>
                    <w:spacing w:line="253" w:lineRule="auto"/>
                    <w:rPr>
                      <w:rFonts w:ascii="Arial"/>
                      <w:sz w:val="21"/>
                    </w:rPr>
                  </w:pPr>
                </w:p>
                <w:p w14:paraId="7189676B">
                  <w:pPr>
                    <w:spacing w:line="254" w:lineRule="auto"/>
                    <w:rPr>
                      <w:rFonts w:ascii="Arial"/>
                      <w:sz w:val="21"/>
                    </w:rPr>
                  </w:pPr>
                </w:p>
                <w:p w14:paraId="28CAC372">
                  <w:pPr>
                    <w:pStyle w:val="6"/>
                    <w:spacing w:before="65" w:line="228" w:lineRule="auto"/>
                    <w:ind w:left="347"/>
                    <w:rPr>
                      <w:sz w:val="20"/>
                      <w:szCs w:val="20"/>
                    </w:rPr>
                  </w:pPr>
                  <w:r>
                    <w:rPr>
                      <w:spacing w:val="3"/>
                      <w:sz w:val="20"/>
                      <w:szCs w:val="20"/>
                    </w:rPr>
                    <w:t>符合</w:t>
                  </w:r>
                </w:p>
              </w:tc>
            </w:tr>
            <w:tr w14:paraId="1F838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87" w:type="dxa"/>
                  <w:vAlign w:val="top"/>
                </w:tcPr>
                <w:p w14:paraId="700F22BE">
                  <w:pPr>
                    <w:spacing w:line="319" w:lineRule="auto"/>
                    <w:rPr>
                      <w:rFonts w:ascii="Arial"/>
                      <w:sz w:val="21"/>
                    </w:rPr>
                  </w:pPr>
                </w:p>
                <w:p w14:paraId="68D81622">
                  <w:pPr>
                    <w:spacing w:line="319" w:lineRule="auto"/>
                    <w:rPr>
                      <w:rFonts w:ascii="Arial"/>
                      <w:sz w:val="21"/>
                    </w:rPr>
                  </w:pPr>
                </w:p>
                <w:p w14:paraId="5F313DA9">
                  <w:pPr>
                    <w:spacing w:line="319" w:lineRule="auto"/>
                    <w:rPr>
                      <w:rFonts w:ascii="Arial"/>
                      <w:sz w:val="21"/>
                    </w:rPr>
                  </w:pPr>
                </w:p>
                <w:p w14:paraId="5C701120">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54" w:type="dxa"/>
                  <w:vAlign w:val="top"/>
                </w:tcPr>
                <w:p w14:paraId="4D38AA86">
                  <w:pPr>
                    <w:spacing w:line="252" w:lineRule="auto"/>
                    <w:rPr>
                      <w:rFonts w:ascii="Arial"/>
                      <w:sz w:val="21"/>
                    </w:rPr>
                  </w:pPr>
                </w:p>
                <w:p w14:paraId="276A44CD">
                  <w:pPr>
                    <w:spacing w:line="253" w:lineRule="auto"/>
                    <w:rPr>
                      <w:rFonts w:ascii="Arial"/>
                      <w:sz w:val="21"/>
                    </w:rPr>
                  </w:pPr>
                </w:p>
                <w:p w14:paraId="3E394BE2">
                  <w:pPr>
                    <w:pStyle w:val="6"/>
                    <w:spacing w:before="65" w:line="246" w:lineRule="auto"/>
                    <w:ind w:left="165" w:right="163" w:firstLine="24"/>
                    <w:jc w:val="both"/>
                    <w:rPr>
                      <w:sz w:val="20"/>
                      <w:szCs w:val="20"/>
                    </w:rPr>
                  </w:pPr>
                  <w:r>
                    <w:rPr>
                      <w:spacing w:val="-2"/>
                      <w:sz w:val="20"/>
                      <w:szCs w:val="20"/>
                    </w:rPr>
                    <w:t>昆明市</w:t>
                  </w:r>
                  <w:r>
                    <w:rPr>
                      <w:sz w:val="20"/>
                      <w:szCs w:val="20"/>
                    </w:rPr>
                    <w:t xml:space="preserve"> </w:t>
                  </w:r>
                  <w:r>
                    <w:rPr>
                      <w:spacing w:val="6"/>
                      <w:sz w:val="20"/>
                      <w:szCs w:val="20"/>
                    </w:rPr>
                    <w:t>生态环</w:t>
                  </w:r>
                  <w:r>
                    <w:rPr>
                      <w:sz w:val="20"/>
                      <w:szCs w:val="20"/>
                    </w:rPr>
                    <w:t xml:space="preserve"> </w:t>
                  </w:r>
                  <w:r>
                    <w:rPr>
                      <w:spacing w:val="6"/>
                      <w:sz w:val="20"/>
                      <w:szCs w:val="20"/>
                    </w:rPr>
                    <w:t>境局寻</w:t>
                  </w:r>
                  <w:r>
                    <w:rPr>
                      <w:sz w:val="20"/>
                      <w:szCs w:val="20"/>
                    </w:rPr>
                    <w:t xml:space="preserve"> </w:t>
                  </w:r>
                  <w:r>
                    <w:rPr>
                      <w:spacing w:val="6"/>
                      <w:sz w:val="20"/>
                      <w:szCs w:val="20"/>
                    </w:rPr>
                    <w:t>甸分局</w:t>
                  </w:r>
                </w:p>
              </w:tc>
              <w:tc>
                <w:tcPr>
                  <w:tcW w:w="3232" w:type="dxa"/>
                  <w:vAlign w:val="top"/>
                </w:tcPr>
                <w:p w14:paraId="43E66FF6">
                  <w:pPr>
                    <w:pStyle w:val="6"/>
                    <w:spacing w:before="32" w:line="247" w:lineRule="auto"/>
                    <w:ind w:left="150" w:right="146" w:firstLine="4"/>
                    <w:rPr>
                      <w:sz w:val="20"/>
                      <w:szCs w:val="20"/>
                    </w:rPr>
                  </w:pPr>
                  <w:r>
                    <w:rPr>
                      <w:spacing w:val="9"/>
                      <w:sz w:val="20"/>
                      <w:szCs w:val="20"/>
                    </w:rPr>
                    <w:t>该项目涉及的生态环境分区管控</w:t>
                  </w:r>
                  <w:r>
                    <w:rPr>
                      <w:sz w:val="20"/>
                      <w:szCs w:val="20"/>
                    </w:rPr>
                    <w:t xml:space="preserve"> </w:t>
                  </w:r>
                  <w:r>
                    <w:rPr>
                      <w:spacing w:val="9"/>
                      <w:sz w:val="20"/>
                      <w:szCs w:val="20"/>
                    </w:rPr>
                    <w:t>单元为：寻甸回族彝族自治县一</w:t>
                  </w:r>
                  <w:r>
                    <w:rPr>
                      <w:spacing w:val="3"/>
                      <w:sz w:val="20"/>
                      <w:szCs w:val="20"/>
                    </w:rPr>
                    <w:t xml:space="preserve"> </w:t>
                  </w:r>
                  <w:r>
                    <w:rPr>
                      <w:spacing w:val="9"/>
                      <w:sz w:val="20"/>
                      <w:szCs w:val="20"/>
                    </w:rPr>
                    <w:t>般管控单元、寻甸回族彝族自治</w:t>
                  </w:r>
                  <w:r>
                    <w:rPr>
                      <w:spacing w:val="3"/>
                      <w:sz w:val="20"/>
                      <w:szCs w:val="20"/>
                    </w:rPr>
                    <w:t xml:space="preserve"> </w:t>
                  </w:r>
                  <w:r>
                    <w:rPr>
                      <w:spacing w:val="9"/>
                      <w:sz w:val="20"/>
                      <w:szCs w:val="20"/>
                    </w:rPr>
                    <w:t>县一般生态空间优先管控单元。</w:t>
                  </w:r>
                  <w:r>
                    <w:rPr>
                      <w:spacing w:val="3"/>
                      <w:sz w:val="20"/>
                      <w:szCs w:val="20"/>
                    </w:rPr>
                    <w:t xml:space="preserve"> </w:t>
                  </w:r>
                  <w:r>
                    <w:rPr>
                      <w:spacing w:val="9"/>
                      <w:sz w:val="20"/>
                      <w:szCs w:val="20"/>
                    </w:rPr>
                    <w:t>光伏发电项目应开展环境影响评</w:t>
                  </w:r>
                  <w:r>
                    <w:rPr>
                      <w:spacing w:val="3"/>
                      <w:sz w:val="20"/>
                      <w:szCs w:val="20"/>
                    </w:rPr>
                    <w:t xml:space="preserve"> </w:t>
                  </w:r>
                  <w:r>
                    <w:rPr>
                      <w:spacing w:val="9"/>
                      <w:sz w:val="20"/>
                      <w:szCs w:val="20"/>
                    </w:rPr>
                    <w:t>价，环评文件经昆明市生态环境</w:t>
                  </w:r>
                </w:p>
                <w:p w14:paraId="2544FF1A">
                  <w:pPr>
                    <w:pStyle w:val="6"/>
                    <w:spacing w:before="25" w:line="235" w:lineRule="auto"/>
                    <w:ind w:left="1414" w:right="249" w:hanging="1155"/>
                    <w:rPr>
                      <w:sz w:val="20"/>
                      <w:szCs w:val="20"/>
                    </w:rPr>
                  </w:pPr>
                  <w:r>
                    <w:rPr>
                      <w:spacing w:val="9"/>
                      <w:sz w:val="20"/>
                      <w:szCs w:val="20"/>
                    </w:rPr>
                    <w:t>局寻甸分局审批后方可开工建</w:t>
                  </w:r>
                  <w:r>
                    <w:rPr>
                      <w:sz w:val="20"/>
                      <w:szCs w:val="20"/>
                    </w:rPr>
                    <w:t xml:space="preserve"> </w:t>
                  </w:r>
                  <w:r>
                    <w:rPr>
                      <w:spacing w:val="-2"/>
                      <w:sz w:val="20"/>
                      <w:szCs w:val="20"/>
                    </w:rPr>
                    <w:t>设。</w:t>
                  </w:r>
                </w:p>
              </w:tc>
              <w:tc>
                <w:tcPr>
                  <w:tcW w:w="3613" w:type="dxa"/>
                  <w:vAlign w:val="top"/>
                </w:tcPr>
                <w:p w14:paraId="29EF2B6C">
                  <w:pPr>
                    <w:pStyle w:val="6"/>
                    <w:spacing w:before="304" w:line="246" w:lineRule="auto"/>
                    <w:ind w:left="132" w:right="125"/>
                    <w:jc w:val="both"/>
                    <w:rPr>
                      <w:sz w:val="20"/>
                      <w:szCs w:val="20"/>
                    </w:rPr>
                  </w:pPr>
                  <w:r>
                    <w:rPr>
                      <w:spacing w:val="9"/>
                      <w:sz w:val="20"/>
                      <w:szCs w:val="20"/>
                    </w:rPr>
                    <w:t>根据前文表一章节分析，项目与寻甸</w:t>
                  </w:r>
                  <w:r>
                    <w:rPr>
                      <w:spacing w:val="4"/>
                      <w:sz w:val="20"/>
                      <w:szCs w:val="20"/>
                    </w:rPr>
                    <w:t xml:space="preserve"> </w:t>
                  </w:r>
                  <w:r>
                    <w:rPr>
                      <w:spacing w:val="9"/>
                      <w:sz w:val="20"/>
                      <w:szCs w:val="20"/>
                    </w:rPr>
                    <w:t>回族彝族自治县一般管控单元、寻甸</w:t>
                  </w:r>
                  <w:r>
                    <w:rPr>
                      <w:spacing w:val="5"/>
                      <w:sz w:val="20"/>
                      <w:szCs w:val="20"/>
                    </w:rPr>
                    <w:t xml:space="preserve"> </w:t>
                  </w:r>
                  <w:r>
                    <w:rPr>
                      <w:spacing w:val="9"/>
                      <w:sz w:val="20"/>
                      <w:szCs w:val="20"/>
                    </w:rPr>
                    <w:t>回族彝族自治县一般生态空间优先管</w:t>
                  </w:r>
                  <w:r>
                    <w:rPr>
                      <w:spacing w:val="5"/>
                      <w:sz w:val="20"/>
                      <w:szCs w:val="20"/>
                    </w:rPr>
                    <w:t xml:space="preserve"> </w:t>
                  </w:r>
                  <w:r>
                    <w:rPr>
                      <w:spacing w:val="9"/>
                      <w:sz w:val="20"/>
                      <w:szCs w:val="20"/>
                    </w:rPr>
                    <w:t>控单元管控要求相符，不再禁止的负</w:t>
                  </w:r>
                  <w:r>
                    <w:rPr>
                      <w:spacing w:val="5"/>
                      <w:sz w:val="20"/>
                      <w:szCs w:val="20"/>
                    </w:rPr>
                    <w:t xml:space="preserve"> </w:t>
                  </w:r>
                  <w:r>
                    <w:rPr>
                      <w:spacing w:val="9"/>
                      <w:sz w:val="20"/>
                      <w:szCs w:val="20"/>
                    </w:rPr>
                    <w:t>面清单内。项目正在进行环评文件审</w:t>
                  </w:r>
                </w:p>
                <w:p w14:paraId="660FF4B5">
                  <w:pPr>
                    <w:pStyle w:val="6"/>
                    <w:spacing w:before="27" w:line="228" w:lineRule="auto"/>
                    <w:ind w:left="760"/>
                    <w:rPr>
                      <w:sz w:val="20"/>
                      <w:szCs w:val="20"/>
                    </w:rPr>
                  </w:pPr>
                  <w:r>
                    <w:rPr>
                      <w:spacing w:val="8"/>
                      <w:sz w:val="20"/>
                      <w:szCs w:val="20"/>
                    </w:rPr>
                    <w:t>批，项目未开工建设。</w:t>
                  </w:r>
                </w:p>
              </w:tc>
              <w:tc>
                <w:tcPr>
                  <w:tcW w:w="1101" w:type="dxa"/>
                  <w:vAlign w:val="top"/>
                </w:tcPr>
                <w:p w14:paraId="004B2CDE">
                  <w:pPr>
                    <w:spacing w:line="303" w:lineRule="auto"/>
                    <w:rPr>
                      <w:rFonts w:ascii="Arial"/>
                      <w:sz w:val="21"/>
                    </w:rPr>
                  </w:pPr>
                </w:p>
                <w:p w14:paraId="6D4EA4CC">
                  <w:pPr>
                    <w:spacing w:line="304" w:lineRule="auto"/>
                    <w:rPr>
                      <w:rFonts w:ascii="Arial"/>
                      <w:sz w:val="21"/>
                    </w:rPr>
                  </w:pPr>
                </w:p>
                <w:p w14:paraId="08EAE672">
                  <w:pPr>
                    <w:spacing w:line="304" w:lineRule="auto"/>
                    <w:rPr>
                      <w:rFonts w:ascii="Arial"/>
                      <w:sz w:val="21"/>
                    </w:rPr>
                  </w:pPr>
                </w:p>
                <w:p w14:paraId="5B15E672">
                  <w:pPr>
                    <w:pStyle w:val="6"/>
                    <w:spacing w:before="65" w:line="228" w:lineRule="auto"/>
                    <w:ind w:left="347"/>
                    <w:rPr>
                      <w:sz w:val="20"/>
                      <w:szCs w:val="20"/>
                    </w:rPr>
                  </w:pPr>
                  <w:r>
                    <w:rPr>
                      <w:spacing w:val="3"/>
                      <w:sz w:val="20"/>
                      <w:szCs w:val="20"/>
                    </w:rPr>
                    <w:t>符合</w:t>
                  </w:r>
                </w:p>
              </w:tc>
            </w:tr>
            <w:tr w14:paraId="5369F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9" w:hRule="atLeast"/>
              </w:trPr>
              <w:tc>
                <w:tcPr>
                  <w:tcW w:w="487" w:type="dxa"/>
                  <w:vAlign w:val="top"/>
                </w:tcPr>
                <w:p w14:paraId="16A42184">
                  <w:pPr>
                    <w:spacing w:line="245" w:lineRule="auto"/>
                    <w:rPr>
                      <w:rFonts w:ascii="Arial"/>
                      <w:sz w:val="21"/>
                    </w:rPr>
                  </w:pPr>
                </w:p>
                <w:p w14:paraId="614A1574">
                  <w:pPr>
                    <w:spacing w:line="245" w:lineRule="auto"/>
                    <w:rPr>
                      <w:rFonts w:ascii="Arial"/>
                      <w:sz w:val="21"/>
                    </w:rPr>
                  </w:pPr>
                </w:p>
                <w:p w14:paraId="6883921A">
                  <w:pPr>
                    <w:spacing w:line="245" w:lineRule="auto"/>
                    <w:rPr>
                      <w:rFonts w:ascii="Arial"/>
                      <w:sz w:val="21"/>
                    </w:rPr>
                  </w:pPr>
                </w:p>
                <w:p w14:paraId="7A2299C7">
                  <w:pPr>
                    <w:spacing w:line="246" w:lineRule="auto"/>
                    <w:rPr>
                      <w:rFonts w:ascii="Arial"/>
                      <w:sz w:val="21"/>
                    </w:rPr>
                  </w:pPr>
                </w:p>
                <w:p w14:paraId="6CBA7C36">
                  <w:pPr>
                    <w:spacing w:line="246" w:lineRule="auto"/>
                    <w:rPr>
                      <w:rFonts w:ascii="Arial"/>
                      <w:sz w:val="21"/>
                    </w:rPr>
                  </w:pPr>
                </w:p>
                <w:p w14:paraId="3F6AC9FB">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54" w:type="dxa"/>
                  <w:vAlign w:val="top"/>
                </w:tcPr>
                <w:p w14:paraId="6E3CA9FA">
                  <w:pPr>
                    <w:spacing w:line="321" w:lineRule="auto"/>
                    <w:rPr>
                      <w:rFonts w:ascii="Arial"/>
                      <w:sz w:val="21"/>
                    </w:rPr>
                  </w:pPr>
                </w:p>
                <w:p w14:paraId="13444155">
                  <w:pPr>
                    <w:spacing w:line="321" w:lineRule="auto"/>
                    <w:rPr>
                      <w:rFonts w:ascii="Arial"/>
                      <w:sz w:val="21"/>
                    </w:rPr>
                  </w:pPr>
                </w:p>
                <w:p w14:paraId="21551471">
                  <w:pPr>
                    <w:pStyle w:val="6"/>
                    <w:spacing w:before="65" w:line="228" w:lineRule="auto"/>
                    <w:ind w:left="168"/>
                    <w:rPr>
                      <w:sz w:val="20"/>
                      <w:szCs w:val="20"/>
                    </w:rPr>
                  </w:pPr>
                  <w:r>
                    <w:rPr>
                      <w:spacing w:val="5"/>
                      <w:sz w:val="20"/>
                      <w:szCs w:val="20"/>
                    </w:rPr>
                    <w:t>寻甸回</w:t>
                  </w:r>
                </w:p>
                <w:p w14:paraId="0558621E">
                  <w:pPr>
                    <w:pStyle w:val="6"/>
                    <w:spacing w:before="24" w:line="229" w:lineRule="auto"/>
                    <w:ind w:left="163"/>
                    <w:rPr>
                      <w:sz w:val="20"/>
                      <w:szCs w:val="20"/>
                    </w:rPr>
                  </w:pPr>
                  <w:r>
                    <w:rPr>
                      <w:spacing w:val="7"/>
                      <w:sz w:val="20"/>
                      <w:szCs w:val="20"/>
                    </w:rPr>
                    <w:t>族彝族</w:t>
                  </w:r>
                </w:p>
                <w:p w14:paraId="786D86AD">
                  <w:pPr>
                    <w:pStyle w:val="6"/>
                    <w:spacing w:before="25" w:line="228" w:lineRule="auto"/>
                    <w:ind w:left="198"/>
                    <w:rPr>
                      <w:sz w:val="20"/>
                      <w:szCs w:val="20"/>
                    </w:rPr>
                  </w:pPr>
                  <w:r>
                    <w:rPr>
                      <w:spacing w:val="-5"/>
                      <w:sz w:val="20"/>
                      <w:szCs w:val="20"/>
                    </w:rPr>
                    <w:t>自治县</w:t>
                  </w:r>
                </w:p>
                <w:p w14:paraId="46572395">
                  <w:pPr>
                    <w:pStyle w:val="6"/>
                    <w:spacing w:before="24" w:line="228" w:lineRule="auto"/>
                    <w:ind w:left="198"/>
                    <w:rPr>
                      <w:sz w:val="20"/>
                      <w:szCs w:val="20"/>
                    </w:rPr>
                  </w:pPr>
                  <w:r>
                    <w:rPr>
                      <w:spacing w:val="-5"/>
                      <w:sz w:val="20"/>
                      <w:szCs w:val="20"/>
                    </w:rPr>
                    <w:t>自然资</w:t>
                  </w:r>
                </w:p>
                <w:p w14:paraId="744DA067">
                  <w:pPr>
                    <w:pStyle w:val="6"/>
                    <w:spacing w:before="26" w:line="229" w:lineRule="auto"/>
                    <w:ind w:left="269"/>
                    <w:rPr>
                      <w:sz w:val="20"/>
                      <w:szCs w:val="20"/>
                    </w:rPr>
                  </w:pPr>
                  <w:r>
                    <w:rPr>
                      <w:spacing w:val="5"/>
                      <w:sz w:val="20"/>
                      <w:szCs w:val="20"/>
                    </w:rPr>
                    <w:t>源局</w:t>
                  </w:r>
                </w:p>
              </w:tc>
              <w:tc>
                <w:tcPr>
                  <w:tcW w:w="3232" w:type="dxa"/>
                  <w:vAlign w:val="top"/>
                </w:tcPr>
                <w:p w14:paraId="605560C2">
                  <w:pPr>
                    <w:pStyle w:val="6"/>
                    <w:spacing w:before="31" w:line="243" w:lineRule="auto"/>
                    <w:ind w:left="151" w:right="146" w:firstLine="3"/>
                    <w:jc w:val="both"/>
                    <w:rPr>
                      <w:sz w:val="20"/>
                      <w:szCs w:val="20"/>
                    </w:rPr>
                  </w:pPr>
                  <w:r>
                    <w:rPr>
                      <w:spacing w:val="9"/>
                      <w:sz w:val="20"/>
                      <w:szCs w:val="20"/>
                    </w:rPr>
                    <w:t>一、经我局与寻甸县生态保护红</w:t>
                  </w:r>
                  <w:r>
                    <w:rPr>
                      <w:sz w:val="20"/>
                      <w:szCs w:val="20"/>
                    </w:rPr>
                    <w:t xml:space="preserve"> </w:t>
                  </w:r>
                  <w:r>
                    <w:rPr>
                      <w:spacing w:val="9"/>
                      <w:sz w:val="20"/>
                      <w:szCs w:val="20"/>
                    </w:rPr>
                    <w:t>线及城镇开发边界叠加核实，化</w:t>
                  </w:r>
                  <w:r>
                    <w:rPr>
                      <w:spacing w:val="2"/>
                      <w:sz w:val="20"/>
                      <w:szCs w:val="20"/>
                    </w:rPr>
                    <w:t xml:space="preserve"> </w:t>
                  </w:r>
                  <w:r>
                    <w:rPr>
                      <w:spacing w:val="9"/>
                      <w:sz w:val="20"/>
                      <w:szCs w:val="20"/>
                    </w:rPr>
                    <w:t>桃箐光伏项目用地范围未与寻甸</w:t>
                  </w:r>
                </w:p>
                <w:p w14:paraId="7B0BA9A3">
                  <w:pPr>
                    <w:pStyle w:val="6"/>
                    <w:spacing w:before="27" w:line="228" w:lineRule="auto"/>
                    <w:ind w:left="152"/>
                    <w:rPr>
                      <w:sz w:val="20"/>
                      <w:szCs w:val="20"/>
                    </w:rPr>
                  </w:pPr>
                  <w:r>
                    <w:rPr>
                      <w:spacing w:val="8"/>
                      <w:sz w:val="20"/>
                      <w:szCs w:val="20"/>
                    </w:rPr>
                    <w:t>县生态保护红线管控范围重叠，</w:t>
                  </w:r>
                </w:p>
                <w:p w14:paraId="4463B32F">
                  <w:pPr>
                    <w:pStyle w:val="6"/>
                    <w:spacing w:before="24" w:line="228" w:lineRule="auto"/>
                    <w:ind w:left="574"/>
                    <w:rPr>
                      <w:sz w:val="20"/>
                      <w:szCs w:val="20"/>
                    </w:rPr>
                  </w:pPr>
                  <w:r>
                    <w:rPr>
                      <w:spacing w:val="7"/>
                      <w:sz w:val="20"/>
                      <w:szCs w:val="20"/>
                    </w:rPr>
                    <w:t>不在城镇开发边界内。</w:t>
                  </w:r>
                </w:p>
                <w:p w14:paraId="5609F2C4">
                  <w:pPr>
                    <w:pStyle w:val="6"/>
                    <w:spacing w:before="27" w:line="245" w:lineRule="auto"/>
                    <w:ind w:left="154" w:right="146"/>
                    <w:jc w:val="both"/>
                    <w:rPr>
                      <w:sz w:val="20"/>
                      <w:szCs w:val="20"/>
                    </w:rPr>
                  </w:pPr>
                  <w:r>
                    <w:rPr>
                      <w:spacing w:val="9"/>
                      <w:sz w:val="20"/>
                      <w:szCs w:val="20"/>
                    </w:rPr>
                    <w:t>二、经我局与寻甸县永久基本农</w:t>
                  </w:r>
                  <w:r>
                    <w:rPr>
                      <w:sz w:val="20"/>
                      <w:szCs w:val="20"/>
                    </w:rPr>
                    <w:t xml:space="preserve"> </w:t>
                  </w:r>
                  <w:r>
                    <w:rPr>
                      <w:spacing w:val="8"/>
                      <w:sz w:val="20"/>
                      <w:szCs w:val="20"/>
                    </w:rPr>
                    <w:t>田核实处置成果与耕地后备资源</w:t>
                  </w:r>
                  <w:r>
                    <w:rPr>
                      <w:spacing w:val="12"/>
                      <w:sz w:val="20"/>
                      <w:szCs w:val="20"/>
                    </w:rPr>
                    <w:t xml:space="preserve"> </w:t>
                  </w:r>
                  <w:r>
                    <w:rPr>
                      <w:spacing w:val="8"/>
                      <w:sz w:val="20"/>
                      <w:szCs w:val="20"/>
                    </w:rPr>
                    <w:t>叠加核实，该项目范围未涉及寻</w:t>
                  </w:r>
                  <w:r>
                    <w:rPr>
                      <w:spacing w:val="12"/>
                      <w:sz w:val="20"/>
                      <w:szCs w:val="20"/>
                    </w:rPr>
                    <w:t xml:space="preserve"> </w:t>
                  </w:r>
                  <w:r>
                    <w:rPr>
                      <w:spacing w:val="8"/>
                      <w:sz w:val="20"/>
                      <w:szCs w:val="20"/>
                    </w:rPr>
                    <w:t>甸县永久基本农田及耕地后备资</w:t>
                  </w:r>
                </w:p>
                <w:p w14:paraId="281EF53F">
                  <w:pPr>
                    <w:pStyle w:val="6"/>
                    <w:spacing w:before="28" w:line="217" w:lineRule="auto"/>
                    <w:ind w:left="1410"/>
                    <w:rPr>
                      <w:sz w:val="20"/>
                      <w:szCs w:val="20"/>
                    </w:rPr>
                  </w:pPr>
                  <w:r>
                    <w:rPr>
                      <w:sz w:val="20"/>
                      <w:szCs w:val="20"/>
                    </w:rPr>
                    <w:t>源。</w:t>
                  </w:r>
                </w:p>
              </w:tc>
              <w:tc>
                <w:tcPr>
                  <w:tcW w:w="3613" w:type="dxa"/>
                  <w:vAlign w:val="top"/>
                </w:tcPr>
                <w:p w14:paraId="2D4FF027">
                  <w:pPr>
                    <w:spacing w:line="322" w:lineRule="auto"/>
                    <w:rPr>
                      <w:rFonts w:ascii="Arial"/>
                      <w:sz w:val="21"/>
                    </w:rPr>
                  </w:pPr>
                </w:p>
                <w:p w14:paraId="442AEB45">
                  <w:pPr>
                    <w:spacing w:line="322" w:lineRule="auto"/>
                    <w:rPr>
                      <w:rFonts w:ascii="Arial"/>
                      <w:sz w:val="21"/>
                    </w:rPr>
                  </w:pPr>
                </w:p>
                <w:p w14:paraId="262A91A4">
                  <w:pPr>
                    <w:pStyle w:val="6"/>
                    <w:spacing w:before="65" w:line="245" w:lineRule="auto"/>
                    <w:ind w:left="113" w:right="49" w:firstLine="127"/>
                    <w:jc w:val="both"/>
                    <w:rPr>
                      <w:sz w:val="20"/>
                      <w:szCs w:val="20"/>
                    </w:rPr>
                  </w:pPr>
                  <w:r>
                    <w:rPr>
                      <w:spacing w:val="9"/>
                      <w:sz w:val="20"/>
                      <w:szCs w:val="20"/>
                    </w:rPr>
                    <w:t>建设单位现正严格根据相关用地法</w:t>
                  </w:r>
                  <w:r>
                    <w:rPr>
                      <w:spacing w:val="1"/>
                      <w:sz w:val="20"/>
                      <w:szCs w:val="20"/>
                    </w:rPr>
                    <w:t xml:space="preserve">  </w:t>
                  </w:r>
                  <w:r>
                    <w:rPr>
                      <w:spacing w:val="2"/>
                      <w:sz w:val="20"/>
                      <w:szCs w:val="20"/>
                    </w:rPr>
                    <w:t>律、法规要求按照程序办理使用手续，</w:t>
                  </w:r>
                  <w:r>
                    <w:rPr>
                      <w:spacing w:val="9"/>
                      <w:sz w:val="20"/>
                      <w:szCs w:val="20"/>
                    </w:rPr>
                    <w:t xml:space="preserve"> </w:t>
                  </w:r>
                  <w:r>
                    <w:rPr>
                      <w:spacing w:val="10"/>
                      <w:sz w:val="20"/>
                      <w:szCs w:val="20"/>
                    </w:rPr>
                    <w:t>还未开工建设，因此，项目建设符合</w:t>
                  </w:r>
                  <w:r>
                    <w:rPr>
                      <w:spacing w:val="7"/>
                      <w:sz w:val="20"/>
                      <w:szCs w:val="20"/>
                    </w:rPr>
                    <w:t xml:space="preserve"> </w:t>
                  </w:r>
                  <w:r>
                    <w:rPr>
                      <w:spacing w:val="10"/>
                      <w:sz w:val="20"/>
                      <w:szCs w:val="20"/>
                    </w:rPr>
                    <w:t>寻甸回族彝族自治县自然资源局意见</w:t>
                  </w:r>
                </w:p>
                <w:p w14:paraId="5B57EDEF">
                  <w:pPr>
                    <w:pStyle w:val="6"/>
                    <w:spacing w:before="27" w:line="229" w:lineRule="auto"/>
                    <w:ind w:left="1499"/>
                    <w:rPr>
                      <w:sz w:val="20"/>
                      <w:szCs w:val="20"/>
                    </w:rPr>
                  </w:pPr>
                  <w:r>
                    <w:rPr>
                      <w:spacing w:val="2"/>
                      <w:sz w:val="20"/>
                      <w:szCs w:val="20"/>
                    </w:rPr>
                    <w:t>要求。</w:t>
                  </w:r>
                </w:p>
              </w:tc>
              <w:tc>
                <w:tcPr>
                  <w:tcW w:w="1101" w:type="dxa"/>
                  <w:vAlign w:val="top"/>
                </w:tcPr>
                <w:p w14:paraId="17BCF187">
                  <w:pPr>
                    <w:spacing w:line="296" w:lineRule="auto"/>
                    <w:rPr>
                      <w:rFonts w:ascii="Arial"/>
                      <w:sz w:val="21"/>
                    </w:rPr>
                  </w:pPr>
                </w:p>
                <w:p w14:paraId="60F94203">
                  <w:pPr>
                    <w:spacing w:line="296" w:lineRule="auto"/>
                    <w:rPr>
                      <w:rFonts w:ascii="Arial"/>
                      <w:sz w:val="21"/>
                    </w:rPr>
                  </w:pPr>
                </w:p>
                <w:p w14:paraId="09EE81CE">
                  <w:pPr>
                    <w:spacing w:line="296" w:lineRule="auto"/>
                    <w:rPr>
                      <w:rFonts w:ascii="Arial"/>
                      <w:sz w:val="21"/>
                    </w:rPr>
                  </w:pPr>
                </w:p>
                <w:p w14:paraId="26455841">
                  <w:pPr>
                    <w:spacing w:line="296" w:lineRule="auto"/>
                    <w:rPr>
                      <w:rFonts w:ascii="Arial"/>
                      <w:sz w:val="21"/>
                    </w:rPr>
                  </w:pPr>
                </w:p>
                <w:p w14:paraId="5C4D86A5">
                  <w:pPr>
                    <w:pStyle w:val="6"/>
                    <w:spacing w:before="65" w:line="228" w:lineRule="auto"/>
                    <w:ind w:left="347"/>
                    <w:rPr>
                      <w:sz w:val="20"/>
                      <w:szCs w:val="20"/>
                    </w:rPr>
                  </w:pPr>
                  <w:r>
                    <w:rPr>
                      <w:spacing w:val="3"/>
                      <w:sz w:val="20"/>
                      <w:szCs w:val="20"/>
                    </w:rPr>
                    <w:t>符合</w:t>
                  </w:r>
                </w:p>
              </w:tc>
            </w:tr>
            <w:tr w14:paraId="2A173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487" w:type="dxa"/>
                  <w:tcBorders>
                    <w:bottom w:val="nil"/>
                  </w:tcBorders>
                  <w:vAlign w:val="top"/>
                </w:tcPr>
                <w:p w14:paraId="3E8ADA67">
                  <w:pPr>
                    <w:spacing w:before="181"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54" w:type="dxa"/>
                  <w:tcBorders>
                    <w:bottom w:val="nil"/>
                  </w:tcBorders>
                  <w:vAlign w:val="top"/>
                </w:tcPr>
                <w:p w14:paraId="7CE1F1FF">
                  <w:pPr>
                    <w:pStyle w:val="6"/>
                    <w:spacing w:before="20" w:line="216" w:lineRule="auto"/>
                    <w:ind w:left="163" w:right="163" w:firstLine="5"/>
                    <w:rPr>
                      <w:sz w:val="20"/>
                      <w:szCs w:val="20"/>
                    </w:rPr>
                  </w:pPr>
                  <w:r>
                    <w:rPr>
                      <w:spacing w:val="5"/>
                      <w:sz w:val="20"/>
                      <w:szCs w:val="20"/>
                    </w:rPr>
                    <w:t>寻甸回</w:t>
                  </w:r>
                  <w:r>
                    <w:rPr>
                      <w:sz w:val="20"/>
                      <w:szCs w:val="20"/>
                    </w:rPr>
                    <w:t xml:space="preserve"> </w:t>
                  </w:r>
                  <w:r>
                    <w:rPr>
                      <w:spacing w:val="7"/>
                      <w:sz w:val="20"/>
                      <w:szCs w:val="20"/>
                    </w:rPr>
                    <w:t>族彝族</w:t>
                  </w:r>
                </w:p>
              </w:tc>
              <w:tc>
                <w:tcPr>
                  <w:tcW w:w="3232" w:type="dxa"/>
                  <w:tcBorders>
                    <w:bottom w:val="nil"/>
                  </w:tcBorders>
                  <w:vAlign w:val="top"/>
                </w:tcPr>
                <w:p w14:paraId="41C49791">
                  <w:pPr>
                    <w:pStyle w:val="6"/>
                    <w:spacing w:before="20" w:line="216" w:lineRule="auto"/>
                    <w:ind w:left="114" w:right="105" w:firstLine="421"/>
                    <w:rPr>
                      <w:sz w:val="20"/>
                      <w:szCs w:val="20"/>
                    </w:rPr>
                  </w:pPr>
                  <w:r>
                    <w:rPr>
                      <w:spacing w:val="15"/>
                      <w:sz w:val="20"/>
                      <w:szCs w:val="20"/>
                    </w:rPr>
                    <w:t>该项目位于寻甸县河口镇，</w:t>
                  </w:r>
                  <w:r>
                    <w:rPr>
                      <w:spacing w:val="4"/>
                      <w:sz w:val="20"/>
                      <w:szCs w:val="20"/>
                    </w:rPr>
                    <w:t xml:space="preserve"> </w:t>
                  </w:r>
                  <w:r>
                    <w:rPr>
                      <w:spacing w:val="14"/>
                      <w:sz w:val="20"/>
                      <w:szCs w:val="20"/>
                    </w:rPr>
                    <w:t>经核查项目用地范围，选址地块</w:t>
                  </w:r>
                </w:p>
              </w:tc>
              <w:tc>
                <w:tcPr>
                  <w:tcW w:w="3613" w:type="dxa"/>
                  <w:tcBorders>
                    <w:bottom w:val="nil"/>
                  </w:tcBorders>
                  <w:vAlign w:val="top"/>
                </w:tcPr>
                <w:p w14:paraId="7B074111">
                  <w:pPr>
                    <w:pStyle w:val="6"/>
                    <w:spacing w:before="20" w:line="216" w:lineRule="auto"/>
                    <w:ind w:left="114" w:right="142" w:firstLine="1"/>
                    <w:rPr>
                      <w:sz w:val="20"/>
                      <w:szCs w:val="20"/>
                    </w:rPr>
                  </w:pPr>
                  <w:r>
                    <w:rPr>
                      <w:spacing w:val="9"/>
                      <w:sz w:val="20"/>
                      <w:szCs w:val="20"/>
                    </w:rPr>
                    <w:t>建设单位现正严格根据相关林草法律</w:t>
                  </w:r>
                  <w:r>
                    <w:rPr>
                      <w:spacing w:val="2"/>
                      <w:sz w:val="20"/>
                      <w:szCs w:val="20"/>
                    </w:rPr>
                    <w:t xml:space="preserve"> </w:t>
                  </w:r>
                  <w:r>
                    <w:rPr>
                      <w:spacing w:val="9"/>
                      <w:sz w:val="20"/>
                      <w:szCs w:val="20"/>
                    </w:rPr>
                    <w:t>法规要求按照程序办理使用手续，建</w:t>
                  </w:r>
                </w:p>
              </w:tc>
              <w:tc>
                <w:tcPr>
                  <w:tcW w:w="1101" w:type="dxa"/>
                  <w:tcBorders>
                    <w:bottom w:val="nil"/>
                  </w:tcBorders>
                  <w:vAlign w:val="top"/>
                </w:tcPr>
                <w:p w14:paraId="354EC65E">
                  <w:pPr>
                    <w:pStyle w:val="6"/>
                    <w:spacing w:before="145" w:line="228" w:lineRule="auto"/>
                    <w:ind w:left="116"/>
                    <w:rPr>
                      <w:sz w:val="20"/>
                      <w:szCs w:val="20"/>
                    </w:rPr>
                  </w:pPr>
                  <w:r>
                    <w:rPr>
                      <w:spacing w:val="3"/>
                      <w:sz w:val="20"/>
                      <w:szCs w:val="20"/>
                    </w:rPr>
                    <w:t>符合</w:t>
                  </w:r>
                </w:p>
              </w:tc>
            </w:tr>
          </w:tbl>
          <w:p w14:paraId="0668A8F3">
            <w:pPr>
              <w:spacing w:line="146" w:lineRule="auto"/>
              <w:rPr>
                <w:rFonts w:ascii="Arial"/>
                <w:sz w:val="2"/>
              </w:rPr>
            </w:pPr>
          </w:p>
        </w:tc>
      </w:tr>
    </w:tbl>
    <w:p w14:paraId="7B75BC07">
      <w:pPr>
        <w:rPr>
          <w:rFonts w:ascii="Arial"/>
          <w:sz w:val="21"/>
        </w:rPr>
      </w:pPr>
    </w:p>
    <w:p w14:paraId="2F0B1BCB">
      <w:pPr>
        <w:rPr>
          <w:rFonts w:ascii="Arial" w:hAnsi="Arial" w:eastAsia="Arial" w:cs="Arial"/>
          <w:sz w:val="21"/>
          <w:szCs w:val="21"/>
        </w:rPr>
        <w:sectPr>
          <w:footerReference r:id="rId151" w:type="default"/>
          <w:pgSz w:w="11907" w:h="16840"/>
          <w:pgMar w:top="1431" w:right="907" w:bottom="1278" w:left="907" w:header="0" w:footer="1116" w:gutter="0"/>
          <w:cols w:space="720" w:num="1"/>
        </w:sectPr>
      </w:pPr>
    </w:p>
    <w:p w14:paraId="7D9277D0">
      <w:pPr>
        <w:spacing w:line="99" w:lineRule="exact"/>
      </w:pPr>
      <w:r>
        <w:pict>
          <v:shape id="_x0000_s1083" o:spid="_x0000_s1083" style="position:absolute;left:0pt;margin-left:543.4pt;margin-top:77.05pt;height:209.9pt;width:0.5pt;mso-position-horizontal-relative:page;mso-position-vertical-relative:page;z-index:251730944;mso-width-relative:page;mso-height-relative:page;" filled="f" stroked="t" coordsize="10,4197" o:allowincell="f" path="m4,0l4,4197e">
            <v:fill on="f" focussize="0,0"/>
            <v:stroke weight="0.48pt" color="#000000" miterlimit="2" joinstyle="bevel"/>
            <v:imagedata o:title=""/>
            <o:lock v:ext="edit"/>
          </v:shape>
        </w:pict>
      </w:r>
    </w:p>
    <w:tbl>
      <w:tblPr>
        <w:tblStyle w:val="5"/>
        <w:tblW w:w="1007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17"/>
        <w:gridCol w:w="481"/>
        <w:gridCol w:w="953"/>
        <w:gridCol w:w="3229"/>
        <w:gridCol w:w="3610"/>
        <w:gridCol w:w="1222"/>
      </w:tblGrid>
      <w:tr w14:paraId="78282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465" w:type="dxa"/>
            <w:vMerge w:val="restart"/>
            <w:tcBorders>
              <w:top w:val="single" w:color="000000" w:sz="6" w:space="0"/>
              <w:left w:val="single" w:color="000000" w:sz="6" w:space="0"/>
              <w:bottom w:val="nil"/>
            </w:tcBorders>
            <w:vAlign w:val="top"/>
          </w:tcPr>
          <w:p w14:paraId="45706AEA">
            <w:pPr>
              <w:rPr>
                <w:rFonts w:ascii="Arial"/>
                <w:sz w:val="21"/>
              </w:rPr>
            </w:pPr>
          </w:p>
        </w:tc>
        <w:tc>
          <w:tcPr>
            <w:tcW w:w="117" w:type="dxa"/>
            <w:vMerge w:val="restart"/>
            <w:tcBorders>
              <w:top w:val="single" w:color="000000" w:sz="6" w:space="0"/>
              <w:bottom w:val="nil"/>
            </w:tcBorders>
            <w:vAlign w:val="top"/>
          </w:tcPr>
          <w:p w14:paraId="1CFD22BB">
            <w:pPr>
              <w:rPr>
                <w:rFonts w:ascii="Arial"/>
                <w:sz w:val="21"/>
              </w:rPr>
            </w:pPr>
          </w:p>
        </w:tc>
        <w:tc>
          <w:tcPr>
            <w:tcW w:w="481" w:type="dxa"/>
            <w:tcBorders>
              <w:top w:val="single" w:color="000000" w:sz="6" w:space="0"/>
            </w:tcBorders>
            <w:vAlign w:val="top"/>
          </w:tcPr>
          <w:p w14:paraId="04AF937D">
            <w:pPr>
              <w:rPr>
                <w:rFonts w:ascii="Arial"/>
                <w:sz w:val="21"/>
              </w:rPr>
            </w:pPr>
          </w:p>
        </w:tc>
        <w:tc>
          <w:tcPr>
            <w:tcW w:w="953" w:type="dxa"/>
            <w:tcBorders>
              <w:top w:val="single" w:color="000000" w:sz="6" w:space="0"/>
            </w:tcBorders>
            <w:vAlign w:val="top"/>
          </w:tcPr>
          <w:p w14:paraId="62C0F334">
            <w:pPr>
              <w:pStyle w:val="6"/>
              <w:spacing w:before="26" w:line="229" w:lineRule="auto"/>
              <w:ind w:left="162" w:right="165" w:firstLine="33"/>
              <w:jc w:val="both"/>
              <w:rPr>
                <w:sz w:val="20"/>
                <w:szCs w:val="20"/>
              </w:rPr>
            </w:pPr>
            <w:r>
              <w:rPr>
                <w:spacing w:val="-5"/>
                <w:sz w:val="20"/>
                <w:szCs w:val="20"/>
              </w:rPr>
              <w:t>自治县</w:t>
            </w:r>
            <w:r>
              <w:rPr>
                <w:sz w:val="20"/>
                <w:szCs w:val="20"/>
              </w:rPr>
              <w:t xml:space="preserve"> </w:t>
            </w:r>
            <w:r>
              <w:rPr>
                <w:spacing w:val="6"/>
                <w:sz w:val="20"/>
                <w:szCs w:val="20"/>
              </w:rPr>
              <w:t>林业和</w:t>
            </w:r>
            <w:r>
              <w:rPr>
                <w:sz w:val="20"/>
                <w:szCs w:val="20"/>
              </w:rPr>
              <w:t xml:space="preserve"> </w:t>
            </w:r>
            <w:r>
              <w:rPr>
                <w:spacing w:val="6"/>
                <w:sz w:val="20"/>
                <w:szCs w:val="20"/>
              </w:rPr>
              <w:t>草原局</w:t>
            </w:r>
          </w:p>
        </w:tc>
        <w:tc>
          <w:tcPr>
            <w:tcW w:w="3229" w:type="dxa"/>
            <w:tcBorders>
              <w:top w:val="single" w:color="000000" w:sz="6" w:space="0"/>
            </w:tcBorders>
            <w:vAlign w:val="top"/>
          </w:tcPr>
          <w:p w14:paraId="22DE5CA0">
            <w:pPr>
              <w:pStyle w:val="6"/>
              <w:spacing w:before="24" w:line="225" w:lineRule="auto"/>
              <w:ind w:left="114" w:right="52"/>
              <w:jc w:val="both"/>
              <w:rPr>
                <w:sz w:val="20"/>
                <w:szCs w:val="20"/>
              </w:rPr>
            </w:pPr>
            <w:r>
              <w:rPr>
                <w:spacing w:val="14"/>
                <w:sz w:val="20"/>
                <w:szCs w:val="20"/>
              </w:rPr>
              <w:t>不涉及国家公园、各级自然保护</w:t>
            </w:r>
            <w:r>
              <w:rPr>
                <w:spacing w:val="8"/>
                <w:sz w:val="20"/>
                <w:szCs w:val="20"/>
              </w:rPr>
              <w:t xml:space="preserve"> </w:t>
            </w:r>
            <w:r>
              <w:rPr>
                <w:spacing w:val="14"/>
                <w:sz w:val="20"/>
                <w:szCs w:val="20"/>
              </w:rPr>
              <w:t>区、森林公园、风景名胜区、草</w:t>
            </w:r>
            <w:r>
              <w:rPr>
                <w:spacing w:val="8"/>
                <w:sz w:val="20"/>
                <w:szCs w:val="20"/>
              </w:rPr>
              <w:t xml:space="preserve"> </w:t>
            </w:r>
            <w:r>
              <w:rPr>
                <w:spacing w:val="3"/>
                <w:sz w:val="20"/>
                <w:szCs w:val="20"/>
              </w:rPr>
              <w:t>原公园、自然保护区、基本草原，</w:t>
            </w:r>
            <w:r>
              <w:rPr>
                <w:spacing w:val="11"/>
                <w:sz w:val="20"/>
                <w:szCs w:val="20"/>
              </w:rPr>
              <w:t xml:space="preserve"> </w:t>
            </w:r>
            <w:r>
              <w:rPr>
                <w:spacing w:val="8"/>
                <w:sz w:val="20"/>
                <w:szCs w:val="20"/>
              </w:rPr>
              <w:t>不涉及项目禁用的林、草地。</w:t>
            </w:r>
          </w:p>
        </w:tc>
        <w:tc>
          <w:tcPr>
            <w:tcW w:w="3610" w:type="dxa"/>
            <w:tcBorders>
              <w:top w:val="single" w:color="000000" w:sz="6" w:space="0"/>
            </w:tcBorders>
            <w:vAlign w:val="top"/>
          </w:tcPr>
          <w:p w14:paraId="56A4F7F2">
            <w:pPr>
              <w:pStyle w:val="6"/>
              <w:spacing w:before="24" w:line="230" w:lineRule="auto"/>
              <w:ind w:left="115" w:right="138" w:firstLine="2"/>
              <w:rPr>
                <w:sz w:val="20"/>
                <w:szCs w:val="20"/>
              </w:rPr>
            </w:pPr>
            <w:r>
              <w:rPr>
                <w:spacing w:val="9"/>
                <w:sz w:val="20"/>
                <w:szCs w:val="20"/>
              </w:rPr>
              <w:t>设单位承诺在取得用林用草手续后再</w:t>
            </w:r>
            <w:r>
              <w:rPr>
                <w:spacing w:val="3"/>
                <w:sz w:val="20"/>
                <w:szCs w:val="20"/>
              </w:rPr>
              <w:t xml:space="preserve"> </w:t>
            </w:r>
            <w:r>
              <w:rPr>
                <w:spacing w:val="5"/>
                <w:sz w:val="20"/>
                <w:szCs w:val="20"/>
              </w:rPr>
              <w:t>开工建设。</w:t>
            </w:r>
          </w:p>
        </w:tc>
        <w:tc>
          <w:tcPr>
            <w:tcW w:w="1222" w:type="dxa"/>
            <w:tcBorders>
              <w:top w:val="single" w:color="000000" w:sz="6" w:space="0"/>
              <w:right w:val="single" w:color="000000" w:sz="6" w:space="0"/>
            </w:tcBorders>
            <w:vAlign w:val="top"/>
          </w:tcPr>
          <w:p w14:paraId="7FA2511C">
            <w:pPr>
              <w:rPr>
                <w:rFonts w:ascii="Arial"/>
                <w:sz w:val="21"/>
              </w:rPr>
            </w:pPr>
          </w:p>
        </w:tc>
      </w:tr>
      <w:tr w14:paraId="46C79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465" w:type="dxa"/>
            <w:vMerge w:val="continue"/>
            <w:tcBorders>
              <w:top w:val="nil"/>
              <w:left w:val="single" w:color="000000" w:sz="6" w:space="0"/>
              <w:bottom w:val="nil"/>
            </w:tcBorders>
            <w:vAlign w:val="top"/>
          </w:tcPr>
          <w:p w14:paraId="50FD38FE">
            <w:pPr>
              <w:rPr>
                <w:rFonts w:ascii="Arial"/>
                <w:sz w:val="21"/>
              </w:rPr>
            </w:pPr>
          </w:p>
        </w:tc>
        <w:tc>
          <w:tcPr>
            <w:tcW w:w="117" w:type="dxa"/>
            <w:vMerge w:val="continue"/>
            <w:tcBorders>
              <w:top w:val="nil"/>
              <w:bottom w:val="nil"/>
            </w:tcBorders>
            <w:vAlign w:val="top"/>
          </w:tcPr>
          <w:p w14:paraId="59E36766">
            <w:pPr>
              <w:rPr>
                <w:rFonts w:ascii="Arial"/>
                <w:sz w:val="21"/>
              </w:rPr>
            </w:pPr>
          </w:p>
        </w:tc>
        <w:tc>
          <w:tcPr>
            <w:tcW w:w="481" w:type="dxa"/>
            <w:vAlign w:val="top"/>
          </w:tcPr>
          <w:p w14:paraId="46DE9559">
            <w:pPr>
              <w:spacing w:line="344" w:lineRule="auto"/>
              <w:rPr>
                <w:rFonts w:ascii="Arial"/>
                <w:sz w:val="21"/>
              </w:rPr>
            </w:pPr>
          </w:p>
          <w:p w14:paraId="42875D34">
            <w:pPr>
              <w:spacing w:line="345" w:lineRule="auto"/>
              <w:rPr>
                <w:rFonts w:ascii="Arial"/>
                <w:sz w:val="21"/>
              </w:rPr>
            </w:pPr>
          </w:p>
          <w:p w14:paraId="76460D4B">
            <w:pPr>
              <w:spacing w:before="58" w:line="192"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53" w:type="dxa"/>
            <w:vAlign w:val="top"/>
          </w:tcPr>
          <w:p w14:paraId="27350CC3">
            <w:pPr>
              <w:pStyle w:val="6"/>
              <w:spacing w:before="305" w:line="245" w:lineRule="auto"/>
              <w:ind w:left="160" w:right="165" w:firstLine="5"/>
              <w:jc w:val="both"/>
              <w:rPr>
                <w:sz w:val="20"/>
                <w:szCs w:val="20"/>
              </w:rPr>
            </w:pPr>
            <w:r>
              <w:rPr>
                <w:spacing w:val="5"/>
                <w:sz w:val="20"/>
                <w:szCs w:val="20"/>
              </w:rPr>
              <w:t>寻甸回</w:t>
            </w:r>
            <w:r>
              <w:rPr>
                <w:sz w:val="20"/>
                <w:szCs w:val="20"/>
              </w:rPr>
              <w:t xml:space="preserve"> </w:t>
            </w:r>
            <w:r>
              <w:rPr>
                <w:spacing w:val="7"/>
                <w:sz w:val="20"/>
                <w:szCs w:val="20"/>
              </w:rPr>
              <w:t>族彝族</w:t>
            </w:r>
            <w:r>
              <w:rPr>
                <w:sz w:val="20"/>
                <w:szCs w:val="20"/>
              </w:rPr>
              <w:t xml:space="preserve"> </w:t>
            </w:r>
            <w:r>
              <w:rPr>
                <w:spacing w:val="7"/>
                <w:sz w:val="20"/>
                <w:szCs w:val="20"/>
              </w:rPr>
              <w:t>自治县</w:t>
            </w:r>
            <w:r>
              <w:rPr>
                <w:sz w:val="20"/>
                <w:szCs w:val="20"/>
              </w:rPr>
              <w:t xml:space="preserve"> </w:t>
            </w:r>
            <w:r>
              <w:rPr>
                <w:spacing w:val="7"/>
                <w:sz w:val="20"/>
                <w:szCs w:val="20"/>
              </w:rPr>
              <w:t>水务局</w:t>
            </w:r>
          </w:p>
        </w:tc>
        <w:tc>
          <w:tcPr>
            <w:tcW w:w="3229" w:type="dxa"/>
            <w:vAlign w:val="top"/>
          </w:tcPr>
          <w:p w14:paraId="7464AEA4">
            <w:pPr>
              <w:pStyle w:val="6"/>
              <w:spacing w:before="304" w:line="239" w:lineRule="auto"/>
              <w:ind w:left="152" w:right="145"/>
              <w:rPr>
                <w:sz w:val="20"/>
                <w:szCs w:val="20"/>
              </w:rPr>
            </w:pPr>
            <w:r>
              <w:rPr>
                <w:spacing w:val="9"/>
                <w:sz w:val="20"/>
                <w:szCs w:val="20"/>
              </w:rPr>
              <w:t>项目不涉及饮用水源地保护区、</w:t>
            </w:r>
            <w:r>
              <w:rPr>
                <w:sz w:val="20"/>
                <w:szCs w:val="20"/>
              </w:rPr>
              <w:t xml:space="preserve"> </w:t>
            </w:r>
            <w:r>
              <w:rPr>
                <w:spacing w:val="9"/>
                <w:sz w:val="20"/>
                <w:szCs w:val="20"/>
              </w:rPr>
              <w:t>不涉及河道等，原则同意选址意</w:t>
            </w:r>
          </w:p>
          <w:p w14:paraId="177C314B">
            <w:pPr>
              <w:pStyle w:val="6"/>
              <w:spacing w:before="26" w:line="239" w:lineRule="auto"/>
              <w:ind w:left="256" w:right="145" w:hanging="104"/>
              <w:rPr>
                <w:sz w:val="20"/>
                <w:szCs w:val="20"/>
              </w:rPr>
            </w:pPr>
            <w:r>
              <w:rPr>
                <w:spacing w:val="9"/>
                <w:sz w:val="20"/>
                <w:szCs w:val="20"/>
              </w:rPr>
              <w:t>见，项目建设按规定办理水土保</w:t>
            </w:r>
            <w:r>
              <w:rPr>
                <w:sz w:val="20"/>
                <w:szCs w:val="20"/>
              </w:rPr>
              <w:t xml:space="preserve"> </w:t>
            </w:r>
            <w:r>
              <w:rPr>
                <w:spacing w:val="8"/>
                <w:sz w:val="20"/>
                <w:szCs w:val="20"/>
              </w:rPr>
              <w:t>持审批方案后方可开工建设。</w:t>
            </w:r>
          </w:p>
        </w:tc>
        <w:tc>
          <w:tcPr>
            <w:tcW w:w="3610" w:type="dxa"/>
            <w:vAlign w:val="top"/>
          </w:tcPr>
          <w:p w14:paraId="6DA62288">
            <w:pPr>
              <w:pStyle w:val="6"/>
              <w:spacing w:before="34" w:line="245" w:lineRule="auto"/>
              <w:ind w:left="134" w:right="121"/>
              <w:jc w:val="both"/>
              <w:rPr>
                <w:sz w:val="20"/>
                <w:szCs w:val="20"/>
              </w:rPr>
            </w:pPr>
            <w:r>
              <w:rPr>
                <w:spacing w:val="9"/>
                <w:sz w:val="20"/>
                <w:szCs w:val="20"/>
              </w:rPr>
              <w:t>现阶段，建设单位已委托有资质单位</w:t>
            </w:r>
            <w:r>
              <w:rPr>
                <w:spacing w:val="2"/>
                <w:sz w:val="20"/>
                <w:szCs w:val="20"/>
              </w:rPr>
              <w:t xml:space="preserve"> </w:t>
            </w:r>
            <w:r>
              <w:rPr>
                <w:spacing w:val="9"/>
                <w:sz w:val="20"/>
                <w:szCs w:val="20"/>
              </w:rPr>
              <w:t>编制《化桃箐光伏发电项目水土保持</w:t>
            </w:r>
            <w:r>
              <w:rPr>
                <w:spacing w:val="3"/>
                <w:sz w:val="20"/>
                <w:szCs w:val="20"/>
              </w:rPr>
              <w:t xml:space="preserve"> </w:t>
            </w:r>
            <w:r>
              <w:rPr>
                <w:spacing w:val="9"/>
                <w:sz w:val="20"/>
                <w:szCs w:val="20"/>
              </w:rPr>
              <w:t>方案报告书》，并按相关程序正在办</w:t>
            </w:r>
            <w:r>
              <w:rPr>
                <w:spacing w:val="3"/>
                <w:sz w:val="20"/>
                <w:szCs w:val="20"/>
              </w:rPr>
              <w:t xml:space="preserve"> </w:t>
            </w:r>
            <w:r>
              <w:rPr>
                <w:spacing w:val="9"/>
                <w:sz w:val="20"/>
                <w:szCs w:val="20"/>
              </w:rPr>
              <w:t>理审批手续。建设单位将严格按照水</w:t>
            </w:r>
          </w:p>
          <w:p w14:paraId="1062BEF0">
            <w:pPr>
              <w:pStyle w:val="6"/>
              <w:spacing w:before="24" w:line="228" w:lineRule="auto"/>
              <w:ind w:left="134"/>
              <w:rPr>
                <w:sz w:val="20"/>
                <w:szCs w:val="20"/>
              </w:rPr>
            </w:pPr>
            <w:r>
              <w:rPr>
                <w:spacing w:val="8"/>
                <w:sz w:val="20"/>
                <w:szCs w:val="20"/>
              </w:rPr>
              <w:t>保措施要求进行项目的建设和运行，</w:t>
            </w:r>
          </w:p>
          <w:p w14:paraId="7C2FC3E6">
            <w:pPr>
              <w:pStyle w:val="6"/>
              <w:spacing w:before="26" w:line="215" w:lineRule="auto"/>
              <w:ind w:left="662"/>
              <w:rPr>
                <w:sz w:val="20"/>
                <w:szCs w:val="20"/>
              </w:rPr>
            </w:pPr>
            <w:r>
              <w:rPr>
                <w:spacing w:val="7"/>
                <w:sz w:val="20"/>
                <w:szCs w:val="20"/>
              </w:rPr>
              <w:t>履行水土流失治理义务。</w:t>
            </w:r>
          </w:p>
        </w:tc>
        <w:tc>
          <w:tcPr>
            <w:tcW w:w="1222" w:type="dxa"/>
            <w:tcBorders>
              <w:right w:val="single" w:color="000000" w:sz="6" w:space="0"/>
            </w:tcBorders>
            <w:vAlign w:val="top"/>
          </w:tcPr>
          <w:p w14:paraId="12C1FDDD">
            <w:pPr>
              <w:spacing w:line="321" w:lineRule="auto"/>
              <w:rPr>
                <w:rFonts w:ascii="Arial"/>
                <w:sz w:val="21"/>
              </w:rPr>
            </w:pPr>
          </w:p>
          <w:p w14:paraId="11F4AD78">
            <w:pPr>
              <w:spacing w:line="322" w:lineRule="auto"/>
              <w:rPr>
                <w:rFonts w:ascii="Arial"/>
                <w:sz w:val="21"/>
              </w:rPr>
            </w:pPr>
          </w:p>
          <w:p w14:paraId="471FF639">
            <w:pPr>
              <w:pStyle w:val="6"/>
              <w:spacing w:before="65" w:line="228" w:lineRule="auto"/>
              <w:ind w:left="351"/>
              <w:rPr>
                <w:sz w:val="20"/>
                <w:szCs w:val="20"/>
              </w:rPr>
            </w:pPr>
            <w:r>
              <w:rPr>
                <w:spacing w:val="3"/>
                <w:sz w:val="20"/>
                <w:szCs w:val="20"/>
              </w:rPr>
              <w:t>符合</w:t>
            </w:r>
          </w:p>
        </w:tc>
      </w:tr>
      <w:tr w14:paraId="3731D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7" w:hRule="atLeast"/>
        </w:trPr>
        <w:tc>
          <w:tcPr>
            <w:tcW w:w="465" w:type="dxa"/>
            <w:vMerge w:val="continue"/>
            <w:tcBorders>
              <w:top w:val="nil"/>
              <w:left w:val="single" w:color="000000" w:sz="6" w:space="0"/>
              <w:bottom w:val="nil"/>
            </w:tcBorders>
            <w:vAlign w:val="top"/>
          </w:tcPr>
          <w:p w14:paraId="1E30C686">
            <w:pPr>
              <w:rPr>
                <w:rFonts w:ascii="Arial"/>
                <w:sz w:val="21"/>
              </w:rPr>
            </w:pPr>
          </w:p>
        </w:tc>
        <w:tc>
          <w:tcPr>
            <w:tcW w:w="117" w:type="dxa"/>
            <w:vMerge w:val="continue"/>
            <w:tcBorders>
              <w:top w:val="nil"/>
              <w:bottom w:val="nil"/>
            </w:tcBorders>
            <w:vAlign w:val="top"/>
          </w:tcPr>
          <w:p w14:paraId="1A3DB0A6">
            <w:pPr>
              <w:rPr>
                <w:rFonts w:ascii="Arial"/>
                <w:sz w:val="21"/>
              </w:rPr>
            </w:pPr>
          </w:p>
        </w:tc>
        <w:tc>
          <w:tcPr>
            <w:tcW w:w="481" w:type="dxa"/>
            <w:vAlign w:val="top"/>
          </w:tcPr>
          <w:p w14:paraId="493238E2">
            <w:pPr>
              <w:spacing w:line="319" w:lineRule="auto"/>
              <w:rPr>
                <w:rFonts w:ascii="Arial"/>
                <w:sz w:val="21"/>
              </w:rPr>
            </w:pPr>
          </w:p>
          <w:p w14:paraId="69F8556D">
            <w:pPr>
              <w:spacing w:line="319" w:lineRule="auto"/>
              <w:rPr>
                <w:rFonts w:ascii="Arial"/>
                <w:sz w:val="21"/>
              </w:rPr>
            </w:pPr>
          </w:p>
          <w:p w14:paraId="7FBD7205">
            <w:pPr>
              <w:spacing w:before="58" w:line="195" w:lineRule="auto"/>
              <w:ind w:left="1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53" w:type="dxa"/>
            <w:vAlign w:val="top"/>
          </w:tcPr>
          <w:p w14:paraId="2D569C53">
            <w:pPr>
              <w:pStyle w:val="6"/>
              <w:spacing w:before="119" w:line="228" w:lineRule="auto"/>
              <w:ind w:left="165"/>
              <w:rPr>
                <w:sz w:val="20"/>
                <w:szCs w:val="20"/>
              </w:rPr>
            </w:pPr>
            <w:r>
              <w:rPr>
                <w:spacing w:val="5"/>
                <w:sz w:val="20"/>
                <w:szCs w:val="20"/>
              </w:rPr>
              <w:t>寻甸回</w:t>
            </w:r>
          </w:p>
          <w:p w14:paraId="74E6BFC7">
            <w:pPr>
              <w:pStyle w:val="6"/>
              <w:spacing w:before="27" w:line="229" w:lineRule="auto"/>
              <w:ind w:left="160"/>
              <w:rPr>
                <w:sz w:val="20"/>
                <w:szCs w:val="20"/>
              </w:rPr>
            </w:pPr>
            <w:r>
              <w:rPr>
                <w:spacing w:val="7"/>
                <w:sz w:val="20"/>
                <w:szCs w:val="20"/>
              </w:rPr>
              <w:t>族彝族</w:t>
            </w:r>
          </w:p>
          <w:p w14:paraId="78552165">
            <w:pPr>
              <w:pStyle w:val="6"/>
              <w:spacing w:before="23" w:line="228" w:lineRule="auto"/>
              <w:ind w:left="195"/>
              <w:rPr>
                <w:sz w:val="20"/>
                <w:szCs w:val="20"/>
              </w:rPr>
            </w:pPr>
            <w:r>
              <w:rPr>
                <w:spacing w:val="-5"/>
                <w:sz w:val="20"/>
                <w:szCs w:val="20"/>
              </w:rPr>
              <w:t>自治县</w:t>
            </w:r>
          </w:p>
          <w:p w14:paraId="0F3B7F28">
            <w:pPr>
              <w:pStyle w:val="6"/>
              <w:spacing w:before="26" w:line="229" w:lineRule="auto"/>
              <w:ind w:left="163"/>
              <w:rPr>
                <w:sz w:val="20"/>
                <w:szCs w:val="20"/>
              </w:rPr>
            </w:pPr>
            <w:r>
              <w:rPr>
                <w:spacing w:val="6"/>
                <w:sz w:val="20"/>
                <w:szCs w:val="20"/>
              </w:rPr>
              <w:t>人民武</w:t>
            </w:r>
          </w:p>
          <w:p w14:paraId="43D205F9">
            <w:pPr>
              <w:pStyle w:val="6"/>
              <w:spacing w:before="22" w:line="228" w:lineRule="auto"/>
              <w:ind w:left="266"/>
              <w:rPr>
                <w:sz w:val="20"/>
                <w:szCs w:val="20"/>
              </w:rPr>
            </w:pPr>
            <w:r>
              <w:rPr>
                <w:spacing w:val="4"/>
                <w:sz w:val="20"/>
                <w:szCs w:val="20"/>
              </w:rPr>
              <w:t>装部</w:t>
            </w:r>
          </w:p>
        </w:tc>
        <w:tc>
          <w:tcPr>
            <w:tcW w:w="3229" w:type="dxa"/>
            <w:vAlign w:val="top"/>
          </w:tcPr>
          <w:p w14:paraId="3C71BC02">
            <w:pPr>
              <w:spacing w:line="297" w:lineRule="auto"/>
              <w:rPr>
                <w:rFonts w:ascii="Arial"/>
                <w:sz w:val="21"/>
              </w:rPr>
            </w:pPr>
          </w:p>
          <w:p w14:paraId="5DBCE9C6">
            <w:pPr>
              <w:spacing w:line="298" w:lineRule="auto"/>
              <w:rPr>
                <w:rFonts w:ascii="Arial"/>
                <w:sz w:val="21"/>
              </w:rPr>
            </w:pPr>
          </w:p>
          <w:p w14:paraId="3D12E6AE">
            <w:pPr>
              <w:pStyle w:val="6"/>
              <w:spacing w:before="65" w:line="227" w:lineRule="auto"/>
              <w:ind w:left="258"/>
              <w:rPr>
                <w:sz w:val="20"/>
                <w:szCs w:val="20"/>
              </w:rPr>
            </w:pPr>
            <w:r>
              <w:rPr>
                <w:spacing w:val="8"/>
                <w:sz w:val="20"/>
                <w:szCs w:val="20"/>
              </w:rPr>
              <w:t>项目选址范围内无军事设施。</w:t>
            </w:r>
          </w:p>
        </w:tc>
        <w:tc>
          <w:tcPr>
            <w:tcW w:w="3610" w:type="dxa"/>
            <w:vAlign w:val="top"/>
          </w:tcPr>
          <w:p w14:paraId="7955E995">
            <w:pPr>
              <w:spacing w:line="459" w:lineRule="auto"/>
              <w:rPr>
                <w:rFonts w:ascii="Arial"/>
                <w:sz w:val="21"/>
              </w:rPr>
            </w:pPr>
          </w:p>
          <w:p w14:paraId="0FF0D377">
            <w:pPr>
              <w:pStyle w:val="6"/>
              <w:spacing w:before="65"/>
              <w:ind w:left="777" w:right="121" w:hanging="644"/>
              <w:rPr>
                <w:sz w:val="20"/>
                <w:szCs w:val="20"/>
              </w:rPr>
            </w:pPr>
            <w:r>
              <w:rPr>
                <w:spacing w:val="9"/>
                <w:sz w:val="20"/>
                <w:szCs w:val="20"/>
              </w:rPr>
              <w:t>根据意见和现场调查情况，项目所在</w:t>
            </w:r>
            <w:r>
              <w:rPr>
                <w:spacing w:val="4"/>
                <w:sz w:val="20"/>
                <w:szCs w:val="20"/>
              </w:rPr>
              <w:t xml:space="preserve"> </w:t>
            </w:r>
            <w:r>
              <w:rPr>
                <w:spacing w:val="6"/>
                <w:sz w:val="20"/>
                <w:szCs w:val="20"/>
              </w:rPr>
              <w:t>区域不涉及军事设施。</w:t>
            </w:r>
          </w:p>
        </w:tc>
        <w:tc>
          <w:tcPr>
            <w:tcW w:w="1222" w:type="dxa"/>
            <w:tcBorders>
              <w:right w:val="single" w:color="000000" w:sz="6" w:space="0"/>
            </w:tcBorders>
            <w:vAlign w:val="top"/>
          </w:tcPr>
          <w:p w14:paraId="7CC8E2B6">
            <w:pPr>
              <w:spacing w:line="297" w:lineRule="auto"/>
              <w:rPr>
                <w:rFonts w:ascii="Arial"/>
                <w:sz w:val="21"/>
              </w:rPr>
            </w:pPr>
          </w:p>
          <w:p w14:paraId="2BABF15F">
            <w:pPr>
              <w:spacing w:line="298" w:lineRule="auto"/>
              <w:rPr>
                <w:rFonts w:ascii="Arial"/>
                <w:sz w:val="21"/>
              </w:rPr>
            </w:pPr>
          </w:p>
          <w:p w14:paraId="0ACEB68F">
            <w:pPr>
              <w:pStyle w:val="6"/>
              <w:spacing w:before="65" w:line="228" w:lineRule="auto"/>
              <w:ind w:left="351"/>
              <w:rPr>
                <w:sz w:val="20"/>
                <w:szCs w:val="20"/>
              </w:rPr>
            </w:pPr>
            <w:r>
              <w:rPr>
                <w:spacing w:val="3"/>
                <w:sz w:val="20"/>
                <w:szCs w:val="20"/>
              </w:rPr>
              <w:t>符合</w:t>
            </w:r>
          </w:p>
        </w:tc>
      </w:tr>
      <w:tr w14:paraId="5E711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5" w:hRule="atLeast"/>
        </w:trPr>
        <w:tc>
          <w:tcPr>
            <w:tcW w:w="465" w:type="dxa"/>
            <w:vMerge w:val="continue"/>
            <w:tcBorders>
              <w:top w:val="nil"/>
              <w:left w:val="single" w:color="000000" w:sz="6" w:space="0"/>
              <w:bottom w:val="single" w:color="000000" w:sz="6" w:space="0"/>
            </w:tcBorders>
            <w:vAlign w:val="top"/>
          </w:tcPr>
          <w:p w14:paraId="5F9B4114">
            <w:pPr>
              <w:rPr>
                <w:rFonts w:ascii="Arial"/>
                <w:sz w:val="21"/>
              </w:rPr>
            </w:pPr>
          </w:p>
        </w:tc>
        <w:tc>
          <w:tcPr>
            <w:tcW w:w="9612" w:type="dxa"/>
            <w:gridSpan w:val="6"/>
            <w:tcBorders>
              <w:bottom w:val="single" w:color="000000" w:sz="6" w:space="0"/>
              <w:right w:val="single" w:color="000000" w:sz="6" w:space="0"/>
            </w:tcBorders>
            <w:vAlign w:val="top"/>
          </w:tcPr>
          <w:p w14:paraId="5583EFD6">
            <w:pPr>
              <w:pStyle w:val="6"/>
              <w:spacing w:before="40" w:line="219" w:lineRule="auto"/>
              <w:ind w:left="591"/>
            </w:pPr>
            <w:r>
              <w:rPr>
                <w:b/>
                <w:bCs/>
                <w:spacing w:val="-3"/>
              </w:rPr>
              <w:t>该场址从环境影响角度分析具有下列特点：</w:t>
            </w:r>
          </w:p>
          <w:p w14:paraId="15CB458D">
            <w:pPr>
              <w:pStyle w:val="6"/>
              <w:spacing w:before="181" w:line="219" w:lineRule="auto"/>
              <w:ind w:left="594"/>
            </w:pPr>
            <w:r>
              <w:rPr>
                <w:rFonts w:ascii="Times New Roman" w:hAnsi="Times New Roman" w:eastAsia="Times New Roman" w:cs="Times New Roman"/>
                <w:b/>
                <w:bCs/>
                <w:spacing w:val="-4"/>
              </w:rPr>
              <w:t>1</w:t>
            </w:r>
            <w:r>
              <w:rPr>
                <w:b/>
                <w:bCs/>
                <w:spacing w:val="-4"/>
              </w:rPr>
              <w:t>）环境制约因素：</w:t>
            </w:r>
          </w:p>
          <w:p w14:paraId="3F09E9F1">
            <w:pPr>
              <w:pStyle w:val="6"/>
              <w:spacing w:before="183" w:line="324" w:lineRule="auto"/>
              <w:ind w:left="106" w:right="102" w:firstLine="480"/>
            </w:pPr>
            <w:r>
              <w:rPr>
                <w:spacing w:val="1"/>
              </w:rPr>
              <w:t>①场址不涉及自然保护区、国家公园、风景名胜区、饮用水水源保护区</w:t>
            </w:r>
            <w:r>
              <w:t xml:space="preserve">等环境敏感区 </w:t>
            </w:r>
            <w:r>
              <w:rPr>
                <w:spacing w:val="1"/>
              </w:rPr>
              <w:t>制约因素，不占用生态保护红线，也不涉及永久基本农田，寻甸县自然</w:t>
            </w:r>
            <w:r>
              <w:t xml:space="preserve">资源局、寻甸县林 </w:t>
            </w:r>
            <w:r>
              <w:rPr>
                <w:spacing w:val="1"/>
              </w:rPr>
              <w:t>业和草原局、寻甸县水务局、寻甸回族彝族自治县人民武装部等部门均</w:t>
            </w:r>
            <w:r>
              <w:t xml:space="preserve">对选址方案进行了 </w:t>
            </w:r>
            <w:r>
              <w:rPr>
                <w:spacing w:val="-3"/>
              </w:rPr>
              <w:t>确认；</w:t>
            </w:r>
          </w:p>
          <w:p w14:paraId="1D85DF6E">
            <w:pPr>
              <w:pStyle w:val="6"/>
              <w:spacing w:before="182" w:line="288" w:lineRule="auto"/>
              <w:ind w:left="106" w:right="102" w:firstLine="479"/>
            </w:pPr>
            <w:r>
              <w:rPr>
                <w:spacing w:val="1"/>
              </w:rPr>
              <w:t>②场址区域动植物物种均为当地常见物种，除评价区域内无国家重点保护</w:t>
            </w:r>
            <w:r>
              <w:t>鸟类，不涉 及其他珍稀保护动植物及重要生境，项目建设不会造成当</w:t>
            </w:r>
            <w:r>
              <w:rPr>
                <w:spacing w:val="-1"/>
              </w:rPr>
              <w:t>地生态环境类型改变；</w:t>
            </w:r>
          </w:p>
          <w:p w14:paraId="06DA6C73">
            <w:pPr>
              <w:pStyle w:val="6"/>
              <w:spacing w:before="183" w:line="289" w:lineRule="auto"/>
              <w:ind w:left="112" w:right="102" w:firstLine="473"/>
            </w:pPr>
            <w:r>
              <w:rPr>
                <w:spacing w:val="1"/>
              </w:rPr>
              <w:t>③场址区域土地利用现状主要草地、林地、设施农用地、裸岩石砾地，不</w:t>
            </w:r>
            <w:r>
              <w:t xml:space="preserve">涉及自然资 </w:t>
            </w:r>
            <w:r>
              <w:rPr>
                <w:spacing w:val="-2"/>
              </w:rPr>
              <w:t>办发〔</w:t>
            </w:r>
            <w:r>
              <w:rPr>
                <w:rFonts w:ascii="Times New Roman" w:hAnsi="Times New Roman" w:eastAsia="Times New Roman" w:cs="Times New Roman"/>
                <w:spacing w:val="-2"/>
              </w:rPr>
              <w:t>2023</w:t>
            </w:r>
            <w:r>
              <w:rPr>
                <w:spacing w:val="-2"/>
              </w:rPr>
              <w:t>〕</w:t>
            </w:r>
            <w:r>
              <w:rPr>
                <w:rFonts w:ascii="Times New Roman" w:hAnsi="Times New Roman" w:eastAsia="Times New Roman" w:cs="Times New Roman"/>
                <w:spacing w:val="-2"/>
              </w:rPr>
              <w:t>12</w:t>
            </w:r>
            <w:r>
              <w:rPr>
                <w:rFonts w:ascii="Times New Roman" w:hAnsi="Times New Roman" w:eastAsia="Times New Roman" w:cs="Times New Roman"/>
                <w:spacing w:val="24"/>
                <w:w w:val="101"/>
              </w:rPr>
              <w:t xml:space="preserve"> </w:t>
            </w:r>
            <w:r>
              <w:rPr>
                <w:spacing w:val="-2"/>
              </w:rPr>
              <w:t>号中的禁止建设区域；</w:t>
            </w:r>
          </w:p>
          <w:p w14:paraId="30612A86">
            <w:pPr>
              <w:pStyle w:val="6"/>
              <w:spacing w:before="184" w:line="217" w:lineRule="auto"/>
              <w:ind w:left="585"/>
            </w:pPr>
            <w:r>
              <w:rPr>
                <w:spacing w:val="-1"/>
              </w:rPr>
              <w:t>④项目能实现土石方挖填平衡，不对外弃土。</w:t>
            </w:r>
          </w:p>
          <w:p w14:paraId="7E4A1AEF">
            <w:pPr>
              <w:pStyle w:val="6"/>
              <w:spacing w:before="183" w:line="220" w:lineRule="auto"/>
              <w:ind w:left="584"/>
            </w:pPr>
            <w:r>
              <w:rPr>
                <w:rFonts w:ascii="Times New Roman" w:hAnsi="Times New Roman" w:eastAsia="Times New Roman" w:cs="Times New Roman"/>
                <w:b/>
                <w:bCs/>
                <w:spacing w:val="-3"/>
              </w:rPr>
              <w:t>2</w:t>
            </w:r>
            <w:r>
              <w:rPr>
                <w:b/>
                <w:bCs/>
                <w:spacing w:val="-3"/>
              </w:rPr>
              <w:t>）环境影响程度：</w:t>
            </w:r>
          </w:p>
          <w:p w14:paraId="7641ECAF">
            <w:pPr>
              <w:pStyle w:val="6"/>
              <w:spacing w:before="182" w:line="217" w:lineRule="auto"/>
              <w:ind w:left="586"/>
            </w:pPr>
            <w:r>
              <w:t>①场址占地范围无居民分布，不涉及民房拆迁，</w:t>
            </w:r>
            <w:r>
              <w:rPr>
                <w:spacing w:val="-1"/>
              </w:rPr>
              <w:t>对周围居民影响较小；</w:t>
            </w:r>
          </w:p>
          <w:p w14:paraId="1CFF509B">
            <w:pPr>
              <w:pStyle w:val="6"/>
              <w:spacing w:before="186" w:line="288" w:lineRule="auto"/>
              <w:ind w:left="112" w:right="102" w:firstLine="473"/>
            </w:pPr>
            <w:r>
              <w:t>②项目声环境评价范围内分布有</w:t>
            </w:r>
            <w:r>
              <w:rPr>
                <w:spacing w:val="-45"/>
              </w:rPr>
              <w:t xml:space="preserve"> </w:t>
            </w:r>
            <w:r>
              <w:rPr>
                <w:rFonts w:ascii="Times New Roman" w:hAnsi="Times New Roman" w:eastAsia="Times New Roman" w:cs="Times New Roman"/>
              </w:rPr>
              <w:t>3</w:t>
            </w:r>
            <w:r>
              <w:rPr>
                <w:rFonts w:ascii="Times New Roman" w:hAnsi="Times New Roman" w:eastAsia="Times New Roman" w:cs="Times New Roman"/>
                <w:spacing w:val="17"/>
              </w:rPr>
              <w:t xml:space="preserve"> </w:t>
            </w:r>
            <w:r>
              <w:t xml:space="preserve">处敏感目标，根据预测分析，项目投运后产生的噪 </w:t>
            </w:r>
            <w:r>
              <w:rPr>
                <w:spacing w:val="-2"/>
              </w:rPr>
              <w:t>声能满足相应评价标准要求。</w:t>
            </w:r>
          </w:p>
          <w:p w14:paraId="7245CB46">
            <w:pPr>
              <w:pStyle w:val="6"/>
              <w:spacing w:before="184" w:line="219" w:lineRule="auto"/>
              <w:ind w:left="590"/>
            </w:pPr>
            <w:r>
              <w:t>综上所述，从环境制约因素和环境影响程度分析</w:t>
            </w:r>
            <w:r>
              <w:rPr>
                <w:spacing w:val="-1"/>
              </w:rPr>
              <w:t>，项目光伏电站场址选择合理。</w:t>
            </w:r>
          </w:p>
          <w:p w14:paraId="3BC2435F">
            <w:pPr>
              <w:pStyle w:val="6"/>
              <w:spacing w:before="181" w:line="219" w:lineRule="auto"/>
              <w:ind w:left="599"/>
            </w:pPr>
            <w:r>
              <w:rPr>
                <w:b/>
                <w:bCs/>
                <w:spacing w:val="-3"/>
              </w:rPr>
              <w:t>（</w:t>
            </w:r>
            <w:r>
              <w:rPr>
                <w:rFonts w:ascii="Times New Roman" w:hAnsi="Times New Roman" w:eastAsia="Times New Roman" w:cs="Times New Roman"/>
                <w:b/>
                <w:bCs/>
                <w:spacing w:val="-3"/>
              </w:rPr>
              <w:t>2</w:t>
            </w:r>
            <w:r>
              <w:rPr>
                <w:b/>
                <w:bCs/>
                <w:spacing w:val="-3"/>
              </w:rPr>
              <w:t>）总平面布置及环境合理性分析</w:t>
            </w:r>
          </w:p>
          <w:p w14:paraId="6AC10069">
            <w:pPr>
              <w:pStyle w:val="6"/>
              <w:spacing w:before="181" w:line="351" w:lineRule="auto"/>
              <w:ind w:left="107" w:right="41" w:firstLine="481"/>
              <w:jc w:val="both"/>
            </w:pPr>
            <w:r>
              <w:rPr>
                <w:spacing w:val="1"/>
              </w:rPr>
              <w:t>光伏电站总体布置主要依据当地地形地貌条件、居民分布和最大</w:t>
            </w:r>
            <w:r>
              <w:t xml:space="preserve">限度地利用各个阳坡 </w:t>
            </w:r>
            <w:r>
              <w:rPr>
                <w:spacing w:val="-4"/>
              </w:rPr>
              <w:t>坡地的太阳资源，并且避让周围树木、建筑物等遮挡物。项目新建</w:t>
            </w:r>
            <w:r>
              <w:rPr>
                <w:spacing w:val="-51"/>
              </w:rPr>
              <w:t xml:space="preserve"> </w:t>
            </w:r>
            <w:r>
              <w:rPr>
                <w:rFonts w:ascii="Times New Roman" w:hAnsi="Times New Roman" w:eastAsia="Times New Roman" w:cs="Times New Roman"/>
                <w:spacing w:val="-4"/>
              </w:rPr>
              <w:t xml:space="preserve">95.7MW </w:t>
            </w:r>
            <w:r>
              <w:rPr>
                <w:spacing w:val="-4"/>
              </w:rPr>
              <w:t>光</w:t>
            </w:r>
            <w:r>
              <w:rPr>
                <w:spacing w:val="-5"/>
              </w:rPr>
              <w:t>伏发电系统，</w:t>
            </w:r>
            <w:r>
              <w:t xml:space="preserve"> </w:t>
            </w:r>
            <w:r>
              <w:rPr>
                <w:spacing w:val="1"/>
              </w:rPr>
              <w:t>并新建</w:t>
            </w:r>
            <w:r>
              <w:rPr>
                <w:spacing w:val="-29"/>
              </w:rPr>
              <w:t xml:space="preserve"> </w:t>
            </w:r>
            <w:r>
              <w:rPr>
                <w:rFonts w:ascii="Times New Roman" w:hAnsi="Times New Roman" w:eastAsia="Times New Roman" w:cs="Times New Roman"/>
                <w:spacing w:val="1"/>
              </w:rPr>
              <w:t xml:space="preserve">1 </w:t>
            </w:r>
            <w:r>
              <w:rPr>
                <w:spacing w:val="1"/>
              </w:rPr>
              <w:t>个</w:t>
            </w:r>
            <w:r>
              <w:rPr>
                <w:spacing w:val="-53"/>
              </w:rPr>
              <w:t xml:space="preserve"> </w:t>
            </w:r>
            <w:r>
              <w:rPr>
                <w:rFonts w:ascii="Times New Roman" w:hAnsi="Times New Roman" w:eastAsia="Times New Roman" w:cs="Times New Roman"/>
                <w:spacing w:val="1"/>
              </w:rPr>
              <w:t>220</w:t>
            </w:r>
            <w:r>
              <w:rPr>
                <w:rFonts w:ascii="Times New Roman" w:hAnsi="Times New Roman" w:eastAsia="Times New Roman" w:cs="Times New Roman"/>
              </w:rPr>
              <w:t>kV</w:t>
            </w:r>
            <w:r>
              <w:rPr>
                <w:rFonts w:ascii="Times New Roman" w:hAnsi="Times New Roman" w:eastAsia="Times New Roman" w:cs="Times New Roman"/>
                <w:spacing w:val="16"/>
              </w:rPr>
              <w:t xml:space="preserve"> </w:t>
            </w:r>
            <w:r>
              <w:rPr>
                <w:spacing w:val="1"/>
              </w:rPr>
              <w:t>升压站。光伏发电系统包括</w:t>
            </w:r>
            <w:r>
              <w:rPr>
                <w:spacing w:val="-48"/>
              </w:rPr>
              <w:t xml:space="preserve"> </w:t>
            </w:r>
            <w:r>
              <w:rPr>
                <w:rFonts w:ascii="Times New Roman" w:hAnsi="Times New Roman" w:eastAsia="Times New Roman" w:cs="Times New Roman"/>
                <w:spacing w:val="1"/>
              </w:rPr>
              <w:t xml:space="preserve">37 </w:t>
            </w:r>
            <w:r>
              <w:rPr>
                <w:spacing w:val="1"/>
              </w:rPr>
              <w:t>个光伏阵列，总体呈</w:t>
            </w:r>
            <w:r>
              <w:t>东西布置，升压站</w:t>
            </w:r>
          </w:p>
        </w:tc>
      </w:tr>
    </w:tbl>
    <w:p w14:paraId="389D3C9B">
      <w:pPr>
        <w:rPr>
          <w:rFonts w:ascii="Arial"/>
          <w:sz w:val="21"/>
        </w:rPr>
      </w:pPr>
    </w:p>
    <w:p w14:paraId="4E3A25CD">
      <w:pPr>
        <w:rPr>
          <w:rFonts w:ascii="Arial" w:hAnsi="Arial" w:eastAsia="Arial" w:cs="Arial"/>
          <w:sz w:val="21"/>
          <w:szCs w:val="21"/>
        </w:rPr>
        <w:sectPr>
          <w:footerReference r:id="rId152" w:type="default"/>
          <w:pgSz w:w="11907" w:h="16840"/>
          <w:pgMar w:top="1431" w:right="907" w:bottom="1278" w:left="907" w:header="0" w:footer="1116" w:gutter="0"/>
          <w:cols w:space="720" w:num="1"/>
        </w:sectPr>
      </w:pPr>
    </w:p>
    <w:p w14:paraId="16829E04">
      <w:pPr>
        <w:spacing w:line="99" w:lineRule="exact"/>
      </w:pPr>
    </w:p>
    <w:tbl>
      <w:tblPr>
        <w:tblStyle w:val="5"/>
        <w:tblW w:w="10077"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0077"/>
      </w:tblGrid>
      <w:tr w14:paraId="2F53BCD5">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50" w:hRule="atLeast"/>
        </w:trPr>
        <w:tc>
          <w:tcPr>
            <w:tcW w:w="10077" w:type="dxa"/>
            <w:vAlign w:val="top"/>
          </w:tcPr>
          <w:p w14:paraId="675450F7">
            <w:pPr>
              <w:spacing w:line="43" w:lineRule="auto"/>
              <w:rPr>
                <w:rFonts w:ascii="Arial"/>
                <w:sz w:val="2"/>
              </w:rPr>
            </w:pPr>
            <w:r>
              <w:pict>
                <v:shape id="_x0000_s1084" o:spid="_x0000_s1084" style="position:absolute;left:0pt;margin-left:28.35pt;margin-top:434.3pt;height:247.5pt;width:0.5pt;mso-position-horizontal-relative:page;mso-position-vertical-relative:page;z-index:251731968;mso-width-relative:page;mso-height-relative:page;" filled="f" stroked="t" coordsize="10,4950" path="m4,0l4,4950e">
                  <v:fill on="f" focussize="0,0"/>
                  <v:stroke weight="0.48pt" color="#000000" miterlimit="2" joinstyle="bevel"/>
                  <v:imagedata o:title=""/>
                  <o:lock v:ext="edit"/>
                </v:shape>
              </w:pict>
            </w:r>
          </w:p>
          <w:tbl>
            <w:tblPr>
              <w:tblStyle w:val="5"/>
              <w:tblW w:w="9508" w:type="dxa"/>
              <w:tblInd w:w="4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0"/>
              <w:gridCol w:w="3367"/>
              <w:gridCol w:w="1041"/>
            </w:tblGrid>
            <w:tr w14:paraId="0969E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0" w:hRule="atLeast"/>
              </w:trPr>
              <w:tc>
                <w:tcPr>
                  <w:tcW w:w="9508" w:type="dxa"/>
                  <w:gridSpan w:val="3"/>
                  <w:tcBorders>
                    <w:top w:val="nil"/>
                    <w:right w:val="nil"/>
                  </w:tcBorders>
                  <w:vAlign w:val="top"/>
                </w:tcPr>
                <w:p w14:paraId="5E73A120">
                  <w:pPr>
                    <w:pStyle w:val="6"/>
                    <w:spacing w:before="24" w:line="219" w:lineRule="auto"/>
                    <w:ind w:left="116"/>
                  </w:pPr>
                  <w:r>
                    <w:rPr>
                      <w:spacing w:val="-2"/>
                    </w:rPr>
                    <w:t>位于光伏站区块</w:t>
                  </w:r>
                  <w:r>
                    <w:rPr>
                      <w:spacing w:val="-45"/>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38"/>
                      <w:w w:val="101"/>
                    </w:rPr>
                    <w:t xml:space="preserve"> </w:t>
                  </w:r>
                  <w:r>
                    <w:rPr>
                      <w:spacing w:val="-2"/>
                    </w:rPr>
                    <w:t>内东侧，集电线路均连接各个区块阵列和</w:t>
                  </w:r>
                  <w:r>
                    <w:rPr>
                      <w:spacing w:val="-3"/>
                    </w:rPr>
                    <w:t>升压站。</w:t>
                  </w:r>
                </w:p>
                <w:p w14:paraId="4D496F09">
                  <w:pPr>
                    <w:pStyle w:val="6"/>
                    <w:spacing w:before="183" w:line="219" w:lineRule="auto"/>
                    <w:ind w:left="600"/>
                  </w:pPr>
                  <w:r>
                    <w:rPr>
                      <w:b/>
                      <w:bCs/>
                      <w:spacing w:val="-3"/>
                    </w:rPr>
                    <w:t>该总平面布置从环境影响角度分析具有以下特点：</w:t>
                  </w:r>
                </w:p>
                <w:p w14:paraId="1B0F9980">
                  <w:pPr>
                    <w:pStyle w:val="6"/>
                    <w:spacing w:before="181" w:line="219" w:lineRule="auto"/>
                    <w:ind w:left="603"/>
                  </w:pPr>
                  <w:r>
                    <w:rPr>
                      <w:rFonts w:ascii="Times New Roman" w:hAnsi="Times New Roman" w:eastAsia="Times New Roman" w:cs="Times New Roman"/>
                      <w:b/>
                      <w:bCs/>
                      <w:spacing w:val="-4"/>
                    </w:rPr>
                    <w:t>1</w:t>
                  </w:r>
                  <w:r>
                    <w:rPr>
                      <w:b/>
                      <w:bCs/>
                      <w:spacing w:val="-4"/>
                    </w:rPr>
                    <w:t>）环境制约因素：</w:t>
                  </w:r>
                </w:p>
                <w:p w14:paraId="00151D8B">
                  <w:pPr>
                    <w:pStyle w:val="6"/>
                    <w:spacing w:before="183" w:line="288" w:lineRule="auto"/>
                    <w:ind w:left="115" w:firstLine="479"/>
                  </w:pPr>
                  <w:r>
                    <w:rPr>
                      <w:spacing w:val="1"/>
                    </w:rPr>
                    <w:t>①项目光伏阵列区占地类型为草地、设施农用地、裸岩石砾地，</w:t>
                  </w:r>
                  <w:r>
                    <w:t xml:space="preserve">避让了乔木林地、火 </w:t>
                  </w:r>
                  <w:r>
                    <w:rPr>
                      <w:spacing w:val="-1"/>
                    </w:rPr>
                    <w:t>烧迹地、未成林造地、覆盖度高于</w:t>
                  </w:r>
                  <w:r>
                    <w:rPr>
                      <w:spacing w:val="-42"/>
                    </w:rPr>
                    <w:t xml:space="preserve"> </w:t>
                  </w:r>
                  <w:r>
                    <w:rPr>
                      <w:rFonts w:ascii="Times New Roman" w:hAnsi="Times New Roman" w:eastAsia="Times New Roman" w:cs="Times New Roman"/>
                      <w:spacing w:val="-1"/>
                    </w:rPr>
                    <w:t>50%</w:t>
                  </w:r>
                  <w:r>
                    <w:rPr>
                      <w:spacing w:val="-1"/>
                    </w:rPr>
                    <w:t>的灌木林地等禁止建设区域；</w:t>
                  </w:r>
                </w:p>
                <w:p w14:paraId="67B9D661">
                  <w:pPr>
                    <w:pStyle w:val="6"/>
                    <w:spacing w:before="185" w:line="312" w:lineRule="auto"/>
                    <w:ind w:left="115" w:firstLine="478"/>
                  </w:pPr>
                  <w:r>
                    <w:rPr>
                      <w:spacing w:val="-1"/>
                    </w:rPr>
                    <w:t>②项目按照云自然资〔</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196</w:t>
                  </w:r>
                  <w:r>
                    <w:rPr>
                      <w:rFonts w:ascii="Times New Roman" w:hAnsi="Times New Roman" w:eastAsia="Times New Roman" w:cs="Times New Roman"/>
                      <w:spacing w:val="30"/>
                    </w:rPr>
                    <w:t xml:space="preserve"> </w:t>
                  </w:r>
                  <w:r>
                    <w:rPr>
                      <w:spacing w:val="-1"/>
                    </w:rPr>
                    <w:t>号文的要求，严格执行最低沿高于地面</w:t>
                  </w:r>
                  <w:r>
                    <w:rPr>
                      <w:spacing w:val="-52"/>
                    </w:rPr>
                    <w:t xml:space="preserve"> </w:t>
                  </w:r>
                  <w:r>
                    <w:rPr>
                      <w:rFonts w:ascii="Times New Roman" w:hAnsi="Times New Roman" w:eastAsia="Times New Roman" w:cs="Times New Roman"/>
                      <w:spacing w:val="-1"/>
                    </w:rPr>
                    <w:t>2.5m</w:t>
                  </w:r>
                  <w:r>
                    <w:rPr>
                      <w:rFonts w:ascii="Times New Roman" w:hAnsi="Times New Roman" w:eastAsia="Times New Roman" w:cs="Times New Roman"/>
                      <w:spacing w:val="-34"/>
                    </w:rPr>
                    <w:t xml:space="preserve"> </w:t>
                  </w:r>
                  <w:r>
                    <w:rPr>
                      <w:spacing w:val="-1"/>
                    </w:rPr>
                    <w:t>、桩基</w:t>
                  </w:r>
                  <w:r>
                    <w:t xml:space="preserve"> </w:t>
                  </w:r>
                  <w:r>
                    <w:rPr>
                      <w:spacing w:val="-1"/>
                    </w:rPr>
                    <w:t>间列间距大于</w:t>
                  </w:r>
                  <w:r>
                    <w:rPr>
                      <w:spacing w:val="-56"/>
                    </w:rPr>
                    <w:t xml:space="preserve"> </w:t>
                  </w:r>
                  <w:r>
                    <w:rPr>
                      <w:rFonts w:ascii="Times New Roman" w:hAnsi="Times New Roman" w:eastAsia="Times New Roman" w:cs="Times New Roman"/>
                      <w:spacing w:val="-1"/>
                    </w:rPr>
                    <w:t>4m</w:t>
                  </w:r>
                  <w:r>
                    <w:rPr>
                      <w:rFonts w:ascii="Times New Roman" w:hAnsi="Times New Roman" w:eastAsia="Times New Roman" w:cs="Times New Roman"/>
                      <w:spacing w:val="-33"/>
                    </w:rPr>
                    <w:t xml:space="preserve"> </w:t>
                  </w:r>
                  <w:r>
                    <w:rPr>
                      <w:spacing w:val="-1"/>
                    </w:rPr>
                    <w:t>、行间距大于</w:t>
                  </w:r>
                  <w:r>
                    <w:rPr>
                      <w:spacing w:val="-50"/>
                    </w:rPr>
                    <w:t xml:space="preserve"> </w:t>
                  </w:r>
                  <w:r>
                    <w:rPr>
                      <w:rFonts w:ascii="Times New Roman" w:hAnsi="Times New Roman" w:eastAsia="Times New Roman" w:cs="Times New Roman"/>
                      <w:spacing w:val="-1"/>
                    </w:rPr>
                    <w:t>6.5m</w:t>
                  </w:r>
                  <w:r>
                    <w:rPr>
                      <w:rFonts w:ascii="Times New Roman" w:hAnsi="Times New Roman" w:eastAsia="Times New Roman" w:cs="Times New Roman"/>
                      <w:spacing w:val="30"/>
                    </w:rPr>
                    <w:t xml:space="preserve"> </w:t>
                  </w:r>
                  <w:r>
                    <w:rPr>
                      <w:spacing w:val="-1"/>
                    </w:rPr>
                    <w:t>的架设要求，能最</w:t>
                  </w:r>
                  <w:r>
                    <w:rPr>
                      <w:spacing w:val="-2"/>
                    </w:rPr>
                    <w:t>大限度地保存药物生长条件，降低</w:t>
                  </w:r>
                  <w:r>
                    <w:t xml:space="preserve"> </w:t>
                  </w:r>
                  <w:r>
                    <w:rPr>
                      <w:spacing w:val="-1"/>
                    </w:rPr>
                    <w:t>对光伏面板下林草作物生长的影响。</w:t>
                  </w:r>
                </w:p>
                <w:p w14:paraId="15B8E575">
                  <w:pPr>
                    <w:pStyle w:val="6"/>
                    <w:spacing w:before="183" w:line="220" w:lineRule="auto"/>
                    <w:ind w:left="593"/>
                  </w:pPr>
                  <w:r>
                    <w:rPr>
                      <w:rFonts w:ascii="Times New Roman" w:hAnsi="Times New Roman" w:eastAsia="Times New Roman" w:cs="Times New Roman"/>
                      <w:b/>
                      <w:bCs/>
                      <w:spacing w:val="-3"/>
                    </w:rPr>
                    <w:t>2</w:t>
                  </w:r>
                  <w:r>
                    <w:rPr>
                      <w:b/>
                      <w:bCs/>
                      <w:spacing w:val="-3"/>
                    </w:rPr>
                    <w:t>）环境影响程度：</w:t>
                  </w:r>
                </w:p>
                <w:p w14:paraId="173DCDE0">
                  <w:pPr>
                    <w:pStyle w:val="6"/>
                    <w:spacing w:before="180" w:line="217" w:lineRule="auto"/>
                    <w:ind w:left="595"/>
                  </w:pPr>
                  <w:r>
                    <w:t>①项目场址占地范围内无居民分布，有利于降</w:t>
                  </w:r>
                  <w:r>
                    <w:rPr>
                      <w:spacing w:val="-1"/>
                    </w:rPr>
                    <w:t>低对周围居民的影响；</w:t>
                  </w:r>
                </w:p>
                <w:p w14:paraId="05A43887">
                  <w:pPr>
                    <w:pStyle w:val="6"/>
                    <w:spacing w:before="184" w:line="289" w:lineRule="auto"/>
                    <w:ind w:left="117" w:firstLine="476"/>
                  </w:pPr>
                  <w:r>
                    <w:rPr>
                      <w:spacing w:val="1"/>
                    </w:rPr>
                    <w:t>②项目采用林光互补建设方案，光伏组件支架较高，环境敏感目标</w:t>
                  </w:r>
                  <w:r>
                    <w:t xml:space="preserve">均不在光伏面板的 </w:t>
                  </w:r>
                  <w:r>
                    <w:rPr>
                      <w:spacing w:val="-1"/>
                    </w:rPr>
                    <w:t>反射光影响范围内，光伏面板反射光对环境敏感目标无影响；</w:t>
                  </w:r>
                </w:p>
                <w:p w14:paraId="6D1477C2">
                  <w:pPr>
                    <w:pStyle w:val="6"/>
                    <w:spacing w:before="185" w:line="288" w:lineRule="auto"/>
                    <w:ind w:left="119" w:firstLine="471"/>
                  </w:pPr>
                  <w:r>
                    <w:rPr>
                      <w:spacing w:val="-5"/>
                    </w:rPr>
                    <w:t>③根据预测分析，项目投运后产生的噪声和电磁</w:t>
                  </w:r>
                  <w:r>
                    <w:rPr>
                      <w:spacing w:val="-6"/>
                    </w:rPr>
                    <w:t>环境影响均能满足相应评价标准要求。</w:t>
                  </w:r>
                  <w:r>
                    <w:t xml:space="preserve"> </w:t>
                  </w:r>
                  <w:r>
                    <w:rPr>
                      <w:spacing w:val="-3"/>
                    </w:rPr>
                    <w:t>从环境制约因素和环境影响程度分析，项目光伏电站总平面布置合理。</w:t>
                  </w:r>
                </w:p>
                <w:p w14:paraId="4770BD5B">
                  <w:pPr>
                    <w:pStyle w:val="6"/>
                    <w:spacing w:before="183" w:line="220" w:lineRule="auto"/>
                    <w:ind w:left="593"/>
                  </w:pPr>
                  <w:r>
                    <w:rPr>
                      <w:rFonts w:ascii="Times New Roman" w:hAnsi="Times New Roman" w:eastAsia="Times New Roman" w:cs="Times New Roman"/>
                      <w:b/>
                      <w:bCs/>
                      <w:spacing w:val="-4"/>
                    </w:rPr>
                    <w:t>2</w:t>
                  </w:r>
                  <w:r>
                    <w:rPr>
                      <w:rFonts w:ascii="Times New Roman" w:hAnsi="Times New Roman" w:eastAsia="Times New Roman" w:cs="Times New Roman"/>
                      <w:b/>
                      <w:bCs/>
                      <w:spacing w:val="-31"/>
                    </w:rPr>
                    <w:t xml:space="preserve"> </w:t>
                  </w:r>
                  <w:r>
                    <w:rPr>
                      <w:b/>
                      <w:bCs/>
                      <w:spacing w:val="-4"/>
                    </w:rPr>
                    <w:t>、新建</w:t>
                  </w:r>
                  <w:r>
                    <w:rPr>
                      <w:spacing w:val="-54"/>
                    </w:rPr>
                    <w:t xml:space="preserve"> </w:t>
                  </w:r>
                  <w:r>
                    <w:rPr>
                      <w:rFonts w:ascii="Times New Roman" w:hAnsi="Times New Roman" w:eastAsia="Times New Roman" w:cs="Times New Roman"/>
                      <w:b/>
                      <w:bCs/>
                      <w:spacing w:val="-4"/>
                    </w:rPr>
                    <w:t xml:space="preserve">220kV </w:t>
                  </w:r>
                  <w:r>
                    <w:rPr>
                      <w:b/>
                      <w:bCs/>
                      <w:spacing w:val="-4"/>
                    </w:rPr>
                    <w:t>升压站</w:t>
                  </w:r>
                </w:p>
                <w:p w14:paraId="76583290">
                  <w:pPr>
                    <w:pStyle w:val="6"/>
                    <w:spacing w:before="180" w:line="220" w:lineRule="auto"/>
                    <w:ind w:left="608"/>
                  </w:pPr>
                  <w:r>
                    <w:rPr>
                      <w:b/>
                      <w:bCs/>
                      <w:spacing w:val="-4"/>
                    </w:rPr>
                    <w:t>（</w:t>
                  </w:r>
                  <w:r>
                    <w:rPr>
                      <w:rFonts w:ascii="Times New Roman" w:hAnsi="Times New Roman" w:eastAsia="Times New Roman" w:cs="Times New Roman"/>
                      <w:b/>
                      <w:bCs/>
                      <w:spacing w:val="-4"/>
                    </w:rPr>
                    <w:t>1</w:t>
                  </w:r>
                  <w:r>
                    <w:rPr>
                      <w:b/>
                      <w:bCs/>
                      <w:spacing w:val="-4"/>
                    </w:rPr>
                    <w:t>）站址选址合理性分析</w:t>
                  </w:r>
                </w:p>
                <w:p w14:paraId="138485FF">
                  <w:pPr>
                    <w:pStyle w:val="6"/>
                    <w:spacing w:before="182" w:line="219" w:lineRule="auto"/>
                    <w:jc w:val="right"/>
                  </w:pPr>
                  <w:r>
                    <w:rPr>
                      <w:spacing w:val="-2"/>
                    </w:rPr>
                    <w:t>根据《输变电建设项目环境保护技术要求》（</w:t>
                  </w:r>
                  <w:r>
                    <w:rPr>
                      <w:rFonts w:ascii="Times New Roman" w:hAnsi="Times New Roman" w:eastAsia="Times New Roman" w:cs="Times New Roman"/>
                      <w:spacing w:val="-2"/>
                    </w:rPr>
                    <w:t>HJ1113-2020</w:t>
                  </w:r>
                  <w:r>
                    <w:rPr>
                      <w:spacing w:val="1"/>
                    </w:rPr>
                    <w:t>），</w:t>
                  </w:r>
                  <w:r>
                    <w:rPr>
                      <w:spacing w:val="-2"/>
                    </w:rPr>
                    <w:t>项目升压站选址选线的</w:t>
                  </w:r>
                </w:p>
                <w:p w14:paraId="114899CF">
                  <w:pPr>
                    <w:pStyle w:val="6"/>
                    <w:spacing w:before="181" w:line="219" w:lineRule="auto"/>
                    <w:ind w:left="119"/>
                  </w:pPr>
                  <w:r>
                    <w:rPr>
                      <w:spacing w:val="-1"/>
                    </w:rPr>
                    <w:t>各项环境制约因素分析如下表</w:t>
                  </w:r>
                  <w:r>
                    <w:rPr>
                      <w:spacing w:val="-53"/>
                    </w:rPr>
                    <w:t xml:space="preserve"> </w:t>
                  </w:r>
                  <w:r>
                    <w:rPr>
                      <w:rFonts w:ascii="Times New Roman" w:hAnsi="Times New Roman" w:eastAsia="Times New Roman" w:cs="Times New Roman"/>
                      <w:spacing w:val="-1"/>
                    </w:rPr>
                    <w:t xml:space="preserve">4-22 </w:t>
                  </w:r>
                  <w:r>
                    <w:rPr>
                      <w:spacing w:val="-1"/>
                    </w:rPr>
                    <w:t>所示。</w:t>
                  </w:r>
                </w:p>
                <w:p w14:paraId="3AD05F91">
                  <w:pPr>
                    <w:pStyle w:val="6"/>
                    <w:spacing w:before="178" w:line="218" w:lineRule="auto"/>
                    <w:ind w:left="2488"/>
                    <w:rPr>
                      <w:sz w:val="20"/>
                      <w:szCs w:val="20"/>
                    </w:rPr>
                  </w:pPr>
                  <w:r>
                    <w:rPr>
                      <w:b/>
                      <w:bCs/>
                      <w:spacing w:val="6"/>
                      <w:sz w:val="20"/>
                      <w:szCs w:val="20"/>
                    </w:rPr>
                    <w:t>表</w:t>
                  </w:r>
                  <w:r>
                    <w:rPr>
                      <w:spacing w:val="-26"/>
                      <w:sz w:val="20"/>
                      <w:szCs w:val="20"/>
                    </w:rPr>
                    <w:t xml:space="preserve"> </w:t>
                  </w:r>
                  <w:r>
                    <w:rPr>
                      <w:rFonts w:ascii="Times New Roman" w:hAnsi="Times New Roman" w:eastAsia="Times New Roman" w:cs="Times New Roman"/>
                      <w:b/>
                      <w:bCs/>
                      <w:spacing w:val="6"/>
                      <w:sz w:val="20"/>
                      <w:szCs w:val="20"/>
                    </w:rPr>
                    <w:t xml:space="preserve">4-22    </w:t>
                  </w:r>
                  <w:r>
                    <w:rPr>
                      <w:b/>
                      <w:bCs/>
                      <w:spacing w:val="6"/>
                      <w:sz w:val="20"/>
                      <w:szCs w:val="20"/>
                    </w:rPr>
                    <w:t>项目升压站选址环境制约因素分析一览表</w:t>
                  </w:r>
                </w:p>
              </w:tc>
            </w:tr>
            <w:tr w14:paraId="0EA44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100" w:type="dxa"/>
                  <w:vAlign w:val="top"/>
                </w:tcPr>
                <w:p w14:paraId="2B77659C">
                  <w:pPr>
                    <w:pStyle w:val="6"/>
                    <w:spacing w:before="31" w:line="217" w:lineRule="auto"/>
                    <w:ind w:left="1347"/>
                    <w:rPr>
                      <w:sz w:val="20"/>
                      <w:szCs w:val="20"/>
                    </w:rPr>
                  </w:pPr>
                  <w:r>
                    <w:rPr>
                      <w:rFonts w:ascii="Times New Roman" w:hAnsi="Times New Roman" w:eastAsia="Times New Roman" w:cs="Times New Roman"/>
                      <w:b/>
                      <w:bCs/>
                      <w:sz w:val="20"/>
                      <w:szCs w:val="20"/>
                    </w:rPr>
                    <w:t>HJ</w:t>
                  </w:r>
                  <w:r>
                    <w:rPr>
                      <w:rFonts w:ascii="Times New Roman" w:hAnsi="Times New Roman" w:eastAsia="Times New Roman" w:cs="Times New Roman"/>
                      <w:b/>
                      <w:bCs/>
                      <w:spacing w:val="4"/>
                      <w:sz w:val="20"/>
                      <w:szCs w:val="20"/>
                    </w:rPr>
                    <w:t xml:space="preserve">1113-2020  </w:t>
                  </w:r>
                  <w:r>
                    <w:rPr>
                      <w:b/>
                      <w:bCs/>
                      <w:spacing w:val="4"/>
                      <w:sz w:val="20"/>
                      <w:szCs w:val="20"/>
                    </w:rPr>
                    <w:t>选址选线要求</w:t>
                  </w:r>
                </w:p>
              </w:tc>
              <w:tc>
                <w:tcPr>
                  <w:tcW w:w="3367" w:type="dxa"/>
                  <w:vAlign w:val="top"/>
                </w:tcPr>
                <w:p w14:paraId="49FB6EFF">
                  <w:pPr>
                    <w:pStyle w:val="6"/>
                    <w:spacing w:before="31" w:line="217" w:lineRule="auto"/>
                    <w:ind w:left="1062"/>
                    <w:rPr>
                      <w:sz w:val="20"/>
                      <w:szCs w:val="20"/>
                    </w:rPr>
                  </w:pPr>
                  <w:r>
                    <w:rPr>
                      <w:b/>
                      <w:bCs/>
                      <w:spacing w:val="6"/>
                      <w:sz w:val="20"/>
                      <w:szCs w:val="20"/>
                    </w:rPr>
                    <w:t>项目建设情况</w:t>
                  </w:r>
                </w:p>
              </w:tc>
              <w:tc>
                <w:tcPr>
                  <w:tcW w:w="1041" w:type="dxa"/>
                  <w:vAlign w:val="top"/>
                </w:tcPr>
                <w:p w14:paraId="506D613C">
                  <w:pPr>
                    <w:pStyle w:val="6"/>
                    <w:spacing w:before="31" w:line="217" w:lineRule="auto"/>
                    <w:ind w:left="211"/>
                    <w:rPr>
                      <w:sz w:val="20"/>
                      <w:szCs w:val="20"/>
                    </w:rPr>
                  </w:pPr>
                  <w:r>
                    <w:rPr>
                      <w:b/>
                      <w:bCs/>
                      <w:spacing w:val="5"/>
                      <w:sz w:val="20"/>
                      <w:szCs w:val="20"/>
                    </w:rPr>
                    <w:t>符合性</w:t>
                  </w:r>
                </w:p>
              </w:tc>
            </w:tr>
            <w:tr w14:paraId="565F7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5100" w:type="dxa"/>
                  <w:vAlign w:val="top"/>
                </w:tcPr>
                <w:p w14:paraId="661FF1A4">
                  <w:pPr>
                    <w:pStyle w:val="6"/>
                    <w:spacing w:before="31" w:line="247" w:lineRule="auto"/>
                    <w:ind w:left="229" w:right="105" w:firstLine="72"/>
                    <w:jc w:val="both"/>
                    <w:rPr>
                      <w:sz w:val="20"/>
                      <w:szCs w:val="20"/>
                    </w:rPr>
                  </w:pPr>
                  <w:r>
                    <w:rPr>
                      <w:spacing w:val="9"/>
                      <w:sz w:val="20"/>
                      <w:szCs w:val="20"/>
                    </w:rPr>
                    <w:t>输变电建设项目选址选线应符合生态保护红线管控</w:t>
                  </w:r>
                  <w:r>
                    <w:rPr>
                      <w:spacing w:val="11"/>
                      <w:sz w:val="20"/>
                      <w:szCs w:val="20"/>
                    </w:rPr>
                    <w:t xml:space="preserve"> </w:t>
                  </w:r>
                  <w:r>
                    <w:rPr>
                      <w:spacing w:val="6"/>
                      <w:sz w:val="20"/>
                      <w:szCs w:val="20"/>
                    </w:rPr>
                    <w:t>要求，避让自然保护区、饮用水水源保护区等环境敏</w:t>
                  </w:r>
                  <w:r>
                    <w:rPr>
                      <w:spacing w:val="18"/>
                      <w:sz w:val="20"/>
                      <w:szCs w:val="20"/>
                    </w:rPr>
                    <w:t xml:space="preserve"> </w:t>
                  </w:r>
                  <w:r>
                    <w:rPr>
                      <w:spacing w:val="6"/>
                      <w:sz w:val="20"/>
                      <w:szCs w:val="20"/>
                    </w:rPr>
                    <w:t>感区。确实因自然条件等因素限制无法避让自然保护</w:t>
                  </w:r>
                  <w:r>
                    <w:rPr>
                      <w:spacing w:val="18"/>
                      <w:sz w:val="20"/>
                      <w:szCs w:val="20"/>
                    </w:rPr>
                    <w:t xml:space="preserve"> </w:t>
                  </w:r>
                  <w:r>
                    <w:rPr>
                      <w:spacing w:val="6"/>
                      <w:sz w:val="20"/>
                      <w:szCs w:val="20"/>
                    </w:rPr>
                    <w:t>区实验区、饮用水水源二级保护区等环境敏感区的输</w:t>
                  </w:r>
                  <w:r>
                    <w:rPr>
                      <w:spacing w:val="18"/>
                      <w:sz w:val="20"/>
                      <w:szCs w:val="20"/>
                    </w:rPr>
                    <w:t xml:space="preserve"> </w:t>
                  </w:r>
                  <w:r>
                    <w:rPr>
                      <w:spacing w:val="7"/>
                      <w:sz w:val="20"/>
                      <w:szCs w:val="20"/>
                    </w:rPr>
                    <w:t>电线路，应在满足相关法律法规及管理要求的</w:t>
                  </w:r>
                  <w:r>
                    <w:rPr>
                      <w:spacing w:val="6"/>
                      <w:sz w:val="20"/>
                      <w:szCs w:val="20"/>
                    </w:rPr>
                    <w:t>前提下</w:t>
                  </w:r>
                  <w:r>
                    <w:rPr>
                      <w:sz w:val="20"/>
                      <w:szCs w:val="20"/>
                    </w:rPr>
                    <w:t xml:space="preserve"> </w:t>
                  </w:r>
                  <w:r>
                    <w:rPr>
                      <w:spacing w:val="12"/>
                      <w:sz w:val="20"/>
                      <w:szCs w:val="20"/>
                    </w:rPr>
                    <w:t>对线路方案进行唯一性论证，并采取无害化方式通</w:t>
                  </w:r>
                </w:p>
                <w:p w14:paraId="32CB6C27">
                  <w:pPr>
                    <w:pStyle w:val="6"/>
                    <w:spacing w:before="27" w:line="218" w:lineRule="auto"/>
                    <w:ind w:left="2403"/>
                    <w:rPr>
                      <w:sz w:val="20"/>
                      <w:szCs w:val="20"/>
                    </w:rPr>
                  </w:pPr>
                  <w:r>
                    <w:rPr>
                      <w:sz w:val="20"/>
                      <w:szCs w:val="20"/>
                    </w:rPr>
                    <w:t>过。</w:t>
                  </w:r>
                </w:p>
              </w:tc>
              <w:tc>
                <w:tcPr>
                  <w:tcW w:w="3367" w:type="dxa"/>
                  <w:vAlign w:val="top"/>
                </w:tcPr>
                <w:p w14:paraId="77040238">
                  <w:pPr>
                    <w:spacing w:line="253" w:lineRule="auto"/>
                    <w:rPr>
                      <w:rFonts w:ascii="Arial"/>
                      <w:sz w:val="21"/>
                    </w:rPr>
                  </w:pPr>
                </w:p>
                <w:p w14:paraId="5795F1DC">
                  <w:pPr>
                    <w:spacing w:line="254" w:lineRule="auto"/>
                    <w:rPr>
                      <w:rFonts w:ascii="Arial"/>
                      <w:sz w:val="21"/>
                    </w:rPr>
                  </w:pPr>
                </w:p>
                <w:p w14:paraId="794D9F2C">
                  <w:pPr>
                    <w:pStyle w:val="6"/>
                    <w:spacing w:before="65" w:line="228" w:lineRule="auto"/>
                    <w:ind w:left="119"/>
                    <w:rPr>
                      <w:sz w:val="20"/>
                      <w:szCs w:val="20"/>
                    </w:rPr>
                  </w:pPr>
                  <w:r>
                    <w:rPr>
                      <w:spacing w:val="9"/>
                      <w:sz w:val="20"/>
                      <w:szCs w:val="20"/>
                    </w:rPr>
                    <w:t>项目升压站、集电线路选址选线已</w:t>
                  </w:r>
                </w:p>
                <w:p w14:paraId="4D051ABF">
                  <w:pPr>
                    <w:pStyle w:val="6"/>
                    <w:spacing w:before="24"/>
                    <w:ind w:left="326" w:right="105" w:hanging="212"/>
                    <w:rPr>
                      <w:sz w:val="20"/>
                      <w:szCs w:val="20"/>
                    </w:rPr>
                  </w:pPr>
                  <w:r>
                    <w:rPr>
                      <w:spacing w:val="6"/>
                      <w:sz w:val="20"/>
                      <w:szCs w:val="20"/>
                    </w:rPr>
                    <w:t>避让生态红线、</w:t>
                  </w:r>
                  <w:r>
                    <w:rPr>
                      <w:spacing w:val="-49"/>
                      <w:sz w:val="20"/>
                      <w:szCs w:val="20"/>
                    </w:rPr>
                    <w:t xml:space="preserve"> </w:t>
                  </w:r>
                  <w:r>
                    <w:rPr>
                      <w:spacing w:val="6"/>
                      <w:sz w:val="20"/>
                      <w:szCs w:val="20"/>
                    </w:rPr>
                    <w:t>自然保护区、饮用</w:t>
                  </w:r>
                  <w:r>
                    <w:rPr>
                      <w:sz w:val="20"/>
                      <w:szCs w:val="20"/>
                    </w:rPr>
                    <w:t xml:space="preserve"> </w:t>
                  </w:r>
                  <w:r>
                    <w:rPr>
                      <w:spacing w:val="8"/>
                      <w:sz w:val="20"/>
                      <w:szCs w:val="20"/>
                    </w:rPr>
                    <w:t>水水源保护区等环境敏感区。</w:t>
                  </w:r>
                </w:p>
              </w:tc>
              <w:tc>
                <w:tcPr>
                  <w:tcW w:w="1041" w:type="dxa"/>
                  <w:vAlign w:val="top"/>
                </w:tcPr>
                <w:p w14:paraId="02CA1BA3">
                  <w:pPr>
                    <w:spacing w:line="258" w:lineRule="auto"/>
                    <w:rPr>
                      <w:rFonts w:ascii="Arial"/>
                      <w:sz w:val="21"/>
                    </w:rPr>
                  </w:pPr>
                </w:p>
                <w:p w14:paraId="35292698">
                  <w:pPr>
                    <w:spacing w:line="259" w:lineRule="auto"/>
                    <w:rPr>
                      <w:rFonts w:ascii="Arial"/>
                      <w:sz w:val="21"/>
                    </w:rPr>
                  </w:pPr>
                </w:p>
                <w:p w14:paraId="30AEA1EC">
                  <w:pPr>
                    <w:spacing w:line="259" w:lineRule="auto"/>
                    <w:rPr>
                      <w:rFonts w:ascii="Arial"/>
                      <w:sz w:val="21"/>
                    </w:rPr>
                  </w:pPr>
                </w:p>
                <w:p w14:paraId="2DF0CEC0">
                  <w:pPr>
                    <w:pStyle w:val="6"/>
                    <w:spacing w:before="65" w:line="228" w:lineRule="auto"/>
                    <w:ind w:left="316"/>
                    <w:rPr>
                      <w:sz w:val="20"/>
                      <w:szCs w:val="20"/>
                    </w:rPr>
                  </w:pPr>
                  <w:r>
                    <w:rPr>
                      <w:spacing w:val="3"/>
                      <w:sz w:val="20"/>
                      <w:szCs w:val="20"/>
                    </w:rPr>
                    <w:t>符合</w:t>
                  </w:r>
                </w:p>
              </w:tc>
            </w:tr>
            <w:tr w14:paraId="13766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100" w:type="dxa"/>
                  <w:vAlign w:val="top"/>
                </w:tcPr>
                <w:p w14:paraId="7175E0F9">
                  <w:pPr>
                    <w:pStyle w:val="6"/>
                    <w:spacing w:before="32" w:line="227" w:lineRule="auto"/>
                    <w:ind w:left="302"/>
                    <w:rPr>
                      <w:sz w:val="20"/>
                      <w:szCs w:val="20"/>
                    </w:rPr>
                  </w:pPr>
                  <w:r>
                    <w:rPr>
                      <w:spacing w:val="9"/>
                      <w:sz w:val="20"/>
                      <w:szCs w:val="20"/>
                    </w:rPr>
                    <w:t>变电工程在选址时应按终期规模综合考虑进出线走</w:t>
                  </w:r>
                </w:p>
                <w:p w14:paraId="420B3EEA">
                  <w:pPr>
                    <w:pStyle w:val="6"/>
                    <w:spacing w:before="24" w:line="235" w:lineRule="auto"/>
                    <w:ind w:left="1669" w:right="108" w:hanging="1440"/>
                    <w:rPr>
                      <w:sz w:val="20"/>
                      <w:szCs w:val="20"/>
                    </w:rPr>
                  </w:pPr>
                  <w:r>
                    <w:rPr>
                      <w:spacing w:val="6"/>
                      <w:sz w:val="20"/>
                      <w:szCs w:val="20"/>
                    </w:rPr>
                    <w:t>廊规划，避免进出线进入自然保护区、饮用水水源保</w:t>
                  </w:r>
                  <w:r>
                    <w:rPr>
                      <w:spacing w:val="18"/>
                      <w:sz w:val="20"/>
                      <w:szCs w:val="20"/>
                    </w:rPr>
                    <w:t xml:space="preserve"> </w:t>
                  </w:r>
                  <w:r>
                    <w:rPr>
                      <w:spacing w:val="7"/>
                      <w:sz w:val="20"/>
                      <w:szCs w:val="20"/>
                    </w:rPr>
                    <w:t>护区等环境敏感区。</w:t>
                  </w:r>
                </w:p>
              </w:tc>
              <w:tc>
                <w:tcPr>
                  <w:tcW w:w="3367" w:type="dxa"/>
                  <w:vAlign w:val="top"/>
                </w:tcPr>
                <w:p w14:paraId="2541451D">
                  <w:pPr>
                    <w:pStyle w:val="6"/>
                    <w:spacing w:before="31" w:line="228" w:lineRule="auto"/>
                    <w:ind w:left="119"/>
                    <w:rPr>
                      <w:sz w:val="20"/>
                      <w:szCs w:val="20"/>
                    </w:rPr>
                  </w:pPr>
                  <w:r>
                    <w:rPr>
                      <w:spacing w:val="9"/>
                      <w:sz w:val="20"/>
                      <w:szCs w:val="20"/>
                    </w:rPr>
                    <w:t>项目升压站、集电线路选址选线已</w:t>
                  </w:r>
                </w:p>
                <w:p w14:paraId="14742443">
                  <w:pPr>
                    <w:pStyle w:val="6"/>
                    <w:spacing w:before="23" w:line="235" w:lineRule="auto"/>
                    <w:ind w:left="865" w:right="105" w:hanging="751"/>
                    <w:rPr>
                      <w:sz w:val="20"/>
                      <w:szCs w:val="20"/>
                    </w:rPr>
                  </w:pPr>
                  <w:r>
                    <w:rPr>
                      <w:spacing w:val="9"/>
                      <w:sz w:val="20"/>
                      <w:szCs w:val="20"/>
                    </w:rPr>
                    <w:t>避让自然保护区、饮用水水源保护</w:t>
                  </w:r>
                  <w:r>
                    <w:rPr>
                      <w:spacing w:val="6"/>
                      <w:sz w:val="20"/>
                      <w:szCs w:val="20"/>
                    </w:rPr>
                    <w:t xml:space="preserve"> </w:t>
                  </w:r>
                  <w:r>
                    <w:rPr>
                      <w:spacing w:val="5"/>
                      <w:sz w:val="20"/>
                      <w:szCs w:val="20"/>
                    </w:rPr>
                    <w:t>区等环境敏感区。</w:t>
                  </w:r>
                </w:p>
              </w:tc>
              <w:tc>
                <w:tcPr>
                  <w:tcW w:w="1041" w:type="dxa"/>
                  <w:vAlign w:val="top"/>
                </w:tcPr>
                <w:p w14:paraId="3AAB3093">
                  <w:pPr>
                    <w:pStyle w:val="6"/>
                    <w:spacing w:before="303" w:line="228" w:lineRule="auto"/>
                    <w:ind w:left="316"/>
                    <w:rPr>
                      <w:sz w:val="20"/>
                      <w:szCs w:val="20"/>
                    </w:rPr>
                  </w:pPr>
                  <w:r>
                    <w:rPr>
                      <w:spacing w:val="3"/>
                      <w:sz w:val="20"/>
                      <w:szCs w:val="20"/>
                    </w:rPr>
                    <w:t>符合</w:t>
                  </w:r>
                </w:p>
              </w:tc>
            </w:tr>
            <w:tr w14:paraId="0ED4E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100" w:type="dxa"/>
                  <w:vAlign w:val="top"/>
                </w:tcPr>
                <w:p w14:paraId="19F383CD">
                  <w:pPr>
                    <w:pStyle w:val="6"/>
                    <w:spacing w:before="31" w:line="228" w:lineRule="auto"/>
                    <w:ind w:left="229"/>
                    <w:rPr>
                      <w:sz w:val="20"/>
                      <w:szCs w:val="20"/>
                    </w:rPr>
                  </w:pPr>
                  <w:r>
                    <w:rPr>
                      <w:spacing w:val="7"/>
                      <w:sz w:val="20"/>
                      <w:szCs w:val="20"/>
                    </w:rPr>
                    <w:t>户外变电工程及规划架空进出线选址选线时，</w:t>
                  </w:r>
                  <w:r>
                    <w:rPr>
                      <w:spacing w:val="6"/>
                      <w:sz w:val="20"/>
                      <w:szCs w:val="20"/>
                    </w:rPr>
                    <w:t>应关注</w:t>
                  </w:r>
                </w:p>
                <w:p w14:paraId="778EE5BE">
                  <w:pPr>
                    <w:pStyle w:val="6"/>
                    <w:spacing w:before="23" w:line="227" w:lineRule="auto"/>
                    <w:ind w:left="252"/>
                    <w:rPr>
                      <w:sz w:val="20"/>
                      <w:szCs w:val="20"/>
                    </w:rPr>
                  </w:pPr>
                  <w:r>
                    <w:rPr>
                      <w:spacing w:val="5"/>
                      <w:sz w:val="20"/>
                      <w:szCs w:val="20"/>
                    </w:rPr>
                    <w:t>以居住、医疗卫生、文化教育、科研、行政办公等为</w:t>
                  </w:r>
                </w:p>
                <w:p w14:paraId="5DE37A51">
                  <w:pPr>
                    <w:pStyle w:val="6"/>
                    <w:spacing w:before="27" w:line="235" w:lineRule="auto"/>
                    <w:ind w:left="2297" w:right="108" w:hanging="2067"/>
                    <w:rPr>
                      <w:sz w:val="20"/>
                      <w:szCs w:val="20"/>
                    </w:rPr>
                  </w:pPr>
                  <w:r>
                    <w:rPr>
                      <w:spacing w:val="6"/>
                      <w:sz w:val="20"/>
                      <w:szCs w:val="20"/>
                    </w:rPr>
                    <w:t>主要功能的区域，采取综合措施，减少电磁和声环境</w:t>
                  </w:r>
                  <w:r>
                    <w:rPr>
                      <w:spacing w:val="17"/>
                      <w:sz w:val="20"/>
                      <w:szCs w:val="20"/>
                    </w:rPr>
                    <w:t xml:space="preserve"> </w:t>
                  </w:r>
                  <w:r>
                    <w:rPr>
                      <w:spacing w:val="3"/>
                      <w:sz w:val="20"/>
                      <w:szCs w:val="20"/>
                    </w:rPr>
                    <w:t>影响。</w:t>
                  </w:r>
                </w:p>
              </w:tc>
              <w:tc>
                <w:tcPr>
                  <w:tcW w:w="3367" w:type="dxa"/>
                  <w:vAlign w:val="top"/>
                </w:tcPr>
                <w:p w14:paraId="2A46E11B">
                  <w:pPr>
                    <w:pStyle w:val="6"/>
                    <w:spacing w:before="31" w:line="243" w:lineRule="auto"/>
                    <w:ind w:left="115" w:right="105" w:firstLine="3"/>
                    <w:rPr>
                      <w:sz w:val="20"/>
                      <w:szCs w:val="20"/>
                    </w:rPr>
                  </w:pPr>
                  <w:r>
                    <w:rPr>
                      <w:spacing w:val="9"/>
                      <w:sz w:val="20"/>
                      <w:szCs w:val="20"/>
                    </w:rPr>
                    <w:t>项目升压站和直埋电缆选址选线不</w:t>
                  </w:r>
                  <w:r>
                    <w:rPr>
                      <w:spacing w:val="1"/>
                      <w:sz w:val="20"/>
                      <w:szCs w:val="20"/>
                    </w:rPr>
                    <w:t xml:space="preserve"> </w:t>
                  </w:r>
                  <w:r>
                    <w:rPr>
                      <w:spacing w:val="9"/>
                      <w:sz w:val="20"/>
                      <w:szCs w:val="20"/>
                    </w:rPr>
                    <w:t>涉及居住、医疗卫生、文化教育、</w:t>
                  </w:r>
                  <w:r>
                    <w:rPr>
                      <w:spacing w:val="4"/>
                      <w:sz w:val="20"/>
                      <w:szCs w:val="20"/>
                    </w:rPr>
                    <w:t xml:space="preserve"> </w:t>
                  </w:r>
                  <w:r>
                    <w:rPr>
                      <w:spacing w:val="9"/>
                      <w:sz w:val="20"/>
                      <w:szCs w:val="20"/>
                    </w:rPr>
                    <w:t>科研、行政办公等为主要功能的区</w:t>
                  </w:r>
                </w:p>
                <w:p w14:paraId="75E81F02">
                  <w:pPr>
                    <w:pStyle w:val="6"/>
                    <w:spacing w:before="27" w:line="217" w:lineRule="auto"/>
                    <w:ind w:left="1479"/>
                    <w:rPr>
                      <w:sz w:val="20"/>
                      <w:szCs w:val="20"/>
                    </w:rPr>
                  </w:pPr>
                  <w:r>
                    <w:rPr>
                      <w:sz w:val="20"/>
                      <w:szCs w:val="20"/>
                    </w:rPr>
                    <w:t>域。</w:t>
                  </w:r>
                </w:p>
              </w:tc>
              <w:tc>
                <w:tcPr>
                  <w:tcW w:w="1041" w:type="dxa"/>
                  <w:vAlign w:val="top"/>
                </w:tcPr>
                <w:p w14:paraId="35BAA8D1">
                  <w:pPr>
                    <w:spacing w:line="371" w:lineRule="auto"/>
                    <w:rPr>
                      <w:rFonts w:ascii="Arial"/>
                      <w:sz w:val="21"/>
                    </w:rPr>
                  </w:pPr>
                </w:p>
                <w:p w14:paraId="4E54527A">
                  <w:pPr>
                    <w:pStyle w:val="6"/>
                    <w:spacing w:before="65" w:line="228" w:lineRule="auto"/>
                    <w:ind w:left="316"/>
                    <w:rPr>
                      <w:sz w:val="20"/>
                      <w:szCs w:val="20"/>
                    </w:rPr>
                  </w:pPr>
                  <w:r>
                    <w:rPr>
                      <w:spacing w:val="3"/>
                      <w:sz w:val="20"/>
                      <w:szCs w:val="20"/>
                    </w:rPr>
                    <w:t>符合</w:t>
                  </w:r>
                </w:p>
              </w:tc>
            </w:tr>
            <w:tr w14:paraId="251DE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100" w:type="dxa"/>
                  <w:tcBorders>
                    <w:bottom w:val="nil"/>
                  </w:tcBorders>
                  <w:vAlign w:val="top"/>
                </w:tcPr>
                <w:p w14:paraId="41743601">
                  <w:pPr>
                    <w:pStyle w:val="6"/>
                    <w:spacing w:before="30" w:line="227" w:lineRule="auto"/>
                    <w:ind w:left="249"/>
                    <w:rPr>
                      <w:sz w:val="20"/>
                      <w:szCs w:val="20"/>
                    </w:rPr>
                  </w:pPr>
                  <w:r>
                    <w:rPr>
                      <w:spacing w:val="8"/>
                      <w:sz w:val="20"/>
                      <w:szCs w:val="20"/>
                    </w:rPr>
                    <w:t>同一走廊内的多回输电线路，宜采取同塔多回架设、</w:t>
                  </w:r>
                </w:p>
                <w:p w14:paraId="43AB7E4E">
                  <w:pPr>
                    <w:pStyle w:val="6"/>
                    <w:spacing w:before="27" w:line="239" w:lineRule="auto"/>
                    <w:ind w:left="1667" w:right="105" w:hanging="1434"/>
                    <w:rPr>
                      <w:sz w:val="20"/>
                      <w:szCs w:val="20"/>
                    </w:rPr>
                  </w:pPr>
                  <w:r>
                    <w:rPr>
                      <w:spacing w:val="6"/>
                      <w:sz w:val="20"/>
                      <w:szCs w:val="20"/>
                    </w:rPr>
                    <w:t>并行架设等形式，减少新开辟走廊，优化线路走廊间</w:t>
                  </w:r>
                  <w:r>
                    <w:rPr>
                      <w:spacing w:val="16"/>
                      <w:sz w:val="20"/>
                      <w:szCs w:val="20"/>
                    </w:rPr>
                    <w:t xml:space="preserve"> </w:t>
                  </w:r>
                  <w:r>
                    <w:rPr>
                      <w:spacing w:val="7"/>
                      <w:sz w:val="20"/>
                      <w:szCs w:val="20"/>
                    </w:rPr>
                    <w:t>距，降低环境影响。</w:t>
                  </w:r>
                </w:p>
              </w:tc>
              <w:tc>
                <w:tcPr>
                  <w:tcW w:w="3367" w:type="dxa"/>
                  <w:tcBorders>
                    <w:bottom w:val="nil"/>
                  </w:tcBorders>
                  <w:vAlign w:val="top"/>
                </w:tcPr>
                <w:p w14:paraId="62FF4903">
                  <w:pPr>
                    <w:pStyle w:val="6"/>
                    <w:spacing w:before="31" w:line="243" w:lineRule="auto"/>
                    <w:ind w:left="116" w:right="105" w:firstLine="2"/>
                    <w:rPr>
                      <w:sz w:val="20"/>
                      <w:szCs w:val="20"/>
                    </w:rPr>
                  </w:pPr>
                  <w:r>
                    <w:rPr>
                      <w:spacing w:val="9"/>
                      <w:sz w:val="20"/>
                      <w:szCs w:val="20"/>
                    </w:rPr>
                    <w:t>项目输电线路根据电气流程顺畅，</w:t>
                  </w:r>
                  <w:r>
                    <w:rPr>
                      <w:spacing w:val="1"/>
                      <w:sz w:val="20"/>
                      <w:szCs w:val="20"/>
                    </w:rPr>
                    <w:t xml:space="preserve"> </w:t>
                  </w:r>
                  <w:r>
                    <w:rPr>
                      <w:spacing w:val="9"/>
                      <w:sz w:val="20"/>
                      <w:szCs w:val="20"/>
                    </w:rPr>
                    <w:t>整体布局合理紧凑的原则采取同塔</w:t>
                  </w:r>
                  <w:r>
                    <w:rPr>
                      <w:spacing w:val="3"/>
                      <w:sz w:val="20"/>
                      <w:szCs w:val="20"/>
                    </w:rPr>
                    <w:t xml:space="preserve"> </w:t>
                  </w:r>
                  <w:r>
                    <w:rPr>
                      <w:spacing w:val="8"/>
                      <w:sz w:val="20"/>
                      <w:szCs w:val="20"/>
                    </w:rPr>
                    <w:t>多回架设、并行架设等形式布设，</w:t>
                  </w:r>
                </w:p>
              </w:tc>
              <w:tc>
                <w:tcPr>
                  <w:tcW w:w="1041" w:type="dxa"/>
                  <w:tcBorders>
                    <w:bottom w:val="nil"/>
                  </w:tcBorders>
                  <w:vAlign w:val="top"/>
                </w:tcPr>
                <w:p w14:paraId="40347B1A">
                  <w:pPr>
                    <w:pStyle w:val="6"/>
                    <w:spacing w:before="303" w:line="228" w:lineRule="auto"/>
                    <w:ind w:left="316"/>
                    <w:rPr>
                      <w:sz w:val="20"/>
                      <w:szCs w:val="20"/>
                    </w:rPr>
                  </w:pPr>
                  <w:r>
                    <w:rPr>
                      <w:spacing w:val="3"/>
                      <w:sz w:val="20"/>
                      <w:szCs w:val="20"/>
                    </w:rPr>
                    <w:t>符合</w:t>
                  </w:r>
                </w:p>
              </w:tc>
            </w:tr>
          </w:tbl>
          <w:p w14:paraId="6C3459A4">
            <w:pPr>
              <w:spacing w:line="14" w:lineRule="auto"/>
              <w:rPr>
                <w:rFonts w:ascii="Arial"/>
                <w:sz w:val="2"/>
              </w:rPr>
            </w:pPr>
          </w:p>
        </w:tc>
      </w:tr>
    </w:tbl>
    <w:p w14:paraId="6D86A8D3">
      <w:pPr>
        <w:rPr>
          <w:rFonts w:ascii="Arial"/>
          <w:sz w:val="21"/>
        </w:rPr>
      </w:pPr>
    </w:p>
    <w:p w14:paraId="2E1269F0">
      <w:pPr>
        <w:rPr>
          <w:rFonts w:ascii="Arial" w:hAnsi="Arial" w:eastAsia="Arial" w:cs="Arial"/>
          <w:sz w:val="21"/>
          <w:szCs w:val="21"/>
        </w:rPr>
        <w:sectPr>
          <w:footerReference r:id="rId153" w:type="default"/>
          <w:pgSz w:w="11907" w:h="16840"/>
          <w:pgMar w:top="1431" w:right="907" w:bottom="1278" w:left="907" w:header="0" w:footer="1116" w:gutter="0"/>
          <w:cols w:space="720" w:num="1"/>
        </w:sectPr>
      </w:pPr>
    </w:p>
    <w:p w14:paraId="5965CEB6">
      <w:pPr>
        <w:spacing w:line="99" w:lineRule="exact"/>
      </w:pPr>
    </w:p>
    <w:tbl>
      <w:tblPr>
        <w:tblStyle w:val="5"/>
        <w:tblW w:w="1007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0077"/>
      </w:tblGrid>
      <w:tr w14:paraId="71FACF33">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544" w:hRule="atLeast"/>
        </w:trPr>
        <w:tc>
          <w:tcPr>
            <w:tcW w:w="10077" w:type="dxa"/>
            <w:vAlign w:val="top"/>
          </w:tcPr>
          <w:tbl>
            <w:tblPr>
              <w:tblStyle w:val="5"/>
              <w:tblW w:w="9508" w:type="dxa"/>
              <w:tblInd w:w="4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0"/>
              <w:gridCol w:w="3367"/>
              <w:gridCol w:w="1041"/>
            </w:tblGrid>
            <w:tr w14:paraId="70C7D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5100" w:type="dxa"/>
                  <w:tcBorders>
                    <w:top w:val="nil"/>
                  </w:tcBorders>
                  <w:vAlign w:val="top"/>
                </w:tcPr>
                <w:p w14:paraId="00956690">
                  <w:pPr>
                    <w:rPr>
                      <w:rFonts w:ascii="Arial"/>
                      <w:sz w:val="21"/>
                    </w:rPr>
                  </w:pPr>
                </w:p>
              </w:tc>
              <w:tc>
                <w:tcPr>
                  <w:tcW w:w="3367" w:type="dxa"/>
                  <w:tcBorders>
                    <w:top w:val="nil"/>
                  </w:tcBorders>
                  <w:vAlign w:val="top"/>
                </w:tcPr>
                <w:p w14:paraId="68CBECAB">
                  <w:pPr>
                    <w:pStyle w:val="6"/>
                    <w:spacing w:before="41" w:line="216" w:lineRule="auto"/>
                    <w:ind w:left="866"/>
                    <w:rPr>
                      <w:sz w:val="20"/>
                      <w:szCs w:val="20"/>
                    </w:rPr>
                  </w:pPr>
                  <w:r>
                    <w:rPr>
                      <w:spacing w:val="5"/>
                      <w:sz w:val="20"/>
                      <w:szCs w:val="20"/>
                    </w:rPr>
                    <w:t>降低了环境影响。</w:t>
                  </w:r>
                </w:p>
              </w:tc>
              <w:tc>
                <w:tcPr>
                  <w:tcW w:w="1041" w:type="dxa"/>
                  <w:tcBorders>
                    <w:top w:val="nil"/>
                  </w:tcBorders>
                  <w:vAlign w:val="top"/>
                </w:tcPr>
                <w:p w14:paraId="413766F0">
                  <w:pPr>
                    <w:rPr>
                      <w:rFonts w:ascii="Arial"/>
                      <w:sz w:val="21"/>
                    </w:rPr>
                  </w:pPr>
                </w:p>
              </w:tc>
            </w:tr>
            <w:tr w14:paraId="7D05B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100" w:type="dxa"/>
                  <w:vAlign w:val="top"/>
                </w:tcPr>
                <w:p w14:paraId="337968E9">
                  <w:pPr>
                    <w:pStyle w:val="6"/>
                    <w:spacing w:before="165" w:line="228" w:lineRule="auto"/>
                    <w:ind w:left="413"/>
                    <w:rPr>
                      <w:sz w:val="20"/>
                      <w:szCs w:val="20"/>
                    </w:rPr>
                  </w:pPr>
                  <w:r>
                    <w:rPr>
                      <w:spacing w:val="8"/>
                      <w:sz w:val="20"/>
                      <w:szCs w:val="20"/>
                    </w:rPr>
                    <w:t>原则上避免在</w:t>
                  </w:r>
                  <w:r>
                    <w:rPr>
                      <w:spacing w:val="-40"/>
                      <w:sz w:val="20"/>
                      <w:szCs w:val="20"/>
                    </w:rPr>
                    <w:t xml:space="preserve"> </w:t>
                  </w:r>
                  <w:r>
                    <w:rPr>
                      <w:rFonts w:ascii="Times New Roman" w:hAnsi="Times New Roman" w:eastAsia="Times New Roman" w:cs="Times New Roman"/>
                      <w:spacing w:val="8"/>
                      <w:sz w:val="20"/>
                      <w:szCs w:val="20"/>
                    </w:rPr>
                    <w:t xml:space="preserve">0 </w:t>
                  </w:r>
                  <w:r>
                    <w:rPr>
                      <w:spacing w:val="8"/>
                      <w:sz w:val="20"/>
                      <w:szCs w:val="20"/>
                    </w:rPr>
                    <w:t>类声环境功能区建设变电</w:t>
                  </w:r>
                  <w:r>
                    <w:rPr>
                      <w:spacing w:val="7"/>
                      <w:sz w:val="20"/>
                      <w:szCs w:val="20"/>
                    </w:rPr>
                    <w:t>工程。</w:t>
                  </w:r>
                </w:p>
              </w:tc>
              <w:tc>
                <w:tcPr>
                  <w:tcW w:w="3367" w:type="dxa"/>
                  <w:vAlign w:val="top"/>
                </w:tcPr>
                <w:p w14:paraId="0C139F8B">
                  <w:pPr>
                    <w:pStyle w:val="6"/>
                    <w:spacing w:before="30" w:line="235" w:lineRule="auto"/>
                    <w:ind w:left="1494" w:right="107" w:hanging="1375"/>
                    <w:rPr>
                      <w:sz w:val="20"/>
                      <w:szCs w:val="20"/>
                    </w:rPr>
                  </w:pPr>
                  <w:r>
                    <w:rPr>
                      <w:spacing w:val="7"/>
                      <w:sz w:val="20"/>
                      <w:szCs w:val="20"/>
                    </w:rPr>
                    <w:t>项目升压站不涉及</w:t>
                  </w:r>
                  <w:r>
                    <w:rPr>
                      <w:spacing w:val="-28"/>
                      <w:sz w:val="20"/>
                      <w:szCs w:val="20"/>
                    </w:rPr>
                    <w:t xml:space="preserve"> </w:t>
                  </w:r>
                  <w:r>
                    <w:rPr>
                      <w:rFonts w:ascii="Times New Roman" w:hAnsi="Times New Roman" w:eastAsia="Times New Roman" w:cs="Times New Roman"/>
                      <w:spacing w:val="7"/>
                      <w:sz w:val="20"/>
                      <w:szCs w:val="20"/>
                    </w:rPr>
                    <w:t xml:space="preserve">0 </w:t>
                  </w:r>
                  <w:r>
                    <w:rPr>
                      <w:spacing w:val="7"/>
                      <w:sz w:val="20"/>
                      <w:szCs w:val="20"/>
                    </w:rPr>
                    <w:t>类声环境功能</w:t>
                  </w:r>
                  <w:r>
                    <w:rPr>
                      <w:sz w:val="20"/>
                      <w:szCs w:val="20"/>
                    </w:rPr>
                    <w:t xml:space="preserve"> </w:t>
                  </w:r>
                  <w:r>
                    <w:rPr>
                      <w:spacing w:val="-8"/>
                      <w:sz w:val="20"/>
                      <w:szCs w:val="20"/>
                    </w:rPr>
                    <w:t>区。</w:t>
                  </w:r>
                </w:p>
              </w:tc>
              <w:tc>
                <w:tcPr>
                  <w:tcW w:w="1041" w:type="dxa"/>
                  <w:vAlign w:val="top"/>
                </w:tcPr>
                <w:p w14:paraId="23864CE3">
                  <w:pPr>
                    <w:pStyle w:val="6"/>
                    <w:spacing w:before="165" w:line="228" w:lineRule="auto"/>
                    <w:ind w:left="316"/>
                    <w:rPr>
                      <w:sz w:val="20"/>
                      <w:szCs w:val="20"/>
                    </w:rPr>
                  </w:pPr>
                  <w:r>
                    <w:rPr>
                      <w:spacing w:val="3"/>
                      <w:sz w:val="20"/>
                      <w:szCs w:val="20"/>
                    </w:rPr>
                    <w:t>符合</w:t>
                  </w:r>
                </w:p>
              </w:tc>
            </w:tr>
            <w:tr w14:paraId="311AB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100" w:type="dxa"/>
                  <w:vAlign w:val="top"/>
                </w:tcPr>
                <w:p w14:paraId="5E1F5543">
                  <w:pPr>
                    <w:pStyle w:val="6"/>
                    <w:spacing w:before="167" w:line="239" w:lineRule="auto"/>
                    <w:ind w:left="299" w:right="105" w:hanging="71"/>
                    <w:rPr>
                      <w:sz w:val="20"/>
                      <w:szCs w:val="20"/>
                    </w:rPr>
                  </w:pPr>
                  <w:r>
                    <w:rPr>
                      <w:spacing w:val="7"/>
                      <w:sz w:val="20"/>
                      <w:szCs w:val="20"/>
                    </w:rPr>
                    <w:t>变电工程选址时，应综合考虑减少土地占用、植</w:t>
                  </w:r>
                  <w:r>
                    <w:rPr>
                      <w:spacing w:val="6"/>
                      <w:sz w:val="20"/>
                      <w:szCs w:val="20"/>
                    </w:rPr>
                    <w:t>被砍</w:t>
                  </w:r>
                  <w:r>
                    <w:rPr>
                      <w:sz w:val="20"/>
                      <w:szCs w:val="20"/>
                    </w:rPr>
                    <w:t xml:space="preserve"> </w:t>
                  </w:r>
                  <w:r>
                    <w:rPr>
                      <w:spacing w:val="7"/>
                      <w:sz w:val="20"/>
                      <w:szCs w:val="20"/>
                    </w:rPr>
                    <w:t>伐和弃土弃渣等，</w:t>
                  </w:r>
                  <w:r>
                    <w:rPr>
                      <w:spacing w:val="-52"/>
                      <w:sz w:val="20"/>
                      <w:szCs w:val="20"/>
                    </w:rPr>
                    <w:t xml:space="preserve"> </w:t>
                  </w:r>
                  <w:r>
                    <w:rPr>
                      <w:spacing w:val="7"/>
                      <w:sz w:val="20"/>
                      <w:szCs w:val="20"/>
                    </w:rPr>
                    <w:t>以减少对生态环境的不利影响。</w:t>
                  </w:r>
                </w:p>
              </w:tc>
              <w:tc>
                <w:tcPr>
                  <w:tcW w:w="3367" w:type="dxa"/>
                  <w:vAlign w:val="top"/>
                </w:tcPr>
                <w:p w14:paraId="0BB3144F">
                  <w:pPr>
                    <w:pStyle w:val="6"/>
                    <w:spacing w:before="30" w:line="227" w:lineRule="auto"/>
                    <w:ind w:left="119"/>
                    <w:rPr>
                      <w:sz w:val="20"/>
                      <w:szCs w:val="20"/>
                    </w:rPr>
                  </w:pPr>
                  <w:r>
                    <w:rPr>
                      <w:spacing w:val="9"/>
                      <w:sz w:val="20"/>
                      <w:szCs w:val="20"/>
                    </w:rPr>
                    <w:t>项目升压站总体布局紧凑，通过落</w:t>
                  </w:r>
                </w:p>
                <w:p w14:paraId="2E5AC815">
                  <w:pPr>
                    <w:pStyle w:val="6"/>
                    <w:spacing w:before="27" w:line="234" w:lineRule="auto"/>
                    <w:ind w:left="1163" w:right="105" w:hanging="1043"/>
                    <w:rPr>
                      <w:sz w:val="20"/>
                      <w:szCs w:val="20"/>
                    </w:rPr>
                  </w:pPr>
                  <w:r>
                    <w:rPr>
                      <w:spacing w:val="9"/>
                      <w:sz w:val="20"/>
                      <w:szCs w:val="20"/>
                    </w:rPr>
                    <w:t>实环评提出的各项措施，生态环境</w:t>
                  </w:r>
                  <w:r>
                    <w:rPr>
                      <w:sz w:val="20"/>
                      <w:szCs w:val="20"/>
                    </w:rPr>
                    <w:t xml:space="preserve"> </w:t>
                  </w:r>
                  <w:r>
                    <w:rPr>
                      <w:spacing w:val="5"/>
                      <w:sz w:val="20"/>
                      <w:szCs w:val="20"/>
                    </w:rPr>
                    <w:t>影响较小。</w:t>
                  </w:r>
                </w:p>
              </w:tc>
              <w:tc>
                <w:tcPr>
                  <w:tcW w:w="1041" w:type="dxa"/>
                  <w:vAlign w:val="top"/>
                </w:tcPr>
                <w:p w14:paraId="6E3EF15E">
                  <w:pPr>
                    <w:pStyle w:val="6"/>
                    <w:spacing w:before="303" w:line="228" w:lineRule="auto"/>
                    <w:ind w:left="316"/>
                    <w:rPr>
                      <w:sz w:val="20"/>
                      <w:szCs w:val="20"/>
                    </w:rPr>
                  </w:pPr>
                  <w:r>
                    <w:rPr>
                      <w:spacing w:val="3"/>
                      <w:sz w:val="20"/>
                      <w:szCs w:val="20"/>
                    </w:rPr>
                    <w:t>符合</w:t>
                  </w:r>
                </w:p>
              </w:tc>
            </w:tr>
            <w:tr w14:paraId="6A22F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100" w:type="dxa"/>
                  <w:vAlign w:val="top"/>
                </w:tcPr>
                <w:p w14:paraId="6841A2F3">
                  <w:pPr>
                    <w:pStyle w:val="6"/>
                    <w:spacing w:before="32" w:line="234" w:lineRule="auto"/>
                    <w:ind w:left="2191" w:right="105" w:hanging="1964"/>
                    <w:rPr>
                      <w:sz w:val="20"/>
                      <w:szCs w:val="20"/>
                    </w:rPr>
                  </w:pPr>
                  <w:r>
                    <w:rPr>
                      <w:spacing w:val="7"/>
                      <w:sz w:val="20"/>
                      <w:szCs w:val="20"/>
                    </w:rPr>
                    <w:t>输电线路宜避让集中林区，以减少林木砍伐，保护生</w:t>
                  </w:r>
                  <w:r>
                    <w:rPr>
                      <w:sz w:val="20"/>
                      <w:szCs w:val="20"/>
                    </w:rPr>
                    <w:t xml:space="preserve"> </w:t>
                  </w:r>
                  <w:r>
                    <w:rPr>
                      <w:spacing w:val="5"/>
                      <w:sz w:val="20"/>
                      <w:szCs w:val="20"/>
                    </w:rPr>
                    <w:t>态环境。</w:t>
                  </w:r>
                </w:p>
              </w:tc>
              <w:tc>
                <w:tcPr>
                  <w:tcW w:w="3367" w:type="dxa"/>
                  <w:vAlign w:val="top"/>
                </w:tcPr>
                <w:p w14:paraId="24E012D2">
                  <w:pPr>
                    <w:pStyle w:val="6"/>
                    <w:spacing w:before="32" w:line="234" w:lineRule="auto"/>
                    <w:ind w:left="759" w:right="213" w:hanging="537"/>
                    <w:rPr>
                      <w:sz w:val="20"/>
                      <w:szCs w:val="20"/>
                    </w:rPr>
                  </w:pPr>
                  <w:r>
                    <w:rPr>
                      <w:spacing w:val="9"/>
                      <w:sz w:val="20"/>
                      <w:szCs w:val="20"/>
                    </w:rPr>
                    <w:t>项目输电线路布置避让了集中林</w:t>
                  </w:r>
                  <w:r>
                    <w:rPr>
                      <w:sz w:val="20"/>
                      <w:szCs w:val="20"/>
                    </w:rPr>
                    <w:t xml:space="preserve"> </w:t>
                  </w:r>
                  <w:r>
                    <w:rPr>
                      <w:spacing w:val="6"/>
                      <w:sz w:val="20"/>
                      <w:szCs w:val="20"/>
                    </w:rPr>
                    <w:t>区，减少林木砍伐。</w:t>
                  </w:r>
                </w:p>
              </w:tc>
              <w:tc>
                <w:tcPr>
                  <w:tcW w:w="1041" w:type="dxa"/>
                  <w:vAlign w:val="top"/>
                </w:tcPr>
                <w:p w14:paraId="1AEEC5FC">
                  <w:pPr>
                    <w:pStyle w:val="6"/>
                    <w:spacing w:before="166" w:line="228" w:lineRule="auto"/>
                    <w:ind w:left="316"/>
                    <w:rPr>
                      <w:sz w:val="20"/>
                      <w:szCs w:val="20"/>
                    </w:rPr>
                  </w:pPr>
                  <w:r>
                    <w:rPr>
                      <w:spacing w:val="3"/>
                      <w:sz w:val="20"/>
                      <w:szCs w:val="20"/>
                    </w:rPr>
                    <w:t>符合</w:t>
                  </w:r>
                </w:p>
              </w:tc>
            </w:tr>
            <w:tr w14:paraId="0404D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00" w:type="dxa"/>
                  <w:vAlign w:val="top"/>
                </w:tcPr>
                <w:p w14:paraId="5731E20C">
                  <w:pPr>
                    <w:pStyle w:val="6"/>
                    <w:spacing w:before="32" w:line="234" w:lineRule="auto"/>
                    <w:ind w:left="409" w:right="117" w:hanging="173"/>
                    <w:rPr>
                      <w:sz w:val="20"/>
                      <w:szCs w:val="20"/>
                    </w:rPr>
                  </w:pPr>
                  <w:r>
                    <w:rPr>
                      <w:spacing w:val="8"/>
                      <w:sz w:val="20"/>
                      <w:szCs w:val="20"/>
                    </w:rPr>
                    <w:t>进入自然保护区的输电线路，应按照</w:t>
                  </w:r>
                  <w:r>
                    <w:rPr>
                      <w:spacing w:val="-38"/>
                      <w:sz w:val="20"/>
                      <w:szCs w:val="20"/>
                    </w:rPr>
                    <w:t xml:space="preserve"> </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19</w:t>
                  </w:r>
                  <w:r>
                    <w:rPr>
                      <w:rFonts w:ascii="Times New Roman" w:hAnsi="Times New Roman" w:eastAsia="Times New Roman" w:cs="Times New Roman"/>
                      <w:spacing w:val="29"/>
                      <w:w w:val="101"/>
                      <w:sz w:val="20"/>
                      <w:szCs w:val="20"/>
                    </w:rPr>
                    <w:t xml:space="preserve"> </w:t>
                  </w:r>
                  <w:r>
                    <w:rPr>
                      <w:spacing w:val="8"/>
                      <w:sz w:val="20"/>
                      <w:szCs w:val="20"/>
                    </w:rPr>
                    <w:t>的要求开</w:t>
                  </w:r>
                  <w:r>
                    <w:rPr>
                      <w:sz w:val="20"/>
                      <w:szCs w:val="20"/>
                    </w:rPr>
                    <w:t xml:space="preserve"> </w:t>
                  </w:r>
                  <w:r>
                    <w:rPr>
                      <w:spacing w:val="8"/>
                      <w:sz w:val="20"/>
                      <w:szCs w:val="20"/>
                    </w:rPr>
                    <w:t>展生态现状调查，避让保护对象的集中分布区。</w:t>
                  </w:r>
                </w:p>
              </w:tc>
              <w:tc>
                <w:tcPr>
                  <w:tcW w:w="3367" w:type="dxa"/>
                  <w:vAlign w:val="top"/>
                </w:tcPr>
                <w:p w14:paraId="44AF8D8F">
                  <w:pPr>
                    <w:pStyle w:val="6"/>
                    <w:spacing w:before="30" w:line="228" w:lineRule="auto"/>
                    <w:ind w:left="119"/>
                    <w:rPr>
                      <w:sz w:val="20"/>
                      <w:szCs w:val="20"/>
                    </w:rPr>
                  </w:pPr>
                  <w:r>
                    <w:rPr>
                      <w:spacing w:val="8"/>
                      <w:sz w:val="20"/>
                      <w:szCs w:val="20"/>
                    </w:rPr>
                    <w:t>项目集电线路已避让自然保护区，</w:t>
                  </w:r>
                </w:p>
                <w:p w14:paraId="4009E761">
                  <w:pPr>
                    <w:pStyle w:val="6"/>
                    <w:spacing w:before="24" w:line="218" w:lineRule="auto"/>
                    <w:ind w:left="959"/>
                    <w:rPr>
                      <w:sz w:val="20"/>
                      <w:szCs w:val="20"/>
                    </w:rPr>
                  </w:pPr>
                  <w:r>
                    <w:rPr>
                      <w:spacing w:val="6"/>
                      <w:sz w:val="20"/>
                      <w:szCs w:val="20"/>
                    </w:rPr>
                    <w:t>不进入保护区。</w:t>
                  </w:r>
                </w:p>
              </w:tc>
              <w:tc>
                <w:tcPr>
                  <w:tcW w:w="1041" w:type="dxa"/>
                  <w:vAlign w:val="top"/>
                </w:tcPr>
                <w:p w14:paraId="50B151D3">
                  <w:pPr>
                    <w:pStyle w:val="6"/>
                    <w:spacing w:before="165" w:line="228" w:lineRule="auto"/>
                    <w:ind w:left="316"/>
                    <w:rPr>
                      <w:sz w:val="20"/>
                      <w:szCs w:val="20"/>
                    </w:rPr>
                  </w:pPr>
                  <w:r>
                    <w:rPr>
                      <w:spacing w:val="3"/>
                      <w:sz w:val="20"/>
                      <w:szCs w:val="20"/>
                    </w:rPr>
                    <w:t>符合</w:t>
                  </w:r>
                </w:p>
              </w:tc>
            </w:tr>
            <w:tr w14:paraId="7D99E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51" w:hRule="atLeast"/>
              </w:trPr>
              <w:tc>
                <w:tcPr>
                  <w:tcW w:w="9508" w:type="dxa"/>
                  <w:gridSpan w:val="3"/>
                  <w:tcBorders>
                    <w:bottom w:val="nil"/>
                    <w:right w:val="nil"/>
                  </w:tcBorders>
                  <w:vAlign w:val="top"/>
                </w:tcPr>
                <w:p w14:paraId="62D8D396">
                  <w:pPr>
                    <w:pStyle w:val="6"/>
                    <w:spacing w:before="34" w:line="347" w:lineRule="auto"/>
                    <w:ind w:left="116" w:firstLine="482"/>
                  </w:pPr>
                  <w:r>
                    <w:rPr>
                      <w:spacing w:val="-6"/>
                    </w:rPr>
                    <w:t>综上，升压站选址时综合考虑了减少土地占用、植被砍伐和弃土弃渣等因素，符合《输</w:t>
                  </w:r>
                  <w:r>
                    <w:rPr>
                      <w:spacing w:val="12"/>
                    </w:rPr>
                    <w:t xml:space="preserve"> </w:t>
                  </w:r>
                  <w:r>
                    <w:rPr>
                      <w:spacing w:val="-2"/>
                    </w:rPr>
                    <w:t>变电建设项目环境保护技术要求》（</w:t>
                  </w:r>
                  <w:r>
                    <w:rPr>
                      <w:rFonts w:ascii="Times New Roman" w:hAnsi="Times New Roman" w:eastAsia="Times New Roman" w:cs="Times New Roman"/>
                      <w:spacing w:val="-2"/>
                    </w:rPr>
                    <w:t>HJ</w:t>
                  </w:r>
                  <w:r>
                    <w:rPr>
                      <w:rFonts w:ascii="Times New Roman" w:hAnsi="Times New Roman" w:eastAsia="Times New Roman" w:cs="Times New Roman"/>
                      <w:spacing w:val="31"/>
                      <w:w w:val="101"/>
                    </w:rPr>
                    <w:t xml:space="preserve"> </w:t>
                  </w:r>
                  <w:r>
                    <w:rPr>
                      <w:rFonts w:ascii="Times New Roman" w:hAnsi="Times New Roman" w:eastAsia="Times New Roman" w:cs="Times New Roman"/>
                      <w:spacing w:val="-2"/>
                    </w:rPr>
                    <w:t>1113-2020</w:t>
                  </w:r>
                  <w:r>
                    <w:rPr>
                      <w:spacing w:val="-2"/>
                    </w:rPr>
                    <w:t>）的要求</w:t>
                  </w:r>
                </w:p>
                <w:p w14:paraId="7AE0CF20">
                  <w:pPr>
                    <w:pStyle w:val="6"/>
                    <w:spacing w:before="31" w:line="219" w:lineRule="auto"/>
                    <w:ind w:left="608"/>
                  </w:pPr>
                  <w:r>
                    <w:rPr>
                      <w:b/>
                      <w:bCs/>
                      <w:spacing w:val="-4"/>
                    </w:rPr>
                    <w:t>（</w:t>
                  </w:r>
                  <w:r>
                    <w:rPr>
                      <w:rFonts w:ascii="Times New Roman" w:hAnsi="Times New Roman" w:eastAsia="Times New Roman" w:cs="Times New Roman"/>
                      <w:b/>
                      <w:bCs/>
                      <w:spacing w:val="-4"/>
                    </w:rPr>
                    <w:t>2</w:t>
                  </w:r>
                  <w:r>
                    <w:rPr>
                      <w:b/>
                      <w:bCs/>
                      <w:spacing w:val="-4"/>
                    </w:rPr>
                    <w:t>）总平面布置合理性分析</w:t>
                  </w:r>
                </w:p>
                <w:p w14:paraId="45EE99C0">
                  <w:pPr>
                    <w:pStyle w:val="6"/>
                    <w:spacing w:before="183" w:line="352" w:lineRule="auto"/>
                    <w:ind w:left="119" w:firstLine="476"/>
                  </w:pPr>
                  <w:r>
                    <w:rPr>
                      <w:spacing w:val="-2"/>
                    </w:rPr>
                    <w:t>拟建的</w:t>
                  </w:r>
                  <w:r>
                    <w:rPr>
                      <w:spacing w:val="-38"/>
                    </w:rPr>
                    <w:t xml:space="preserve"> </w:t>
                  </w:r>
                  <w:r>
                    <w:rPr>
                      <w:rFonts w:ascii="Times New Roman" w:hAnsi="Times New Roman" w:eastAsia="Times New Roman" w:cs="Times New Roman"/>
                      <w:spacing w:val="-2"/>
                    </w:rPr>
                    <w:t xml:space="preserve">220kV </w:t>
                  </w:r>
                  <w:r>
                    <w:rPr>
                      <w:spacing w:val="-2"/>
                    </w:rPr>
                    <w:t>升压站位于光伏场区内区块</w:t>
                  </w:r>
                  <w:r>
                    <w:rPr>
                      <w:spacing w:val="-46"/>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18"/>
                    </w:rPr>
                    <w:t xml:space="preserve"> </w:t>
                  </w:r>
                  <w:r>
                    <w:rPr>
                      <w:spacing w:val="-2"/>
                    </w:rPr>
                    <w:t>东侧，生产区整体布置于升压站中部、南</w:t>
                  </w:r>
                  <w:r>
                    <w:t xml:space="preserve"> </w:t>
                  </w:r>
                  <w:r>
                    <w:rPr>
                      <w:spacing w:val="1"/>
                    </w:rPr>
                    <w:t>部，生活区布置与升压站北部。生活区布置有综合楼、</w:t>
                  </w:r>
                  <w:r>
                    <w:t xml:space="preserve">辅助用房及危废间，生活区四周适 </w:t>
                  </w:r>
                  <w:r>
                    <w:rPr>
                      <w:spacing w:val="1"/>
                    </w:rPr>
                    <w:t>当绿化；生产区中部布置主变一台、事故油池一座、主控</w:t>
                  </w:r>
                  <w:r>
                    <w:t>楼及</w:t>
                  </w:r>
                  <w:r>
                    <w:rPr>
                      <w:spacing w:val="-48"/>
                    </w:rPr>
                    <w:t xml:space="preserve"> </w:t>
                  </w:r>
                  <w:r>
                    <w:rPr>
                      <w:rFonts w:ascii="Times New Roman" w:hAnsi="Times New Roman" w:eastAsia="Times New Roman" w:cs="Times New Roman"/>
                    </w:rPr>
                    <w:t xml:space="preserve">35KV </w:t>
                  </w:r>
                  <w:r>
                    <w:t xml:space="preserve">配电室。升压站出线 </w:t>
                  </w:r>
                  <w:r>
                    <w:rPr>
                      <w:spacing w:val="-1"/>
                    </w:rPr>
                    <w:t>由东侧出线，各电气设备之间通过电缆沟连接。</w:t>
                  </w:r>
                </w:p>
                <w:p w14:paraId="6170D31D">
                  <w:pPr>
                    <w:pStyle w:val="6"/>
                    <w:spacing w:before="38" w:line="357" w:lineRule="auto"/>
                    <w:ind w:left="115" w:firstLine="477"/>
                  </w:pPr>
                  <w:r>
                    <w:rPr>
                      <w:spacing w:val="-2"/>
                    </w:rPr>
                    <w:t>升压站周围评价范围内无声环境敏感点和电磁环境敏感点，有利于降低主变对站外的</w:t>
                  </w:r>
                  <w:r>
                    <w:rPr>
                      <w:spacing w:val="6"/>
                    </w:rPr>
                    <w:t xml:space="preserve"> </w:t>
                  </w:r>
                  <w:r>
                    <w:rPr>
                      <w:spacing w:val="-7"/>
                    </w:rPr>
                    <w:t>电磁和噪声影响，符合《输变电建设项目环</w:t>
                  </w:r>
                  <w:r>
                    <w:rPr>
                      <w:spacing w:val="-8"/>
                    </w:rPr>
                    <w:t>境保护技术要求》（</w:t>
                  </w:r>
                  <w:r>
                    <w:rPr>
                      <w:rFonts w:ascii="Times New Roman" w:hAnsi="Times New Roman" w:eastAsia="Times New Roman" w:cs="Times New Roman"/>
                      <w:spacing w:val="-8"/>
                    </w:rPr>
                    <w:t>HJ</w:t>
                  </w:r>
                  <w:r>
                    <w:rPr>
                      <w:rFonts w:ascii="Times New Roman" w:hAnsi="Times New Roman" w:eastAsia="Times New Roman" w:cs="Times New Roman"/>
                      <w:spacing w:val="30"/>
                    </w:rPr>
                    <w:t xml:space="preserve"> </w:t>
                  </w:r>
                  <w:r>
                    <w:rPr>
                      <w:rFonts w:ascii="Times New Roman" w:hAnsi="Times New Roman" w:eastAsia="Times New Roman" w:cs="Times New Roman"/>
                      <w:spacing w:val="-8"/>
                    </w:rPr>
                    <w:t>1113-2020</w:t>
                  </w:r>
                  <w:r>
                    <w:rPr>
                      <w:spacing w:val="-8"/>
                    </w:rPr>
                    <w:t>）的要求</w:t>
                  </w:r>
                  <w:r>
                    <w:rPr>
                      <w:rFonts w:ascii="Times New Roman" w:hAnsi="Times New Roman" w:eastAsia="Times New Roman" w:cs="Times New Roman"/>
                      <w:spacing w:val="-8"/>
                    </w:rPr>
                    <w:t>“6.3.3</w:t>
                  </w:r>
                  <w:r>
                    <w:rPr>
                      <w:rFonts w:ascii="Times New Roman" w:hAnsi="Times New Roman" w:eastAsia="Times New Roman" w:cs="Times New Roman"/>
                    </w:rPr>
                    <w:t xml:space="preserve">  </w:t>
                  </w:r>
                  <w:r>
                    <w:rPr>
                      <w:spacing w:val="-2"/>
                    </w:rPr>
                    <w:t>户外升压站工程在设计过程中应进行平面布置优化，将主变压器等主要声源布置在站区中</w:t>
                  </w:r>
                  <w:r>
                    <w:rPr>
                      <w:spacing w:val="8"/>
                    </w:rPr>
                    <w:t xml:space="preserve"> </w:t>
                  </w:r>
                  <w:r>
                    <w:rPr>
                      <w:spacing w:val="-3"/>
                    </w:rPr>
                    <w:t>央区域或远离站外声环境敏感目标侧的区域</w:t>
                  </w:r>
                  <w:r>
                    <w:rPr>
                      <w:rFonts w:ascii="Times New Roman" w:hAnsi="Times New Roman" w:eastAsia="Times New Roman" w:cs="Times New Roman"/>
                      <w:spacing w:val="-3"/>
                    </w:rPr>
                    <w:t>”</w:t>
                  </w:r>
                  <w:r>
                    <w:rPr>
                      <w:spacing w:val="-3"/>
                    </w:rPr>
                    <w:t>；</w:t>
                  </w:r>
                  <w:r>
                    <w:rPr>
                      <w:rFonts w:ascii="Times New Roman" w:hAnsi="Times New Roman" w:eastAsia="Times New Roman" w:cs="Times New Roman"/>
                      <w:spacing w:val="-3"/>
                    </w:rPr>
                    <w:t xml:space="preserve">220kV </w:t>
                  </w:r>
                  <w:r>
                    <w:rPr>
                      <w:spacing w:val="-3"/>
                    </w:rPr>
                    <w:t>配电装置采用</w:t>
                  </w:r>
                  <w:r>
                    <w:rPr>
                      <w:rFonts w:ascii="Times New Roman" w:hAnsi="Times New Roman" w:eastAsia="Times New Roman" w:cs="Times New Roman"/>
                      <w:spacing w:val="-3"/>
                    </w:rPr>
                    <w:t xml:space="preserve">GIS </w:t>
                  </w:r>
                  <w:r>
                    <w:rPr>
                      <w:spacing w:val="-3"/>
                    </w:rPr>
                    <w:t>户外布置，产</w:t>
                  </w:r>
                  <w:r>
                    <w:rPr>
                      <w:spacing w:val="-4"/>
                    </w:rPr>
                    <w:t>生的</w:t>
                  </w:r>
                  <w:r>
                    <w:t xml:space="preserve"> </w:t>
                  </w:r>
                  <w:r>
                    <w:rPr>
                      <w:spacing w:val="-5"/>
                    </w:rPr>
                    <w:t>电磁环境影响较小；根据设计资料，本升压站内设置有</w:t>
                  </w:r>
                  <w:r>
                    <w:rPr>
                      <w:spacing w:val="-49"/>
                    </w:rPr>
                    <w:t xml:space="preserve"> </w:t>
                  </w:r>
                  <w:r>
                    <w:rPr>
                      <w:rFonts w:ascii="Times New Roman" w:hAnsi="Times New Roman" w:eastAsia="Times New Roman" w:cs="Times New Roman"/>
                      <w:spacing w:val="-5"/>
                    </w:rPr>
                    <w:t>50m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11"/>
                      <w:position w:val="8"/>
                      <w:sz w:val="15"/>
                      <w:szCs w:val="15"/>
                    </w:rPr>
                    <w:t xml:space="preserve"> </w:t>
                  </w:r>
                  <w:r>
                    <w:rPr>
                      <w:spacing w:val="-5"/>
                    </w:rPr>
                    <w:t>事故油池，能够</w:t>
                  </w:r>
                  <w:r>
                    <w:rPr>
                      <w:spacing w:val="-6"/>
                    </w:rPr>
                    <w:t>满足《火力发</w:t>
                  </w:r>
                  <w:r>
                    <w:t xml:space="preserve"> </w:t>
                  </w:r>
                  <w:r>
                    <w:rPr>
                      <w:spacing w:val="-5"/>
                    </w:rPr>
                    <w:t>电厂与变电站设计防火标准》（</w:t>
                  </w:r>
                  <w:r>
                    <w:rPr>
                      <w:rFonts w:ascii="Times New Roman" w:hAnsi="Times New Roman" w:eastAsia="Times New Roman" w:cs="Times New Roman"/>
                      <w:spacing w:val="-5"/>
                    </w:rPr>
                    <w:t>GB50229-2019</w:t>
                  </w:r>
                  <w:r>
                    <w:rPr>
                      <w:spacing w:val="-5"/>
                    </w:rPr>
                    <w:t>）中</w:t>
                  </w:r>
                  <w:r>
                    <w:rPr>
                      <w:rFonts w:ascii="Times New Roman" w:hAnsi="Times New Roman" w:eastAsia="Times New Roman" w:cs="Times New Roman"/>
                      <w:spacing w:val="-5"/>
                    </w:rPr>
                    <w:t>“</w:t>
                  </w:r>
                  <w:r>
                    <w:rPr>
                      <w:spacing w:val="-5"/>
                    </w:rPr>
                    <w:t>总事故贮油池的容量应按其接入的油量</w:t>
                  </w:r>
                  <w:r>
                    <w:t xml:space="preserve"> </w:t>
                  </w:r>
                  <w:r>
                    <w:rPr>
                      <w:spacing w:val="-4"/>
                    </w:rPr>
                    <w:t>最大的一台设备确定，并设置油水分离装置</w:t>
                  </w:r>
                  <w:r>
                    <w:rPr>
                      <w:rFonts w:ascii="Times New Roman" w:hAnsi="Times New Roman" w:eastAsia="Times New Roman" w:cs="Times New Roman"/>
                      <w:spacing w:val="-4"/>
                    </w:rPr>
                    <w:t>”</w:t>
                  </w:r>
                  <w:r>
                    <w:rPr>
                      <w:spacing w:val="-4"/>
                    </w:rPr>
                    <w:t>的要求</w:t>
                  </w:r>
                  <w:r>
                    <w:rPr>
                      <w:spacing w:val="-5"/>
                    </w:rPr>
                    <w:t>，同时事故油池具备油水分离功能，具</w:t>
                  </w:r>
                  <w:r>
                    <w:t xml:space="preserve"> </w:t>
                  </w:r>
                  <w:r>
                    <w:rPr>
                      <w:spacing w:val="-2"/>
                    </w:rPr>
                    <w:t>有防渗漏、防水等功能，并设置了呼吸孔，安装了防护罩，能够防杂质落入，能满足《危</w:t>
                  </w:r>
                  <w:r>
                    <w:rPr>
                      <w:spacing w:val="8"/>
                    </w:rPr>
                    <w:t xml:space="preserve"> </w:t>
                  </w:r>
                  <w:r>
                    <w:t>险废物贮存污染控制标准》（</w:t>
                  </w:r>
                  <w:r>
                    <w:rPr>
                      <w:rFonts w:ascii="Times New Roman" w:hAnsi="Times New Roman" w:eastAsia="Times New Roman" w:cs="Times New Roman"/>
                    </w:rPr>
                    <w:t>GB</w:t>
                  </w:r>
                  <w:r>
                    <w:rPr>
                      <w:rFonts w:ascii="Times New Roman" w:hAnsi="Times New Roman" w:eastAsia="Times New Roman" w:cs="Times New Roman"/>
                      <w:spacing w:val="49"/>
                    </w:rPr>
                    <w:t xml:space="preserve"> </w:t>
                  </w:r>
                  <w:r>
                    <w:rPr>
                      <w:rFonts w:ascii="Times New Roman" w:hAnsi="Times New Roman" w:eastAsia="Times New Roman" w:cs="Times New Roman"/>
                    </w:rPr>
                    <w:t>18597-2023</w:t>
                  </w:r>
                  <w:r>
                    <w:t xml:space="preserve">）、《火力发电厂与变电站设计防火标准》  </w:t>
                  </w:r>
                  <w:r>
                    <w:rPr>
                      <w:spacing w:val="-2"/>
                    </w:rPr>
                    <w:t>（</w:t>
                  </w:r>
                  <w:r>
                    <w:rPr>
                      <w:rFonts w:ascii="Times New Roman" w:hAnsi="Times New Roman" w:eastAsia="Times New Roman" w:cs="Times New Roman"/>
                      <w:spacing w:val="-2"/>
                    </w:rPr>
                    <w:t>GB50229-2019</w:t>
                  </w:r>
                  <w:r>
                    <w:rPr>
                      <w:spacing w:val="-2"/>
                    </w:rPr>
                    <w:t>）、《输变电建设</w:t>
                  </w:r>
                  <w:r>
                    <w:rPr>
                      <w:spacing w:val="-3"/>
                    </w:rPr>
                    <w:t>项目环境保护技术要求》（</w:t>
                  </w:r>
                  <w:r>
                    <w:rPr>
                      <w:rFonts w:ascii="Times New Roman" w:hAnsi="Times New Roman" w:eastAsia="Times New Roman" w:cs="Times New Roman"/>
                      <w:spacing w:val="-3"/>
                    </w:rPr>
                    <w:t>HJ1113-2020</w:t>
                  </w:r>
                  <w:r>
                    <w:rPr>
                      <w:spacing w:val="-3"/>
                    </w:rPr>
                    <w:t>）等相关要求；</w:t>
                  </w:r>
                  <w:r>
                    <w:t xml:space="preserve"> </w:t>
                  </w:r>
                  <w:r>
                    <w:rPr>
                      <w:spacing w:val="-7"/>
                    </w:rPr>
                    <w:t>升压站内食堂废水和其他生活污水采用化粪池（</w:t>
                  </w:r>
                  <w:r>
                    <w:rPr>
                      <w:rFonts w:ascii="Times New Roman" w:hAnsi="Times New Roman" w:eastAsia="Times New Roman" w:cs="Times New Roman"/>
                      <w:spacing w:val="-7"/>
                    </w:rPr>
                    <w:t>1</w:t>
                  </w:r>
                  <w:r>
                    <w:rPr>
                      <w:spacing w:val="-7"/>
                    </w:rPr>
                    <w:t>个，</w:t>
                  </w:r>
                  <w:r>
                    <w:rPr>
                      <w:rFonts w:ascii="Times New Roman" w:hAnsi="Times New Roman" w:eastAsia="Times New Roman" w:cs="Times New Roman"/>
                      <w:spacing w:val="-7"/>
                    </w:rPr>
                    <w:t>5m</w:t>
                  </w:r>
                  <w:r>
                    <w:rPr>
                      <w:rFonts w:ascii="Times New Roman" w:hAnsi="Times New Roman" w:eastAsia="Times New Roman" w:cs="Times New Roman"/>
                      <w:spacing w:val="-7"/>
                      <w:position w:val="8"/>
                      <w:sz w:val="15"/>
                      <w:szCs w:val="15"/>
                    </w:rPr>
                    <w:t>3</w:t>
                  </w:r>
                  <w:r>
                    <w:rPr>
                      <w:spacing w:val="-7"/>
                    </w:rPr>
                    <w:t>）、污水处理一体化设备</w:t>
                  </w:r>
                  <w:r>
                    <w:rPr>
                      <w:spacing w:val="-8"/>
                    </w:rPr>
                    <w:t>（</w:t>
                  </w:r>
                  <w:r>
                    <w:rPr>
                      <w:rFonts w:ascii="Times New Roman" w:hAnsi="Times New Roman" w:eastAsia="Times New Roman" w:cs="Times New Roman"/>
                      <w:spacing w:val="-8"/>
                    </w:rPr>
                    <w:t>2m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8"/>
                    </w:rPr>
                    <w:t>/d</w:t>
                  </w:r>
                  <w:r>
                    <w:rPr>
                      <w:spacing w:val="-8"/>
                    </w:rPr>
                    <w:t>）</w:t>
                  </w:r>
                  <w:r>
                    <w:t xml:space="preserve"> </w:t>
                  </w:r>
                  <w:r>
                    <w:rPr>
                      <w:spacing w:val="-2"/>
                    </w:rPr>
                    <w:t>处理后回用于绿化，不外排。对站外地表水体无影响；根据电磁环境类比分析，升压站投</w:t>
                  </w:r>
                  <w:r>
                    <w:rPr>
                      <w:spacing w:val="8"/>
                    </w:rPr>
                    <w:t xml:space="preserve"> </w:t>
                  </w:r>
                  <w:r>
                    <w:t>运后产生的电场强度、磁感应强度均满足《电磁环境控制限值》（</w:t>
                  </w:r>
                  <w:r>
                    <w:rPr>
                      <w:rFonts w:ascii="Times New Roman" w:hAnsi="Times New Roman" w:eastAsia="Times New Roman" w:cs="Times New Roman"/>
                    </w:rPr>
                    <w:t>GB8702-2014</w:t>
                  </w:r>
                  <w:r>
                    <w:t>）</w:t>
                  </w:r>
                  <w:r>
                    <w:rPr>
                      <w:spacing w:val="-1"/>
                    </w:rPr>
                    <w:t>中相应</w:t>
                  </w:r>
                  <w:r>
                    <w:t xml:space="preserve"> 评价标准要求，站界噪声均满足《工业企业厂界环境噪声排放标准》（</w:t>
                  </w:r>
                  <w:r>
                    <w:rPr>
                      <w:rFonts w:ascii="Times New Roman" w:hAnsi="Times New Roman" w:eastAsia="Times New Roman" w:cs="Times New Roman"/>
                    </w:rPr>
                    <w:t>GB12348-200</w:t>
                  </w:r>
                  <w:r>
                    <w:rPr>
                      <w:rFonts w:ascii="Times New Roman" w:hAnsi="Times New Roman" w:eastAsia="Times New Roman" w:cs="Times New Roman"/>
                      <w:spacing w:val="-1"/>
                    </w:rPr>
                    <w:t>8</w:t>
                  </w:r>
                  <w:r>
                    <w:rPr>
                      <w:spacing w:val="-1"/>
                    </w:rPr>
                    <w:t>）</w:t>
                  </w:r>
                  <w:r>
                    <w:rPr>
                      <w:rFonts w:ascii="Times New Roman" w:hAnsi="Times New Roman" w:eastAsia="Times New Roman" w:cs="Times New Roman"/>
                      <w:spacing w:val="-1"/>
                    </w:rPr>
                    <w:t>2</w:t>
                  </w:r>
                  <w:r>
                    <w:rPr>
                      <w:rFonts w:ascii="Times New Roman" w:hAnsi="Times New Roman" w:eastAsia="Times New Roman" w:cs="Times New Roman"/>
                    </w:rPr>
                    <w:t xml:space="preserve">  </w:t>
                  </w:r>
                  <w:r>
                    <w:rPr>
                      <w:spacing w:val="-4"/>
                    </w:rPr>
                    <w:t>类标准限值要求。</w:t>
                  </w:r>
                </w:p>
                <w:p w14:paraId="74245D1D">
                  <w:pPr>
                    <w:pStyle w:val="6"/>
                    <w:spacing w:before="35" w:line="219" w:lineRule="auto"/>
                    <w:ind w:left="599"/>
                  </w:pPr>
                  <w:r>
                    <w:rPr>
                      <w:spacing w:val="-1"/>
                    </w:rPr>
                    <w:t>从环境制约因素和环境影响程度分析，项目站址总平面布置合理。</w:t>
                  </w:r>
                </w:p>
              </w:tc>
            </w:tr>
          </w:tbl>
          <w:p w14:paraId="7EFB9D04">
            <w:pPr>
              <w:spacing w:line="14" w:lineRule="auto"/>
              <w:rPr>
                <w:rFonts w:ascii="Arial"/>
                <w:sz w:val="2"/>
              </w:rPr>
            </w:pPr>
          </w:p>
        </w:tc>
      </w:tr>
    </w:tbl>
    <w:p w14:paraId="19D5FC79">
      <w:pPr>
        <w:rPr>
          <w:rFonts w:ascii="Arial"/>
          <w:sz w:val="21"/>
        </w:rPr>
      </w:pPr>
    </w:p>
    <w:p w14:paraId="6606801B">
      <w:pPr>
        <w:rPr>
          <w:rFonts w:ascii="Arial" w:hAnsi="Arial" w:eastAsia="Arial" w:cs="Arial"/>
          <w:sz w:val="21"/>
          <w:szCs w:val="21"/>
        </w:rPr>
        <w:sectPr>
          <w:footerReference r:id="rId154" w:type="default"/>
          <w:pgSz w:w="11907" w:h="16840"/>
          <w:pgMar w:top="1431" w:right="907" w:bottom="1278" w:left="907" w:header="0" w:footer="1116" w:gutter="0"/>
          <w:cols w:space="720" w:num="1"/>
        </w:sectPr>
      </w:pPr>
    </w:p>
    <w:p w14:paraId="467A7483">
      <w:pPr>
        <w:spacing w:line="99" w:lineRule="exact"/>
      </w:pPr>
    </w:p>
    <w:tbl>
      <w:tblPr>
        <w:tblStyle w:val="5"/>
        <w:tblW w:w="100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9612"/>
      </w:tblGrid>
      <w:tr w14:paraId="5B3D2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36" w:hRule="atLeast"/>
        </w:trPr>
        <w:tc>
          <w:tcPr>
            <w:tcW w:w="465" w:type="dxa"/>
            <w:tcBorders>
              <w:right w:val="single" w:color="000000" w:sz="2" w:space="0"/>
            </w:tcBorders>
            <w:vAlign w:val="top"/>
          </w:tcPr>
          <w:p w14:paraId="1093F77B">
            <w:pPr>
              <w:rPr>
                <w:rFonts w:ascii="Arial"/>
                <w:sz w:val="21"/>
              </w:rPr>
            </w:pPr>
          </w:p>
        </w:tc>
        <w:tc>
          <w:tcPr>
            <w:tcW w:w="9612" w:type="dxa"/>
            <w:tcBorders>
              <w:left w:val="single" w:color="000000" w:sz="2" w:space="0"/>
            </w:tcBorders>
            <w:vAlign w:val="top"/>
          </w:tcPr>
          <w:p w14:paraId="57629159">
            <w:pPr>
              <w:pStyle w:val="6"/>
              <w:spacing w:before="28" w:line="347" w:lineRule="auto"/>
              <w:ind w:left="108" w:right="143" w:firstLine="481"/>
            </w:pPr>
            <w:r>
              <w:t>综上所述，项目升压站站址选择、总平面布置及运行</w:t>
            </w:r>
            <w:r>
              <w:rPr>
                <w:spacing w:val="-1"/>
              </w:rPr>
              <w:t>期产生的环境影响均符合相应的</w:t>
            </w:r>
            <w:r>
              <w:t xml:space="preserve"> </w:t>
            </w:r>
            <w:r>
              <w:rPr>
                <w:spacing w:val="-1"/>
              </w:rPr>
              <w:t>法律法规、导则标准相关要求。</w:t>
            </w:r>
          </w:p>
          <w:p w14:paraId="0D3FA119">
            <w:pPr>
              <w:pStyle w:val="6"/>
              <w:spacing w:before="32" w:line="219" w:lineRule="auto"/>
              <w:ind w:left="582"/>
            </w:pPr>
            <w:r>
              <w:rPr>
                <w:rFonts w:ascii="Times New Roman" w:hAnsi="Times New Roman" w:eastAsia="Times New Roman" w:cs="Times New Roman"/>
                <w:b/>
                <w:bCs/>
                <w:spacing w:val="-4"/>
              </w:rPr>
              <w:t>3</w:t>
            </w:r>
            <w:r>
              <w:rPr>
                <w:rFonts w:ascii="Times New Roman" w:hAnsi="Times New Roman" w:eastAsia="Times New Roman" w:cs="Times New Roman"/>
                <w:b/>
                <w:bCs/>
                <w:spacing w:val="-34"/>
              </w:rPr>
              <w:t xml:space="preserve"> </w:t>
            </w:r>
            <w:r>
              <w:rPr>
                <w:b/>
                <w:bCs/>
                <w:spacing w:val="-4"/>
              </w:rPr>
              <w:t>、临时工程选址合理性分析</w:t>
            </w:r>
          </w:p>
          <w:p w14:paraId="2FFDDF60">
            <w:pPr>
              <w:pStyle w:val="6"/>
              <w:spacing w:before="180" w:line="353" w:lineRule="auto"/>
              <w:ind w:left="109" w:right="102" w:firstLine="507"/>
              <w:jc w:val="both"/>
            </w:pPr>
            <w:r>
              <w:rPr>
                <w:spacing w:val="-5"/>
              </w:rPr>
              <w:t>由于本工程工期较短，项目共选用</w:t>
            </w:r>
            <w:r>
              <w:rPr>
                <w:spacing w:val="-17"/>
              </w:rPr>
              <w:t xml:space="preserve"> </w:t>
            </w:r>
            <w:r>
              <w:rPr>
                <w:rFonts w:ascii="Times New Roman" w:hAnsi="Times New Roman" w:eastAsia="Times New Roman" w:cs="Times New Roman"/>
                <w:spacing w:val="-5"/>
              </w:rPr>
              <w:t xml:space="preserve">1 </w:t>
            </w:r>
            <w:r>
              <w:rPr>
                <w:spacing w:val="-5"/>
              </w:rPr>
              <w:t>个施工营地，</w:t>
            </w:r>
            <w:r>
              <w:rPr>
                <w:spacing w:val="-71"/>
              </w:rPr>
              <w:t xml:space="preserve"> </w:t>
            </w:r>
            <w:r>
              <w:rPr>
                <w:spacing w:val="-5"/>
              </w:rPr>
              <w:t>占地面积约</w:t>
            </w:r>
            <w:r>
              <w:rPr>
                <w:spacing w:val="-32"/>
              </w:rPr>
              <w:t xml:space="preserve"> </w:t>
            </w:r>
            <w:r>
              <w:rPr>
                <w:rFonts w:ascii="Times New Roman" w:hAnsi="Times New Roman" w:eastAsia="Times New Roman" w:cs="Times New Roman"/>
                <w:spacing w:val="-5"/>
              </w:rPr>
              <w:t>1333m</w:t>
            </w:r>
            <w:r>
              <w:rPr>
                <w:rFonts w:ascii="Times New Roman" w:hAnsi="Times New Roman" w:eastAsia="Times New Roman" w:cs="Times New Roman"/>
                <w:spacing w:val="-5"/>
                <w:position w:val="8"/>
                <w:sz w:val="15"/>
                <w:szCs w:val="15"/>
              </w:rPr>
              <w:t xml:space="preserve">2 </w:t>
            </w:r>
            <w:r>
              <w:rPr>
                <w:spacing w:val="-5"/>
              </w:rPr>
              <w:t>。布设在地块</w:t>
            </w:r>
            <w:r>
              <w:rPr>
                <w:spacing w:val="-45"/>
              </w:rPr>
              <w:t xml:space="preserve"> </w:t>
            </w:r>
            <w:r>
              <w:rPr>
                <w:rFonts w:ascii="Times New Roman" w:hAnsi="Times New Roman" w:eastAsia="Times New Roman" w:cs="Times New Roman"/>
                <w:spacing w:val="-5"/>
              </w:rPr>
              <w:t>8</w:t>
            </w:r>
            <w:r>
              <w:rPr>
                <w:rFonts w:ascii="Times New Roman" w:hAnsi="Times New Roman" w:eastAsia="Times New Roman" w:cs="Times New Roman"/>
              </w:rPr>
              <w:t xml:space="preserve"> </w:t>
            </w:r>
            <w:r>
              <w:rPr>
                <w:spacing w:val="1"/>
              </w:rPr>
              <w:t>内，在项目拟用地红线内，不另行征地。施工营场地主要包括办</w:t>
            </w:r>
            <w:r>
              <w:t xml:space="preserve">公生活区（施工单位办公 </w:t>
            </w:r>
            <w:r>
              <w:rPr>
                <w:spacing w:val="1"/>
              </w:rPr>
              <w:t>生活区）、材料堆放仓库（主要作为钢结构加工及堆放、太阳电</w:t>
            </w:r>
            <w:r>
              <w:t xml:space="preserve">池组件堆放）、材料加工 </w:t>
            </w:r>
            <w:r>
              <w:rPr>
                <w:spacing w:val="-1"/>
              </w:rPr>
              <w:t>区（主要作为钢筋等材料的加工区域）等。</w:t>
            </w:r>
          </w:p>
          <w:p w14:paraId="082BA075">
            <w:pPr>
              <w:pStyle w:val="6"/>
              <w:spacing w:before="34" w:line="346" w:lineRule="auto"/>
              <w:ind w:left="135" w:right="142" w:firstLine="459"/>
            </w:pPr>
            <w:r>
              <w:t>型钢、钢筋等可露天堆放，电池板组件、缆线</w:t>
            </w:r>
            <w:r>
              <w:rPr>
                <w:spacing w:val="-1"/>
              </w:rPr>
              <w:t>、主要发电和电气设备等需仓库存放。</w:t>
            </w:r>
            <w:r>
              <w:t xml:space="preserve"> </w:t>
            </w:r>
            <w:r>
              <w:rPr>
                <w:spacing w:val="-2"/>
              </w:rPr>
              <w:t>电池板组件存放场地应采取防水、防倾倒等措施。</w:t>
            </w:r>
          </w:p>
          <w:p w14:paraId="68FDF4D6">
            <w:pPr>
              <w:pStyle w:val="6"/>
              <w:spacing w:before="34" w:line="350" w:lineRule="auto"/>
              <w:ind w:left="106" w:right="102" w:firstLine="480"/>
            </w:pPr>
            <w:r>
              <w:t>根据项目地形及施工布置特点，项目挖填平衡，不设置弃土场。设置</w:t>
            </w:r>
            <w:r>
              <w:rPr>
                <w:spacing w:val="-30"/>
              </w:rPr>
              <w:t xml:space="preserve"> </w:t>
            </w:r>
            <w:r>
              <w:rPr>
                <w:rFonts w:ascii="Times New Roman" w:hAnsi="Times New Roman" w:eastAsia="Times New Roman" w:cs="Times New Roman"/>
              </w:rPr>
              <w:t xml:space="preserve">1 </w:t>
            </w:r>
            <w:r>
              <w:t xml:space="preserve">个临时表土堆 </w:t>
            </w:r>
            <w:r>
              <w:rPr>
                <w:spacing w:val="1"/>
              </w:rPr>
              <w:t>场（升压站旁）项目采用分区施工，各区域施工完成后表土及时</w:t>
            </w:r>
            <w:r>
              <w:t xml:space="preserve">回覆用作绿化用土，再对 </w:t>
            </w:r>
            <w:r>
              <w:rPr>
                <w:spacing w:val="-1"/>
              </w:rPr>
              <w:t>该区域统一进行撒草恢复。</w:t>
            </w:r>
          </w:p>
          <w:p w14:paraId="0F6E67E2">
            <w:pPr>
              <w:pStyle w:val="6"/>
              <w:spacing w:before="38" w:line="352" w:lineRule="auto"/>
              <w:ind w:left="108" w:right="93" w:firstLine="478"/>
              <w:jc w:val="both"/>
            </w:pPr>
            <w:r>
              <w:rPr>
                <w:spacing w:val="-11"/>
              </w:rPr>
              <w:t>施工营场地和表土堆场均位于项目征地红线范围内，在场地内不</w:t>
            </w:r>
            <w:r>
              <w:rPr>
                <w:spacing w:val="-12"/>
              </w:rPr>
              <w:t>涉及生态红线、基本农田</w:t>
            </w:r>
            <w:r>
              <w:t xml:space="preserve"> </w:t>
            </w:r>
            <w:r>
              <w:rPr>
                <w:spacing w:val="-5"/>
              </w:rPr>
              <w:t>和有林地、饮用水源保护区等环境敏感区，区域地质环境稳定，未</w:t>
            </w:r>
            <w:r>
              <w:rPr>
                <w:spacing w:val="-6"/>
              </w:rPr>
              <w:t>发现泥石流、崩塌、滑坡</w:t>
            </w:r>
            <w:r>
              <w:t xml:space="preserve"> </w:t>
            </w:r>
            <w:r>
              <w:rPr>
                <w:spacing w:val="1"/>
              </w:rPr>
              <w:t>等不良地质现象，施工营场地距离最近的保护目标在</w:t>
            </w:r>
            <w:r>
              <w:rPr>
                <w:spacing w:val="-52"/>
              </w:rPr>
              <w:t xml:space="preserve"> </w:t>
            </w:r>
            <w:r>
              <w:rPr>
                <w:rFonts w:ascii="Times New Roman" w:hAnsi="Times New Roman" w:eastAsia="Times New Roman" w:cs="Times New Roman"/>
                <w:spacing w:val="1"/>
              </w:rPr>
              <w:t>200m</w:t>
            </w:r>
            <w:r>
              <w:rPr>
                <w:rFonts w:ascii="Times New Roman" w:hAnsi="Times New Roman" w:eastAsia="Times New Roman" w:cs="Times New Roman"/>
                <w:spacing w:val="39"/>
                <w:w w:val="101"/>
              </w:rPr>
              <w:t xml:space="preserve"> </w:t>
            </w:r>
            <w:r>
              <w:rPr>
                <w:spacing w:val="1"/>
              </w:rPr>
              <w:t>以外。因此，从环</w:t>
            </w:r>
            <w:r>
              <w:t xml:space="preserve">境保护角度 </w:t>
            </w:r>
            <w:r>
              <w:rPr>
                <w:spacing w:val="-1"/>
              </w:rPr>
              <w:t>分析施工营场地选址是合理的。</w:t>
            </w:r>
          </w:p>
          <w:p w14:paraId="4DAC8D1F">
            <w:pPr>
              <w:pStyle w:val="6"/>
              <w:spacing w:before="35" w:line="219" w:lineRule="auto"/>
              <w:ind w:left="606"/>
            </w:pPr>
            <w:r>
              <w:rPr>
                <w:spacing w:val="-2"/>
              </w:rPr>
              <w:t>因此，临时工程选址和选线合理。</w:t>
            </w:r>
          </w:p>
        </w:tc>
      </w:tr>
    </w:tbl>
    <w:p w14:paraId="17E7797D">
      <w:pPr>
        <w:rPr>
          <w:rFonts w:ascii="Arial"/>
          <w:sz w:val="21"/>
        </w:rPr>
      </w:pPr>
    </w:p>
    <w:p w14:paraId="54D7556E">
      <w:pPr>
        <w:rPr>
          <w:rFonts w:ascii="Arial" w:hAnsi="Arial" w:eastAsia="Arial" w:cs="Arial"/>
          <w:sz w:val="21"/>
          <w:szCs w:val="21"/>
        </w:rPr>
        <w:sectPr>
          <w:footerReference r:id="rId155" w:type="default"/>
          <w:pgSz w:w="11907" w:h="16840"/>
          <w:pgMar w:top="1431" w:right="907" w:bottom="1278" w:left="907" w:header="0" w:footer="1116" w:gutter="0"/>
          <w:cols w:space="720" w:num="1"/>
        </w:sectPr>
      </w:pPr>
    </w:p>
    <w:p w14:paraId="2F3E3B51">
      <w:pPr>
        <w:spacing w:before="144" w:line="222" w:lineRule="auto"/>
        <w:ind w:left="2718"/>
        <w:outlineLvl w:val="0"/>
        <w:rPr>
          <w:rFonts w:ascii="黑体" w:hAnsi="黑体" w:eastAsia="黑体" w:cs="黑体"/>
          <w:sz w:val="30"/>
          <w:szCs w:val="30"/>
        </w:rPr>
      </w:pPr>
      <w:bookmarkStart w:id="19" w:name="bookmark12"/>
      <w:bookmarkEnd w:id="19"/>
      <w:bookmarkStart w:id="20" w:name="bookmark11"/>
      <w:bookmarkEnd w:id="20"/>
      <w:r>
        <w:rPr>
          <w:rFonts w:ascii="黑体" w:hAnsi="黑体" w:eastAsia="黑体" w:cs="黑体"/>
          <w:spacing w:val="-2"/>
          <w:sz w:val="30"/>
          <w:szCs w:val="30"/>
        </w:rPr>
        <w:t>五、主要生态环境保护措施</w:t>
      </w:r>
    </w:p>
    <w:p w14:paraId="5B52A403">
      <w:pPr>
        <w:spacing w:line="223"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47B18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3" w:hRule="atLeast"/>
        </w:trPr>
        <w:tc>
          <w:tcPr>
            <w:tcW w:w="748" w:type="dxa"/>
            <w:tcBorders>
              <w:right w:val="single" w:color="000000" w:sz="2" w:space="0"/>
            </w:tcBorders>
            <w:vAlign w:val="top"/>
          </w:tcPr>
          <w:p w14:paraId="3BAEBE17">
            <w:pPr>
              <w:spacing w:line="241" w:lineRule="auto"/>
              <w:rPr>
                <w:rFonts w:ascii="Arial"/>
                <w:sz w:val="21"/>
              </w:rPr>
            </w:pPr>
          </w:p>
          <w:p w14:paraId="5B5DB753">
            <w:pPr>
              <w:spacing w:line="241" w:lineRule="auto"/>
              <w:rPr>
                <w:rFonts w:ascii="Arial"/>
                <w:sz w:val="21"/>
              </w:rPr>
            </w:pPr>
          </w:p>
          <w:p w14:paraId="4A3B8D00">
            <w:pPr>
              <w:spacing w:line="241" w:lineRule="auto"/>
              <w:rPr>
                <w:rFonts w:ascii="Arial"/>
                <w:sz w:val="21"/>
              </w:rPr>
            </w:pPr>
          </w:p>
          <w:p w14:paraId="26A3E40B">
            <w:pPr>
              <w:spacing w:line="241" w:lineRule="auto"/>
              <w:rPr>
                <w:rFonts w:ascii="Arial"/>
                <w:sz w:val="21"/>
              </w:rPr>
            </w:pPr>
          </w:p>
          <w:p w14:paraId="65B5DC79">
            <w:pPr>
              <w:spacing w:line="241" w:lineRule="auto"/>
              <w:rPr>
                <w:rFonts w:ascii="Arial"/>
                <w:sz w:val="21"/>
              </w:rPr>
            </w:pPr>
          </w:p>
          <w:p w14:paraId="22B4A76F">
            <w:pPr>
              <w:spacing w:line="241" w:lineRule="auto"/>
              <w:rPr>
                <w:rFonts w:ascii="Arial"/>
                <w:sz w:val="21"/>
              </w:rPr>
            </w:pPr>
          </w:p>
          <w:p w14:paraId="492501ED">
            <w:pPr>
              <w:spacing w:line="241" w:lineRule="auto"/>
              <w:rPr>
                <w:rFonts w:ascii="Arial"/>
                <w:sz w:val="21"/>
              </w:rPr>
            </w:pPr>
          </w:p>
          <w:p w14:paraId="2E5DCDE3">
            <w:pPr>
              <w:spacing w:line="241" w:lineRule="auto"/>
              <w:rPr>
                <w:rFonts w:ascii="Arial"/>
                <w:sz w:val="21"/>
              </w:rPr>
            </w:pPr>
          </w:p>
          <w:p w14:paraId="77FC52FD">
            <w:pPr>
              <w:spacing w:line="241" w:lineRule="auto"/>
              <w:rPr>
                <w:rFonts w:ascii="Arial"/>
                <w:sz w:val="21"/>
              </w:rPr>
            </w:pPr>
          </w:p>
          <w:p w14:paraId="64FB6C94">
            <w:pPr>
              <w:spacing w:line="241" w:lineRule="auto"/>
              <w:rPr>
                <w:rFonts w:ascii="Arial"/>
                <w:sz w:val="21"/>
              </w:rPr>
            </w:pPr>
          </w:p>
          <w:p w14:paraId="5F4B4BDB">
            <w:pPr>
              <w:spacing w:line="241" w:lineRule="auto"/>
              <w:rPr>
                <w:rFonts w:ascii="Arial"/>
                <w:sz w:val="21"/>
              </w:rPr>
            </w:pPr>
          </w:p>
          <w:p w14:paraId="199025A2">
            <w:pPr>
              <w:spacing w:line="241" w:lineRule="auto"/>
              <w:rPr>
                <w:rFonts w:ascii="Arial"/>
                <w:sz w:val="21"/>
              </w:rPr>
            </w:pPr>
          </w:p>
          <w:p w14:paraId="465577EF">
            <w:pPr>
              <w:spacing w:line="241" w:lineRule="auto"/>
              <w:rPr>
                <w:rFonts w:ascii="Arial"/>
                <w:sz w:val="21"/>
              </w:rPr>
            </w:pPr>
          </w:p>
          <w:p w14:paraId="3BC85592">
            <w:pPr>
              <w:spacing w:line="241" w:lineRule="auto"/>
              <w:rPr>
                <w:rFonts w:ascii="Arial"/>
                <w:sz w:val="21"/>
              </w:rPr>
            </w:pPr>
          </w:p>
          <w:p w14:paraId="4D522D27">
            <w:pPr>
              <w:spacing w:line="241" w:lineRule="auto"/>
              <w:rPr>
                <w:rFonts w:ascii="Arial"/>
                <w:sz w:val="21"/>
              </w:rPr>
            </w:pPr>
          </w:p>
          <w:p w14:paraId="5F50C7E4">
            <w:pPr>
              <w:spacing w:line="241" w:lineRule="auto"/>
              <w:rPr>
                <w:rFonts w:ascii="Arial"/>
                <w:sz w:val="21"/>
              </w:rPr>
            </w:pPr>
          </w:p>
          <w:p w14:paraId="42689F98">
            <w:pPr>
              <w:spacing w:line="241" w:lineRule="auto"/>
              <w:rPr>
                <w:rFonts w:ascii="Arial"/>
                <w:sz w:val="21"/>
              </w:rPr>
            </w:pPr>
          </w:p>
          <w:p w14:paraId="59DE853B">
            <w:pPr>
              <w:spacing w:line="241" w:lineRule="auto"/>
              <w:rPr>
                <w:rFonts w:ascii="Arial"/>
                <w:sz w:val="21"/>
              </w:rPr>
            </w:pPr>
          </w:p>
          <w:p w14:paraId="041793C0">
            <w:pPr>
              <w:spacing w:line="241" w:lineRule="auto"/>
              <w:rPr>
                <w:rFonts w:ascii="Arial"/>
                <w:sz w:val="21"/>
              </w:rPr>
            </w:pPr>
          </w:p>
          <w:p w14:paraId="785BE912">
            <w:pPr>
              <w:spacing w:line="242" w:lineRule="auto"/>
              <w:rPr>
                <w:rFonts w:ascii="Arial"/>
                <w:sz w:val="21"/>
              </w:rPr>
            </w:pPr>
          </w:p>
          <w:p w14:paraId="62DBFE2F">
            <w:pPr>
              <w:spacing w:line="242" w:lineRule="auto"/>
              <w:rPr>
                <w:rFonts w:ascii="Arial"/>
                <w:sz w:val="21"/>
              </w:rPr>
            </w:pPr>
          </w:p>
          <w:p w14:paraId="41AC6609">
            <w:pPr>
              <w:spacing w:line="242" w:lineRule="auto"/>
              <w:rPr>
                <w:rFonts w:ascii="Arial"/>
                <w:sz w:val="21"/>
              </w:rPr>
            </w:pPr>
          </w:p>
          <w:p w14:paraId="15DAB5F3">
            <w:pPr>
              <w:spacing w:line="242" w:lineRule="auto"/>
              <w:rPr>
                <w:rFonts w:ascii="Arial"/>
                <w:sz w:val="21"/>
              </w:rPr>
            </w:pPr>
          </w:p>
          <w:p w14:paraId="5EDA899B">
            <w:pPr>
              <w:pStyle w:val="6"/>
              <w:spacing w:before="78" w:line="222" w:lineRule="auto"/>
              <w:ind w:left="111"/>
            </w:pPr>
            <w:r>
              <w:rPr>
                <w:spacing w:val="5"/>
              </w:rPr>
              <w:t>施工</w:t>
            </w:r>
          </w:p>
          <w:p w14:paraId="7175F0C5">
            <w:pPr>
              <w:pStyle w:val="6"/>
              <w:spacing w:before="20" w:line="220" w:lineRule="auto"/>
              <w:ind w:left="115"/>
            </w:pPr>
            <w:r>
              <w:rPr>
                <w:spacing w:val="3"/>
              </w:rPr>
              <w:t>期生</w:t>
            </w:r>
          </w:p>
          <w:p w14:paraId="30E5E8B4">
            <w:pPr>
              <w:pStyle w:val="6"/>
              <w:spacing w:before="26" w:line="221" w:lineRule="auto"/>
              <w:ind w:left="112"/>
            </w:pPr>
            <w:r>
              <w:rPr>
                <w:spacing w:val="4"/>
              </w:rPr>
              <w:t>态环</w:t>
            </w:r>
          </w:p>
          <w:p w14:paraId="5A51408B">
            <w:pPr>
              <w:pStyle w:val="6"/>
              <w:spacing w:before="21" w:line="220" w:lineRule="auto"/>
              <w:ind w:left="113"/>
            </w:pPr>
            <w:r>
              <w:rPr>
                <w:spacing w:val="4"/>
              </w:rPr>
              <w:t>境保</w:t>
            </w:r>
          </w:p>
          <w:p w14:paraId="3435EF9A">
            <w:pPr>
              <w:pStyle w:val="6"/>
              <w:spacing w:before="26" w:line="220" w:lineRule="auto"/>
              <w:ind w:left="113"/>
            </w:pPr>
            <w:r>
              <w:rPr>
                <w:spacing w:val="4"/>
              </w:rPr>
              <w:t>护措</w:t>
            </w:r>
          </w:p>
          <w:p w14:paraId="0CBA0907">
            <w:pPr>
              <w:pStyle w:val="6"/>
              <w:spacing w:before="27" w:line="222" w:lineRule="auto"/>
              <w:ind w:left="243"/>
            </w:pPr>
            <w:r>
              <w:t>施</w:t>
            </w:r>
          </w:p>
        </w:tc>
        <w:tc>
          <w:tcPr>
            <w:tcW w:w="8237" w:type="dxa"/>
            <w:tcBorders>
              <w:left w:val="single" w:color="000000" w:sz="2" w:space="0"/>
            </w:tcBorders>
            <w:vAlign w:val="top"/>
          </w:tcPr>
          <w:p w14:paraId="348FF0E6">
            <w:pPr>
              <w:pStyle w:val="6"/>
              <w:spacing w:before="39" w:line="350" w:lineRule="auto"/>
              <w:ind w:left="110" w:right="40" w:firstLine="478"/>
              <w:jc w:val="both"/>
            </w:pPr>
            <w:r>
              <w:rPr>
                <w:spacing w:val="-3"/>
              </w:rPr>
              <w:t>在项目建设阶段，会对当地植被产生一定破坏作用，并易造成水土流失，</w:t>
            </w:r>
            <w:r>
              <w:rPr>
                <w:spacing w:val="13"/>
              </w:rPr>
              <w:t xml:space="preserve"> </w:t>
            </w:r>
            <w:r>
              <w:rPr>
                <w:spacing w:val="3"/>
              </w:rPr>
              <w:t>给生态环境造成一定的负面影响。因此项目建设单位应从以下方</w:t>
            </w:r>
            <w:r>
              <w:rPr>
                <w:spacing w:val="2"/>
              </w:rPr>
              <w:t>面，加强对</w:t>
            </w:r>
            <w:r>
              <w:t xml:space="preserve"> </w:t>
            </w:r>
            <w:r>
              <w:rPr>
                <w:spacing w:val="-2"/>
              </w:rPr>
              <w:t>当地生态环境的保护。</w:t>
            </w:r>
          </w:p>
          <w:p w14:paraId="5E0DC9C4">
            <w:pPr>
              <w:pStyle w:val="6"/>
              <w:spacing w:before="36" w:line="220" w:lineRule="auto"/>
              <w:ind w:left="592"/>
            </w:pPr>
            <w:r>
              <w:rPr>
                <w:b/>
                <w:bCs/>
                <w:spacing w:val="-3"/>
              </w:rPr>
              <w:t>一、生态影响控制措施</w:t>
            </w:r>
          </w:p>
          <w:p w14:paraId="04590ED9">
            <w:pPr>
              <w:pStyle w:val="6"/>
              <w:spacing w:before="181" w:line="221" w:lineRule="auto"/>
              <w:ind w:left="600"/>
            </w:pPr>
            <w:r>
              <w:rPr>
                <w:b/>
                <w:bCs/>
                <w:spacing w:val="-5"/>
              </w:rPr>
              <w:t>（</w:t>
            </w:r>
            <w:r>
              <w:rPr>
                <w:rFonts w:ascii="Times New Roman" w:hAnsi="Times New Roman" w:eastAsia="Times New Roman" w:cs="Times New Roman"/>
                <w:b/>
                <w:bCs/>
                <w:spacing w:val="-5"/>
              </w:rPr>
              <w:t>1</w:t>
            </w:r>
            <w:r>
              <w:rPr>
                <w:b/>
                <w:bCs/>
                <w:spacing w:val="-5"/>
              </w:rPr>
              <w:t>）施工设计阶段</w:t>
            </w:r>
          </w:p>
          <w:p w14:paraId="5102CA35">
            <w:pPr>
              <w:pStyle w:val="6"/>
              <w:spacing w:before="180" w:line="312" w:lineRule="auto"/>
              <w:ind w:left="108" w:right="107" w:firstLine="480"/>
            </w:pPr>
            <w:r>
              <w:t>①在施工建设过程中，尽量减少施工占地及临时</w:t>
            </w:r>
            <w:r>
              <w:rPr>
                <w:spacing w:val="-1"/>
              </w:rPr>
              <w:t>占地，最大限度的减少</w:t>
            </w:r>
            <w:r>
              <w:t xml:space="preserve"> </w:t>
            </w:r>
            <w:r>
              <w:rPr>
                <w:spacing w:val="-7"/>
              </w:rPr>
              <w:t>对地表原貌的生态破坏。建设涉及的林地严格按照林草相关法律法规和使用程</w:t>
            </w:r>
            <w:r>
              <w:rPr>
                <w:spacing w:val="7"/>
              </w:rPr>
              <w:t xml:space="preserve"> </w:t>
            </w:r>
            <w:r>
              <w:rPr>
                <w:spacing w:val="-11"/>
              </w:rPr>
              <w:t>序办理林草地使用审核审批手续后，方可使用，严禁出现未批先占等</w:t>
            </w:r>
            <w:r>
              <w:rPr>
                <w:spacing w:val="-12"/>
              </w:rPr>
              <w:t>违法行为。</w:t>
            </w:r>
          </w:p>
          <w:p w14:paraId="2063F248">
            <w:pPr>
              <w:pStyle w:val="6"/>
              <w:spacing w:before="184" w:line="312" w:lineRule="auto"/>
              <w:ind w:left="108" w:right="207" w:firstLine="479"/>
            </w:pPr>
            <w:r>
              <w:t>②项目开工前，建设前应当对项目最终设计方案与</w:t>
            </w:r>
            <w:r>
              <w:rPr>
                <w:spacing w:val="-1"/>
              </w:rPr>
              <w:t>环评方案进行梳理对</w:t>
            </w:r>
            <w:r>
              <w:t xml:space="preserve"> 比，构成重大变动的应当对变动内容进行环境影响评</w:t>
            </w:r>
            <w:r>
              <w:rPr>
                <w:spacing w:val="-1"/>
              </w:rPr>
              <w:t>价并重新报批，构成一</w:t>
            </w:r>
            <w:r>
              <w:t xml:space="preserve"> </w:t>
            </w:r>
            <w:r>
              <w:rPr>
                <w:spacing w:val="-1"/>
              </w:rPr>
              <w:t>般变动的应当向有审批权限的生态环境主管部门进行备案。</w:t>
            </w:r>
          </w:p>
          <w:p w14:paraId="56E8C191">
            <w:pPr>
              <w:pStyle w:val="6"/>
              <w:spacing w:before="181" w:line="290" w:lineRule="auto"/>
              <w:ind w:left="108" w:right="94" w:firstLine="479"/>
            </w:pPr>
            <w:r>
              <w:rPr>
                <w:spacing w:val="-11"/>
              </w:rPr>
              <w:t>③项目开工前请依法办理水土保持方案审批手</w:t>
            </w:r>
            <w:r>
              <w:rPr>
                <w:spacing w:val="-12"/>
              </w:rPr>
              <w:t>续，施工过程中应尽量避免大</w:t>
            </w:r>
            <w:r>
              <w:t xml:space="preserve"> </w:t>
            </w:r>
            <w:r>
              <w:rPr>
                <w:spacing w:val="-10"/>
              </w:rPr>
              <w:t>挖大填，避免大范围扰动地表面积。</w:t>
            </w:r>
          </w:p>
          <w:p w14:paraId="4E1083ED">
            <w:pPr>
              <w:pStyle w:val="6"/>
              <w:spacing w:before="179" w:line="220" w:lineRule="auto"/>
              <w:ind w:left="600"/>
            </w:pPr>
            <w:r>
              <w:rPr>
                <w:b/>
                <w:bCs/>
                <w:spacing w:val="-5"/>
              </w:rPr>
              <w:t>（</w:t>
            </w:r>
            <w:r>
              <w:rPr>
                <w:rFonts w:ascii="Times New Roman" w:hAnsi="Times New Roman" w:eastAsia="Times New Roman" w:cs="Times New Roman"/>
                <w:b/>
                <w:bCs/>
                <w:spacing w:val="-5"/>
              </w:rPr>
              <w:t>2</w:t>
            </w:r>
            <w:r>
              <w:rPr>
                <w:b/>
                <w:bCs/>
                <w:spacing w:val="-5"/>
              </w:rPr>
              <w:t>）避让措施</w:t>
            </w:r>
          </w:p>
          <w:p w14:paraId="311DB185">
            <w:pPr>
              <w:pStyle w:val="6"/>
              <w:spacing w:before="183" w:line="352" w:lineRule="auto"/>
              <w:ind w:left="110" w:right="207" w:firstLine="478"/>
              <w:jc w:val="both"/>
            </w:pPr>
            <w:r>
              <w:t>施工设计阶段必须进行施工组织设计，合理规划</w:t>
            </w:r>
            <w:r>
              <w:rPr>
                <w:spacing w:val="-1"/>
              </w:rPr>
              <w:t>临时施工场地，严格选</w:t>
            </w:r>
            <w:r>
              <w:t xml:space="preserve"> 择施工附属设施的布置位置，施工禁止超计划占</w:t>
            </w:r>
            <w:r>
              <w:rPr>
                <w:spacing w:val="-1"/>
              </w:rPr>
              <w:t>地，尽可能少占植被，尽量</w:t>
            </w:r>
            <w:r>
              <w:t xml:space="preserve"> 少占公益林，从源头上减少对植被和对公益林的</w:t>
            </w:r>
            <w:r>
              <w:rPr>
                <w:spacing w:val="-1"/>
              </w:rPr>
              <w:t>破坏；征占用林地和公益林</w:t>
            </w:r>
            <w:r>
              <w:t xml:space="preserve"> </w:t>
            </w:r>
            <w:r>
              <w:rPr>
                <w:spacing w:val="-2"/>
              </w:rPr>
              <w:t>要报请林业部门批准。</w:t>
            </w:r>
          </w:p>
          <w:p w14:paraId="20A673E7">
            <w:pPr>
              <w:pStyle w:val="6"/>
              <w:spacing w:before="36" w:line="219" w:lineRule="auto"/>
              <w:ind w:left="588"/>
            </w:pPr>
            <w:r>
              <w:t>对受破坏的树木，主要表现为歪斜，应及时扶正</w:t>
            </w:r>
            <w:r>
              <w:rPr>
                <w:spacing w:val="-1"/>
              </w:rPr>
              <w:t>树体，出现的裂缝等，</w:t>
            </w:r>
          </w:p>
          <w:p w14:paraId="2F1DC1C5">
            <w:pPr>
              <w:pStyle w:val="6"/>
              <w:spacing w:before="183" w:line="345" w:lineRule="auto"/>
              <w:ind w:left="107" w:right="142" w:firstLine="1"/>
            </w:pPr>
            <w:r>
              <w:rPr>
                <w:spacing w:val="-1"/>
              </w:rPr>
              <w:t>应及时填补裂缝，覆盖营养土层，厚度不得小于</w:t>
            </w:r>
            <w:r>
              <w:rPr>
                <w:spacing w:val="-51"/>
              </w:rPr>
              <w:t xml:space="preserve"> </w:t>
            </w:r>
            <w:r>
              <w:rPr>
                <w:rFonts w:ascii="Times New Roman" w:hAnsi="Times New Roman" w:eastAsia="Times New Roman" w:cs="Times New Roman"/>
                <w:spacing w:val="-2"/>
              </w:rPr>
              <w:t>0.7m</w:t>
            </w:r>
            <w:r>
              <w:rPr>
                <w:rFonts w:ascii="Times New Roman" w:hAnsi="Times New Roman" w:eastAsia="Times New Roman" w:cs="Times New Roman"/>
                <w:spacing w:val="-33"/>
              </w:rPr>
              <w:t xml:space="preserve"> </w:t>
            </w:r>
            <w:r>
              <w:rPr>
                <w:spacing w:val="-2"/>
              </w:rPr>
              <w:t>，并首先选择原有树种</w:t>
            </w:r>
            <w:r>
              <w:t xml:space="preserve"> </w:t>
            </w:r>
            <w:r>
              <w:rPr>
                <w:spacing w:val="-1"/>
              </w:rPr>
              <w:t>进行补种，同时地表撒播草籽。</w:t>
            </w:r>
          </w:p>
          <w:p w14:paraId="5EBA00DE">
            <w:pPr>
              <w:pStyle w:val="6"/>
              <w:spacing w:before="37" w:line="219" w:lineRule="auto"/>
              <w:ind w:left="600"/>
            </w:pPr>
            <w:r>
              <w:rPr>
                <w:b/>
                <w:bCs/>
                <w:spacing w:val="-5"/>
              </w:rPr>
              <w:t>（</w:t>
            </w:r>
            <w:r>
              <w:rPr>
                <w:rFonts w:ascii="Times New Roman" w:hAnsi="Times New Roman" w:eastAsia="Times New Roman" w:cs="Times New Roman"/>
                <w:b/>
                <w:bCs/>
                <w:spacing w:val="-5"/>
              </w:rPr>
              <w:t>3</w:t>
            </w:r>
            <w:r>
              <w:rPr>
                <w:b/>
                <w:bCs/>
                <w:spacing w:val="-5"/>
              </w:rPr>
              <w:t>）减缓措施</w:t>
            </w:r>
          </w:p>
          <w:p w14:paraId="0CD8F5AA">
            <w:pPr>
              <w:pStyle w:val="6"/>
              <w:spacing w:before="179" w:line="313" w:lineRule="auto"/>
              <w:ind w:left="111" w:right="207" w:firstLine="477"/>
            </w:pPr>
            <w:r>
              <w:t>①施工期临时用地应永临结合，优先利用荒地、</w:t>
            </w:r>
            <w:r>
              <w:rPr>
                <w:spacing w:val="-1"/>
              </w:rPr>
              <w:t>劣地；临时占地采取隔</w:t>
            </w:r>
            <w:r>
              <w:t xml:space="preserve"> </w:t>
            </w:r>
            <w:r>
              <w:rPr>
                <w:spacing w:val="-1"/>
              </w:rPr>
              <w:t>离保护措施（如铺设草垫或棕垫</w:t>
            </w:r>
            <w:r>
              <w:rPr>
                <w:spacing w:val="9"/>
              </w:rPr>
              <w:t>），</w:t>
            </w:r>
            <w:r>
              <w:rPr>
                <w:spacing w:val="-1"/>
              </w:rPr>
              <w:t>施工结束后将多余砂石料、混凝土残渣</w:t>
            </w:r>
            <w:r>
              <w:t xml:space="preserve"> </w:t>
            </w:r>
            <w:r>
              <w:rPr>
                <w:spacing w:val="-1"/>
              </w:rPr>
              <w:t>等及时清除，做到“工完、料尽、场地清</w:t>
            </w:r>
            <w:r>
              <w:rPr>
                <w:spacing w:val="-80"/>
              </w:rPr>
              <w:t xml:space="preserve"> </w:t>
            </w:r>
            <w:r>
              <w:rPr>
                <w:spacing w:val="-1"/>
              </w:rPr>
              <w:t>”。</w:t>
            </w:r>
          </w:p>
          <w:p w14:paraId="28F1E055">
            <w:pPr>
              <w:pStyle w:val="6"/>
              <w:spacing w:before="214" w:line="313" w:lineRule="auto"/>
              <w:ind w:left="110" w:right="207" w:firstLine="477"/>
            </w:pPr>
            <w:r>
              <w:t>②光伏场区、升压站、集电线路土石方开挖工程尽</w:t>
            </w:r>
            <w:r>
              <w:rPr>
                <w:spacing w:val="-1"/>
              </w:rPr>
              <w:t>量避开雨季施工，集</w:t>
            </w:r>
            <w:r>
              <w:t xml:space="preserve"> 电线路开挖土石方及时回填、夯实、平整，回填</w:t>
            </w:r>
            <w:r>
              <w:rPr>
                <w:spacing w:val="-1"/>
              </w:rPr>
              <w:t>不完部分与光伏场区、升压</w:t>
            </w:r>
            <w:r>
              <w:t xml:space="preserve"> 站土石方一起堆放于临时表土堆场，后期调运至</w:t>
            </w:r>
            <w:r>
              <w:rPr>
                <w:spacing w:val="-1"/>
              </w:rPr>
              <w:t>道路区、施工营地区作为该</w:t>
            </w:r>
          </w:p>
        </w:tc>
      </w:tr>
    </w:tbl>
    <w:p w14:paraId="37288440">
      <w:pPr>
        <w:rPr>
          <w:rFonts w:ascii="Arial"/>
          <w:sz w:val="21"/>
        </w:rPr>
      </w:pPr>
    </w:p>
    <w:p w14:paraId="61C3F37F">
      <w:pPr>
        <w:rPr>
          <w:rFonts w:ascii="Arial" w:hAnsi="Arial" w:eastAsia="Arial" w:cs="Arial"/>
          <w:sz w:val="21"/>
          <w:szCs w:val="21"/>
        </w:rPr>
        <w:sectPr>
          <w:footerReference r:id="rId156" w:type="default"/>
          <w:pgSz w:w="11907" w:h="16840"/>
          <w:pgMar w:top="1431" w:right="1453" w:bottom="1278" w:left="1453" w:header="0" w:footer="1116" w:gutter="0"/>
          <w:cols w:space="720" w:num="1"/>
        </w:sectPr>
      </w:pPr>
    </w:p>
    <w:p w14:paraId="2E7903E3">
      <w:pPr>
        <w:spacing w:line="99"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34787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48" w:type="dxa"/>
            <w:tcBorders>
              <w:right w:val="single" w:color="000000" w:sz="2" w:space="0"/>
            </w:tcBorders>
            <w:vAlign w:val="top"/>
          </w:tcPr>
          <w:p w14:paraId="6CE9468C">
            <w:pPr>
              <w:rPr>
                <w:rFonts w:ascii="Arial"/>
                <w:sz w:val="21"/>
              </w:rPr>
            </w:pPr>
          </w:p>
        </w:tc>
        <w:tc>
          <w:tcPr>
            <w:tcW w:w="8237" w:type="dxa"/>
            <w:tcBorders>
              <w:left w:val="single" w:color="000000" w:sz="2" w:space="0"/>
            </w:tcBorders>
            <w:vAlign w:val="top"/>
          </w:tcPr>
          <w:p w14:paraId="22E8C9C7">
            <w:pPr>
              <w:pStyle w:val="6"/>
              <w:spacing w:before="41" w:line="345" w:lineRule="auto"/>
              <w:ind w:left="115" w:right="207" w:firstLine="11"/>
            </w:pPr>
            <w:r>
              <w:rPr>
                <w:spacing w:val="-1"/>
              </w:rPr>
              <w:t>区域的绿化覆土，不外弃。表土堆场表面用防尘网进行苫盖，并在其周围用</w:t>
            </w:r>
            <w:r>
              <w:rPr>
                <w:spacing w:val="4"/>
              </w:rPr>
              <w:t xml:space="preserve"> </w:t>
            </w:r>
            <w:r>
              <w:rPr>
                <w:spacing w:val="-1"/>
              </w:rPr>
              <w:t>高强度</w:t>
            </w:r>
            <w:r>
              <w:rPr>
                <w:spacing w:val="-47"/>
              </w:rPr>
              <w:t xml:space="preserve"> </w:t>
            </w:r>
            <w:r>
              <w:rPr>
                <w:rFonts w:ascii="Times New Roman" w:hAnsi="Times New Roman" w:eastAsia="Times New Roman" w:cs="Times New Roman"/>
                <w:spacing w:val="-1"/>
              </w:rPr>
              <w:t xml:space="preserve">PVC </w:t>
            </w:r>
            <w:r>
              <w:rPr>
                <w:spacing w:val="-1"/>
              </w:rPr>
              <w:t>编织带或草袋装土筑坎进行临时拦挡，用于后期林草植被</w:t>
            </w:r>
          </w:p>
          <w:p w14:paraId="6D3EB23B">
            <w:pPr>
              <w:pStyle w:val="6"/>
              <w:spacing w:before="34" w:line="220" w:lineRule="auto"/>
              <w:ind w:left="235"/>
            </w:pPr>
            <w:r>
              <w:rPr>
                <w:spacing w:val="-1"/>
              </w:rPr>
              <w:t>(</w:t>
            </w:r>
            <w:r>
              <w:rPr>
                <w:rFonts w:ascii="Times New Roman" w:hAnsi="Times New Roman" w:eastAsia="Times New Roman" w:cs="Times New Roman"/>
                <w:spacing w:val="-1"/>
              </w:rPr>
              <w:t>≥50cm</w:t>
            </w:r>
            <w:r>
              <w:rPr>
                <w:spacing w:val="-1"/>
              </w:rPr>
              <w:t>）或生态恢复 (</w:t>
            </w:r>
            <w:r>
              <w:rPr>
                <w:rFonts w:ascii="Times New Roman" w:hAnsi="Times New Roman" w:eastAsia="Times New Roman" w:cs="Times New Roman"/>
                <w:spacing w:val="-1"/>
              </w:rPr>
              <w:t>≥30cm</w:t>
            </w:r>
            <w:r>
              <w:rPr>
                <w:spacing w:val="-1"/>
              </w:rPr>
              <w:t>）用土。</w:t>
            </w:r>
          </w:p>
          <w:p w14:paraId="307E58C9">
            <w:pPr>
              <w:pStyle w:val="6"/>
              <w:spacing w:before="181" w:line="290" w:lineRule="auto"/>
              <w:ind w:left="111" w:right="207" w:firstLine="476"/>
            </w:pPr>
            <w:r>
              <w:t>③施工现场加强管理，做好机械的日常维修保养，</w:t>
            </w:r>
            <w:r>
              <w:rPr>
                <w:spacing w:val="-1"/>
              </w:rPr>
              <w:t>杜绝跑、冒、滴、漏</w:t>
            </w:r>
            <w:r>
              <w:t xml:space="preserve"> </w:t>
            </w:r>
            <w:r>
              <w:rPr>
                <w:spacing w:val="-1"/>
              </w:rPr>
              <w:t>现象，防止对土壤和水体造成污染。</w:t>
            </w:r>
          </w:p>
          <w:p w14:paraId="04427E67">
            <w:pPr>
              <w:pStyle w:val="6"/>
              <w:spacing w:before="179" w:line="290" w:lineRule="auto"/>
              <w:ind w:left="120" w:right="207" w:firstLine="466"/>
            </w:pPr>
            <w:r>
              <w:t>④设专人负责施工期环境管理，加强施工人员生态</w:t>
            </w:r>
            <w:r>
              <w:rPr>
                <w:spacing w:val="-1"/>
              </w:rPr>
              <w:t>保护宣传，禁止施工</w:t>
            </w:r>
            <w:r>
              <w:t xml:space="preserve"> </w:t>
            </w:r>
            <w:r>
              <w:rPr>
                <w:spacing w:val="-1"/>
              </w:rPr>
              <w:t>时乱砍滥伐、狩猎等行为，严格执行国家有关动物保护法律法规。</w:t>
            </w:r>
          </w:p>
          <w:p w14:paraId="253005B4">
            <w:pPr>
              <w:pStyle w:val="6"/>
              <w:spacing w:before="179" w:line="290" w:lineRule="auto"/>
              <w:ind w:left="109" w:right="101" w:firstLine="478"/>
            </w:pPr>
            <w:r>
              <w:rPr>
                <w:spacing w:val="-3"/>
              </w:rPr>
              <w:t>⑤在鸟类繁殖期（每年</w:t>
            </w:r>
            <w:r>
              <w:rPr>
                <w:spacing w:val="-49"/>
              </w:rPr>
              <w:t xml:space="preserve"> </w:t>
            </w:r>
            <w:r>
              <w:rPr>
                <w:rFonts w:ascii="Times New Roman" w:hAnsi="Times New Roman" w:eastAsia="Times New Roman" w:cs="Times New Roman"/>
                <w:spacing w:val="-3"/>
              </w:rPr>
              <w:t>6-8</w:t>
            </w:r>
            <w:r>
              <w:rPr>
                <w:rFonts w:ascii="Times New Roman" w:hAnsi="Times New Roman" w:eastAsia="Times New Roman" w:cs="Times New Roman"/>
                <w:spacing w:val="15"/>
              </w:rPr>
              <w:t xml:space="preserve"> </w:t>
            </w:r>
            <w:r>
              <w:rPr>
                <w:spacing w:val="-3"/>
              </w:rPr>
              <w:t>月</w:t>
            </w:r>
            <w:r>
              <w:rPr>
                <w:spacing w:val="-18"/>
              </w:rPr>
              <w:t>），</w:t>
            </w:r>
            <w:r>
              <w:rPr>
                <w:spacing w:val="-3"/>
              </w:rPr>
              <w:t>应尽量减少因施工噪声所引起的干扰鸟</w:t>
            </w:r>
            <w:r>
              <w:t xml:space="preserve"> </w:t>
            </w:r>
            <w:r>
              <w:rPr>
                <w:spacing w:val="-2"/>
              </w:rPr>
              <w:t>类繁殖的情况发生。</w:t>
            </w:r>
          </w:p>
          <w:p w14:paraId="67976EB8">
            <w:pPr>
              <w:pStyle w:val="6"/>
              <w:spacing w:before="182" w:line="312" w:lineRule="auto"/>
              <w:ind w:left="110" w:right="207" w:firstLine="477"/>
            </w:pPr>
            <w:r>
              <w:t>⑥科学规划、精心组织、强化教育、缩短工期，减</w:t>
            </w:r>
            <w:r>
              <w:rPr>
                <w:spacing w:val="-1"/>
              </w:rPr>
              <w:t>少工程施工期对鸟类</w:t>
            </w:r>
            <w:r>
              <w:t xml:space="preserve"> 栖息地的扰动和破坏，降低施工噪声对鸟类的惊</w:t>
            </w:r>
            <w:r>
              <w:rPr>
                <w:spacing w:val="-1"/>
              </w:rPr>
              <w:t>扰和驱赶，避免捕鸟、掏蛋</w:t>
            </w:r>
            <w:r>
              <w:t xml:space="preserve"> </w:t>
            </w:r>
            <w:r>
              <w:rPr>
                <w:spacing w:val="-1"/>
              </w:rPr>
              <w:t>等对鸟类直接伤害的行为。</w:t>
            </w:r>
          </w:p>
          <w:p w14:paraId="10B771A7">
            <w:pPr>
              <w:pStyle w:val="6"/>
              <w:spacing w:before="183" w:line="219" w:lineRule="auto"/>
              <w:ind w:left="600"/>
            </w:pPr>
            <w:r>
              <w:rPr>
                <w:b/>
                <w:bCs/>
                <w:spacing w:val="-5"/>
              </w:rPr>
              <w:t>（</w:t>
            </w:r>
            <w:r>
              <w:rPr>
                <w:rFonts w:ascii="Times New Roman" w:hAnsi="Times New Roman" w:eastAsia="Times New Roman" w:cs="Times New Roman"/>
                <w:b/>
                <w:bCs/>
                <w:spacing w:val="-5"/>
              </w:rPr>
              <w:t>4</w:t>
            </w:r>
            <w:r>
              <w:rPr>
                <w:b/>
                <w:bCs/>
                <w:spacing w:val="-5"/>
              </w:rPr>
              <w:t>）修复措施</w:t>
            </w:r>
          </w:p>
          <w:p w14:paraId="1B784CAD">
            <w:pPr>
              <w:pStyle w:val="6"/>
              <w:spacing w:before="181" w:line="313" w:lineRule="auto"/>
              <w:ind w:left="110" w:right="207" w:firstLine="478"/>
            </w:pPr>
            <w:r>
              <w:t>①严格施工管理，禁止超范围占地；光伏区除桩</w:t>
            </w:r>
            <w:r>
              <w:rPr>
                <w:spacing w:val="-1"/>
              </w:rPr>
              <w:t>基用地外，严禁硬化地</w:t>
            </w:r>
            <w:r>
              <w:t xml:space="preserve"> 面、严禁抛荒、撂荒；施工结束后，对裸露的土</w:t>
            </w:r>
            <w:r>
              <w:rPr>
                <w:spacing w:val="-1"/>
              </w:rPr>
              <w:t>地进行绿化、对临时占地进</w:t>
            </w:r>
            <w:r>
              <w:t xml:space="preserve"> </w:t>
            </w:r>
            <w:r>
              <w:rPr>
                <w:spacing w:val="-3"/>
              </w:rPr>
              <w:t>行修复。</w:t>
            </w:r>
          </w:p>
          <w:p w14:paraId="721E4154">
            <w:pPr>
              <w:pStyle w:val="6"/>
              <w:spacing w:before="180" w:line="336" w:lineRule="auto"/>
              <w:ind w:left="108" w:right="168" w:firstLine="479"/>
            </w:pPr>
            <w:r>
              <w:rPr>
                <w:spacing w:val="1"/>
              </w:rPr>
              <w:t>②占用林草地区域时，光伏板下方原有植被盖度达到</w:t>
            </w:r>
            <w:r>
              <w:rPr>
                <w:rFonts w:ascii="Times New Roman" w:hAnsi="Times New Roman" w:eastAsia="Times New Roman" w:cs="Times New Roman"/>
                <w:spacing w:val="1"/>
              </w:rPr>
              <w:t>30%</w:t>
            </w:r>
            <w:r>
              <w:rPr>
                <w:spacing w:val="1"/>
              </w:rPr>
              <w:t>以上，且具备</w:t>
            </w:r>
            <w:r>
              <w:rPr>
                <w:spacing w:val="18"/>
              </w:rPr>
              <w:t xml:space="preserve"> </w:t>
            </w:r>
            <w:r>
              <w:t>自然恢复条件的，以自然恢复植被为主，不采取开挖</w:t>
            </w:r>
            <w:r>
              <w:rPr>
                <w:spacing w:val="-1"/>
              </w:rPr>
              <w:t>补种、更替树种、除草</w:t>
            </w:r>
            <w:r>
              <w:t xml:space="preserve"> </w:t>
            </w:r>
            <w:r>
              <w:rPr>
                <w:spacing w:val="-1"/>
              </w:rPr>
              <w:t>等人工干预措施；原有植被盖度达到</w:t>
            </w:r>
            <w:r>
              <w:rPr>
                <w:spacing w:val="-46"/>
              </w:rPr>
              <w:t xml:space="preserve"> </w:t>
            </w:r>
            <w:r>
              <w:rPr>
                <w:rFonts w:ascii="Times New Roman" w:hAnsi="Times New Roman" w:eastAsia="Times New Roman" w:cs="Times New Roman"/>
                <w:spacing w:val="-1"/>
              </w:rPr>
              <w:t>20%</w:t>
            </w:r>
            <w:r>
              <w:rPr>
                <w:spacing w:val="-1"/>
              </w:rPr>
              <w:t>以上</w:t>
            </w:r>
            <w:r>
              <w:rPr>
                <w:spacing w:val="-50"/>
              </w:rPr>
              <w:t xml:space="preserve"> </w:t>
            </w:r>
            <w:r>
              <w:rPr>
                <w:rFonts w:ascii="Times New Roman" w:hAnsi="Times New Roman" w:eastAsia="Times New Roman" w:cs="Times New Roman"/>
                <w:spacing w:val="-1"/>
              </w:rPr>
              <w:t>30%</w:t>
            </w:r>
            <w:r>
              <w:rPr>
                <w:spacing w:val="-1"/>
              </w:rPr>
              <w:t>以下，且具备自然恢复条</w:t>
            </w:r>
            <w:r>
              <w:t xml:space="preserve"> </w:t>
            </w:r>
            <w:r>
              <w:rPr>
                <w:spacing w:val="-1"/>
              </w:rPr>
              <w:t>件的，采取补植补种修复植被；原有植被盖度低于</w:t>
            </w:r>
            <w:r>
              <w:rPr>
                <w:spacing w:val="-37"/>
              </w:rPr>
              <w:t xml:space="preserve"> </w:t>
            </w:r>
            <w:r>
              <w:rPr>
                <w:rFonts w:ascii="Times New Roman" w:hAnsi="Times New Roman" w:eastAsia="Times New Roman" w:cs="Times New Roman"/>
                <w:spacing w:val="-1"/>
              </w:rPr>
              <w:t>20%</w:t>
            </w:r>
            <w:r>
              <w:rPr>
                <w:spacing w:val="-1"/>
              </w:rPr>
              <w:t>的，采取人工种草等</w:t>
            </w:r>
            <w:r>
              <w:t xml:space="preserve"> </w:t>
            </w:r>
            <w:r>
              <w:rPr>
                <w:spacing w:val="1"/>
              </w:rPr>
              <w:t>措施改良植被及土壤条件，防止水土流失和</w:t>
            </w:r>
            <w:r>
              <w:t xml:space="preserve">土壤侵蚀；尽量选用当地物种， </w:t>
            </w:r>
            <w:r>
              <w:rPr>
                <w:spacing w:val="-2"/>
              </w:rPr>
              <w:t>不引入外来物种。</w:t>
            </w:r>
          </w:p>
          <w:p w14:paraId="79B63EB3">
            <w:pPr>
              <w:pStyle w:val="6"/>
              <w:spacing w:before="183" w:line="324" w:lineRule="auto"/>
              <w:ind w:left="108" w:right="207" w:firstLine="479"/>
            </w:pPr>
            <w:r>
              <w:rPr>
                <w:spacing w:val="-1"/>
              </w:rPr>
              <w:t>③植被恢复及绿化过程中，宜采用当地植物进行</w:t>
            </w:r>
            <w:r>
              <w:rPr>
                <w:spacing w:val="-2"/>
              </w:rPr>
              <w:t>“恢复性</w:t>
            </w:r>
            <w:r>
              <w:rPr>
                <w:spacing w:val="-88"/>
              </w:rPr>
              <w:t xml:space="preserve"> </w:t>
            </w:r>
            <w:r>
              <w:rPr>
                <w:spacing w:val="-2"/>
              </w:rPr>
              <w:t>”种植，然后</w:t>
            </w:r>
            <w:r>
              <w:t xml:space="preserve"> </w:t>
            </w:r>
            <w:r>
              <w:rPr>
                <w:spacing w:val="-1"/>
              </w:rPr>
              <w:t>采取“封育</w:t>
            </w:r>
            <w:r>
              <w:rPr>
                <w:spacing w:val="-88"/>
              </w:rPr>
              <w:t xml:space="preserve"> </w:t>
            </w:r>
            <w:r>
              <w:rPr>
                <w:spacing w:val="-1"/>
              </w:rPr>
              <w:t>”手段，促进自然恢复。在植被恢复及绿化</w:t>
            </w:r>
            <w:r>
              <w:rPr>
                <w:spacing w:val="-2"/>
              </w:rPr>
              <w:t>过程中，应选择乡土</w:t>
            </w:r>
            <w:r>
              <w:t xml:space="preserve"> 树种及适合当地环境的植物，并注意乔、灌、草搭配</w:t>
            </w:r>
            <w:r>
              <w:rPr>
                <w:spacing w:val="-1"/>
              </w:rPr>
              <w:t>的原则，同时要与周围</w:t>
            </w:r>
            <w:r>
              <w:t xml:space="preserve"> 的自然景观相协调统一，可选用火棘、清香</w:t>
            </w:r>
            <w:r>
              <w:rPr>
                <w:spacing w:val="-1"/>
              </w:rPr>
              <w:t>木、马桑等乡土植物。</w:t>
            </w:r>
          </w:p>
          <w:p w14:paraId="7464461B">
            <w:pPr>
              <w:pStyle w:val="6"/>
              <w:spacing w:before="179" w:line="290" w:lineRule="auto"/>
              <w:ind w:left="111" w:right="104" w:firstLine="476"/>
            </w:pPr>
            <w:r>
              <w:rPr>
                <w:spacing w:val="3"/>
              </w:rPr>
              <w:t>④施工结束及时完成临时设施拆除、场地清理及植被恢复；及时完成林</w:t>
            </w:r>
            <w:r>
              <w:rPr>
                <w:spacing w:val="1"/>
              </w:rPr>
              <w:t xml:space="preserve"> </w:t>
            </w:r>
            <w:r>
              <w:rPr>
                <w:spacing w:val="-2"/>
              </w:rPr>
              <w:t>光</w:t>
            </w:r>
            <w:r>
              <w:rPr>
                <w:rFonts w:ascii="Times New Roman" w:hAnsi="Times New Roman" w:eastAsia="Times New Roman" w:cs="Times New Roman"/>
                <w:spacing w:val="-2"/>
              </w:rPr>
              <w:t>+</w:t>
            </w:r>
            <w:r>
              <w:rPr>
                <w:spacing w:val="-2"/>
              </w:rPr>
              <w:t>草光复合工程。</w:t>
            </w:r>
          </w:p>
          <w:p w14:paraId="7E96EDA5">
            <w:pPr>
              <w:pStyle w:val="6"/>
              <w:spacing w:before="181" w:line="217" w:lineRule="auto"/>
              <w:ind w:left="587"/>
            </w:pPr>
            <w:r>
              <w:t>⑤项目施工过程中、施工结束后应按照《化桃箐光</w:t>
            </w:r>
            <w:r>
              <w:rPr>
                <w:spacing w:val="-1"/>
              </w:rPr>
              <w:t>伏发电项目水土保持</w:t>
            </w:r>
          </w:p>
        </w:tc>
      </w:tr>
    </w:tbl>
    <w:p w14:paraId="5227DDA0">
      <w:pPr>
        <w:rPr>
          <w:rFonts w:ascii="Arial"/>
          <w:sz w:val="21"/>
        </w:rPr>
      </w:pPr>
    </w:p>
    <w:p w14:paraId="513D53BF">
      <w:pPr>
        <w:rPr>
          <w:rFonts w:ascii="Arial" w:hAnsi="Arial" w:eastAsia="Arial" w:cs="Arial"/>
          <w:sz w:val="21"/>
          <w:szCs w:val="21"/>
        </w:rPr>
        <w:sectPr>
          <w:footerReference r:id="rId157" w:type="default"/>
          <w:pgSz w:w="11907" w:h="16840"/>
          <w:pgMar w:top="1431" w:right="1453" w:bottom="1278" w:left="1453" w:header="0" w:footer="1116" w:gutter="0"/>
          <w:cols w:space="720" w:num="1"/>
        </w:sectPr>
      </w:pPr>
    </w:p>
    <w:p w14:paraId="2880B7F5">
      <w:pPr>
        <w:spacing w:line="99"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08D0C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48" w:type="dxa"/>
            <w:tcBorders>
              <w:right w:val="single" w:color="000000" w:sz="2" w:space="0"/>
            </w:tcBorders>
            <w:vAlign w:val="top"/>
          </w:tcPr>
          <w:p w14:paraId="04451FE3">
            <w:pPr>
              <w:rPr>
                <w:rFonts w:ascii="Arial"/>
                <w:sz w:val="21"/>
              </w:rPr>
            </w:pPr>
          </w:p>
        </w:tc>
        <w:tc>
          <w:tcPr>
            <w:tcW w:w="8237" w:type="dxa"/>
            <w:tcBorders>
              <w:left w:val="single" w:color="000000" w:sz="2" w:space="0"/>
            </w:tcBorders>
            <w:vAlign w:val="top"/>
          </w:tcPr>
          <w:p w14:paraId="6652F88B">
            <w:pPr>
              <w:pStyle w:val="6"/>
              <w:spacing w:before="41" w:line="218" w:lineRule="auto"/>
              <w:ind w:left="110"/>
            </w:pPr>
            <w:r>
              <w:rPr>
                <w:spacing w:val="-1"/>
              </w:rPr>
              <w:t>方案报告书（报批稿）》中的要求采取相应水保措施。</w:t>
            </w:r>
          </w:p>
          <w:p w14:paraId="34B55157">
            <w:pPr>
              <w:pStyle w:val="6"/>
              <w:spacing w:before="182" w:line="220" w:lineRule="auto"/>
              <w:ind w:left="600"/>
            </w:pPr>
            <w:r>
              <w:rPr>
                <w:b/>
                <w:bCs/>
                <w:spacing w:val="-5"/>
              </w:rPr>
              <w:t>（</w:t>
            </w:r>
            <w:r>
              <w:rPr>
                <w:rFonts w:ascii="Times New Roman" w:hAnsi="Times New Roman" w:eastAsia="Times New Roman" w:cs="Times New Roman"/>
                <w:b/>
                <w:bCs/>
                <w:spacing w:val="-5"/>
              </w:rPr>
              <w:t>5</w:t>
            </w:r>
            <w:r>
              <w:rPr>
                <w:b/>
                <w:bCs/>
                <w:spacing w:val="-5"/>
              </w:rPr>
              <w:t>）补偿措施</w:t>
            </w:r>
          </w:p>
          <w:p w14:paraId="283D4141">
            <w:pPr>
              <w:pStyle w:val="6"/>
              <w:spacing w:before="178" w:line="353" w:lineRule="auto"/>
              <w:ind w:left="108" w:right="207" w:firstLine="484"/>
            </w:pPr>
            <w:r>
              <w:rPr>
                <w:spacing w:val="-1"/>
              </w:rPr>
              <w:t>项目建设要永久性的和临时性占用一部分草地、林地、设施农用地等，</w:t>
            </w:r>
            <w:r>
              <w:rPr>
                <w:spacing w:val="16"/>
              </w:rPr>
              <w:t xml:space="preserve"> </w:t>
            </w:r>
            <w:r>
              <w:t>使这些资源受到损失，因此必须按照国家相关土地补</w:t>
            </w:r>
            <w:r>
              <w:rPr>
                <w:spacing w:val="-1"/>
              </w:rPr>
              <w:t>偿标准予以补偿。应根</w:t>
            </w:r>
            <w:r>
              <w:t xml:space="preserve"> 据国家关于林地补偿相关规定，向地方缴纳森林植被</w:t>
            </w:r>
            <w:r>
              <w:rPr>
                <w:spacing w:val="-1"/>
              </w:rPr>
              <w:t>恢复费，补偿项目占地</w:t>
            </w:r>
            <w:r>
              <w:t xml:space="preserve"> </w:t>
            </w:r>
            <w:r>
              <w:rPr>
                <w:spacing w:val="-1"/>
              </w:rPr>
              <w:t>造成的损失，专款用于林地恢复、异地造林和养护。</w:t>
            </w:r>
          </w:p>
          <w:p w14:paraId="5C826125">
            <w:pPr>
              <w:pStyle w:val="6"/>
              <w:spacing w:before="35" w:line="219" w:lineRule="auto"/>
              <w:ind w:left="600"/>
            </w:pPr>
            <w:r>
              <w:rPr>
                <w:b/>
                <w:bCs/>
                <w:spacing w:val="-5"/>
              </w:rPr>
              <w:t>（</w:t>
            </w:r>
            <w:r>
              <w:rPr>
                <w:rFonts w:ascii="Times New Roman" w:hAnsi="Times New Roman" w:eastAsia="Times New Roman" w:cs="Times New Roman"/>
                <w:b/>
                <w:bCs/>
                <w:spacing w:val="-5"/>
              </w:rPr>
              <w:t>6</w:t>
            </w:r>
            <w:r>
              <w:rPr>
                <w:b/>
                <w:bCs/>
                <w:spacing w:val="-5"/>
              </w:rPr>
              <w:t>）管理措施</w:t>
            </w:r>
          </w:p>
          <w:p w14:paraId="3D6B6191">
            <w:pPr>
              <w:pStyle w:val="6"/>
              <w:spacing w:before="182" w:line="324" w:lineRule="auto"/>
              <w:ind w:left="109" w:right="40" w:firstLine="479"/>
            </w:pPr>
            <w:r>
              <w:rPr>
                <w:spacing w:val="-3"/>
              </w:rPr>
              <w:t>①严格按照征地范围进行施工，划定最小施工范围，严格划定施工界限，</w:t>
            </w:r>
            <w:r>
              <w:rPr>
                <w:spacing w:val="13"/>
              </w:rPr>
              <w:t xml:space="preserve"> </w:t>
            </w:r>
            <w:r>
              <w:t>禁止超范围占地，避免超计划占用林地、林木，严</w:t>
            </w:r>
            <w:r>
              <w:rPr>
                <w:spacing w:val="-1"/>
              </w:rPr>
              <w:t>禁随意扩大占地范围，严</w:t>
            </w:r>
            <w:r>
              <w:t xml:space="preserve">  </w:t>
            </w:r>
            <w:r>
              <w:rPr>
                <w:spacing w:val="-3"/>
              </w:rPr>
              <w:t>禁施工人员砍伐、破坏工程占地区外的植被，严禁在征地范围外堆渣等作业，</w:t>
            </w:r>
            <w:r>
              <w:rPr>
                <w:spacing w:val="18"/>
              </w:rPr>
              <w:t xml:space="preserve"> </w:t>
            </w:r>
            <w:r>
              <w:rPr>
                <w:spacing w:val="-1"/>
              </w:rPr>
              <w:t>减少植被受影响面积。</w:t>
            </w:r>
          </w:p>
          <w:p w14:paraId="0D1A385C">
            <w:pPr>
              <w:pStyle w:val="6"/>
              <w:spacing w:before="180" w:line="217" w:lineRule="auto"/>
              <w:jc w:val="right"/>
            </w:pPr>
            <w:r>
              <w:rPr>
                <w:spacing w:val="-2"/>
              </w:rPr>
              <w:t>②施工应加强施工期的环境监理工作，定期编制环境监理报送相关部门。</w:t>
            </w:r>
          </w:p>
          <w:p w14:paraId="477F3DAD">
            <w:pPr>
              <w:pStyle w:val="6"/>
              <w:spacing w:before="188" w:line="331" w:lineRule="auto"/>
              <w:ind w:left="109" w:right="42" w:firstLine="478"/>
            </w:pPr>
            <w:r>
              <w:rPr>
                <w:spacing w:val="3"/>
              </w:rPr>
              <w:t>③建设单位应成立监督管理机构，制定相应的管理、奖惩制度，配备专</w:t>
            </w:r>
            <w:r>
              <w:rPr>
                <w:spacing w:val="1"/>
              </w:rPr>
              <w:t xml:space="preserve"> </w:t>
            </w:r>
            <w:r>
              <w:rPr>
                <w:spacing w:val="-3"/>
              </w:rPr>
              <w:t>职人员对工程施工的全过程进行监督管理。杜绝乱砍滥伐、捕猎行为的发生；</w:t>
            </w:r>
            <w:r>
              <w:rPr>
                <w:spacing w:val="16"/>
              </w:rPr>
              <w:t xml:space="preserve"> </w:t>
            </w:r>
            <w:r>
              <w:rPr>
                <w:spacing w:val="3"/>
              </w:rPr>
              <w:t>加强林业管理，严禁捕猎鸟类、兽类、砍伐非施工区域的植物，违</w:t>
            </w:r>
            <w:r>
              <w:rPr>
                <w:spacing w:val="2"/>
              </w:rPr>
              <w:t>者应依法</w:t>
            </w:r>
            <w:r>
              <w:t xml:space="preserve"> </w:t>
            </w:r>
            <w:r>
              <w:rPr>
                <w:spacing w:val="3"/>
              </w:rPr>
              <w:t>处理。同时注意森林防火，避免森林火灾的发生。工程建设区应设</w:t>
            </w:r>
            <w:r>
              <w:rPr>
                <w:spacing w:val="2"/>
              </w:rPr>
              <w:t>置警示牌</w:t>
            </w:r>
            <w:r>
              <w:t xml:space="preserve"> </w:t>
            </w:r>
            <w:r>
              <w:rPr>
                <w:spacing w:val="-1"/>
              </w:rPr>
              <w:t>提醒施工人员，保护生态环境。</w:t>
            </w:r>
          </w:p>
          <w:p w14:paraId="648B655B">
            <w:pPr>
              <w:pStyle w:val="6"/>
              <w:spacing w:before="179" w:line="290" w:lineRule="auto"/>
              <w:ind w:left="109" w:right="207" w:firstLine="478"/>
            </w:pPr>
            <w:r>
              <w:t>④植被恢复期应注意加强管理巡查，做好浇水、施</w:t>
            </w:r>
            <w:r>
              <w:rPr>
                <w:spacing w:val="-1"/>
              </w:rPr>
              <w:t>肥保障措施，若发现</w:t>
            </w:r>
            <w:r>
              <w:t xml:space="preserve"> </w:t>
            </w:r>
            <w:r>
              <w:rPr>
                <w:spacing w:val="-1"/>
              </w:rPr>
              <w:t>种植的植物死亡，应查明死亡原因，并进行补种和加强管理。</w:t>
            </w:r>
          </w:p>
          <w:p w14:paraId="054CAE8C">
            <w:pPr>
              <w:pStyle w:val="6"/>
              <w:spacing w:before="181" w:line="351" w:lineRule="auto"/>
              <w:ind w:left="108" w:right="101" w:firstLine="508"/>
              <w:jc w:val="both"/>
            </w:pPr>
            <w:r>
              <w:rPr>
                <w:spacing w:val="2"/>
              </w:rPr>
              <w:t>以上生态影响保护措施技术可行，经济合理，便于实施，在采取上述措</w:t>
            </w:r>
            <w:r>
              <w:rPr>
                <w:spacing w:val="5"/>
              </w:rPr>
              <w:t xml:space="preserve"> </w:t>
            </w:r>
            <w:r>
              <w:rPr>
                <w:spacing w:val="3"/>
              </w:rPr>
              <w:t>施后，可有效控制水土流失，保护区域生态环境，使本项目的建设</w:t>
            </w:r>
            <w:r>
              <w:rPr>
                <w:spacing w:val="2"/>
              </w:rPr>
              <w:t>对生态环</w:t>
            </w:r>
            <w:r>
              <w:t xml:space="preserve"> </w:t>
            </w:r>
            <w:r>
              <w:rPr>
                <w:spacing w:val="-1"/>
              </w:rPr>
              <w:t>境的影响在环境可接受的范围内。</w:t>
            </w:r>
          </w:p>
          <w:p w14:paraId="3441F6D6">
            <w:pPr>
              <w:pStyle w:val="6"/>
              <w:spacing w:before="32" w:line="220" w:lineRule="auto"/>
              <w:ind w:left="592"/>
            </w:pPr>
            <w:r>
              <w:rPr>
                <w:b/>
                <w:bCs/>
                <w:spacing w:val="-4"/>
              </w:rPr>
              <w:t>二、污染影响控制措施</w:t>
            </w:r>
          </w:p>
          <w:p w14:paraId="26CB3276">
            <w:pPr>
              <w:pStyle w:val="6"/>
              <w:spacing w:before="182" w:line="220" w:lineRule="auto"/>
              <w:ind w:left="595"/>
            </w:pPr>
            <w:r>
              <w:rPr>
                <w:rFonts w:ascii="Times New Roman" w:hAnsi="Times New Roman" w:eastAsia="Times New Roman" w:cs="Times New Roman"/>
                <w:b/>
                <w:bCs/>
                <w:spacing w:val="-6"/>
              </w:rPr>
              <w:t>1</w:t>
            </w:r>
            <w:r>
              <w:rPr>
                <w:rFonts w:ascii="Times New Roman" w:hAnsi="Times New Roman" w:eastAsia="Times New Roman" w:cs="Times New Roman"/>
                <w:b/>
                <w:bCs/>
                <w:spacing w:val="-33"/>
              </w:rPr>
              <w:t xml:space="preserve"> </w:t>
            </w:r>
            <w:r>
              <w:rPr>
                <w:b/>
                <w:bCs/>
                <w:spacing w:val="-6"/>
              </w:rPr>
              <w:t>、大气污染防治措施</w:t>
            </w:r>
          </w:p>
          <w:p w14:paraId="4549DB8C">
            <w:pPr>
              <w:pStyle w:val="6"/>
              <w:spacing w:before="178" w:line="290" w:lineRule="auto"/>
              <w:ind w:left="115" w:right="101" w:firstLine="484"/>
            </w:pPr>
            <w:r>
              <w:rPr>
                <w:spacing w:val="-1"/>
              </w:rPr>
              <w:t>（</w:t>
            </w:r>
            <w:r>
              <w:rPr>
                <w:rFonts w:ascii="Times New Roman" w:hAnsi="Times New Roman" w:eastAsia="Times New Roman" w:cs="Times New Roman"/>
                <w:spacing w:val="-1"/>
              </w:rPr>
              <w:t>1</w:t>
            </w:r>
            <w:r>
              <w:rPr>
                <w:spacing w:val="-1"/>
              </w:rPr>
              <w:t>）施工场地（包括主要运输道路和料场）在非雨天适时洒</w:t>
            </w:r>
            <w:r>
              <w:rPr>
                <w:spacing w:val="-2"/>
              </w:rPr>
              <w:t>水，洒水频</w:t>
            </w:r>
            <w:r>
              <w:t xml:space="preserve"> </w:t>
            </w:r>
            <w:r>
              <w:rPr>
                <w:spacing w:val="-1"/>
              </w:rPr>
              <w:t>次由现场监理人员根据实际情况而定。</w:t>
            </w:r>
          </w:p>
          <w:p w14:paraId="78ABCF3F">
            <w:pPr>
              <w:pStyle w:val="6"/>
              <w:spacing w:before="182" w:line="289" w:lineRule="auto"/>
              <w:ind w:left="108" w:right="101" w:firstLine="492"/>
            </w:pPr>
            <w:r>
              <w:rPr>
                <w:spacing w:val="-1"/>
              </w:rPr>
              <w:t>（</w:t>
            </w:r>
            <w:r>
              <w:rPr>
                <w:rFonts w:ascii="Times New Roman" w:hAnsi="Times New Roman" w:eastAsia="Times New Roman" w:cs="Times New Roman"/>
                <w:spacing w:val="-1"/>
              </w:rPr>
              <w:t>2</w:t>
            </w:r>
            <w:r>
              <w:rPr>
                <w:spacing w:val="-1"/>
              </w:rPr>
              <w:t>）施工过程堆放的渣土必须有防尘措施并及时清运；建筑</w:t>
            </w:r>
            <w:r>
              <w:rPr>
                <w:spacing w:val="-2"/>
              </w:rPr>
              <w:t>材料应存放</w:t>
            </w:r>
            <w:r>
              <w:t xml:space="preserve"> </w:t>
            </w:r>
            <w:r>
              <w:rPr>
                <w:spacing w:val="-1"/>
              </w:rPr>
              <w:t>在临时堆棚内，或加盖苫布，防止风致扬尘。</w:t>
            </w:r>
          </w:p>
          <w:p w14:paraId="0CCACA70">
            <w:pPr>
              <w:pStyle w:val="6"/>
              <w:spacing w:before="181" w:line="219" w:lineRule="auto"/>
              <w:ind w:left="600"/>
            </w:pPr>
            <w:r>
              <w:rPr>
                <w:spacing w:val="-1"/>
              </w:rPr>
              <w:t>（</w:t>
            </w:r>
            <w:r>
              <w:rPr>
                <w:rFonts w:ascii="Times New Roman" w:hAnsi="Times New Roman" w:eastAsia="Times New Roman" w:cs="Times New Roman"/>
                <w:spacing w:val="-1"/>
              </w:rPr>
              <w:t>3</w:t>
            </w:r>
            <w:r>
              <w:rPr>
                <w:spacing w:val="-1"/>
              </w:rPr>
              <w:t>）施工车辆运输采用封闭运输，避免沿途洒落尘土。</w:t>
            </w:r>
          </w:p>
        </w:tc>
      </w:tr>
    </w:tbl>
    <w:p w14:paraId="23CD5FB5">
      <w:pPr>
        <w:rPr>
          <w:rFonts w:ascii="Arial"/>
          <w:sz w:val="21"/>
        </w:rPr>
      </w:pPr>
    </w:p>
    <w:p w14:paraId="274AD996">
      <w:pPr>
        <w:rPr>
          <w:rFonts w:ascii="Arial" w:hAnsi="Arial" w:eastAsia="Arial" w:cs="Arial"/>
          <w:sz w:val="21"/>
          <w:szCs w:val="21"/>
        </w:rPr>
        <w:sectPr>
          <w:footerReference r:id="rId158" w:type="default"/>
          <w:pgSz w:w="11907" w:h="16840"/>
          <w:pgMar w:top="1431" w:right="1453" w:bottom="1278" w:left="1453" w:header="0" w:footer="1116" w:gutter="0"/>
          <w:cols w:space="720" w:num="1"/>
        </w:sectPr>
      </w:pPr>
    </w:p>
    <w:p w14:paraId="7D53E51C">
      <w:pPr>
        <w:spacing w:line="99"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1C06D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48" w:type="dxa"/>
            <w:tcBorders>
              <w:right w:val="single" w:color="000000" w:sz="2" w:space="0"/>
            </w:tcBorders>
            <w:vAlign w:val="top"/>
          </w:tcPr>
          <w:p w14:paraId="032EE6D9">
            <w:pPr>
              <w:rPr>
                <w:rFonts w:ascii="Arial"/>
                <w:sz w:val="21"/>
              </w:rPr>
            </w:pPr>
          </w:p>
        </w:tc>
        <w:tc>
          <w:tcPr>
            <w:tcW w:w="8237" w:type="dxa"/>
            <w:tcBorders>
              <w:left w:val="single" w:color="000000" w:sz="2" w:space="0"/>
            </w:tcBorders>
            <w:vAlign w:val="top"/>
          </w:tcPr>
          <w:p w14:paraId="11F4FBA2">
            <w:pPr>
              <w:pStyle w:val="6"/>
              <w:spacing w:before="41" w:line="219" w:lineRule="auto"/>
              <w:ind w:left="600"/>
            </w:pPr>
            <w:r>
              <w:rPr>
                <w:spacing w:val="-1"/>
              </w:rPr>
              <w:t>（</w:t>
            </w:r>
            <w:r>
              <w:rPr>
                <w:rFonts w:ascii="Times New Roman" w:hAnsi="Times New Roman" w:eastAsia="Times New Roman" w:cs="Times New Roman"/>
                <w:spacing w:val="-1"/>
              </w:rPr>
              <w:t>4</w:t>
            </w:r>
            <w:r>
              <w:rPr>
                <w:spacing w:val="-1"/>
              </w:rPr>
              <w:t>）升压站施工现场周边及光伏阵列区距离居民点一侧设置防尘围挡。</w:t>
            </w:r>
          </w:p>
          <w:p w14:paraId="5875C771">
            <w:pPr>
              <w:pStyle w:val="6"/>
              <w:spacing w:before="180" w:line="289" w:lineRule="auto"/>
              <w:ind w:left="112" w:right="101" w:firstLine="488"/>
            </w:pPr>
            <w:r>
              <w:rPr>
                <w:spacing w:val="-1"/>
              </w:rPr>
              <w:t>（</w:t>
            </w:r>
            <w:r>
              <w:rPr>
                <w:rFonts w:ascii="Times New Roman" w:hAnsi="Times New Roman" w:eastAsia="Times New Roman" w:cs="Times New Roman"/>
                <w:spacing w:val="-1"/>
              </w:rPr>
              <w:t>5</w:t>
            </w:r>
            <w:r>
              <w:rPr>
                <w:spacing w:val="-1"/>
              </w:rPr>
              <w:t>）施工场地内车辆应采取低速行驶，道路保持清洁，裸露</w:t>
            </w:r>
            <w:r>
              <w:rPr>
                <w:spacing w:val="-2"/>
              </w:rPr>
              <w:t>场地采取洒</w:t>
            </w:r>
            <w:r>
              <w:t xml:space="preserve"> </w:t>
            </w:r>
            <w:r>
              <w:rPr>
                <w:spacing w:val="-3"/>
              </w:rPr>
              <w:t>水降尘措施。</w:t>
            </w:r>
          </w:p>
          <w:p w14:paraId="596BE454">
            <w:pPr>
              <w:pStyle w:val="6"/>
              <w:spacing w:before="183" w:line="219" w:lineRule="auto"/>
              <w:ind w:left="600"/>
            </w:pPr>
            <w:r>
              <w:rPr>
                <w:spacing w:val="-1"/>
              </w:rPr>
              <w:t>（</w:t>
            </w:r>
            <w:r>
              <w:rPr>
                <w:rFonts w:ascii="Times New Roman" w:hAnsi="Times New Roman" w:eastAsia="Times New Roman" w:cs="Times New Roman"/>
                <w:spacing w:val="-1"/>
              </w:rPr>
              <w:t>6</w:t>
            </w:r>
            <w:r>
              <w:rPr>
                <w:spacing w:val="-1"/>
              </w:rPr>
              <w:t>）施工过程堆放的渣土必须有防尘措施并及时清运。</w:t>
            </w:r>
          </w:p>
          <w:p w14:paraId="49020681">
            <w:pPr>
              <w:pStyle w:val="6"/>
              <w:spacing w:before="182" w:line="220" w:lineRule="auto"/>
              <w:ind w:left="600"/>
            </w:pPr>
            <w:r>
              <w:rPr>
                <w:spacing w:val="-1"/>
              </w:rPr>
              <w:t>（</w:t>
            </w:r>
            <w:r>
              <w:rPr>
                <w:rFonts w:ascii="Times New Roman" w:hAnsi="Times New Roman" w:eastAsia="Times New Roman" w:cs="Times New Roman"/>
                <w:spacing w:val="-1"/>
              </w:rPr>
              <w:t>7</w:t>
            </w:r>
            <w:r>
              <w:rPr>
                <w:spacing w:val="-1"/>
              </w:rPr>
              <w:t>）施工后要及时清理平整场地、及时实施地面绿化措施。</w:t>
            </w:r>
          </w:p>
          <w:p w14:paraId="29E213C5">
            <w:pPr>
              <w:pStyle w:val="6"/>
              <w:spacing w:before="178" w:line="290" w:lineRule="auto"/>
              <w:ind w:left="111" w:right="101" w:firstLine="489"/>
            </w:pPr>
            <w:r>
              <w:rPr>
                <w:spacing w:val="-1"/>
              </w:rPr>
              <w:t>（</w:t>
            </w:r>
            <w:r>
              <w:rPr>
                <w:rFonts w:ascii="Times New Roman" w:hAnsi="Times New Roman" w:eastAsia="Times New Roman" w:cs="Times New Roman"/>
                <w:spacing w:val="-1"/>
              </w:rPr>
              <w:t>8</w:t>
            </w:r>
            <w:r>
              <w:rPr>
                <w:spacing w:val="-1"/>
              </w:rPr>
              <w:t>）不得在工地内熔融沥青，禁止在工地内焚烧油毡、油漆</w:t>
            </w:r>
            <w:r>
              <w:rPr>
                <w:spacing w:val="-2"/>
              </w:rPr>
              <w:t>以及其他产</w:t>
            </w:r>
            <w:r>
              <w:t xml:space="preserve"> </w:t>
            </w:r>
            <w:r>
              <w:rPr>
                <w:spacing w:val="-1"/>
              </w:rPr>
              <w:t>生有害、有毒气体和烟尘的物品。</w:t>
            </w:r>
          </w:p>
          <w:p w14:paraId="5103726A">
            <w:pPr>
              <w:pStyle w:val="6"/>
              <w:spacing w:before="180" w:line="219" w:lineRule="auto"/>
              <w:ind w:left="600"/>
            </w:pPr>
            <w:r>
              <w:rPr>
                <w:spacing w:val="-1"/>
              </w:rPr>
              <w:t>（</w:t>
            </w:r>
            <w:r>
              <w:rPr>
                <w:rFonts w:ascii="Times New Roman" w:hAnsi="Times New Roman" w:eastAsia="Times New Roman" w:cs="Times New Roman"/>
                <w:spacing w:val="-1"/>
              </w:rPr>
              <w:t>9</w:t>
            </w:r>
            <w:r>
              <w:rPr>
                <w:spacing w:val="-1"/>
              </w:rPr>
              <w:t>）食堂油烟经抽油烟机处理后，通过专用油烟管道排放。</w:t>
            </w:r>
          </w:p>
          <w:p w14:paraId="76794E0C">
            <w:pPr>
              <w:pStyle w:val="6"/>
              <w:spacing w:before="183" w:line="313" w:lineRule="auto"/>
              <w:ind w:left="110" w:right="40" w:firstLine="490"/>
            </w:pPr>
            <w:r>
              <w:rPr>
                <w:spacing w:val="2"/>
              </w:rPr>
              <w:t>（</w:t>
            </w:r>
            <w:r>
              <w:rPr>
                <w:rFonts w:ascii="Times New Roman" w:hAnsi="Times New Roman" w:eastAsia="Times New Roman" w:cs="Times New Roman"/>
                <w:spacing w:val="2"/>
              </w:rPr>
              <w:t>10</w:t>
            </w:r>
            <w:r>
              <w:rPr>
                <w:spacing w:val="2"/>
              </w:rPr>
              <w:t>）推行绿色文明施工管理模式，建设单位、施工单位在合同中依法</w:t>
            </w:r>
            <w:r>
              <w:rPr>
                <w:spacing w:val="17"/>
              </w:rPr>
              <w:t xml:space="preserve"> </w:t>
            </w:r>
            <w:r>
              <w:rPr>
                <w:spacing w:val="-3"/>
              </w:rPr>
              <w:t>明确扬尘污染治理实施方案和责任，并将防治费用列入工程成本，单独列支，</w:t>
            </w:r>
            <w:r>
              <w:rPr>
                <w:spacing w:val="17"/>
              </w:rPr>
              <w:t xml:space="preserve"> </w:t>
            </w:r>
            <w:r>
              <w:rPr>
                <w:spacing w:val="-3"/>
              </w:rPr>
              <w:t>专款专用。</w:t>
            </w:r>
          </w:p>
          <w:p w14:paraId="1DCE3E9E">
            <w:pPr>
              <w:pStyle w:val="6"/>
              <w:spacing w:before="180" w:line="219" w:lineRule="auto"/>
              <w:ind w:left="585"/>
            </w:pPr>
            <w:r>
              <w:rPr>
                <w:rFonts w:ascii="Times New Roman" w:hAnsi="Times New Roman" w:eastAsia="Times New Roman" w:cs="Times New Roman"/>
                <w:b/>
                <w:bCs/>
                <w:spacing w:val="-6"/>
              </w:rPr>
              <w:t>2</w:t>
            </w:r>
            <w:r>
              <w:rPr>
                <w:rFonts w:ascii="Times New Roman" w:hAnsi="Times New Roman" w:eastAsia="Times New Roman" w:cs="Times New Roman"/>
                <w:b/>
                <w:bCs/>
                <w:spacing w:val="-29"/>
              </w:rPr>
              <w:t xml:space="preserve"> </w:t>
            </w:r>
            <w:r>
              <w:rPr>
                <w:b/>
                <w:bCs/>
                <w:spacing w:val="-6"/>
              </w:rPr>
              <w:t>、水污染防治措施</w:t>
            </w:r>
          </w:p>
          <w:p w14:paraId="71860038">
            <w:pPr>
              <w:pStyle w:val="6"/>
              <w:spacing w:before="185" w:line="312" w:lineRule="auto"/>
              <w:ind w:left="112" w:right="101" w:firstLine="488"/>
            </w:pPr>
            <w:r>
              <w:rPr>
                <w:spacing w:val="-3"/>
              </w:rPr>
              <w:t>（</w:t>
            </w:r>
            <w:r>
              <w:rPr>
                <w:rFonts w:ascii="Times New Roman" w:hAnsi="Times New Roman" w:eastAsia="Times New Roman" w:cs="Times New Roman"/>
                <w:spacing w:val="-3"/>
              </w:rPr>
              <w:t>1</w:t>
            </w:r>
            <w:r>
              <w:rPr>
                <w:spacing w:val="-3"/>
              </w:rPr>
              <w:t>）施工废水：在升压站施工场区设置</w:t>
            </w:r>
            <w:r>
              <w:rPr>
                <w:spacing w:val="-32"/>
              </w:rPr>
              <w:t xml:space="preserve"> </w:t>
            </w:r>
            <w:r>
              <w:rPr>
                <w:rFonts w:ascii="Times New Roman" w:hAnsi="Times New Roman" w:eastAsia="Times New Roman" w:cs="Times New Roman"/>
                <w:spacing w:val="-3"/>
              </w:rPr>
              <w:t xml:space="preserve">1 </w:t>
            </w:r>
            <w:r>
              <w:rPr>
                <w:spacing w:val="-3"/>
              </w:rPr>
              <w:t>座</w:t>
            </w:r>
            <w:r>
              <w:rPr>
                <w:spacing w:val="-48"/>
              </w:rPr>
              <w:t xml:space="preserve"> </w:t>
            </w:r>
            <w:r>
              <w:rPr>
                <w:rFonts w:ascii="Times New Roman" w:hAnsi="Times New Roman" w:eastAsia="Times New Roman" w:cs="Times New Roman"/>
                <w:spacing w:val="-3"/>
              </w:rPr>
              <w:t>5m</w:t>
            </w:r>
            <w:r>
              <w:rPr>
                <w:rFonts w:ascii="Times New Roman" w:hAnsi="Times New Roman" w:eastAsia="Times New Roman" w:cs="Times New Roman"/>
                <w:spacing w:val="-3"/>
                <w:position w:val="8"/>
                <w:sz w:val="15"/>
                <w:szCs w:val="15"/>
              </w:rPr>
              <w:t xml:space="preserve">3  </w:t>
            </w:r>
            <w:r>
              <w:rPr>
                <w:spacing w:val="-3"/>
              </w:rPr>
              <w:t>的沉淀池，</w:t>
            </w:r>
            <w:r>
              <w:rPr>
                <w:spacing w:val="-4"/>
              </w:rPr>
              <w:t>用于处理施</w:t>
            </w:r>
            <w:r>
              <w:t xml:space="preserve"> </w:t>
            </w:r>
            <w:r>
              <w:rPr>
                <w:spacing w:val="3"/>
              </w:rPr>
              <w:t>工养护废水，产生的废水经沉淀池处理后，全部回用于施工</w:t>
            </w:r>
            <w:r>
              <w:rPr>
                <w:spacing w:val="2"/>
              </w:rPr>
              <w:t>用水和场地洒水</w:t>
            </w:r>
            <w:r>
              <w:t xml:space="preserve"> </w:t>
            </w:r>
            <w:r>
              <w:rPr>
                <w:spacing w:val="-2"/>
              </w:rPr>
              <w:t>降尘，不外排。</w:t>
            </w:r>
          </w:p>
          <w:p w14:paraId="0C21619D">
            <w:pPr>
              <w:pStyle w:val="6"/>
              <w:spacing w:before="182" w:line="312" w:lineRule="auto"/>
              <w:ind w:left="111" w:right="21" w:firstLine="489"/>
            </w:pPr>
            <w:r>
              <w:rPr>
                <w:spacing w:val="-1"/>
              </w:rPr>
              <w:t>（</w:t>
            </w:r>
            <w:r>
              <w:rPr>
                <w:rFonts w:ascii="Times New Roman" w:hAnsi="Times New Roman" w:eastAsia="Times New Roman" w:cs="Times New Roman"/>
                <w:spacing w:val="-1"/>
              </w:rPr>
              <w:t>2</w:t>
            </w:r>
            <w:r>
              <w:rPr>
                <w:spacing w:val="-1"/>
              </w:rPr>
              <w:t>）雨天地表径流：各片区施工前，应先按主体设计及水土</w:t>
            </w:r>
            <w:r>
              <w:rPr>
                <w:spacing w:val="-2"/>
              </w:rPr>
              <w:t>保持方案完</w:t>
            </w:r>
            <w:r>
              <w:t xml:space="preserve"> </w:t>
            </w:r>
            <w:r>
              <w:rPr>
                <w:spacing w:val="3"/>
              </w:rPr>
              <w:t>成截排水沟及临时沉沙池的挖设，施工过程中产生的雨</w:t>
            </w:r>
            <w:r>
              <w:rPr>
                <w:spacing w:val="2"/>
              </w:rPr>
              <w:t>天地表径流经临时排</w:t>
            </w:r>
            <w:r>
              <w:t xml:space="preserve"> </w:t>
            </w:r>
            <w:r>
              <w:rPr>
                <w:spacing w:val="-2"/>
              </w:rPr>
              <w:t>水沟引入沉沙池沉淀处理后，全部回用于施工过程及场地洒水降尘，不外排。</w:t>
            </w:r>
          </w:p>
          <w:p w14:paraId="743D26ED">
            <w:pPr>
              <w:pStyle w:val="6"/>
              <w:spacing w:before="184" w:line="288" w:lineRule="auto"/>
              <w:ind w:left="114" w:right="127" w:firstLine="485"/>
            </w:pPr>
            <w:r>
              <w:rPr>
                <w:spacing w:val="-2"/>
              </w:rPr>
              <w:t>（</w:t>
            </w:r>
            <w:r>
              <w:rPr>
                <w:rFonts w:ascii="Times New Roman" w:hAnsi="Times New Roman" w:eastAsia="Times New Roman" w:cs="Times New Roman"/>
                <w:spacing w:val="-2"/>
              </w:rPr>
              <w:t>3</w:t>
            </w:r>
            <w:r>
              <w:rPr>
                <w:spacing w:val="-2"/>
              </w:rPr>
              <w:t>）加强管理，做好机械的日常维修保养，杜绝跑、冒、滴、漏现象。</w:t>
            </w:r>
            <w:r>
              <w:rPr>
                <w:spacing w:val="2"/>
              </w:rPr>
              <w:t xml:space="preserve"> </w:t>
            </w:r>
            <w:r>
              <w:rPr>
                <w:spacing w:val="-1"/>
              </w:rPr>
              <w:t>另外，雨天应对各类机械、粉状物料进行遮盖防雨。</w:t>
            </w:r>
          </w:p>
          <w:p w14:paraId="41A858D5">
            <w:pPr>
              <w:pStyle w:val="6"/>
              <w:spacing w:before="186" w:line="312" w:lineRule="auto"/>
              <w:ind w:left="112" w:right="101" w:firstLine="488"/>
            </w:pPr>
            <w:r>
              <w:rPr>
                <w:spacing w:val="-1"/>
              </w:rPr>
              <w:t>（</w:t>
            </w:r>
            <w:r>
              <w:rPr>
                <w:rFonts w:ascii="Times New Roman" w:hAnsi="Times New Roman" w:eastAsia="Times New Roman" w:cs="Times New Roman"/>
                <w:spacing w:val="-1"/>
              </w:rPr>
              <w:t>4</w:t>
            </w:r>
            <w:r>
              <w:rPr>
                <w:spacing w:val="-1"/>
              </w:rPr>
              <w:t>）节约用水，减少施工废水的产生，且尽量避免雨季土石</w:t>
            </w:r>
            <w:r>
              <w:rPr>
                <w:spacing w:val="-2"/>
              </w:rPr>
              <w:t>方施工，暴</w:t>
            </w:r>
            <w:r>
              <w:t xml:space="preserve"> </w:t>
            </w:r>
            <w:r>
              <w:rPr>
                <w:spacing w:val="3"/>
              </w:rPr>
              <w:t>雨期间停止地基开挖等扰动地表类的施工。禁止任何施工废</w:t>
            </w:r>
            <w:r>
              <w:rPr>
                <w:spacing w:val="2"/>
              </w:rPr>
              <w:t>水排入周边地表</w:t>
            </w:r>
            <w:r>
              <w:t xml:space="preserve"> </w:t>
            </w:r>
            <w:r>
              <w:rPr>
                <w:spacing w:val="-7"/>
              </w:rPr>
              <w:t>水。</w:t>
            </w:r>
          </w:p>
          <w:p w14:paraId="28187785">
            <w:pPr>
              <w:pStyle w:val="6"/>
              <w:spacing w:before="183" w:line="331" w:lineRule="auto"/>
              <w:ind w:left="108" w:right="101" w:firstLine="492"/>
            </w:pPr>
            <w:r>
              <w:rPr>
                <w:spacing w:val="-1"/>
              </w:rPr>
              <w:t>（</w:t>
            </w:r>
            <w:r>
              <w:rPr>
                <w:rFonts w:ascii="Times New Roman" w:hAnsi="Times New Roman" w:eastAsia="Times New Roman" w:cs="Times New Roman"/>
                <w:spacing w:val="-1"/>
              </w:rPr>
              <w:t>5</w:t>
            </w:r>
            <w:r>
              <w:rPr>
                <w:spacing w:val="-1"/>
              </w:rPr>
              <w:t>）项目所有区块均不在化桃箐饮用水水源保护区汇水区范</w:t>
            </w:r>
            <w:r>
              <w:rPr>
                <w:spacing w:val="-2"/>
              </w:rPr>
              <w:t>围内，施工</w:t>
            </w:r>
            <w:r>
              <w:t xml:space="preserve"> </w:t>
            </w:r>
            <w:r>
              <w:rPr>
                <w:spacing w:val="3"/>
              </w:rPr>
              <w:t>结束后及时进行生态恢复，施工废水经沉淀处理后回用于洒水降尘。</w:t>
            </w:r>
            <w:r>
              <w:rPr>
                <w:spacing w:val="2"/>
              </w:rPr>
              <w:t>基础施</w:t>
            </w:r>
            <w:r>
              <w:t xml:space="preserve"> </w:t>
            </w:r>
            <w:r>
              <w:rPr>
                <w:spacing w:val="3"/>
              </w:rPr>
              <w:t>工前，必须先在施工场地四周修建截（排）水沟、沉砂池等，沉砂</w:t>
            </w:r>
            <w:r>
              <w:rPr>
                <w:spacing w:val="2"/>
              </w:rPr>
              <w:t>池出口铺</w:t>
            </w:r>
            <w:r>
              <w:t xml:space="preserve"> </w:t>
            </w:r>
            <w:r>
              <w:rPr>
                <w:spacing w:val="3"/>
              </w:rPr>
              <w:t>设土工布。施工过程中加强施工人员的环保教育，严禁在周围地表水</w:t>
            </w:r>
            <w:r>
              <w:rPr>
                <w:spacing w:val="2"/>
              </w:rPr>
              <w:t>体内清</w:t>
            </w:r>
            <w:r>
              <w:t xml:space="preserve"> </w:t>
            </w:r>
            <w:r>
              <w:rPr>
                <w:spacing w:val="-1"/>
              </w:rPr>
              <w:t>洗车辆、建筑材料等。</w:t>
            </w:r>
          </w:p>
          <w:p w14:paraId="51C71F44">
            <w:pPr>
              <w:pStyle w:val="6"/>
              <w:spacing w:before="180" w:line="219" w:lineRule="auto"/>
              <w:ind w:left="591"/>
            </w:pPr>
            <w:r>
              <w:rPr>
                <w:spacing w:val="3"/>
              </w:rPr>
              <w:t>经采取以上措施后，施工期废水可以得到妥善处理，对化桃箐和下游牛</w:t>
            </w:r>
          </w:p>
        </w:tc>
      </w:tr>
    </w:tbl>
    <w:p w14:paraId="69904544">
      <w:pPr>
        <w:rPr>
          <w:rFonts w:ascii="Arial"/>
          <w:sz w:val="21"/>
        </w:rPr>
      </w:pPr>
    </w:p>
    <w:p w14:paraId="38BFD4F0">
      <w:pPr>
        <w:rPr>
          <w:rFonts w:ascii="Arial" w:hAnsi="Arial" w:eastAsia="Arial" w:cs="Arial"/>
          <w:sz w:val="21"/>
          <w:szCs w:val="21"/>
        </w:rPr>
        <w:sectPr>
          <w:footerReference r:id="rId159" w:type="default"/>
          <w:pgSz w:w="11907" w:h="16840"/>
          <w:pgMar w:top="1431" w:right="1453" w:bottom="1278" w:left="1453" w:header="0" w:footer="1116" w:gutter="0"/>
          <w:cols w:space="720" w:num="1"/>
        </w:sectPr>
      </w:pPr>
    </w:p>
    <w:p w14:paraId="43FD3EED">
      <w:pPr>
        <w:spacing w:line="99"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190BF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6" w:hRule="atLeast"/>
        </w:trPr>
        <w:tc>
          <w:tcPr>
            <w:tcW w:w="748" w:type="dxa"/>
            <w:tcBorders>
              <w:right w:val="single" w:color="000000" w:sz="2" w:space="0"/>
            </w:tcBorders>
            <w:vAlign w:val="top"/>
          </w:tcPr>
          <w:p w14:paraId="7AE7FE86">
            <w:pPr>
              <w:rPr>
                <w:rFonts w:ascii="Arial"/>
                <w:sz w:val="21"/>
              </w:rPr>
            </w:pPr>
          </w:p>
        </w:tc>
        <w:tc>
          <w:tcPr>
            <w:tcW w:w="8237" w:type="dxa"/>
            <w:tcBorders>
              <w:left w:val="single" w:color="000000" w:sz="2" w:space="0"/>
            </w:tcBorders>
            <w:vAlign w:val="top"/>
          </w:tcPr>
          <w:p w14:paraId="4F9D7FD4">
            <w:pPr>
              <w:pStyle w:val="6"/>
              <w:spacing w:before="41" w:line="220" w:lineRule="auto"/>
              <w:ind w:left="109"/>
            </w:pPr>
            <w:r>
              <w:rPr>
                <w:spacing w:val="-1"/>
              </w:rPr>
              <w:t>栏江环境影响小，措施可行。</w:t>
            </w:r>
          </w:p>
          <w:p w14:paraId="538817A7">
            <w:pPr>
              <w:pStyle w:val="6"/>
              <w:spacing w:before="179" w:line="220" w:lineRule="auto"/>
              <w:ind w:left="583"/>
            </w:pPr>
            <w:r>
              <w:rPr>
                <w:rFonts w:ascii="Times New Roman" w:hAnsi="Times New Roman" w:eastAsia="Times New Roman" w:cs="Times New Roman"/>
                <w:b/>
                <w:bCs/>
                <w:spacing w:val="-5"/>
              </w:rPr>
              <w:t>3</w:t>
            </w:r>
            <w:r>
              <w:rPr>
                <w:rFonts w:ascii="Times New Roman" w:hAnsi="Times New Roman" w:eastAsia="Times New Roman" w:cs="Times New Roman"/>
                <w:b/>
                <w:bCs/>
                <w:spacing w:val="-31"/>
              </w:rPr>
              <w:t xml:space="preserve"> </w:t>
            </w:r>
            <w:r>
              <w:rPr>
                <w:b/>
                <w:bCs/>
                <w:spacing w:val="-5"/>
              </w:rPr>
              <w:t>、噪声污染防治措施</w:t>
            </w:r>
          </w:p>
          <w:p w14:paraId="5787ECDC">
            <w:pPr>
              <w:pStyle w:val="6"/>
              <w:spacing w:before="177" w:line="325" w:lineRule="auto"/>
              <w:ind w:left="109" w:right="101" w:firstLine="491"/>
            </w:pPr>
            <w:r>
              <w:rPr>
                <w:spacing w:val="1"/>
              </w:rPr>
              <w:t>（</w:t>
            </w:r>
            <w:r>
              <w:rPr>
                <w:rFonts w:ascii="Times New Roman" w:hAnsi="Times New Roman" w:eastAsia="Times New Roman" w:cs="Times New Roman"/>
                <w:spacing w:val="1"/>
              </w:rPr>
              <w:t>1</w:t>
            </w:r>
            <w:r>
              <w:rPr>
                <w:spacing w:val="1"/>
              </w:rPr>
              <w:t>）临近鲁纳散户</w:t>
            </w:r>
            <w:r>
              <w:rPr>
                <w:spacing w:val="-30"/>
              </w:rPr>
              <w:t xml:space="preserve"> </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31m</w:t>
            </w:r>
            <w:r>
              <w:rPr>
                <w:spacing w:val="1"/>
              </w:rPr>
              <w:t>）、鲁纳散户</w:t>
            </w:r>
            <w:r>
              <w:rPr>
                <w:spacing w:val="-54"/>
              </w:rPr>
              <w:t xml:space="preserve"> </w:t>
            </w:r>
            <w:r>
              <w:rPr>
                <w:rFonts w:ascii="Times New Roman" w:hAnsi="Times New Roman" w:eastAsia="Times New Roman" w:cs="Times New Roman"/>
                <w:spacing w:val="1"/>
              </w:rPr>
              <w:t>4</w:t>
            </w:r>
            <w:r>
              <w:rPr>
                <w:spacing w:val="1"/>
              </w:rPr>
              <w:t>（</w:t>
            </w:r>
            <w:r>
              <w:rPr>
                <w:rFonts w:ascii="Times New Roman" w:hAnsi="Times New Roman" w:eastAsia="Times New Roman" w:cs="Times New Roman"/>
                <w:spacing w:val="1"/>
              </w:rPr>
              <w:t>3m</w:t>
            </w:r>
            <w:r>
              <w:rPr>
                <w:spacing w:val="1"/>
              </w:rPr>
              <w:t>）一侧施工时设置临时</w:t>
            </w:r>
            <w:r>
              <w:t xml:space="preserve"> </w:t>
            </w:r>
            <w:r>
              <w:rPr>
                <w:spacing w:val="3"/>
              </w:rPr>
              <w:t>移动声屏障，夜间禁止施工，因特殊需要必须连续作业的，</w:t>
            </w:r>
            <w:r>
              <w:rPr>
                <w:spacing w:val="2"/>
              </w:rPr>
              <w:t>施工单位必须持</w:t>
            </w:r>
            <w:r>
              <w:t xml:space="preserve"> </w:t>
            </w:r>
            <w:r>
              <w:rPr>
                <w:spacing w:val="1"/>
              </w:rPr>
              <w:t>有关主管部门的证明向生态环境局登记备案，并于连续施工之日</w:t>
            </w:r>
            <w:r>
              <w:rPr>
                <w:spacing w:val="-17"/>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6"/>
                <w:w w:val="101"/>
              </w:rPr>
              <w:t xml:space="preserve"> </w:t>
            </w:r>
            <w:r>
              <w:rPr>
                <w:spacing w:val="1"/>
              </w:rPr>
              <w:t>天前公告</w:t>
            </w:r>
            <w:r>
              <w:t xml:space="preserve"> </w:t>
            </w:r>
            <w:r>
              <w:rPr>
                <w:spacing w:val="-2"/>
              </w:rPr>
              <w:t>环境保护目标。</w:t>
            </w:r>
          </w:p>
          <w:p w14:paraId="46A1EB64">
            <w:pPr>
              <w:pStyle w:val="6"/>
              <w:spacing w:before="181" w:line="289" w:lineRule="auto"/>
              <w:ind w:left="110" w:right="101" w:firstLine="490"/>
            </w:pPr>
            <w:r>
              <w:rPr>
                <w:spacing w:val="-1"/>
              </w:rPr>
              <w:t>（</w:t>
            </w:r>
            <w:r>
              <w:rPr>
                <w:rFonts w:ascii="Times New Roman" w:hAnsi="Times New Roman" w:eastAsia="Times New Roman" w:cs="Times New Roman"/>
                <w:spacing w:val="-1"/>
              </w:rPr>
              <w:t>2</w:t>
            </w:r>
            <w:r>
              <w:rPr>
                <w:spacing w:val="-1"/>
              </w:rPr>
              <w:t>）使用低噪声机械设备，同时对设备进行定期保养和维护</w:t>
            </w:r>
            <w:r>
              <w:rPr>
                <w:spacing w:val="-2"/>
              </w:rPr>
              <w:t>，严格操作</w:t>
            </w:r>
            <w:r>
              <w:t xml:space="preserve"> </w:t>
            </w:r>
            <w:r>
              <w:rPr>
                <w:spacing w:val="-1"/>
              </w:rPr>
              <w:t>规范和操作规程，减少设备噪声的产生。</w:t>
            </w:r>
          </w:p>
          <w:p w14:paraId="7D56FBEB">
            <w:pPr>
              <w:pStyle w:val="6"/>
              <w:spacing w:before="182" w:line="289" w:lineRule="auto"/>
              <w:ind w:left="108" w:right="101" w:firstLine="492"/>
            </w:pPr>
            <w:r>
              <w:rPr>
                <w:spacing w:val="-1"/>
              </w:rPr>
              <w:t>（</w:t>
            </w:r>
            <w:r>
              <w:rPr>
                <w:rFonts w:ascii="Times New Roman" w:hAnsi="Times New Roman" w:eastAsia="Times New Roman" w:cs="Times New Roman"/>
                <w:spacing w:val="-1"/>
              </w:rPr>
              <w:t>3</w:t>
            </w:r>
            <w:r>
              <w:rPr>
                <w:spacing w:val="-1"/>
              </w:rPr>
              <w:t>）合理布设高噪声设备位置，尽量远离敏感点；对高噪声</w:t>
            </w:r>
            <w:r>
              <w:rPr>
                <w:spacing w:val="-2"/>
              </w:rPr>
              <w:t>设备采取减</w:t>
            </w:r>
            <w:r>
              <w:t xml:space="preserve"> </w:t>
            </w:r>
            <w:r>
              <w:rPr>
                <w:spacing w:val="-1"/>
              </w:rPr>
              <w:t>振、隔声等降噪措施。</w:t>
            </w:r>
          </w:p>
          <w:p w14:paraId="6AF31B96">
            <w:pPr>
              <w:pStyle w:val="6"/>
              <w:spacing w:before="184" w:line="312" w:lineRule="auto"/>
              <w:ind w:left="109" w:right="101" w:firstLine="491"/>
            </w:pPr>
            <w:r>
              <w:rPr>
                <w:spacing w:val="-1"/>
              </w:rPr>
              <w:t>（</w:t>
            </w:r>
            <w:r>
              <w:rPr>
                <w:rFonts w:ascii="Times New Roman" w:hAnsi="Times New Roman" w:eastAsia="Times New Roman" w:cs="Times New Roman"/>
                <w:spacing w:val="-1"/>
              </w:rPr>
              <w:t>4</w:t>
            </w:r>
            <w:r>
              <w:rPr>
                <w:spacing w:val="-1"/>
              </w:rPr>
              <w:t>）施工单位要文明施工，减轻施工期间施工人员产生的社</w:t>
            </w:r>
            <w:r>
              <w:rPr>
                <w:spacing w:val="-2"/>
              </w:rPr>
              <w:t>会噪声对环</w:t>
            </w:r>
            <w:r>
              <w:t xml:space="preserve"> </w:t>
            </w:r>
            <w:r>
              <w:rPr>
                <w:spacing w:val="3"/>
              </w:rPr>
              <w:t>境的影响。在施工现场标明投诉电话，对投诉问题建设单位应及时</w:t>
            </w:r>
            <w:r>
              <w:rPr>
                <w:spacing w:val="2"/>
              </w:rPr>
              <w:t>与当地生</w:t>
            </w:r>
            <w:r>
              <w:t xml:space="preserve"> </w:t>
            </w:r>
            <w:r>
              <w:rPr>
                <w:spacing w:val="-1"/>
              </w:rPr>
              <w:t>态环境部门沟通解决。</w:t>
            </w:r>
          </w:p>
          <w:p w14:paraId="2DAF5C4D">
            <w:pPr>
              <w:pStyle w:val="6"/>
              <w:spacing w:before="180" w:line="290" w:lineRule="auto"/>
              <w:ind w:left="111" w:right="127" w:firstLine="489"/>
            </w:pPr>
            <w:r>
              <w:rPr>
                <w:spacing w:val="-2"/>
              </w:rPr>
              <w:t>（</w:t>
            </w:r>
            <w:r>
              <w:rPr>
                <w:rFonts w:ascii="Times New Roman" w:hAnsi="Times New Roman" w:eastAsia="Times New Roman" w:cs="Times New Roman"/>
                <w:spacing w:val="-2"/>
              </w:rPr>
              <w:t>5</w:t>
            </w:r>
            <w:r>
              <w:rPr>
                <w:spacing w:val="-2"/>
              </w:rPr>
              <w:t>）运输过程中的车辆应尽量避免在夜间运输，限制车速，进出厂区、</w:t>
            </w:r>
            <w:r>
              <w:rPr>
                <w:spacing w:val="2"/>
              </w:rPr>
              <w:t xml:space="preserve"> </w:t>
            </w:r>
            <w:r>
              <w:rPr>
                <w:spacing w:val="-1"/>
              </w:rPr>
              <w:t>经过居民点时严禁鸣笛，做到文明行车。</w:t>
            </w:r>
          </w:p>
          <w:p w14:paraId="5E8A3FFF">
            <w:pPr>
              <w:pStyle w:val="6"/>
              <w:spacing w:before="182" w:line="289" w:lineRule="auto"/>
              <w:ind w:left="109" w:right="127" w:firstLine="491"/>
            </w:pPr>
            <w:r>
              <w:rPr>
                <w:spacing w:val="-2"/>
              </w:rPr>
              <w:t>（</w:t>
            </w:r>
            <w:r>
              <w:rPr>
                <w:rFonts w:ascii="Times New Roman" w:hAnsi="Times New Roman" w:eastAsia="Times New Roman" w:cs="Times New Roman"/>
                <w:spacing w:val="-2"/>
              </w:rPr>
              <w:t>6</w:t>
            </w:r>
            <w:r>
              <w:rPr>
                <w:spacing w:val="-2"/>
              </w:rPr>
              <w:t>）在进行物料运输时，应合理安排运输时间，经过敏感点时应低速、</w:t>
            </w:r>
            <w:r>
              <w:rPr>
                <w:spacing w:val="2"/>
              </w:rPr>
              <w:t xml:space="preserve"> </w:t>
            </w:r>
            <w:r>
              <w:rPr>
                <w:spacing w:val="-4"/>
              </w:rPr>
              <w:t>禁鸣。</w:t>
            </w:r>
          </w:p>
          <w:p w14:paraId="54AA09A1">
            <w:pPr>
              <w:pStyle w:val="6"/>
              <w:spacing w:before="181" w:line="313" w:lineRule="auto"/>
              <w:ind w:left="112" w:right="101" w:firstLine="488"/>
            </w:pPr>
            <w:r>
              <w:rPr>
                <w:spacing w:val="-1"/>
              </w:rPr>
              <w:t>（</w:t>
            </w:r>
            <w:r>
              <w:rPr>
                <w:rFonts w:ascii="Times New Roman" w:hAnsi="Times New Roman" w:eastAsia="Times New Roman" w:cs="Times New Roman"/>
                <w:spacing w:val="-1"/>
              </w:rPr>
              <w:t>7</w:t>
            </w:r>
            <w:r>
              <w:rPr>
                <w:spacing w:val="-1"/>
              </w:rPr>
              <w:t>）施工期间建设单位应与施工方签订环境管理责任书，具</w:t>
            </w:r>
            <w:r>
              <w:rPr>
                <w:spacing w:val="-2"/>
              </w:rPr>
              <w:t>体落实施工</w:t>
            </w:r>
            <w:r>
              <w:t xml:space="preserve"> </w:t>
            </w:r>
            <w:r>
              <w:rPr>
                <w:spacing w:val="3"/>
              </w:rPr>
              <w:t>期噪声防治措施，并且加强与周围可能受影响单位的沟通，</w:t>
            </w:r>
            <w:r>
              <w:rPr>
                <w:spacing w:val="2"/>
              </w:rPr>
              <w:t>减轻对声环境的</w:t>
            </w:r>
            <w:r>
              <w:t xml:space="preserve"> </w:t>
            </w:r>
            <w:r>
              <w:rPr>
                <w:spacing w:val="-3"/>
              </w:rPr>
              <w:t>不利影响。</w:t>
            </w:r>
          </w:p>
          <w:p w14:paraId="1D8563A9">
            <w:pPr>
              <w:pStyle w:val="6"/>
              <w:spacing w:before="181" w:line="347" w:lineRule="auto"/>
              <w:ind w:left="109" w:right="40" w:firstLine="481"/>
            </w:pPr>
            <w:r>
              <w:rPr>
                <w:spacing w:val="-3"/>
              </w:rPr>
              <w:t>经采取以上措施后，施工期噪声可以得到有效管控，对周围环境影响小，</w:t>
            </w:r>
            <w:r>
              <w:rPr>
                <w:spacing w:val="10"/>
              </w:rPr>
              <w:t xml:space="preserve"> </w:t>
            </w:r>
            <w:r>
              <w:rPr>
                <w:spacing w:val="-2"/>
              </w:rPr>
              <w:t>措施可行。</w:t>
            </w:r>
          </w:p>
          <w:p w14:paraId="0CED0CFE">
            <w:pPr>
              <w:pStyle w:val="6"/>
              <w:spacing w:before="31" w:line="220" w:lineRule="auto"/>
              <w:ind w:left="585"/>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、固体废物处置措施</w:t>
            </w:r>
          </w:p>
          <w:p w14:paraId="38CA24FE">
            <w:pPr>
              <w:pStyle w:val="6"/>
              <w:spacing w:before="181" w:line="324" w:lineRule="auto"/>
              <w:ind w:left="108" w:right="21" w:firstLine="492"/>
            </w:pPr>
            <w:r>
              <w:rPr>
                <w:spacing w:val="-1"/>
              </w:rPr>
              <w:t>（</w:t>
            </w:r>
            <w:r>
              <w:rPr>
                <w:rFonts w:ascii="Times New Roman" w:hAnsi="Times New Roman" w:eastAsia="Times New Roman" w:cs="Times New Roman"/>
                <w:spacing w:val="-1"/>
              </w:rPr>
              <w:t>1</w:t>
            </w:r>
            <w:r>
              <w:rPr>
                <w:spacing w:val="-1"/>
              </w:rPr>
              <w:t>）废弃土石方：项目剥离的表土直接回覆，不能及时回覆</w:t>
            </w:r>
            <w:r>
              <w:rPr>
                <w:spacing w:val="-2"/>
              </w:rPr>
              <w:t>表土暂存于</w:t>
            </w:r>
            <w:r>
              <w:t xml:space="preserve"> </w:t>
            </w:r>
            <w:r>
              <w:rPr>
                <w:spacing w:val="-2"/>
              </w:rPr>
              <w:t>表土堆场，施工结束用于绿化覆土，项目临时表土堆场均在项目用地范围内，</w:t>
            </w:r>
            <w:r>
              <w:rPr>
                <w:spacing w:val="4"/>
              </w:rPr>
              <w:t xml:space="preserve"> </w:t>
            </w:r>
            <w:r>
              <w:rPr>
                <w:spacing w:val="3"/>
              </w:rPr>
              <w:t>严禁新增占地，堆场应远离河道，并进行覆盖和拦挡。堆存时</w:t>
            </w:r>
            <w:r>
              <w:rPr>
                <w:spacing w:val="2"/>
              </w:rPr>
              <w:t>间较长时，应</w:t>
            </w:r>
            <w:r>
              <w:t xml:space="preserve"> </w:t>
            </w:r>
            <w:r>
              <w:rPr>
                <w:spacing w:val="-2"/>
              </w:rPr>
              <w:t>在堆土期间新增临时撒草措施。临时堆土清理后应对临时堆场覆土绿化处理。</w:t>
            </w:r>
          </w:p>
          <w:p w14:paraId="22512AC3">
            <w:pPr>
              <w:pStyle w:val="6"/>
              <w:spacing w:before="183" w:line="289" w:lineRule="auto"/>
              <w:ind w:left="111" w:right="101" w:firstLine="489"/>
            </w:pPr>
            <w:r>
              <w:rPr>
                <w:spacing w:val="-1"/>
              </w:rPr>
              <w:t>（</w:t>
            </w:r>
            <w:r>
              <w:rPr>
                <w:rFonts w:ascii="Times New Roman" w:hAnsi="Times New Roman" w:eastAsia="Times New Roman" w:cs="Times New Roman"/>
                <w:spacing w:val="-1"/>
              </w:rPr>
              <w:t>2</w:t>
            </w:r>
            <w:r>
              <w:rPr>
                <w:spacing w:val="-1"/>
              </w:rPr>
              <w:t>）建筑垃圾：应分类收集，能利用部分外售收购商进行回</w:t>
            </w:r>
            <w:r>
              <w:rPr>
                <w:spacing w:val="-2"/>
              </w:rPr>
              <w:t>收利用，不</w:t>
            </w:r>
            <w:r>
              <w:t xml:space="preserve"> </w:t>
            </w:r>
            <w:r>
              <w:rPr>
                <w:spacing w:val="-1"/>
              </w:rPr>
              <w:t>可回收部分委托施工单位清运至合法弃渣场规范处置。禁止乱堆乱倒。</w:t>
            </w:r>
          </w:p>
        </w:tc>
      </w:tr>
    </w:tbl>
    <w:p w14:paraId="7C5B9FFC">
      <w:pPr>
        <w:rPr>
          <w:rFonts w:ascii="Arial"/>
          <w:sz w:val="21"/>
        </w:rPr>
      </w:pPr>
    </w:p>
    <w:p w14:paraId="79ECD849">
      <w:pPr>
        <w:rPr>
          <w:rFonts w:ascii="Arial" w:hAnsi="Arial" w:eastAsia="Arial" w:cs="Arial"/>
          <w:sz w:val="21"/>
          <w:szCs w:val="21"/>
        </w:rPr>
        <w:sectPr>
          <w:footerReference r:id="rId160" w:type="default"/>
          <w:pgSz w:w="11907" w:h="16840"/>
          <w:pgMar w:top="1431" w:right="1453" w:bottom="1278" w:left="1453" w:header="0" w:footer="1116" w:gutter="0"/>
          <w:cols w:space="720" w:num="1"/>
        </w:sectPr>
      </w:pPr>
    </w:p>
    <w:p w14:paraId="02456AD1">
      <w:pPr>
        <w:spacing w:line="99"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7D62E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39" w:hRule="atLeast"/>
        </w:trPr>
        <w:tc>
          <w:tcPr>
            <w:tcW w:w="748" w:type="dxa"/>
            <w:tcBorders>
              <w:bottom w:val="single" w:color="000000" w:sz="2" w:space="0"/>
              <w:right w:val="single" w:color="000000" w:sz="2" w:space="0"/>
            </w:tcBorders>
            <w:vAlign w:val="top"/>
          </w:tcPr>
          <w:p w14:paraId="7FEE7B5A">
            <w:pPr>
              <w:rPr>
                <w:rFonts w:ascii="Arial"/>
                <w:sz w:val="21"/>
              </w:rPr>
            </w:pPr>
          </w:p>
        </w:tc>
        <w:tc>
          <w:tcPr>
            <w:tcW w:w="8237" w:type="dxa"/>
            <w:tcBorders>
              <w:left w:val="single" w:color="000000" w:sz="2" w:space="0"/>
              <w:bottom w:val="single" w:color="000000" w:sz="2" w:space="0"/>
            </w:tcBorders>
            <w:vAlign w:val="top"/>
          </w:tcPr>
          <w:p w14:paraId="2D6A3B27">
            <w:pPr>
              <w:pStyle w:val="6"/>
              <w:spacing w:before="41" w:line="312" w:lineRule="auto"/>
              <w:ind w:left="112" w:right="101" w:firstLine="487"/>
            </w:pPr>
            <w:r>
              <w:rPr>
                <w:spacing w:val="-1"/>
              </w:rPr>
              <w:t>（</w:t>
            </w:r>
            <w:r>
              <w:rPr>
                <w:rFonts w:ascii="Times New Roman" w:hAnsi="Times New Roman" w:eastAsia="Times New Roman" w:cs="Times New Roman"/>
                <w:spacing w:val="-1"/>
              </w:rPr>
              <w:t>3</w:t>
            </w:r>
            <w:r>
              <w:rPr>
                <w:spacing w:val="-1"/>
              </w:rPr>
              <w:t>）生活垃圾：在施工场地设置临时生活垃圾收集桶，对施</w:t>
            </w:r>
            <w:r>
              <w:rPr>
                <w:spacing w:val="-2"/>
              </w:rPr>
              <w:t>工人员的生</w:t>
            </w:r>
            <w:r>
              <w:t xml:space="preserve"> 活垃圾进行收集，垃圾实行“</w:t>
            </w:r>
            <w:r>
              <w:rPr>
                <w:spacing w:val="-66"/>
              </w:rPr>
              <w:t xml:space="preserve"> </w:t>
            </w:r>
            <w:r>
              <w:t>日产日清</w:t>
            </w:r>
            <w:r>
              <w:rPr>
                <w:spacing w:val="-83"/>
              </w:rPr>
              <w:t xml:space="preserve"> </w:t>
            </w:r>
            <w:r>
              <w:t xml:space="preserve">”，能回收利用部分回收利用，不能 </w:t>
            </w:r>
            <w:r>
              <w:rPr>
                <w:spacing w:val="-1"/>
              </w:rPr>
              <w:t>回收利用的委托当地环卫部门统一处置。</w:t>
            </w:r>
          </w:p>
          <w:p w14:paraId="4E82BDBA">
            <w:pPr>
              <w:pStyle w:val="6"/>
              <w:spacing w:before="183" w:line="219" w:lineRule="auto"/>
              <w:ind w:left="600"/>
            </w:pPr>
            <w:r>
              <w:rPr>
                <w:spacing w:val="-1"/>
              </w:rPr>
              <w:t>（</w:t>
            </w:r>
            <w:r>
              <w:rPr>
                <w:rFonts w:ascii="Times New Roman" w:hAnsi="Times New Roman" w:eastAsia="Times New Roman" w:cs="Times New Roman"/>
                <w:spacing w:val="-1"/>
              </w:rPr>
              <w:t>4</w:t>
            </w:r>
            <w:r>
              <w:rPr>
                <w:spacing w:val="-1"/>
              </w:rPr>
              <w:t>）餐厨废物分类收集后委托有资质的单位处置。</w:t>
            </w:r>
          </w:p>
          <w:p w14:paraId="40C97204">
            <w:pPr>
              <w:pStyle w:val="6"/>
              <w:spacing w:before="182" w:line="219" w:lineRule="auto"/>
              <w:ind w:left="600"/>
            </w:pPr>
            <w:r>
              <w:rPr>
                <w:spacing w:val="-1"/>
              </w:rPr>
              <w:t>（</w:t>
            </w:r>
            <w:r>
              <w:rPr>
                <w:rFonts w:ascii="Times New Roman" w:hAnsi="Times New Roman" w:eastAsia="Times New Roman" w:cs="Times New Roman"/>
                <w:spacing w:val="-1"/>
              </w:rPr>
              <w:t>5</w:t>
            </w:r>
            <w:r>
              <w:rPr>
                <w:spacing w:val="-1"/>
              </w:rPr>
              <w:t>）项目施工期旱厕产生的粪便委托周边村民清掏作为农肥使用。</w:t>
            </w:r>
          </w:p>
          <w:p w14:paraId="113B9470">
            <w:pPr>
              <w:pStyle w:val="6"/>
              <w:spacing w:before="182" w:line="289" w:lineRule="auto"/>
              <w:ind w:left="138" w:right="101" w:firstLine="462"/>
            </w:pPr>
            <w:r>
              <w:rPr>
                <w:spacing w:val="-1"/>
              </w:rPr>
              <w:t>（</w:t>
            </w:r>
            <w:r>
              <w:rPr>
                <w:rFonts w:ascii="Times New Roman" w:hAnsi="Times New Roman" w:eastAsia="Times New Roman" w:cs="Times New Roman"/>
                <w:spacing w:val="-1"/>
              </w:rPr>
              <w:t>6</w:t>
            </w:r>
            <w:r>
              <w:rPr>
                <w:spacing w:val="-1"/>
              </w:rPr>
              <w:t>）废弃设备零件经收集后回收利用。包装废物收集后进行</w:t>
            </w:r>
            <w:r>
              <w:rPr>
                <w:spacing w:val="-2"/>
              </w:rPr>
              <w:t>分类，均交</w:t>
            </w:r>
            <w:r>
              <w:t xml:space="preserve"> </w:t>
            </w:r>
            <w:r>
              <w:rPr>
                <w:spacing w:val="-3"/>
              </w:rPr>
              <w:t>由废品回收机构进行循环利用。</w:t>
            </w:r>
          </w:p>
          <w:p w14:paraId="5C1E8596">
            <w:pPr>
              <w:pStyle w:val="6"/>
              <w:spacing w:before="181" w:line="347" w:lineRule="auto"/>
              <w:ind w:left="110" w:right="207" w:firstLine="480"/>
            </w:pPr>
            <w:r>
              <w:rPr>
                <w:spacing w:val="-1"/>
              </w:rPr>
              <w:t>经采取以上措施后，施工期固体废物可以得到有效处理处置，对周围环</w:t>
            </w:r>
            <w:r>
              <w:rPr>
                <w:spacing w:val="18"/>
              </w:rPr>
              <w:t xml:space="preserve"> </w:t>
            </w:r>
            <w:r>
              <w:rPr>
                <w:spacing w:val="-2"/>
              </w:rPr>
              <w:t>境影响小，措施可行。</w:t>
            </w:r>
          </w:p>
          <w:p w14:paraId="7AA4F2ED">
            <w:pPr>
              <w:pStyle w:val="6"/>
              <w:spacing w:before="31" w:line="220" w:lineRule="auto"/>
              <w:ind w:left="527"/>
            </w:pPr>
            <w:r>
              <w:rPr>
                <w:b/>
                <w:bCs/>
                <w:spacing w:val="-2"/>
                <w:sz w:val="20"/>
                <w:szCs w:val="20"/>
              </w:rPr>
              <w:t>三</w:t>
            </w:r>
            <w:r>
              <w:rPr>
                <w:b/>
                <w:bCs/>
                <w:spacing w:val="-2"/>
              </w:rPr>
              <w:t>、措施的合理性分析</w:t>
            </w:r>
          </w:p>
          <w:p w14:paraId="598AEBF9">
            <w:pPr>
              <w:pStyle w:val="6"/>
              <w:spacing w:before="181" w:line="350" w:lineRule="auto"/>
              <w:ind w:left="109" w:right="101" w:firstLine="483"/>
              <w:jc w:val="both"/>
            </w:pPr>
            <w:r>
              <w:rPr>
                <w:spacing w:val="3"/>
              </w:rPr>
              <w:t>项目目前所采取的措施均是技术先进、经济合理，便于实施、能够</w:t>
            </w:r>
            <w:r>
              <w:rPr>
                <w:spacing w:val="2"/>
              </w:rPr>
              <w:t>稳定</w:t>
            </w:r>
            <w:r>
              <w:t xml:space="preserve"> </w:t>
            </w:r>
            <w:r>
              <w:rPr>
                <w:spacing w:val="3"/>
              </w:rPr>
              <w:t>运行，且长期有效可行的措施，在已有项目的运行中，暂未出现不</w:t>
            </w:r>
            <w:r>
              <w:rPr>
                <w:spacing w:val="2"/>
              </w:rPr>
              <w:t>可预见的</w:t>
            </w:r>
            <w:r>
              <w:t xml:space="preserve"> </w:t>
            </w:r>
            <w:r>
              <w:rPr>
                <w:spacing w:val="3"/>
              </w:rPr>
              <w:t>现象，运行较稳定。生态保护和修复效果，只要严格落实报告中提</w:t>
            </w:r>
            <w:r>
              <w:rPr>
                <w:spacing w:val="2"/>
              </w:rPr>
              <w:t>出的环境</w:t>
            </w:r>
            <w:r>
              <w:t xml:space="preserve"> </w:t>
            </w:r>
            <w:r>
              <w:rPr>
                <w:spacing w:val="-1"/>
              </w:rPr>
              <w:t>保护措施，其保护和修复效果是可以达到的。</w:t>
            </w:r>
          </w:p>
        </w:tc>
      </w:tr>
      <w:tr w14:paraId="45B12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2" w:hRule="atLeast"/>
        </w:trPr>
        <w:tc>
          <w:tcPr>
            <w:tcW w:w="748" w:type="dxa"/>
            <w:tcBorders>
              <w:top w:val="single" w:color="000000" w:sz="2" w:space="0"/>
              <w:right w:val="single" w:color="000000" w:sz="2" w:space="0"/>
            </w:tcBorders>
            <w:vAlign w:val="top"/>
          </w:tcPr>
          <w:p w14:paraId="6A3147DB">
            <w:pPr>
              <w:spacing w:line="260" w:lineRule="auto"/>
              <w:rPr>
                <w:rFonts w:ascii="Arial"/>
                <w:sz w:val="21"/>
              </w:rPr>
            </w:pPr>
          </w:p>
          <w:p w14:paraId="6AC1ECFA">
            <w:pPr>
              <w:spacing w:line="260" w:lineRule="auto"/>
              <w:rPr>
                <w:rFonts w:ascii="Arial"/>
                <w:sz w:val="21"/>
              </w:rPr>
            </w:pPr>
          </w:p>
          <w:p w14:paraId="27F454E6">
            <w:pPr>
              <w:spacing w:line="260" w:lineRule="auto"/>
              <w:rPr>
                <w:rFonts w:ascii="Arial"/>
                <w:sz w:val="21"/>
              </w:rPr>
            </w:pPr>
          </w:p>
          <w:p w14:paraId="4B699AF2">
            <w:pPr>
              <w:spacing w:line="260" w:lineRule="auto"/>
              <w:rPr>
                <w:rFonts w:ascii="Arial"/>
                <w:sz w:val="21"/>
              </w:rPr>
            </w:pPr>
          </w:p>
          <w:p w14:paraId="53C871FF">
            <w:pPr>
              <w:spacing w:line="260" w:lineRule="auto"/>
              <w:rPr>
                <w:rFonts w:ascii="Arial"/>
                <w:sz w:val="21"/>
              </w:rPr>
            </w:pPr>
          </w:p>
          <w:p w14:paraId="1F9AAE7D">
            <w:pPr>
              <w:spacing w:line="261" w:lineRule="auto"/>
              <w:rPr>
                <w:rFonts w:ascii="Arial"/>
                <w:sz w:val="21"/>
              </w:rPr>
            </w:pPr>
          </w:p>
          <w:p w14:paraId="7A9D0233">
            <w:pPr>
              <w:spacing w:line="261" w:lineRule="auto"/>
              <w:rPr>
                <w:rFonts w:ascii="Arial"/>
                <w:sz w:val="21"/>
              </w:rPr>
            </w:pPr>
          </w:p>
          <w:p w14:paraId="4ADE86F0">
            <w:pPr>
              <w:spacing w:line="261" w:lineRule="auto"/>
              <w:rPr>
                <w:rFonts w:ascii="Arial"/>
                <w:sz w:val="21"/>
              </w:rPr>
            </w:pPr>
          </w:p>
          <w:p w14:paraId="0E103436">
            <w:pPr>
              <w:spacing w:line="261" w:lineRule="auto"/>
              <w:rPr>
                <w:rFonts w:ascii="Arial"/>
                <w:sz w:val="21"/>
              </w:rPr>
            </w:pPr>
          </w:p>
          <w:p w14:paraId="18F1043F">
            <w:pPr>
              <w:spacing w:line="261" w:lineRule="auto"/>
              <w:rPr>
                <w:rFonts w:ascii="Arial"/>
                <w:sz w:val="21"/>
              </w:rPr>
            </w:pPr>
          </w:p>
          <w:p w14:paraId="249B7826">
            <w:pPr>
              <w:pStyle w:val="6"/>
              <w:spacing w:before="78" w:line="220" w:lineRule="auto"/>
              <w:ind w:left="112"/>
            </w:pPr>
            <w:r>
              <w:rPr>
                <w:spacing w:val="4"/>
              </w:rPr>
              <w:t>运营</w:t>
            </w:r>
          </w:p>
          <w:p w14:paraId="4809FE0F">
            <w:pPr>
              <w:pStyle w:val="6"/>
              <w:spacing w:before="26" w:line="220" w:lineRule="auto"/>
              <w:ind w:left="115"/>
            </w:pPr>
            <w:r>
              <w:rPr>
                <w:spacing w:val="3"/>
              </w:rPr>
              <w:t>期生</w:t>
            </w:r>
          </w:p>
          <w:p w14:paraId="743C6D71">
            <w:pPr>
              <w:pStyle w:val="6"/>
              <w:spacing w:before="24" w:line="221" w:lineRule="auto"/>
              <w:ind w:left="112"/>
            </w:pPr>
            <w:r>
              <w:rPr>
                <w:spacing w:val="4"/>
              </w:rPr>
              <w:t>态环</w:t>
            </w:r>
          </w:p>
          <w:p w14:paraId="16BD032B">
            <w:pPr>
              <w:pStyle w:val="6"/>
              <w:spacing w:before="24" w:line="220" w:lineRule="auto"/>
              <w:ind w:left="113"/>
            </w:pPr>
            <w:r>
              <w:rPr>
                <w:spacing w:val="4"/>
              </w:rPr>
              <w:t>境保</w:t>
            </w:r>
          </w:p>
          <w:p w14:paraId="577B1EE8">
            <w:pPr>
              <w:pStyle w:val="6"/>
              <w:spacing w:before="25" w:line="220" w:lineRule="auto"/>
              <w:ind w:left="113"/>
            </w:pPr>
            <w:r>
              <w:rPr>
                <w:spacing w:val="4"/>
              </w:rPr>
              <w:t>护措</w:t>
            </w:r>
          </w:p>
          <w:p w14:paraId="19355F1A">
            <w:pPr>
              <w:pStyle w:val="6"/>
              <w:spacing w:before="26" w:line="222" w:lineRule="auto"/>
              <w:ind w:left="243"/>
            </w:pPr>
            <w:r>
              <w:t>施</w:t>
            </w:r>
          </w:p>
        </w:tc>
        <w:tc>
          <w:tcPr>
            <w:tcW w:w="8237" w:type="dxa"/>
            <w:tcBorders>
              <w:top w:val="single" w:color="000000" w:sz="2" w:space="0"/>
              <w:left w:val="single" w:color="000000" w:sz="2" w:space="0"/>
            </w:tcBorders>
            <w:vAlign w:val="top"/>
          </w:tcPr>
          <w:p w14:paraId="2BC9065C">
            <w:pPr>
              <w:pStyle w:val="6"/>
              <w:spacing w:before="42" w:line="220" w:lineRule="auto"/>
              <w:ind w:left="633"/>
            </w:pPr>
            <w:r>
              <w:rPr>
                <w:b/>
                <w:bCs/>
                <w:spacing w:val="15"/>
              </w:rPr>
              <w:t>一、生态环境保护措施</w:t>
            </w:r>
          </w:p>
          <w:p w14:paraId="6BDE3B92">
            <w:pPr>
              <w:pStyle w:val="6"/>
              <w:spacing w:before="176" w:line="332" w:lineRule="auto"/>
              <w:ind w:left="109" w:right="101" w:firstLine="491"/>
            </w:pPr>
            <w:r>
              <w:rPr>
                <w:spacing w:val="-1"/>
              </w:rPr>
              <w:t>（</w:t>
            </w:r>
            <w:r>
              <w:rPr>
                <w:rFonts w:ascii="Times New Roman" w:hAnsi="Times New Roman" w:eastAsia="Times New Roman" w:cs="Times New Roman"/>
                <w:spacing w:val="-1"/>
              </w:rPr>
              <w:t>1</w:t>
            </w:r>
            <w:r>
              <w:rPr>
                <w:spacing w:val="-1"/>
              </w:rPr>
              <w:t>）严格执行《云南省能源局关于进一步支持光伏扶贫和规</w:t>
            </w:r>
            <w:r>
              <w:rPr>
                <w:spacing w:val="-2"/>
              </w:rPr>
              <w:t>范光伏发电</w:t>
            </w:r>
            <w:r>
              <w:t xml:space="preserve"> </w:t>
            </w:r>
            <w:r>
              <w:rPr>
                <w:spacing w:val="-3"/>
              </w:rPr>
              <w:t>产业用地的通知》（云自然资〔</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196</w:t>
            </w:r>
            <w:r>
              <w:rPr>
                <w:rFonts w:ascii="Times New Roman" w:hAnsi="Times New Roman" w:eastAsia="Times New Roman" w:cs="Times New Roman"/>
                <w:spacing w:val="16"/>
              </w:rPr>
              <w:t xml:space="preserve"> </w:t>
            </w:r>
            <w:r>
              <w:rPr>
                <w:spacing w:val="-3"/>
              </w:rPr>
              <w:t>号</w:t>
            </w:r>
            <w:r>
              <w:rPr>
                <w:spacing w:val="2"/>
              </w:rPr>
              <w:t>），</w:t>
            </w:r>
            <w:r>
              <w:rPr>
                <w:spacing w:val="-3"/>
              </w:rPr>
              <w:t>光伏复合项目，光伏板下及</w:t>
            </w:r>
            <w:r>
              <w:t xml:space="preserve"> 周围种植林草植被，光伏组件严格执行最低沿高于地面</w:t>
            </w:r>
            <w:r>
              <w:rPr>
                <w:spacing w:val="-55"/>
              </w:rPr>
              <w:t xml:space="preserve"> </w:t>
            </w:r>
            <w:r>
              <w:rPr>
                <w:rFonts w:ascii="Times New Roman" w:hAnsi="Times New Roman" w:eastAsia="Times New Roman" w:cs="Times New Roman"/>
              </w:rPr>
              <w:t>2.5m</w:t>
            </w:r>
            <w:r>
              <w:rPr>
                <w:rFonts w:ascii="Times New Roman" w:hAnsi="Times New Roman" w:eastAsia="Times New Roman" w:cs="Times New Roman"/>
                <w:spacing w:val="-33"/>
              </w:rPr>
              <w:t xml:space="preserve"> </w:t>
            </w:r>
            <w:r>
              <w:t>、</w:t>
            </w:r>
            <w:r>
              <w:rPr>
                <w:spacing w:val="-1"/>
              </w:rPr>
              <w:t>桩基间列间距</w:t>
            </w:r>
            <w:r>
              <w:t xml:space="preserve"> 大于</w:t>
            </w:r>
            <w:r>
              <w:rPr>
                <w:spacing w:val="-53"/>
              </w:rPr>
              <w:t xml:space="preserve"> </w:t>
            </w:r>
            <w:r>
              <w:rPr>
                <w:rFonts w:ascii="Times New Roman" w:hAnsi="Times New Roman" w:eastAsia="Times New Roman" w:cs="Times New Roman"/>
              </w:rPr>
              <w:t>4m</w:t>
            </w:r>
            <w:r>
              <w:rPr>
                <w:rFonts w:ascii="Times New Roman" w:hAnsi="Times New Roman" w:eastAsia="Times New Roman" w:cs="Times New Roman"/>
                <w:spacing w:val="-31"/>
              </w:rPr>
              <w:t xml:space="preserve"> </w:t>
            </w:r>
            <w:r>
              <w:t>、行间距大于</w:t>
            </w:r>
            <w:r>
              <w:rPr>
                <w:spacing w:val="-45"/>
              </w:rPr>
              <w:t xml:space="preserve"> </w:t>
            </w:r>
            <w:r>
              <w:rPr>
                <w:rFonts w:ascii="Times New Roman" w:hAnsi="Times New Roman" w:eastAsia="Times New Roman" w:cs="Times New Roman"/>
              </w:rPr>
              <w:t>6.5m</w:t>
            </w:r>
            <w:r>
              <w:rPr>
                <w:rFonts w:ascii="Times New Roman" w:hAnsi="Times New Roman" w:eastAsia="Times New Roman" w:cs="Times New Roman"/>
                <w:spacing w:val="32"/>
                <w:w w:val="101"/>
              </w:rPr>
              <w:t xml:space="preserve"> </w:t>
            </w:r>
            <w:r>
              <w:t>的架设要求，不破坏林业或农业生产条件，</w:t>
            </w:r>
            <w:r>
              <w:rPr>
                <w:spacing w:val="-1"/>
              </w:rPr>
              <w:t>除桩</w:t>
            </w:r>
            <w:r>
              <w:t xml:space="preserve"> </w:t>
            </w:r>
            <w:r>
              <w:rPr>
                <w:spacing w:val="-1"/>
              </w:rPr>
              <w:t>基用地外，严禁硬化地面，严禁抛荒、撂荒。</w:t>
            </w:r>
          </w:p>
          <w:p w14:paraId="580DD2CD">
            <w:pPr>
              <w:pStyle w:val="6"/>
              <w:spacing w:before="181" w:line="312" w:lineRule="auto"/>
              <w:ind w:left="108" w:right="101" w:firstLine="492"/>
            </w:pPr>
            <w:r>
              <w:rPr>
                <w:spacing w:val="-1"/>
              </w:rPr>
              <w:t>（</w:t>
            </w:r>
            <w:r>
              <w:rPr>
                <w:rFonts w:ascii="Times New Roman" w:hAnsi="Times New Roman" w:eastAsia="Times New Roman" w:cs="Times New Roman"/>
                <w:spacing w:val="-1"/>
              </w:rPr>
              <w:t>2</w:t>
            </w:r>
            <w:r>
              <w:rPr>
                <w:spacing w:val="-1"/>
              </w:rPr>
              <w:t>）光伏场区及临时道路区等临时用地区域在植被恢复过程</w:t>
            </w:r>
            <w:r>
              <w:rPr>
                <w:spacing w:val="-2"/>
              </w:rPr>
              <w:t>中，应加强</w:t>
            </w:r>
            <w:r>
              <w:t xml:space="preserve"> </w:t>
            </w:r>
            <w:r>
              <w:rPr>
                <w:spacing w:val="3"/>
              </w:rPr>
              <w:t>初期、中期的植被抚育工作。尽量采取场地封禁自然恢复，并辅以</w:t>
            </w:r>
            <w:r>
              <w:rPr>
                <w:spacing w:val="2"/>
              </w:rPr>
              <w:t>适当的人</w:t>
            </w:r>
            <w:r>
              <w:t xml:space="preserve"> </w:t>
            </w:r>
            <w:r>
              <w:rPr>
                <w:spacing w:val="-1"/>
              </w:rPr>
              <w:t>工手段；如选取本地常见的乡土物种补种补植。</w:t>
            </w:r>
          </w:p>
          <w:p w14:paraId="2E630BE1">
            <w:pPr>
              <w:pStyle w:val="6"/>
              <w:spacing w:before="244" w:line="312" w:lineRule="auto"/>
              <w:ind w:left="112" w:right="214" w:firstLine="487"/>
            </w:pPr>
            <w:r>
              <w:rPr>
                <w:spacing w:val="1"/>
              </w:rPr>
              <w:t>（</w:t>
            </w:r>
            <w:r>
              <w:rPr>
                <w:rFonts w:ascii="Times New Roman" w:hAnsi="Times New Roman" w:eastAsia="Times New Roman" w:cs="Times New Roman"/>
                <w:spacing w:val="1"/>
              </w:rPr>
              <w:t>3</w:t>
            </w:r>
            <w:r>
              <w:rPr>
                <w:spacing w:val="1"/>
              </w:rPr>
              <w:t>）</w:t>
            </w:r>
            <w:r>
              <w:rPr>
                <w:spacing w:val="-61"/>
              </w:rPr>
              <w:t xml:space="preserve"> </w:t>
            </w:r>
            <w:r>
              <w:rPr>
                <w:spacing w:val="1"/>
              </w:rPr>
              <w:t>占用林草地区域，后期光伏场区植被恢复后，生长过程中在满足</w:t>
            </w:r>
            <w:r>
              <w:t xml:space="preserve"> </w:t>
            </w:r>
            <w:r>
              <w:rPr>
                <w:spacing w:val="-1"/>
              </w:rPr>
              <w:t>电站正常运行的基础上，应尽量减少对下方及周边植物的扰动。在影响电站</w:t>
            </w:r>
            <w:r>
              <w:rPr>
                <w:spacing w:val="11"/>
              </w:rPr>
              <w:t xml:space="preserve"> </w:t>
            </w:r>
            <w:r>
              <w:rPr>
                <w:spacing w:val="-1"/>
              </w:rPr>
              <w:t>发电时，应尽量采取人工修剪高度的方式，避免直接清理砍伐。</w:t>
            </w:r>
          </w:p>
          <w:p w14:paraId="3F8461E8">
            <w:pPr>
              <w:pStyle w:val="6"/>
              <w:spacing w:before="241" w:line="219" w:lineRule="auto"/>
              <w:ind w:left="600"/>
            </w:pPr>
            <w:r>
              <w:rPr>
                <w:spacing w:val="-1"/>
              </w:rPr>
              <w:t>（</w:t>
            </w:r>
            <w:r>
              <w:rPr>
                <w:rFonts w:ascii="Times New Roman" w:hAnsi="Times New Roman" w:eastAsia="Times New Roman" w:cs="Times New Roman"/>
                <w:spacing w:val="-1"/>
              </w:rPr>
              <w:t>4</w:t>
            </w:r>
            <w:r>
              <w:rPr>
                <w:spacing w:val="-1"/>
              </w:rPr>
              <w:t>）保护当地的野生动物，禁止人为捕杀；禁止引入外来有害生物。</w:t>
            </w:r>
          </w:p>
          <w:p w14:paraId="2C402703">
            <w:pPr>
              <w:pStyle w:val="6"/>
              <w:spacing w:before="244" w:line="288" w:lineRule="auto"/>
              <w:ind w:left="127" w:right="275" w:firstLine="472"/>
            </w:pPr>
            <w:r>
              <w:rPr>
                <w:spacing w:val="1"/>
              </w:rPr>
              <w:t>（</w:t>
            </w:r>
            <w:r>
              <w:rPr>
                <w:rFonts w:ascii="Times New Roman" w:hAnsi="Times New Roman" w:eastAsia="Times New Roman" w:cs="Times New Roman"/>
                <w:spacing w:val="1"/>
              </w:rPr>
              <w:t>5</w:t>
            </w:r>
            <w:r>
              <w:rPr>
                <w:spacing w:val="1"/>
              </w:rPr>
              <w:t>）对光伏区鸟类死亡、受伤情况进行调查，必要时采取驱赶措施，</w:t>
            </w:r>
            <w:r>
              <w:t xml:space="preserve"> </w:t>
            </w:r>
            <w:r>
              <w:rPr>
                <w:spacing w:val="-3"/>
              </w:rPr>
              <w:t>降低光伏板对鸟类的影响。</w:t>
            </w:r>
          </w:p>
        </w:tc>
      </w:tr>
    </w:tbl>
    <w:p w14:paraId="1336A587">
      <w:pPr>
        <w:rPr>
          <w:rFonts w:ascii="Arial"/>
          <w:sz w:val="21"/>
        </w:rPr>
      </w:pPr>
    </w:p>
    <w:p w14:paraId="139758BA">
      <w:pPr>
        <w:rPr>
          <w:rFonts w:ascii="Arial" w:hAnsi="Arial" w:eastAsia="Arial" w:cs="Arial"/>
          <w:sz w:val="21"/>
          <w:szCs w:val="21"/>
        </w:rPr>
        <w:sectPr>
          <w:footerReference r:id="rId161" w:type="default"/>
          <w:pgSz w:w="11907" w:h="16840"/>
          <w:pgMar w:top="1431" w:right="1453" w:bottom="1278" w:left="1453" w:header="0" w:footer="1116" w:gutter="0"/>
          <w:cols w:space="720" w:num="1"/>
        </w:sectPr>
      </w:pPr>
    </w:p>
    <w:p w14:paraId="38B2D901">
      <w:pPr>
        <w:spacing w:line="99"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5C887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56" w:hRule="atLeast"/>
        </w:trPr>
        <w:tc>
          <w:tcPr>
            <w:tcW w:w="748" w:type="dxa"/>
            <w:tcBorders>
              <w:right w:val="single" w:color="000000" w:sz="2" w:space="0"/>
            </w:tcBorders>
            <w:vAlign w:val="top"/>
          </w:tcPr>
          <w:p w14:paraId="56CC70B1">
            <w:pPr>
              <w:rPr>
                <w:rFonts w:ascii="Arial"/>
                <w:sz w:val="21"/>
              </w:rPr>
            </w:pPr>
          </w:p>
        </w:tc>
        <w:tc>
          <w:tcPr>
            <w:tcW w:w="8237" w:type="dxa"/>
            <w:tcBorders>
              <w:left w:val="single" w:color="000000" w:sz="2" w:space="0"/>
            </w:tcBorders>
            <w:vAlign w:val="top"/>
          </w:tcPr>
          <w:p w14:paraId="3F17E228">
            <w:pPr>
              <w:pStyle w:val="6"/>
              <w:spacing w:before="90" w:line="290" w:lineRule="auto"/>
              <w:ind w:left="110" w:right="214" w:firstLine="490"/>
            </w:pPr>
            <w:r>
              <w:rPr>
                <w:spacing w:val="3"/>
              </w:rPr>
              <w:t>（</w:t>
            </w:r>
            <w:r>
              <w:rPr>
                <w:rFonts w:ascii="Times New Roman" w:hAnsi="Times New Roman" w:eastAsia="Times New Roman" w:cs="Times New Roman"/>
                <w:spacing w:val="3"/>
              </w:rPr>
              <w:t>6</w:t>
            </w:r>
            <w:r>
              <w:rPr>
                <w:spacing w:val="3"/>
              </w:rPr>
              <w:t>）光伏周围建设好截排水沟，空闲地多种植本地树种，减少</w:t>
            </w:r>
            <w:r>
              <w:rPr>
                <w:spacing w:val="2"/>
              </w:rPr>
              <w:t>区域水</w:t>
            </w:r>
            <w:r>
              <w:t xml:space="preserve"> </w:t>
            </w:r>
            <w:r>
              <w:rPr>
                <w:spacing w:val="-3"/>
              </w:rPr>
              <w:t>土流失。</w:t>
            </w:r>
          </w:p>
          <w:p w14:paraId="26D3EC53">
            <w:pPr>
              <w:pStyle w:val="6"/>
              <w:spacing w:before="237" w:line="290" w:lineRule="auto"/>
              <w:ind w:left="109" w:right="134" w:firstLine="491"/>
            </w:pPr>
            <w:r>
              <w:rPr>
                <w:spacing w:val="-2"/>
              </w:rPr>
              <w:t>（</w:t>
            </w:r>
            <w:r>
              <w:rPr>
                <w:rFonts w:ascii="Times New Roman" w:hAnsi="Times New Roman" w:eastAsia="Times New Roman" w:cs="Times New Roman"/>
                <w:spacing w:val="-2"/>
              </w:rPr>
              <w:t>7</w:t>
            </w:r>
            <w:r>
              <w:rPr>
                <w:spacing w:val="-2"/>
              </w:rPr>
              <w:t>）建设单位要做好项目区的森林草原防火工作，重点加强</w:t>
            </w:r>
            <w:r>
              <w:rPr>
                <w:spacing w:val="-3"/>
              </w:rPr>
              <w:t>项目运营、</w:t>
            </w:r>
            <w:r>
              <w:t xml:space="preserve"> </w:t>
            </w:r>
            <w:r>
              <w:rPr>
                <w:spacing w:val="-1"/>
              </w:rPr>
              <w:t>检修期间的野外火源管理，落实森林草原防火管护人员和措施。</w:t>
            </w:r>
          </w:p>
          <w:p w14:paraId="6BB42BE4">
            <w:pPr>
              <w:pStyle w:val="6"/>
              <w:spacing w:before="180" w:line="290" w:lineRule="auto"/>
              <w:ind w:left="112" w:right="101" w:firstLine="487"/>
            </w:pPr>
            <w:r>
              <w:rPr>
                <w:spacing w:val="-1"/>
              </w:rPr>
              <w:t>（</w:t>
            </w:r>
            <w:r>
              <w:rPr>
                <w:rFonts w:ascii="Times New Roman" w:hAnsi="Times New Roman" w:eastAsia="Times New Roman" w:cs="Times New Roman"/>
                <w:spacing w:val="-1"/>
              </w:rPr>
              <w:t>8</w:t>
            </w:r>
            <w:r>
              <w:rPr>
                <w:spacing w:val="-1"/>
              </w:rPr>
              <w:t>）强化光伏电站运营期运输油料安全和环境风险管理，避</w:t>
            </w:r>
            <w:r>
              <w:rPr>
                <w:spacing w:val="-2"/>
              </w:rPr>
              <w:t>免泄漏事故</w:t>
            </w:r>
            <w:r>
              <w:t xml:space="preserve"> </w:t>
            </w:r>
            <w:r>
              <w:rPr>
                <w:spacing w:val="-5"/>
              </w:rPr>
              <w:t>发生。</w:t>
            </w:r>
          </w:p>
          <w:p w14:paraId="2863D927">
            <w:pPr>
              <w:pStyle w:val="6"/>
              <w:spacing w:before="181" w:line="289" w:lineRule="auto"/>
              <w:ind w:left="138" w:right="101" w:firstLine="462"/>
            </w:pPr>
            <w:r>
              <w:rPr>
                <w:spacing w:val="-1"/>
              </w:rPr>
              <w:t>（</w:t>
            </w:r>
            <w:r>
              <w:rPr>
                <w:rFonts w:ascii="Times New Roman" w:hAnsi="Times New Roman" w:eastAsia="Times New Roman" w:cs="Times New Roman"/>
                <w:spacing w:val="-1"/>
              </w:rPr>
              <w:t>9</w:t>
            </w:r>
            <w:r>
              <w:rPr>
                <w:spacing w:val="-1"/>
              </w:rPr>
              <w:t>）为美化站场内环境，减轻场内气体散发对场外环境的影</w:t>
            </w:r>
            <w:r>
              <w:rPr>
                <w:spacing w:val="-2"/>
              </w:rPr>
              <w:t>响，对站场</w:t>
            </w:r>
            <w:r>
              <w:t xml:space="preserve"> </w:t>
            </w:r>
            <w:r>
              <w:rPr>
                <w:spacing w:val="-3"/>
              </w:rPr>
              <w:t>内空地和场界四周进行适当绿化。</w:t>
            </w:r>
          </w:p>
          <w:p w14:paraId="1C07DDB2">
            <w:pPr>
              <w:pStyle w:val="6"/>
              <w:spacing w:before="183" w:line="220" w:lineRule="auto"/>
              <w:ind w:left="595"/>
            </w:pPr>
            <w:r>
              <w:rPr>
                <w:rFonts w:ascii="Times New Roman" w:hAnsi="Times New Roman" w:eastAsia="Times New Roman" w:cs="Times New Roman"/>
                <w:b/>
                <w:bCs/>
                <w:spacing w:val="-6"/>
              </w:rPr>
              <w:t>1</w:t>
            </w:r>
            <w:r>
              <w:rPr>
                <w:rFonts w:ascii="Times New Roman" w:hAnsi="Times New Roman" w:eastAsia="Times New Roman" w:cs="Times New Roman"/>
                <w:b/>
                <w:bCs/>
                <w:spacing w:val="-33"/>
              </w:rPr>
              <w:t xml:space="preserve"> </w:t>
            </w:r>
            <w:r>
              <w:rPr>
                <w:b/>
                <w:bCs/>
                <w:spacing w:val="-6"/>
              </w:rPr>
              <w:t>、大气污染防治措施</w:t>
            </w:r>
          </w:p>
          <w:p w14:paraId="35B1C2EA">
            <w:pPr>
              <w:pStyle w:val="6"/>
              <w:spacing w:before="180" w:line="288" w:lineRule="auto"/>
              <w:ind w:left="113" w:right="101" w:firstLine="486"/>
            </w:pPr>
            <w:r>
              <w:rPr>
                <w:spacing w:val="-2"/>
              </w:rPr>
              <w:t>（</w:t>
            </w:r>
            <w:r>
              <w:rPr>
                <w:rFonts w:ascii="Times New Roman" w:hAnsi="Times New Roman" w:eastAsia="Times New Roman" w:cs="Times New Roman"/>
                <w:spacing w:val="-2"/>
              </w:rPr>
              <w:t>1</w:t>
            </w:r>
            <w:r>
              <w:rPr>
                <w:spacing w:val="-2"/>
              </w:rPr>
              <w:t>）升压站内使用清洁能源，厨房设置</w:t>
            </w:r>
            <w:r>
              <w:rPr>
                <w:spacing w:val="-31"/>
              </w:rPr>
              <w:t xml:space="preserve"> </w:t>
            </w:r>
            <w:r>
              <w:rPr>
                <w:rFonts w:ascii="Times New Roman" w:hAnsi="Times New Roman" w:eastAsia="Times New Roman" w:cs="Times New Roman"/>
                <w:spacing w:val="-2"/>
              </w:rPr>
              <w:t xml:space="preserve">1 </w:t>
            </w:r>
            <w:r>
              <w:rPr>
                <w:spacing w:val="-2"/>
              </w:rPr>
              <w:t>套油烟净化设备，将食堂油烟</w:t>
            </w:r>
            <w:r>
              <w:t xml:space="preserve"> </w:t>
            </w:r>
            <w:r>
              <w:rPr>
                <w:spacing w:val="-1"/>
              </w:rPr>
              <w:t>处理后排放，加强日常运行管理，定期清洗抽油烟机。</w:t>
            </w:r>
          </w:p>
          <w:p w14:paraId="7E76780B">
            <w:pPr>
              <w:pStyle w:val="6"/>
              <w:spacing w:before="183" w:line="290" w:lineRule="auto"/>
              <w:ind w:left="128" w:right="101" w:firstLine="471"/>
            </w:pPr>
            <w:r>
              <w:rPr>
                <w:spacing w:val="-1"/>
              </w:rPr>
              <w:t>（</w:t>
            </w:r>
            <w:r>
              <w:rPr>
                <w:rFonts w:ascii="Times New Roman" w:hAnsi="Times New Roman" w:eastAsia="Times New Roman" w:cs="Times New Roman"/>
                <w:spacing w:val="-1"/>
              </w:rPr>
              <w:t>2</w:t>
            </w:r>
            <w:r>
              <w:rPr>
                <w:spacing w:val="-1"/>
              </w:rPr>
              <w:t>）隔油池、化粪池、一体化污水处理设施均设置为地埋式</w:t>
            </w:r>
            <w:r>
              <w:rPr>
                <w:spacing w:val="-2"/>
              </w:rPr>
              <w:t>，减少异味</w:t>
            </w:r>
            <w:r>
              <w:t xml:space="preserve"> </w:t>
            </w:r>
            <w:r>
              <w:rPr>
                <w:spacing w:val="-8"/>
              </w:rPr>
              <w:t>的产生。</w:t>
            </w:r>
          </w:p>
          <w:p w14:paraId="08F1630F">
            <w:pPr>
              <w:pStyle w:val="6"/>
              <w:spacing w:before="181" w:line="290" w:lineRule="auto"/>
              <w:ind w:left="110" w:right="101" w:firstLine="490"/>
            </w:pPr>
            <w:r>
              <w:rPr>
                <w:spacing w:val="-1"/>
              </w:rPr>
              <w:t>（</w:t>
            </w:r>
            <w:r>
              <w:rPr>
                <w:rFonts w:ascii="Times New Roman" w:hAnsi="Times New Roman" w:eastAsia="Times New Roman" w:cs="Times New Roman"/>
                <w:spacing w:val="-1"/>
              </w:rPr>
              <w:t>3</w:t>
            </w:r>
            <w:r>
              <w:rPr>
                <w:spacing w:val="-1"/>
              </w:rPr>
              <w:t>）生活垃圾及时清运，减少因生活垃圾腐烂而产生的异味</w:t>
            </w:r>
            <w:r>
              <w:rPr>
                <w:spacing w:val="-2"/>
              </w:rPr>
              <w:t>影响周围环</w:t>
            </w:r>
            <w:r>
              <w:t xml:space="preserve"> </w:t>
            </w:r>
            <w:r>
              <w:rPr>
                <w:spacing w:val="-6"/>
              </w:rPr>
              <w:t>境。</w:t>
            </w:r>
          </w:p>
          <w:p w14:paraId="5B77B230">
            <w:pPr>
              <w:pStyle w:val="6"/>
              <w:spacing w:before="179" w:line="290" w:lineRule="auto"/>
              <w:ind w:left="110" w:right="101" w:firstLine="490"/>
            </w:pPr>
            <w:r>
              <w:rPr>
                <w:spacing w:val="-1"/>
              </w:rPr>
              <w:t>（</w:t>
            </w:r>
            <w:r>
              <w:rPr>
                <w:rFonts w:ascii="Times New Roman" w:hAnsi="Times New Roman" w:eastAsia="Times New Roman" w:cs="Times New Roman"/>
                <w:spacing w:val="-1"/>
              </w:rPr>
              <w:t>4</w:t>
            </w:r>
            <w:r>
              <w:rPr>
                <w:spacing w:val="-1"/>
              </w:rPr>
              <w:t>）保持项目区内环境卫生，减少运营期地面扬尘和飘散物</w:t>
            </w:r>
            <w:r>
              <w:rPr>
                <w:spacing w:val="-2"/>
              </w:rPr>
              <w:t>对环境空气</w:t>
            </w:r>
            <w:r>
              <w:t xml:space="preserve"> </w:t>
            </w:r>
            <w:r>
              <w:rPr>
                <w:spacing w:val="-2"/>
              </w:rPr>
              <w:t>质量的影响。</w:t>
            </w:r>
          </w:p>
          <w:p w14:paraId="0750BB8D">
            <w:pPr>
              <w:pStyle w:val="6"/>
              <w:spacing w:before="179" w:line="290" w:lineRule="auto"/>
              <w:ind w:left="110" w:right="101" w:firstLine="490"/>
            </w:pPr>
            <w:r>
              <w:rPr>
                <w:spacing w:val="-1"/>
              </w:rPr>
              <w:t>（</w:t>
            </w:r>
            <w:r>
              <w:rPr>
                <w:rFonts w:ascii="Times New Roman" w:hAnsi="Times New Roman" w:eastAsia="Times New Roman" w:cs="Times New Roman"/>
                <w:spacing w:val="-1"/>
              </w:rPr>
              <w:t>5</w:t>
            </w:r>
            <w:r>
              <w:rPr>
                <w:spacing w:val="-1"/>
              </w:rPr>
              <w:t>）场内道路两旁栽种行道树，阻挡道路扬尘，设置标志提</w:t>
            </w:r>
            <w:r>
              <w:rPr>
                <w:spacing w:val="-2"/>
              </w:rPr>
              <w:t>醒车辆减速</w:t>
            </w:r>
            <w:r>
              <w:t xml:space="preserve"> </w:t>
            </w:r>
            <w:r>
              <w:rPr>
                <w:spacing w:val="-1"/>
              </w:rPr>
              <w:t>慢行，减少道路扬尘、车辆尾气对周围大气环境的影响。</w:t>
            </w:r>
          </w:p>
          <w:p w14:paraId="48A968DC">
            <w:pPr>
              <w:pStyle w:val="6"/>
              <w:spacing w:before="181" w:line="219" w:lineRule="auto"/>
              <w:ind w:left="585"/>
            </w:pPr>
            <w:r>
              <w:rPr>
                <w:rFonts w:ascii="Times New Roman" w:hAnsi="Times New Roman" w:eastAsia="Times New Roman" w:cs="Times New Roman"/>
                <w:b/>
                <w:bCs/>
                <w:spacing w:val="-6"/>
              </w:rPr>
              <w:t>2</w:t>
            </w:r>
            <w:r>
              <w:rPr>
                <w:rFonts w:ascii="Times New Roman" w:hAnsi="Times New Roman" w:eastAsia="Times New Roman" w:cs="Times New Roman"/>
                <w:b/>
                <w:bCs/>
                <w:spacing w:val="-29"/>
              </w:rPr>
              <w:t xml:space="preserve"> </w:t>
            </w:r>
            <w:r>
              <w:rPr>
                <w:b/>
                <w:bCs/>
                <w:spacing w:val="-6"/>
              </w:rPr>
              <w:t>、水污染防治措施</w:t>
            </w:r>
          </w:p>
          <w:p w14:paraId="734394F7">
            <w:pPr>
              <w:pStyle w:val="6"/>
              <w:spacing w:before="181" w:line="354" w:lineRule="auto"/>
              <w:ind w:left="109" w:right="101" w:firstLine="491"/>
            </w:pPr>
            <w:r>
              <w:rPr>
                <w:spacing w:val="-3"/>
              </w:rPr>
              <w:t>（</w:t>
            </w:r>
            <w:r>
              <w:rPr>
                <w:rFonts w:ascii="Times New Roman" w:hAnsi="Times New Roman" w:eastAsia="Times New Roman" w:cs="Times New Roman"/>
                <w:spacing w:val="-3"/>
              </w:rPr>
              <w:t>1</w:t>
            </w:r>
            <w:r>
              <w:rPr>
                <w:spacing w:val="-3"/>
              </w:rPr>
              <w:t>）升压站内设置雨污分流系统。食堂废</w:t>
            </w:r>
            <w:r>
              <w:rPr>
                <w:spacing w:val="-4"/>
              </w:rPr>
              <w:t>水经</w:t>
            </w:r>
            <w:r>
              <w:rPr>
                <w:spacing w:val="-32"/>
              </w:rPr>
              <w:t xml:space="preserve"> </w:t>
            </w:r>
            <w:r>
              <w:rPr>
                <w:rFonts w:ascii="Times New Roman" w:hAnsi="Times New Roman" w:eastAsia="Times New Roman" w:cs="Times New Roman"/>
                <w:spacing w:val="-4"/>
              </w:rPr>
              <w:t xml:space="preserve">1 </w:t>
            </w:r>
            <w:r>
              <w:rPr>
                <w:spacing w:val="-4"/>
              </w:rPr>
              <w:t>个</w:t>
            </w:r>
            <w:r>
              <w:rPr>
                <w:spacing w:val="-32"/>
              </w:rPr>
              <w:t xml:space="preserve"> </w:t>
            </w:r>
            <w:r>
              <w:rPr>
                <w:rFonts w:ascii="Times New Roman" w:hAnsi="Times New Roman" w:eastAsia="Times New Roman" w:cs="Times New Roman"/>
                <w:spacing w:val="-4"/>
              </w:rPr>
              <w:t>1m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26"/>
                <w:position w:val="8"/>
                <w:sz w:val="15"/>
                <w:szCs w:val="15"/>
              </w:rPr>
              <w:t xml:space="preserve"> </w:t>
            </w:r>
            <w:r>
              <w:rPr>
                <w:spacing w:val="-4"/>
              </w:rPr>
              <w:t>隔油池隔油后，</w:t>
            </w:r>
            <w:r>
              <w:t xml:space="preserve"> </w:t>
            </w:r>
            <w:r>
              <w:rPr>
                <w:spacing w:val="-4"/>
              </w:rPr>
              <w:t>连同其他生活污水经</w:t>
            </w:r>
            <w:r>
              <w:rPr>
                <w:spacing w:val="-59"/>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4"/>
              </w:rPr>
              <w:t xml:space="preserve"> </w:t>
            </w:r>
            <w:r>
              <w:rPr>
                <w:spacing w:val="-4"/>
              </w:rPr>
              <w:t>个容积为</w:t>
            </w:r>
            <w:r>
              <w:rPr>
                <w:rFonts w:ascii="Times New Roman" w:hAnsi="Times New Roman" w:eastAsia="Times New Roman" w:cs="Times New Roman"/>
                <w:spacing w:val="-4"/>
              </w:rPr>
              <w:t>5m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2"/>
                <w:position w:val="7"/>
                <w:sz w:val="15"/>
                <w:szCs w:val="15"/>
              </w:rPr>
              <w:t xml:space="preserve"> </w:t>
            </w:r>
            <w:r>
              <w:rPr>
                <w:spacing w:val="-4"/>
              </w:rPr>
              <w:t>的化粪池预处理后，进入</w:t>
            </w:r>
            <w:r>
              <w:rPr>
                <w:spacing w:val="-56"/>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5"/>
              </w:rPr>
              <w:t xml:space="preserve"> </w:t>
            </w:r>
            <w:r>
              <w:rPr>
                <w:spacing w:val="-4"/>
              </w:rPr>
              <w:t>座</w:t>
            </w:r>
            <w:r>
              <w:rPr>
                <w:spacing w:val="-5"/>
              </w:rPr>
              <w:t>规模为</w:t>
            </w:r>
            <w:r>
              <w:rPr>
                <w:rFonts w:ascii="Times New Roman" w:hAnsi="Times New Roman" w:eastAsia="Times New Roman" w:cs="Times New Roman"/>
                <w:spacing w:val="-5"/>
              </w:rPr>
              <w:t>2m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rFonts w:ascii="Times New Roman" w:hAnsi="Times New Roman" w:eastAsia="Times New Roman" w:cs="Times New Roman"/>
              </w:rPr>
              <w:t xml:space="preserve"> </w:t>
            </w:r>
            <w:r>
              <w:rPr>
                <w:spacing w:val="13"/>
              </w:rPr>
              <w:t>的一体化污水处理设施处理达到《城市污水再生利用</w:t>
            </w:r>
            <w:r>
              <w:rPr>
                <w:spacing w:val="43"/>
              </w:rPr>
              <w:t xml:space="preserve"> </w:t>
            </w:r>
            <w:r>
              <w:rPr>
                <w:spacing w:val="13"/>
              </w:rPr>
              <w:t>城市杂用水</w:t>
            </w:r>
            <w:r>
              <w:rPr>
                <w:spacing w:val="12"/>
              </w:rPr>
              <w:t>水质》</w:t>
            </w:r>
            <w:r>
              <w:t xml:space="preserve"> </w:t>
            </w: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/T18920-2020</w:t>
            </w:r>
            <w:r>
              <w:rPr>
                <w:spacing w:val="3"/>
              </w:rPr>
              <w:t>）中绿化标准</w:t>
            </w:r>
            <w:r>
              <w:rPr>
                <w:spacing w:val="2"/>
              </w:rPr>
              <w:t>后晴天全部回用于厂区绿化，雨天暂存在</w:t>
            </w:r>
            <w:r>
              <w:rPr>
                <w:spacing w:val="-29"/>
              </w:rPr>
              <w:t xml:space="preserve"> </w:t>
            </w:r>
            <w:r>
              <w:rPr>
                <w:rFonts w:ascii="Times New Roman" w:hAnsi="Times New Roman" w:eastAsia="Times New Roman" w:cs="Times New Roman"/>
                <w:spacing w:val="2"/>
              </w:rPr>
              <w:t>1</w:t>
            </w:r>
            <w:r>
              <w:rPr>
                <w:rFonts w:ascii="Times New Roman" w:hAnsi="Times New Roman" w:eastAsia="Times New Roman" w:cs="Times New Roman"/>
              </w:rPr>
              <w:t xml:space="preserve"> </w:t>
            </w:r>
            <w:r>
              <w:rPr>
                <w:spacing w:val="-2"/>
              </w:rPr>
              <w:t>个容积</w:t>
            </w:r>
            <w:r>
              <w:rPr>
                <w:spacing w:val="-26"/>
              </w:rPr>
              <w:t xml:space="preserve"> </w:t>
            </w:r>
            <w:r>
              <w:rPr>
                <w:rFonts w:ascii="Times New Roman" w:hAnsi="Times New Roman" w:eastAsia="Times New Roman" w:cs="Times New Roman"/>
                <w:spacing w:val="-2"/>
              </w:rPr>
              <w:t>10m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31"/>
                <w:position w:val="8"/>
                <w:sz w:val="15"/>
                <w:szCs w:val="15"/>
              </w:rPr>
              <w:t xml:space="preserve"> </w:t>
            </w:r>
            <w:r>
              <w:rPr>
                <w:spacing w:val="-2"/>
              </w:rPr>
              <w:t>的储水池内，待晴天再回用于厂区绿化，不外排。</w:t>
            </w:r>
          </w:p>
          <w:p w14:paraId="2677ACA8">
            <w:pPr>
              <w:pStyle w:val="6"/>
              <w:spacing w:before="33" w:line="313" w:lineRule="auto"/>
              <w:ind w:left="108" w:right="101" w:firstLine="492"/>
            </w:pPr>
            <w:r>
              <w:rPr>
                <w:spacing w:val="-1"/>
              </w:rPr>
              <w:t>（</w:t>
            </w:r>
            <w:r>
              <w:rPr>
                <w:rFonts w:ascii="Times New Roman" w:hAnsi="Times New Roman" w:eastAsia="Times New Roman" w:cs="Times New Roman"/>
                <w:spacing w:val="-1"/>
              </w:rPr>
              <w:t>2</w:t>
            </w:r>
            <w:r>
              <w:rPr>
                <w:spacing w:val="-1"/>
              </w:rPr>
              <w:t>）因电池板清洁方式为用湿布擦拭或者玻璃刮刀进行清洁</w:t>
            </w:r>
            <w:r>
              <w:rPr>
                <w:spacing w:val="-2"/>
              </w:rPr>
              <w:t>，且不使用</w:t>
            </w:r>
            <w:r>
              <w:t xml:space="preserve"> </w:t>
            </w:r>
            <w:r>
              <w:rPr>
                <w:spacing w:val="-1"/>
              </w:rPr>
              <w:t>清洗剂清洁。电池板均在晴天清洁，清洁废水中主要污染物为</w:t>
            </w:r>
            <w:r>
              <w:rPr>
                <w:spacing w:val="-42"/>
              </w:rPr>
              <w:t xml:space="preserve"> </w:t>
            </w:r>
            <w:r>
              <w:rPr>
                <w:rFonts w:ascii="Times New Roman" w:hAnsi="Times New Roman" w:eastAsia="Times New Roman" w:cs="Times New Roman"/>
                <w:spacing w:val="-1"/>
              </w:rPr>
              <w:t>SS</w:t>
            </w:r>
            <w:r>
              <w:rPr>
                <w:rFonts w:ascii="Times New Roman" w:hAnsi="Times New Roman" w:eastAsia="Times New Roman" w:cs="Times New Roman"/>
                <w:spacing w:val="-33"/>
              </w:rPr>
              <w:t xml:space="preserve"> </w:t>
            </w:r>
            <w:r>
              <w:rPr>
                <w:spacing w:val="-2"/>
              </w:rPr>
              <w:t>，全部清洁</w:t>
            </w:r>
            <w:r>
              <w:t xml:space="preserve"> </w:t>
            </w:r>
            <w:r>
              <w:rPr>
                <w:spacing w:val="-1"/>
              </w:rPr>
              <w:t>废水直接下渗，不会对周边地表水造成影响。</w:t>
            </w:r>
          </w:p>
          <w:p w14:paraId="4D2382A2">
            <w:pPr>
              <w:pStyle w:val="6"/>
              <w:spacing w:before="182" w:line="219" w:lineRule="auto"/>
              <w:jc w:val="right"/>
            </w:pPr>
            <w:r>
              <w:rPr>
                <w:spacing w:val="-7"/>
              </w:rPr>
              <w:t>（</w:t>
            </w:r>
            <w:r>
              <w:rPr>
                <w:rFonts w:ascii="Times New Roman" w:hAnsi="Times New Roman" w:eastAsia="Times New Roman" w:cs="Times New Roman"/>
                <w:spacing w:val="-7"/>
              </w:rPr>
              <w:t>3</w:t>
            </w:r>
            <w:r>
              <w:rPr>
                <w:spacing w:val="-7"/>
              </w:rPr>
              <w:t>）应定期对化粪池、隔油池进行清掏；定期检修一体化污水处理设施，</w:t>
            </w:r>
          </w:p>
        </w:tc>
      </w:tr>
    </w:tbl>
    <w:p w14:paraId="691AFA66">
      <w:pPr>
        <w:rPr>
          <w:rFonts w:ascii="Arial"/>
          <w:sz w:val="21"/>
        </w:rPr>
      </w:pPr>
    </w:p>
    <w:p w14:paraId="013CEBF8">
      <w:pPr>
        <w:rPr>
          <w:rFonts w:ascii="Arial" w:hAnsi="Arial" w:eastAsia="Arial" w:cs="Arial"/>
          <w:sz w:val="21"/>
          <w:szCs w:val="21"/>
        </w:rPr>
        <w:sectPr>
          <w:footerReference r:id="rId162" w:type="default"/>
          <w:pgSz w:w="11907" w:h="16840"/>
          <w:pgMar w:top="1431" w:right="1453" w:bottom="1278" w:left="1453" w:header="0" w:footer="1116" w:gutter="0"/>
          <w:cols w:space="720" w:num="1"/>
        </w:sectPr>
      </w:pPr>
    </w:p>
    <w:p w14:paraId="29FB6E41">
      <w:pPr>
        <w:spacing w:line="99"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616A4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48" w:type="dxa"/>
            <w:tcBorders>
              <w:right w:val="single" w:color="000000" w:sz="2" w:space="0"/>
            </w:tcBorders>
            <w:vAlign w:val="top"/>
          </w:tcPr>
          <w:p w14:paraId="32847578">
            <w:pPr>
              <w:rPr>
                <w:rFonts w:ascii="Arial"/>
                <w:sz w:val="21"/>
              </w:rPr>
            </w:pPr>
          </w:p>
        </w:tc>
        <w:tc>
          <w:tcPr>
            <w:tcW w:w="8237" w:type="dxa"/>
            <w:tcBorders>
              <w:left w:val="single" w:color="000000" w:sz="2" w:space="0"/>
            </w:tcBorders>
            <w:vAlign w:val="top"/>
          </w:tcPr>
          <w:p w14:paraId="76724056">
            <w:pPr>
              <w:pStyle w:val="6"/>
              <w:spacing w:before="30" w:line="219" w:lineRule="auto"/>
              <w:ind w:left="112"/>
            </w:pPr>
            <w:r>
              <w:rPr>
                <w:spacing w:val="-1"/>
              </w:rPr>
              <w:t>建立污水处理设施管理制度，以保障污水处理设施的处理效果。</w:t>
            </w:r>
          </w:p>
          <w:p w14:paraId="323ECA18">
            <w:pPr>
              <w:pStyle w:val="6"/>
              <w:spacing w:before="182" w:line="345" w:lineRule="auto"/>
              <w:ind w:left="118" w:right="101" w:firstLine="482"/>
            </w:pPr>
            <w:r>
              <w:rPr>
                <w:spacing w:val="-1"/>
              </w:rPr>
              <w:t>（</w:t>
            </w:r>
            <w:r>
              <w:rPr>
                <w:rFonts w:ascii="Times New Roman" w:hAnsi="Times New Roman" w:eastAsia="Times New Roman" w:cs="Times New Roman"/>
                <w:spacing w:val="-1"/>
              </w:rPr>
              <w:t>4</w:t>
            </w:r>
            <w:r>
              <w:rPr>
                <w:spacing w:val="-1"/>
              </w:rPr>
              <w:t>）禁止向地表水体排放任何废水，定期巡逻检查，加强监</w:t>
            </w:r>
            <w:r>
              <w:rPr>
                <w:spacing w:val="-2"/>
              </w:rPr>
              <w:t>管及宣传教</w:t>
            </w:r>
            <w:r>
              <w:t xml:space="preserve"> </w:t>
            </w:r>
            <w:r>
              <w:rPr>
                <w:spacing w:val="-10"/>
              </w:rPr>
              <w:t>育。</w:t>
            </w:r>
          </w:p>
          <w:p w14:paraId="4666E165">
            <w:pPr>
              <w:pStyle w:val="6"/>
              <w:spacing w:before="37" w:line="220" w:lineRule="auto"/>
              <w:ind w:left="583"/>
            </w:pPr>
            <w:r>
              <w:rPr>
                <w:rFonts w:ascii="Times New Roman" w:hAnsi="Times New Roman" w:eastAsia="Times New Roman" w:cs="Times New Roman"/>
                <w:b/>
                <w:bCs/>
                <w:spacing w:val="-5"/>
              </w:rPr>
              <w:t>3</w:t>
            </w:r>
            <w:r>
              <w:rPr>
                <w:rFonts w:ascii="Times New Roman" w:hAnsi="Times New Roman" w:eastAsia="Times New Roman" w:cs="Times New Roman"/>
                <w:b/>
                <w:bCs/>
                <w:spacing w:val="-31"/>
              </w:rPr>
              <w:t xml:space="preserve"> </w:t>
            </w:r>
            <w:r>
              <w:rPr>
                <w:b/>
                <w:bCs/>
                <w:spacing w:val="-5"/>
              </w:rPr>
              <w:t>、噪声污染防治措施</w:t>
            </w:r>
          </w:p>
          <w:p w14:paraId="62172A47">
            <w:pPr>
              <w:pStyle w:val="6"/>
              <w:spacing w:before="179" w:line="290" w:lineRule="auto"/>
              <w:ind w:left="128" w:right="101" w:firstLine="471"/>
            </w:pPr>
            <w:r>
              <w:rPr>
                <w:spacing w:val="-1"/>
              </w:rPr>
              <w:t>（</w:t>
            </w:r>
            <w:r>
              <w:rPr>
                <w:rFonts w:ascii="Times New Roman" w:hAnsi="Times New Roman" w:eastAsia="Times New Roman" w:cs="Times New Roman"/>
                <w:spacing w:val="-1"/>
              </w:rPr>
              <w:t>1</w:t>
            </w:r>
            <w:r>
              <w:rPr>
                <w:spacing w:val="-1"/>
              </w:rPr>
              <w:t>）在设备选型上首先选用符合国家噪声标准的设备，尽量</w:t>
            </w:r>
            <w:r>
              <w:rPr>
                <w:spacing w:val="-2"/>
              </w:rPr>
              <w:t>选用低噪声</w:t>
            </w:r>
            <w:r>
              <w:t xml:space="preserve"> </w:t>
            </w:r>
            <w:r>
              <w:rPr>
                <w:spacing w:val="-1"/>
              </w:rPr>
              <w:t>的设备，在变压器与站界围墙之间尽可能留有足</w:t>
            </w:r>
            <w:r>
              <w:rPr>
                <w:spacing w:val="-2"/>
              </w:rPr>
              <w:t>够的距离。</w:t>
            </w:r>
          </w:p>
          <w:p w14:paraId="4832C2EC">
            <w:pPr>
              <w:pStyle w:val="6"/>
              <w:spacing w:before="182" w:line="219" w:lineRule="auto"/>
              <w:ind w:left="600"/>
            </w:pPr>
            <w:r>
              <w:rPr>
                <w:spacing w:val="-1"/>
              </w:rPr>
              <w:t>（</w:t>
            </w:r>
            <w:r>
              <w:rPr>
                <w:rFonts w:ascii="Times New Roman" w:hAnsi="Times New Roman" w:eastAsia="Times New Roman" w:cs="Times New Roman"/>
                <w:spacing w:val="-1"/>
              </w:rPr>
              <w:t>2</w:t>
            </w:r>
            <w:r>
              <w:rPr>
                <w:spacing w:val="-1"/>
              </w:rPr>
              <w:t>）升压站四周设置实体围墙，利用围墙的隔声作用，减轻噪声影响。</w:t>
            </w:r>
          </w:p>
          <w:p w14:paraId="14E6AF57">
            <w:pPr>
              <w:pStyle w:val="6"/>
              <w:spacing w:before="179" w:line="219" w:lineRule="auto"/>
              <w:ind w:left="641"/>
            </w:pPr>
            <w:r>
              <w:rPr>
                <w:spacing w:val="-1"/>
              </w:rPr>
              <w:t>（</w:t>
            </w:r>
            <w:r>
              <w:rPr>
                <w:rFonts w:ascii="Times New Roman" w:hAnsi="Times New Roman" w:eastAsia="Times New Roman" w:cs="Times New Roman"/>
                <w:spacing w:val="-1"/>
              </w:rPr>
              <w:t>3</w:t>
            </w:r>
            <w:r>
              <w:rPr>
                <w:spacing w:val="-1"/>
              </w:rPr>
              <w:t>）变压器基础垫衬采用减震材料等减少噪声的产生强度。</w:t>
            </w:r>
          </w:p>
          <w:p w14:paraId="52D28844">
            <w:pPr>
              <w:pStyle w:val="6"/>
              <w:spacing w:before="184" w:line="220" w:lineRule="auto"/>
              <w:ind w:left="585"/>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、固体废物处置措施</w:t>
            </w:r>
          </w:p>
          <w:p w14:paraId="4272F09B">
            <w:pPr>
              <w:pStyle w:val="6"/>
              <w:spacing w:before="179" w:line="289" w:lineRule="auto"/>
              <w:ind w:left="112" w:right="101" w:firstLine="529"/>
            </w:pPr>
            <w:r>
              <w:rPr>
                <w:spacing w:val="-3"/>
              </w:rPr>
              <w:t>（</w:t>
            </w:r>
            <w:r>
              <w:rPr>
                <w:rFonts w:ascii="Times New Roman" w:hAnsi="Times New Roman" w:eastAsia="Times New Roman" w:cs="Times New Roman"/>
                <w:spacing w:val="-3"/>
              </w:rPr>
              <w:t>1</w:t>
            </w:r>
            <w:r>
              <w:rPr>
                <w:spacing w:val="-3"/>
              </w:rPr>
              <w:t>）生活垃圾：能回收利用的回收利用，不能回收利用的委托当地环卫</w:t>
            </w:r>
            <w:r>
              <w:rPr>
                <w:spacing w:val="18"/>
              </w:rPr>
              <w:t xml:space="preserve"> </w:t>
            </w:r>
            <w:r>
              <w:rPr>
                <w:spacing w:val="-2"/>
              </w:rPr>
              <w:t>部门统一处置。</w:t>
            </w:r>
          </w:p>
          <w:p w14:paraId="531F9AEB">
            <w:pPr>
              <w:pStyle w:val="6"/>
              <w:spacing w:before="182" w:line="290" w:lineRule="auto"/>
              <w:ind w:left="108" w:right="101" w:firstLine="492"/>
            </w:pPr>
            <w:r>
              <w:rPr>
                <w:spacing w:val="-1"/>
              </w:rPr>
              <w:t>（</w:t>
            </w:r>
            <w:r>
              <w:rPr>
                <w:rFonts w:ascii="Times New Roman" w:hAnsi="Times New Roman" w:eastAsia="Times New Roman" w:cs="Times New Roman"/>
                <w:spacing w:val="-1"/>
              </w:rPr>
              <w:t>2</w:t>
            </w:r>
            <w:r>
              <w:rPr>
                <w:spacing w:val="-1"/>
              </w:rPr>
              <w:t>）废电池板、废电气元件、废逆变器：暂存于一般固废暂</w:t>
            </w:r>
            <w:r>
              <w:rPr>
                <w:spacing w:val="-2"/>
              </w:rPr>
              <w:t>存间，及时</w:t>
            </w:r>
            <w:r>
              <w:t xml:space="preserve"> 委托专业的回收厂家收购回收处理，不得随意堆</w:t>
            </w:r>
            <w:r>
              <w:rPr>
                <w:spacing w:val="-1"/>
              </w:rPr>
              <w:t>放处置和外卖收购商。</w:t>
            </w:r>
          </w:p>
          <w:p w14:paraId="114B2653">
            <w:pPr>
              <w:pStyle w:val="6"/>
              <w:spacing w:before="180" w:line="219" w:lineRule="auto"/>
              <w:ind w:left="600"/>
            </w:pPr>
            <w:r>
              <w:rPr>
                <w:spacing w:val="3"/>
              </w:rPr>
              <w:t>（</w:t>
            </w:r>
            <w:r>
              <w:rPr>
                <w:rFonts w:ascii="Times New Roman" w:hAnsi="Times New Roman" w:eastAsia="Times New Roman" w:cs="Times New Roman"/>
                <w:spacing w:val="3"/>
              </w:rPr>
              <w:t>3</w:t>
            </w:r>
            <w:r>
              <w:rPr>
                <w:spacing w:val="3"/>
              </w:rPr>
              <w:t>）废储能电池：直接由供应商进行回收，不在厂区暂存。</w:t>
            </w:r>
          </w:p>
          <w:p w14:paraId="1CC79AC2">
            <w:pPr>
              <w:pStyle w:val="6"/>
              <w:spacing w:before="183" w:line="289" w:lineRule="auto"/>
              <w:ind w:left="116" w:right="40" w:firstLine="484"/>
            </w:pPr>
            <w:r>
              <w:rPr>
                <w:spacing w:val="-7"/>
              </w:rPr>
              <w:t>（</w:t>
            </w:r>
            <w:r>
              <w:rPr>
                <w:rFonts w:ascii="Times New Roman" w:hAnsi="Times New Roman" w:eastAsia="Times New Roman" w:cs="Times New Roman"/>
                <w:spacing w:val="-7"/>
              </w:rPr>
              <w:t>4</w:t>
            </w:r>
            <w:r>
              <w:rPr>
                <w:spacing w:val="-7"/>
              </w:rPr>
              <w:t>）废铅蓄电池、废变压器油和事故废油均属危险废物，经集中收集后，</w:t>
            </w:r>
            <w:r>
              <w:rPr>
                <w:spacing w:val="16"/>
              </w:rPr>
              <w:t xml:space="preserve"> </w:t>
            </w:r>
            <w:r>
              <w:rPr>
                <w:spacing w:val="-1"/>
              </w:rPr>
              <w:t>暂存于危废贮存库，并委托有资质单位处置。</w:t>
            </w:r>
          </w:p>
          <w:p w14:paraId="65D45472">
            <w:pPr>
              <w:pStyle w:val="6"/>
              <w:spacing w:before="183" w:line="219" w:lineRule="auto"/>
              <w:ind w:left="600"/>
            </w:pPr>
            <w:r>
              <w:rPr>
                <w:spacing w:val="-1"/>
              </w:rPr>
              <w:t>（</w:t>
            </w:r>
            <w:r>
              <w:rPr>
                <w:rFonts w:ascii="Times New Roman" w:hAnsi="Times New Roman" w:eastAsia="Times New Roman" w:cs="Times New Roman"/>
                <w:spacing w:val="-1"/>
              </w:rPr>
              <w:t>5</w:t>
            </w:r>
            <w:r>
              <w:rPr>
                <w:spacing w:val="-1"/>
              </w:rPr>
              <w:t>）隔油池废油、餐厨废物委托有资质的单位清运处置。</w:t>
            </w:r>
          </w:p>
          <w:p w14:paraId="5B5FF60A">
            <w:pPr>
              <w:pStyle w:val="6"/>
              <w:spacing w:before="181" w:line="219" w:lineRule="auto"/>
              <w:ind w:left="600"/>
            </w:pPr>
            <w:r>
              <w:rPr>
                <w:spacing w:val="-1"/>
              </w:rPr>
              <w:t>（</w:t>
            </w:r>
            <w:r>
              <w:rPr>
                <w:rFonts w:ascii="Times New Roman" w:hAnsi="Times New Roman" w:eastAsia="Times New Roman" w:cs="Times New Roman"/>
                <w:spacing w:val="-1"/>
              </w:rPr>
              <w:t>6</w:t>
            </w:r>
            <w:r>
              <w:rPr>
                <w:spacing w:val="-1"/>
              </w:rPr>
              <w:t>）污水处理设施污泥委托当地环卫部门定期清掏。</w:t>
            </w:r>
          </w:p>
          <w:p w14:paraId="6CBFE947">
            <w:pPr>
              <w:pStyle w:val="6"/>
              <w:spacing w:before="181" w:line="355" w:lineRule="auto"/>
              <w:ind w:left="109" w:right="101" w:firstLine="483"/>
            </w:pPr>
            <w:r>
              <w:rPr>
                <w:b/>
                <w:bCs/>
                <w:spacing w:val="-5"/>
              </w:rPr>
              <w:t>一般固废暂存间环境管理要求：</w:t>
            </w:r>
            <w:r>
              <w:rPr>
                <w:spacing w:val="-5"/>
              </w:rPr>
              <w:t>设置</w:t>
            </w:r>
            <w:r>
              <w:rPr>
                <w:spacing w:val="-28"/>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8"/>
                <w:w w:val="101"/>
              </w:rPr>
              <w:t xml:space="preserve"> </w:t>
            </w:r>
            <w:r>
              <w:rPr>
                <w:spacing w:val="-5"/>
              </w:rPr>
              <w:t>间</w:t>
            </w:r>
            <w:r>
              <w:rPr>
                <w:spacing w:val="-32"/>
              </w:rPr>
              <w:t xml:space="preserve"> </w:t>
            </w:r>
            <w:r>
              <w:rPr>
                <w:rFonts w:ascii="Times New Roman" w:hAnsi="Times New Roman" w:eastAsia="Times New Roman" w:cs="Times New Roman"/>
                <w:spacing w:val="-5"/>
              </w:rPr>
              <w:t>10m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13"/>
                <w:position w:val="8"/>
                <w:sz w:val="15"/>
                <w:szCs w:val="15"/>
              </w:rPr>
              <w:t xml:space="preserve"> </w:t>
            </w:r>
            <w:r>
              <w:rPr>
                <w:spacing w:val="-5"/>
              </w:rPr>
              <w:t>一般固废暂存间，严格按</w:t>
            </w:r>
            <w:r>
              <w:t xml:space="preserve"> </w:t>
            </w:r>
            <w:r>
              <w:rPr>
                <w:spacing w:val="-1"/>
              </w:rPr>
              <w:t>照《一般工业固体废物贮存和填埋污染控制标准》（</w:t>
            </w:r>
            <w:r>
              <w:rPr>
                <w:rFonts w:ascii="Times New Roman" w:hAnsi="Times New Roman" w:eastAsia="Times New Roman" w:cs="Times New Roman"/>
                <w:spacing w:val="-1"/>
              </w:rPr>
              <w:t>GB-18599-2020</w:t>
            </w:r>
            <w:r>
              <w:rPr>
                <w:spacing w:val="-1"/>
              </w:rPr>
              <w:t>）有关要</w:t>
            </w:r>
            <w:r>
              <w:rPr>
                <w:spacing w:val="2"/>
              </w:rPr>
              <w:t xml:space="preserve"> </w:t>
            </w:r>
            <w:r>
              <w:rPr>
                <w:spacing w:val="-11"/>
              </w:rPr>
              <w:t>求进行设计：</w:t>
            </w:r>
            <w:r>
              <w:rPr>
                <w:rFonts w:ascii="Times New Roman" w:hAnsi="Times New Roman" w:eastAsia="Times New Roman" w:cs="Times New Roman"/>
                <w:spacing w:val="-11"/>
              </w:rPr>
              <w:t>a</w:t>
            </w:r>
            <w:r>
              <w:rPr>
                <w:spacing w:val="-11"/>
              </w:rPr>
              <w:t>、基础必须进行防渗；</w:t>
            </w:r>
            <w:r>
              <w:rPr>
                <w:rFonts w:ascii="Times New Roman" w:hAnsi="Times New Roman" w:eastAsia="Times New Roman" w:cs="Times New Roman"/>
                <w:spacing w:val="-11"/>
              </w:rPr>
              <w:t>b</w:t>
            </w:r>
            <w:r>
              <w:rPr>
                <w:spacing w:val="-11"/>
              </w:rPr>
              <w:t>、为加强监督管理，暂存间应按</w:t>
            </w:r>
            <w:r>
              <w:rPr>
                <w:spacing w:val="-45"/>
              </w:rPr>
              <w:t xml:space="preserve"> </w:t>
            </w:r>
            <w:r>
              <w:rPr>
                <w:rFonts w:ascii="Times New Roman" w:hAnsi="Times New Roman" w:eastAsia="Times New Roman" w:cs="Times New Roman"/>
                <w:spacing w:val="-11"/>
              </w:rPr>
              <w:t>G15562.2</w:t>
            </w:r>
            <w:r>
              <w:rPr>
                <w:rFonts w:ascii="Times New Roman" w:hAnsi="Times New Roman" w:eastAsia="Times New Roman" w:cs="Times New Roman"/>
              </w:rPr>
              <w:t xml:space="preserve"> </w:t>
            </w:r>
            <w:r>
              <w:rPr>
                <w:spacing w:val="-1"/>
              </w:rPr>
              <w:t>要求设置环境保护图形标志；</w:t>
            </w:r>
            <w:r>
              <w:rPr>
                <w:rFonts w:ascii="Times New Roman" w:hAnsi="Times New Roman" w:eastAsia="Times New Roman" w:cs="Times New Roman"/>
                <w:spacing w:val="-1"/>
              </w:rPr>
              <w:t>c</w:t>
            </w:r>
            <w:r>
              <w:rPr>
                <w:rFonts w:ascii="Times New Roman" w:hAnsi="Times New Roman" w:eastAsia="Times New Roman" w:cs="Times New Roman"/>
                <w:spacing w:val="-32"/>
              </w:rPr>
              <w:t xml:space="preserve"> </w:t>
            </w:r>
            <w:r>
              <w:rPr>
                <w:spacing w:val="-1"/>
              </w:rPr>
              <w:t>、应建立检查维护制度，发现有</w:t>
            </w:r>
            <w:r>
              <w:rPr>
                <w:spacing w:val="-2"/>
              </w:rPr>
              <w:t>损坏可能或异</w:t>
            </w:r>
            <w:r>
              <w:t xml:space="preserve"> </w:t>
            </w:r>
            <w:r>
              <w:rPr>
                <w:spacing w:val="-2"/>
              </w:rPr>
              <w:t>常应及时采取措施进行修复；</w:t>
            </w:r>
            <w:r>
              <w:rPr>
                <w:rFonts w:ascii="Times New Roman" w:hAnsi="Times New Roman" w:eastAsia="Times New Roman" w:cs="Times New Roman"/>
                <w:spacing w:val="-2"/>
              </w:rPr>
              <w:t>d</w:t>
            </w:r>
            <w:r>
              <w:rPr>
                <w:rFonts w:ascii="Times New Roman" w:hAnsi="Times New Roman" w:eastAsia="Times New Roman" w:cs="Times New Roman"/>
                <w:spacing w:val="-17"/>
              </w:rPr>
              <w:t xml:space="preserve"> </w:t>
            </w:r>
            <w:r>
              <w:rPr>
                <w:spacing w:val="-2"/>
              </w:rPr>
              <w:t>、应建立档案制度，将入场的一般工业固体废</w:t>
            </w:r>
            <w:r>
              <w:t xml:space="preserve"> 物种类和数量，出入库情况详细记录在案，</w:t>
            </w:r>
            <w:r>
              <w:rPr>
                <w:spacing w:val="-1"/>
              </w:rPr>
              <w:t>长期保存，供随时查阅。</w:t>
            </w:r>
          </w:p>
          <w:p w14:paraId="0511362C">
            <w:pPr>
              <w:pStyle w:val="6"/>
              <w:spacing w:before="37" w:line="352" w:lineRule="auto"/>
              <w:ind w:left="107" w:right="101" w:firstLine="484"/>
            </w:pPr>
            <w:r>
              <w:rPr>
                <w:b/>
                <w:bCs/>
                <w:spacing w:val="-4"/>
              </w:rPr>
              <w:t>危险废物环境管理要求：</w:t>
            </w:r>
            <w:r>
              <w:rPr>
                <w:spacing w:val="-4"/>
              </w:rPr>
              <w:t>设置</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8"/>
                <w:w w:val="101"/>
              </w:rPr>
              <w:t xml:space="preserve"> </w:t>
            </w:r>
            <w:r>
              <w:rPr>
                <w:spacing w:val="-4"/>
              </w:rPr>
              <w:t>间面积为</w:t>
            </w:r>
            <w:r>
              <w:rPr>
                <w:spacing w:val="-55"/>
              </w:rPr>
              <w:t xml:space="preserve"> </w:t>
            </w:r>
            <w:r>
              <w:rPr>
                <w:rFonts w:ascii="Times New Roman" w:hAnsi="Times New Roman" w:eastAsia="Times New Roman" w:cs="Times New Roman"/>
                <w:spacing w:val="-4"/>
              </w:rPr>
              <w:t>28</w:t>
            </w:r>
            <w:r>
              <w:rPr>
                <w:rFonts w:ascii="Times New Roman" w:hAnsi="Times New Roman" w:eastAsia="Times New Roman" w:cs="Times New Roman"/>
                <w:spacing w:val="-5"/>
              </w:rPr>
              <w:t>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28"/>
                <w:w w:val="102"/>
                <w:position w:val="8"/>
                <w:sz w:val="15"/>
                <w:szCs w:val="15"/>
              </w:rPr>
              <w:t xml:space="preserve"> </w:t>
            </w:r>
            <w:r>
              <w:rPr>
                <w:spacing w:val="-5"/>
              </w:rPr>
              <w:t>的危废贮存库，废铅蓄电</w:t>
            </w:r>
            <w:r>
              <w:t xml:space="preserve"> </w:t>
            </w:r>
            <w:r>
              <w:rPr>
                <w:spacing w:val="3"/>
              </w:rPr>
              <w:t>池、单次维修产生的废变压器油和事故废油在危废贮存库贮存分区之间</w:t>
            </w:r>
            <w:r>
              <w:rPr>
                <w:spacing w:val="2"/>
              </w:rPr>
              <w:t>应采</w:t>
            </w:r>
            <w:r>
              <w:t xml:space="preserve"> </w:t>
            </w:r>
            <w:r>
              <w:rPr>
                <w:spacing w:val="3"/>
              </w:rPr>
              <w:t>取隔离措施，隔离措施可根据危险废物特性采用过道、隔板或隔墙等方</w:t>
            </w:r>
            <w:r>
              <w:rPr>
                <w:spacing w:val="2"/>
              </w:rPr>
              <w:t>式，</w:t>
            </w:r>
            <w:r>
              <w:t xml:space="preserve"> </w:t>
            </w:r>
            <w:r>
              <w:rPr>
                <w:spacing w:val="3"/>
              </w:rPr>
              <w:t>避免不相容的危险废物接触、混合，并以醒目的方式标注“危险</w:t>
            </w:r>
            <w:r>
              <w:rPr>
                <w:spacing w:val="2"/>
              </w:rPr>
              <w:t>废物贮存分</w:t>
            </w:r>
            <w:r>
              <w:t xml:space="preserve"> </w:t>
            </w:r>
            <w:r>
              <w:rPr>
                <w:spacing w:val="2"/>
              </w:rPr>
              <w:t>区标志</w:t>
            </w:r>
            <w:r>
              <w:rPr>
                <w:spacing w:val="-86"/>
              </w:rPr>
              <w:t xml:space="preserve"> </w:t>
            </w:r>
            <w:r>
              <w:rPr>
                <w:spacing w:val="2"/>
              </w:rPr>
              <w:t>”字样。危废贮存库采用全封闭式，严格按照《危险废</w:t>
            </w:r>
            <w:r>
              <w:rPr>
                <w:spacing w:val="1"/>
              </w:rPr>
              <w:t>物贮存污染控</w:t>
            </w:r>
          </w:p>
        </w:tc>
      </w:tr>
    </w:tbl>
    <w:p w14:paraId="1C9843D3">
      <w:pPr>
        <w:rPr>
          <w:rFonts w:ascii="Arial"/>
          <w:sz w:val="21"/>
        </w:rPr>
      </w:pPr>
    </w:p>
    <w:p w14:paraId="23274E75">
      <w:pPr>
        <w:rPr>
          <w:rFonts w:ascii="Arial" w:hAnsi="Arial" w:eastAsia="Arial" w:cs="Arial"/>
          <w:sz w:val="21"/>
          <w:szCs w:val="21"/>
        </w:rPr>
        <w:sectPr>
          <w:footerReference r:id="rId163" w:type="default"/>
          <w:pgSz w:w="11907" w:h="16840"/>
          <w:pgMar w:top="1431" w:right="1453" w:bottom="1278" w:left="1453" w:header="0" w:footer="1116" w:gutter="0"/>
          <w:cols w:space="720" w:num="1"/>
        </w:sectPr>
      </w:pPr>
    </w:p>
    <w:p w14:paraId="21FC3636">
      <w:pPr>
        <w:spacing w:line="99"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29EC1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75" w:hRule="atLeast"/>
        </w:trPr>
        <w:tc>
          <w:tcPr>
            <w:tcW w:w="748" w:type="dxa"/>
            <w:tcBorders>
              <w:right w:val="single" w:color="000000" w:sz="2" w:space="0"/>
            </w:tcBorders>
            <w:vAlign w:val="top"/>
          </w:tcPr>
          <w:p w14:paraId="1A319200">
            <w:pPr>
              <w:rPr>
                <w:rFonts w:ascii="Arial"/>
                <w:sz w:val="21"/>
              </w:rPr>
            </w:pPr>
          </w:p>
        </w:tc>
        <w:tc>
          <w:tcPr>
            <w:tcW w:w="8237" w:type="dxa"/>
            <w:tcBorders>
              <w:left w:val="single" w:color="000000" w:sz="2" w:space="0"/>
            </w:tcBorders>
            <w:vAlign w:val="top"/>
          </w:tcPr>
          <w:p w14:paraId="5E572E7C">
            <w:pPr>
              <w:pStyle w:val="6"/>
              <w:spacing w:before="32" w:line="352" w:lineRule="auto"/>
              <w:ind w:left="108" w:firstLine="1"/>
            </w:pPr>
            <w:r>
              <w:rPr>
                <w:spacing w:val="-5"/>
              </w:rPr>
              <w:t>制标准》（</w:t>
            </w:r>
            <w:r>
              <w:rPr>
                <w:rFonts w:ascii="Times New Roman" w:hAnsi="Times New Roman" w:eastAsia="Times New Roman" w:cs="Times New Roman"/>
                <w:spacing w:val="-5"/>
              </w:rPr>
              <w:t>GB</w:t>
            </w:r>
            <w:r>
              <w:rPr>
                <w:rFonts w:ascii="Times New Roman" w:hAnsi="Times New Roman" w:eastAsia="Times New Roman" w:cs="Times New Roman"/>
                <w:spacing w:val="42"/>
              </w:rPr>
              <w:t xml:space="preserve"> </w:t>
            </w:r>
            <w:r>
              <w:rPr>
                <w:rFonts w:ascii="Times New Roman" w:hAnsi="Times New Roman" w:eastAsia="Times New Roman" w:cs="Times New Roman"/>
                <w:spacing w:val="-5"/>
              </w:rPr>
              <w:t>18597-2023</w:t>
            </w:r>
            <w:r>
              <w:rPr>
                <w:spacing w:val="-5"/>
              </w:rPr>
              <w:t>）有关要求进行设计，基础必须进行防渗，能防风、</w:t>
            </w:r>
            <w:r>
              <w:t xml:space="preserve"> </w:t>
            </w:r>
            <w:r>
              <w:rPr>
                <w:spacing w:val="-1"/>
              </w:rPr>
              <w:t>防晒、防雨、防漏、防渗、防腐，并按照《</w:t>
            </w:r>
            <w:r>
              <w:fldChar w:fldCharType="begin"/>
            </w:r>
            <w:r>
              <w:instrText xml:space="preserve"> HYPERLINK "https://mp.weixin.qq.com/s?__biz=MzIzMjIxNTc5Nw==&amp;mid=2247702462&amp;idx=2&amp;sn=5e98e17fb1b6687ba596bee36d1a13b5&amp;chksm=e895d224dfe25b32e4fe7a179859d5742cb48344317c6087027e34635cb800496b7a615d02c1&amp;mpshare=1&amp;scene=24&amp;srcid=03126t3l4r7hneaxMAQCjLej&amp;sharer_sharetime=1678601519933&amp;sharer_shareid=81ea4fcbbd91328b79320cfb5a318675&amp;key=17ff30f6f0feaa63893e190f920e5bc4981bfbb55dc0fa6811a987988ee678e7d76e50a67033dc42e5ee190c5f5c88067afb53b8dfd24f3c534acf9efb84853f18cf61d79000fa8804668b44db2e63c7088a0528f51df3beae9ad89df7de5189e15f37332cf2b10137989577effb2e5d24c24ec901d3d8dae095d7427413912c&amp;ascene=0&amp;uin=MjM3NTAzNDQxNw==&amp;devicetype=Windows+10+x64&amp;version=6309001c&amp;lang=zh_CN&amp;countrycode=CN&amp;exportkey=n_ChQIAhIQ20jkuKT3oDF1HKFFDU/AjxLgAQIE97dBBAEAAAAAAEd7MX719eEAAAAOpnltbLcz9gKNyK89dVj0zHz5xTF4V9v9MRGYQjcPAiDdauKnh8Sg809MavE4bv2ih8ZqSrGvW7HjYSqrjspqYS1z90OHb+IfWKET1hcyVdeVvL70Qs5uabgJEJ71/jcrqvhgOcTwzKEnc3BcJj1oCFHRdsRz3WUyRxSyBY0PECaPy1K2fZnmZQ5jucadnWHrVJyqyZde+3JEmQ0RXfB/pKyWxQiHlIoxxbIJniTDazZ+khcSfJMFRruDAgCgmMe0Zr/ev5tamy9y&amp;acctmode=0&amp;pass_ticket=eMIlM6lKATFPft/lMmDKrNTOJ/M4WYtweqF+JFmsuChLAENa04MdFA6nTarJPg0OVIS5nEzNTACMVv+IyscuRA==&amp;wx_header=1&amp;fontgear=2" </w:instrText>
            </w:r>
            <w:r>
              <w:fldChar w:fldCharType="separate"/>
            </w:r>
            <w:r>
              <w:rPr>
                <w:spacing w:val="-1"/>
              </w:rPr>
              <w:t>危险废物识别</w:t>
            </w:r>
            <w:r>
              <w:rPr>
                <w:spacing w:val="-2"/>
              </w:rPr>
              <w:t>标志设置技术规范</w:t>
            </w:r>
            <w:r>
              <w:rPr>
                <w:spacing w:val="-2"/>
              </w:rPr>
              <w:fldChar w:fldCharType="end"/>
            </w:r>
            <w:r>
              <w:rPr>
                <w:spacing w:val="-2"/>
              </w:rPr>
              <w:t>》</w:t>
            </w:r>
            <w:r>
              <w:t xml:space="preserve"> </w:t>
            </w:r>
            <w:r>
              <w:rPr>
                <w:spacing w:val="-3"/>
              </w:rPr>
              <w:t>（</w:t>
            </w:r>
            <w:r>
              <w:rPr>
                <w:rFonts w:ascii="Times New Roman" w:hAnsi="Times New Roman" w:eastAsia="Times New Roman" w:cs="Times New Roman"/>
                <w:spacing w:val="-3"/>
              </w:rPr>
              <w:t>HJ</w:t>
            </w:r>
            <w:r>
              <w:rPr>
                <w:rFonts w:ascii="Times New Roman" w:hAnsi="Times New Roman" w:eastAsia="Times New Roman" w:cs="Times New Roman"/>
                <w:spacing w:val="42"/>
              </w:rPr>
              <w:t xml:space="preserve"> </w:t>
            </w:r>
            <w:r>
              <w:rPr>
                <w:rFonts w:ascii="Times New Roman" w:hAnsi="Times New Roman" w:eastAsia="Times New Roman" w:cs="Times New Roman"/>
                <w:spacing w:val="-3"/>
              </w:rPr>
              <w:t>1276-2022</w:t>
            </w:r>
            <w:r>
              <w:rPr>
                <w:spacing w:val="-3"/>
              </w:rPr>
              <w:t>）要求配设醒目的警示标识。危险废物定期委托具备相应危废</w:t>
            </w:r>
            <w:r>
              <w:t xml:space="preserve">  </w:t>
            </w:r>
            <w:r>
              <w:rPr>
                <w:spacing w:val="-4"/>
              </w:rPr>
              <w:t>处置资质的单位进行处置，其转移严格按照《危险废物转移管理办法》（</w:t>
            </w:r>
            <w:r>
              <w:rPr>
                <w:rFonts w:ascii="Times New Roman" w:hAnsi="Times New Roman" w:eastAsia="Times New Roman" w:cs="Times New Roman"/>
                <w:spacing w:val="-5"/>
              </w:rPr>
              <w:t>2021</w:t>
            </w:r>
            <w:r>
              <w:rPr>
                <w:rFonts w:ascii="Times New Roman" w:hAnsi="Times New Roman" w:eastAsia="Times New Roman" w:cs="Times New Roman"/>
              </w:rPr>
              <w:t xml:space="preserve">   </w:t>
            </w:r>
            <w:r>
              <w:rPr>
                <w:spacing w:val="-7"/>
              </w:rPr>
              <w:t>年</w:t>
            </w:r>
            <w:r>
              <w:rPr>
                <w:spacing w:val="-48"/>
              </w:rPr>
              <w:t xml:space="preserve"> </w:t>
            </w:r>
            <w:r>
              <w:rPr>
                <w:rFonts w:ascii="Times New Roman" w:hAnsi="Times New Roman" w:eastAsia="Times New Roman" w:cs="Times New Roman"/>
                <w:spacing w:val="-7"/>
              </w:rPr>
              <w:t>9</w:t>
            </w:r>
            <w:r>
              <w:rPr>
                <w:rFonts w:ascii="Times New Roman" w:hAnsi="Times New Roman" w:eastAsia="Times New Roman" w:cs="Times New Roman"/>
                <w:spacing w:val="20"/>
                <w:w w:val="101"/>
              </w:rPr>
              <w:t xml:space="preserve"> </w:t>
            </w:r>
            <w:r>
              <w:rPr>
                <w:spacing w:val="-7"/>
              </w:rPr>
              <w:t>月</w:t>
            </w:r>
            <w:r>
              <w:rPr>
                <w:spacing w:val="-30"/>
              </w:rPr>
              <w:t xml:space="preserve"> </w:t>
            </w:r>
            <w:r>
              <w:rPr>
                <w:rFonts w:ascii="Times New Roman" w:hAnsi="Times New Roman" w:eastAsia="Times New Roman" w:cs="Times New Roman"/>
                <w:spacing w:val="-7"/>
              </w:rPr>
              <w:t>18</w:t>
            </w:r>
            <w:r>
              <w:rPr>
                <w:rFonts w:ascii="Times New Roman" w:hAnsi="Times New Roman" w:eastAsia="Times New Roman" w:cs="Times New Roman"/>
                <w:spacing w:val="56"/>
              </w:rPr>
              <w:t xml:space="preserve"> </w:t>
            </w:r>
            <w:r>
              <w:rPr>
                <w:spacing w:val="-7"/>
              </w:rPr>
              <w:t>日由生态环境部部务会议审议通过，</w:t>
            </w:r>
            <w:r>
              <w:rPr>
                <w:spacing w:val="-69"/>
              </w:rPr>
              <w:t xml:space="preserve"> </w:t>
            </w:r>
            <w:r>
              <w:rPr>
                <w:spacing w:val="-7"/>
              </w:rPr>
              <w:t>自</w:t>
            </w:r>
            <w:r>
              <w:rPr>
                <w:spacing w:val="-53"/>
              </w:rPr>
              <w:t xml:space="preserve"> </w:t>
            </w:r>
            <w:r>
              <w:rPr>
                <w:rFonts w:ascii="Times New Roman" w:hAnsi="Times New Roman" w:eastAsia="Times New Roman" w:cs="Times New Roman"/>
                <w:spacing w:val="-7"/>
              </w:rPr>
              <w:t>2022</w:t>
            </w:r>
            <w:r>
              <w:rPr>
                <w:rFonts w:ascii="Times New Roman" w:hAnsi="Times New Roman" w:eastAsia="Times New Roman" w:cs="Times New Roman"/>
                <w:spacing w:val="15"/>
                <w:w w:val="101"/>
              </w:rPr>
              <w:t xml:space="preserve"> </w:t>
            </w:r>
            <w:r>
              <w:rPr>
                <w:spacing w:val="-7"/>
              </w:rPr>
              <w:t>年</w:t>
            </w:r>
            <w:r>
              <w:rPr>
                <w:spacing w:val="-30"/>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20"/>
              </w:rPr>
              <w:t xml:space="preserve"> </w:t>
            </w:r>
            <w:r>
              <w:rPr>
                <w:spacing w:val="-8"/>
              </w:rPr>
              <w:t>月</w:t>
            </w:r>
            <w:r>
              <w:rPr>
                <w:spacing w:val="-30"/>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56"/>
              </w:rPr>
              <w:t xml:space="preserve"> </w:t>
            </w:r>
            <w:r>
              <w:rPr>
                <w:spacing w:val="-8"/>
              </w:rPr>
              <w:t>日起施行）</w:t>
            </w:r>
            <w:r>
              <w:t xml:space="preserve">  </w:t>
            </w:r>
            <w:r>
              <w:rPr>
                <w:spacing w:val="3"/>
              </w:rPr>
              <w:t>要求执行。配置人员对危险废物进行收集、暂存和保管。</w:t>
            </w:r>
            <w:r>
              <w:rPr>
                <w:spacing w:val="2"/>
              </w:rPr>
              <w:t>建立危险废物产生</w:t>
            </w:r>
            <w:r>
              <w:t xml:space="preserve">  </w:t>
            </w:r>
            <w:r>
              <w:rPr>
                <w:spacing w:val="3"/>
              </w:rPr>
              <w:t>记录台账，定期检查自行贮存和处置的危险废物记录及相</w:t>
            </w:r>
            <w:r>
              <w:rPr>
                <w:spacing w:val="2"/>
              </w:rPr>
              <w:t>关证明材料，妥善</w:t>
            </w:r>
            <w:r>
              <w:t xml:space="preserve">  </w:t>
            </w:r>
            <w:r>
              <w:rPr>
                <w:spacing w:val="-1"/>
              </w:rPr>
              <w:t>保存危废转移联单及危废处置协议等相关资料。</w:t>
            </w:r>
          </w:p>
          <w:p w14:paraId="5A0C5578">
            <w:pPr>
              <w:pStyle w:val="6"/>
              <w:spacing w:before="74" w:line="227" w:lineRule="auto"/>
              <w:ind w:left="628"/>
            </w:pPr>
            <w:r>
              <w:rPr>
                <w:rFonts w:ascii="Times New Roman" w:hAnsi="Times New Roman" w:eastAsia="Times New Roman" w:cs="Times New Roman"/>
                <w:b/>
                <w:bCs/>
                <w:spacing w:val="-2"/>
              </w:rPr>
              <w:t>5</w:t>
            </w:r>
            <w:r>
              <w:rPr>
                <w:rFonts w:ascii="Times New Roman" w:hAnsi="Times New Roman" w:eastAsia="Times New Roman" w:cs="Times New Roman"/>
                <w:b/>
                <w:bCs/>
                <w:spacing w:val="-15"/>
              </w:rPr>
              <w:t xml:space="preserve"> </w:t>
            </w:r>
            <w:r>
              <w:rPr>
                <w:b/>
                <w:bCs/>
                <w:spacing w:val="-2"/>
              </w:rPr>
              <w:t>、地下水、土壤保护措施</w:t>
            </w:r>
          </w:p>
          <w:p w14:paraId="0CF397AA">
            <w:pPr>
              <w:pStyle w:val="6"/>
              <w:spacing w:before="188" w:line="356" w:lineRule="auto"/>
              <w:ind w:left="103" w:right="40" w:firstLine="486"/>
              <w:jc w:val="both"/>
            </w:pPr>
            <w:r>
              <w:rPr>
                <w:spacing w:val="3"/>
              </w:rPr>
              <w:t>本工程防渗分为重点防渗区、一般防渗区来进行。重点防渗区主要为光</w:t>
            </w:r>
            <w:r>
              <w:rPr>
                <w:spacing w:val="1"/>
              </w:rPr>
              <w:t xml:space="preserve"> </w:t>
            </w:r>
            <w:r>
              <w:rPr>
                <w:spacing w:val="3"/>
              </w:rPr>
              <w:t>伏区箱式变压器、事故油池和升压站内主变压器、集油坑、事故油池、危废</w:t>
            </w:r>
            <w:r>
              <w:t xml:space="preserve"> </w:t>
            </w:r>
            <w:r>
              <w:rPr>
                <w:spacing w:val="10"/>
              </w:rPr>
              <w:t>贮存库，一般防渗区主要为其他生产区。重点防渗区要求等效黏土防渗层</w:t>
            </w:r>
            <w:r>
              <w:rPr>
                <w:spacing w:val="18"/>
              </w:rPr>
              <w:t xml:space="preserve"> </w:t>
            </w:r>
            <w:r>
              <w:rPr>
                <w:rFonts w:ascii="Times New Roman" w:hAnsi="Times New Roman" w:eastAsia="Times New Roman" w:cs="Times New Roman"/>
                <w:spacing w:val="-2"/>
              </w:rPr>
              <w:t>Mb≥6m</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pacing w:val="-2"/>
                <w:position w:val="8"/>
                <w:sz w:val="15"/>
                <w:szCs w:val="15"/>
              </w:rPr>
              <w:t>-7</w:t>
            </w:r>
            <w:r>
              <w:rPr>
                <w:rFonts w:ascii="Times New Roman" w:hAnsi="Times New Roman" w:eastAsia="Times New Roman" w:cs="Times New Roman"/>
                <w:spacing w:val="-2"/>
              </w:rPr>
              <w:t>cm/s</w:t>
            </w:r>
            <w:r>
              <w:rPr>
                <w:rFonts w:ascii="Times New Roman" w:hAnsi="Times New Roman" w:eastAsia="Times New Roman" w:cs="Times New Roman"/>
                <w:spacing w:val="-31"/>
              </w:rPr>
              <w:t xml:space="preserve"> </w:t>
            </w:r>
            <w:r>
              <w:rPr>
                <w:spacing w:val="-2"/>
              </w:rPr>
              <w:t>，或至少</w:t>
            </w:r>
            <w:r>
              <w:rPr>
                <w:spacing w:val="-55"/>
              </w:rPr>
              <w:t xml:space="preserve"> </w:t>
            </w:r>
            <w:r>
              <w:rPr>
                <w:rFonts w:ascii="Times New Roman" w:hAnsi="Times New Roman" w:eastAsia="Times New Roman" w:cs="Times New Roman"/>
                <w:spacing w:val="-2"/>
              </w:rPr>
              <w:t>2mm</w:t>
            </w:r>
            <w:r>
              <w:rPr>
                <w:rFonts w:ascii="Times New Roman" w:hAnsi="Times New Roman" w:eastAsia="Times New Roman" w:cs="Times New Roman"/>
                <w:spacing w:val="16"/>
                <w:w w:val="101"/>
              </w:rPr>
              <w:t xml:space="preserve"> </w:t>
            </w:r>
            <w:r>
              <w:rPr>
                <w:spacing w:val="-3"/>
              </w:rPr>
              <w:t>厚高密度聚乙烯膜等人工防渗材料（渗</w:t>
            </w:r>
            <w:r>
              <w:t xml:space="preserve"> 透系数</w:t>
            </w:r>
            <w:r>
              <w:rPr>
                <w:rFonts w:ascii="Times New Roman" w:hAnsi="Times New Roman" w:eastAsia="Times New Roman" w:cs="Times New Roman"/>
              </w:rPr>
              <w:t>≤1×10</w:t>
            </w:r>
            <w:r>
              <w:rPr>
                <w:rFonts w:ascii="Times New Roman" w:hAnsi="Times New Roman" w:eastAsia="Times New Roman" w:cs="Times New Roman"/>
                <w:position w:val="8"/>
                <w:sz w:val="15"/>
                <w:szCs w:val="15"/>
              </w:rPr>
              <w:t>-10</w:t>
            </w:r>
            <w:r>
              <w:rPr>
                <w:rFonts w:ascii="Times New Roman" w:hAnsi="Times New Roman" w:eastAsia="Times New Roman" w:cs="Times New Roman"/>
              </w:rPr>
              <w:t>cm/s</w:t>
            </w:r>
            <w:r>
              <w:rPr>
                <w:spacing w:val="8"/>
              </w:rPr>
              <w:t>），</w:t>
            </w:r>
            <w:r>
              <w:t>或其他防渗性能等效的材料。一般防渗区要求等效黏</w:t>
            </w:r>
            <w:r>
              <w:rPr>
                <w:spacing w:val="1"/>
              </w:rPr>
              <w:t xml:space="preserve"> </w:t>
            </w:r>
            <w:r>
              <w:rPr>
                <w:spacing w:val="-3"/>
              </w:rPr>
              <w:t>土防渗层</w:t>
            </w:r>
            <w:r>
              <w:rPr>
                <w:spacing w:val="-49"/>
              </w:rPr>
              <w:t xml:space="preserve"> </w:t>
            </w:r>
            <w:r>
              <w:rPr>
                <w:rFonts w:ascii="Times New Roman" w:hAnsi="Times New Roman" w:eastAsia="Times New Roman" w:cs="Times New Roman"/>
                <w:spacing w:val="-3"/>
              </w:rPr>
              <w:t>Mb≥1.5m</w:t>
            </w:r>
            <w:r>
              <w:rPr>
                <w:spacing w:val="-3"/>
              </w:rPr>
              <w:t>，</w:t>
            </w:r>
            <w:r>
              <w:rPr>
                <w:rFonts w:ascii="Times New Roman" w:hAnsi="Times New Roman" w:eastAsia="Times New Roman" w:cs="Times New Roman"/>
                <w:spacing w:val="-3"/>
              </w:rPr>
              <w:t>K≤10</w:t>
            </w:r>
            <w:r>
              <w:rPr>
                <w:rFonts w:ascii="Times New Roman" w:hAnsi="Times New Roman" w:eastAsia="Times New Roman" w:cs="Times New Roman"/>
                <w:spacing w:val="-3"/>
                <w:position w:val="8"/>
                <w:sz w:val="15"/>
                <w:szCs w:val="15"/>
              </w:rPr>
              <w:t>-7</w:t>
            </w:r>
            <w:r>
              <w:rPr>
                <w:rFonts w:ascii="Times New Roman" w:hAnsi="Times New Roman" w:eastAsia="Times New Roman" w:cs="Times New Roman"/>
                <w:spacing w:val="-3"/>
              </w:rPr>
              <w:t>cm/s</w:t>
            </w:r>
            <w:r>
              <w:rPr>
                <w:spacing w:val="-3"/>
              </w:rPr>
              <w:t>。升压站占地区域内综合楼和附属用房进行简</w:t>
            </w:r>
            <w:r>
              <w:t xml:space="preserve"> </w:t>
            </w:r>
            <w:r>
              <w:rPr>
                <w:spacing w:val="-2"/>
              </w:rPr>
              <w:t>单防渗，采取一般地面水泥硬化。采取分区防渗措施后</w:t>
            </w:r>
            <w:r>
              <w:rPr>
                <w:spacing w:val="-3"/>
              </w:rPr>
              <w:t>，对周围环境影响小，</w:t>
            </w:r>
            <w:r>
              <w:t xml:space="preserve"> </w:t>
            </w:r>
            <w:r>
              <w:rPr>
                <w:spacing w:val="-1"/>
              </w:rPr>
              <w:t>措施可行。</w:t>
            </w:r>
          </w:p>
          <w:p w14:paraId="51D9CFC5">
            <w:pPr>
              <w:pStyle w:val="6"/>
              <w:spacing w:before="35" w:line="228" w:lineRule="auto"/>
              <w:ind w:left="588"/>
            </w:pPr>
            <w:r>
              <w:rPr>
                <w:rFonts w:ascii="Times New Roman" w:hAnsi="Times New Roman" w:eastAsia="Times New Roman" w:cs="Times New Roman"/>
                <w:b/>
                <w:bCs/>
                <w:spacing w:val="4"/>
              </w:rPr>
              <w:t>6</w:t>
            </w:r>
            <w:r>
              <w:rPr>
                <w:rFonts w:ascii="Times New Roman" w:hAnsi="Times New Roman" w:eastAsia="Times New Roman" w:cs="Times New Roman"/>
                <w:b/>
                <w:bCs/>
                <w:spacing w:val="-32"/>
              </w:rPr>
              <w:t xml:space="preserve"> </w:t>
            </w:r>
            <w:r>
              <w:rPr>
                <w:b/>
                <w:bCs/>
                <w:spacing w:val="4"/>
              </w:rPr>
              <w:t>、运营期环境风险保护措施</w:t>
            </w:r>
          </w:p>
          <w:p w14:paraId="31ACE057">
            <w:pPr>
              <w:pStyle w:val="6"/>
              <w:spacing w:before="182" w:line="344" w:lineRule="auto"/>
              <w:ind w:left="104" w:right="84" w:firstLine="495"/>
            </w:pPr>
            <w:r>
              <w:rPr>
                <w:spacing w:val="-11"/>
              </w:rPr>
              <w:t>（</w:t>
            </w:r>
            <w:r>
              <w:rPr>
                <w:rFonts w:ascii="Times New Roman" w:hAnsi="Times New Roman" w:eastAsia="Times New Roman" w:cs="Times New Roman"/>
                <w:spacing w:val="-11"/>
              </w:rPr>
              <w:t>1</w:t>
            </w:r>
            <w:r>
              <w:rPr>
                <w:spacing w:val="-11"/>
              </w:rPr>
              <w:t>）本项目在主变压器下设置一座</w:t>
            </w:r>
            <w:r>
              <w:rPr>
                <w:rFonts w:ascii="Times New Roman" w:hAnsi="Times New Roman" w:eastAsia="Times New Roman" w:cs="Times New Roman"/>
                <w:spacing w:val="-11"/>
              </w:rPr>
              <w:t>20%</w:t>
            </w:r>
            <w:r>
              <w:rPr>
                <w:spacing w:val="-11"/>
              </w:rPr>
              <w:t>油量事故油</w:t>
            </w:r>
            <w:r>
              <w:rPr>
                <w:spacing w:val="-12"/>
              </w:rPr>
              <w:t>池（</w:t>
            </w:r>
            <w:r>
              <w:rPr>
                <w:rFonts w:ascii="Times New Roman" w:hAnsi="Times New Roman" w:eastAsia="Times New Roman" w:cs="Times New Roman"/>
                <w:spacing w:val="-12"/>
              </w:rPr>
              <w:t>10m</w:t>
            </w:r>
            <w:r>
              <w:rPr>
                <w:rFonts w:ascii="Times New Roman" w:hAnsi="Times New Roman" w:eastAsia="Times New Roman" w:cs="Times New Roman"/>
                <w:spacing w:val="-12"/>
                <w:position w:val="8"/>
                <w:sz w:val="15"/>
                <w:szCs w:val="15"/>
              </w:rPr>
              <w:t>3</w:t>
            </w:r>
            <w:r>
              <w:rPr>
                <w:spacing w:val="-28"/>
              </w:rPr>
              <w:t>），</w:t>
            </w:r>
            <w:r>
              <w:rPr>
                <w:spacing w:val="-18"/>
              </w:rPr>
              <w:t>并在主变压</w:t>
            </w:r>
            <w:r>
              <w:t xml:space="preserve"> </w:t>
            </w:r>
            <w:r>
              <w:rPr>
                <w:spacing w:val="-5"/>
              </w:rPr>
              <w:t>器东南侧设</w:t>
            </w:r>
            <w:r>
              <w:rPr>
                <w:spacing w:val="-31"/>
              </w:rPr>
              <w:t xml:space="preserve"> </w:t>
            </w:r>
            <w:r>
              <w:rPr>
                <w:rFonts w:ascii="Times New Roman" w:hAnsi="Times New Roman" w:eastAsia="Times New Roman" w:cs="Times New Roman"/>
                <w:spacing w:val="-5"/>
              </w:rPr>
              <w:t xml:space="preserve">1 </w:t>
            </w:r>
            <w:r>
              <w:rPr>
                <w:spacing w:val="-5"/>
              </w:rPr>
              <w:t>座</w:t>
            </w:r>
            <w:r>
              <w:rPr>
                <w:spacing w:val="-32"/>
              </w:rPr>
              <w:t xml:space="preserve"> </w:t>
            </w:r>
            <w:r>
              <w:rPr>
                <w:rFonts w:ascii="Times New Roman" w:hAnsi="Times New Roman" w:eastAsia="Times New Roman" w:cs="Times New Roman"/>
                <w:spacing w:val="-5"/>
              </w:rPr>
              <w:t>100%</w:t>
            </w:r>
            <w:r>
              <w:rPr>
                <w:spacing w:val="-5"/>
              </w:rPr>
              <w:t>事故油池（有效容积约</w:t>
            </w:r>
            <w:r>
              <w:rPr>
                <w:spacing w:val="-48"/>
              </w:rPr>
              <w:t xml:space="preserve"> </w:t>
            </w:r>
            <w:r>
              <w:rPr>
                <w:rFonts w:ascii="Times New Roman" w:hAnsi="Times New Roman" w:eastAsia="Times New Roman" w:cs="Times New Roman"/>
                <w:spacing w:val="-5"/>
              </w:rPr>
              <w:t>50m</w:t>
            </w:r>
            <w:r>
              <w:rPr>
                <w:rFonts w:ascii="Times New Roman" w:hAnsi="Times New Roman" w:eastAsia="Times New Roman" w:cs="Times New Roman"/>
                <w:spacing w:val="-5"/>
                <w:position w:val="8"/>
                <w:sz w:val="15"/>
                <w:szCs w:val="15"/>
              </w:rPr>
              <w:t xml:space="preserve">3 </w:t>
            </w:r>
            <w:r>
              <w:rPr>
                <w:spacing w:val="-23"/>
              </w:rPr>
              <w:t>）；</w:t>
            </w:r>
            <w:r>
              <w:rPr>
                <w:spacing w:val="-5"/>
              </w:rPr>
              <w:t>在箱式变压器下设置一</w:t>
            </w:r>
            <w:r>
              <w:t xml:space="preserve"> </w:t>
            </w:r>
            <w:r>
              <w:rPr>
                <w:spacing w:val="-10"/>
              </w:rPr>
              <w:t>个等容积集油坑，即：</w:t>
            </w:r>
            <w:r>
              <w:rPr>
                <w:rFonts w:ascii="Times New Roman" w:hAnsi="Times New Roman" w:eastAsia="Times New Roman" w:cs="Times New Roman"/>
                <w:spacing w:val="-10"/>
              </w:rPr>
              <w:t>3</w:t>
            </w:r>
            <w:r>
              <w:rPr>
                <w:rFonts w:ascii="Times New Roman" w:hAnsi="Times New Roman" w:eastAsia="Times New Roman" w:cs="Times New Roman"/>
                <w:spacing w:val="20"/>
              </w:rPr>
              <w:t xml:space="preserve"> </w:t>
            </w:r>
            <w:r>
              <w:rPr>
                <w:spacing w:val="-10"/>
              </w:rPr>
              <w:t>台</w:t>
            </w:r>
            <w:r>
              <w:rPr>
                <w:spacing w:val="-67"/>
              </w:rPr>
              <w:t xml:space="preserve"> </w:t>
            </w:r>
            <w:r>
              <w:rPr>
                <w:rFonts w:ascii="Times New Roman" w:hAnsi="Times New Roman" w:eastAsia="Times New Roman" w:cs="Times New Roman"/>
                <w:spacing w:val="-10"/>
              </w:rPr>
              <w:t xml:space="preserve">900kVA </w:t>
            </w:r>
            <w:r>
              <w:rPr>
                <w:spacing w:val="-11"/>
              </w:rPr>
              <w:t>箱变下各设一个</w:t>
            </w:r>
            <w:r>
              <w:rPr>
                <w:spacing w:val="-68"/>
              </w:rPr>
              <w:t xml:space="preserve"> </w:t>
            </w:r>
            <w:r>
              <w:rPr>
                <w:rFonts w:ascii="Times New Roman" w:hAnsi="Times New Roman" w:eastAsia="Times New Roman" w:cs="Times New Roman"/>
                <w:spacing w:val="-11"/>
              </w:rPr>
              <w:t>0.8m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
                <w:position w:val="8"/>
                <w:sz w:val="15"/>
                <w:szCs w:val="15"/>
              </w:rPr>
              <w:t xml:space="preserve"> </w:t>
            </w:r>
            <w:r>
              <w:rPr>
                <w:spacing w:val="-15"/>
              </w:rPr>
              <w:t>集油坑，</w:t>
            </w:r>
            <w:r>
              <w:rPr>
                <w:rFonts w:ascii="Times New Roman" w:hAnsi="Times New Roman" w:eastAsia="Times New Roman" w:cs="Times New Roman"/>
                <w:spacing w:val="-15"/>
              </w:rPr>
              <w:t>2</w:t>
            </w:r>
            <w:r>
              <w:rPr>
                <w:rFonts w:ascii="Times New Roman" w:hAnsi="Times New Roman" w:eastAsia="Times New Roman" w:cs="Times New Roman"/>
                <w:spacing w:val="11"/>
              </w:rPr>
              <w:t xml:space="preserve"> </w:t>
            </w:r>
            <w:r>
              <w:rPr>
                <w:spacing w:val="-15"/>
              </w:rPr>
              <w:t>台</w:t>
            </w:r>
            <w:r>
              <w:rPr>
                <w:spacing w:val="-48"/>
              </w:rPr>
              <w:t xml:space="preserve"> </w:t>
            </w:r>
            <w:r>
              <w:rPr>
                <w:rFonts w:ascii="Times New Roman" w:hAnsi="Times New Roman" w:eastAsia="Times New Roman" w:cs="Times New Roman"/>
                <w:spacing w:val="-15"/>
              </w:rPr>
              <w:t>1200kVA</w:t>
            </w:r>
            <w:r>
              <w:rPr>
                <w:rFonts w:ascii="Times New Roman" w:hAnsi="Times New Roman" w:eastAsia="Times New Roman" w:cs="Times New Roman"/>
              </w:rPr>
              <w:t xml:space="preserve"> </w:t>
            </w:r>
            <w:r>
              <w:rPr>
                <w:spacing w:val="-5"/>
              </w:rPr>
              <w:t>箱变各设一个</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12"/>
                <w:position w:val="7"/>
                <w:sz w:val="15"/>
                <w:szCs w:val="15"/>
              </w:rPr>
              <w:t xml:space="preserve"> </w:t>
            </w:r>
            <w:r>
              <w:rPr>
                <w:spacing w:val="-5"/>
              </w:rPr>
              <w:t>集油坑，</w:t>
            </w:r>
            <w:r>
              <w:rPr>
                <w:rFonts w:ascii="Times New Roman" w:hAnsi="Times New Roman" w:eastAsia="Times New Roman" w:cs="Times New Roman"/>
                <w:spacing w:val="-5"/>
              </w:rPr>
              <w:t>5</w:t>
            </w:r>
            <w:r>
              <w:rPr>
                <w:rFonts w:ascii="Times New Roman" w:hAnsi="Times New Roman" w:eastAsia="Times New Roman" w:cs="Times New Roman"/>
                <w:spacing w:val="28"/>
              </w:rPr>
              <w:t xml:space="preserve"> </w:t>
            </w:r>
            <w:r>
              <w:rPr>
                <w:spacing w:val="-5"/>
              </w:rPr>
              <w:t>台</w:t>
            </w:r>
            <w:r>
              <w:rPr>
                <w:spacing w:val="-32"/>
              </w:rPr>
              <w:t xml:space="preserve"> </w:t>
            </w:r>
            <w:r>
              <w:rPr>
                <w:rFonts w:ascii="Times New Roman" w:hAnsi="Times New Roman" w:eastAsia="Times New Roman" w:cs="Times New Roman"/>
                <w:spacing w:val="-5"/>
              </w:rPr>
              <w:t>1800kVA</w:t>
            </w:r>
            <w:r>
              <w:rPr>
                <w:rFonts w:ascii="Times New Roman" w:hAnsi="Times New Roman" w:eastAsia="Times New Roman" w:cs="Times New Roman"/>
                <w:spacing w:val="13"/>
              </w:rPr>
              <w:t xml:space="preserve"> </w:t>
            </w:r>
            <w:r>
              <w:rPr>
                <w:spacing w:val="-5"/>
              </w:rPr>
              <w:t>箱变各设一个</w:t>
            </w:r>
            <w:r>
              <w:rPr>
                <w:spacing w:val="-32"/>
              </w:rPr>
              <w:t xml:space="preserve"> </w:t>
            </w:r>
            <w:r>
              <w:rPr>
                <w:rFonts w:ascii="Times New Roman" w:hAnsi="Times New Roman" w:eastAsia="Times New Roman" w:cs="Times New Roman"/>
                <w:spacing w:val="-5"/>
              </w:rPr>
              <w:t>1.6m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9"/>
                <w:w w:val="101"/>
                <w:position w:val="7"/>
                <w:sz w:val="15"/>
                <w:szCs w:val="15"/>
              </w:rPr>
              <w:t xml:space="preserve"> </w:t>
            </w:r>
            <w:r>
              <w:rPr>
                <w:spacing w:val="-5"/>
              </w:rPr>
              <w:t>集油坑</w:t>
            </w:r>
            <w:r>
              <w:rPr>
                <w:spacing w:val="-6"/>
              </w:rPr>
              <w:t>，</w:t>
            </w:r>
            <w:r>
              <w:rPr>
                <w:rFonts w:ascii="Times New Roman" w:hAnsi="Times New Roman" w:eastAsia="Times New Roman" w:cs="Times New Roman"/>
                <w:spacing w:val="-6"/>
              </w:rPr>
              <w:t>3</w:t>
            </w:r>
            <w:r>
              <w:rPr>
                <w:rFonts w:ascii="Times New Roman" w:hAnsi="Times New Roman" w:eastAsia="Times New Roman" w:cs="Times New Roman"/>
                <w:spacing w:val="28"/>
              </w:rPr>
              <w:t xml:space="preserve"> </w:t>
            </w:r>
            <w:r>
              <w:rPr>
                <w:spacing w:val="-6"/>
              </w:rPr>
              <w:t>台</w:t>
            </w:r>
            <w:r>
              <w:t xml:space="preserve"> </w:t>
            </w:r>
            <w:r>
              <w:rPr>
                <w:rFonts w:ascii="Times New Roman" w:hAnsi="Times New Roman" w:eastAsia="Times New Roman" w:cs="Times New Roman"/>
                <w:spacing w:val="-3"/>
              </w:rPr>
              <w:t xml:space="preserve">2100kVA </w:t>
            </w:r>
            <w:r>
              <w:rPr>
                <w:spacing w:val="-3"/>
              </w:rPr>
              <w:t>型箱变各设一个</w:t>
            </w:r>
            <w:r>
              <w:rPr>
                <w:spacing w:val="-45"/>
              </w:rPr>
              <w:t xml:space="preserve"> </w:t>
            </w:r>
            <w:r>
              <w:rPr>
                <w:rFonts w:ascii="Times New Roman" w:hAnsi="Times New Roman" w:eastAsia="Times New Roman" w:cs="Times New Roman"/>
                <w:spacing w:val="-3"/>
              </w:rPr>
              <w:t>2.0m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9"/>
                <w:position w:val="7"/>
                <w:sz w:val="15"/>
                <w:szCs w:val="15"/>
              </w:rPr>
              <w:t xml:space="preserve"> </w:t>
            </w:r>
            <w:r>
              <w:rPr>
                <w:spacing w:val="-3"/>
              </w:rPr>
              <w:t>集油坑，</w:t>
            </w:r>
            <w:r>
              <w:rPr>
                <w:rFonts w:ascii="Times New Roman" w:hAnsi="Times New Roman" w:eastAsia="Times New Roman" w:cs="Times New Roman"/>
                <w:spacing w:val="-3"/>
              </w:rPr>
              <w:t>3</w:t>
            </w:r>
            <w:r>
              <w:rPr>
                <w:rFonts w:ascii="Times New Roman" w:hAnsi="Times New Roman" w:eastAsia="Times New Roman" w:cs="Times New Roman"/>
                <w:spacing w:val="28"/>
              </w:rPr>
              <w:t xml:space="preserve"> </w:t>
            </w:r>
            <w:r>
              <w:rPr>
                <w:spacing w:val="-3"/>
              </w:rPr>
              <w:t>台</w:t>
            </w:r>
            <w:r>
              <w:rPr>
                <w:spacing w:val="-55"/>
              </w:rPr>
              <w:t xml:space="preserve"> </w:t>
            </w:r>
            <w:r>
              <w:rPr>
                <w:rFonts w:ascii="Times New Roman" w:hAnsi="Times New Roman" w:eastAsia="Times New Roman" w:cs="Times New Roman"/>
                <w:spacing w:val="-3"/>
              </w:rPr>
              <w:t xml:space="preserve">2400kVA </w:t>
            </w:r>
            <w:r>
              <w:rPr>
                <w:spacing w:val="-3"/>
              </w:rPr>
              <w:t>型箱变各设一个</w:t>
            </w:r>
            <w:r>
              <w:rPr>
                <w:spacing w:val="-55"/>
              </w:rPr>
              <w:t xml:space="preserve"> </w:t>
            </w:r>
            <w:r>
              <w:rPr>
                <w:rFonts w:ascii="Times New Roman" w:hAnsi="Times New Roman" w:eastAsia="Times New Roman" w:cs="Times New Roman"/>
                <w:spacing w:val="-3"/>
              </w:rPr>
              <w:t>2.2m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position w:val="7"/>
                <w:sz w:val="15"/>
                <w:szCs w:val="15"/>
              </w:rPr>
              <w:t xml:space="preserve">  </w:t>
            </w:r>
            <w:r>
              <w:rPr>
                <w:spacing w:val="-4"/>
              </w:rPr>
              <w:t>集油坑，</w:t>
            </w:r>
            <w:r>
              <w:rPr>
                <w:rFonts w:ascii="Times New Roman" w:hAnsi="Times New Roman" w:eastAsia="Times New Roman" w:cs="Times New Roman"/>
                <w:spacing w:val="-4"/>
              </w:rPr>
              <w:t>2</w:t>
            </w:r>
            <w:r>
              <w:rPr>
                <w:rFonts w:ascii="Times New Roman" w:hAnsi="Times New Roman" w:eastAsia="Times New Roman" w:cs="Times New Roman"/>
                <w:spacing w:val="43"/>
              </w:rPr>
              <w:t xml:space="preserve"> </w:t>
            </w:r>
            <w:r>
              <w:rPr>
                <w:spacing w:val="-4"/>
              </w:rPr>
              <w:t>台</w:t>
            </w:r>
            <w:r>
              <w:rPr>
                <w:spacing w:val="-55"/>
              </w:rPr>
              <w:t xml:space="preserve"> </w:t>
            </w:r>
            <w:r>
              <w:rPr>
                <w:rFonts w:ascii="Times New Roman" w:hAnsi="Times New Roman" w:eastAsia="Times New Roman" w:cs="Times New Roman"/>
                <w:spacing w:val="-4"/>
              </w:rPr>
              <w:t xml:space="preserve">2700kVA </w:t>
            </w:r>
            <w:r>
              <w:rPr>
                <w:spacing w:val="-4"/>
              </w:rPr>
              <w:t>型箱变各设一个</w:t>
            </w:r>
            <w:r>
              <w:rPr>
                <w:spacing w:val="-55"/>
              </w:rPr>
              <w:t xml:space="preserve"> </w:t>
            </w:r>
            <w:r>
              <w:rPr>
                <w:rFonts w:ascii="Times New Roman" w:hAnsi="Times New Roman" w:eastAsia="Times New Roman" w:cs="Times New Roman"/>
                <w:spacing w:val="-4"/>
              </w:rPr>
              <w:t>2.3m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9"/>
                <w:w w:val="101"/>
                <w:position w:val="8"/>
                <w:sz w:val="15"/>
                <w:szCs w:val="15"/>
              </w:rPr>
              <w:t xml:space="preserve"> </w:t>
            </w:r>
            <w:r>
              <w:rPr>
                <w:spacing w:val="-4"/>
              </w:rPr>
              <w:t>集油坑，</w:t>
            </w:r>
            <w:r>
              <w:rPr>
                <w:rFonts w:ascii="Times New Roman" w:hAnsi="Times New Roman" w:eastAsia="Times New Roman" w:cs="Times New Roman"/>
                <w:spacing w:val="-4"/>
              </w:rPr>
              <w:t>19</w:t>
            </w:r>
            <w:r>
              <w:rPr>
                <w:rFonts w:ascii="Times New Roman" w:hAnsi="Times New Roman" w:eastAsia="Times New Roman" w:cs="Times New Roman"/>
                <w:spacing w:val="28"/>
              </w:rPr>
              <w:t xml:space="preserve"> </w:t>
            </w:r>
            <w:r>
              <w:rPr>
                <w:spacing w:val="-4"/>
              </w:rPr>
              <w:t>台</w:t>
            </w:r>
            <w:r>
              <w:rPr>
                <w:spacing w:val="-48"/>
              </w:rPr>
              <w:t xml:space="preserve"> </w:t>
            </w:r>
            <w:r>
              <w:rPr>
                <w:rFonts w:ascii="Times New Roman" w:hAnsi="Times New Roman" w:eastAsia="Times New Roman" w:cs="Times New Roman"/>
                <w:spacing w:val="-4"/>
              </w:rPr>
              <w:t>3300kVA</w:t>
            </w:r>
            <w:r>
              <w:rPr>
                <w:rFonts w:ascii="Times New Roman" w:hAnsi="Times New Roman" w:eastAsia="Times New Roman" w:cs="Times New Roman"/>
                <w:spacing w:val="14"/>
              </w:rPr>
              <w:t xml:space="preserve"> </w:t>
            </w:r>
            <w:r>
              <w:rPr>
                <w:spacing w:val="-4"/>
              </w:rPr>
              <w:t>型箱变</w:t>
            </w:r>
            <w:r>
              <w:t xml:space="preserve"> </w:t>
            </w:r>
            <w:r>
              <w:rPr>
                <w:spacing w:val="-3"/>
              </w:rPr>
              <w:t>各设一个</w:t>
            </w:r>
            <w:r>
              <w:rPr>
                <w:spacing w:val="-44"/>
              </w:rPr>
              <w:t xml:space="preserve"> </w:t>
            </w:r>
            <w:r>
              <w:rPr>
                <w:rFonts w:ascii="Times New Roman" w:hAnsi="Times New Roman" w:eastAsia="Times New Roman" w:cs="Times New Roman"/>
                <w:spacing w:val="-3"/>
              </w:rPr>
              <w:t>2.5m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2"/>
                <w:w w:val="101"/>
                <w:position w:val="8"/>
                <w:sz w:val="15"/>
                <w:szCs w:val="15"/>
              </w:rPr>
              <w:t xml:space="preserve"> </w:t>
            </w:r>
            <w:r>
              <w:rPr>
                <w:spacing w:val="-3"/>
              </w:rPr>
              <w:t>集油坑，收集事故情况下变压器的泄漏油。主变压器及箱变在</w:t>
            </w:r>
            <w:r>
              <w:t xml:space="preserve"> </w:t>
            </w:r>
            <w:r>
              <w:rPr>
                <w:spacing w:val="3"/>
              </w:rPr>
              <w:t>维修和事故情况下，泄漏的变压器油流经集油坑内铺设的鹅卵石层（鹅</w:t>
            </w:r>
            <w:r>
              <w:rPr>
                <w:spacing w:val="2"/>
              </w:rPr>
              <w:t>卵石</w:t>
            </w:r>
            <w:r>
              <w:t xml:space="preserve"> </w:t>
            </w:r>
            <w:r>
              <w:rPr>
                <w:spacing w:val="-1"/>
              </w:rPr>
              <w:t>层可起到吸热、散热作用</w:t>
            </w:r>
            <w:r>
              <w:rPr>
                <w:spacing w:val="11"/>
              </w:rPr>
              <w:t>），</w:t>
            </w:r>
            <w:r>
              <w:rPr>
                <w:spacing w:val="-1"/>
              </w:rPr>
              <w:t>并经事故排油管自流进入事故油池存放。</w:t>
            </w:r>
          </w:p>
          <w:p w14:paraId="095185CE">
            <w:pPr>
              <w:pStyle w:val="6"/>
              <w:spacing w:before="182" w:line="289" w:lineRule="auto"/>
              <w:ind w:left="110" w:right="101" w:firstLine="490"/>
            </w:pPr>
            <w:r>
              <w:rPr>
                <w:spacing w:val="-1"/>
              </w:rPr>
              <w:t>（</w:t>
            </w:r>
            <w:r>
              <w:rPr>
                <w:rFonts w:ascii="Times New Roman" w:hAnsi="Times New Roman" w:eastAsia="Times New Roman" w:cs="Times New Roman"/>
                <w:spacing w:val="-1"/>
              </w:rPr>
              <w:t>2</w:t>
            </w:r>
            <w:r>
              <w:rPr>
                <w:spacing w:val="-1"/>
              </w:rPr>
              <w:t>）严格做好分区防渗工程，施工期加强工程监理和环境监</w:t>
            </w:r>
            <w:r>
              <w:rPr>
                <w:spacing w:val="-2"/>
              </w:rPr>
              <w:t>理，提高防</w:t>
            </w:r>
            <w:r>
              <w:t xml:space="preserve"> </w:t>
            </w:r>
            <w:r>
              <w:rPr>
                <w:spacing w:val="-1"/>
              </w:rPr>
              <w:t>渗工程质量，做好照片、录像以及相关文字说明等存档资料。</w:t>
            </w:r>
          </w:p>
        </w:tc>
      </w:tr>
    </w:tbl>
    <w:p w14:paraId="60D4B146">
      <w:pPr>
        <w:rPr>
          <w:rFonts w:ascii="Arial"/>
          <w:sz w:val="21"/>
        </w:rPr>
      </w:pPr>
    </w:p>
    <w:p w14:paraId="15F05F3D">
      <w:pPr>
        <w:rPr>
          <w:rFonts w:ascii="Arial" w:hAnsi="Arial" w:eastAsia="Arial" w:cs="Arial"/>
          <w:sz w:val="21"/>
          <w:szCs w:val="21"/>
        </w:rPr>
        <w:sectPr>
          <w:footerReference r:id="rId164" w:type="default"/>
          <w:pgSz w:w="11907" w:h="16840"/>
          <w:pgMar w:top="1431" w:right="1453" w:bottom="1278" w:left="1453" w:header="0" w:footer="1116" w:gutter="0"/>
          <w:cols w:space="720" w:num="1"/>
        </w:sectPr>
      </w:pPr>
    </w:p>
    <w:p w14:paraId="1502A92F">
      <w:pPr>
        <w:spacing w:line="99"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41F14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48" w:type="dxa"/>
            <w:tcBorders>
              <w:right w:val="single" w:color="000000" w:sz="2" w:space="0"/>
            </w:tcBorders>
            <w:vAlign w:val="top"/>
          </w:tcPr>
          <w:p w14:paraId="5532B18B">
            <w:pPr>
              <w:rPr>
                <w:rFonts w:ascii="Arial"/>
                <w:sz w:val="21"/>
              </w:rPr>
            </w:pPr>
          </w:p>
        </w:tc>
        <w:tc>
          <w:tcPr>
            <w:tcW w:w="8237" w:type="dxa"/>
            <w:tcBorders>
              <w:left w:val="single" w:color="000000" w:sz="2" w:space="0"/>
            </w:tcBorders>
            <w:vAlign w:val="top"/>
          </w:tcPr>
          <w:p w14:paraId="1C13DAAC">
            <w:pPr>
              <w:pStyle w:val="6"/>
              <w:spacing w:before="29" w:line="347" w:lineRule="auto"/>
              <w:ind w:left="127" w:right="104" w:firstLine="460"/>
            </w:pPr>
            <w:r>
              <w:rPr>
                <w:spacing w:val="16"/>
              </w:rPr>
              <w:t>①产生的事故油暂存严格执行《危险废物贮存污染控</w:t>
            </w:r>
            <w:r>
              <w:rPr>
                <w:spacing w:val="15"/>
              </w:rPr>
              <w:t>制标准》</w:t>
            </w:r>
            <w:r>
              <w:rPr>
                <w:spacing w:val="-84"/>
              </w:rPr>
              <w:t xml:space="preserve"> </w:t>
            </w:r>
            <w:r>
              <w:rPr>
                <w:spacing w:val="15"/>
              </w:rPr>
              <w:t>（</w:t>
            </w:r>
            <w:r>
              <w:rPr>
                <w:rFonts w:ascii="Times New Roman" w:hAnsi="Times New Roman" w:eastAsia="Times New Roman" w:cs="Times New Roman"/>
              </w:rPr>
              <w:t xml:space="preserve">GB </w:t>
            </w:r>
            <w:r>
              <w:rPr>
                <w:rFonts w:ascii="Times New Roman" w:hAnsi="Times New Roman" w:eastAsia="Times New Roman" w:cs="Times New Roman"/>
                <w:spacing w:val="-2"/>
              </w:rPr>
              <w:t>18597-2023</w:t>
            </w:r>
            <w:r>
              <w:rPr>
                <w:spacing w:val="-2"/>
              </w:rPr>
              <w:t>）要求，具体如下：</w:t>
            </w:r>
          </w:p>
          <w:p w14:paraId="01484988">
            <w:pPr>
              <w:pStyle w:val="6"/>
              <w:spacing w:before="31" w:line="350" w:lineRule="auto"/>
              <w:ind w:left="109" w:right="101" w:firstLine="479"/>
              <w:jc w:val="both"/>
            </w:pPr>
            <w:r>
              <w:rPr>
                <w:rFonts w:ascii="Times New Roman" w:hAnsi="Times New Roman" w:eastAsia="Times New Roman" w:cs="Times New Roman"/>
                <w:spacing w:val="-2"/>
              </w:rPr>
              <w:t>a.</w:t>
            </w:r>
            <w:r>
              <w:rPr>
                <w:spacing w:val="-2"/>
              </w:rPr>
              <w:t>贮存设施地面与裙脚应采取表面防渗措施；表面防渗材料应</w:t>
            </w:r>
            <w:r>
              <w:rPr>
                <w:spacing w:val="-3"/>
              </w:rPr>
              <w:t>与所接触的</w:t>
            </w:r>
            <w:r>
              <w:t xml:space="preserve"> </w:t>
            </w:r>
            <w:r>
              <w:rPr>
                <w:spacing w:val="3"/>
              </w:rPr>
              <w:t>物料或污染物相容，可采用抗渗混凝土、高密度聚乙烯膜、钠基膨</w:t>
            </w:r>
            <w:r>
              <w:rPr>
                <w:spacing w:val="2"/>
              </w:rPr>
              <w:t>润土防水</w:t>
            </w:r>
            <w:r>
              <w:t xml:space="preserve"> </w:t>
            </w:r>
            <w:r>
              <w:rPr>
                <w:spacing w:val="-1"/>
              </w:rPr>
              <w:t>毯或其他防渗性能等效的材料；</w:t>
            </w:r>
          </w:p>
          <w:p w14:paraId="733991A2">
            <w:pPr>
              <w:pStyle w:val="6"/>
              <w:spacing w:before="37" w:line="346" w:lineRule="auto"/>
              <w:ind w:left="109" w:right="101" w:firstLine="470"/>
            </w:pPr>
            <w:r>
              <w:rPr>
                <w:rFonts w:ascii="Times New Roman" w:hAnsi="Times New Roman" w:eastAsia="Times New Roman" w:cs="Times New Roman"/>
                <w:spacing w:val="-2"/>
              </w:rPr>
              <w:t>b.</w:t>
            </w:r>
            <w:r>
              <w:rPr>
                <w:spacing w:val="-2"/>
              </w:rPr>
              <w:t>贮存设施或贮存分区内地面、墙面裙脚、堵截泄</w:t>
            </w:r>
            <w:r>
              <w:rPr>
                <w:spacing w:val="-3"/>
              </w:rPr>
              <w:t>漏的围堰、接触危险废</w:t>
            </w:r>
            <w:r>
              <w:t xml:space="preserve"> </w:t>
            </w:r>
            <w:r>
              <w:rPr>
                <w:spacing w:val="-1"/>
              </w:rPr>
              <w:t>物的隔板和墙体等应采用坚固的材料建造，表面无裂缝。</w:t>
            </w:r>
          </w:p>
          <w:p w14:paraId="1AFD02EB">
            <w:pPr>
              <w:pStyle w:val="6"/>
              <w:spacing w:before="32" w:line="350" w:lineRule="auto"/>
              <w:ind w:left="109" w:right="101" w:firstLine="478"/>
            </w:pPr>
            <w:r>
              <w:rPr>
                <w:rFonts w:ascii="Times New Roman" w:hAnsi="Times New Roman" w:eastAsia="Times New Roman" w:cs="Times New Roman"/>
                <w:spacing w:val="-3"/>
              </w:rPr>
              <w:t>c.</w:t>
            </w:r>
            <w:r>
              <w:rPr>
                <w:rFonts w:ascii="Times New Roman" w:hAnsi="Times New Roman" w:eastAsia="Times New Roman" w:cs="Times New Roman"/>
                <w:spacing w:val="-28"/>
              </w:rPr>
              <w:t xml:space="preserve"> </w:t>
            </w:r>
            <w:r>
              <w:rPr>
                <w:spacing w:val="-3"/>
              </w:rPr>
              <w:t>同一贮存设施宜采用相同的防渗、防腐工艺（包括防渗、防腐</w:t>
            </w:r>
            <w:r>
              <w:rPr>
                <w:spacing w:val="-4"/>
              </w:rPr>
              <w:t>结构或材</w:t>
            </w:r>
            <w:r>
              <w:t xml:space="preserve"> </w:t>
            </w:r>
            <w:r>
              <w:rPr>
                <w:spacing w:val="2"/>
              </w:rPr>
              <w:t>料</w:t>
            </w:r>
            <w:r>
              <w:rPr>
                <w:spacing w:val="17"/>
              </w:rPr>
              <w:t>），</w:t>
            </w:r>
            <w:r>
              <w:rPr>
                <w:spacing w:val="2"/>
              </w:rPr>
              <w:t>防渗、防腐材料应覆盖所有可能与废物及其渗滤液、渗漏液等接</w:t>
            </w:r>
            <w:r>
              <w:rPr>
                <w:spacing w:val="1"/>
              </w:rPr>
              <w:t xml:space="preserve">触的 </w:t>
            </w:r>
            <w:r>
              <w:rPr>
                <w:spacing w:val="-1"/>
              </w:rPr>
              <w:t>构筑物表面；采用不同防渗、防腐工艺应分别建设贮存分区。</w:t>
            </w:r>
          </w:p>
          <w:p w14:paraId="51B93B8A">
            <w:pPr>
              <w:pStyle w:val="6"/>
              <w:spacing w:before="36" w:line="351" w:lineRule="auto"/>
              <w:ind w:left="110" w:right="101" w:firstLine="477"/>
            </w:pPr>
            <w:r>
              <w:rPr>
                <w:rFonts w:ascii="Times New Roman" w:hAnsi="Times New Roman" w:eastAsia="Times New Roman" w:cs="Times New Roman"/>
                <w:spacing w:val="-3"/>
              </w:rPr>
              <w:t>d.</w:t>
            </w:r>
            <w:r>
              <w:rPr>
                <w:spacing w:val="-3"/>
              </w:rPr>
              <w:t>在贮存库内或通过贮存分区方式贮存液态危险废物的，应具有液体泄漏</w:t>
            </w:r>
            <w:r>
              <w:rPr>
                <w:spacing w:val="15"/>
              </w:rPr>
              <w:t xml:space="preserve"> </w:t>
            </w:r>
            <w:r>
              <w:rPr>
                <w:spacing w:val="3"/>
              </w:rPr>
              <w:t>堵截设施，堵截设施最小容积不应低于对应贮存区域最大液态废</w:t>
            </w:r>
            <w:r>
              <w:rPr>
                <w:spacing w:val="2"/>
              </w:rPr>
              <w:t>物容器容积</w:t>
            </w:r>
            <w:r>
              <w:t xml:space="preserve"> </w:t>
            </w:r>
            <w:r>
              <w:rPr>
                <w:spacing w:val="-1"/>
              </w:rPr>
              <w:t xml:space="preserve">或液态废物总储量 </w:t>
            </w:r>
            <w:r>
              <w:rPr>
                <w:rFonts w:ascii="Times New Roman" w:hAnsi="Times New Roman" w:eastAsia="Times New Roman" w:cs="Times New Roman"/>
                <w:spacing w:val="-1"/>
              </w:rPr>
              <w:t>1/10</w:t>
            </w:r>
            <w:r>
              <w:rPr>
                <w:spacing w:val="-1"/>
              </w:rPr>
              <w:t>（二者取较大者</w:t>
            </w:r>
            <w:r>
              <w:rPr>
                <w:spacing w:val="3"/>
              </w:rPr>
              <w:t>）；</w:t>
            </w:r>
          </w:p>
          <w:p w14:paraId="48D8D886">
            <w:pPr>
              <w:pStyle w:val="6"/>
              <w:spacing w:before="32" w:line="346" w:lineRule="auto"/>
              <w:ind w:left="588" w:right="81"/>
            </w:pPr>
            <w:r>
              <w:rPr>
                <w:rFonts w:ascii="Times New Roman" w:hAnsi="Times New Roman" w:eastAsia="Times New Roman" w:cs="Times New Roman"/>
                <w:spacing w:val="-2"/>
              </w:rPr>
              <w:t>e.</w:t>
            </w:r>
            <w:r>
              <w:rPr>
                <w:spacing w:val="-2"/>
              </w:rPr>
              <w:t>贮存点应具有固定的区域边界，并应采取与其他区域进行隔离的措施。</w:t>
            </w:r>
            <w:r>
              <w:rPr>
                <w:spacing w:val="15"/>
              </w:rPr>
              <w:t xml:space="preserve"> </w:t>
            </w:r>
            <w:r>
              <w:rPr>
                <w:rFonts w:ascii="Times New Roman" w:hAnsi="Times New Roman" w:eastAsia="Times New Roman" w:cs="Times New Roman"/>
              </w:rPr>
              <w:t>f.</w:t>
            </w:r>
            <w:r>
              <w:t>贮存点应采取防风、防雨、防晒和防止危</w:t>
            </w:r>
            <w:r>
              <w:rPr>
                <w:spacing w:val="-1"/>
              </w:rPr>
              <w:t>险废物流失、扬散等措施。</w:t>
            </w:r>
          </w:p>
          <w:p w14:paraId="0D0D7B55">
            <w:pPr>
              <w:pStyle w:val="6"/>
              <w:spacing w:before="33" w:line="212" w:lineRule="auto"/>
              <w:ind w:left="586"/>
            </w:pPr>
            <w:r>
              <w:rPr>
                <w:rFonts w:ascii="Times New Roman" w:hAnsi="Times New Roman" w:eastAsia="Times New Roman" w:cs="Times New Roman"/>
              </w:rPr>
              <w:t>g.</w:t>
            </w:r>
            <w:r>
              <w:t>贮存点贮存的危险废物应置于容器或包装物</w:t>
            </w:r>
            <w:r>
              <w:rPr>
                <w:spacing w:val="-1"/>
              </w:rPr>
              <w:t>中，不应直接散堆。</w:t>
            </w:r>
          </w:p>
          <w:p w14:paraId="1A9678C4">
            <w:pPr>
              <w:pStyle w:val="6"/>
              <w:spacing w:before="191" w:line="345" w:lineRule="auto"/>
              <w:ind w:left="124" w:right="21" w:firstLine="456"/>
            </w:pPr>
            <w:r>
              <w:rPr>
                <w:rFonts w:ascii="Times New Roman" w:hAnsi="Times New Roman" w:eastAsia="Times New Roman" w:cs="Times New Roman"/>
                <w:spacing w:val="-7"/>
              </w:rPr>
              <w:t>h.</w:t>
            </w:r>
            <w:r>
              <w:rPr>
                <w:spacing w:val="-7"/>
              </w:rPr>
              <w:t>贮存点应根据危险废物的形态、物理化学性质、包装形式等，采取防渗、</w:t>
            </w:r>
            <w:r>
              <w:rPr>
                <w:spacing w:val="1"/>
              </w:rPr>
              <w:t xml:space="preserve"> </w:t>
            </w:r>
            <w:r>
              <w:rPr>
                <w:spacing w:val="-2"/>
              </w:rPr>
              <w:t>防漏等污染防治措施或采用具有相应功能的装置。</w:t>
            </w:r>
          </w:p>
          <w:p w14:paraId="5FAED433">
            <w:pPr>
              <w:pStyle w:val="6"/>
              <w:spacing w:before="38" w:line="210" w:lineRule="auto"/>
              <w:ind w:left="561"/>
            </w:pPr>
            <w:r>
              <w:rPr>
                <w:rFonts w:ascii="Times New Roman" w:hAnsi="Times New Roman" w:eastAsia="Times New Roman" w:cs="Times New Roman"/>
                <w:spacing w:val="-1"/>
              </w:rPr>
              <w:t>j.</w:t>
            </w:r>
            <w:r>
              <w:rPr>
                <w:spacing w:val="-1"/>
              </w:rPr>
              <w:t>贮存点应及时清运贮存的危险废物，实时贮存量不应超过</w:t>
            </w:r>
            <w:r>
              <w:rPr>
                <w:spacing w:val="-36"/>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21"/>
              </w:rPr>
              <w:t xml:space="preserve"> </w:t>
            </w:r>
            <w:r>
              <w:rPr>
                <w:spacing w:val="-1"/>
              </w:rPr>
              <w:t>吨。</w:t>
            </w:r>
          </w:p>
          <w:p w14:paraId="22711852">
            <w:pPr>
              <w:pStyle w:val="6"/>
              <w:spacing w:before="194" w:line="324" w:lineRule="auto"/>
              <w:ind w:left="103" w:right="101" w:firstLine="483"/>
            </w:pPr>
            <w:r>
              <w:rPr>
                <w:spacing w:val="3"/>
              </w:rPr>
              <w:t>②光伏区箱式变压器、事故油池和升压站内主变压器、集油坑、事故油</w:t>
            </w:r>
            <w:r>
              <w:rPr>
                <w:spacing w:val="4"/>
              </w:rPr>
              <w:t xml:space="preserve"> </w:t>
            </w:r>
            <w:r>
              <w:rPr>
                <w:spacing w:val="3"/>
              </w:rPr>
              <w:t>池、危废贮存库按重点防渗区进行建设，防渗技术要求为：等效黏土防渗层</w:t>
            </w:r>
            <w:r>
              <w:rPr>
                <w:spacing w:val="1"/>
              </w:rPr>
              <w:t xml:space="preserve"> </w:t>
            </w:r>
            <w:r>
              <w:rPr>
                <w:rFonts w:ascii="Times New Roman" w:hAnsi="Times New Roman" w:eastAsia="Times New Roman" w:cs="Times New Roman"/>
                <w:spacing w:val="-2"/>
              </w:rPr>
              <w:t>Mb≥6m</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pacing w:val="-2"/>
                <w:position w:val="7"/>
                <w:sz w:val="15"/>
                <w:szCs w:val="15"/>
              </w:rPr>
              <w:t>-7</w:t>
            </w:r>
            <w:r>
              <w:rPr>
                <w:rFonts w:ascii="Times New Roman" w:hAnsi="Times New Roman" w:eastAsia="Times New Roman" w:cs="Times New Roman"/>
                <w:spacing w:val="-2"/>
              </w:rPr>
              <w:t>cm/s</w:t>
            </w:r>
            <w:r>
              <w:rPr>
                <w:rFonts w:ascii="Times New Roman" w:hAnsi="Times New Roman" w:eastAsia="Times New Roman" w:cs="Times New Roman"/>
                <w:spacing w:val="-31"/>
              </w:rPr>
              <w:t xml:space="preserve"> </w:t>
            </w:r>
            <w:r>
              <w:rPr>
                <w:spacing w:val="-2"/>
              </w:rPr>
              <w:t>，或至少</w:t>
            </w:r>
            <w:r>
              <w:rPr>
                <w:spacing w:val="-55"/>
              </w:rPr>
              <w:t xml:space="preserve"> </w:t>
            </w:r>
            <w:r>
              <w:rPr>
                <w:rFonts w:ascii="Times New Roman" w:hAnsi="Times New Roman" w:eastAsia="Times New Roman" w:cs="Times New Roman"/>
                <w:spacing w:val="-2"/>
              </w:rPr>
              <w:t>2mm</w:t>
            </w:r>
            <w:r>
              <w:rPr>
                <w:rFonts w:ascii="Times New Roman" w:hAnsi="Times New Roman" w:eastAsia="Times New Roman" w:cs="Times New Roman"/>
                <w:spacing w:val="16"/>
                <w:w w:val="101"/>
              </w:rPr>
              <w:t xml:space="preserve"> </w:t>
            </w:r>
            <w:r>
              <w:rPr>
                <w:spacing w:val="-3"/>
              </w:rPr>
              <w:t>厚高密度聚乙烯膜等人工防渗材料（渗</w:t>
            </w:r>
            <w:r>
              <w:t xml:space="preserve"> </w:t>
            </w:r>
            <w:r>
              <w:rPr>
                <w:spacing w:val="-1"/>
              </w:rPr>
              <w:t>透系数</w:t>
            </w:r>
            <w:r>
              <w:rPr>
                <w:rFonts w:ascii="Times New Roman" w:hAnsi="Times New Roman" w:eastAsia="Times New Roman" w:cs="Times New Roman"/>
                <w:spacing w:val="-1"/>
              </w:rPr>
              <w:t>≤1×10</w:t>
            </w:r>
            <w:r>
              <w:rPr>
                <w:rFonts w:ascii="Times New Roman" w:hAnsi="Times New Roman" w:eastAsia="Times New Roman" w:cs="Times New Roman"/>
                <w:spacing w:val="-1"/>
                <w:position w:val="7"/>
                <w:sz w:val="15"/>
                <w:szCs w:val="15"/>
              </w:rPr>
              <w:t>-10</w:t>
            </w:r>
            <w:r>
              <w:rPr>
                <w:rFonts w:ascii="Times New Roman" w:hAnsi="Times New Roman" w:eastAsia="Times New Roman" w:cs="Times New Roman"/>
                <w:spacing w:val="-1"/>
              </w:rPr>
              <w:t>cm/s</w:t>
            </w:r>
            <w:r>
              <w:rPr>
                <w:spacing w:val="14"/>
              </w:rPr>
              <w:t>），</w:t>
            </w:r>
            <w:r>
              <w:rPr>
                <w:spacing w:val="-1"/>
              </w:rPr>
              <w:t>或其他防渗性能等效的材料。</w:t>
            </w:r>
          </w:p>
          <w:p w14:paraId="5A69E808">
            <w:pPr>
              <w:pStyle w:val="6"/>
              <w:spacing w:before="183" w:line="290" w:lineRule="auto"/>
              <w:ind w:left="109" w:right="104" w:firstLine="478"/>
            </w:pPr>
            <w:r>
              <w:rPr>
                <w:spacing w:val="3"/>
              </w:rPr>
              <w:t>③其他生产区按一般防渗区进行建设，防渗技术要求为：粘土衬层厚度</w:t>
            </w:r>
            <w:r>
              <w:rPr>
                <w:spacing w:val="1"/>
              </w:rPr>
              <w:t xml:space="preserve"> </w:t>
            </w:r>
            <w:r>
              <w:rPr>
                <w:spacing w:val="-3"/>
              </w:rPr>
              <w:t>应不小于</w:t>
            </w:r>
            <w:r>
              <w:rPr>
                <w:spacing w:val="-52"/>
              </w:rPr>
              <w:t xml:space="preserve"> </w:t>
            </w:r>
            <w:r>
              <w:rPr>
                <w:rFonts w:ascii="Times New Roman" w:hAnsi="Times New Roman" w:eastAsia="Times New Roman" w:cs="Times New Roman"/>
                <w:spacing w:val="-3"/>
              </w:rPr>
              <w:t>0.75m</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K</w:t>
            </w:r>
            <w:r>
              <w:rPr>
                <w:spacing w:val="-3"/>
              </w:rPr>
              <w:t>≤</w:t>
            </w:r>
            <w:r>
              <w:rPr>
                <w:rFonts w:ascii="Times New Roman" w:hAnsi="Times New Roman" w:eastAsia="Times New Roman" w:cs="Times New Roman"/>
                <w:spacing w:val="-3"/>
              </w:rPr>
              <w:t>1</w:t>
            </w:r>
            <w:r>
              <w:rPr>
                <w:spacing w:val="-3"/>
              </w:rPr>
              <w:t>×</w:t>
            </w:r>
            <w:r>
              <w:rPr>
                <w:spacing w:val="-92"/>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3"/>
                <w:position w:val="8"/>
                <w:sz w:val="15"/>
                <w:szCs w:val="15"/>
              </w:rPr>
              <w:t>-7</w:t>
            </w:r>
            <w:r>
              <w:rPr>
                <w:rFonts w:ascii="Times New Roman" w:hAnsi="Times New Roman" w:eastAsia="Times New Roman" w:cs="Times New Roman"/>
                <w:spacing w:val="-3"/>
              </w:rPr>
              <w:t>cm/s</w:t>
            </w:r>
            <w:r>
              <w:rPr>
                <w:spacing w:val="-3"/>
              </w:rPr>
              <w:t>。</w:t>
            </w:r>
          </w:p>
          <w:p w14:paraId="53A36B33">
            <w:pPr>
              <w:pStyle w:val="6"/>
              <w:spacing w:before="179" w:line="290" w:lineRule="auto"/>
              <w:ind w:left="111" w:right="104" w:firstLine="476"/>
            </w:pPr>
            <w:r>
              <w:rPr>
                <w:spacing w:val="3"/>
              </w:rPr>
              <w:t>④升压站占地区域内综合楼和附属用房进行简单防渗，采取一般地面水</w:t>
            </w:r>
            <w:r>
              <w:rPr>
                <w:spacing w:val="1"/>
              </w:rPr>
              <w:t xml:space="preserve"> </w:t>
            </w:r>
            <w:r>
              <w:rPr>
                <w:spacing w:val="-3"/>
              </w:rPr>
              <w:t>泥硬化。</w:t>
            </w:r>
          </w:p>
          <w:p w14:paraId="39E337DC">
            <w:pPr>
              <w:pStyle w:val="6"/>
              <w:spacing w:before="181" w:line="219" w:lineRule="auto"/>
              <w:ind w:left="600"/>
            </w:pPr>
            <w:r>
              <w:rPr>
                <w:spacing w:val="-1"/>
              </w:rPr>
              <w:t>（</w:t>
            </w:r>
            <w:r>
              <w:rPr>
                <w:rFonts w:ascii="Times New Roman" w:hAnsi="Times New Roman" w:eastAsia="Times New Roman" w:cs="Times New Roman"/>
                <w:spacing w:val="-1"/>
              </w:rPr>
              <w:t>3</w:t>
            </w:r>
            <w:r>
              <w:rPr>
                <w:spacing w:val="-1"/>
              </w:rPr>
              <w:t>）运营期定期检查各储存设施，避免出现泄漏等不良情况。</w:t>
            </w:r>
          </w:p>
          <w:p w14:paraId="40D90EE1">
            <w:pPr>
              <w:pStyle w:val="6"/>
              <w:spacing w:before="181" w:line="219" w:lineRule="auto"/>
              <w:ind w:left="591"/>
            </w:pPr>
            <w:r>
              <w:rPr>
                <w:spacing w:val="-2"/>
              </w:rPr>
              <w:t>（</w:t>
            </w:r>
            <w:r>
              <w:rPr>
                <w:rFonts w:ascii="Times New Roman" w:hAnsi="Times New Roman" w:eastAsia="Times New Roman" w:cs="Times New Roman"/>
                <w:spacing w:val="-2"/>
              </w:rPr>
              <w:t>4</w:t>
            </w:r>
            <w:r>
              <w:rPr>
                <w:spacing w:val="-2"/>
              </w:rPr>
              <w:t>）应及时开展应急预案的编制工作。</w:t>
            </w:r>
          </w:p>
        </w:tc>
      </w:tr>
    </w:tbl>
    <w:p w14:paraId="7858EF71">
      <w:pPr>
        <w:rPr>
          <w:rFonts w:ascii="Arial"/>
          <w:sz w:val="21"/>
        </w:rPr>
      </w:pPr>
    </w:p>
    <w:p w14:paraId="7AE61C18">
      <w:pPr>
        <w:rPr>
          <w:rFonts w:ascii="Arial" w:hAnsi="Arial" w:eastAsia="Arial" w:cs="Arial"/>
          <w:sz w:val="21"/>
          <w:szCs w:val="21"/>
        </w:rPr>
        <w:sectPr>
          <w:footerReference r:id="rId165" w:type="default"/>
          <w:pgSz w:w="11907" w:h="16840"/>
          <w:pgMar w:top="1431" w:right="1453" w:bottom="1278" w:left="1453" w:header="0" w:footer="1116" w:gutter="0"/>
          <w:cols w:space="720" w:num="1"/>
        </w:sectPr>
      </w:pPr>
    </w:p>
    <w:p w14:paraId="24225E4A">
      <w:pPr>
        <w:spacing w:line="99"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62FDF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6" w:hRule="atLeast"/>
        </w:trPr>
        <w:tc>
          <w:tcPr>
            <w:tcW w:w="748" w:type="dxa"/>
            <w:tcBorders>
              <w:right w:val="single" w:color="000000" w:sz="2" w:space="0"/>
            </w:tcBorders>
            <w:vAlign w:val="top"/>
          </w:tcPr>
          <w:p w14:paraId="2D940046">
            <w:pPr>
              <w:rPr>
                <w:rFonts w:ascii="Arial"/>
                <w:sz w:val="21"/>
              </w:rPr>
            </w:pPr>
          </w:p>
        </w:tc>
        <w:tc>
          <w:tcPr>
            <w:tcW w:w="8237" w:type="dxa"/>
            <w:tcBorders>
              <w:left w:val="single" w:color="000000" w:sz="2" w:space="0"/>
            </w:tcBorders>
            <w:vAlign w:val="top"/>
          </w:tcPr>
          <w:p w14:paraId="117BAF32">
            <w:pPr>
              <w:pStyle w:val="6"/>
              <w:spacing w:before="31" w:line="350" w:lineRule="auto"/>
              <w:ind w:left="109" w:right="101" w:firstLine="491"/>
              <w:jc w:val="both"/>
            </w:pPr>
            <w:r>
              <w:rPr>
                <w:spacing w:val="-1"/>
              </w:rPr>
              <w:t>（</w:t>
            </w:r>
            <w:r>
              <w:rPr>
                <w:rFonts w:ascii="Times New Roman" w:hAnsi="Times New Roman" w:eastAsia="Times New Roman" w:cs="Times New Roman"/>
                <w:spacing w:val="-1"/>
              </w:rPr>
              <w:t>5</w:t>
            </w:r>
            <w:r>
              <w:rPr>
                <w:spacing w:val="-1"/>
              </w:rPr>
              <w:t>）加强对操作人员的岗位培训，建立健全的环保管理机制</w:t>
            </w:r>
            <w:r>
              <w:rPr>
                <w:spacing w:val="-2"/>
              </w:rPr>
              <w:t>和各项环保</w:t>
            </w:r>
            <w:r>
              <w:t xml:space="preserve"> </w:t>
            </w:r>
            <w:r>
              <w:rPr>
                <w:spacing w:val="3"/>
              </w:rPr>
              <w:t>规章制度，落实岗位环保责任制，加强环境风险防范工作，防止事</w:t>
            </w:r>
            <w:r>
              <w:rPr>
                <w:spacing w:val="2"/>
              </w:rPr>
              <w:t>故排放导</w:t>
            </w:r>
            <w:r>
              <w:t xml:space="preserve"> </w:t>
            </w:r>
            <w:r>
              <w:rPr>
                <w:spacing w:val="-2"/>
              </w:rPr>
              <w:t>致环境问题。</w:t>
            </w:r>
          </w:p>
          <w:p w14:paraId="55CEA1B4">
            <w:pPr>
              <w:pStyle w:val="6"/>
              <w:spacing w:before="35" w:line="219" w:lineRule="auto"/>
              <w:ind w:left="587"/>
            </w:pPr>
            <w:r>
              <w:rPr>
                <w:rFonts w:ascii="Times New Roman" w:hAnsi="Times New Roman" w:eastAsia="Times New Roman" w:cs="Times New Roman"/>
                <w:b/>
                <w:bCs/>
                <w:spacing w:val="-4"/>
              </w:rPr>
              <w:t>7</w:t>
            </w:r>
            <w:r>
              <w:rPr>
                <w:rFonts w:ascii="Times New Roman" w:hAnsi="Times New Roman" w:eastAsia="Times New Roman" w:cs="Times New Roman"/>
                <w:b/>
                <w:bCs/>
                <w:spacing w:val="-34"/>
              </w:rPr>
              <w:t xml:space="preserve"> </w:t>
            </w:r>
            <w:r>
              <w:rPr>
                <w:b/>
                <w:bCs/>
                <w:spacing w:val="-4"/>
              </w:rPr>
              <w:t>、景观影响和光污染防治措施</w:t>
            </w:r>
          </w:p>
          <w:p w14:paraId="2DED8C63">
            <w:pPr>
              <w:pStyle w:val="6"/>
              <w:spacing w:before="179" w:line="290" w:lineRule="auto"/>
              <w:ind w:left="109" w:right="40" w:firstLine="491"/>
            </w:pPr>
            <w:r>
              <w:rPr>
                <w:spacing w:val="-7"/>
              </w:rPr>
              <w:t>（</w:t>
            </w:r>
            <w:r>
              <w:rPr>
                <w:rFonts w:ascii="Times New Roman" w:hAnsi="Times New Roman" w:eastAsia="Times New Roman" w:cs="Times New Roman"/>
                <w:spacing w:val="-7"/>
              </w:rPr>
              <w:t>1</w:t>
            </w:r>
            <w:r>
              <w:rPr>
                <w:spacing w:val="-7"/>
              </w:rPr>
              <w:t>）光伏板尽量依山势布置，减少对地形地貌的破坏，加强区域的绿化，</w:t>
            </w:r>
            <w:r>
              <w:rPr>
                <w:spacing w:val="16"/>
              </w:rPr>
              <w:t xml:space="preserve"> </w:t>
            </w:r>
            <w:r>
              <w:rPr>
                <w:spacing w:val="-1"/>
              </w:rPr>
              <w:t>减少视觉景观单一化。</w:t>
            </w:r>
          </w:p>
          <w:p w14:paraId="5E7C1DEC">
            <w:pPr>
              <w:pStyle w:val="6"/>
              <w:spacing w:before="182" w:line="219" w:lineRule="auto"/>
              <w:ind w:left="600"/>
            </w:pPr>
            <w:r>
              <w:rPr>
                <w:spacing w:val="-2"/>
              </w:rPr>
              <w:t>（</w:t>
            </w:r>
            <w:r>
              <w:rPr>
                <w:rFonts w:ascii="Times New Roman" w:hAnsi="Times New Roman" w:eastAsia="Times New Roman" w:cs="Times New Roman"/>
                <w:spacing w:val="-2"/>
              </w:rPr>
              <w:t>2</w:t>
            </w:r>
            <w:r>
              <w:rPr>
                <w:spacing w:val="-2"/>
              </w:rPr>
              <w:t>）光伏板外购反光率低的材料。</w:t>
            </w:r>
          </w:p>
          <w:p w14:paraId="18C08552">
            <w:pPr>
              <w:pStyle w:val="6"/>
              <w:spacing w:before="181" w:line="220" w:lineRule="auto"/>
              <w:ind w:left="588"/>
            </w:pPr>
            <w:r>
              <w:rPr>
                <w:rFonts w:ascii="Times New Roman" w:hAnsi="Times New Roman" w:eastAsia="Times New Roman" w:cs="Times New Roman"/>
                <w:b/>
                <w:bCs/>
                <w:spacing w:val="-6"/>
              </w:rPr>
              <w:t>8</w:t>
            </w:r>
            <w:r>
              <w:rPr>
                <w:rFonts w:ascii="Times New Roman" w:hAnsi="Times New Roman" w:eastAsia="Times New Roman" w:cs="Times New Roman"/>
                <w:b/>
                <w:bCs/>
                <w:spacing w:val="-25"/>
              </w:rPr>
              <w:t xml:space="preserve"> </w:t>
            </w:r>
            <w:r>
              <w:rPr>
                <w:b/>
                <w:bCs/>
                <w:spacing w:val="-6"/>
              </w:rPr>
              <w:t>、电磁环境控制措施</w:t>
            </w:r>
          </w:p>
          <w:p w14:paraId="4EB46AE2">
            <w:pPr>
              <w:pStyle w:val="6"/>
              <w:spacing w:before="181" w:line="219" w:lineRule="auto"/>
              <w:jc w:val="right"/>
            </w:pPr>
            <w:r>
              <w:rPr>
                <w:spacing w:val="-7"/>
              </w:rPr>
              <w:t>（</w:t>
            </w:r>
            <w:r>
              <w:rPr>
                <w:rFonts w:ascii="Times New Roman" w:hAnsi="Times New Roman" w:eastAsia="Times New Roman" w:cs="Times New Roman"/>
                <w:spacing w:val="-7"/>
              </w:rPr>
              <w:t>1</w:t>
            </w:r>
            <w:r>
              <w:rPr>
                <w:spacing w:val="-7"/>
              </w:rPr>
              <w:t>）升压站在设计中高压配电装置采用</w:t>
            </w:r>
            <w:r>
              <w:rPr>
                <w:spacing w:val="-52"/>
              </w:rPr>
              <w:t xml:space="preserve"> </w:t>
            </w:r>
            <w:r>
              <w:rPr>
                <w:rFonts w:ascii="Times New Roman" w:hAnsi="Times New Roman" w:eastAsia="Times New Roman" w:cs="Times New Roman"/>
                <w:spacing w:val="-7"/>
              </w:rPr>
              <w:t>GIS</w:t>
            </w:r>
            <w:r>
              <w:rPr>
                <w:rFonts w:ascii="Times New Roman" w:hAnsi="Times New Roman" w:eastAsia="Times New Roman" w:cs="Times New Roman"/>
                <w:spacing w:val="17"/>
              </w:rPr>
              <w:t xml:space="preserve"> </w:t>
            </w:r>
            <w:r>
              <w:rPr>
                <w:spacing w:val="-7"/>
              </w:rPr>
              <w:t>设备，</w:t>
            </w:r>
            <w:r>
              <w:rPr>
                <w:spacing w:val="-8"/>
              </w:rPr>
              <w:t>可降低电磁环境影响。</w:t>
            </w:r>
          </w:p>
          <w:p w14:paraId="470D01A9">
            <w:pPr>
              <w:pStyle w:val="6"/>
              <w:spacing w:before="182" w:line="288" w:lineRule="auto"/>
              <w:ind w:left="111" w:right="101" w:firstLine="489"/>
            </w:pPr>
            <w:r>
              <w:rPr>
                <w:spacing w:val="-1"/>
              </w:rPr>
              <w:t>（</w:t>
            </w:r>
            <w:r>
              <w:rPr>
                <w:rFonts w:ascii="Times New Roman" w:hAnsi="Times New Roman" w:eastAsia="Times New Roman" w:cs="Times New Roman"/>
                <w:spacing w:val="-1"/>
              </w:rPr>
              <w:t>2</w:t>
            </w:r>
            <w:r>
              <w:rPr>
                <w:spacing w:val="-1"/>
              </w:rPr>
              <w:t>）使用合理、优良的绝缘子来减少绝缘子的表面放电，尽</w:t>
            </w:r>
            <w:r>
              <w:rPr>
                <w:spacing w:val="-2"/>
              </w:rPr>
              <w:t>量使用能改</w:t>
            </w:r>
            <w:r>
              <w:t xml:space="preserve"> </w:t>
            </w:r>
            <w:r>
              <w:rPr>
                <w:spacing w:val="-1"/>
              </w:rPr>
              <w:t>善绝缘子表面或沿绝缘子串电压分布的保护装置。</w:t>
            </w:r>
          </w:p>
          <w:p w14:paraId="1F6DD95B">
            <w:pPr>
              <w:pStyle w:val="6"/>
              <w:spacing w:before="186" w:line="312" w:lineRule="auto"/>
              <w:ind w:left="107" w:right="101" w:firstLine="493"/>
            </w:pPr>
            <w:r>
              <w:rPr>
                <w:spacing w:val="-1"/>
              </w:rPr>
              <w:t>（</w:t>
            </w:r>
            <w:r>
              <w:rPr>
                <w:rFonts w:ascii="Times New Roman" w:hAnsi="Times New Roman" w:eastAsia="Times New Roman" w:cs="Times New Roman"/>
                <w:spacing w:val="-1"/>
              </w:rPr>
              <w:t>3</w:t>
            </w:r>
            <w:r>
              <w:rPr>
                <w:spacing w:val="-1"/>
              </w:rPr>
              <w:t>）变电站内电器设备接地，地下设接地网；变电站内金属</w:t>
            </w:r>
            <w:r>
              <w:rPr>
                <w:spacing w:val="-2"/>
              </w:rPr>
              <w:t>构件，如吊</w:t>
            </w:r>
            <w:r>
              <w:t xml:space="preserve"> 夹、保护环、保护角、垫片、接头、螺栓、闸刀片等应</w:t>
            </w:r>
            <w:r>
              <w:rPr>
                <w:spacing w:val="-1"/>
              </w:rPr>
              <w:t>做到表面光滑，尽量</w:t>
            </w:r>
            <w:r>
              <w:t xml:space="preserve">  </w:t>
            </w:r>
            <w:r>
              <w:rPr>
                <w:spacing w:val="-1"/>
              </w:rPr>
              <w:t>避免毛刺的出现。</w:t>
            </w:r>
          </w:p>
          <w:p w14:paraId="71EC55F8">
            <w:pPr>
              <w:pStyle w:val="6"/>
              <w:spacing w:before="183" w:line="289" w:lineRule="auto"/>
              <w:ind w:left="109" w:right="101" w:firstLine="491"/>
            </w:pPr>
            <w:r>
              <w:rPr>
                <w:spacing w:val="-1"/>
              </w:rPr>
              <w:t>（</w:t>
            </w:r>
            <w:r>
              <w:rPr>
                <w:rFonts w:ascii="Times New Roman" w:hAnsi="Times New Roman" w:eastAsia="Times New Roman" w:cs="Times New Roman"/>
                <w:spacing w:val="-1"/>
              </w:rPr>
              <w:t>4</w:t>
            </w:r>
            <w:r>
              <w:rPr>
                <w:spacing w:val="-1"/>
              </w:rPr>
              <w:t>）运营期加强对升压站内的设备维护，保证设备正常运行</w:t>
            </w:r>
            <w:r>
              <w:rPr>
                <w:spacing w:val="-2"/>
              </w:rPr>
              <w:t>，避免运行</w:t>
            </w:r>
            <w:r>
              <w:t xml:space="preserve"> </w:t>
            </w:r>
            <w:r>
              <w:rPr>
                <w:spacing w:val="-2"/>
              </w:rPr>
              <w:t>事故发生。</w:t>
            </w:r>
          </w:p>
          <w:p w14:paraId="2B27212C">
            <w:pPr>
              <w:pStyle w:val="6"/>
              <w:spacing w:before="184" w:line="312" w:lineRule="auto"/>
              <w:ind w:left="108" w:right="101" w:firstLine="492"/>
            </w:pPr>
            <w:r>
              <w:rPr>
                <w:spacing w:val="-1"/>
              </w:rPr>
              <w:t>（</w:t>
            </w:r>
            <w:r>
              <w:rPr>
                <w:rFonts w:ascii="Times New Roman" w:hAnsi="Times New Roman" w:eastAsia="Times New Roman" w:cs="Times New Roman"/>
                <w:spacing w:val="-1"/>
              </w:rPr>
              <w:t>5</w:t>
            </w:r>
            <w:r>
              <w:rPr>
                <w:spacing w:val="-1"/>
              </w:rPr>
              <w:t>）严格落实电磁环境相关保护措施，确保各环境影响因子</w:t>
            </w:r>
            <w:r>
              <w:rPr>
                <w:spacing w:val="-2"/>
              </w:rPr>
              <w:t>满足相应的</w:t>
            </w:r>
            <w:r>
              <w:t xml:space="preserve"> 标准限值；站址周围设警告标识；加强输变电相关环</w:t>
            </w:r>
            <w:r>
              <w:rPr>
                <w:spacing w:val="-1"/>
              </w:rPr>
              <w:t>境保护知识的宣传、解</w:t>
            </w:r>
            <w:r>
              <w:t xml:space="preserve">  </w:t>
            </w:r>
            <w:r>
              <w:rPr>
                <w:spacing w:val="-2"/>
              </w:rPr>
              <w:t>释及培训工作。</w:t>
            </w:r>
          </w:p>
          <w:p w14:paraId="654D9BF3">
            <w:pPr>
              <w:pStyle w:val="6"/>
              <w:spacing w:before="181" w:line="289" w:lineRule="auto"/>
              <w:ind w:left="110" w:right="101" w:firstLine="490"/>
            </w:pPr>
            <w:r>
              <w:rPr>
                <w:spacing w:val="-1"/>
              </w:rPr>
              <w:t>（</w:t>
            </w:r>
            <w:r>
              <w:rPr>
                <w:rFonts w:ascii="Times New Roman" w:hAnsi="Times New Roman" w:eastAsia="Times New Roman" w:cs="Times New Roman"/>
                <w:spacing w:val="-1"/>
              </w:rPr>
              <w:t>6</w:t>
            </w:r>
            <w:r>
              <w:rPr>
                <w:spacing w:val="-1"/>
              </w:rPr>
              <w:t>）开展运行期间的环境影响因子监测工作，如发现环境影</w:t>
            </w:r>
            <w:r>
              <w:rPr>
                <w:spacing w:val="-2"/>
              </w:rPr>
              <w:t>响因子超标</w:t>
            </w:r>
            <w:r>
              <w:t xml:space="preserve"> </w:t>
            </w:r>
            <w:r>
              <w:rPr>
                <w:spacing w:val="-1"/>
              </w:rPr>
              <w:t>情况，应采取有效措施确保满足标准限值要求。</w:t>
            </w:r>
          </w:p>
          <w:p w14:paraId="6BA6FBCD">
            <w:pPr>
              <w:pStyle w:val="6"/>
              <w:spacing w:before="182" w:line="219" w:lineRule="auto"/>
              <w:ind w:left="584"/>
            </w:pPr>
            <w:r>
              <w:rPr>
                <w:rFonts w:ascii="Times New Roman" w:hAnsi="Times New Roman" w:eastAsia="Times New Roman" w:cs="Times New Roman"/>
                <w:b/>
                <w:bCs/>
                <w:spacing w:val="-5"/>
              </w:rPr>
              <w:t>9</w:t>
            </w:r>
            <w:r>
              <w:rPr>
                <w:rFonts w:ascii="Times New Roman" w:hAnsi="Times New Roman" w:eastAsia="Times New Roman" w:cs="Times New Roman"/>
                <w:b/>
                <w:bCs/>
                <w:spacing w:val="-27"/>
              </w:rPr>
              <w:t xml:space="preserve"> </w:t>
            </w:r>
            <w:r>
              <w:rPr>
                <w:b/>
                <w:bCs/>
                <w:spacing w:val="-5"/>
              </w:rPr>
              <w:t>、服务期结束后对策措施</w:t>
            </w:r>
          </w:p>
          <w:p w14:paraId="1EA03C67">
            <w:pPr>
              <w:pStyle w:val="6"/>
              <w:spacing w:before="183" w:line="217" w:lineRule="auto"/>
              <w:ind w:left="588"/>
            </w:pPr>
            <w:r>
              <w:rPr>
                <w:spacing w:val="-1"/>
              </w:rPr>
              <w:t>①服务期满后拆除的废太阳能电池由生产厂家回收再利用；</w:t>
            </w:r>
          </w:p>
          <w:p w14:paraId="49817AC6">
            <w:pPr>
              <w:pStyle w:val="6"/>
              <w:spacing w:before="185" w:line="289" w:lineRule="auto"/>
              <w:ind w:left="109" w:right="207" w:firstLine="478"/>
            </w:pPr>
            <w:r>
              <w:t>②服务期满后升压站变压器、变压器油交由有资质</w:t>
            </w:r>
            <w:r>
              <w:rPr>
                <w:spacing w:val="-1"/>
              </w:rPr>
              <w:t>的变压器回收处置单</w:t>
            </w:r>
            <w:r>
              <w:t xml:space="preserve"> </w:t>
            </w:r>
            <w:r>
              <w:rPr>
                <w:spacing w:val="-2"/>
              </w:rPr>
              <w:t>位进行回收处理；</w:t>
            </w:r>
          </w:p>
          <w:p w14:paraId="190CE389">
            <w:pPr>
              <w:pStyle w:val="6"/>
              <w:spacing w:before="181" w:line="290" w:lineRule="auto"/>
              <w:ind w:left="108" w:right="40" w:firstLine="479"/>
            </w:pPr>
            <w:r>
              <w:rPr>
                <w:spacing w:val="-3"/>
              </w:rPr>
              <w:t>③服务期满后，对升压站、光伏组件及其他辅助设施硬化地面进行掘除，</w:t>
            </w:r>
            <w:r>
              <w:rPr>
                <w:spacing w:val="14"/>
              </w:rPr>
              <w:t xml:space="preserve"> </w:t>
            </w:r>
            <w:r>
              <w:rPr>
                <w:spacing w:val="-1"/>
              </w:rPr>
              <w:t>对场地进行生态恢复治理；</w:t>
            </w:r>
          </w:p>
          <w:p w14:paraId="1B8603EC">
            <w:pPr>
              <w:pStyle w:val="6"/>
              <w:spacing w:before="182" w:line="289" w:lineRule="auto"/>
              <w:ind w:left="126" w:right="207" w:firstLine="460"/>
            </w:pPr>
            <w:r>
              <w:t>④拆除过程中应尽量减少对土地的扰动，对于项目</w:t>
            </w:r>
            <w:r>
              <w:rPr>
                <w:spacing w:val="-1"/>
              </w:rPr>
              <w:t>厂区原绿化土地应保</w:t>
            </w:r>
            <w:r>
              <w:t xml:space="preserve"> </w:t>
            </w:r>
            <w:r>
              <w:rPr>
                <w:spacing w:val="-14"/>
              </w:rPr>
              <w:t>留；</w:t>
            </w:r>
          </w:p>
        </w:tc>
      </w:tr>
    </w:tbl>
    <w:p w14:paraId="1F63A62F">
      <w:pPr>
        <w:rPr>
          <w:rFonts w:ascii="Arial"/>
          <w:sz w:val="21"/>
        </w:rPr>
      </w:pPr>
    </w:p>
    <w:p w14:paraId="7FA2AFE6">
      <w:pPr>
        <w:rPr>
          <w:rFonts w:ascii="Arial" w:hAnsi="Arial" w:eastAsia="Arial" w:cs="Arial"/>
          <w:sz w:val="21"/>
          <w:szCs w:val="21"/>
        </w:rPr>
        <w:sectPr>
          <w:footerReference r:id="rId166" w:type="default"/>
          <w:pgSz w:w="11907" w:h="16840"/>
          <w:pgMar w:top="1431" w:right="1453" w:bottom="1278" w:left="1453" w:header="0" w:footer="1116" w:gutter="0"/>
          <w:cols w:space="720" w:num="1"/>
        </w:sectPr>
      </w:pPr>
    </w:p>
    <w:p w14:paraId="5EFF186E">
      <w:pPr>
        <w:spacing w:line="99" w:lineRule="exact"/>
      </w:pPr>
      <w:r>
        <w:pict>
          <v:shape id="_x0000_s1085" o:spid="_x0000_s1085" style="position:absolute;left:0pt;margin-left:109.9pt;margin-top:77.5pt;height:671.7pt;width:0.5pt;mso-position-horizontal-relative:page;mso-position-vertical-relative:page;z-index:251732992;mso-width-relative:page;mso-height-relative:page;" filled="f" stroked="t" coordsize="10,13434" o:allowincell="f" path="m4,0l4,13433e">
            <v:fill on="f" focussize="0,0"/>
            <v:stroke weight="0.48pt" color="#000000" miterlimit="2" joinstyle="bevel"/>
            <v:imagedata o:title=""/>
            <o:lock v:ext="edit"/>
          </v:shape>
        </w:pict>
      </w: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4"/>
        <w:gridCol w:w="8261"/>
      </w:tblGrid>
      <w:tr w14:paraId="6D033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8" w:hRule="atLeast"/>
        </w:trPr>
        <w:tc>
          <w:tcPr>
            <w:tcW w:w="8985" w:type="dxa"/>
            <w:gridSpan w:val="2"/>
            <w:tcBorders>
              <w:bottom w:val="single" w:color="000000" w:sz="2" w:space="0"/>
            </w:tcBorders>
            <w:vAlign w:val="top"/>
          </w:tcPr>
          <w:p w14:paraId="645168C1">
            <w:pPr>
              <w:pStyle w:val="6"/>
              <w:spacing w:before="28" w:line="290" w:lineRule="auto"/>
              <w:ind w:left="853" w:right="207" w:firstLine="477"/>
            </w:pPr>
            <w:r>
              <w:t>⑤掘除混凝土的基础部分场地应进行恢复，恢复后</w:t>
            </w:r>
            <w:r>
              <w:rPr>
                <w:spacing w:val="-1"/>
              </w:rPr>
              <w:t>的场地则进行洒水和</w:t>
            </w:r>
            <w:r>
              <w:t xml:space="preserve"> </w:t>
            </w:r>
            <w:r>
              <w:rPr>
                <w:spacing w:val="-1"/>
              </w:rPr>
              <w:t>压实，以固结地表，防止产生扬尘和对土壤的风蚀；</w:t>
            </w:r>
          </w:p>
          <w:p w14:paraId="650517B1">
            <w:pPr>
              <w:pStyle w:val="6"/>
              <w:spacing w:before="182" w:line="324" w:lineRule="auto"/>
              <w:ind w:left="852" w:right="101" w:firstLine="478"/>
            </w:pPr>
            <w:r>
              <w:rPr>
                <w:spacing w:val="3"/>
              </w:rPr>
              <w:t>⑥对场地进行平整，然后覆土植树、播撒草籽，对场地内占用的林地和</w:t>
            </w:r>
            <w:r>
              <w:rPr>
                <w:spacing w:val="1"/>
              </w:rPr>
              <w:t xml:space="preserve"> </w:t>
            </w:r>
            <w:r>
              <w:rPr>
                <w:spacing w:val="3"/>
              </w:rPr>
              <w:t>草地进行植被恢复。根据新项目对地形地貌及景观的破坏程度，项</w:t>
            </w:r>
            <w:r>
              <w:rPr>
                <w:spacing w:val="2"/>
              </w:rPr>
              <w:t>目服务期</w:t>
            </w:r>
            <w:r>
              <w:t xml:space="preserve"> </w:t>
            </w:r>
            <w:r>
              <w:rPr>
                <w:spacing w:val="3"/>
              </w:rPr>
              <w:t>满后，设立专项资金，采取植被重建的方式厂区进行生态恢复，种</w:t>
            </w:r>
            <w:r>
              <w:rPr>
                <w:spacing w:val="2"/>
              </w:rPr>
              <w:t>植乔木、</w:t>
            </w:r>
            <w:r>
              <w:t xml:space="preserve"> </w:t>
            </w:r>
            <w:r>
              <w:rPr>
                <w:spacing w:val="-1"/>
              </w:rPr>
              <w:t>灌木以及草类植被等。</w:t>
            </w:r>
          </w:p>
        </w:tc>
      </w:tr>
      <w:tr w14:paraId="7EB6C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39" w:hRule="atLeast"/>
        </w:trPr>
        <w:tc>
          <w:tcPr>
            <w:tcW w:w="724" w:type="dxa"/>
            <w:tcBorders>
              <w:top w:val="single" w:color="000000" w:sz="2" w:space="0"/>
              <w:right w:val="nil"/>
            </w:tcBorders>
            <w:vAlign w:val="top"/>
          </w:tcPr>
          <w:p w14:paraId="2ED6EE7A">
            <w:pPr>
              <w:spacing w:line="243" w:lineRule="auto"/>
              <w:rPr>
                <w:rFonts w:ascii="Arial"/>
                <w:sz w:val="21"/>
              </w:rPr>
            </w:pPr>
          </w:p>
          <w:p w14:paraId="6D6A4B84">
            <w:pPr>
              <w:spacing w:line="243" w:lineRule="auto"/>
              <w:rPr>
                <w:rFonts w:ascii="Arial"/>
                <w:sz w:val="21"/>
              </w:rPr>
            </w:pPr>
          </w:p>
          <w:p w14:paraId="72B03AB1">
            <w:pPr>
              <w:spacing w:line="243" w:lineRule="auto"/>
              <w:rPr>
                <w:rFonts w:ascii="Arial"/>
                <w:sz w:val="21"/>
              </w:rPr>
            </w:pPr>
          </w:p>
          <w:p w14:paraId="7D17FD73">
            <w:pPr>
              <w:spacing w:line="243" w:lineRule="auto"/>
              <w:rPr>
                <w:rFonts w:ascii="Arial"/>
                <w:sz w:val="21"/>
              </w:rPr>
            </w:pPr>
          </w:p>
          <w:p w14:paraId="6F94D586">
            <w:pPr>
              <w:spacing w:line="243" w:lineRule="auto"/>
              <w:rPr>
                <w:rFonts w:ascii="Arial"/>
                <w:sz w:val="21"/>
              </w:rPr>
            </w:pPr>
          </w:p>
          <w:p w14:paraId="16F6990B">
            <w:pPr>
              <w:spacing w:line="243" w:lineRule="auto"/>
              <w:rPr>
                <w:rFonts w:ascii="Arial"/>
                <w:sz w:val="21"/>
              </w:rPr>
            </w:pPr>
          </w:p>
          <w:p w14:paraId="450D27A4">
            <w:pPr>
              <w:spacing w:line="243" w:lineRule="auto"/>
              <w:rPr>
                <w:rFonts w:ascii="Arial"/>
                <w:sz w:val="21"/>
              </w:rPr>
            </w:pPr>
          </w:p>
          <w:p w14:paraId="1A301425">
            <w:pPr>
              <w:spacing w:line="244" w:lineRule="auto"/>
              <w:rPr>
                <w:rFonts w:ascii="Arial"/>
                <w:sz w:val="21"/>
              </w:rPr>
            </w:pPr>
          </w:p>
          <w:p w14:paraId="35E90814">
            <w:pPr>
              <w:spacing w:line="244" w:lineRule="auto"/>
              <w:rPr>
                <w:rFonts w:ascii="Arial"/>
                <w:sz w:val="21"/>
              </w:rPr>
            </w:pPr>
          </w:p>
          <w:p w14:paraId="4A46C459">
            <w:pPr>
              <w:spacing w:line="244" w:lineRule="auto"/>
              <w:rPr>
                <w:rFonts w:ascii="Arial"/>
                <w:sz w:val="21"/>
              </w:rPr>
            </w:pPr>
          </w:p>
          <w:p w14:paraId="5055F8BE">
            <w:pPr>
              <w:spacing w:line="244" w:lineRule="auto"/>
              <w:rPr>
                <w:rFonts w:ascii="Arial"/>
                <w:sz w:val="21"/>
              </w:rPr>
            </w:pPr>
          </w:p>
          <w:p w14:paraId="2868200F">
            <w:pPr>
              <w:spacing w:line="244" w:lineRule="auto"/>
              <w:rPr>
                <w:rFonts w:ascii="Arial"/>
                <w:sz w:val="21"/>
              </w:rPr>
            </w:pPr>
          </w:p>
          <w:p w14:paraId="63835150">
            <w:pPr>
              <w:spacing w:line="244" w:lineRule="auto"/>
              <w:rPr>
                <w:rFonts w:ascii="Arial"/>
                <w:sz w:val="21"/>
              </w:rPr>
            </w:pPr>
          </w:p>
          <w:p w14:paraId="117C8E33">
            <w:pPr>
              <w:spacing w:line="244" w:lineRule="auto"/>
              <w:rPr>
                <w:rFonts w:ascii="Arial"/>
                <w:sz w:val="21"/>
              </w:rPr>
            </w:pPr>
          </w:p>
          <w:p w14:paraId="5C3D093C">
            <w:pPr>
              <w:spacing w:line="244" w:lineRule="auto"/>
              <w:rPr>
                <w:rFonts w:ascii="Arial"/>
                <w:sz w:val="21"/>
              </w:rPr>
            </w:pPr>
          </w:p>
          <w:p w14:paraId="2046AA45">
            <w:pPr>
              <w:spacing w:line="244" w:lineRule="auto"/>
              <w:rPr>
                <w:rFonts w:ascii="Arial"/>
                <w:sz w:val="21"/>
              </w:rPr>
            </w:pPr>
          </w:p>
          <w:p w14:paraId="551BA286">
            <w:pPr>
              <w:spacing w:line="244" w:lineRule="auto"/>
              <w:rPr>
                <w:rFonts w:ascii="Arial"/>
                <w:sz w:val="21"/>
              </w:rPr>
            </w:pPr>
          </w:p>
          <w:p w14:paraId="5C7CB286">
            <w:pPr>
              <w:spacing w:line="244" w:lineRule="auto"/>
              <w:rPr>
                <w:rFonts w:ascii="Arial"/>
                <w:sz w:val="21"/>
              </w:rPr>
            </w:pPr>
          </w:p>
          <w:p w14:paraId="1F4845E5">
            <w:pPr>
              <w:spacing w:line="244" w:lineRule="auto"/>
              <w:rPr>
                <w:rFonts w:ascii="Arial"/>
                <w:sz w:val="21"/>
              </w:rPr>
            </w:pPr>
          </w:p>
          <w:p w14:paraId="4114909D">
            <w:pPr>
              <w:spacing w:line="244" w:lineRule="auto"/>
              <w:rPr>
                <w:rFonts w:ascii="Arial"/>
                <w:sz w:val="21"/>
              </w:rPr>
            </w:pPr>
          </w:p>
          <w:p w14:paraId="13B985F7">
            <w:pPr>
              <w:spacing w:line="244" w:lineRule="auto"/>
              <w:rPr>
                <w:rFonts w:ascii="Arial"/>
                <w:sz w:val="21"/>
              </w:rPr>
            </w:pPr>
          </w:p>
          <w:p w14:paraId="7B4C6DF7">
            <w:pPr>
              <w:pStyle w:val="6"/>
              <w:spacing w:before="65" w:line="228" w:lineRule="auto"/>
              <w:ind w:left="162"/>
              <w:rPr>
                <w:sz w:val="20"/>
                <w:szCs w:val="20"/>
              </w:rPr>
            </w:pPr>
            <w:r>
              <w:rPr>
                <w:spacing w:val="4"/>
                <w:sz w:val="20"/>
                <w:szCs w:val="20"/>
              </w:rPr>
              <w:t>其他</w:t>
            </w:r>
          </w:p>
        </w:tc>
        <w:tc>
          <w:tcPr>
            <w:tcW w:w="8261" w:type="dxa"/>
            <w:tcBorders>
              <w:top w:val="single" w:color="000000" w:sz="2" w:space="0"/>
              <w:left w:val="nil"/>
            </w:tcBorders>
            <w:vAlign w:val="top"/>
          </w:tcPr>
          <w:p w14:paraId="25EDD051">
            <w:pPr>
              <w:pStyle w:val="6"/>
              <w:spacing w:before="39" w:line="219" w:lineRule="auto"/>
              <w:ind w:left="662"/>
            </w:pPr>
            <w:r>
              <w:rPr>
                <w:rFonts w:ascii="Times New Roman" w:hAnsi="Times New Roman" w:eastAsia="Times New Roman" w:cs="Times New Roman"/>
                <w:b/>
                <w:bCs/>
                <w:spacing w:val="4"/>
              </w:rPr>
              <w:t>1</w:t>
            </w:r>
            <w:r>
              <w:rPr>
                <w:rFonts w:ascii="Times New Roman" w:hAnsi="Times New Roman" w:eastAsia="Times New Roman" w:cs="Times New Roman"/>
                <w:b/>
                <w:bCs/>
                <w:spacing w:val="-20"/>
              </w:rPr>
              <w:t xml:space="preserve"> </w:t>
            </w:r>
            <w:r>
              <w:rPr>
                <w:b/>
                <w:bCs/>
                <w:spacing w:val="4"/>
              </w:rPr>
              <w:t>、环境管理</w:t>
            </w:r>
          </w:p>
          <w:p w14:paraId="04A2972A">
            <w:pPr>
              <w:pStyle w:val="6"/>
              <w:spacing w:before="178" w:line="354" w:lineRule="auto"/>
              <w:ind w:left="134" w:right="40" w:firstLine="483"/>
              <w:jc w:val="both"/>
            </w:pPr>
            <w:r>
              <w:rPr>
                <w:spacing w:val="3"/>
              </w:rPr>
              <w:t>为有效地进行环境管理工作，加强对各项环境保护措施的监理、检查和</w:t>
            </w:r>
            <w:r>
              <w:t xml:space="preserve"> </w:t>
            </w:r>
            <w:r>
              <w:rPr>
                <w:spacing w:val="-6"/>
              </w:rPr>
              <w:t>验收，建设单位或施工单位应设1名兼职的环保工作人员，除做好上述工作外，</w:t>
            </w:r>
            <w:r>
              <w:rPr>
                <w:spacing w:val="7"/>
              </w:rPr>
              <w:t xml:space="preserve"> </w:t>
            </w:r>
            <w:r>
              <w:rPr>
                <w:spacing w:val="3"/>
              </w:rPr>
              <w:t>还应做好环境管理工作，加强环保法规教育和技术培训，提高各级</w:t>
            </w:r>
            <w:r>
              <w:rPr>
                <w:spacing w:val="2"/>
              </w:rPr>
              <w:t>领导及广</w:t>
            </w:r>
            <w:r>
              <w:t xml:space="preserve"> </w:t>
            </w:r>
            <w:r>
              <w:rPr>
                <w:spacing w:val="3"/>
              </w:rPr>
              <w:t>大职工的环保意识，组织落实各项环境保护措施，积累环境资料，</w:t>
            </w:r>
            <w:r>
              <w:rPr>
                <w:spacing w:val="2"/>
              </w:rPr>
              <w:t>规范各项</w:t>
            </w:r>
            <w:r>
              <w:t xml:space="preserve"> 环境管理制度。工程监理部门应有人分管环境监理</w:t>
            </w:r>
            <w:r>
              <w:rPr>
                <w:spacing w:val="-1"/>
              </w:rPr>
              <w:t>。环境管理见表</w:t>
            </w:r>
            <w:r>
              <w:rPr>
                <w:rFonts w:ascii="Times New Roman" w:hAnsi="Times New Roman" w:eastAsia="Times New Roman" w:cs="Times New Roman"/>
                <w:spacing w:val="-1"/>
              </w:rPr>
              <w:t>5-1</w:t>
            </w:r>
            <w:r>
              <w:rPr>
                <w:spacing w:val="-1"/>
              </w:rPr>
              <w:t>。</w:t>
            </w:r>
          </w:p>
          <w:p w14:paraId="05788E6A">
            <w:pPr>
              <w:pStyle w:val="6"/>
              <w:spacing w:before="30" w:line="223" w:lineRule="auto"/>
              <w:ind w:left="3136"/>
              <w:rPr>
                <w:sz w:val="20"/>
                <w:szCs w:val="20"/>
              </w:rPr>
            </w:pPr>
            <w:r>
              <w:rPr>
                <w:b/>
                <w:bCs/>
                <w:spacing w:val="4"/>
                <w:sz w:val="20"/>
                <w:szCs w:val="20"/>
              </w:rPr>
              <w:t>表</w:t>
            </w:r>
            <w:r>
              <w:rPr>
                <w:spacing w:val="-30"/>
                <w:sz w:val="20"/>
                <w:szCs w:val="20"/>
              </w:rPr>
              <w:t xml:space="preserve"> </w:t>
            </w:r>
            <w:r>
              <w:rPr>
                <w:rFonts w:ascii="Times New Roman" w:hAnsi="Times New Roman" w:eastAsia="Times New Roman" w:cs="Times New Roman"/>
                <w:b/>
                <w:bCs/>
                <w:spacing w:val="4"/>
                <w:sz w:val="20"/>
                <w:szCs w:val="20"/>
              </w:rPr>
              <w:t xml:space="preserve">5-1    </w:t>
            </w:r>
            <w:r>
              <w:rPr>
                <w:b/>
                <w:bCs/>
                <w:spacing w:val="4"/>
                <w:sz w:val="20"/>
                <w:szCs w:val="20"/>
              </w:rPr>
              <w:t>环境管理计划</w:t>
            </w:r>
          </w:p>
          <w:tbl>
            <w:tblPr>
              <w:tblStyle w:val="5"/>
              <w:tblW w:w="8001"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1"/>
              <w:gridCol w:w="453"/>
              <w:gridCol w:w="5662"/>
              <w:gridCol w:w="730"/>
              <w:gridCol w:w="695"/>
            </w:tblGrid>
            <w:tr w14:paraId="78935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1" w:hRule="atLeast"/>
              </w:trPr>
              <w:tc>
                <w:tcPr>
                  <w:tcW w:w="914" w:type="dxa"/>
                  <w:gridSpan w:val="2"/>
                  <w:vAlign w:val="top"/>
                </w:tcPr>
                <w:p w14:paraId="53490E52">
                  <w:pPr>
                    <w:pStyle w:val="6"/>
                    <w:spacing w:before="214" w:line="263" w:lineRule="auto"/>
                    <w:ind w:left="353" w:right="138" w:hanging="211"/>
                    <w:rPr>
                      <w:sz w:val="20"/>
                      <w:szCs w:val="20"/>
                    </w:rPr>
                  </w:pPr>
                  <w:r>
                    <w:rPr>
                      <w:b/>
                      <w:bCs/>
                      <w:spacing w:val="5"/>
                      <w:sz w:val="20"/>
                      <w:szCs w:val="20"/>
                    </w:rPr>
                    <w:t>环境问</w:t>
                  </w:r>
                  <w:r>
                    <w:rPr>
                      <w:sz w:val="20"/>
                      <w:szCs w:val="20"/>
                    </w:rPr>
                    <w:t xml:space="preserve"> </w:t>
                  </w:r>
                  <w:r>
                    <w:rPr>
                      <w:b/>
                      <w:bCs/>
                      <w:spacing w:val="-2"/>
                      <w:sz w:val="20"/>
                      <w:szCs w:val="20"/>
                    </w:rPr>
                    <w:t>题</w:t>
                  </w:r>
                </w:p>
              </w:tc>
              <w:tc>
                <w:tcPr>
                  <w:tcW w:w="5662" w:type="dxa"/>
                  <w:vAlign w:val="top"/>
                </w:tcPr>
                <w:p w14:paraId="78B1D7DE">
                  <w:pPr>
                    <w:spacing w:line="298" w:lineRule="auto"/>
                    <w:rPr>
                      <w:rFonts w:ascii="Arial"/>
                      <w:sz w:val="21"/>
                    </w:rPr>
                  </w:pPr>
                </w:p>
                <w:p w14:paraId="671C10EC">
                  <w:pPr>
                    <w:pStyle w:val="6"/>
                    <w:spacing w:before="65" w:line="227" w:lineRule="auto"/>
                    <w:ind w:left="2202"/>
                    <w:rPr>
                      <w:sz w:val="20"/>
                      <w:szCs w:val="20"/>
                    </w:rPr>
                  </w:pPr>
                  <w:r>
                    <w:rPr>
                      <w:b/>
                      <w:bCs/>
                      <w:spacing w:val="6"/>
                      <w:sz w:val="20"/>
                      <w:szCs w:val="20"/>
                    </w:rPr>
                    <w:t>环境管理要求</w:t>
                  </w:r>
                </w:p>
              </w:tc>
              <w:tc>
                <w:tcPr>
                  <w:tcW w:w="730" w:type="dxa"/>
                  <w:vAlign w:val="top"/>
                </w:tcPr>
                <w:p w14:paraId="6F7ACB1B">
                  <w:pPr>
                    <w:pStyle w:val="6"/>
                    <w:spacing w:before="214" w:line="262" w:lineRule="auto"/>
                    <w:ind w:left="160" w:right="148" w:hanging="1"/>
                    <w:rPr>
                      <w:sz w:val="20"/>
                      <w:szCs w:val="20"/>
                    </w:rPr>
                  </w:pPr>
                  <w:r>
                    <w:rPr>
                      <w:b/>
                      <w:bCs/>
                      <w:spacing w:val="3"/>
                      <w:sz w:val="20"/>
                      <w:szCs w:val="20"/>
                    </w:rPr>
                    <w:t>执行</w:t>
                  </w:r>
                  <w:r>
                    <w:rPr>
                      <w:sz w:val="20"/>
                      <w:szCs w:val="20"/>
                    </w:rPr>
                    <w:t xml:space="preserve"> </w:t>
                  </w:r>
                  <w:r>
                    <w:rPr>
                      <w:b/>
                      <w:bCs/>
                      <w:spacing w:val="3"/>
                      <w:sz w:val="20"/>
                      <w:szCs w:val="20"/>
                    </w:rPr>
                    <w:t>单位</w:t>
                  </w:r>
                </w:p>
              </w:tc>
              <w:tc>
                <w:tcPr>
                  <w:tcW w:w="695" w:type="dxa"/>
                  <w:vAlign w:val="top"/>
                </w:tcPr>
                <w:p w14:paraId="1CEE1101">
                  <w:pPr>
                    <w:pStyle w:val="6"/>
                    <w:spacing w:before="65" w:line="257" w:lineRule="auto"/>
                    <w:ind w:left="141" w:right="133" w:hanging="1"/>
                    <w:jc w:val="both"/>
                    <w:rPr>
                      <w:sz w:val="20"/>
                      <w:szCs w:val="20"/>
                    </w:rPr>
                  </w:pPr>
                  <w:r>
                    <w:rPr>
                      <w:b/>
                      <w:bCs/>
                      <w:spacing w:val="3"/>
                      <w:sz w:val="20"/>
                      <w:szCs w:val="20"/>
                    </w:rPr>
                    <w:t>监督</w:t>
                  </w:r>
                  <w:r>
                    <w:rPr>
                      <w:sz w:val="20"/>
                      <w:szCs w:val="20"/>
                    </w:rPr>
                    <w:t xml:space="preserve"> </w:t>
                  </w:r>
                  <w:r>
                    <w:rPr>
                      <w:b/>
                      <w:bCs/>
                      <w:spacing w:val="2"/>
                      <w:sz w:val="20"/>
                      <w:szCs w:val="20"/>
                    </w:rPr>
                    <w:t>管理</w:t>
                  </w:r>
                  <w:r>
                    <w:rPr>
                      <w:sz w:val="20"/>
                      <w:szCs w:val="20"/>
                    </w:rPr>
                    <w:t xml:space="preserve"> </w:t>
                  </w:r>
                  <w:r>
                    <w:rPr>
                      <w:b/>
                      <w:bCs/>
                      <w:spacing w:val="2"/>
                      <w:sz w:val="20"/>
                      <w:szCs w:val="20"/>
                    </w:rPr>
                    <w:t>部门</w:t>
                  </w:r>
                </w:p>
              </w:tc>
            </w:tr>
            <w:tr w14:paraId="41D8D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0" w:hRule="atLeast"/>
              </w:trPr>
              <w:tc>
                <w:tcPr>
                  <w:tcW w:w="461" w:type="dxa"/>
                  <w:vMerge w:val="restart"/>
                  <w:tcBorders>
                    <w:bottom w:val="nil"/>
                  </w:tcBorders>
                  <w:textDirection w:val="tbRlV"/>
                  <w:vAlign w:val="top"/>
                </w:tcPr>
                <w:p w14:paraId="15A721AE">
                  <w:pPr>
                    <w:pStyle w:val="6"/>
                    <w:spacing w:before="121" w:line="217" w:lineRule="auto"/>
                    <w:ind w:left="2919"/>
                    <w:rPr>
                      <w:sz w:val="20"/>
                      <w:szCs w:val="20"/>
                    </w:rPr>
                  </w:pPr>
                  <w:r>
                    <w:rPr>
                      <w:spacing w:val="8"/>
                      <w:sz w:val="20"/>
                      <w:szCs w:val="20"/>
                    </w:rPr>
                    <w:t>施</w:t>
                  </w:r>
                  <w:r>
                    <w:rPr>
                      <w:spacing w:val="-9"/>
                      <w:sz w:val="20"/>
                      <w:szCs w:val="20"/>
                    </w:rPr>
                    <w:t xml:space="preserve"> </w:t>
                  </w:r>
                  <w:r>
                    <w:rPr>
                      <w:spacing w:val="8"/>
                      <w:sz w:val="20"/>
                      <w:szCs w:val="20"/>
                    </w:rPr>
                    <w:t>工</w:t>
                  </w:r>
                  <w:r>
                    <w:rPr>
                      <w:spacing w:val="-9"/>
                      <w:sz w:val="20"/>
                      <w:szCs w:val="20"/>
                    </w:rPr>
                    <w:t xml:space="preserve"> </w:t>
                  </w:r>
                  <w:r>
                    <w:rPr>
                      <w:spacing w:val="8"/>
                      <w:sz w:val="20"/>
                      <w:szCs w:val="20"/>
                    </w:rPr>
                    <w:t>期</w:t>
                  </w:r>
                </w:p>
              </w:tc>
              <w:tc>
                <w:tcPr>
                  <w:tcW w:w="453" w:type="dxa"/>
                  <w:textDirection w:val="tbRlV"/>
                  <w:vAlign w:val="top"/>
                </w:tcPr>
                <w:p w14:paraId="3D281BA2">
                  <w:pPr>
                    <w:pStyle w:val="6"/>
                    <w:spacing w:before="121" w:line="216" w:lineRule="auto"/>
                    <w:ind w:left="1404"/>
                    <w:rPr>
                      <w:sz w:val="20"/>
                      <w:szCs w:val="20"/>
                    </w:rPr>
                  </w:pPr>
                  <w:r>
                    <w:rPr>
                      <w:spacing w:val="8"/>
                      <w:sz w:val="20"/>
                      <w:szCs w:val="20"/>
                    </w:rPr>
                    <w:t>施</w:t>
                  </w:r>
                  <w:r>
                    <w:rPr>
                      <w:spacing w:val="-8"/>
                      <w:sz w:val="20"/>
                      <w:szCs w:val="20"/>
                    </w:rPr>
                    <w:t xml:space="preserve"> </w:t>
                  </w:r>
                  <w:r>
                    <w:rPr>
                      <w:spacing w:val="8"/>
                      <w:sz w:val="20"/>
                      <w:szCs w:val="20"/>
                    </w:rPr>
                    <w:t>工</w:t>
                  </w:r>
                  <w:r>
                    <w:rPr>
                      <w:spacing w:val="-9"/>
                      <w:sz w:val="20"/>
                      <w:szCs w:val="20"/>
                    </w:rPr>
                    <w:t xml:space="preserve"> </w:t>
                  </w:r>
                  <w:r>
                    <w:rPr>
                      <w:spacing w:val="8"/>
                      <w:sz w:val="20"/>
                      <w:szCs w:val="20"/>
                    </w:rPr>
                    <w:t>管</w:t>
                  </w:r>
                  <w:r>
                    <w:rPr>
                      <w:spacing w:val="-9"/>
                      <w:sz w:val="20"/>
                      <w:szCs w:val="20"/>
                    </w:rPr>
                    <w:t xml:space="preserve"> </w:t>
                  </w:r>
                  <w:r>
                    <w:rPr>
                      <w:spacing w:val="8"/>
                      <w:sz w:val="20"/>
                      <w:szCs w:val="20"/>
                    </w:rPr>
                    <w:t>理</w:t>
                  </w:r>
                </w:p>
              </w:tc>
              <w:tc>
                <w:tcPr>
                  <w:tcW w:w="5662" w:type="dxa"/>
                  <w:vAlign w:val="top"/>
                </w:tcPr>
                <w:p w14:paraId="4156F6A2">
                  <w:pPr>
                    <w:pStyle w:val="6"/>
                    <w:spacing w:before="58" w:line="264" w:lineRule="auto"/>
                    <w:ind w:left="107" w:right="100" w:hanging="1"/>
                    <w:rPr>
                      <w:sz w:val="20"/>
                      <w:szCs w:val="20"/>
                    </w:rPr>
                  </w:pPr>
                  <w:r>
                    <w:rPr>
                      <w:spacing w:val="9"/>
                      <w:sz w:val="20"/>
                      <w:szCs w:val="20"/>
                    </w:rPr>
                    <w:t>①落实设计文件、环境影响评价文件及其审批部门审批决定</w:t>
                  </w:r>
                  <w:r>
                    <w:rPr>
                      <w:spacing w:val="8"/>
                      <w:sz w:val="20"/>
                      <w:szCs w:val="20"/>
                    </w:rPr>
                    <w:t xml:space="preserve"> </w:t>
                  </w:r>
                  <w:r>
                    <w:rPr>
                      <w:spacing w:val="9"/>
                      <w:sz w:val="20"/>
                      <w:szCs w:val="20"/>
                    </w:rPr>
                    <w:t>中提出的环境保护要求。设备采购和施工合同中应明确环境</w:t>
                  </w:r>
                  <w:r>
                    <w:rPr>
                      <w:spacing w:val="8"/>
                      <w:sz w:val="20"/>
                      <w:szCs w:val="20"/>
                    </w:rPr>
                    <w:t xml:space="preserve"> </w:t>
                  </w:r>
                  <w:r>
                    <w:rPr>
                      <w:spacing w:val="9"/>
                      <w:sz w:val="20"/>
                      <w:szCs w:val="20"/>
                    </w:rPr>
                    <w:t>保护要求，环境保护措施的实施和环境保护设施的施工安装</w:t>
                  </w:r>
                  <w:r>
                    <w:rPr>
                      <w:spacing w:val="8"/>
                      <w:sz w:val="20"/>
                      <w:szCs w:val="20"/>
                    </w:rPr>
                    <w:t xml:space="preserve"> </w:t>
                  </w:r>
                  <w:r>
                    <w:rPr>
                      <w:spacing w:val="9"/>
                      <w:sz w:val="20"/>
                      <w:szCs w:val="20"/>
                    </w:rPr>
                    <w:t>质量应符合设计和技术协议书、相关标准的要求；</w:t>
                  </w:r>
                </w:p>
                <w:p w14:paraId="6426D833">
                  <w:pPr>
                    <w:pStyle w:val="6"/>
                    <w:spacing w:before="55" w:line="260" w:lineRule="auto"/>
                    <w:ind w:left="106" w:right="99" w:hanging="1"/>
                    <w:rPr>
                      <w:sz w:val="20"/>
                      <w:szCs w:val="20"/>
                    </w:rPr>
                  </w:pPr>
                  <w:r>
                    <w:rPr>
                      <w:spacing w:val="9"/>
                      <w:sz w:val="20"/>
                      <w:szCs w:val="20"/>
                    </w:rPr>
                    <w:t>②建设单位应加强施工过程的管理，开展环境保护培训，严</w:t>
                  </w:r>
                  <w:r>
                    <w:rPr>
                      <w:spacing w:val="11"/>
                      <w:sz w:val="20"/>
                      <w:szCs w:val="20"/>
                    </w:rPr>
                    <w:t xml:space="preserve"> </w:t>
                  </w:r>
                  <w:r>
                    <w:rPr>
                      <w:spacing w:val="9"/>
                      <w:sz w:val="20"/>
                      <w:szCs w:val="20"/>
                    </w:rPr>
                    <w:t xml:space="preserve">格控制施工影响范围，确定适宜的施工季节和施工方式，减 </w:t>
                  </w:r>
                  <w:r>
                    <w:rPr>
                      <w:spacing w:val="8"/>
                      <w:sz w:val="20"/>
                      <w:szCs w:val="20"/>
                    </w:rPr>
                    <w:t>少对环境的不利影响；</w:t>
                  </w:r>
                </w:p>
                <w:p w14:paraId="48977B34">
                  <w:pPr>
                    <w:pStyle w:val="6"/>
                    <w:spacing w:before="51" w:line="261" w:lineRule="auto"/>
                    <w:ind w:left="107" w:right="102" w:hanging="2"/>
                    <w:rPr>
                      <w:sz w:val="20"/>
                      <w:szCs w:val="20"/>
                    </w:rPr>
                  </w:pPr>
                  <w:r>
                    <w:rPr>
                      <w:spacing w:val="9"/>
                      <w:sz w:val="20"/>
                      <w:szCs w:val="20"/>
                    </w:rPr>
                    <w:t>③施工期临时用地应永临结合，优先利用荒地、劣地。施工 占用裸地、林地和草地，应做好表土剥离、分类存放和回填</w:t>
                  </w:r>
                  <w:r>
                    <w:rPr>
                      <w:spacing w:val="6"/>
                      <w:sz w:val="20"/>
                      <w:szCs w:val="20"/>
                    </w:rPr>
                    <w:t xml:space="preserve"> </w:t>
                  </w:r>
                  <w:r>
                    <w:rPr>
                      <w:spacing w:val="2"/>
                      <w:sz w:val="20"/>
                      <w:szCs w:val="20"/>
                    </w:rPr>
                    <w:t>利用；</w:t>
                  </w:r>
                </w:p>
                <w:p w14:paraId="5D667174">
                  <w:pPr>
                    <w:pStyle w:val="6"/>
                    <w:spacing w:before="51" w:line="225" w:lineRule="auto"/>
                    <w:ind w:left="105"/>
                    <w:rPr>
                      <w:sz w:val="20"/>
                      <w:szCs w:val="20"/>
                    </w:rPr>
                  </w:pPr>
                  <w:r>
                    <w:rPr>
                      <w:spacing w:val="9"/>
                      <w:sz w:val="20"/>
                      <w:szCs w:val="20"/>
                    </w:rPr>
                    <w:t>④严格在设计占地范围内施工，严禁计划外占地；</w:t>
                  </w:r>
                </w:p>
                <w:p w14:paraId="71196312">
                  <w:pPr>
                    <w:pStyle w:val="6"/>
                    <w:spacing w:before="54" w:line="248" w:lineRule="auto"/>
                    <w:ind w:left="108" w:right="102" w:hanging="3"/>
                    <w:rPr>
                      <w:sz w:val="20"/>
                      <w:szCs w:val="20"/>
                    </w:rPr>
                  </w:pPr>
                  <w:r>
                    <w:rPr>
                      <w:spacing w:val="9"/>
                      <w:sz w:val="20"/>
                      <w:szCs w:val="20"/>
                    </w:rPr>
                    <w:t xml:space="preserve">⑤施工结束后，及时清理施工现场，因地制宜进行土地功能 </w:t>
                  </w:r>
                  <w:r>
                    <w:rPr>
                      <w:spacing w:val="2"/>
                      <w:sz w:val="20"/>
                      <w:szCs w:val="20"/>
                    </w:rPr>
                    <w:t>恢复。</w:t>
                  </w:r>
                </w:p>
              </w:tc>
              <w:tc>
                <w:tcPr>
                  <w:tcW w:w="730" w:type="dxa"/>
                  <w:vMerge w:val="restart"/>
                  <w:tcBorders>
                    <w:bottom w:val="nil"/>
                  </w:tcBorders>
                  <w:vAlign w:val="top"/>
                </w:tcPr>
                <w:p w14:paraId="0D776634">
                  <w:pPr>
                    <w:spacing w:line="248" w:lineRule="auto"/>
                    <w:rPr>
                      <w:rFonts w:ascii="Arial"/>
                      <w:sz w:val="21"/>
                    </w:rPr>
                  </w:pPr>
                </w:p>
                <w:p w14:paraId="565A1CD2">
                  <w:pPr>
                    <w:spacing w:line="248" w:lineRule="auto"/>
                    <w:rPr>
                      <w:rFonts w:ascii="Arial"/>
                      <w:sz w:val="21"/>
                    </w:rPr>
                  </w:pPr>
                </w:p>
                <w:p w14:paraId="1A3D5215">
                  <w:pPr>
                    <w:spacing w:line="248" w:lineRule="auto"/>
                    <w:rPr>
                      <w:rFonts w:ascii="Arial"/>
                      <w:sz w:val="21"/>
                    </w:rPr>
                  </w:pPr>
                </w:p>
                <w:p w14:paraId="71466945">
                  <w:pPr>
                    <w:spacing w:line="249" w:lineRule="auto"/>
                    <w:rPr>
                      <w:rFonts w:ascii="Arial"/>
                      <w:sz w:val="21"/>
                    </w:rPr>
                  </w:pPr>
                </w:p>
                <w:p w14:paraId="05793C95">
                  <w:pPr>
                    <w:spacing w:line="249" w:lineRule="auto"/>
                    <w:rPr>
                      <w:rFonts w:ascii="Arial"/>
                      <w:sz w:val="21"/>
                    </w:rPr>
                  </w:pPr>
                </w:p>
                <w:p w14:paraId="017283AA">
                  <w:pPr>
                    <w:spacing w:line="249" w:lineRule="auto"/>
                    <w:rPr>
                      <w:rFonts w:ascii="Arial"/>
                      <w:sz w:val="21"/>
                    </w:rPr>
                  </w:pPr>
                </w:p>
                <w:p w14:paraId="174902DC">
                  <w:pPr>
                    <w:spacing w:line="249" w:lineRule="auto"/>
                    <w:rPr>
                      <w:rFonts w:ascii="Arial"/>
                      <w:sz w:val="21"/>
                    </w:rPr>
                  </w:pPr>
                </w:p>
                <w:p w14:paraId="63FBBD58">
                  <w:pPr>
                    <w:spacing w:line="249" w:lineRule="auto"/>
                    <w:rPr>
                      <w:rFonts w:ascii="Arial"/>
                      <w:sz w:val="21"/>
                    </w:rPr>
                  </w:pPr>
                </w:p>
                <w:p w14:paraId="0231AD1B">
                  <w:pPr>
                    <w:spacing w:line="249" w:lineRule="auto"/>
                    <w:rPr>
                      <w:rFonts w:ascii="Arial"/>
                      <w:sz w:val="21"/>
                    </w:rPr>
                  </w:pPr>
                </w:p>
                <w:p w14:paraId="033B8BAF">
                  <w:pPr>
                    <w:spacing w:line="249" w:lineRule="auto"/>
                    <w:rPr>
                      <w:rFonts w:ascii="Arial"/>
                      <w:sz w:val="21"/>
                    </w:rPr>
                  </w:pPr>
                </w:p>
                <w:p w14:paraId="2609C88D">
                  <w:pPr>
                    <w:spacing w:line="249" w:lineRule="auto"/>
                    <w:rPr>
                      <w:rFonts w:ascii="Arial"/>
                      <w:sz w:val="21"/>
                    </w:rPr>
                  </w:pPr>
                </w:p>
                <w:p w14:paraId="5859B0DC">
                  <w:pPr>
                    <w:spacing w:line="249" w:lineRule="auto"/>
                    <w:rPr>
                      <w:rFonts w:ascii="Arial"/>
                      <w:sz w:val="21"/>
                    </w:rPr>
                  </w:pPr>
                </w:p>
                <w:p w14:paraId="6E984684">
                  <w:pPr>
                    <w:pStyle w:val="6"/>
                    <w:spacing w:before="65" w:line="262" w:lineRule="auto"/>
                    <w:ind w:left="163" w:right="148" w:hanging="2"/>
                    <w:rPr>
                      <w:sz w:val="20"/>
                      <w:szCs w:val="20"/>
                    </w:rPr>
                  </w:pPr>
                  <w:r>
                    <w:rPr>
                      <w:spacing w:val="5"/>
                      <w:sz w:val="20"/>
                      <w:szCs w:val="20"/>
                    </w:rPr>
                    <w:t>施工</w:t>
                  </w:r>
                  <w:r>
                    <w:rPr>
                      <w:sz w:val="20"/>
                      <w:szCs w:val="20"/>
                    </w:rPr>
                    <w:t xml:space="preserve"> </w:t>
                  </w:r>
                  <w:r>
                    <w:rPr>
                      <w:spacing w:val="3"/>
                      <w:sz w:val="20"/>
                      <w:szCs w:val="20"/>
                    </w:rPr>
                    <w:t>单位</w:t>
                  </w:r>
                </w:p>
              </w:tc>
              <w:tc>
                <w:tcPr>
                  <w:tcW w:w="695" w:type="dxa"/>
                  <w:vMerge w:val="restart"/>
                  <w:tcBorders>
                    <w:bottom w:val="nil"/>
                  </w:tcBorders>
                  <w:vAlign w:val="top"/>
                </w:tcPr>
                <w:p w14:paraId="30264376">
                  <w:pPr>
                    <w:spacing w:line="248" w:lineRule="auto"/>
                    <w:rPr>
                      <w:rFonts w:ascii="Arial"/>
                      <w:sz w:val="21"/>
                    </w:rPr>
                  </w:pPr>
                </w:p>
                <w:p w14:paraId="0ADA187B">
                  <w:pPr>
                    <w:spacing w:line="248" w:lineRule="auto"/>
                    <w:rPr>
                      <w:rFonts w:ascii="Arial"/>
                      <w:sz w:val="21"/>
                    </w:rPr>
                  </w:pPr>
                </w:p>
                <w:p w14:paraId="2D49DA4B">
                  <w:pPr>
                    <w:spacing w:line="248" w:lineRule="auto"/>
                    <w:rPr>
                      <w:rFonts w:ascii="Arial"/>
                      <w:sz w:val="21"/>
                    </w:rPr>
                  </w:pPr>
                </w:p>
                <w:p w14:paraId="67EC7E94">
                  <w:pPr>
                    <w:spacing w:line="249" w:lineRule="auto"/>
                    <w:rPr>
                      <w:rFonts w:ascii="Arial"/>
                      <w:sz w:val="21"/>
                    </w:rPr>
                  </w:pPr>
                </w:p>
                <w:p w14:paraId="6D4B85B6">
                  <w:pPr>
                    <w:spacing w:line="249" w:lineRule="auto"/>
                    <w:rPr>
                      <w:rFonts w:ascii="Arial"/>
                      <w:sz w:val="21"/>
                    </w:rPr>
                  </w:pPr>
                </w:p>
                <w:p w14:paraId="0AF939C1">
                  <w:pPr>
                    <w:spacing w:line="249" w:lineRule="auto"/>
                    <w:rPr>
                      <w:rFonts w:ascii="Arial"/>
                      <w:sz w:val="21"/>
                    </w:rPr>
                  </w:pPr>
                </w:p>
                <w:p w14:paraId="5EF5D7F7">
                  <w:pPr>
                    <w:spacing w:line="249" w:lineRule="auto"/>
                    <w:rPr>
                      <w:rFonts w:ascii="Arial"/>
                      <w:sz w:val="21"/>
                    </w:rPr>
                  </w:pPr>
                </w:p>
                <w:p w14:paraId="596A6953">
                  <w:pPr>
                    <w:spacing w:line="249" w:lineRule="auto"/>
                    <w:rPr>
                      <w:rFonts w:ascii="Arial"/>
                      <w:sz w:val="21"/>
                    </w:rPr>
                  </w:pPr>
                </w:p>
                <w:p w14:paraId="2F5B1CD5">
                  <w:pPr>
                    <w:spacing w:line="249" w:lineRule="auto"/>
                    <w:rPr>
                      <w:rFonts w:ascii="Arial"/>
                      <w:sz w:val="21"/>
                    </w:rPr>
                  </w:pPr>
                </w:p>
                <w:p w14:paraId="2A402785">
                  <w:pPr>
                    <w:spacing w:line="249" w:lineRule="auto"/>
                    <w:rPr>
                      <w:rFonts w:ascii="Arial"/>
                      <w:sz w:val="21"/>
                    </w:rPr>
                  </w:pPr>
                </w:p>
                <w:p w14:paraId="1A7762EF">
                  <w:pPr>
                    <w:spacing w:line="249" w:lineRule="auto"/>
                    <w:rPr>
                      <w:rFonts w:ascii="Arial"/>
                      <w:sz w:val="21"/>
                    </w:rPr>
                  </w:pPr>
                </w:p>
                <w:p w14:paraId="44BEF830">
                  <w:pPr>
                    <w:spacing w:line="249" w:lineRule="auto"/>
                    <w:rPr>
                      <w:rFonts w:ascii="Arial"/>
                      <w:sz w:val="21"/>
                    </w:rPr>
                  </w:pPr>
                </w:p>
                <w:p w14:paraId="0D265AEE">
                  <w:pPr>
                    <w:pStyle w:val="6"/>
                    <w:spacing w:before="65" w:line="262" w:lineRule="auto"/>
                    <w:ind w:left="144" w:right="133"/>
                    <w:rPr>
                      <w:sz w:val="20"/>
                      <w:szCs w:val="20"/>
                    </w:rPr>
                  </w:pPr>
                  <w:r>
                    <w:rPr>
                      <w:spacing w:val="3"/>
                      <w:sz w:val="20"/>
                      <w:szCs w:val="20"/>
                    </w:rPr>
                    <w:t>建设</w:t>
                  </w:r>
                  <w:r>
                    <w:rPr>
                      <w:sz w:val="20"/>
                      <w:szCs w:val="20"/>
                    </w:rPr>
                    <w:t xml:space="preserve"> </w:t>
                  </w:r>
                  <w:r>
                    <w:rPr>
                      <w:spacing w:val="3"/>
                      <w:sz w:val="20"/>
                      <w:szCs w:val="20"/>
                    </w:rPr>
                    <w:t>单位</w:t>
                  </w:r>
                </w:p>
              </w:tc>
            </w:tr>
            <w:tr w14:paraId="37B1E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2" w:hRule="atLeast"/>
              </w:trPr>
              <w:tc>
                <w:tcPr>
                  <w:tcW w:w="461" w:type="dxa"/>
                  <w:vMerge w:val="continue"/>
                  <w:tcBorders>
                    <w:top w:val="nil"/>
                    <w:bottom w:val="nil"/>
                  </w:tcBorders>
                  <w:textDirection w:val="tbRlV"/>
                  <w:vAlign w:val="top"/>
                </w:tcPr>
                <w:p w14:paraId="094BF03F">
                  <w:pPr>
                    <w:rPr>
                      <w:rFonts w:ascii="Arial"/>
                      <w:sz w:val="21"/>
                    </w:rPr>
                  </w:pPr>
                </w:p>
              </w:tc>
              <w:tc>
                <w:tcPr>
                  <w:tcW w:w="453" w:type="dxa"/>
                  <w:textDirection w:val="tbRlV"/>
                  <w:vAlign w:val="top"/>
                </w:tcPr>
                <w:p w14:paraId="76B1E1D5">
                  <w:pPr>
                    <w:pStyle w:val="6"/>
                    <w:spacing w:before="121" w:line="216" w:lineRule="auto"/>
                    <w:ind w:left="956"/>
                    <w:rPr>
                      <w:sz w:val="20"/>
                      <w:szCs w:val="20"/>
                    </w:rPr>
                  </w:pPr>
                  <w:r>
                    <w:rPr>
                      <w:spacing w:val="8"/>
                      <w:sz w:val="20"/>
                      <w:szCs w:val="20"/>
                    </w:rPr>
                    <w:t>废</w:t>
                  </w:r>
                  <w:r>
                    <w:rPr>
                      <w:spacing w:val="-9"/>
                      <w:sz w:val="20"/>
                      <w:szCs w:val="20"/>
                    </w:rPr>
                    <w:t xml:space="preserve"> </w:t>
                  </w:r>
                  <w:r>
                    <w:rPr>
                      <w:spacing w:val="8"/>
                      <w:sz w:val="20"/>
                      <w:szCs w:val="20"/>
                    </w:rPr>
                    <w:t>水</w:t>
                  </w:r>
                </w:p>
              </w:tc>
              <w:tc>
                <w:tcPr>
                  <w:tcW w:w="5662" w:type="dxa"/>
                  <w:vAlign w:val="top"/>
                </w:tcPr>
                <w:p w14:paraId="2A39D7E1">
                  <w:pPr>
                    <w:pStyle w:val="6"/>
                    <w:spacing w:before="60" w:line="269" w:lineRule="auto"/>
                    <w:ind w:left="106" w:right="47"/>
                    <w:jc w:val="both"/>
                    <w:rPr>
                      <w:sz w:val="20"/>
                      <w:szCs w:val="20"/>
                    </w:rPr>
                  </w:pPr>
                  <w:r>
                    <w:rPr>
                      <w:spacing w:val="9"/>
                      <w:sz w:val="20"/>
                      <w:szCs w:val="20"/>
                    </w:rPr>
                    <w:t>施工期粪便污水通过旱厕收集，定期清运用作农肥；在升压</w:t>
                  </w:r>
                  <w:r>
                    <w:rPr>
                      <w:spacing w:val="10"/>
                      <w:sz w:val="20"/>
                      <w:szCs w:val="20"/>
                    </w:rPr>
                    <w:t xml:space="preserve"> </w:t>
                  </w:r>
                  <w:r>
                    <w:rPr>
                      <w:spacing w:val="1"/>
                      <w:sz w:val="20"/>
                      <w:szCs w:val="20"/>
                    </w:rPr>
                    <w:t>站施工场区设置</w:t>
                  </w:r>
                  <w:r>
                    <w:rPr>
                      <w:spacing w:val="-24"/>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座</w:t>
                  </w:r>
                  <w:r>
                    <w:rPr>
                      <w:spacing w:val="-46"/>
                      <w:sz w:val="20"/>
                      <w:szCs w:val="20"/>
                    </w:rPr>
                    <w:t xml:space="preserve"> </w:t>
                  </w:r>
                  <w:r>
                    <w:rPr>
                      <w:rFonts w:ascii="Times New Roman" w:hAnsi="Times New Roman" w:eastAsia="Times New Roman" w:cs="Times New Roman"/>
                      <w:spacing w:val="1"/>
                      <w:sz w:val="20"/>
                      <w:szCs w:val="20"/>
                    </w:rPr>
                    <w:t>4m</w:t>
                  </w:r>
                  <w:r>
                    <w:rPr>
                      <w:rFonts w:ascii="Times New Roman" w:hAnsi="Times New Roman" w:eastAsia="Times New Roman" w:cs="Times New Roman"/>
                      <w:spacing w:val="1"/>
                      <w:position w:val="6"/>
                      <w:sz w:val="13"/>
                      <w:szCs w:val="13"/>
                    </w:rPr>
                    <w:t xml:space="preserve">3  </w:t>
                  </w:r>
                  <w:r>
                    <w:rPr>
                      <w:spacing w:val="1"/>
                      <w:sz w:val="20"/>
                      <w:szCs w:val="20"/>
                    </w:rPr>
                    <w:t>的沉淀池，用于处理施工养护废水，</w:t>
                  </w:r>
                  <w:r>
                    <w:rPr>
                      <w:sz w:val="20"/>
                      <w:szCs w:val="20"/>
                    </w:rPr>
                    <w:t xml:space="preserve"> </w:t>
                  </w:r>
                  <w:r>
                    <w:rPr>
                      <w:spacing w:val="9"/>
                      <w:sz w:val="20"/>
                      <w:szCs w:val="20"/>
                    </w:rPr>
                    <w:t>产生的废水经沉淀池处理后，全部回用于施工用水和场地洒</w:t>
                  </w:r>
                  <w:r>
                    <w:rPr>
                      <w:spacing w:val="10"/>
                      <w:sz w:val="20"/>
                      <w:szCs w:val="20"/>
                    </w:rPr>
                    <w:t xml:space="preserve"> </w:t>
                  </w:r>
                  <w:r>
                    <w:rPr>
                      <w:spacing w:val="9"/>
                      <w:sz w:val="20"/>
                      <w:szCs w:val="20"/>
                    </w:rPr>
                    <w:t>水降尘，不外排；雨天地表径流经收集沉淀后，全部回用于</w:t>
                  </w:r>
                  <w:r>
                    <w:rPr>
                      <w:spacing w:val="8"/>
                      <w:sz w:val="20"/>
                      <w:szCs w:val="20"/>
                    </w:rPr>
                    <w:t xml:space="preserve"> </w:t>
                  </w:r>
                  <w:r>
                    <w:rPr>
                      <w:spacing w:val="9"/>
                      <w:sz w:val="20"/>
                      <w:szCs w:val="20"/>
                    </w:rPr>
                    <w:t>施工过程及场地洒水降尘，不外排；化桃箐饮用水水源保护</w:t>
                  </w:r>
                  <w:r>
                    <w:rPr>
                      <w:spacing w:val="8"/>
                      <w:sz w:val="20"/>
                      <w:szCs w:val="20"/>
                    </w:rPr>
                    <w:t xml:space="preserve"> </w:t>
                  </w:r>
                  <w:r>
                    <w:rPr>
                      <w:spacing w:val="9"/>
                      <w:sz w:val="20"/>
                      <w:szCs w:val="20"/>
                    </w:rPr>
                    <w:t>区内不设置弃渣场、表土堆场、施工营场地等临建设施，施</w:t>
                  </w:r>
                  <w:r>
                    <w:rPr>
                      <w:spacing w:val="10"/>
                      <w:sz w:val="20"/>
                      <w:szCs w:val="20"/>
                    </w:rPr>
                    <w:t xml:space="preserve"> </w:t>
                  </w:r>
                  <w:r>
                    <w:rPr>
                      <w:spacing w:val="9"/>
                      <w:sz w:val="20"/>
                      <w:szCs w:val="20"/>
                    </w:rPr>
                    <w:t>工结束后及时进行生态恢复。施工过程中加强施工人员的环</w:t>
                  </w:r>
                  <w:r>
                    <w:rPr>
                      <w:spacing w:val="10"/>
                      <w:sz w:val="20"/>
                      <w:szCs w:val="20"/>
                    </w:rPr>
                    <w:t xml:space="preserve"> </w:t>
                  </w:r>
                  <w:r>
                    <w:rPr>
                      <w:spacing w:val="9"/>
                      <w:sz w:val="20"/>
                      <w:szCs w:val="20"/>
                    </w:rPr>
                    <w:t>保教育，严禁在周围地表水体内清洗车辆、建筑材料等。</w:t>
                  </w:r>
                </w:p>
              </w:tc>
              <w:tc>
                <w:tcPr>
                  <w:tcW w:w="730" w:type="dxa"/>
                  <w:vMerge w:val="continue"/>
                  <w:tcBorders>
                    <w:top w:val="nil"/>
                    <w:bottom w:val="nil"/>
                  </w:tcBorders>
                  <w:vAlign w:val="top"/>
                </w:tcPr>
                <w:p w14:paraId="261E65C0">
                  <w:pPr>
                    <w:rPr>
                      <w:rFonts w:ascii="Arial"/>
                      <w:sz w:val="21"/>
                    </w:rPr>
                  </w:pPr>
                </w:p>
              </w:tc>
              <w:tc>
                <w:tcPr>
                  <w:tcW w:w="695" w:type="dxa"/>
                  <w:vMerge w:val="continue"/>
                  <w:tcBorders>
                    <w:top w:val="nil"/>
                    <w:bottom w:val="nil"/>
                  </w:tcBorders>
                  <w:vAlign w:val="top"/>
                </w:tcPr>
                <w:p w14:paraId="783C2376">
                  <w:pPr>
                    <w:rPr>
                      <w:rFonts w:ascii="Arial"/>
                      <w:sz w:val="21"/>
                    </w:rPr>
                  </w:pPr>
                </w:p>
              </w:tc>
            </w:tr>
            <w:tr w14:paraId="06498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461" w:type="dxa"/>
                  <w:vMerge w:val="continue"/>
                  <w:tcBorders>
                    <w:top w:val="nil"/>
                    <w:bottom w:val="nil"/>
                  </w:tcBorders>
                  <w:textDirection w:val="tbRlV"/>
                  <w:vAlign w:val="top"/>
                </w:tcPr>
                <w:p w14:paraId="23E20B23">
                  <w:pPr>
                    <w:rPr>
                      <w:rFonts w:ascii="Arial"/>
                      <w:sz w:val="21"/>
                    </w:rPr>
                  </w:pPr>
                </w:p>
              </w:tc>
              <w:tc>
                <w:tcPr>
                  <w:tcW w:w="453" w:type="dxa"/>
                  <w:tcBorders>
                    <w:bottom w:val="nil"/>
                  </w:tcBorders>
                  <w:vAlign w:val="top"/>
                </w:tcPr>
                <w:p w14:paraId="2CA112D8">
                  <w:pPr>
                    <w:pStyle w:val="6"/>
                    <w:spacing w:before="56" w:line="213" w:lineRule="auto"/>
                    <w:ind w:left="120"/>
                    <w:rPr>
                      <w:sz w:val="20"/>
                      <w:szCs w:val="20"/>
                    </w:rPr>
                  </w:pPr>
                  <w:r>
                    <w:rPr>
                      <w:spacing w:val="1"/>
                      <w:sz w:val="20"/>
                      <w:szCs w:val="20"/>
                    </w:rPr>
                    <w:t>废</w:t>
                  </w:r>
                </w:p>
              </w:tc>
              <w:tc>
                <w:tcPr>
                  <w:tcW w:w="5662" w:type="dxa"/>
                  <w:tcBorders>
                    <w:bottom w:val="nil"/>
                  </w:tcBorders>
                  <w:vAlign w:val="top"/>
                </w:tcPr>
                <w:p w14:paraId="44C55388">
                  <w:pPr>
                    <w:pStyle w:val="6"/>
                    <w:spacing w:before="56" w:line="213" w:lineRule="auto"/>
                    <w:ind w:left="106"/>
                    <w:rPr>
                      <w:sz w:val="20"/>
                      <w:szCs w:val="20"/>
                    </w:rPr>
                  </w:pPr>
                  <w:r>
                    <w:rPr>
                      <w:spacing w:val="9"/>
                      <w:sz w:val="20"/>
                      <w:szCs w:val="20"/>
                    </w:rPr>
                    <w:t>①施工车辆运输加盖篷布；②临时堆放的渣土有防尘措施并</w:t>
                  </w:r>
                </w:p>
              </w:tc>
              <w:tc>
                <w:tcPr>
                  <w:tcW w:w="730" w:type="dxa"/>
                  <w:vMerge w:val="continue"/>
                  <w:tcBorders>
                    <w:top w:val="nil"/>
                    <w:bottom w:val="nil"/>
                  </w:tcBorders>
                  <w:vAlign w:val="top"/>
                </w:tcPr>
                <w:p w14:paraId="03FA77D0">
                  <w:pPr>
                    <w:rPr>
                      <w:rFonts w:ascii="Arial"/>
                      <w:sz w:val="21"/>
                    </w:rPr>
                  </w:pPr>
                </w:p>
              </w:tc>
              <w:tc>
                <w:tcPr>
                  <w:tcW w:w="695" w:type="dxa"/>
                  <w:vMerge w:val="continue"/>
                  <w:tcBorders>
                    <w:top w:val="nil"/>
                    <w:bottom w:val="nil"/>
                  </w:tcBorders>
                  <w:vAlign w:val="top"/>
                </w:tcPr>
                <w:p w14:paraId="03C61FC9">
                  <w:pPr>
                    <w:rPr>
                      <w:rFonts w:ascii="Arial"/>
                      <w:sz w:val="21"/>
                    </w:rPr>
                  </w:pPr>
                </w:p>
              </w:tc>
            </w:tr>
          </w:tbl>
          <w:p w14:paraId="3D670369">
            <w:pPr>
              <w:spacing w:line="14" w:lineRule="auto"/>
              <w:rPr>
                <w:rFonts w:ascii="Arial"/>
                <w:sz w:val="2"/>
              </w:rPr>
            </w:pPr>
          </w:p>
        </w:tc>
      </w:tr>
    </w:tbl>
    <w:p w14:paraId="08CA0D95">
      <w:pPr>
        <w:rPr>
          <w:rFonts w:ascii="Arial"/>
          <w:sz w:val="21"/>
        </w:rPr>
      </w:pPr>
    </w:p>
    <w:p w14:paraId="17AE6762">
      <w:pPr>
        <w:rPr>
          <w:rFonts w:ascii="Arial" w:hAnsi="Arial" w:eastAsia="Arial" w:cs="Arial"/>
          <w:sz w:val="21"/>
          <w:szCs w:val="21"/>
        </w:rPr>
        <w:sectPr>
          <w:footerReference r:id="rId167" w:type="default"/>
          <w:pgSz w:w="11907" w:h="16840"/>
          <w:pgMar w:top="1431" w:right="1453" w:bottom="1278" w:left="1453" w:header="0" w:footer="1116" w:gutter="0"/>
          <w:cols w:space="720" w:num="1"/>
        </w:sectPr>
      </w:pPr>
    </w:p>
    <w:p w14:paraId="27A87EC8">
      <w:pPr>
        <w:spacing w:line="99" w:lineRule="exact"/>
      </w:pP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8237"/>
      </w:tblGrid>
      <w:tr w14:paraId="64722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32" w:hRule="atLeast"/>
        </w:trPr>
        <w:tc>
          <w:tcPr>
            <w:tcW w:w="748" w:type="dxa"/>
            <w:tcBorders>
              <w:bottom w:val="single" w:color="000000" w:sz="4" w:space="0"/>
              <w:right w:val="single" w:color="000000" w:sz="2" w:space="0"/>
            </w:tcBorders>
            <w:vAlign w:val="top"/>
          </w:tcPr>
          <w:p w14:paraId="37BC44B0">
            <w:pPr>
              <w:rPr>
                <w:rFonts w:ascii="Arial"/>
                <w:sz w:val="21"/>
              </w:rPr>
            </w:pPr>
          </w:p>
        </w:tc>
        <w:tc>
          <w:tcPr>
            <w:tcW w:w="8237" w:type="dxa"/>
            <w:tcBorders>
              <w:left w:val="single" w:color="000000" w:sz="2" w:space="0"/>
              <w:bottom w:val="single" w:color="000000" w:sz="4" w:space="0"/>
            </w:tcBorders>
            <w:vAlign w:val="top"/>
          </w:tcPr>
          <w:tbl>
            <w:tblPr>
              <w:tblStyle w:val="5"/>
              <w:tblW w:w="8001"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1"/>
              <w:gridCol w:w="453"/>
              <w:gridCol w:w="5662"/>
              <w:gridCol w:w="730"/>
              <w:gridCol w:w="695"/>
            </w:tblGrid>
            <w:tr w14:paraId="442A2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trPr>
              <w:tc>
                <w:tcPr>
                  <w:tcW w:w="461" w:type="dxa"/>
                  <w:vMerge w:val="restart"/>
                  <w:tcBorders>
                    <w:top w:val="nil"/>
                    <w:bottom w:val="nil"/>
                  </w:tcBorders>
                  <w:vAlign w:val="top"/>
                </w:tcPr>
                <w:p w14:paraId="65E89F78">
                  <w:pPr>
                    <w:rPr>
                      <w:rFonts w:ascii="Arial"/>
                      <w:sz w:val="21"/>
                    </w:rPr>
                  </w:pPr>
                </w:p>
              </w:tc>
              <w:tc>
                <w:tcPr>
                  <w:tcW w:w="453" w:type="dxa"/>
                  <w:tcBorders>
                    <w:top w:val="nil"/>
                  </w:tcBorders>
                  <w:vAlign w:val="top"/>
                </w:tcPr>
                <w:p w14:paraId="1080238A">
                  <w:pPr>
                    <w:pStyle w:val="6"/>
                    <w:spacing w:before="75" w:line="229" w:lineRule="auto"/>
                    <w:ind w:left="121"/>
                    <w:rPr>
                      <w:sz w:val="20"/>
                      <w:szCs w:val="20"/>
                    </w:rPr>
                  </w:pPr>
                  <w:r>
                    <w:rPr>
                      <w:sz w:val="20"/>
                      <w:szCs w:val="20"/>
                    </w:rPr>
                    <w:t>气</w:t>
                  </w:r>
                </w:p>
              </w:tc>
              <w:tc>
                <w:tcPr>
                  <w:tcW w:w="5662" w:type="dxa"/>
                  <w:tcBorders>
                    <w:top w:val="nil"/>
                  </w:tcBorders>
                  <w:vAlign w:val="top"/>
                </w:tcPr>
                <w:p w14:paraId="0BA2AF77">
                  <w:pPr>
                    <w:pStyle w:val="6"/>
                    <w:spacing w:before="74" w:line="265" w:lineRule="auto"/>
                    <w:ind w:left="106" w:right="99"/>
                    <w:jc w:val="both"/>
                    <w:rPr>
                      <w:sz w:val="20"/>
                      <w:szCs w:val="20"/>
                    </w:rPr>
                  </w:pPr>
                  <w:r>
                    <w:rPr>
                      <w:spacing w:val="9"/>
                      <w:sz w:val="20"/>
                      <w:szCs w:val="20"/>
                    </w:rPr>
                    <w:t>及时清运；③建筑材料存放加盖苫布；施工结束后及时清理</w:t>
                  </w:r>
                  <w:r>
                    <w:rPr>
                      <w:spacing w:val="10"/>
                      <w:sz w:val="20"/>
                      <w:szCs w:val="20"/>
                    </w:rPr>
                    <w:t xml:space="preserve"> </w:t>
                  </w:r>
                  <w:r>
                    <w:rPr>
                      <w:spacing w:val="9"/>
                      <w:sz w:val="20"/>
                      <w:szCs w:val="20"/>
                    </w:rPr>
                    <w:t>平整场地、及时实施地面绿化；④施工运输车辆经过村庄应</w:t>
                  </w:r>
                  <w:r>
                    <w:rPr>
                      <w:spacing w:val="10"/>
                      <w:sz w:val="20"/>
                      <w:szCs w:val="20"/>
                    </w:rPr>
                    <w:t xml:space="preserve"> </w:t>
                  </w:r>
                  <w:r>
                    <w:rPr>
                      <w:spacing w:val="6"/>
                      <w:sz w:val="20"/>
                      <w:szCs w:val="20"/>
                    </w:rPr>
                    <w:t>减速慢行，减少道路扬尘产生；⑤施工结束后</w:t>
                  </w:r>
                  <w:r>
                    <w:rPr>
                      <w:spacing w:val="5"/>
                      <w:sz w:val="20"/>
                      <w:szCs w:val="20"/>
                    </w:rPr>
                    <w:t>，按</w:t>
                  </w:r>
                  <w:r>
                    <w:rPr>
                      <w:rFonts w:ascii="Times New Roman" w:hAnsi="Times New Roman" w:eastAsia="Times New Roman" w:cs="Times New Roman"/>
                      <w:spacing w:val="5"/>
                      <w:sz w:val="20"/>
                      <w:szCs w:val="20"/>
                    </w:rPr>
                    <w:t>“</w:t>
                  </w:r>
                  <w:r>
                    <w:rPr>
                      <w:spacing w:val="5"/>
                      <w:sz w:val="20"/>
                      <w:szCs w:val="20"/>
                    </w:rPr>
                    <w:t>工完、料</w:t>
                  </w:r>
                  <w:r>
                    <w:rPr>
                      <w:sz w:val="20"/>
                      <w:szCs w:val="20"/>
                    </w:rPr>
                    <w:t xml:space="preserve"> </w:t>
                  </w:r>
                  <w:r>
                    <w:rPr>
                      <w:spacing w:val="5"/>
                      <w:sz w:val="20"/>
                      <w:szCs w:val="20"/>
                    </w:rPr>
                    <w:t>尽、场地清</w:t>
                  </w:r>
                  <w:r>
                    <w:rPr>
                      <w:rFonts w:ascii="Times New Roman" w:hAnsi="Times New Roman" w:eastAsia="Times New Roman" w:cs="Times New Roman"/>
                      <w:spacing w:val="5"/>
                      <w:sz w:val="20"/>
                      <w:szCs w:val="20"/>
                    </w:rPr>
                    <w:t>”</w:t>
                  </w:r>
                  <w:r>
                    <w:rPr>
                      <w:spacing w:val="5"/>
                      <w:sz w:val="20"/>
                      <w:szCs w:val="20"/>
                    </w:rPr>
                    <w:t>的原则立即进行迹地恢复。⑥食堂油烟经抽油烟</w:t>
                  </w:r>
                  <w:r>
                    <w:rPr>
                      <w:spacing w:val="18"/>
                      <w:sz w:val="20"/>
                      <w:szCs w:val="20"/>
                    </w:rPr>
                    <w:t xml:space="preserve"> </w:t>
                  </w:r>
                  <w:r>
                    <w:rPr>
                      <w:spacing w:val="8"/>
                      <w:sz w:val="20"/>
                      <w:szCs w:val="20"/>
                    </w:rPr>
                    <w:t>机处理后，通过专用油烟管道排放。</w:t>
                  </w:r>
                </w:p>
              </w:tc>
              <w:tc>
                <w:tcPr>
                  <w:tcW w:w="730" w:type="dxa"/>
                  <w:vMerge w:val="restart"/>
                  <w:tcBorders>
                    <w:top w:val="nil"/>
                    <w:bottom w:val="nil"/>
                  </w:tcBorders>
                  <w:vAlign w:val="top"/>
                </w:tcPr>
                <w:p w14:paraId="51BCBAF7">
                  <w:pPr>
                    <w:rPr>
                      <w:rFonts w:ascii="Arial"/>
                      <w:sz w:val="21"/>
                    </w:rPr>
                  </w:pPr>
                </w:p>
              </w:tc>
              <w:tc>
                <w:tcPr>
                  <w:tcW w:w="695" w:type="dxa"/>
                  <w:vMerge w:val="restart"/>
                  <w:tcBorders>
                    <w:top w:val="nil"/>
                    <w:bottom w:val="nil"/>
                  </w:tcBorders>
                  <w:vAlign w:val="top"/>
                </w:tcPr>
                <w:p w14:paraId="7BA01B46">
                  <w:pPr>
                    <w:rPr>
                      <w:rFonts w:ascii="Arial"/>
                      <w:sz w:val="21"/>
                    </w:rPr>
                  </w:pPr>
                </w:p>
              </w:tc>
            </w:tr>
            <w:tr w14:paraId="11110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9" w:hRule="atLeast"/>
              </w:trPr>
              <w:tc>
                <w:tcPr>
                  <w:tcW w:w="461" w:type="dxa"/>
                  <w:vMerge w:val="continue"/>
                  <w:tcBorders>
                    <w:top w:val="nil"/>
                    <w:bottom w:val="nil"/>
                  </w:tcBorders>
                  <w:vAlign w:val="top"/>
                </w:tcPr>
                <w:p w14:paraId="235E91BC">
                  <w:pPr>
                    <w:rPr>
                      <w:rFonts w:ascii="Arial"/>
                      <w:sz w:val="21"/>
                    </w:rPr>
                  </w:pPr>
                </w:p>
              </w:tc>
              <w:tc>
                <w:tcPr>
                  <w:tcW w:w="453" w:type="dxa"/>
                  <w:textDirection w:val="tbRlV"/>
                  <w:vAlign w:val="top"/>
                </w:tcPr>
                <w:p w14:paraId="799EC568">
                  <w:pPr>
                    <w:pStyle w:val="6"/>
                    <w:spacing w:before="120" w:line="213" w:lineRule="auto"/>
                    <w:ind w:left="1558"/>
                    <w:rPr>
                      <w:sz w:val="20"/>
                      <w:szCs w:val="20"/>
                    </w:rPr>
                  </w:pPr>
                  <w:r>
                    <w:rPr>
                      <w:spacing w:val="8"/>
                      <w:sz w:val="20"/>
                      <w:szCs w:val="20"/>
                    </w:rPr>
                    <w:t>噪</w:t>
                  </w:r>
                  <w:r>
                    <w:rPr>
                      <w:spacing w:val="-9"/>
                      <w:sz w:val="20"/>
                      <w:szCs w:val="20"/>
                    </w:rPr>
                    <w:t xml:space="preserve"> </w:t>
                  </w:r>
                  <w:r>
                    <w:rPr>
                      <w:spacing w:val="8"/>
                      <w:sz w:val="20"/>
                      <w:szCs w:val="20"/>
                    </w:rPr>
                    <w:t>声</w:t>
                  </w:r>
                </w:p>
              </w:tc>
              <w:tc>
                <w:tcPr>
                  <w:tcW w:w="5662" w:type="dxa"/>
                  <w:vAlign w:val="top"/>
                </w:tcPr>
                <w:p w14:paraId="1E4E773E">
                  <w:pPr>
                    <w:pStyle w:val="6"/>
                    <w:spacing w:before="59" w:line="260" w:lineRule="auto"/>
                    <w:ind w:left="106" w:right="100"/>
                    <w:rPr>
                      <w:sz w:val="20"/>
                      <w:szCs w:val="20"/>
                    </w:rPr>
                  </w:pPr>
                  <w:r>
                    <w:rPr>
                      <w:spacing w:val="9"/>
                      <w:sz w:val="20"/>
                      <w:szCs w:val="20"/>
                    </w:rPr>
                    <w:t>①尽量采用低噪声施工机械，项目施工所用的施工机械设备</w:t>
                  </w:r>
                  <w:r>
                    <w:rPr>
                      <w:spacing w:val="10"/>
                      <w:sz w:val="20"/>
                      <w:szCs w:val="20"/>
                    </w:rPr>
                    <w:t xml:space="preserve"> </w:t>
                  </w:r>
                  <w:r>
                    <w:rPr>
                      <w:spacing w:val="9"/>
                      <w:sz w:val="20"/>
                      <w:szCs w:val="20"/>
                    </w:rPr>
                    <w:t>应事先对其常规工作状态下的噪声进行测量，超过国家标准</w:t>
                  </w:r>
                  <w:r>
                    <w:rPr>
                      <w:spacing w:val="7"/>
                      <w:sz w:val="20"/>
                      <w:szCs w:val="20"/>
                    </w:rPr>
                    <w:t xml:space="preserve"> </w:t>
                  </w:r>
                  <w:r>
                    <w:rPr>
                      <w:spacing w:val="8"/>
                      <w:sz w:val="20"/>
                      <w:szCs w:val="20"/>
                    </w:rPr>
                    <w:t>的机械应禁止入场施工；</w:t>
                  </w:r>
                </w:p>
                <w:p w14:paraId="7ED06063">
                  <w:pPr>
                    <w:pStyle w:val="6"/>
                    <w:spacing w:before="56" w:line="268" w:lineRule="auto"/>
                    <w:ind w:left="106" w:right="98" w:hanging="1"/>
                    <w:rPr>
                      <w:sz w:val="20"/>
                      <w:szCs w:val="20"/>
                    </w:rPr>
                  </w:pPr>
                  <w:r>
                    <w:rPr>
                      <w:spacing w:val="7"/>
                      <w:sz w:val="20"/>
                      <w:szCs w:val="20"/>
                    </w:rPr>
                    <w:t>②临近区块</w:t>
                  </w:r>
                  <w:r>
                    <w:rPr>
                      <w:spacing w:val="-20"/>
                      <w:sz w:val="20"/>
                      <w:szCs w:val="20"/>
                    </w:rPr>
                    <w:t xml:space="preserve"> </w:t>
                  </w:r>
                  <w:r>
                    <w:rPr>
                      <w:rFonts w:ascii="Times New Roman" w:hAnsi="Times New Roman" w:eastAsia="Times New Roman" w:cs="Times New Roman"/>
                      <w:spacing w:val="7"/>
                      <w:sz w:val="20"/>
                      <w:szCs w:val="20"/>
                    </w:rPr>
                    <w:t>14</w:t>
                  </w:r>
                  <w:r>
                    <w:rPr>
                      <w:rFonts w:ascii="Times New Roman" w:hAnsi="Times New Roman" w:eastAsia="Times New Roman" w:cs="Times New Roman"/>
                      <w:spacing w:val="31"/>
                      <w:sz w:val="20"/>
                      <w:szCs w:val="20"/>
                    </w:rPr>
                    <w:t xml:space="preserve"> </w:t>
                  </w:r>
                  <w:r>
                    <w:rPr>
                      <w:spacing w:val="7"/>
                      <w:sz w:val="20"/>
                      <w:szCs w:val="20"/>
                    </w:rPr>
                    <w:t>附近的水冒天散户、</w:t>
                  </w:r>
                  <w:r>
                    <w:rPr>
                      <w:rFonts w:ascii="Times New Roman" w:hAnsi="Times New Roman" w:eastAsia="Times New Roman" w:cs="Times New Roman"/>
                      <w:spacing w:val="7"/>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16"/>
                      <w:sz w:val="20"/>
                      <w:szCs w:val="20"/>
                    </w:rPr>
                    <w:t xml:space="preserve"> </w:t>
                  </w:r>
                  <w:r>
                    <w:rPr>
                      <w:spacing w:val="7"/>
                      <w:sz w:val="20"/>
                      <w:szCs w:val="20"/>
                    </w:rPr>
                    <w:t>集电线路</w:t>
                  </w:r>
                  <w:r>
                    <w:rPr>
                      <w:spacing w:val="-42"/>
                      <w:sz w:val="20"/>
                      <w:szCs w:val="20"/>
                    </w:rPr>
                    <w:t xml:space="preserve"> </w:t>
                  </w:r>
                  <w:r>
                    <w:rPr>
                      <w:rFonts w:ascii="Times New Roman" w:hAnsi="Times New Roman" w:eastAsia="Times New Roman" w:cs="Times New Roman"/>
                      <w:spacing w:val="7"/>
                      <w:sz w:val="20"/>
                      <w:szCs w:val="20"/>
                    </w:rPr>
                    <w:t>B</w:t>
                  </w:r>
                  <w:r>
                    <w:rPr>
                      <w:rFonts w:ascii="Times New Roman" w:hAnsi="Times New Roman" w:eastAsia="Times New Roman" w:cs="Times New Roman"/>
                      <w:spacing w:val="37"/>
                      <w:sz w:val="20"/>
                      <w:szCs w:val="20"/>
                    </w:rPr>
                    <w:t xml:space="preserve"> </w:t>
                  </w:r>
                  <w:r>
                    <w:rPr>
                      <w:spacing w:val="7"/>
                      <w:sz w:val="20"/>
                      <w:szCs w:val="20"/>
                    </w:rPr>
                    <w:t>回</w:t>
                  </w:r>
                  <w:r>
                    <w:rPr>
                      <w:spacing w:val="-30"/>
                      <w:sz w:val="20"/>
                      <w:szCs w:val="20"/>
                    </w:rPr>
                    <w:t xml:space="preserve"> </w:t>
                  </w:r>
                  <w:r>
                    <w:rPr>
                      <w:rFonts w:ascii="Times New Roman" w:hAnsi="Times New Roman" w:eastAsia="Times New Roman" w:cs="Times New Roman"/>
                      <w:spacing w:val="7"/>
                      <w:sz w:val="20"/>
                      <w:szCs w:val="20"/>
                    </w:rPr>
                    <w:t>8#</w:t>
                  </w:r>
                  <w:r>
                    <w:rPr>
                      <w:rFonts w:ascii="Times New Roman" w:hAnsi="Times New Roman" w:eastAsia="Times New Roman" w:cs="Times New Roman"/>
                      <w:sz w:val="20"/>
                      <w:szCs w:val="20"/>
                    </w:rPr>
                    <w:t xml:space="preserve"> </w:t>
                  </w:r>
                  <w:r>
                    <w:rPr>
                      <w:spacing w:val="8"/>
                      <w:sz w:val="20"/>
                      <w:szCs w:val="20"/>
                    </w:rPr>
                    <w:t>塔基南侧鲁纳散户、区块</w:t>
                  </w:r>
                  <w:r>
                    <w:rPr>
                      <w:spacing w:val="-20"/>
                      <w:sz w:val="20"/>
                      <w:szCs w:val="20"/>
                    </w:rPr>
                    <w:t xml:space="preserve"> </w:t>
                  </w:r>
                  <w:r>
                    <w:rPr>
                      <w:rFonts w:ascii="Times New Roman" w:hAnsi="Times New Roman" w:eastAsia="Times New Roman" w:cs="Times New Roman"/>
                      <w:spacing w:val="8"/>
                      <w:sz w:val="20"/>
                      <w:szCs w:val="20"/>
                    </w:rPr>
                    <w:t xml:space="preserve">13 </w:t>
                  </w:r>
                  <w:r>
                    <w:rPr>
                      <w:spacing w:val="8"/>
                      <w:sz w:val="20"/>
                      <w:szCs w:val="20"/>
                    </w:rPr>
                    <w:t>箱变</w:t>
                  </w:r>
                  <w:r>
                    <w:rPr>
                      <w:spacing w:val="-39"/>
                      <w:sz w:val="20"/>
                      <w:szCs w:val="20"/>
                    </w:rPr>
                    <w:t xml:space="preserve"> </w:t>
                  </w:r>
                  <w:r>
                    <w:rPr>
                      <w:rFonts w:ascii="Times New Roman" w:hAnsi="Times New Roman" w:eastAsia="Times New Roman" w:cs="Times New Roman"/>
                      <w:spacing w:val="8"/>
                      <w:sz w:val="20"/>
                      <w:szCs w:val="20"/>
                    </w:rPr>
                    <w:t xml:space="preserve">T13 </w:t>
                  </w:r>
                  <w:r>
                    <w:rPr>
                      <w:spacing w:val="8"/>
                      <w:sz w:val="20"/>
                      <w:szCs w:val="20"/>
                    </w:rPr>
                    <w:t>北侧散</w:t>
                  </w:r>
                  <w:r>
                    <w:rPr>
                      <w:spacing w:val="7"/>
                      <w:sz w:val="20"/>
                      <w:szCs w:val="20"/>
                    </w:rPr>
                    <w:t>户（</w:t>
                  </w:r>
                  <w:r>
                    <w:rPr>
                      <w:rFonts w:ascii="Times New Roman" w:hAnsi="Times New Roman" w:eastAsia="Times New Roman" w:cs="Times New Roman"/>
                      <w:spacing w:val="7"/>
                      <w:sz w:val="20"/>
                      <w:szCs w:val="20"/>
                    </w:rPr>
                    <w:t>N3</w:t>
                  </w:r>
                  <w:r>
                    <w:rPr>
                      <w:spacing w:val="7"/>
                      <w:sz w:val="20"/>
                      <w:szCs w:val="20"/>
                    </w:rPr>
                    <w:t>）、区</w:t>
                  </w:r>
                  <w:r>
                    <w:rPr>
                      <w:sz w:val="20"/>
                      <w:szCs w:val="20"/>
                    </w:rPr>
                    <w:t xml:space="preserve"> </w:t>
                  </w:r>
                  <w:r>
                    <w:rPr>
                      <w:spacing w:val="7"/>
                      <w:sz w:val="20"/>
                      <w:szCs w:val="20"/>
                    </w:rPr>
                    <w:t>块</w:t>
                  </w:r>
                  <w:r>
                    <w:rPr>
                      <w:spacing w:val="-22"/>
                      <w:sz w:val="20"/>
                      <w:szCs w:val="20"/>
                    </w:rPr>
                    <w:t xml:space="preserve"> </w:t>
                  </w:r>
                  <w:r>
                    <w:rPr>
                      <w:rFonts w:ascii="Times New Roman" w:hAnsi="Times New Roman" w:eastAsia="Times New Roman" w:cs="Times New Roman"/>
                      <w:spacing w:val="7"/>
                      <w:sz w:val="20"/>
                      <w:szCs w:val="20"/>
                    </w:rPr>
                    <w:t>5</w:t>
                  </w:r>
                  <w:r>
                    <w:rPr>
                      <w:rFonts w:ascii="Times New Roman" w:hAnsi="Times New Roman" w:eastAsia="Times New Roman" w:cs="Times New Roman"/>
                      <w:spacing w:val="18"/>
                      <w:w w:val="101"/>
                      <w:sz w:val="20"/>
                      <w:szCs w:val="20"/>
                    </w:rPr>
                    <w:t xml:space="preserve"> </w:t>
                  </w:r>
                  <w:r>
                    <w:rPr>
                      <w:spacing w:val="7"/>
                      <w:sz w:val="20"/>
                      <w:szCs w:val="20"/>
                    </w:rPr>
                    <w:t>箱变</w:t>
                  </w:r>
                  <w:r>
                    <w:rPr>
                      <w:spacing w:val="-39"/>
                      <w:sz w:val="20"/>
                      <w:szCs w:val="20"/>
                    </w:rPr>
                    <w:t xml:space="preserve"> </w:t>
                  </w:r>
                  <w:r>
                    <w:rPr>
                      <w:rFonts w:ascii="Times New Roman" w:hAnsi="Times New Roman" w:eastAsia="Times New Roman" w:cs="Times New Roman"/>
                      <w:spacing w:val="7"/>
                      <w:sz w:val="20"/>
                      <w:szCs w:val="20"/>
                    </w:rPr>
                    <w:t>T5</w:t>
                  </w:r>
                  <w:r>
                    <w:rPr>
                      <w:rFonts w:ascii="Times New Roman" w:hAnsi="Times New Roman" w:eastAsia="Times New Roman" w:cs="Times New Roman"/>
                      <w:spacing w:val="19"/>
                      <w:w w:val="101"/>
                      <w:sz w:val="20"/>
                      <w:szCs w:val="20"/>
                    </w:rPr>
                    <w:t xml:space="preserve"> </w:t>
                  </w:r>
                  <w:r>
                    <w:rPr>
                      <w:spacing w:val="7"/>
                      <w:sz w:val="20"/>
                      <w:szCs w:val="20"/>
                    </w:rPr>
                    <w:t>西侧散户、区块</w:t>
                  </w:r>
                  <w:r>
                    <w:rPr>
                      <w:spacing w:val="-30"/>
                      <w:sz w:val="20"/>
                      <w:szCs w:val="20"/>
                    </w:rPr>
                    <w:t xml:space="preserve"> </w:t>
                  </w:r>
                  <w:r>
                    <w:rPr>
                      <w:rFonts w:ascii="Times New Roman" w:hAnsi="Times New Roman" w:eastAsia="Times New Roman" w:cs="Times New Roman"/>
                      <w:spacing w:val="7"/>
                      <w:sz w:val="20"/>
                      <w:szCs w:val="20"/>
                    </w:rPr>
                    <w:t>8</w:t>
                  </w:r>
                  <w:r>
                    <w:rPr>
                      <w:rFonts w:ascii="Times New Roman" w:hAnsi="Times New Roman" w:eastAsia="Times New Roman" w:cs="Times New Roman"/>
                      <w:spacing w:val="40"/>
                      <w:sz w:val="20"/>
                      <w:szCs w:val="20"/>
                    </w:rPr>
                    <w:t xml:space="preserve"> </w:t>
                  </w:r>
                  <w:r>
                    <w:rPr>
                      <w:spacing w:val="7"/>
                      <w:sz w:val="20"/>
                      <w:szCs w:val="20"/>
                    </w:rPr>
                    <w:t>内畜牧场施工时设置临时移</w:t>
                  </w:r>
                  <w:r>
                    <w:rPr>
                      <w:sz w:val="20"/>
                      <w:szCs w:val="20"/>
                    </w:rPr>
                    <w:t xml:space="preserve"> </w:t>
                  </w:r>
                  <w:r>
                    <w:rPr>
                      <w:spacing w:val="9"/>
                      <w:sz w:val="20"/>
                      <w:szCs w:val="20"/>
                    </w:rPr>
                    <w:t>动声屏障，夜间禁止施工，因特殊需要必须连续作业的，施 工单位必须持有关主管部门的证明向生态环境局登记备案，</w:t>
                  </w:r>
                  <w:r>
                    <w:rPr>
                      <w:spacing w:val="10"/>
                      <w:sz w:val="20"/>
                      <w:szCs w:val="20"/>
                    </w:rPr>
                    <w:t xml:space="preserve"> </w:t>
                  </w:r>
                  <w:r>
                    <w:rPr>
                      <w:spacing w:val="6"/>
                      <w:sz w:val="20"/>
                      <w:szCs w:val="20"/>
                    </w:rPr>
                    <w:t>并于连续施工之日</w:t>
                  </w:r>
                  <w:r>
                    <w:rPr>
                      <w:spacing w:val="-7"/>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6"/>
                      <w:w w:val="101"/>
                      <w:sz w:val="20"/>
                      <w:szCs w:val="20"/>
                    </w:rPr>
                    <w:t xml:space="preserve"> </w:t>
                  </w:r>
                  <w:r>
                    <w:rPr>
                      <w:spacing w:val="6"/>
                      <w:sz w:val="20"/>
                      <w:szCs w:val="20"/>
                    </w:rPr>
                    <w:t>天前公告环境保护目标；</w:t>
                  </w:r>
                </w:p>
                <w:p w14:paraId="0A00C3D8">
                  <w:pPr>
                    <w:pStyle w:val="6"/>
                    <w:spacing w:before="55" w:line="225" w:lineRule="auto"/>
                    <w:ind w:left="105"/>
                    <w:rPr>
                      <w:sz w:val="20"/>
                      <w:szCs w:val="20"/>
                    </w:rPr>
                  </w:pPr>
                  <w:r>
                    <w:rPr>
                      <w:spacing w:val="9"/>
                      <w:sz w:val="20"/>
                      <w:szCs w:val="20"/>
                    </w:rPr>
                    <w:t>③对施工机械进行维护，减小施工机械的施工噪声；</w:t>
                  </w:r>
                </w:p>
                <w:p w14:paraId="513FDA78">
                  <w:pPr>
                    <w:pStyle w:val="6"/>
                    <w:spacing w:before="56" w:line="245" w:lineRule="auto"/>
                    <w:ind w:left="106" w:right="102" w:hanging="1"/>
                    <w:rPr>
                      <w:sz w:val="20"/>
                      <w:szCs w:val="20"/>
                    </w:rPr>
                  </w:pPr>
                  <w:r>
                    <w:rPr>
                      <w:spacing w:val="9"/>
                      <w:sz w:val="20"/>
                      <w:szCs w:val="20"/>
                    </w:rPr>
                    <w:t xml:space="preserve">④在进行物料运输时，应合理安排运输时间，经过敏感点时 </w:t>
                  </w:r>
                  <w:r>
                    <w:rPr>
                      <w:spacing w:val="7"/>
                      <w:sz w:val="20"/>
                      <w:szCs w:val="20"/>
                    </w:rPr>
                    <w:t>应低速、禁鸣。</w:t>
                  </w:r>
                </w:p>
              </w:tc>
              <w:tc>
                <w:tcPr>
                  <w:tcW w:w="730" w:type="dxa"/>
                  <w:vMerge w:val="continue"/>
                  <w:tcBorders>
                    <w:top w:val="nil"/>
                    <w:bottom w:val="nil"/>
                  </w:tcBorders>
                  <w:vAlign w:val="top"/>
                </w:tcPr>
                <w:p w14:paraId="4C815EC1">
                  <w:pPr>
                    <w:rPr>
                      <w:rFonts w:ascii="Arial"/>
                      <w:sz w:val="21"/>
                    </w:rPr>
                  </w:pPr>
                </w:p>
              </w:tc>
              <w:tc>
                <w:tcPr>
                  <w:tcW w:w="695" w:type="dxa"/>
                  <w:vMerge w:val="continue"/>
                  <w:tcBorders>
                    <w:top w:val="nil"/>
                    <w:bottom w:val="nil"/>
                  </w:tcBorders>
                  <w:vAlign w:val="top"/>
                </w:tcPr>
                <w:p w14:paraId="0CCE6131">
                  <w:pPr>
                    <w:rPr>
                      <w:rFonts w:ascii="Arial"/>
                      <w:sz w:val="21"/>
                    </w:rPr>
                  </w:pPr>
                </w:p>
              </w:tc>
            </w:tr>
            <w:tr w14:paraId="41DB7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0" w:hRule="atLeast"/>
              </w:trPr>
              <w:tc>
                <w:tcPr>
                  <w:tcW w:w="461" w:type="dxa"/>
                  <w:vMerge w:val="continue"/>
                  <w:tcBorders>
                    <w:top w:val="nil"/>
                    <w:bottom w:val="nil"/>
                  </w:tcBorders>
                  <w:vAlign w:val="top"/>
                </w:tcPr>
                <w:p w14:paraId="3C2E9906">
                  <w:pPr>
                    <w:rPr>
                      <w:rFonts w:ascii="Arial"/>
                      <w:sz w:val="21"/>
                    </w:rPr>
                  </w:pPr>
                </w:p>
              </w:tc>
              <w:tc>
                <w:tcPr>
                  <w:tcW w:w="453" w:type="dxa"/>
                  <w:textDirection w:val="tbRlV"/>
                  <w:vAlign w:val="top"/>
                </w:tcPr>
                <w:p w14:paraId="73F4F7C1">
                  <w:pPr>
                    <w:pStyle w:val="6"/>
                    <w:spacing w:before="121" w:line="217" w:lineRule="auto"/>
                    <w:ind w:left="1562"/>
                    <w:rPr>
                      <w:sz w:val="20"/>
                      <w:szCs w:val="20"/>
                    </w:rPr>
                  </w:pPr>
                  <w:r>
                    <w:rPr>
                      <w:spacing w:val="8"/>
                      <w:sz w:val="20"/>
                      <w:szCs w:val="20"/>
                    </w:rPr>
                    <w:t>固</w:t>
                  </w:r>
                  <w:r>
                    <w:rPr>
                      <w:spacing w:val="-9"/>
                      <w:sz w:val="20"/>
                      <w:szCs w:val="20"/>
                    </w:rPr>
                    <w:t xml:space="preserve"> </w:t>
                  </w:r>
                  <w:r>
                    <w:rPr>
                      <w:spacing w:val="8"/>
                      <w:sz w:val="20"/>
                      <w:szCs w:val="20"/>
                    </w:rPr>
                    <w:t>废</w:t>
                  </w:r>
                </w:p>
              </w:tc>
              <w:tc>
                <w:tcPr>
                  <w:tcW w:w="5662" w:type="dxa"/>
                  <w:vAlign w:val="top"/>
                </w:tcPr>
                <w:p w14:paraId="18294227">
                  <w:pPr>
                    <w:pStyle w:val="6"/>
                    <w:spacing w:before="63" w:line="261" w:lineRule="auto"/>
                    <w:ind w:left="105" w:right="100"/>
                    <w:rPr>
                      <w:sz w:val="20"/>
                      <w:szCs w:val="20"/>
                    </w:rPr>
                  </w:pPr>
                  <w:r>
                    <w:rPr>
                      <w:spacing w:val="18"/>
                      <w:sz w:val="20"/>
                      <w:szCs w:val="20"/>
                    </w:rPr>
                    <w:t>①建筑垃圾分类收集，能利用部分外售收购</w:t>
                  </w:r>
                  <w:r>
                    <w:rPr>
                      <w:spacing w:val="17"/>
                      <w:sz w:val="20"/>
                      <w:szCs w:val="20"/>
                    </w:rPr>
                    <w:t>商进行回收利</w:t>
                  </w:r>
                  <w:r>
                    <w:rPr>
                      <w:sz w:val="20"/>
                      <w:szCs w:val="20"/>
                    </w:rPr>
                    <w:t xml:space="preserve"> </w:t>
                  </w:r>
                  <w:r>
                    <w:rPr>
                      <w:spacing w:val="17"/>
                      <w:sz w:val="20"/>
                      <w:szCs w:val="20"/>
                    </w:rPr>
                    <w:t>用，不可回收部分委托施工单位清运至合法弃渣场规范处</w:t>
                  </w:r>
                  <w:r>
                    <w:rPr>
                      <w:spacing w:val="18"/>
                      <w:sz w:val="20"/>
                      <w:szCs w:val="20"/>
                    </w:rPr>
                    <w:t xml:space="preserve"> </w:t>
                  </w:r>
                  <w:r>
                    <w:rPr>
                      <w:spacing w:val="1"/>
                      <w:sz w:val="20"/>
                      <w:szCs w:val="20"/>
                    </w:rPr>
                    <w:t>置；</w:t>
                  </w:r>
                </w:p>
                <w:p w14:paraId="5C5DF772">
                  <w:pPr>
                    <w:pStyle w:val="6"/>
                    <w:spacing w:before="52" w:line="260" w:lineRule="auto"/>
                    <w:ind w:left="108" w:right="99" w:hanging="3"/>
                    <w:rPr>
                      <w:sz w:val="20"/>
                      <w:szCs w:val="20"/>
                    </w:rPr>
                  </w:pPr>
                  <w:r>
                    <w:rPr>
                      <w:spacing w:val="9"/>
                      <w:sz w:val="20"/>
                      <w:szCs w:val="20"/>
                    </w:rPr>
                    <w:t>②生活垃圾在施工场地设置临时生活垃圾桶，对施工人员的 生活垃圾进行收集，垃圾实行</w:t>
                  </w:r>
                  <w:r>
                    <w:rPr>
                      <w:rFonts w:ascii="Times New Roman" w:hAnsi="Times New Roman" w:eastAsia="Times New Roman" w:cs="Times New Roman"/>
                      <w:spacing w:val="9"/>
                      <w:sz w:val="20"/>
                      <w:szCs w:val="20"/>
                    </w:rPr>
                    <w:t>“</w:t>
                  </w:r>
                  <w:r>
                    <w:rPr>
                      <w:spacing w:val="9"/>
                      <w:sz w:val="20"/>
                      <w:szCs w:val="20"/>
                    </w:rPr>
                    <w:t>日产日清</w:t>
                  </w:r>
                  <w:r>
                    <w:rPr>
                      <w:rFonts w:ascii="Times New Roman" w:hAnsi="Times New Roman" w:eastAsia="Times New Roman" w:cs="Times New Roman"/>
                      <w:spacing w:val="9"/>
                      <w:sz w:val="20"/>
                      <w:szCs w:val="20"/>
                    </w:rPr>
                    <w:t>”</w:t>
                  </w:r>
                  <w:r>
                    <w:rPr>
                      <w:rFonts w:ascii="Times New Roman" w:hAnsi="Times New Roman" w:eastAsia="Times New Roman" w:cs="Times New Roman"/>
                      <w:spacing w:val="-24"/>
                      <w:sz w:val="20"/>
                      <w:szCs w:val="20"/>
                    </w:rPr>
                    <w:t xml:space="preserve"> </w:t>
                  </w:r>
                  <w:r>
                    <w:rPr>
                      <w:spacing w:val="9"/>
                      <w:sz w:val="20"/>
                      <w:szCs w:val="20"/>
                    </w:rPr>
                    <w:t>，能回</w:t>
                  </w:r>
                  <w:r>
                    <w:rPr>
                      <w:spacing w:val="8"/>
                      <w:sz w:val="20"/>
                      <w:szCs w:val="20"/>
                    </w:rPr>
                    <w:t>收利用的进</w:t>
                  </w:r>
                  <w:r>
                    <w:rPr>
                      <w:sz w:val="20"/>
                      <w:szCs w:val="20"/>
                    </w:rPr>
                    <w:t xml:space="preserve"> </w:t>
                  </w:r>
                  <w:r>
                    <w:rPr>
                      <w:spacing w:val="9"/>
                      <w:sz w:val="20"/>
                      <w:szCs w:val="20"/>
                    </w:rPr>
                    <w:t>行回收利用，不能回收利用的委托当地环卫部门统一处置；</w:t>
                  </w:r>
                </w:p>
                <w:p w14:paraId="4FE61C70">
                  <w:pPr>
                    <w:pStyle w:val="6"/>
                    <w:spacing w:before="53" w:line="253" w:lineRule="auto"/>
                    <w:ind w:left="105" w:right="100"/>
                    <w:rPr>
                      <w:sz w:val="20"/>
                      <w:szCs w:val="20"/>
                    </w:rPr>
                  </w:pPr>
                  <w:r>
                    <w:rPr>
                      <w:spacing w:val="18"/>
                      <w:sz w:val="20"/>
                      <w:szCs w:val="20"/>
                    </w:rPr>
                    <w:t>③餐厨废物及隔油池废油分类收集后委托有资</w:t>
                  </w:r>
                  <w:r>
                    <w:rPr>
                      <w:spacing w:val="17"/>
                      <w:sz w:val="20"/>
                      <w:szCs w:val="20"/>
                    </w:rPr>
                    <w:t>质的单位处</w:t>
                  </w:r>
                  <w:r>
                    <w:rPr>
                      <w:sz w:val="20"/>
                      <w:szCs w:val="20"/>
                    </w:rPr>
                    <w:t xml:space="preserve"> </w:t>
                  </w:r>
                  <w:r>
                    <w:rPr>
                      <w:spacing w:val="1"/>
                      <w:sz w:val="20"/>
                      <w:szCs w:val="20"/>
                    </w:rPr>
                    <w:t>置；</w:t>
                  </w:r>
                </w:p>
                <w:p w14:paraId="7A7AE2CF">
                  <w:pPr>
                    <w:pStyle w:val="6"/>
                    <w:spacing w:before="51" w:line="252" w:lineRule="auto"/>
                    <w:ind w:left="107" w:right="100" w:hanging="2"/>
                    <w:rPr>
                      <w:sz w:val="20"/>
                      <w:szCs w:val="20"/>
                    </w:rPr>
                  </w:pPr>
                  <w:r>
                    <w:rPr>
                      <w:spacing w:val="18"/>
                      <w:sz w:val="20"/>
                      <w:szCs w:val="20"/>
                    </w:rPr>
                    <w:t>④项目施工期旱厕产生的粪便委托周边村民清</w:t>
                  </w:r>
                  <w:r>
                    <w:rPr>
                      <w:spacing w:val="17"/>
                      <w:sz w:val="20"/>
                      <w:szCs w:val="20"/>
                    </w:rPr>
                    <w:t>掏作为农肥</w:t>
                  </w:r>
                  <w:r>
                    <w:rPr>
                      <w:sz w:val="20"/>
                      <w:szCs w:val="20"/>
                    </w:rPr>
                    <w:t xml:space="preserve"> </w:t>
                  </w:r>
                  <w:r>
                    <w:rPr>
                      <w:spacing w:val="2"/>
                      <w:sz w:val="20"/>
                      <w:szCs w:val="20"/>
                    </w:rPr>
                    <w:t>使用；</w:t>
                  </w:r>
                </w:p>
                <w:p w14:paraId="46151421">
                  <w:pPr>
                    <w:pStyle w:val="6"/>
                    <w:spacing w:before="53" w:line="244" w:lineRule="auto"/>
                    <w:ind w:left="106" w:right="102" w:hanging="1"/>
                    <w:rPr>
                      <w:sz w:val="20"/>
                      <w:szCs w:val="20"/>
                    </w:rPr>
                  </w:pPr>
                  <w:r>
                    <w:rPr>
                      <w:spacing w:val="9"/>
                      <w:sz w:val="20"/>
                      <w:szCs w:val="20"/>
                    </w:rPr>
                    <w:t xml:space="preserve">⑤废弃设备零件经收集后回收利用。包装废物收集后进行分 </w:t>
                  </w:r>
                  <w:r>
                    <w:rPr>
                      <w:spacing w:val="8"/>
                      <w:sz w:val="20"/>
                      <w:szCs w:val="20"/>
                    </w:rPr>
                    <w:t>类，均交由废品回收机构进行循环利用。</w:t>
                  </w:r>
                </w:p>
              </w:tc>
              <w:tc>
                <w:tcPr>
                  <w:tcW w:w="730" w:type="dxa"/>
                  <w:vMerge w:val="continue"/>
                  <w:tcBorders>
                    <w:top w:val="nil"/>
                    <w:bottom w:val="nil"/>
                  </w:tcBorders>
                  <w:vAlign w:val="top"/>
                </w:tcPr>
                <w:p w14:paraId="0797340E">
                  <w:pPr>
                    <w:rPr>
                      <w:rFonts w:ascii="Arial"/>
                      <w:sz w:val="21"/>
                    </w:rPr>
                  </w:pPr>
                </w:p>
              </w:tc>
              <w:tc>
                <w:tcPr>
                  <w:tcW w:w="695" w:type="dxa"/>
                  <w:vMerge w:val="continue"/>
                  <w:tcBorders>
                    <w:top w:val="nil"/>
                    <w:bottom w:val="nil"/>
                  </w:tcBorders>
                  <w:vAlign w:val="top"/>
                </w:tcPr>
                <w:p w14:paraId="3EC54F38">
                  <w:pPr>
                    <w:rPr>
                      <w:rFonts w:ascii="Arial"/>
                      <w:sz w:val="21"/>
                    </w:rPr>
                  </w:pPr>
                </w:p>
              </w:tc>
            </w:tr>
            <w:tr w14:paraId="0E619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461" w:type="dxa"/>
                  <w:vMerge w:val="continue"/>
                  <w:tcBorders>
                    <w:top w:val="nil"/>
                  </w:tcBorders>
                  <w:vAlign w:val="top"/>
                </w:tcPr>
                <w:p w14:paraId="3C97CD96">
                  <w:pPr>
                    <w:rPr>
                      <w:rFonts w:ascii="Arial"/>
                      <w:sz w:val="21"/>
                    </w:rPr>
                  </w:pPr>
                </w:p>
              </w:tc>
              <w:tc>
                <w:tcPr>
                  <w:tcW w:w="453" w:type="dxa"/>
                  <w:textDirection w:val="tbRlV"/>
                  <w:vAlign w:val="top"/>
                </w:tcPr>
                <w:p w14:paraId="7DA21E8A">
                  <w:pPr>
                    <w:pStyle w:val="6"/>
                    <w:spacing w:before="121" w:line="220" w:lineRule="auto"/>
                    <w:ind w:left="516"/>
                    <w:rPr>
                      <w:sz w:val="20"/>
                      <w:szCs w:val="20"/>
                    </w:rPr>
                  </w:pPr>
                  <w:r>
                    <w:rPr>
                      <w:spacing w:val="8"/>
                      <w:sz w:val="20"/>
                      <w:szCs w:val="20"/>
                    </w:rPr>
                    <w:t>生</w:t>
                  </w:r>
                  <w:r>
                    <w:rPr>
                      <w:spacing w:val="-9"/>
                      <w:sz w:val="20"/>
                      <w:szCs w:val="20"/>
                    </w:rPr>
                    <w:t xml:space="preserve"> </w:t>
                  </w:r>
                  <w:r>
                    <w:rPr>
                      <w:spacing w:val="8"/>
                      <w:sz w:val="20"/>
                      <w:szCs w:val="20"/>
                    </w:rPr>
                    <w:t>态</w:t>
                  </w:r>
                </w:p>
              </w:tc>
              <w:tc>
                <w:tcPr>
                  <w:tcW w:w="5662" w:type="dxa"/>
                  <w:vAlign w:val="top"/>
                </w:tcPr>
                <w:p w14:paraId="391384DE">
                  <w:pPr>
                    <w:pStyle w:val="6"/>
                    <w:spacing w:before="68" w:line="252" w:lineRule="auto"/>
                    <w:ind w:left="106" w:right="100"/>
                    <w:rPr>
                      <w:sz w:val="20"/>
                      <w:szCs w:val="20"/>
                    </w:rPr>
                  </w:pPr>
                  <w:r>
                    <w:rPr>
                      <w:spacing w:val="9"/>
                      <w:sz w:val="20"/>
                      <w:szCs w:val="20"/>
                    </w:rPr>
                    <w:t>①禁止施工人员进入非施工占地区域，严禁施工人员破坏工</w:t>
                  </w:r>
                  <w:r>
                    <w:rPr>
                      <w:spacing w:val="10"/>
                      <w:sz w:val="20"/>
                      <w:szCs w:val="20"/>
                    </w:rPr>
                    <w:t xml:space="preserve"> </w:t>
                  </w:r>
                  <w:r>
                    <w:rPr>
                      <w:spacing w:val="9"/>
                      <w:sz w:val="20"/>
                      <w:szCs w:val="20"/>
                    </w:rPr>
                    <w:t>程区域外植被，严禁随意砍伐森林；严禁计划范围外占地。</w:t>
                  </w:r>
                </w:p>
                <w:p w14:paraId="7635E9F3">
                  <w:pPr>
                    <w:pStyle w:val="6"/>
                    <w:spacing w:before="53" w:line="252" w:lineRule="auto"/>
                    <w:ind w:left="106" w:right="90" w:hanging="1"/>
                    <w:rPr>
                      <w:sz w:val="20"/>
                      <w:szCs w:val="20"/>
                    </w:rPr>
                  </w:pPr>
                  <w:r>
                    <w:rPr>
                      <w:spacing w:val="2"/>
                      <w:sz w:val="20"/>
                      <w:szCs w:val="20"/>
                    </w:rPr>
                    <w:t>②严格落实动植物、水土保持措施，对施工中占用的林地和草</w:t>
                  </w:r>
                  <w:r>
                    <w:rPr>
                      <w:spacing w:val="1"/>
                      <w:sz w:val="20"/>
                      <w:szCs w:val="20"/>
                    </w:rPr>
                    <w:t xml:space="preserve"> </w:t>
                  </w:r>
                  <w:r>
                    <w:rPr>
                      <w:spacing w:val="-2"/>
                      <w:sz w:val="20"/>
                      <w:szCs w:val="20"/>
                    </w:rPr>
                    <w:t>地严格按林草部门的要求进行补偿和恢复。</w:t>
                  </w:r>
                </w:p>
                <w:p w14:paraId="2D68AC2B">
                  <w:pPr>
                    <w:pStyle w:val="6"/>
                    <w:spacing w:before="53" w:line="215" w:lineRule="auto"/>
                    <w:ind w:left="105"/>
                    <w:rPr>
                      <w:sz w:val="20"/>
                      <w:szCs w:val="20"/>
                    </w:rPr>
                  </w:pPr>
                  <w:r>
                    <w:rPr>
                      <w:spacing w:val="9"/>
                      <w:sz w:val="20"/>
                      <w:szCs w:val="20"/>
                    </w:rPr>
                    <w:t>③施工结束后，对临时占地及裸露地表进行植被恢复。</w:t>
                  </w:r>
                </w:p>
              </w:tc>
              <w:tc>
                <w:tcPr>
                  <w:tcW w:w="730" w:type="dxa"/>
                  <w:vMerge w:val="continue"/>
                  <w:tcBorders>
                    <w:top w:val="nil"/>
                  </w:tcBorders>
                  <w:vAlign w:val="top"/>
                </w:tcPr>
                <w:p w14:paraId="4845866D">
                  <w:pPr>
                    <w:rPr>
                      <w:rFonts w:ascii="Arial"/>
                      <w:sz w:val="21"/>
                    </w:rPr>
                  </w:pPr>
                </w:p>
              </w:tc>
              <w:tc>
                <w:tcPr>
                  <w:tcW w:w="695" w:type="dxa"/>
                  <w:vMerge w:val="continue"/>
                  <w:tcBorders>
                    <w:top w:val="nil"/>
                  </w:tcBorders>
                  <w:vAlign w:val="top"/>
                </w:tcPr>
                <w:p w14:paraId="48A2E2E5">
                  <w:pPr>
                    <w:rPr>
                      <w:rFonts w:ascii="Arial"/>
                      <w:sz w:val="21"/>
                    </w:rPr>
                  </w:pPr>
                </w:p>
              </w:tc>
            </w:tr>
          </w:tbl>
          <w:p w14:paraId="4D19D3B8">
            <w:pPr>
              <w:pStyle w:val="6"/>
              <w:spacing w:before="37" w:line="220" w:lineRule="auto"/>
              <w:ind w:left="585"/>
            </w:pPr>
            <w:r>
              <w:rPr>
                <w:rFonts w:ascii="Times New Roman" w:hAnsi="Times New Roman" w:eastAsia="Times New Roman" w:cs="Times New Roman"/>
                <w:b/>
                <w:bCs/>
                <w:spacing w:val="7"/>
              </w:rPr>
              <w:t>2</w:t>
            </w:r>
            <w:r>
              <w:rPr>
                <w:rFonts w:ascii="Times New Roman" w:hAnsi="Times New Roman" w:eastAsia="Times New Roman" w:cs="Times New Roman"/>
                <w:b/>
                <w:bCs/>
                <w:spacing w:val="-34"/>
              </w:rPr>
              <w:t xml:space="preserve"> </w:t>
            </w:r>
            <w:r>
              <w:rPr>
                <w:b/>
                <w:bCs/>
                <w:spacing w:val="7"/>
              </w:rPr>
              <w:t>、环境监测计划</w:t>
            </w:r>
          </w:p>
          <w:p w14:paraId="6DEED104">
            <w:pPr>
              <w:pStyle w:val="6"/>
              <w:spacing w:before="179" w:line="345" w:lineRule="auto"/>
              <w:ind w:left="109" w:right="104" w:firstLine="480"/>
            </w:pPr>
            <w:r>
              <w:rPr>
                <w:spacing w:val="3"/>
              </w:rPr>
              <w:t>本项目的环境监测主要是竣工环境保护验收监测，项目运营期环境</w:t>
            </w:r>
            <w:r>
              <w:rPr>
                <w:spacing w:val="2"/>
              </w:rPr>
              <w:t>监测</w:t>
            </w:r>
            <w:r>
              <w:t xml:space="preserve"> </w:t>
            </w:r>
            <w:r>
              <w:rPr>
                <w:spacing w:val="-2"/>
              </w:rPr>
              <w:t>计划详见下表。</w:t>
            </w:r>
          </w:p>
          <w:p w14:paraId="6958A835">
            <w:pPr>
              <w:pStyle w:val="6"/>
              <w:spacing w:before="32" w:line="223" w:lineRule="auto"/>
              <w:ind w:left="2391"/>
              <w:rPr>
                <w:sz w:val="20"/>
                <w:szCs w:val="20"/>
              </w:rPr>
            </w:pPr>
            <w:r>
              <w:rPr>
                <w:b/>
                <w:bCs/>
                <w:spacing w:val="14"/>
                <w:sz w:val="20"/>
                <w:szCs w:val="20"/>
              </w:rPr>
              <w:t>表</w:t>
            </w:r>
            <w:r>
              <w:rPr>
                <w:rFonts w:ascii="Times New Roman" w:hAnsi="Times New Roman" w:eastAsia="Times New Roman" w:cs="Times New Roman"/>
                <w:b/>
                <w:bCs/>
                <w:spacing w:val="14"/>
                <w:sz w:val="20"/>
                <w:szCs w:val="20"/>
              </w:rPr>
              <w:t xml:space="preserve">5-2       </w:t>
            </w:r>
            <w:r>
              <w:rPr>
                <w:b/>
                <w:bCs/>
                <w:spacing w:val="14"/>
                <w:sz w:val="20"/>
                <w:szCs w:val="20"/>
              </w:rPr>
              <w:t>项</w:t>
            </w:r>
            <w:r>
              <w:rPr>
                <w:spacing w:val="-26"/>
                <w:sz w:val="20"/>
                <w:szCs w:val="20"/>
              </w:rPr>
              <w:t xml:space="preserve"> </w:t>
            </w:r>
            <w:r>
              <w:rPr>
                <w:b/>
                <w:bCs/>
                <w:spacing w:val="14"/>
                <w:sz w:val="20"/>
                <w:szCs w:val="20"/>
              </w:rPr>
              <w:t>目运营期环境监测计划</w:t>
            </w:r>
          </w:p>
          <w:tbl>
            <w:tblPr>
              <w:tblStyle w:val="5"/>
              <w:tblW w:w="8016"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2858"/>
              <w:gridCol w:w="1370"/>
              <w:gridCol w:w="2252"/>
              <w:gridCol w:w="953"/>
            </w:tblGrid>
            <w:tr w14:paraId="27A65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83" w:type="dxa"/>
                  <w:vAlign w:val="top"/>
                </w:tcPr>
                <w:p w14:paraId="2479C159">
                  <w:pPr>
                    <w:pStyle w:val="6"/>
                    <w:spacing w:before="36" w:line="234" w:lineRule="auto"/>
                    <w:ind w:left="86" w:right="79"/>
                    <w:rPr>
                      <w:sz w:val="20"/>
                      <w:szCs w:val="20"/>
                    </w:rPr>
                  </w:pPr>
                  <w:r>
                    <w:rPr>
                      <w:b/>
                      <w:bCs/>
                      <w:spacing w:val="3"/>
                      <w:sz w:val="20"/>
                      <w:szCs w:val="20"/>
                    </w:rPr>
                    <w:t>监测</w:t>
                  </w:r>
                  <w:r>
                    <w:rPr>
                      <w:sz w:val="20"/>
                      <w:szCs w:val="20"/>
                    </w:rPr>
                    <w:t xml:space="preserve"> </w:t>
                  </w:r>
                  <w:r>
                    <w:rPr>
                      <w:b/>
                      <w:bCs/>
                      <w:spacing w:val="3"/>
                      <w:sz w:val="20"/>
                      <w:szCs w:val="20"/>
                    </w:rPr>
                    <w:t>要素</w:t>
                  </w:r>
                </w:p>
              </w:tc>
              <w:tc>
                <w:tcPr>
                  <w:tcW w:w="2858" w:type="dxa"/>
                  <w:vAlign w:val="top"/>
                </w:tcPr>
                <w:p w14:paraId="11176103">
                  <w:pPr>
                    <w:pStyle w:val="6"/>
                    <w:spacing w:before="170" w:line="229" w:lineRule="auto"/>
                    <w:ind w:left="1013"/>
                    <w:rPr>
                      <w:sz w:val="20"/>
                      <w:szCs w:val="20"/>
                    </w:rPr>
                  </w:pPr>
                  <w:r>
                    <w:rPr>
                      <w:b/>
                      <w:bCs/>
                      <w:spacing w:val="6"/>
                      <w:sz w:val="20"/>
                      <w:szCs w:val="20"/>
                    </w:rPr>
                    <w:t>监测地点</w:t>
                  </w:r>
                </w:p>
              </w:tc>
              <w:tc>
                <w:tcPr>
                  <w:tcW w:w="1370" w:type="dxa"/>
                  <w:vAlign w:val="top"/>
                </w:tcPr>
                <w:p w14:paraId="5B825C84">
                  <w:pPr>
                    <w:pStyle w:val="6"/>
                    <w:spacing w:before="170" w:line="228" w:lineRule="auto"/>
                    <w:ind w:left="269"/>
                    <w:rPr>
                      <w:sz w:val="20"/>
                      <w:szCs w:val="20"/>
                    </w:rPr>
                  </w:pPr>
                  <w:r>
                    <w:rPr>
                      <w:b/>
                      <w:bCs/>
                      <w:spacing w:val="6"/>
                      <w:sz w:val="20"/>
                      <w:szCs w:val="20"/>
                    </w:rPr>
                    <w:t>监测因子</w:t>
                  </w:r>
                </w:p>
              </w:tc>
              <w:tc>
                <w:tcPr>
                  <w:tcW w:w="2252" w:type="dxa"/>
                  <w:vAlign w:val="top"/>
                </w:tcPr>
                <w:p w14:paraId="401E4613">
                  <w:pPr>
                    <w:pStyle w:val="6"/>
                    <w:spacing w:before="170" w:line="227" w:lineRule="auto"/>
                    <w:ind w:left="711"/>
                    <w:rPr>
                      <w:sz w:val="20"/>
                      <w:szCs w:val="20"/>
                    </w:rPr>
                  </w:pPr>
                  <w:r>
                    <w:rPr>
                      <w:b/>
                      <w:bCs/>
                      <w:spacing w:val="6"/>
                      <w:sz w:val="20"/>
                      <w:szCs w:val="20"/>
                    </w:rPr>
                    <w:t>监测频率</w:t>
                  </w:r>
                </w:p>
              </w:tc>
              <w:tc>
                <w:tcPr>
                  <w:tcW w:w="953" w:type="dxa"/>
                  <w:vAlign w:val="top"/>
                </w:tcPr>
                <w:p w14:paraId="21F19A4D">
                  <w:pPr>
                    <w:pStyle w:val="6"/>
                    <w:spacing w:before="170" w:line="229" w:lineRule="auto"/>
                    <w:ind w:left="60"/>
                    <w:rPr>
                      <w:sz w:val="20"/>
                      <w:szCs w:val="20"/>
                    </w:rPr>
                  </w:pPr>
                  <w:r>
                    <w:rPr>
                      <w:b/>
                      <w:bCs/>
                      <w:spacing w:val="6"/>
                      <w:sz w:val="20"/>
                      <w:szCs w:val="20"/>
                    </w:rPr>
                    <w:t>监测方法</w:t>
                  </w:r>
                </w:p>
              </w:tc>
            </w:tr>
            <w:tr w14:paraId="17705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583" w:type="dxa"/>
                  <w:tcBorders>
                    <w:bottom w:val="nil"/>
                  </w:tcBorders>
                  <w:vAlign w:val="top"/>
                </w:tcPr>
                <w:p w14:paraId="4AC07BD4">
                  <w:pPr>
                    <w:pStyle w:val="6"/>
                    <w:spacing w:before="301" w:line="227" w:lineRule="auto"/>
                    <w:ind w:left="85"/>
                    <w:rPr>
                      <w:sz w:val="20"/>
                      <w:szCs w:val="20"/>
                    </w:rPr>
                  </w:pPr>
                  <w:r>
                    <w:rPr>
                      <w:spacing w:val="5"/>
                      <w:sz w:val="20"/>
                      <w:szCs w:val="20"/>
                    </w:rPr>
                    <w:t>废水</w:t>
                  </w:r>
                </w:p>
              </w:tc>
              <w:tc>
                <w:tcPr>
                  <w:tcW w:w="2858" w:type="dxa"/>
                  <w:tcBorders>
                    <w:bottom w:val="nil"/>
                  </w:tcBorders>
                  <w:vAlign w:val="top"/>
                </w:tcPr>
                <w:p w14:paraId="6FDD4FAD">
                  <w:pPr>
                    <w:pStyle w:val="6"/>
                    <w:spacing w:before="167" w:line="247" w:lineRule="auto"/>
                    <w:ind w:left="1360" w:right="65" w:hanging="1288"/>
                    <w:rPr>
                      <w:sz w:val="20"/>
                      <w:szCs w:val="20"/>
                    </w:rPr>
                  </w:pPr>
                  <w:r>
                    <w:rPr>
                      <w:spacing w:val="8"/>
                      <w:sz w:val="20"/>
                      <w:szCs w:val="20"/>
                    </w:rPr>
                    <w:t>一体化污水处理设施进、出水</w:t>
                  </w:r>
                  <w:r>
                    <w:rPr>
                      <w:spacing w:val="10"/>
                      <w:sz w:val="20"/>
                      <w:szCs w:val="20"/>
                    </w:rPr>
                    <w:t xml:space="preserve"> </w:t>
                  </w:r>
                  <w:r>
                    <w:rPr>
                      <w:sz w:val="20"/>
                      <w:szCs w:val="20"/>
                    </w:rPr>
                    <w:t>口</w:t>
                  </w:r>
                </w:p>
              </w:tc>
              <w:tc>
                <w:tcPr>
                  <w:tcW w:w="1370" w:type="dxa"/>
                  <w:tcBorders>
                    <w:bottom w:val="nil"/>
                  </w:tcBorders>
                  <w:vAlign w:val="top"/>
                </w:tcPr>
                <w:p w14:paraId="4BB74A83">
                  <w:pPr>
                    <w:pStyle w:val="6"/>
                    <w:spacing w:before="65" w:line="188" w:lineRule="auto"/>
                    <w:ind w:left="121"/>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9"/>
                      <w:sz w:val="20"/>
                      <w:szCs w:val="20"/>
                    </w:rPr>
                    <w:t>、</w:t>
                  </w:r>
                  <w:r>
                    <w:rPr>
                      <w:rFonts w:ascii="Times New Roman" w:hAnsi="Times New Roman" w:eastAsia="Times New Roman" w:cs="Times New Roman"/>
                      <w:sz w:val="20"/>
                      <w:szCs w:val="20"/>
                    </w:rPr>
                    <w:t>COD</w:t>
                  </w:r>
                  <w:r>
                    <w:rPr>
                      <w:spacing w:val="9"/>
                      <w:sz w:val="20"/>
                      <w:szCs w:val="20"/>
                    </w:rPr>
                    <w:t>、</w:t>
                  </w:r>
                </w:p>
                <w:p w14:paraId="3DC9E23A">
                  <w:pPr>
                    <w:pStyle w:val="6"/>
                    <w:spacing w:before="31" w:line="228" w:lineRule="auto"/>
                    <w:ind w:left="29"/>
                    <w:rPr>
                      <w:sz w:val="20"/>
                      <w:szCs w:val="20"/>
                    </w:rPr>
                  </w:pPr>
                  <w:r>
                    <w:rPr>
                      <w:rFonts w:ascii="Times New Roman" w:hAnsi="Times New Roman" w:eastAsia="Times New Roman" w:cs="Times New Roman"/>
                      <w:spacing w:val="-3"/>
                      <w:sz w:val="20"/>
                      <w:szCs w:val="20"/>
                    </w:rPr>
                    <w:t>BOD</w:t>
                  </w:r>
                  <w:r>
                    <w:rPr>
                      <w:rFonts w:ascii="Times New Roman" w:hAnsi="Times New Roman" w:eastAsia="Times New Roman" w:cs="Times New Roman"/>
                      <w:spacing w:val="-3"/>
                      <w:position w:val="-1"/>
                      <w:sz w:val="13"/>
                      <w:szCs w:val="13"/>
                    </w:rPr>
                    <w:t>5</w:t>
                  </w:r>
                  <w:r>
                    <w:rPr>
                      <w:rFonts w:ascii="Times New Roman" w:hAnsi="Times New Roman" w:eastAsia="Times New Roman" w:cs="Times New Roman"/>
                      <w:spacing w:val="-7"/>
                      <w:position w:val="-1"/>
                      <w:sz w:val="13"/>
                      <w:szCs w:val="13"/>
                    </w:rPr>
                    <w:t xml:space="preserve"> </w:t>
                  </w:r>
                  <w:r>
                    <w:rPr>
                      <w:spacing w:val="-3"/>
                      <w:sz w:val="20"/>
                      <w:szCs w:val="20"/>
                    </w:rPr>
                    <w:t>、</w:t>
                  </w:r>
                  <w:r>
                    <w:rPr>
                      <w:rFonts w:ascii="Times New Roman" w:hAnsi="Times New Roman" w:eastAsia="Times New Roman" w:cs="Times New Roman"/>
                      <w:spacing w:val="-3"/>
                      <w:sz w:val="20"/>
                      <w:szCs w:val="20"/>
                    </w:rPr>
                    <w:t>SS</w:t>
                  </w:r>
                  <w:r>
                    <w:rPr>
                      <w:spacing w:val="-3"/>
                      <w:sz w:val="20"/>
                      <w:szCs w:val="20"/>
                    </w:rPr>
                    <w:t>、氨</w:t>
                  </w:r>
                </w:p>
                <w:p w14:paraId="6477ACAB">
                  <w:pPr>
                    <w:pStyle w:val="6"/>
                    <w:spacing w:before="26" w:line="211" w:lineRule="auto"/>
                    <w:ind w:left="164"/>
                    <w:rPr>
                      <w:sz w:val="20"/>
                      <w:szCs w:val="20"/>
                    </w:rPr>
                  </w:pPr>
                  <w:r>
                    <w:rPr>
                      <w:spacing w:val="8"/>
                      <w:sz w:val="20"/>
                      <w:szCs w:val="20"/>
                    </w:rPr>
                    <w:t>氮、总磷等</w:t>
                  </w:r>
                </w:p>
              </w:tc>
              <w:tc>
                <w:tcPr>
                  <w:tcW w:w="2252" w:type="dxa"/>
                  <w:tcBorders>
                    <w:bottom w:val="nil"/>
                  </w:tcBorders>
                  <w:vAlign w:val="top"/>
                </w:tcPr>
                <w:p w14:paraId="4D7CCB55">
                  <w:pPr>
                    <w:pStyle w:val="6"/>
                    <w:spacing w:before="166" w:line="239" w:lineRule="auto"/>
                    <w:ind w:left="1033" w:right="75" w:hanging="951"/>
                    <w:rPr>
                      <w:sz w:val="20"/>
                      <w:szCs w:val="20"/>
                    </w:rPr>
                  </w:pPr>
                  <w:r>
                    <w:rPr>
                      <w:spacing w:val="8"/>
                      <w:sz w:val="20"/>
                      <w:szCs w:val="20"/>
                    </w:rPr>
                    <w:t xml:space="preserve">环保竣工验收时监测一 </w:t>
                  </w:r>
                  <w:r>
                    <w:rPr>
                      <w:sz w:val="20"/>
                      <w:szCs w:val="20"/>
                    </w:rPr>
                    <w:t>次</w:t>
                  </w:r>
                </w:p>
              </w:tc>
              <w:tc>
                <w:tcPr>
                  <w:tcW w:w="953" w:type="dxa"/>
                  <w:tcBorders>
                    <w:bottom w:val="nil"/>
                  </w:tcBorders>
                  <w:vAlign w:val="top"/>
                </w:tcPr>
                <w:p w14:paraId="6FFDAC8A">
                  <w:pPr>
                    <w:pStyle w:val="6"/>
                    <w:spacing w:before="30" w:line="227" w:lineRule="auto"/>
                    <w:ind w:left="64"/>
                    <w:rPr>
                      <w:sz w:val="20"/>
                      <w:szCs w:val="20"/>
                    </w:rPr>
                  </w:pPr>
                  <w:r>
                    <w:rPr>
                      <w:spacing w:val="6"/>
                      <w:sz w:val="20"/>
                      <w:szCs w:val="20"/>
                    </w:rPr>
                    <w:t>按国家标</w:t>
                  </w:r>
                </w:p>
                <w:p w14:paraId="090A8F17">
                  <w:pPr>
                    <w:pStyle w:val="6"/>
                    <w:spacing w:before="24" w:line="228" w:lineRule="auto"/>
                    <w:ind w:left="64"/>
                    <w:rPr>
                      <w:sz w:val="20"/>
                      <w:szCs w:val="20"/>
                    </w:rPr>
                  </w:pPr>
                  <w:r>
                    <w:rPr>
                      <w:spacing w:val="6"/>
                      <w:sz w:val="20"/>
                      <w:szCs w:val="20"/>
                    </w:rPr>
                    <w:t>准进行监</w:t>
                  </w:r>
                </w:p>
                <w:p w14:paraId="278B0B18">
                  <w:pPr>
                    <w:pStyle w:val="6"/>
                    <w:spacing w:before="26" w:line="211" w:lineRule="auto"/>
                    <w:ind w:left="377"/>
                    <w:rPr>
                      <w:sz w:val="20"/>
                      <w:szCs w:val="20"/>
                    </w:rPr>
                  </w:pPr>
                  <w:r>
                    <w:rPr>
                      <w:sz w:val="20"/>
                      <w:szCs w:val="20"/>
                    </w:rPr>
                    <w:t>测</w:t>
                  </w:r>
                </w:p>
              </w:tc>
            </w:tr>
          </w:tbl>
          <w:p w14:paraId="6F1C8BE2">
            <w:pPr>
              <w:spacing w:line="14" w:lineRule="auto"/>
              <w:rPr>
                <w:rFonts w:ascii="Arial"/>
                <w:sz w:val="2"/>
              </w:rPr>
            </w:pPr>
          </w:p>
        </w:tc>
      </w:tr>
    </w:tbl>
    <w:p w14:paraId="6C074419">
      <w:pPr>
        <w:rPr>
          <w:rFonts w:ascii="Arial"/>
          <w:sz w:val="21"/>
        </w:rPr>
      </w:pPr>
    </w:p>
    <w:p w14:paraId="37956A8A">
      <w:pPr>
        <w:rPr>
          <w:rFonts w:ascii="Arial" w:hAnsi="Arial" w:eastAsia="Arial" w:cs="Arial"/>
          <w:sz w:val="21"/>
          <w:szCs w:val="21"/>
        </w:rPr>
        <w:sectPr>
          <w:footerReference r:id="rId168" w:type="default"/>
          <w:pgSz w:w="11907" w:h="16840"/>
          <w:pgMar w:top="1431" w:right="1453" w:bottom="1278" w:left="1453" w:header="0" w:footer="1116" w:gutter="0"/>
          <w:cols w:space="720" w:num="1"/>
        </w:sectPr>
      </w:pPr>
    </w:p>
    <w:p w14:paraId="4BCF4EAD">
      <w:pPr>
        <w:spacing w:line="99" w:lineRule="exact"/>
      </w:pPr>
    </w:p>
    <w:tbl>
      <w:tblPr>
        <w:tblStyle w:val="5"/>
        <w:tblW w:w="8985"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8237"/>
      </w:tblGrid>
      <w:tr w14:paraId="25060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1" w:hRule="atLeast"/>
        </w:trPr>
        <w:tc>
          <w:tcPr>
            <w:tcW w:w="748" w:type="dxa"/>
            <w:tcBorders>
              <w:left w:val="single" w:color="000000" w:sz="6" w:space="0"/>
              <w:right w:val="single" w:color="000000" w:sz="2" w:space="0"/>
            </w:tcBorders>
            <w:vAlign w:val="top"/>
          </w:tcPr>
          <w:p w14:paraId="50D7A5A0">
            <w:pPr>
              <w:rPr>
                <w:rFonts w:ascii="Arial"/>
                <w:sz w:val="21"/>
              </w:rPr>
            </w:pPr>
          </w:p>
        </w:tc>
        <w:tc>
          <w:tcPr>
            <w:tcW w:w="8237" w:type="dxa"/>
            <w:tcBorders>
              <w:left w:val="single" w:color="000000" w:sz="2" w:space="0"/>
              <w:right w:val="single" w:color="000000" w:sz="6" w:space="0"/>
            </w:tcBorders>
            <w:vAlign w:val="top"/>
          </w:tcPr>
          <w:tbl>
            <w:tblPr>
              <w:tblStyle w:val="5"/>
              <w:tblW w:w="8016"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2858"/>
              <w:gridCol w:w="1370"/>
              <w:gridCol w:w="2252"/>
              <w:gridCol w:w="953"/>
            </w:tblGrid>
            <w:tr w14:paraId="2C1E8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583" w:type="dxa"/>
                  <w:vMerge w:val="restart"/>
                  <w:tcBorders>
                    <w:top w:val="nil"/>
                    <w:bottom w:val="nil"/>
                  </w:tcBorders>
                  <w:vAlign w:val="top"/>
                </w:tcPr>
                <w:p w14:paraId="47E0E47C">
                  <w:pPr>
                    <w:spacing w:line="292" w:lineRule="auto"/>
                    <w:rPr>
                      <w:rFonts w:ascii="Arial"/>
                      <w:sz w:val="21"/>
                    </w:rPr>
                  </w:pPr>
                </w:p>
                <w:p w14:paraId="74507C3C">
                  <w:pPr>
                    <w:spacing w:line="292" w:lineRule="auto"/>
                    <w:rPr>
                      <w:rFonts w:ascii="Arial"/>
                      <w:sz w:val="21"/>
                    </w:rPr>
                  </w:pPr>
                </w:p>
                <w:p w14:paraId="38B64C9A">
                  <w:pPr>
                    <w:spacing w:line="293" w:lineRule="auto"/>
                    <w:rPr>
                      <w:rFonts w:ascii="Arial"/>
                      <w:sz w:val="21"/>
                    </w:rPr>
                  </w:pPr>
                </w:p>
                <w:p w14:paraId="387A5F07">
                  <w:pPr>
                    <w:spacing w:line="293" w:lineRule="auto"/>
                    <w:rPr>
                      <w:rFonts w:ascii="Arial"/>
                      <w:sz w:val="21"/>
                    </w:rPr>
                  </w:pPr>
                </w:p>
                <w:p w14:paraId="6698CFF9">
                  <w:pPr>
                    <w:pStyle w:val="6"/>
                    <w:spacing w:before="65" w:line="228" w:lineRule="auto"/>
                    <w:ind w:left="95"/>
                    <w:rPr>
                      <w:sz w:val="20"/>
                      <w:szCs w:val="20"/>
                    </w:rPr>
                  </w:pPr>
                  <w:r>
                    <w:rPr>
                      <w:spacing w:val="-1"/>
                      <w:sz w:val="20"/>
                      <w:szCs w:val="20"/>
                    </w:rPr>
                    <w:t>噪声</w:t>
                  </w:r>
                </w:p>
              </w:tc>
              <w:tc>
                <w:tcPr>
                  <w:tcW w:w="2858" w:type="dxa"/>
                  <w:tcBorders>
                    <w:top w:val="nil"/>
                  </w:tcBorders>
                  <w:vAlign w:val="top"/>
                </w:tcPr>
                <w:p w14:paraId="3EC2D9A1">
                  <w:pPr>
                    <w:pStyle w:val="6"/>
                    <w:spacing w:before="147" w:line="239" w:lineRule="auto"/>
                    <w:ind w:left="448" w:right="62" w:hanging="377"/>
                    <w:rPr>
                      <w:sz w:val="20"/>
                      <w:szCs w:val="20"/>
                    </w:rPr>
                  </w:pPr>
                  <w:r>
                    <w:rPr>
                      <w:spacing w:val="9"/>
                      <w:sz w:val="20"/>
                      <w:szCs w:val="20"/>
                    </w:rPr>
                    <w:t>升压站东、南、西、北厂界外</w:t>
                  </w:r>
                  <w:r>
                    <w:rPr>
                      <w:spacing w:val="1"/>
                      <w:sz w:val="20"/>
                      <w:szCs w:val="20"/>
                    </w:rPr>
                    <w:t xml:space="preserve"> </w:t>
                  </w:r>
                  <w:r>
                    <w:rPr>
                      <w:rFonts w:ascii="Times New Roman" w:hAnsi="Times New Roman" w:eastAsia="Times New Roman" w:cs="Times New Roman"/>
                      <w:spacing w:val="2"/>
                      <w:sz w:val="20"/>
                      <w:szCs w:val="20"/>
                    </w:rPr>
                    <w:t>1m</w:t>
                  </w:r>
                  <w:r>
                    <w:rPr>
                      <w:rFonts w:ascii="Times New Roman" w:hAnsi="Times New Roman" w:eastAsia="Times New Roman" w:cs="Times New Roman"/>
                      <w:spacing w:val="16"/>
                      <w:w w:val="101"/>
                      <w:sz w:val="20"/>
                      <w:szCs w:val="20"/>
                    </w:rPr>
                    <w:t xml:space="preserve"> </w:t>
                  </w:r>
                  <w:r>
                    <w:rPr>
                      <w:spacing w:val="2"/>
                      <w:sz w:val="20"/>
                      <w:szCs w:val="20"/>
                    </w:rPr>
                    <w:t>各设</w:t>
                  </w:r>
                  <w:r>
                    <w:rPr>
                      <w:spacing w:val="-21"/>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个监测点位</w:t>
                  </w:r>
                </w:p>
              </w:tc>
              <w:tc>
                <w:tcPr>
                  <w:tcW w:w="1370" w:type="dxa"/>
                  <w:tcBorders>
                    <w:top w:val="nil"/>
                  </w:tcBorders>
                  <w:vAlign w:val="top"/>
                </w:tcPr>
                <w:p w14:paraId="6121DF6A">
                  <w:pPr>
                    <w:spacing w:line="263" w:lineRule="auto"/>
                    <w:rPr>
                      <w:rFonts w:ascii="Arial"/>
                      <w:sz w:val="21"/>
                    </w:rPr>
                  </w:pPr>
                </w:p>
                <w:p w14:paraId="4813EFD3">
                  <w:pPr>
                    <w:spacing w:before="58" w:line="194"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Leq</w:t>
                  </w:r>
                </w:p>
              </w:tc>
              <w:tc>
                <w:tcPr>
                  <w:tcW w:w="2252" w:type="dxa"/>
                  <w:vMerge w:val="restart"/>
                  <w:tcBorders>
                    <w:top w:val="nil"/>
                    <w:bottom w:val="nil"/>
                  </w:tcBorders>
                  <w:vAlign w:val="top"/>
                </w:tcPr>
                <w:p w14:paraId="36D76EB5">
                  <w:pPr>
                    <w:spacing w:line="299" w:lineRule="auto"/>
                    <w:rPr>
                      <w:rFonts w:ascii="Arial"/>
                      <w:sz w:val="21"/>
                    </w:rPr>
                  </w:pPr>
                </w:p>
                <w:p w14:paraId="0D8F80C4">
                  <w:pPr>
                    <w:spacing w:line="299" w:lineRule="auto"/>
                    <w:rPr>
                      <w:rFonts w:ascii="Arial"/>
                      <w:sz w:val="21"/>
                    </w:rPr>
                  </w:pPr>
                </w:p>
                <w:p w14:paraId="63A0E101">
                  <w:pPr>
                    <w:spacing w:line="299" w:lineRule="auto"/>
                    <w:rPr>
                      <w:rFonts w:ascii="Arial"/>
                      <w:sz w:val="21"/>
                    </w:rPr>
                  </w:pPr>
                </w:p>
                <w:p w14:paraId="1661E630">
                  <w:pPr>
                    <w:pStyle w:val="6"/>
                    <w:spacing w:before="65" w:line="228" w:lineRule="auto"/>
                    <w:ind w:left="82"/>
                    <w:rPr>
                      <w:sz w:val="20"/>
                      <w:szCs w:val="20"/>
                    </w:rPr>
                  </w:pPr>
                  <w:r>
                    <w:rPr>
                      <w:spacing w:val="9"/>
                      <w:sz w:val="20"/>
                      <w:szCs w:val="20"/>
                    </w:rPr>
                    <w:t>环保竣工验收时监测一</w:t>
                  </w:r>
                </w:p>
                <w:p w14:paraId="17B4BD50">
                  <w:pPr>
                    <w:pStyle w:val="6"/>
                    <w:spacing w:before="26" w:line="239" w:lineRule="auto"/>
                    <w:ind w:left="610" w:right="107" w:hanging="523"/>
                    <w:rPr>
                      <w:sz w:val="20"/>
                      <w:szCs w:val="20"/>
                    </w:rPr>
                  </w:pPr>
                  <w:r>
                    <w:rPr>
                      <w:spacing w:val="2"/>
                      <w:sz w:val="20"/>
                      <w:szCs w:val="20"/>
                    </w:rPr>
                    <w:t>次，一次</w:t>
                  </w:r>
                  <w:r>
                    <w:rPr>
                      <w:spacing w:val="-36"/>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6"/>
                      <w:w w:val="101"/>
                      <w:sz w:val="20"/>
                      <w:szCs w:val="20"/>
                    </w:rPr>
                    <w:t xml:space="preserve"> </w:t>
                  </w:r>
                  <w:r>
                    <w:rPr>
                      <w:spacing w:val="2"/>
                      <w:sz w:val="20"/>
                      <w:szCs w:val="20"/>
                    </w:rPr>
                    <w:t>天，昼间、</w:t>
                  </w:r>
                  <w:r>
                    <w:rPr>
                      <w:sz w:val="20"/>
                      <w:szCs w:val="20"/>
                    </w:rPr>
                    <w:t xml:space="preserve"> </w:t>
                  </w:r>
                  <w:r>
                    <w:rPr>
                      <w:spacing w:val="7"/>
                      <w:sz w:val="20"/>
                      <w:szCs w:val="20"/>
                    </w:rPr>
                    <w:t>夜间各一次</w:t>
                  </w:r>
                </w:p>
              </w:tc>
              <w:tc>
                <w:tcPr>
                  <w:tcW w:w="953" w:type="dxa"/>
                  <w:vMerge w:val="restart"/>
                  <w:tcBorders>
                    <w:top w:val="nil"/>
                    <w:bottom w:val="nil"/>
                  </w:tcBorders>
                  <w:vAlign w:val="top"/>
                </w:tcPr>
                <w:p w14:paraId="3911475E">
                  <w:pPr>
                    <w:rPr>
                      <w:rFonts w:ascii="Arial"/>
                      <w:sz w:val="21"/>
                    </w:rPr>
                  </w:pPr>
                </w:p>
              </w:tc>
            </w:tr>
            <w:tr w14:paraId="29A3F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583" w:type="dxa"/>
                  <w:vMerge w:val="continue"/>
                  <w:tcBorders>
                    <w:top w:val="nil"/>
                  </w:tcBorders>
                  <w:vAlign w:val="top"/>
                </w:tcPr>
                <w:p w14:paraId="2D81449D">
                  <w:pPr>
                    <w:rPr>
                      <w:rFonts w:ascii="Arial"/>
                      <w:sz w:val="21"/>
                    </w:rPr>
                  </w:pPr>
                </w:p>
              </w:tc>
              <w:tc>
                <w:tcPr>
                  <w:tcW w:w="2858" w:type="dxa"/>
                  <w:vAlign w:val="top"/>
                </w:tcPr>
                <w:p w14:paraId="44BE6C1A">
                  <w:pPr>
                    <w:pStyle w:val="6"/>
                    <w:spacing w:before="32" w:line="243" w:lineRule="auto"/>
                    <w:ind w:left="50" w:right="55" w:firstLine="190"/>
                    <w:rPr>
                      <w:sz w:val="20"/>
                      <w:szCs w:val="20"/>
                    </w:rPr>
                  </w:pPr>
                  <w:r>
                    <w:rPr>
                      <w:spacing w:val="2"/>
                      <w:sz w:val="20"/>
                      <w:szCs w:val="20"/>
                    </w:rPr>
                    <w:t>区块</w:t>
                  </w:r>
                  <w:r>
                    <w:rPr>
                      <w:spacing w:val="-13"/>
                      <w:sz w:val="20"/>
                      <w:szCs w:val="20"/>
                    </w:rPr>
                    <w:t xml:space="preserve"> </w:t>
                  </w:r>
                  <w:r>
                    <w:rPr>
                      <w:rFonts w:ascii="Times New Roman" w:hAnsi="Times New Roman" w:eastAsia="Times New Roman" w:cs="Times New Roman"/>
                      <w:spacing w:val="2"/>
                      <w:sz w:val="20"/>
                      <w:szCs w:val="20"/>
                    </w:rPr>
                    <w:t>14</w:t>
                  </w:r>
                  <w:r>
                    <w:rPr>
                      <w:rFonts w:ascii="Times New Roman" w:hAnsi="Times New Roman" w:eastAsia="Times New Roman" w:cs="Times New Roman"/>
                      <w:spacing w:val="26"/>
                      <w:w w:val="101"/>
                      <w:sz w:val="20"/>
                      <w:szCs w:val="20"/>
                    </w:rPr>
                    <w:t xml:space="preserve"> </w:t>
                  </w:r>
                  <w:r>
                    <w:rPr>
                      <w:spacing w:val="2"/>
                      <w:sz w:val="20"/>
                      <w:szCs w:val="20"/>
                    </w:rPr>
                    <w:t>附近的水冒天散户</w:t>
                  </w:r>
                  <w:r>
                    <w:rPr>
                      <w:sz w:val="20"/>
                      <w:szCs w:val="20"/>
                    </w:rPr>
                    <w:t xml:space="preserve">  </w:t>
                  </w:r>
                  <w:r>
                    <w:rPr>
                      <w:spacing w:val="6"/>
                      <w:sz w:val="20"/>
                      <w:szCs w:val="20"/>
                    </w:rPr>
                    <w:t>（</w:t>
                  </w:r>
                  <w:r>
                    <w:rPr>
                      <w:rFonts w:ascii="Times New Roman" w:hAnsi="Times New Roman" w:eastAsia="Times New Roman" w:cs="Times New Roman"/>
                      <w:spacing w:val="6"/>
                      <w:sz w:val="20"/>
                      <w:szCs w:val="20"/>
                    </w:rPr>
                    <w:t>N1</w:t>
                  </w:r>
                  <w:r>
                    <w:rPr>
                      <w:spacing w:val="6"/>
                      <w:sz w:val="20"/>
                      <w:szCs w:val="20"/>
                    </w:rPr>
                    <w:t>）、</w:t>
                  </w: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集电线路</w:t>
                  </w:r>
                  <w:r>
                    <w:rPr>
                      <w:spacing w:val="-36"/>
                      <w:sz w:val="20"/>
                      <w:szCs w:val="20"/>
                    </w:rPr>
                    <w:t xml:space="preserve"> </w:t>
                  </w:r>
                  <w:r>
                    <w:rPr>
                      <w:rFonts w:ascii="Times New Roman" w:hAnsi="Times New Roman" w:eastAsia="Times New Roman" w:cs="Times New Roman"/>
                      <w:spacing w:val="6"/>
                      <w:sz w:val="20"/>
                      <w:szCs w:val="20"/>
                    </w:rPr>
                    <w:t>B</w:t>
                  </w:r>
                  <w:r>
                    <w:rPr>
                      <w:rFonts w:ascii="Times New Roman" w:hAnsi="Times New Roman" w:eastAsia="Times New Roman" w:cs="Times New Roman"/>
                      <w:spacing w:val="31"/>
                      <w:w w:val="101"/>
                      <w:sz w:val="20"/>
                      <w:szCs w:val="20"/>
                    </w:rPr>
                    <w:t xml:space="preserve"> </w:t>
                  </w:r>
                  <w:r>
                    <w:rPr>
                      <w:spacing w:val="6"/>
                      <w:sz w:val="20"/>
                      <w:szCs w:val="20"/>
                    </w:rPr>
                    <w:t>回</w:t>
                  </w:r>
                  <w:r>
                    <w:rPr>
                      <w:sz w:val="20"/>
                      <w:szCs w:val="20"/>
                    </w:rPr>
                    <w:t xml:space="preserve"> </w:t>
                  </w:r>
                  <w:r>
                    <w:rPr>
                      <w:rFonts w:ascii="Times New Roman" w:hAnsi="Times New Roman" w:eastAsia="Times New Roman" w:cs="Times New Roman"/>
                      <w:spacing w:val="6"/>
                      <w:sz w:val="20"/>
                      <w:szCs w:val="20"/>
                    </w:rPr>
                    <w:t>8#</w:t>
                  </w:r>
                  <w:r>
                    <w:rPr>
                      <w:spacing w:val="6"/>
                      <w:sz w:val="20"/>
                      <w:szCs w:val="20"/>
                    </w:rPr>
                    <w:t>塔基南侧鲁纳散户（</w:t>
                  </w:r>
                  <w:r>
                    <w:rPr>
                      <w:rFonts w:ascii="Times New Roman" w:hAnsi="Times New Roman" w:eastAsia="Times New Roman" w:cs="Times New Roman"/>
                      <w:spacing w:val="6"/>
                      <w:sz w:val="20"/>
                      <w:szCs w:val="20"/>
                    </w:rPr>
                    <w:t>N2</w:t>
                  </w:r>
                  <w:r>
                    <w:rPr>
                      <w:spacing w:val="6"/>
                      <w:sz w:val="20"/>
                      <w:szCs w:val="20"/>
                    </w:rPr>
                    <w:t>）、</w:t>
                  </w:r>
                </w:p>
                <w:p w14:paraId="4515C3D4">
                  <w:pPr>
                    <w:pStyle w:val="6"/>
                    <w:spacing w:before="26" w:line="228" w:lineRule="auto"/>
                    <w:ind w:left="231"/>
                    <w:rPr>
                      <w:sz w:val="20"/>
                      <w:szCs w:val="20"/>
                    </w:rPr>
                  </w:pPr>
                  <w:r>
                    <w:rPr>
                      <w:spacing w:val="1"/>
                      <w:sz w:val="20"/>
                      <w:szCs w:val="20"/>
                    </w:rPr>
                    <w:t>区块</w:t>
                  </w:r>
                  <w:r>
                    <w:rPr>
                      <w:spacing w:val="-15"/>
                      <w:sz w:val="20"/>
                      <w:szCs w:val="20"/>
                    </w:rPr>
                    <w:t xml:space="preserve"> </w:t>
                  </w:r>
                  <w:r>
                    <w:rPr>
                      <w:rFonts w:ascii="Times New Roman" w:hAnsi="Times New Roman" w:eastAsia="Times New Roman" w:cs="Times New Roman"/>
                      <w:spacing w:val="1"/>
                      <w:sz w:val="20"/>
                      <w:szCs w:val="20"/>
                    </w:rPr>
                    <w:t>13</w:t>
                  </w:r>
                  <w:r>
                    <w:rPr>
                      <w:rFonts w:ascii="Times New Roman" w:hAnsi="Times New Roman" w:eastAsia="Times New Roman" w:cs="Times New Roman"/>
                      <w:spacing w:val="14"/>
                      <w:w w:val="101"/>
                      <w:sz w:val="20"/>
                      <w:szCs w:val="20"/>
                    </w:rPr>
                    <w:t xml:space="preserve"> </w:t>
                  </w:r>
                  <w:r>
                    <w:rPr>
                      <w:spacing w:val="1"/>
                      <w:sz w:val="20"/>
                      <w:szCs w:val="20"/>
                    </w:rPr>
                    <w:t>箱变</w:t>
                  </w:r>
                  <w:r>
                    <w:rPr>
                      <w:spacing w:val="-41"/>
                      <w:sz w:val="20"/>
                      <w:szCs w:val="20"/>
                    </w:rPr>
                    <w:t xml:space="preserve"> </w:t>
                  </w:r>
                  <w:r>
                    <w:rPr>
                      <w:rFonts w:ascii="Times New Roman" w:hAnsi="Times New Roman" w:eastAsia="Times New Roman" w:cs="Times New Roman"/>
                      <w:spacing w:val="1"/>
                      <w:sz w:val="20"/>
                      <w:szCs w:val="20"/>
                    </w:rPr>
                    <w:t>T13</w:t>
                  </w:r>
                  <w:r>
                    <w:rPr>
                      <w:rFonts w:ascii="Times New Roman" w:hAnsi="Times New Roman" w:eastAsia="Times New Roman" w:cs="Times New Roman"/>
                      <w:spacing w:val="15"/>
                      <w:sz w:val="20"/>
                      <w:szCs w:val="20"/>
                    </w:rPr>
                    <w:t xml:space="preserve"> </w:t>
                  </w:r>
                  <w:r>
                    <w:rPr>
                      <w:spacing w:val="1"/>
                      <w:sz w:val="20"/>
                      <w:szCs w:val="20"/>
                    </w:rPr>
                    <w:t>北侧散户</w:t>
                  </w:r>
                </w:p>
                <w:p w14:paraId="00A6A466">
                  <w:pPr>
                    <w:pStyle w:val="6"/>
                    <w:spacing w:before="24" w:line="228" w:lineRule="auto"/>
                    <w:ind w:left="41"/>
                    <w:rPr>
                      <w:sz w:val="20"/>
                      <w:szCs w:val="20"/>
                    </w:rPr>
                  </w:pPr>
                  <w:r>
                    <w:rPr>
                      <w:spacing w:val="-3"/>
                      <w:sz w:val="20"/>
                      <w:szCs w:val="20"/>
                    </w:rPr>
                    <w:t>（</w:t>
                  </w:r>
                  <w:r>
                    <w:rPr>
                      <w:rFonts w:ascii="Times New Roman" w:hAnsi="Times New Roman" w:eastAsia="Times New Roman" w:cs="Times New Roman"/>
                      <w:spacing w:val="-3"/>
                      <w:sz w:val="20"/>
                      <w:szCs w:val="20"/>
                    </w:rPr>
                    <w:t>N3</w:t>
                  </w:r>
                  <w:r>
                    <w:rPr>
                      <w:spacing w:val="-3"/>
                      <w:sz w:val="20"/>
                      <w:szCs w:val="20"/>
                    </w:rPr>
                    <w:t>）、区块</w:t>
                  </w:r>
                  <w:r>
                    <w:rPr>
                      <w:spacing w:val="-30"/>
                      <w:sz w:val="20"/>
                      <w:szCs w:val="20"/>
                    </w:rPr>
                    <w:t xml:space="preserve"> </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14"/>
                      <w:sz w:val="20"/>
                      <w:szCs w:val="20"/>
                    </w:rPr>
                    <w:t xml:space="preserve"> </w:t>
                  </w:r>
                  <w:r>
                    <w:rPr>
                      <w:spacing w:val="-3"/>
                      <w:sz w:val="20"/>
                      <w:szCs w:val="20"/>
                    </w:rPr>
                    <w:t>箱变</w:t>
                  </w:r>
                  <w:r>
                    <w:rPr>
                      <w:spacing w:val="-39"/>
                      <w:sz w:val="20"/>
                      <w:szCs w:val="20"/>
                    </w:rPr>
                    <w:t xml:space="preserve"> </w:t>
                  </w:r>
                  <w:r>
                    <w:rPr>
                      <w:rFonts w:ascii="Times New Roman" w:hAnsi="Times New Roman" w:eastAsia="Times New Roman" w:cs="Times New Roman"/>
                      <w:spacing w:val="-3"/>
                      <w:sz w:val="20"/>
                      <w:szCs w:val="20"/>
                    </w:rPr>
                    <w:t>T5</w:t>
                  </w:r>
                  <w:r>
                    <w:rPr>
                      <w:rFonts w:ascii="Times New Roman" w:hAnsi="Times New Roman" w:eastAsia="Times New Roman" w:cs="Times New Roman"/>
                      <w:spacing w:val="17"/>
                      <w:w w:val="101"/>
                      <w:sz w:val="20"/>
                      <w:szCs w:val="20"/>
                    </w:rPr>
                    <w:t xml:space="preserve"> </w:t>
                  </w:r>
                  <w:r>
                    <w:rPr>
                      <w:spacing w:val="-3"/>
                      <w:sz w:val="20"/>
                      <w:szCs w:val="20"/>
                    </w:rPr>
                    <w:t>西侧散</w:t>
                  </w:r>
                </w:p>
                <w:p w14:paraId="621CE874">
                  <w:pPr>
                    <w:pStyle w:val="6"/>
                    <w:spacing w:before="26" w:line="228" w:lineRule="auto"/>
                    <w:jc w:val="right"/>
                    <w:rPr>
                      <w:sz w:val="20"/>
                      <w:szCs w:val="20"/>
                    </w:rPr>
                  </w:pPr>
                  <w:r>
                    <w:rPr>
                      <w:spacing w:val="-8"/>
                      <w:sz w:val="20"/>
                      <w:szCs w:val="20"/>
                    </w:rPr>
                    <w:t>户（</w:t>
                  </w:r>
                  <w:r>
                    <w:rPr>
                      <w:rFonts w:ascii="Times New Roman" w:hAnsi="Times New Roman" w:eastAsia="Times New Roman" w:cs="Times New Roman"/>
                      <w:spacing w:val="-8"/>
                      <w:sz w:val="20"/>
                      <w:szCs w:val="20"/>
                    </w:rPr>
                    <w:t>N4</w:t>
                  </w:r>
                  <w:r>
                    <w:rPr>
                      <w:spacing w:val="-8"/>
                      <w:sz w:val="20"/>
                      <w:szCs w:val="20"/>
                    </w:rPr>
                    <w:t>）、区块</w:t>
                  </w:r>
                  <w:r>
                    <w:rPr>
                      <w:spacing w:val="-27"/>
                      <w:sz w:val="20"/>
                      <w:szCs w:val="20"/>
                    </w:rPr>
                    <w:t xml:space="preserve"> </w:t>
                  </w:r>
                  <w:r>
                    <w:rPr>
                      <w:rFonts w:ascii="Times New Roman" w:hAnsi="Times New Roman" w:eastAsia="Times New Roman" w:cs="Times New Roman"/>
                      <w:spacing w:val="-8"/>
                      <w:sz w:val="20"/>
                      <w:szCs w:val="20"/>
                    </w:rPr>
                    <w:t>8</w:t>
                  </w:r>
                  <w:r>
                    <w:rPr>
                      <w:rFonts w:ascii="Times New Roman" w:hAnsi="Times New Roman" w:eastAsia="Times New Roman" w:cs="Times New Roman"/>
                      <w:spacing w:val="36"/>
                      <w:sz w:val="20"/>
                      <w:szCs w:val="20"/>
                    </w:rPr>
                    <w:t xml:space="preserve"> </w:t>
                  </w:r>
                  <w:r>
                    <w:rPr>
                      <w:spacing w:val="-8"/>
                      <w:sz w:val="20"/>
                      <w:szCs w:val="20"/>
                    </w:rPr>
                    <w:t>内散户（</w:t>
                  </w:r>
                  <w:r>
                    <w:rPr>
                      <w:rFonts w:ascii="Times New Roman" w:hAnsi="Times New Roman" w:eastAsia="Times New Roman" w:cs="Times New Roman"/>
                      <w:spacing w:val="-8"/>
                      <w:sz w:val="20"/>
                      <w:szCs w:val="20"/>
                    </w:rPr>
                    <w:t>N5</w:t>
                  </w:r>
                  <w:r>
                    <w:rPr>
                      <w:spacing w:val="-8"/>
                      <w:sz w:val="20"/>
                      <w:szCs w:val="20"/>
                    </w:rPr>
                    <w:t>）</w:t>
                  </w:r>
                </w:p>
                <w:p w14:paraId="1570602A">
                  <w:pPr>
                    <w:pStyle w:val="6"/>
                    <w:spacing w:before="26" w:line="214" w:lineRule="auto"/>
                    <w:ind w:left="492"/>
                    <w:rPr>
                      <w:sz w:val="20"/>
                      <w:szCs w:val="20"/>
                    </w:rPr>
                  </w:pPr>
                  <w:r>
                    <w:rPr>
                      <w:spacing w:val="5"/>
                      <w:sz w:val="20"/>
                      <w:szCs w:val="20"/>
                    </w:rPr>
                    <w:t>各布设</w:t>
                  </w:r>
                  <w:r>
                    <w:rPr>
                      <w:spacing w:val="-23"/>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个监测点位</w:t>
                  </w:r>
                </w:p>
              </w:tc>
              <w:tc>
                <w:tcPr>
                  <w:tcW w:w="1370" w:type="dxa"/>
                  <w:vAlign w:val="top"/>
                </w:tcPr>
                <w:p w14:paraId="09DB52C4">
                  <w:pPr>
                    <w:spacing w:line="275" w:lineRule="auto"/>
                    <w:rPr>
                      <w:rFonts w:ascii="Arial"/>
                      <w:sz w:val="21"/>
                    </w:rPr>
                  </w:pPr>
                </w:p>
                <w:p w14:paraId="7F377048">
                  <w:pPr>
                    <w:spacing w:line="275" w:lineRule="auto"/>
                    <w:rPr>
                      <w:rFonts w:ascii="Arial"/>
                      <w:sz w:val="21"/>
                    </w:rPr>
                  </w:pPr>
                </w:p>
                <w:p w14:paraId="39F5F143">
                  <w:pPr>
                    <w:spacing w:line="275" w:lineRule="auto"/>
                    <w:rPr>
                      <w:rFonts w:ascii="Arial"/>
                      <w:sz w:val="21"/>
                    </w:rPr>
                  </w:pPr>
                </w:p>
                <w:p w14:paraId="45D4506F">
                  <w:pPr>
                    <w:spacing w:before="57" w:line="194"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Leq</w:t>
                  </w:r>
                </w:p>
              </w:tc>
              <w:tc>
                <w:tcPr>
                  <w:tcW w:w="2252" w:type="dxa"/>
                  <w:vMerge w:val="continue"/>
                  <w:tcBorders>
                    <w:top w:val="nil"/>
                  </w:tcBorders>
                  <w:vAlign w:val="top"/>
                </w:tcPr>
                <w:p w14:paraId="0730F5A0">
                  <w:pPr>
                    <w:rPr>
                      <w:rFonts w:ascii="Arial"/>
                      <w:sz w:val="21"/>
                    </w:rPr>
                  </w:pPr>
                </w:p>
              </w:tc>
              <w:tc>
                <w:tcPr>
                  <w:tcW w:w="953" w:type="dxa"/>
                  <w:vMerge w:val="continue"/>
                  <w:tcBorders>
                    <w:top w:val="nil"/>
                    <w:bottom w:val="nil"/>
                  </w:tcBorders>
                  <w:vAlign w:val="top"/>
                </w:tcPr>
                <w:p w14:paraId="5E73EE5D">
                  <w:pPr>
                    <w:rPr>
                      <w:rFonts w:ascii="Arial"/>
                      <w:sz w:val="21"/>
                    </w:rPr>
                  </w:pPr>
                </w:p>
              </w:tc>
            </w:tr>
            <w:tr w14:paraId="64762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83" w:type="dxa"/>
                  <w:vAlign w:val="top"/>
                </w:tcPr>
                <w:p w14:paraId="7C813D3B">
                  <w:pPr>
                    <w:spacing w:line="260" w:lineRule="auto"/>
                    <w:rPr>
                      <w:rFonts w:ascii="Arial"/>
                      <w:sz w:val="21"/>
                    </w:rPr>
                  </w:pPr>
                </w:p>
                <w:p w14:paraId="4253B247">
                  <w:pPr>
                    <w:spacing w:line="260" w:lineRule="auto"/>
                    <w:rPr>
                      <w:rFonts w:ascii="Arial"/>
                      <w:sz w:val="21"/>
                    </w:rPr>
                  </w:pPr>
                </w:p>
                <w:p w14:paraId="7CD35517">
                  <w:pPr>
                    <w:spacing w:line="260" w:lineRule="auto"/>
                    <w:rPr>
                      <w:rFonts w:ascii="Arial"/>
                      <w:sz w:val="21"/>
                    </w:rPr>
                  </w:pPr>
                </w:p>
                <w:p w14:paraId="48097E5E">
                  <w:pPr>
                    <w:pStyle w:val="6"/>
                    <w:spacing w:before="65" w:line="239" w:lineRule="auto"/>
                    <w:ind w:left="84" w:right="82" w:firstLine="26"/>
                    <w:rPr>
                      <w:sz w:val="20"/>
                      <w:szCs w:val="20"/>
                    </w:rPr>
                  </w:pPr>
                  <w:r>
                    <w:rPr>
                      <w:spacing w:val="-8"/>
                      <w:sz w:val="20"/>
                      <w:szCs w:val="20"/>
                    </w:rPr>
                    <w:t>电磁</w:t>
                  </w:r>
                  <w:r>
                    <w:rPr>
                      <w:sz w:val="20"/>
                      <w:szCs w:val="20"/>
                    </w:rPr>
                    <w:t xml:space="preserve"> </w:t>
                  </w:r>
                  <w:r>
                    <w:rPr>
                      <w:spacing w:val="5"/>
                      <w:sz w:val="20"/>
                      <w:szCs w:val="20"/>
                    </w:rPr>
                    <w:t>辐射</w:t>
                  </w:r>
                </w:p>
              </w:tc>
              <w:tc>
                <w:tcPr>
                  <w:tcW w:w="2858" w:type="dxa"/>
                  <w:vAlign w:val="top"/>
                </w:tcPr>
                <w:p w14:paraId="1F296DF1">
                  <w:pPr>
                    <w:pStyle w:val="6"/>
                    <w:spacing w:before="34" w:line="239" w:lineRule="auto"/>
                    <w:ind w:left="35" w:right="26" w:firstLine="12"/>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、升压站东、南、西、北围墙</w:t>
                  </w:r>
                  <w:r>
                    <w:rPr>
                      <w:sz w:val="20"/>
                      <w:szCs w:val="20"/>
                    </w:rPr>
                    <w:t xml:space="preserve"> </w:t>
                  </w:r>
                  <w:r>
                    <w:rPr>
                      <w:spacing w:val="3"/>
                      <w:sz w:val="20"/>
                      <w:szCs w:val="20"/>
                    </w:rPr>
                    <w:t>外</w:t>
                  </w:r>
                  <w:r>
                    <w:rPr>
                      <w:spacing w:val="-32"/>
                      <w:sz w:val="20"/>
                      <w:szCs w:val="20"/>
                    </w:rPr>
                    <w:t xml:space="preserve"> </w:t>
                  </w:r>
                  <w:r>
                    <w:rPr>
                      <w:rFonts w:ascii="Times New Roman" w:hAnsi="Times New Roman" w:eastAsia="Times New Roman" w:cs="Times New Roman"/>
                      <w:spacing w:val="3"/>
                      <w:sz w:val="20"/>
                      <w:szCs w:val="20"/>
                    </w:rPr>
                    <w:t>5m</w:t>
                  </w:r>
                  <w:r>
                    <w:rPr>
                      <w:rFonts w:ascii="Times New Roman" w:hAnsi="Times New Roman" w:eastAsia="Times New Roman" w:cs="Times New Roman"/>
                      <w:spacing w:val="16"/>
                      <w:sz w:val="20"/>
                      <w:szCs w:val="20"/>
                    </w:rPr>
                    <w:t xml:space="preserve"> </w:t>
                  </w:r>
                  <w:r>
                    <w:rPr>
                      <w:spacing w:val="3"/>
                      <w:sz w:val="20"/>
                      <w:szCs w:val="20"/>
                    </w:rPr>
                    <w:t>处各设</w:t>
                  </w:r>
                  <w:r>
                    <w:rPr>
                      <w:spacing w:val="-23"/>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个监测点位；</w:t>
                  </w:r>
                </w:p>
                <w:p w14:paraId="4205346D">
                  <w:pPr>
                    <w:pStyle w:val="6"/>
                    <w:spacing w:before="27" w:line="239" w:lineRule="auto"/>
                    <w:ind w:left="32" w:right="26" w:hanging="5"/>
                    <w:rPr>
                      <w:sz w:val="20"/>
                      <w:szCs w:val="20"/>
                    </w:rPr>
                  </w:pPr>
                  <w:r>
                    <w:rPr>
                      <w:rFonts w:ascii="Times New Roman" w:hAnsi="Times New Roman" w:eastAsia="Times New Roman" w:cs="Times New Roman"/>
                      <w:spacing w:val="7"/>
                      <w:sz w:val="20"/>
                      <w:szCs w:val="20"/>
                    </w:rPr>
                    <w:t>2</w:t>
                  </w:r>
                  <w:r>
                    <w:rPr>
                      <w:spacing w:val="7"/>
                      <w:sz w:val="20"/>
                      <w:szCs w:val="20"/>
                    </w:rPr>
                    <w:t>、升压站厂界电磁衰减断面以</w:t>
                  </w:r>
                  <w:r>
                    <w:rPr>
                      <w:sz w:val="20"/>
                      <w:szCs w:val="20"/>
                    </w:rPr>
                    <w:t xml:space="preserve"> </w:t>
                  </w:r>
                  <w:r>
                    <w:rPr>
                      <w:spacing w:val="8"/>
                      <w:sz w:val="20"/>
                      <w:szCs w:val="20"/>
                    </w:rPr>
                    <w:t>升压站围墙周围的工频电场、</w:t>
                  </w:r>
                </w:p>
                <w:p w14:paraId="7825943C">
                  <w:pPr>
                    <w:pStyle w:val="6"/>
                    <w:spacing w:before="25" w:line="242" w:lineRule="auto"/>
                    <w:ind w:left="31" w:right="26" w:firstLine="1"/>
                    <w:rPr>
                      <w:sz w:val="20"/>
                      <w:szCs w:val="20"/>
                    </w:rPr>
                  </w:pPr>
                  <w:r>
                    <w:rPr>
                      <w:spacing w:val="9"/>
                      <w:sz w:val="20"/>
                      <w:szCs w:val="20"/>
                    </w:rPr>
                    <w:t>工频磁场最大值处为起点，在</w:t>
                  </w:r>
                  <w:r>
                    <w:rPr>
                      <w:sz w:val="20"/>
                      <w:szCs w:val="20"/>
                    </w:rPr>
                    <w:t xml:space="preserve"> </w:t>
                  </w:r>
                  <w:r>
                    <w:rPr>
                      <w:spacing w:val="9"/>
                      <w:sz w:val="20"/>
                      <w:szCs w:val="20"/>
                    </w:rPr>
                    <w:t>垂直于围墙的方向上布设，监</w:t>
                  </w:r>
                  <w:r>
                    <w:rPr>
                      <w:spacing w:val="1"/>
                      <w:sz w:val="20"/>
                      <w:szCs w:val="20"/>
                    </w:rPr>
                    <w:t xml:space="preserve"> </w:t>
                  </w:r>
                  <w:r>
                    <w:rPr>
                      <w:spacing w:val="5"/>
                      <w:sz w:val="20"/>
                      <w:szCs w:val="20"/>
                    </w:rPr>
                    <w:t>测点间距为</w:t>
                  </w:r>
                  <w:r>
                    <w:rPr>
                      <w:spacing w:val="-33"/>
                      <w:sz w:val="20"/>
                      <w:szCs w:val="20"/>
                    </w:rPr>
                    <w:t xml:space="preserve"> </w:t>
                  </w:r>
                  <w:r>
                    <w:rPr>
                      <w:rFonts w:ascii="Times New Roman" w:hAnsi="Times New Roman" w:eastAsia="Times New Roman" w:cs="Times New Roman"/>
                      <w:spacing w:val="5"/>
                      <w:sz w:val="20"/>
                      <w:szCs w:val="20"/>
                    </w:rPr>
                    <w:t>5m</w:t>
                  </w:r>
                  <w:r>
                    <w:rPr>
                      <w:spacing w:val="5"/>
                      <w:sz w:val="20"/>
                      <w:szCs w:val="20"/>
                    </w:rPr>
                    <w:t>，顺序测至距离</w:t>
                  </w:r>
                  <w:r>
                    <w:rPr>
                      <w:sz w:val="20"/>
                      <w:szCs w:val="20"/>
                    </w:rPr>
                    <w:t xml:space="preserve"> </w:t>
                  </w:r>
                  <w:r>
                    <w:rPr>
                      <w:spacing w:val="4"/>
                      <w:sz w:val="20"/>
                      <w:szCs w:val="20"/>
                    </w:rPr>
                    <w:t>围墙</w:t>
                  </w:r>
                  <w:r>
                    <w:rPr>
                      <w:spacing w:val="-29"/>
                      <w:sz w:val="20"/>
                      <w:szCs w:val="20"/>
                    </w:rPr>
                    <w:t xml:space="preserve"> </w:t>
                  </w:r>
                  <w:r>
                    <w:rPr>
                      <w:rFonts w:ascii="Times New Roman" w:hAnsi="Times New Roman" w:eastAsia="Times New Roman" w:cs="Times New Roman"/>
                      <w:spacing w:val="4"/>
                      <w:sz w:val="20"/>
                      <w:szCs w:val="20"/>
                    </w:rPr>
                    <w:t xml:space="preserve">50m </w:t>
                  </w:r>
                  <w:r>
                    <w:rPr>
                      <w:spacing w:val="4"/>
                      <w:sz w:val="20"/>
                      <w:szCs w:val="20"/>
                    </w:rPr>
                    <w:t>处为止。</w:t>
                  </w:r>
                </w:p>
              </w:tc>
              <w:tc>
                <w:tcPr>
                  <w:tcW w:w="1370" w:type="dxa"/>
                  <w:vAlign w:val="top"/>
                </w:tcPr>
                <w:p w14:paraId="676ED05F">
                  <w:pPr>
                    <w:spacing w:line="260" w:lineRule="auto"/>
                    <w:rPr>
                      <w:rFonts w:ascii="Arial"/>
                      <w:sz w:val="21"/>
                    </w:rPr>
                  </w:pPr>
                </w:p>
                <w:p w14:paraId="2D0E62C3">
                  <w:pPr>
                    <w:spacing w:line="260" w:lineRule="auto"/>
                    <w:rPr>
                      <w:rFonts w:ascii="Arial"/>
                      <w:sz w:val="21"/>
                    </w:rPr>
                  </w:pPr>
                </w:p>
                <w:p w14:paraId="1526FDB6">
                  <w:pPr>
                    <w:spacing w:line="261" w:lineRule="auto"/>
                    <w:rPr>
                      <w:rFonts w:ascii="Arial"/>
                      <w:sz w:val="21"/>
                    </w:rPr>
                  </w:pPr>
                </w:p>
                <w:p w14:paraId="2EED197F">
                  <w:pPr>
                    <w:pStyle w:val="6"/>
                    <w:spacing w:before="65" w:line="239" w:lineRule="auto"/>
                    <w:ind w:left="374" w:right="55" w:hanging="312"/>
                    <w:rPr>
                      <w:sz w:val="20"/>
                      <w:szCs w:val="20"/>
                    </w:rPr>
                  </w:pPr>
                  <w:r>
                    <w:rPr>
                      <w:spacing w:val="7"/>
                      <w:sz w:val="20"/>
                      <w:szCs w:val="20"/>
                    </w:rPr>
                    <w:t>工频电场、工</w:t>
                  </w:r>
                  <w:r>
                    <w:rPr>
                      <w:spacing w:val="4"/>
                      <w:sz w:val="20"/>
                      <w:szCs w:val="20"/>
                    </w:rPr>
                    <w:t xml:space="preserve"> </w:t>
                  </w:r>
                  <w:r>
                    <w:rPr>
                      <w:spacing w:val="6"/>
                      <w:sz w:val="20"/>
                      <w:szCs w:val="20"/>
                    </w:rPr>
                    <w:t>频磁场</w:t>
                  </w:r>
                </w:p>
              </w:tc>
              <w:tc>
                <w:tcPr>
                  <w:tcW w:w="2252" w:type="dxa"/>
                  <w:vAlign w:val="top"/>
                </w:tcPr>
                <w:p w14:paraId="3F74DCC2">
                  <w:pPr>
                    <w:spacing w:line="260" w:lineRule="auto"/>
                    <w:rPr>
                      <w:rFonts w:ascii="Arial"/>
                      <w:sz w:val="21"/>
                    </w:rPr>
                  </w:pPr>
                </w:p>
                <w:p w14:paraId="64F82B59">
                  <w:pPr>
                    <w:spacing w:line="260" w:lineRule="auto"/>
                    <w:rPr>
                      <w:rFonts w:ascii="Arial"/>
                      <w:sz w:val="21"/>
                    </w:rPr>
                  </w:pPr>
                </w:p>
                <w:p w14:paraId="43801574">
                  <w:pPr>
                    <w:spacing w:line="260" w:lineRule="auto"/>
                    <w:rPr>
                      <w:rFonts w:ascii="Arial"/>
                      <w:sz w:val="21"/>
                    </w:rPr>
                  </w:pPr>
                </w:p>
                <w:p w14:paraId="3CF287D9">
                  <w:pPr>
                    <w:pStyle w:val="6"/>
                    <w:spacing w:before="65" w:line="239" w:lineRule="auto"/>
                    <w:ind w:left="1033" w:right="75" w:hanging="951"/>
                    <w:rPr>
                      <w:sz w:val="20"/>
                      <w:szCs w:val="20"/>
                    </w:rPr>
                  </w:pPr>
                  <w:r>
                    <w:rPr>
                      <w:spacing w:val="8"/>
                      <w:sz w:val="20"/>
                      <w:szCs w:val="20"/>
                    </w:rPr>
                    <w:t xml:space="preserve">环保竣工验收时监测一 </w:t>
                  </w:r>
                  <w:r>
                    <w:rPr>
                      <w:sz w:val="20"/>
                      <w:szCs w:val="20"/>
                    </w:rPr>
                    <w:t>次</w:t>
                  </w:r>
                </w:p>
              </w:tc>
              <w:tc>
                <w:tcPr>
                  <w:tcW w:w="953" w:type="dxa"/>
                  <w:vMerge w:val="continue"/>
                  <w:tcBorders>
                    <w:top w:val="nil"/>
                    <w:bottom w:val="nil"/>
                  </w:tcBorders>
                  <w:vAlign w:val="top"/>
                </w:tcPr>
                <w:p w14:paraId="6242D86B">
                  <w:pPr>
                    <w:rPr>
                      <w:rFonts w:ascii="Arial"/>
                      <w:sz w:val="21"/>
                    </w:rPr>
                  </w:pPr>
                </w:p>
              </w:tc>
            </w:tr>
            <w:tr w14:paraId="1078D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583" w:type="dxa"/>
                  <w:vAlign w:val="top"/>
                </w:tcPr>
                <w:p w14:paraId="18D0B503">
                  <w:pPr>
                    <w:pStyle w:val="6"/>
                    <w:spacing w:before="172"/>
                    <w:ind w:left="86" w:right="82"/>
                    <w:rPr>
                      <w:sz w:val="20"/>
                      <w:szCs w:val="20"/>
                    </w:rPr>
                  </w:pPr>
                  <w:r>
                    <w:rPr>
                      <w:spacing w:val="3"/>
                      <w:sz w:val="20"/>
                      <w:szCs w:val="20"/>
                    </w:rPr>
                    <w:t>生态</w:t>
                  </w:r>
                  <w:r>
                    <w:rPr>
                      <w:sz w:val="20"/>
                      <w:szCs w:val="20"/>
                    </w:rPr>
                    <w:t xml:space="preserve"> </w:t>
                  </w:r>
                  <w:r>
                    <w:rPr>
                      <w:spacing w:val="4"/>
                      <w:sz w:val="20"/>
                      <w:szCs w:val="20"/>
                    </w:rPr>
                    <w:t>监测</w:t>
                  </w:r>
                </w:p>
              </w:tc>
              <w:tc>
                <w:tcPr>
                  <w:tcW w:w="2858" w:type="dxa"/>
                  <w:vAlign w:val="top"/>
                </w:tcPr>
                <w:p w14:paraId="25424C6C">
                  <w:pPr>
                    <w:pStyle w:val="6"/>
                    <w:spacing w:before="171" w:line="242" w:lineRule="auto"/>
                    <w:ind w:left="1223" w:right="62" w:hanging="1152"/>
                    <w:rPr>
                      <w:sz w:val="20"/>
                      <w:szCs w:val="20"/>
                    </w:rPr>
                  </w:pPr>
                  <w:r>
                    <w:rPr>
                      <w:spacing w:val="9"/>
                      <w:sz w:val="20"/>
                      <w:szCs w:val="20"/>
                    </w:rPr>
                    <w:t>光伏场区光伏板空地、临时场</w:t>
                  </w:r>
                  <w:r>
                    <w:rPr>
                      <w:spacing w:val="1"/>
                      <w:sz w:val="20"/>
                      <w:szCs w:val="20"/>
                    </w:rPr>
                    <w:t xml:space="preserve"> </w:t>
                  </w:r>
                  <w:r>
                    <w:rPr>
                      <w:spacing w:val="4"/>
                      <w:sz w:val="20"/>
                      <w:szCs w:val="20"/>
                    </w:rPr>
                    <w:t>地区</w:t>
                  </w:r>
                </w:p>
              </w:tc>
              <w:tc>
                <w:tcPr>
                  <w:tcW w:w="1370" w:type="dxa"/>
                  <w:vAlign w:val="top"/>
                </w:tcPr>
                <w:p w14:paraId="321F3830">
                  <w:pPr>
                    <w:pStyle w:val="6"/>
                    <w:spacing w:before="35"/>
                    <w:ind w:left="60" w:right="55" w:firstLine="10"/>
                    <w:jc w:val="both"/>
                    <w:rPr>
                      <w:sz w:val="20"/>
                      <w:szCs w:val="20"/>
                    </w:rPr>
                  </w:pPr>
                  <w:r>
                    <w:rPr>
                      <w:spacing w:val="6"/>
                      <w:sz w:val="20"/>
                      <w:szCs w:val="20"/>
                    </w:rPr>
                    <w:t>陆生植物的分</w:t>
                  </w:r>
                  <w:r>
                    <w:rPr>
                      <w:spacing w:val="1"/>
                      <w:sz w:val="20"/>
                      <w:szCs w:val="20"/>
                    </w:rPr>
                    <w:t xml:space="preserve"> </w:t>
                  </w:r>
                  <w:r>
                    <w:rPr>
                      <w:spacing w:val="8"/>
                      <w:sz w:val="20"/>
                      <w:szCs w:val="20"/>
                    </w:rPr>
                    <w:t>布及生态植被</w:t>
                  </w:r>
                  <w:r>
                    <w:rPr>
                      <w:sz w:val="20"/>
                      <w:szCs w:val="20"/>
                    </w:rPr>
                    <w:t xml:space="preserve"> </w:t>
                  </w:r>
                  <w:r>
                    <w:rPr>
                      <w:spacing w:val="8"/>
                      <w:sz w:val="20"/>
                      <w:szCs w:val="20"/>
                    </w:rPr>
                    <w:t>植物恢复情况</w:t>
                  </w:r>
                </w:p>
              </w:tc>
              <w:tc>
                <w:tcPr>
                  <w:tcW w:w="2252" w:type="dxa"/>
                  <w:vAlign w:val="top"/>
                </w:tcPr>
                <w:p w14:paraId="32BABEF1">
                  <w:pPr>
                    <w:rPr>
                      <w:rFonts w:ascii="Arial"/>
                      <w:sz w:val="21"/>
                    </w:rPr>
                  </w:pPr>
                </w:p>
                <w:p w14:paraId="5D00273D">
                  <w:pPr>
                    <w:pStyle w:val="6"/>
                    <w:spacing w:before="65" w:line="228" w:lineRule="auto"/>
                    <w:ind w:left="395"/>
                    <w:rPr>
                      <w:sz w:val="20"/>
                      <w:szCs w:val="20"/>
                    </w:rPr>
                  </w:pPr>
                  <w:r>
                    <w:rPr>
                      <w:spacing w:val="3"/>
                      <w:sz w:val="20"/>
                      <w:szCs w:val="20"/>
                    </w:rPr>
                    <w:t>验收时调查</w:t>
                  </w:r>
                  <w:r>
                    <w:rPr>
                      <w:spacing w:val="-21"/>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p>
              </w:tc>
              <w:tc>
                <w:tcPr>
                  <w:tcW w:w="953" w:type="dxa"/>
                  <w:vMerge w:val="continue"/>
                  <w:tcBorders>
                    <w:top w:val="nil"/>
                  </w:tcBorders>
                  <w:vAlign w:val="top"/>
                </w:tcPr>
                <w:p w14:paraId="37DF4E00">
                  <w:pPr>
                    <w:rPr>
                      <w:rFonts w:ascii="Arial"/>
                      <w:sz w:val="21"/>
                    </w:rPr>
                  </w:pPr>
                </w:p>
              </w:tc>
            </w:tr>
          </w:tbl>
          <w:p w14:paraId="3C9DCC4A">
            <w:pPr>
              <w:pStyle w:val="6"/>
              <w:spacing w:before="37" w:line="219" w:lineRule="auto"/>
              <w:ind w:left="583"/>
            </w:pPr>
            <w:r>
              <w:rPr>
                <w:rFonts w:ascii="Times New Roman" w:hAnsi="Times New Roman" w:eastAsia="Times New Roman" w:cs="Times New Roman"/>
                <w:b/>
                <w:bCs/>
                <w:spacing w:val="1"/>
              </w:rPr>
              <w:t>3</w:t>
            </w:r>
            <w:r>
              <w:rPr>
                <w:rFonts w:ascii="Times New Roman" w:hAnsi="Times New Roman" w:eastAsia="Times New Roman" w:cs="Times New Roman"/>
                <w:b/>
                <w:bCs/>
                <w:spacing w:val="-24"/>
              </w:rPr>
              <w:t xml:space="preserve"> </w:t>
            </w:r>
            <w:r>
              <w:rPr>
                <w:b/>
                <w:bCs/>
                <w:spacing w:val="1"/>
              </w:rPr>
              <w:t>、建设项目竣工“环境保护验收</w:t>
            </w:r>
            <w:r>
              <w:rPr>
                <w:spacing w:val="-88"/>
              </w:rPr>
              <w:t xml:space="preserve"> </w:t>
            </w:r>
            <w:r>
              <w:rPr>
                <w:b/>
                <w:bCs/>
                <w:spacing w:val="1"/>
              </w:rPr>
              <w:t>”</w:t>
            </w:r>
          </w:p>
          <w:p w14:paraId="5D8EC5AD">
            <w:pPr>
              <w:pStyle w:val="6"/>
              <w:spacing w:before="178" w:line="354" w:lineRule="auto"/>
              <w:ind w:left="109" w:right="62" w:firstLine="483"/>
            </w:pPr>
            <w:r>
              <w:rPr>
                <w:spacing w:val="3"/>
              </w:rPr>
              <w:t>项目建成后，建设单位应按照《建设项目竣</w:t>
            </w:r>
            <w:r>
              <w:rPr>
                <w:spacing w:val="2"/>
              </w:rPr>
              <w:t>工环境保护验收暂行办法》</w:t>
            </w:r>
            <w:r>
              <w:t xml:space="preserve"> （国环规环评〔</w:t>
            </w:r>
            <w:r>
              <w:rPr>
                <w:rFonts w:ascii="Times New Roman" w:hAnsi="Times New Roman" w:eastAsia="Times New Roman" w:cs="Times New Roman"/>
              </w:rPr>
              <w:t>2017</w:t>
            </w:r>
            <w:r>
              <w:t>〕</w:t>
            </w:r>
            <w:r>
              <w:rPr>
                <w:rFonts w:ascii="Times New Roman" w:hAnsi="Times New Roman" w:eastAsia="Times New Roman" w:cs="Times New Roman"/>
              </w:rPr>
              <w:t>4</w:t>
            </w:r>
            <w:r>
              <w:rPr>
                <w:rFonts w:ascii="Times New Roman" w:hAnsi="Times New Roman" w:eastAsia="Times New Roman" w:cs="Times New Roman"/>
                <w:spacing w:val="35"/>
              </w:rPr>
              <w:t xml:space="preserve"> </w:t>
            </w:r>
            <w:r>
              <w:t xml:space="preserve">号）、《建设项目竣工环境保护验收技术规范 输变 </w:t>
            </w:r>
            <w:r>
              <w:rPr>
                <w:spacing w:val="-4"/>
              </w:rPr>
              <w:t>电》（</w:t>
            </w:r>
            <w:r>
              <w:rPr>
                <w:rFonts w:ascii="Times New Roman" w:hAnsi="Times New Roman" w:eastAsia="Times New Roman" w:cs="Times New Roman"/>
                <w:spacing w:val="-4"/>
              </w:rPr>
              <w:t>HJ705-2020</w:t>
            </w:r>
            <w:r>
              <w:rPr>
                <w:spacing w:val="-4"/>
              </w:rPr>
              <w:t>）、《建设项目环境保护管理条例》（</w:t>
            </w:r>
            <w:r>
              <w:rPr>
                <w:rFonts w:ascii="Times New Roman" w:hAnsi="Times New Roman" w:eastAsia="Times New Roman" w:cs="Times New Roman"/>
                <w:spacing w:val="-4"/>
              </w:rPr>
              <w:t xml:space="preserve">2017 </w:t>
            </w:r>
            <w:r>
              <w:rPr>
                <w:spacing w:val="-4"/>
              </w:rPr>
              <w:t>年</w:t>
            </w:r>
            <w:r>
              <w:rPr>
                <w:spacing w:val="-20"/>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5"/>
                <w:w w:val="101"/>
              </w:rPr>
              <w:t xml:space="preserve"> </w:t>
            </w:r>
            <w:r>
              <w:rPr>
                <w:spacing w:val="-4"/>
              </w:rPr>
              <w:t>月</w:t>
            </w:r>
            <w:r>
              <w:rPr>
                <w:spacing w:val="-32"/>
              </w:rPr>
              <w:t xml:space="preserve"> </w:t>
            </w:r>
            <w:r>
              <w:rPr>
                <w:rFonts w:ascii="Times New Roman" w:hAnsi="Times New Roman" w:eastAsia="Times New Roman" w:cs="Times New Roman"/>
                <w:spacing w:val="-4"/>
              </w:rPr>
              <w:t xml:space="preserve">1  </w:t>
            </w:r>
            <w:r>
              <w:rPr>
                <w:spacing w:val="-4"/>
              </w:rPr>
              <w:t>日）</w:t>
            </w:r>
            <w:r>
              <w:t xml:space="preserve"> </w:t>
            </w:r>
            <w:r>
              <w:rPr>
                <w:spacing w:val="3"/>
              </w:rPr>
              <w:t>等相关要求，及时组织开展本项目竣工环境保护自主验收工作。本</w:t>
            </w:r>
            <w:r>
              <w:rPr>
                <w:spacing w:val="2"/>
              </w:rPr>
              <w:t>项目竣工</w:t>
            </w:r>
            <w:r>
              <w:t xml:space="preserve"> </w:t>
            </w:r>
            <w:r>
              <w:rPr>
                <w:spacing w:val="-2"/>
              </w:rPr>
              <w:t>环保验收主要内容见表</w:t>
            </w:r>
            <w:r>
              <w:rPr>
                <w:spacing w:val="-44"/>
              </w:rPr>
              <w:t xml:space="preserve"> </w:t>
            </w:r>
            <w:r>
              <w:rPr>
                <w:rFonts w:ascii="Times New Roman" w:hAnsi="Times New Roman" w:eastAsia="Times New Roman" w:cs="Times New Roman"/>
                <w:spacing w:val="-2"/>
              </w:rPr>
              <w:t>5-3</w:t>
            </w:r>
            <w:r>
              <w:rPr>
                <w:spacing w:val="-2"/>
              </w:rPr>
              <w:t>。</w:t>
            </w:r>
          </w:p>
          <w:p w14:paraId="003C37D6">
            <w:pPr>
              <w:pStyle w:val="6"/>
              <w:spacing w:before="30" w:line="223" w:lineRule="auto"/>
              <w:ind w:left="2267"/>
              <w:rPr>
                <w:sz w:val="20"/>
                <w:szCs w:val="20"/>
              </w:rPr>
            </w:pPr>
            <w:r>
              <w:rPr>
                <w:b/>
                <w:bCs/>
                <w:spacing w:val="6"/>
                <w:sz w:val="20"/>
                <w:szCs w:val="20"/>
              </w:rPr>
              <w:t>表</w:t>
            </w:r>
            <w:r>
              <w:rPr>
                <w:spacing w:val="-36"/>
                <w:sz w:val="20"/>
                <w:szCs w:val="20"/>
              </w:rPr>
              <w:t xml:space="preserve"> </w:t>
            </w:r>
            <w:r>
              <w:rPr>
                <w:rFonts w:ascii="Times New Roman" w:hAnsi="Times New Roman" w:eastAsia="Times New Roman" w:cs="Times New Roman"/>
                <w:b/>
                <w:bCs/>
                <w:spacing w:val="6"/>
                <w:sz w:val="20"/>
                <w:szCs w:val="20"/>
              </w:rPr>
              <w:t xml:space="preserve">5-3    </w:t>
            </w:r>
            <w:r>
              <w:rPr>
                <w:b/>
                <w:bCs/>
                <w:spacing w:val="6"/>
                <w:sz w:val="20"/>
                <w:szCs w:val="20"/>
              </w:rPr>
              <w:t>项目工程竣工环保验收主要内容</w:t>
            </w:r>
          </w:p>
          <w:tbl>
            <w:tblPr>
              <w:tblStyle w:val="5"/>
              <w:tblW w:w="8016"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8"/>
              <w:gridCol w:w="2052"/>
              <w:gridCol w:w="5346"/>
            </w:tblGrid>
            <w:tr w14:paraId="43F12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618" w:type="dxa"/>
                  <w:textDirection w:val="tbRlV"/>
                  <w:vAlign w:val="top"/>
                </w:tcPr>
                <w:p w14:paraId="3F0B8D27">
                  <w:pPr>
                    <w:pStyle w:val="6"/>
                    <w:spacing w:before="202" w:line="218" w:lineRule="auto"/>
                    <w:ind w:left="97"/>
                    <w:rPr>
                      <w:sz w:val="20"/>
                      <w:szCs w:val="20"/>
                    </w:rPr>
                  </w:pPr>
                  <w:r>
                    <w:rPr>
                      <w:b/>
                      <w:bCs/>
                      <w:spacing w:val="6"/>
                      <w:sz w:val="20"/>
                      <w:szCs w:val="20"/>
                    </w:rPr>
                    <w:t>序</w:t>
                  </w:r>
                  <w:r>
                    <w:rPr>
                      <w:spacing w:val="29"/>
                      <w:sz w:val="20"/>
                      <w:szCs w:val="20"/>
                    </w:rPr>
                    <w:t xml:space="preserve"> </w:t>
                  </w:r>
                  <w:r>
                    <w:rPr>
                      <w:b/>
                      <w:bCs/>
                      <w:spacing w:val="6"/>
                      <w:sz w:val="20"/>
                      <w:szCs w:val="20"/>
                    </w:rPr>
                    <w:t>号</w:t>
                  </w:r>
                </w:p>
              </w:tc>
              <w:tc>
                <w:tcPr>
                  <w:tcW w:w="2052" w:type="dxa"/>
                  <w:vAlign w:val="top"/>
                </w:tcPr>
                <w:p w14:paraId="2B6377C8">
                  <w:pPr>
                    <w:pStyle w:val="6"/>
                    <w:spacing w:before="266" w:line="228" w:lineRule="auto"/>
                    <w:ind w:left="608"/>
                    <w:rPr>
                      <w:sz w:val="20"/>
                      <w:szCs w:val="20"/>
                    </w:rPr>
                  </w:pPr>
                  <w:r>
                    <w:rPr>
                      <w:b/>
                      <w:bCs/>
                      <w:spacing w:val="6"/>
                      <w:sz w:val="20"/>
                      <w:szCs w:val="20"/>
                    </w:rPr>
                    <w:t>验收对象</w:t>
                  </w:r>
                </w:p>
              </w:tc>
              <w:tc>
                <w:tcPr>
                  <w:tcW w:w="5346" w:type="dxa"/>
                  <w:vAlign w:val="top"/>
                </w:tcPr>
                <w:p w14:paraId="7069B61F">
                  <w:pPr>
                    <w:pStyle w:val="6"/>
                    <w:spacing w:before="266" w:line="228" w:lineRule="auto"/>
                    <w:ind w:left="2254"/>
                    <w:rPr>
                      <w:sz w:val="20"/>
                      <w:szCs w:val="20"/>
                    </w:rPr>
                  </w:pPr>
                  <w:r>
                    <w:rPr>
                      <w:b/>
                      <w:bCs/>
                      <w:spacing w:val="6"/>
                      <w:sz w:val="20"/>
                      <w:szCs w:val="20"/>
                    </w:rPr>
                    <w:t>验收内容</w:t>
                  </w:r>
                </w:p>
              </w:tc>
            </w:tr>
            <w:tr w14:paraId="2DE9E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18" w:type="dxa"/>
                  <w:vAlign w:val="top"/>
                </w:tcPr>
                <w:p w14:paraId="764F8F68">
                  <w:pPr>
                    <w:spacing w:before="297"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52" w:type="dxa"/>
                  <w:vAlign w:val="top"/>
                </w:tcPr>
                <w:p w14:paraId="6C86CFBB">
                  <w:pPr>
                    <w:pStyle w:val="6"/>
                    <w:spacing w:before="261" w:line="228" w:lineRule="auto"/>
                    <w:ind w:left="400"/>
                    <w:rPr>
                      <w:sz w:val="20"/>
                      <w:szCs w:val="20"/>
                    </w:rPr>
                  </w:pPr>
                  <w:r>
                    <w:rPr>
                      <w:spacing w:val="8"/>
                      <w:sz w:val="20"/>
                      <w:szCs w:val="20"/>
                    </w:rPr>
                    <w:t>相关批复文件</w:t>
                  </w:r>
                </w:p>
              </w:tc>
              <w:tc>
                <w:tcPr>
                  <w:tcW w:w="5346" w:type="dxa"/>
                  <w:vAlign w:val="top"/>
                </w:tcPr>
                <w:p w14:paraId="49B8FBE5">
                  <w:pPr>
                    <w:pStyle w:val="6"/>
                    <w:spacing w:before="92" w:line="269" w:lineRule="auto"/>
                    <w:ind w:left="1626" w:right="153" w:hanging="1465"/>
                    <w:rPr>
                      <w:sz w:val="20"/>
                      <w:szCs w:val="20"/>
                    </w:rPr>
                  </w:pPr>
                  <w:r>
                    <w:rPr>
                      <w:spacing w:val="9"/>
                      <w:sz w:val="20"/>
                      <w:szCs w:val="20"/>
                    </w:rPr>
                    <w:t xml:space="preserve">项目核准文件，相关批复文件（包括环评批复、初步设 </w:t>
                  </w:r>
                  <w:r>
                    <w:rPr>
                      <w:spacing w:val="8"/>
                      <w:sz w:val="20"/>
                      <w:szCs w:val="20"/>
                    </w:rPr>
                    <w:t>计批复等）是否齐备。</w:t>
                  </w:r>
                </w:p>
              </w:tc>
            </w:tr>
            <w:tr w14:paraId="51EA9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18" w:type="dxa"/>
                  <w:vAlign w:val="top"/>
                </w:tcPr>
                <w:p w14:paraId="20220879">
                  <w:pPr>
                    <w:spacing w:before="29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52" w:type="dxa"/>
                  <w:vAlign w:val="top"/>
                </w:tcPr>
                <w:p w14:paraId="4E96A170">
                  <w:pPr>
                    <w:pStyle w:val="6"/>
                    <w:spacing w:before="262" w:line="228" w:lineRule="auto"/>
                    <w:ind w:left="402"/>
                    <w:rPr>
                      <w:sz w:val="20"/>
                      <w:szCs w:val="20"/>
                    </w:rPr>
                  </w:pPr>
                  <w:r>
                    <w:rPr>
                      <w:spacing w:val="7"/>
                      <w:sz w:val="20"/>
                      <w:szCs w:val="20"/>
                    </w:rPr>
                    <w:t>核查工程内容</w:t>
                  </w:r>
                </w:p>
              </w:tc>
              <w:tc>
                <w:tcPr>
                  <w:tcW w:w="5346" w:type="dxa"/>
                  <w:vAlign w:val="top"/>
                </w:tcPr>
                <w:p w14:paraId="6DEDBED5">
                  <w:pPr>
                    <w:pStyle w:val="6"/>
                    <w:spacing w:before="92" w:line="269" w:lineRule="auto"/>
                    <w:ind w:left="787" w:right="153" w:hanging="627"/>
                    <w:rPr>
                      <w:sz w:val="20"/>
                      <w:szCs w:val="20"/>
                    </w:rPr>
                  </w:pPr>
                  <w:r>
                    <w:rPr>
                      <w:spacing w:val="7"/>
                      <w:sz w:val="20"/>
                      <w:szCs w:val="20"/>
                    </w:rPr>
                    <w:t>核查工程内容及设计方案变化情况，</w:t>
                  </w:r>
                  <w:r>
                    <w:rPr>
                      <w:spacing w:val="-43"/>
                      <w:sz w:val="20"/>
                      <w:szCs w:val="20"/>
                    </w:rPr>
                    <w:t xml:space="preserve"> </w:t>
                  </w:r>
                  <w:r>
                    <w:rPr>
                      <w:spacing w:val="7"/>
                      <w:sz w:val="20"/>
                      <w:szCs w:val="20"/>
                    </w:rPr>
                    <w:t>以及由此造成的环</w:t>
                  </w:r>
                  <w:r>
                    <w:rPr>
                      <w:sz w:val="20"/>
                      <w:szCs w:val="20"/>
                    </w:rPr>
                    <w:t xml:space="preserve"> </w:t>
                  </w:r>
                  <w:r>
                    <w:rPr>
                      <w:spacing w:val="8"/>
                      <w:sz w:val="20"/>
                      <w:szCs w:val="20"/>
                    </w:rPr>
                    <w:t>境影响的变化情况，是否属于重大变更。</w:t>
                  </w:r>
                </w:p>
              </w:tc>
            </w:tr>
            <w:tr w14:paraId="56877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618" w:type="dxa"/>
                  <w:vAlign w:val="top"/>
                </w:tcPr>
                <w:p w14:paraId="7C15677D">
                  <w:pPr>
                    <w:spacing w:line="407" w:lineRule="auto"/>
                    <w:rPr>
                      <w:rFonts w:ascii="Arial"/>
                      <w:sz w:val="21"/>
                    </w:rPr>
                  </w:pPr>
                </w:p>
                <w:p w14:paraId="1D235D00">
                  <w:pPr>
                    <w:spacing w:before="57"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52" w:type="dxa"/>
                  <w:vAlign w:val="top"/>
                </w:tcPr>
                <w:p w14:paraId="053879EE">
                  <w:pPr>
                    <w:spacing w:line="364" w:lineRule="auto"/>
                    <w:rPr>
                      <w:rFonts w:ascii="Arial"/>
                      <w:sz w:val="21"/>
                    </w:rPr>
                  </w:pPr>
                </w:p>
                <w:p w14:paraId="15570678">
                  <w:pPr>
                    <w:pStyle w:val="6"/>
                    <w:spacing w:before="65" w:line="228" w:lineRule="auto"/>
                    <w:ind w:left="189"/>
                    <w:rPr>
                      <w:sz w:val="20"/>
                      <w:szCs w:val="20"/>
                    </w:rPr>
                  </w:pPr>
                  <w:r>
                    <w:rPr>
                      <w:spacing w:val="8"/>
                      <w:sz w:val="20"/>
                      <w:szCs w:val="20"/>
                    </w:rPr>
                    <w:t>环保措施落实情况</w:t>
                  </w:r>
                </w:p>
              </w:tc>
              <w:tc>
                <w:tcPr>
                  <w:tcW w:w="5346" w:type="dxa"/>
                  <w:vAlign w:val="top"/>
                </w:tcPr>
                <w:p w14:paraId="7A69E2AA">
                  <w:pPr>
                    <w:pStyle w:val="6"/>
                    <w:spacing w:before="90" w:line="226" w:lineRule="auto"/>
                    <w:ind w:left="160"/>
                    <w:rPr>
                      <w:sz w:val="20"/>
                      <w:szCs w:val="20"/>
                    </w:rPr>
                  </w:pPr>
                  <w:r>
                    <w:rPr>
                      <w:spacing w:val="9"/>
                      <w:sz w:val="20"/>
                      <w:szCs w:val="20"/>
                    </w:rPr>
                    <w:t>核实环境保护设计文件、环境影响评价文件及其审批文</w:t>
                  </w:r>
                </w:p>
                <w:p w14:paraId="5FBE652C">
                  <w:pPr>
                    <w:pStyle w:val="6"/>
                    <w:spacing w:before="95" w:line="269" w:lineRule="auto"/>
                    <w:ind w:left="905" w:right="153" w:hanging="748"/>
                    <w:rPr>
                      <w:sz w:val="20"/>
                      <w:szCs w:val="20"/>
                    </w:rPr>
                  </w:pPr>
                  <w:r>
                    <w:rPr>
                      <w:spacing w:val="9"/>
                      <w:sz w:val="20"/>
                      <w:szCs w:val="20"/>
                    </w:rPr>
                    <w:t>件中提出的环境保护措施落实情况及其效果、环境风险</w:t>
                  </w:r>
                  <w:r>
                    <w:rPr>
                      <w:spacing w:val="13"/>
                      <w:sz w:val="20"/>
                      <w:szCs w:val="20"/>
                    </w:rPr>
                    <w:t xml:space="preserve"> </w:t>
                  </w:r>
                  <w:r>
                    <w:rPr>
                      <w:spacing w:val="8"/>
                      <w:sz w:val="20"/>
                      <w:szCs w:val="20"/>
                    </w:rPr>
                    <w:t>防范与应急措施落实情况及其有效性。</w:t>
                  </w:r>
                </w:p>
              </w:tc>
            </w:tr>
            <w:tr w14:paraId="2751F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18" w:type="dxa"/>
                  <w:vAlign w:val="top"/>
                </w:tcPr>
                <w:p w14:paraId="6647021D">
                  <w:pPr>
                    <w:spacing w:before="29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52" w:type="dxa"/>
                  <w:vAlign w:val="top"/>
                </w:tcPr>
                <w:p w14:paraId="41532B5F">
                  <w:pPr>
                    <w:pStyle w:val="6"/>
                    <w:spacing w:before="260" w:line="228" w:lineRule="auto"/>
                    <w:ind w:left="401"/>
                    <w:rPr>
                      <w:sz w:val="20"/>
                      <w:szCs w:val="20"/>
                    </w:rPr>
                  </w:pPr>
                  <w:r>
                    <w:rPr>
                      <w:spacing w:val="8"/>
                      <w:sz w:val="20"/>
                      <w:szCs w:val="20"/>
                    </w:rPr>
                    <w:t>敏感目标调查</w:t>
                  </w:r>
                </w:p>
              </w:tc>
              <w:tc>
                <w:tcPr>
                  <w:tcW w:w="5346" w:type="dxa"/>
                  <w:vAlign w:val="top"/>
                </w:tcPr>
                <w:p w14:paraId="1E9731B3">
                  <w:pPr>
                    <w:pStyle w:val="6"/>
                    <w:spacing w:before="91" w:line="269" w:lineRule="auto"/>
                    <w:ind w:left="1940" w:right="153" w:hanging="1780"/>
                    <w:rPr>
                      <w:sz w:val="20"/>
                      <w:szCs w:val="20"/>
                    </w:rPr>
                  </w:pPr>
                  <w:r>
                    <w:rPr>
                      <w:spacing w:val="9"/>
                      <w:sz w:val="20"/>
                      <w:szCs w:val="20"/>
                    </w:rPr>
                    <w:t xml:space="preserve">核查本项目环境敏感目标及变化情况，调查是否有新增 </w:t>
                  </w:r>
                  <w:r>
                    <w:rPr>
                      <w:spacing w:val="7"/>
                      <w:sz w:val="20"/>
                      <w:szCs w:val="20"/>
                    </w:rPr>
                    <w:t>环境敏感目标。</w:t>
                  </w:r>
                </w:p>
              </w:tc>
            </w:tr>
            <w:tr w14:paraId="06624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618" w:type="dxa"/>
                  <w:vAlign w:val="top"/>
                </w:tcPr>
                <w:p w14:paraId="41D48B1C">
                  <w:pPr>
                    <w:spacing w:line="242" w:lineRule="auto"/>
                    <w:rPr>
                      <w:rFonts w:ascii="Arial"/>
                      <w:sz w:val="21"/>
                    </w:rPr>
                  </w:pPr>
                </w:p>
                <w:p w14:paraId="0FCD3961">
                  <w:pPr>
                    <w:spacing w:before="58" w:line="192"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52" w:type="dxa"/>
                  <w:vAlign w:val="top"/>
                </w:tcPr>
                <w:p w14:paraId="20732858">
                  <w:pPr>
                    <w:pStyle w:val="6"/>
                    <w:spacing w:before="92" w:line="269" w:lineRule="auto"/>
                    <w:ind w:left="926" w:right="188" w:hanging="736"/>
                    <w:rPr>
                      <w:sz w:val="20"/>
                      <w:szCs w:val="20"/>
                    </w:rPr>
                  </w:pPr>
                  <w:r>
                    <w:rPr>
                      <w:spacing w:val="8"/>
                      <w:sz w:val="20"/>
                      <w:szCs w:val="20"/>
                    </w:rPr>
                    <w:t>污染物达标排放情</w:t>
                  </w:r>
                  <w:r>
                    <w:rPr>
                      <w:spacing w:val="2"/>
                      <w:sz w:val="20"/>
                      <w:szCs w:val="20"/>
                    </w:rPr>
                    <w:t xml:space="preserve"> </w:t>
                  </w:r>
                  <w:r>
                    <w:rPr>
                      <w:sz w:val="20"/>
                      <w:szCs w:val="20"/>
                    </w:rPr>
                    <w:t>况</w:t>
                  </w:r>
                </w:p>
              </w:tc>
              <w:tc>
                <w:tcPr>
                  <w:tcW w:w="5346" w:type="dxa"/>
                  <w:vAlign w:val="top"/>
                </w:tcPr>
                <w:p w14:paraId="1F70E34C">
                  <w:pPr>
                    <w:pStyle w:val="6"/>
                    <w:spacing w:before="92" w:line="269" w:lineRule="auto"/>
                    <w:ind w:left="797" w:right="259" w:hanging="536"/>
                    <w:rPr>
                      <w:sz w:val="20"/>
                      <w:szCs w:val="20"/>
                    </w:rPr>
                  </w:pPr>
                  <w:r>
                    <w:rPr>
                      <w:spacing w:val="9"/>
                      <w:sz w:val="20"/>
                      <w:szCs w:val="20"/>
                    </w:rPr>
                    <w:t>环评文件及其审批文件提出的主要污染和生态环境影</w:t>
                  </w:r>
                  <w:r>
                    <w:rPr>
                      <w:spacing w:val="12"/>
                      <w:sz w:val="20"/>
                      <w:szCs w:val="20"/>
                    </w:rPr>
                    <w:t xml:space="preserve"> </w:t>
                  </w:r>
                  <w:r>
                    <w:rPr>
                      <w:spacing w:val="8"/>
                      <w:sz w:val="20"/>
                      <w:szCs w:val="20"/>
                    </w:rPr>
                    <w:t>响、环境质量和主要污染因子达标情况。</w:t>
                  </w:r>
                </w:p>
              </w:tc>
            </w:tr>
            <w:tr w14:paraId="0648D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18" w:type="dxa"/>
                  <w:tcBorders>
                    <w:bottom w:val="nil"/>
                  </w:tcBorders>
                  <w:vAlign w:val="top"/>
                </w:tcPr>
                <w:p w14:paraId="0157871C">
                  <w:pPr>
                    <w:spacing w:before="12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52" w:type="dxa"/>
                  <w:tcBorders>
                    <w:bottom w:val="nil"/>
                  </w:tcBorders>
                  <w:vAlign w:val="top"/>
                </w:tcPr>
                <w:p w14:paraId="2125006F">
                  <w:pPr>
                    <w:pStyle w:val="6"/>
                    <w:spacing w:before="90" w:line="219" w:lineRule="auto"/>
                    <w:ind w:left="189"/>
                    <w:rPr>
                      <w:sz w:val="20"/>
                      <w:szCs w:val="20"/>
                    </w:rPr>
                  </w:pPr>
                  <w:r>
                    <w:rPr>
                      <w:spacing w:val="8"/>
                      <w:sz w:val="20"/>
                      <w:szCs w:val="20"/>
                    </w:rPr>
                    <w:t>环境敏感目标环境</w:t>
                  </w:r>
                </w:p>
              </w:tc>
              <w:tc>
                <w:tcPr>
                  <w:tcW w:w="5346" w:type="dxa"/>
                  <w:tcBorders>
                    <w:bottom w:val="nil"/>
                  </w:tcBorders>
                  <w:vAlign w:val="top"/>
                </w:tcPr>
                <w:p w14:paraId="1FD2E166">
                  <w:pPr>
                    <w:pStyle w:val="6"/>
                    <w:spacing w:before="90" w:line="219" w:lineRule="auto"/>
                    <w:ind w:left="158"/>
                    <w:rPr>
                      <w:sz w:val="20"/>
                      <w:szCs w:val="20"/>
                    </w:rPr>
                  </w:pPr>
                  <w:r>
                    <w:rPr>
                      <w:spacing w:val="9"/>
                      <w:sz w:val="20"/>
                      <w:szCs w:val="20"/>
                    </w:rPr>
                    <w:t>监测居民等环境敏感目标处的噪声是否满足标准要求。</w:t>
                  </w:r>
                </w:p>
              </w:tc>
            </w:tr>
          </w:tbl>
          <w:p w14:paraId="4EC11566">
            <w:pPr>
              <w:spacing w:line="14" w:lineRule="auto"/>
              <w:rPr>
                <w:rFonts w:ascii="Arial"/>
                <w:sz w:val="2"/>
              </w:rPr>
            </w:pPr>
          </w:p>
        </w:tc>
      </w:tr>
    </w:tbl>
    <w:p w14:paraId="442DE2B8">
      <w:pPr>
        <w:rPr>
          <w:rFonts w:ascii="Arial"/>
          <w:sz w:val="21"/>
        </w:rPr>
      </w:pPr>
    </w:p>
    <w:p w14:paraId="3D30D852">
      <w:pPr>
        <w:rPr>
          <w:rFonts w:ascii="Arial" w:hAnsi="Arial" w:eastAsia="Arial" w:cs="Arial"/>
          <w:sz w:val="21"/>
          <w:szCs w:val="21"/>
        </w:rPr>
        <w:sectPr>
          <w:footerReference r:id="rId169" w:type="default"/>
          <w:pgSz w:w="11907" w:h="16840"/>
          <w:pgMar w:top="1431" w:right="1453" w:bottom="1278" w:left="1453" w:header="0" w:footer="1116" w:gutter="0"/>
          <w:cols w:space="720" w:num="1"/>
        </w:sectPr>
      </w:pPr>
    </w:p>
    <w:p w14:paraId="4F1FF576">
      <w:pPr>
        <w:spacing w:line="99" w:lineRule="exact"/>
      </w:pPr>
      <w:r>
        <w:pict>
          <v:shape id="_x0000_s1086" o:spid="_x0000_s1086" style="position:absolute;left:0pt;margin-left:109.9pt;margin-top:77.5pt;height:676.75pt;width:0.5pt;mso-position-horizontal-relative:page;mso-position-vertical-relative:page;z-index:251734016;mso-width-relative:page;mso-height-relative:page;" filled="f" stroked="t" coordsize="10,13535" o:allowincell="f" path="m4,0l4,13534e">
            <v:fill on="f" focussize="0,0"/>
            <v:stroke weight="0.48pt" color="#000000" miterlimit="2" joinstyle="bevel"/>
            <v:imagedata o:title=""/>
            <o:lock v:ext="edit"/>
          </v:shape>
        </w:pict>
      </w: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39"/>
        <w:gridCol w:w="613"/>
        <w:gridCol w:w="2050"/>
        <w:gridCol w:w="5336"/>
        <w:gridCol w:w="125"/>
      </w:tblGrid>
      <w:tr w14:paraId="52D2A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1" w:type="dxa"/>
            <w:gridSpan w:val="2"/>
            <w:vMerge w:val="restart"/>
            <w:tcBorders>
              <w:top w:val="single" w:color="000000" w:sz="6" w:space="0"/>
              <w:left w:val="single" w:color="000000" w:sz="6" w:space="0"/>
              <w:bottom w:val="nil"/>
            </w:tcBorders>
            <w:vAlign w:val="top"/>
          </w:tcPr>
          <w:p w14:paraId="75A65464">
            <w:pPr>
              <w:rPr>
                <w:rFonts w:ascii="Arial"/>
                <w:sz w:val="21"/>
              </w:rPr>
            </w:pPr>
          </w:p>
        </w:tc>
        <w:tc>
          <w:tcPr>
            <w:tcW w:w="613" w:type="dxa"/>
            <w:tcBorders>
              <w:top w:val="single" w:color="000000" w:sz="6" w:space="0"/>
            </w:tcBorders>
            <w:vAlign w:val="top"/>
          </w:tcPr>
          <w:p w14:paraId="2378D670">
            <w:pPr>
              <w:rPr>
                <w:rFonts w:ascii="Arial"/>
                <w:sz w:val="21"/>
              </w:rPr>
            </w:pPr>
          </w:p>
        </w:tc>
        <w:tc>
          <w:tcPr>
            <w:tcW w:w="2050" w:type="dxa"/>
            <w:tcBorders>
              <w:top w:val="single" w:color="000000" w:sz="6" w:space="0"/>
            </w:tcBorders>
            <w:vAlign w:val="top"/>
          </w:tcPr>
          <w:p w14:paraId="78A7DC79">
            <w:pPr>
              <w:pStyle w:val="6"/>
              <w:spacing w:before="97" w:line="223" w:lineRule="auto"/>
              <w:ind w:left="605"/>
              <w:rPr>
                <w:sz w:val="20"/>
                <w:szCs w:val="20"/>
              </w:rPr>
            </w:pPr>
            <w:r>
              <w:rPr>
                <w:spacing w:val="7"/>
                <w:sz w:val="20"/>
                <w:szCs w:val="20"/>
              </w:rPr>
              <w:t>影响验证</w:t>
            </w:r>
          </w:p>
        </w:tc>
        <w:tc>
          <w:tcPr>
            <w:tcW w:w="5336" w:type="dxa"/>
            <w:tcBorders>
              <w:top w:val="single" w:color="000000" w:sz="6" w:space="0"/>
            </w:tcBorders>
            <w:vAlign w:val="top"/>
          </w:tcPr>
          <w:p w14:paraId="090DECCF">
            <w:pPr>
              <w:rPr>
                <w:rFonts w:ascii="Arial"/>
                <w:sz w:val="21"/>
              </w:rPr>
            </w:pPr>
          </w:p>
        </w:tc>
        <w:tc>
          <w:tcPr>
            <w:tcW w:w="125" w:type="dxa"/>
            <w:vMerge w:val="restart"/>
            <w:tcBorders>
              <w:top w:val="single" w:color="000000" w:sz="6" w:space="0"/>
              <w:bottom w:val="nil"/>
              <w:right w:val="single" w:color="000000" w:sz="6" w:space="0"/>
            </w:tcBorders>
            <w:vAlign w:val="top"/>
          </w:tcPr>
          <w:p w14:paraId="53AD7BE7">
            <w:pPr>
              <w:rPr>
                <w:rFonts w:ascii="Arial"/>
                <w:sz w:val="21"/>
              </w:rPr>
            </w:pPr>
          </w:p>
        </w:tc>
      </w:tr>
      <w:tr w14:paraId="62B98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61" w:type="dxa"/>
            <w:gridSpan w:val="2"/>
            <w:vMerge w:val="continue"/>
            <w:tcBorders>
              <w:top w:val="nil"/>
              <w:left w:val="single" w:color="000000" w:sz="6" w:space="0"/>
            </w:tcBorders>
            <w:vAlign w:val="top"/>
          </w:tcPr>
          <w:p w14:paraId="6B64898C">
            <w:pPr>
              <w:rPr>
                <w:rFonts w:ascii="Arial"/>
                <w:sz w:val="21"/>
              </w:rPr>
            </w:pPr>
          </w:p>
        </w:tc>
        <w:tc>
          <w:tcPr>
            <w:tcW w:w="613" w:type="dxa"/>
            <w:vAlign w:val="top"/>
          </w:tcPr>
          <w:p w14:paraId="0880872D">
            <w:pPr>
              <w:spacing w:before="132" w:line="192"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050" w:type="dxa"/>
            <w:vAlign w:val="top"/>
          </w:tcPr>
          <w:p w14:paraId="2E4B847C">
            <w:pPr>
              <w:pStyle w:val="6"/>
              <w:spacing w:before="93" w:line="221" w:lineRule="auto"/>
              <w:ind w:left="185"/>
              <w:rPr>
                <w:sz w:val="20"/>
                <w:szCs w:val="20"/>
              </w:rPr>
            </w:pPr>
            <w:r>
              <w:rPr>
                <w:spacing w:val="8"/>
                <w:sz w:val="20"/>
                <w:szCs w:val="20"/>
              </w:rPr>
              <w:t>环保制度落实情况</w:t>
            </w:r>
          </w:p>
        </w:tc>
        <w:tc>
          <w:tcPr>
            <w:tcW w:w="5336" w:type="dxa"/>
            <w:vAlign w:val="top"/>
          </w:tcPr>
          <w:p w14:paraId="428337F9">
            <w:pPr>
              <w:pStyle w:val="6"/>
              <w:spacing w:before="93" w:line="221" w:lineRule="auto"/>
              <w:ind w:left="156"/>
              <w:rPr>
                <w:sz w:val="20"/>
                <w:szCs w:val="20"/>
              </w:rPr>
            </w:pPr>
            <w:r>
              <w:rPr>
                <w:spacing w:val="9"/>
                <w:sz w:val="20"/>
                <w:szCs w:val="20"/>
              </w:rPr>
              <w:t>环境影响评价制度及其他环境保护规章制度执行情况。</w:t>
            </w:r>
          </w:p>
        </w:tc>
        <w:tc>
          <w:tcPr>
            <w:tcW w:w="125" w:type="dxa"/>
            <w:vMerge w:val="continue"/>
            <w:tcBorders>
              <w:top w:val="nil"/>
              <w:right w:val="single" w:color="000000" w:sz="6" w:space="0"/>
            </w:tcBorders>
            <w:vAlign w:val="top"/>
          </w:tcPr>
          <w:p w14:paraId="0B64A1FA">
            <w:pPr>
              <w:rPr>
                <w:rFonts w:ascii="Arial"/>
                <w:sz w:val="21"/>
              </w:rPr>
            </w:pPr>
          </w:p>
        </w:tc>
      </w:tr>
      <w:tr w14:paraId="452D8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985" w:type="dxa"/>
            <w:gridSpan w:val="6"/>
            <w:tcBorders>
              <w:left w:val="single" w:color="000000" w:sz="6" w:space="0"/>
              <w:bottom w:val="nil"/>
              <w:right w:val="single" w:color="000000" w:sz="6" w:space="0"/>
            </w:tcBorders>
            <w:vAlign w:val="top"/>
          </w:tcPr>
          <w:p w14:paraId="40B35870">
            <w:pPr>
              <w:pStyle w:val="6"/>
              <w:spacing w:before="48" w:line="310" w:lineRule="auto"/>
              <w:ind w:left="851" w:right="101" w:firstLine="483"/>
            </w:pPr>
            <w:r>
              <w:rPr>
                <w:spacing w:val="1"/>
              </w:rPr>
              <w:t>工程总投资为</w:t>
            </w:r>
            <w:r>
              <w:rPr>
                <w:rFonts w:ascii="Times New Roman" w:hAnsi="Times New Roman" w:eastAsia="Times New Roman" w:cs="Times New Roman"/>
                <w:spacing w:val="1"/>
              </w:rPr>
              <w:t>49735.85</w:t>
            </w:r>
            <w:r>
              <w:rPr>
                <w:spacing w:val="1"/>
              </w:rPr>
              <w:t>万元，本项目环保投资约</w:t>
            </w:r>
            <w:r>
              <w:rPr>
                <w:rFonts w:ascii="Times New Roman" w:hAnsi="Times New Roman" w:eastAsia="Times New Roman" w:cs="Times New Roman"/>
                <w:spacing w:val="1"/>
              </w:rPr>
              <w:t>184.6</w:t>
            </w:r>
            <w:r>
              <w:rPr>
                <w:spacing w:val="1"/>
              </w:rPr>
              <w:t>万元，</w:t>
            </w:r>
            <w:r>
              <w:rPr>
                <w:spacing w:val="-66"/>
              </w:rPr>
              <w:t xml:space="preserve"> </w:t>
            </w:r>
            <w:r>
              <w:rPr>
                <w:spacing w:val="1"/>
              </w:rPr>
              <w:t>占总投资的</w:t>
            </w:r>
            <w:r>
              <w:t xml:space="preserve"> </w:t>
            </w:r>
            <w:r>
              <w:rPr>
                <w:rFonts w:ascii="Times New Roman" w:hAnsi="Times New Roman" w:eastAsia="Times New Roman" w:cs="Times New Roman"/>
                <w:spacing w:val="-3"/>
              </w:rPr>
              <w:t>0.37%</w:t>
            </w:r>
            <w:r>
              <w:rPr>
                <w:rFonts w:ascii="Times New Roman" w:hAnsi="Times New Roman" w:eastAsia="Times New Roman" w:cs="Times New Roman"/>
                <w:spacing w:val="-23"/>
              </w:rPr>
              <w:t xml:space="preserve"> </w:t>
            </w:r>
            <w:r>
              <w:rPr>
                <w:spacing w:val="-3"/>
              </w:rPr>
              <w:t>，环保投资明细见下表。</w:t>
            </w:r>
          </w:p>
        </w:tc>
      </w:tr>
      <w:tr w14:paraId="24C5C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77" w:hRule="atLeast"/>
        </w:trPr>
        <w:tc>
          <w:tcPr>
            <w:tcW w:w="722" w:type="dxa"/>
            <w:tcBorders>
              <w:top w:val="nil"/>
              <w:left w:val="single" w:color="000000" w:sz="6" w:space="0"/>
              <w:bottom w:val="single" w:color="000000" w:sz="6" w:space="0"/>
              <w:right w:val="nil"/>
            </w:tcBorders>
            <w:vAlign w:val="top"/>
          </w:tcPr>
          <w:p w14:paraId="0C2FA96F">
            <w:pPr>
              <w:spacing w:line="248" w:lineRule="auto"/>
              <w:rPr>
                <w:rFonts w:ascii="Arial"/>
                <w:sz w:val="21"/>
              </w:rPr>
            </w:pPr>
          </w:p>
          <w:p w14:paraId="4861EC71">
            <w:pPr>
              <w:spacing w:line="248" w:lineRule="auto"/>
              <w:rPr>
                <w:rFonts w:ascii="Arial"/>
                <w:sz w:val="21"/>
              </w:rPr>
            </w:pPr>
          </w:p>
          <w:p w14:paraId="659293C0">
            <w:pPr>
              <w:spacing w:line="248" w:lineRule="auto"/>
              <w:rPr>
                <w:rFonts w:ascii="Arial"/>
                <w:sz w:val="21"/>
              </w:rPr>
            </w:pPr>
          </w:p>
          <w:p w14:paraId="41A8DB1E">
            <w:pPr>
              <w:spacing w:line="248" w:lineRule="auto"/>
              <w:rPr>
                <w:rFonts w:ascii="Arial"/>
                <w:sz w:val="21"/>
              </w:rPr>
            </w:pPr>
          </w:p>
          <w:p w14:paraId="04A26937">
            <w:pPr>
              <w:spacing w:line="248" w:lineRule="auto"/>
              <w:rPr>
                <w:rFonts w:ascii="Arial"/>
                <w:sz w:val="21"/>
              </w:rPr>
            </w:pPr>
          </w:p>
          <w:p w14:paraId="48F1E713">
            <w:pPr>
              <w:spacing w:line="248" w:lineRule="auto"/>
              <w:rPr>
                <w:rFonts w:ascii="Arial"/>
                <w:sz w:val="21"/>
              </w:rPr>
            </w:pPr>
          </w:p>
          <w:p w14:paraId="6567299B">
            <w:pPr>
              <w:spacing w:line="248" w:lineRule="auto"/>
              <w:rPr>
                <w:rFonts w:ascii="Arial"/>
                <w:sz w:val="21"/>
              </w:rPr>
            </w:pPr>
          </w:p>
          <w:p w14:paraId="379E9727">
            <w:pPr>
              <w:spacing w:line="248" w:lineRule="auto"/>
              <w:rPr>
                <w:rFonts w:ascii="Arial"/>
                <w:sz w:val="21"/>
              </w:rPr>
            </w:pPr>
          </w:p>
          <w:p w14:paraId="004AB0FB">
            <w:pPr>
              <w:spacing w:line="248" w:lineRule="auto"/>
              <w:rPr>
                <w:rFonts w:ascii="Arial"/>
                <w:sz w:val="21"/>
              </w:rPr>
            </w:pPr>
          </w:p>
          <w:p w14:paraId="4B93108E">
            <w:pPr>
              <w:spacing w:line="248" w:lineRule="auto"/>
              <w:rPr>
                <w:rFonts w:ascii="Arial"/>
                <w:sz w:val="21"/>
              </w:rPr>
            </w:pPr>
          </w:p>
          <w:p w14:paraId="65254E34">
            <w:pPr>
              <w:spacing w:line="248" w:lineRule="auto"/>
              <w:rPr>
                <w:rFonts w:ascii="Arial"/>
                <w:sz w:val="21"/>
              </w:rPr>
            </w:pPr>
          </w:p>
          <w:p w14:paraId="70599517">
            <w:pPr>
              <w:spacing w:line="248" w:lineRule="auto"/>
              <w:rPr>
                <w:rFonts w:ascii="Arial"/>
                <w:sz w:val="21"/>
              </w:rPr>
            </w:pPr>
          </w:p>
          <w:p w14:paraId="17EADE9C">
            <w:pPr>
              <w:spacing w:line="248" w:lineRule="auto"/>
              <w:rPr>
                <w:rFonts w:ascii="Arial"/>
                <w:sz w:val="21"/>
              </w:rPr>
            </w:pPr>
          </w:p>
          <w:p w14:paraId="6075BC4C">
            <w:pPr>
              <w:spacing w:line="248" w:lineRule="auto"/>
              <w:rPr>
                <w:rFonts w:ascii="Arial"/>
                <w:sz w:val="21"/>
              </w:rPr>
            </w:pPr>
          </w:p>
          <w:p w14:paraId="124A4FFB">
            <w:pPr>
              <w:spacing w:line="248" w:lineRule="auto"/>
              <w:rPr>
                <w:rFonts w:ascii="Arial"/>
                <w:sz w:val="21"/>
              </w:rPr>
            </w:pPr>
          </w:p>
          <w:p w14:paraId="49594E5D">
            <w:pPr>
              <w:spacing w:line="249" w:lineRule="auto"/>
              <w:rPr>
                <w:rFonts w:ascii="Arial"/>
                <w:sz w:val="21"/>
              </w:rPr>
            </w:pPr>
          </w:p>
          <w:p w14:paraId="3C27471A">
            <w:pPr>
              <w:spacing w:line="249" w:lineRule="auto"/>
              <w:rPr>
                <w:rFonts w:ascii="Arial"/>
                <w:sz w:val="21"/>
              </w:rPr>
            </w:pPr>
          </w:p>
          <w:p w14:paraId="46E9EA61">
            <w:pPr>
              <w:spacing w:line="249" w:lineRule="auto"/>
              <w:rPr>
                <w:rFonts w:ascii="Arial"/>
                <w:sz w:val="21"/>
              </w:rPr>
            </w:pPr>
          </w:p>
          <w:p w14:paraId="6B866468">
            <w:pPr>
              <w:spacing w:line="249" w:lineRule="auto"/>
              <w:rPr>
                <w:rFonts w:ascii="Arial"/>
                <w:sz w:val="21"/>
              </w:rPr>
            </w:pPr>
          </w:p>
          <w:p w14:paraId="07152C25">
            <w:pPr>
              <w:spacing w:line="249" w:lineRule="auto"/>
              <w:rPr>
                <w:rFonts w:ascii="Arial"/>
                <w:sz w:val="21"/>
              </w:rPr>
            </w:pPr>
          </w:p>
          <w:p w14:paraId="0D801DA1">
            <w:pPr>
              <w:spacing w:line="249" w:lineRule="auto"/>
              <w:rPr>
                <w:rFonts w:ascii="Arial"/>
                <w:sz w:val="21"/>
              </w:rPr>
            </w:pPr>
          </w:p>
          <w:p w14:paraId="6941CD1E">
            <w:pPr>
              <w:pStyle w:val="6"/>
              <w:spacing w:before="65" w:line="239" w:lineRule="auto"/>
              <w:ind w:left="164" w:right="142" w:hanging="2"/>
              <w:rPr>
                <w:sz w:val="20"/>
                <w:szCs w:val="20"/>
              </w:rPr>
            </w:pPr>
            <w:r>
              <w:rPr>
                <w:spacing w:val="4"/>
                <w:sz w:val="20"/>
                <w:szCs w:val="20"/>
              </w:rPr>
              <w:t>环保</w:t>
            </w:r>
            <w:r>
              <w:rPr>
                <w:sz w:val="20"/>
                <w:szCs w:val="20"/>
              </w:rPr>
              <w:t xml:space="preserve"> </w:t>
            </w:r>
            <w:r>
              <w:rPr>
                <w:spacing w:val="3"/>
                <w:sz w:val="20"/>
                <w:szCs w:val="20"/>
              </w:rPr>
              <w:t>投资</w:t>
            </w:r>
          </w:p>
        </w:tc>
        <w:tc>
          <w:tcPr>
            <w:tcW w:w="8263" w:type="dxa"/>
            <w:gridSpan w:val="5"/>
            <w:tcBorders>
              <w:top w:val="nil"/>
              <w:left w:val="nil"/>
              <w:bottom w:val="single" w:color="000000" w:sz="6" w:space="0"/>
              <w:right w:val="single" w:color="000000" w:sz="6" w:space="0"/>
            </w:tcBorders>
            <w:vAlign w:val="top"/>
          </w:tcPr>
          <w:p w14:paraId="0C1E980D">
            <w:pPr>
              <w:pStyle w:val="6"/>
              <w:spacing w:before="112" w:line="224" w:lineRule="auto"/>
              <w:ind w:left="2874"/>
              <w:rPr>
                <w:sz w:val="20"/>
                <w:szCs w:val="20"/>
              </w:rPr>
            </w:pPr>
            <w:r>
              <w:rPr>
                <w:b/>
                <w:bCs/>
                <w:spacing w:val="5"/>
                <w:sz w:val="20"/>
                <w:szCs w:val="20"/>
              </w:rPr>
              <w:t>表</w:t>
            </w:r>
            <w:r>
              <w:rPr>
                <w:spacing w:val="-27"/>
                <w:sz w:val="20"/>
                <w:szCs w:val="20"/>
              </w:rPr>
              <w:t xml:space="preserve"> </w:t>
            </w:r>
            <w:r>
              <w:rPr>
                <w:rFonts w:ascii="Times New Roman" w:hAnsi="Times New Roman" w:eastAsia="Times New Roman" w:cs="Times New Roman"/>
                <w:b/>
                <w:bCs/>
                <w:spacing w:val="5"/>
                <w:sz w:val="20"/>
                <w:szCs w:val="20"/>
              </w:rPr>
              <w:t xml:space="preserve">5-4  </w:t>
            </w:r>
            <w:r>
              <w:rPr>
                <w:b/>
                <w:bCs/>
                <w:spacing w:val="5"/>
                <w:sz w:val="20"/>
                <w:szCs w:val="20"/>
              </w:rPr>
              <w:t>项目环保投资一览表</w:t>
            </w:r>
          </w:p>
          <w:tbl>
            <w:tblPr>
              <w:tblStyle w:val="5"/>
              <w:tblW w:w="8016" w:type="dxa"/>
              <w:tblInd w:w="1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8"/>
              <w:gridCol w:w="1151"/>
              <w:gridCol w:w="4571"/>
              <w:gridCol w:w="1386"/>
            </w:tblGrid>
            <w:tr w14:paraId="7ACE1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08" w:type="dxa"/>
                  <w:vAlign w:val="top"/>
                </w:tcPr>
                <w:p w14:paraId="7DB74AD1">
                  <w:pPr>
                    <w:pStyle w:val="6"/>
                    <w:spacing w:before="170" w:line="229" w:lineRule="auto"/>
                    <w:ind w:left="258"/>
                    <w:rPr>
                      <w:sz w:val="20"/>
                      <w:szCs w:val="20"/>
                    </w:rPr>
                  </w:pPr>
                  <w:r>
                    <w:rPr>
                      <w:b/>
                      <w:bCs/>
                      <w:spacing w:val="-1"/>
                      <w:sz w:val="20"/>
                      <w:szCs w:val="20"/>
                    </w:rPr>
                    <w:t>阶段</w:t>
                  </w:r>
                </w:p>
              </w:tc>
              <w:tc>
                <w:tcPr>
                  <w:tcW w:w="1151" w:type="dxa"/>
                  <w:vAlign w:val="top"/>
                </w:tcPr>
                <w:p w14:paraId="7DB9EA99">
                  <w:pPr>
                    <w:pStyle w:val="6"/>
                    <w:spacing w:before="170" w:line="228" w:lineRule="auto"/>
                    <w:ind w:left="371"/>
                    <w:rPr>
                      <w:sz w:val="20"/>
                      <w:szCs w:val="20"/>
                    </w:rPr>
                  </w:pPr>
                  <w:r>
                    <w:rPr>
                      <w:b/>
                      <w:bCs/>
                      <w:spacing w:val="2"/>
                      <w:sz w:val="20"/>
                      <w:szCs w:val="20"/>
                    </w:rPr>
                    <w:t>项目</w:t>
                  </w:r>
                </w:p>
              </w:tc>
              <w:tc>
                <w:tcPr>
                  <w:tcW w:w="4571" w:type="dxa"/>
                  <w:vAlign w:val="top"/>
                </w:tcPr>
                <w:p w14:paraId="4E6CE22C">
                  <w:pPr>
                    <w:pStyle w:val="6"/>
                    <w:spacing w:before="170" w:line="228" w:lineRule="auto"/>
                    <w:ind w:left="2080"/>
                    <w:rPr>
                      <w:sz w:val="20"/>
                      <w:szCs w:val="20"/>
                    </w:rPr>
                  </w:pPr>
                  <w:r>
                    <w:rPr>
                      <w:b/>
                      <w:bCs/>
                      <w:spacing w:val="3"/>
                      <w:sz w:val="20"/>
                      <w:szCs w:val="20"/>
                    </w:rPr>
                    <w:t>措施</w:t>
                  </w:r>
                </w:p>
              </w:tc>
              <w:tc>
                <w:tcPr>
                  <w:tcW w:w="1386" w:type="dxa"/>
                  <w:vAlign w:val="top"/>
                </w:tcPr>
                <w:p w14:paraId="3A9CB5C6">
                  <w:pPr>
                    <w:pStyle w:val="6"/>
                    <w:spacing w:before="34" w:line="235" w:lineRule="auto"/>
                    <w:ind w:left="489" w:right="108" w:hanging="371"/>
                    <w:rPr>
                      <w:sz w:val="20"/>
                      <w:szCs w:val="20"/>
                    </w:rPr>
                  </w:pPr>
                  <w:r>
                    <w:rPr>
                      <w:b/>
                      <w:bCs/>
                      <w:spacing w:val="-10"/>
                      <w:sz w:val="20"/>
                      <w:szCs w:val="20"/>
                    </w:rPr>
                    <w:t>投资金额（万</w:t>
                  </w:r>
                  <w:r>
                    <w:rPr>
                      <w:sz w:val="20"/>
                      <w:szCs w:val="20"/>
                    </w:rPr>
                    <w:t xml:space="preserve"> </w:t>
                  </w:r>
                  <w:r>
                    <w:rPr>
                      <w:b/>
                      <w:bCs/>
                      <w:spacing w:val="-3"/>
                      <w:sz w:val="20"/>
                      <w:szCs w:val="20"/>
                    </w:rPr>
                    <w:t>元）</w:t>
                  </w:r>
                </w:p>
              </w:tc>
            </w:tr>
            <w:tr w14:paraId="7E651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08" w:type="dxa"/>
                  <w:vMerge w:val="restart"/>
                  <w:tcBorders>
                    <w:bottom w:val="nil"/>
                  </w:tcBorders>
                  <w:vAlign w:val="top"/>
                </w:tcPr>
                <w:p w14:paraId="740B8275">
                  <w:pPr>
                    <w:spacing w:line="250" w:lineRule="auto"/>
                    <w:rPr>
                      <w:rFonts w:ascii="Arial"/>
                      <w:sz w:val="21"/>
                    </w:rPr>
                  </w:pPr>
                </w:p>
                <w:p w14:paraId="72CCCAD7">
                  <w:pPr>
                    <w:spacing w:line="250" w:lineRule="auto"/>
                    <w:rPr>
                      <w:rFonts w:ascii="Arial"/>
                      <w:sz w:val="21"/>
                    </w:rPr>
                  </w:pPr>
                </w:p>
                <w:p w14:paraId="35F0D10B">
                  <w:pPr>
                    <w:spacing w:line="251" w:lineRule="auto"/>
                    <w:rPr>
                      <w:rFonts w:ascii="Arial"/>
                      <w:sz w:val="21"/>
                    </w:rPr>
                  </w:pPr>
                </w:p>
                <w:p w14:paraId="0B86032E">
                  <w:pPr>
                    <w:pStyle w:val="6"/>
                    <w:spacing w:before="65" w:line="228" w:lineRule="auto"/>
                    <w:ind w:left="142"/>
                    <w:rPr>
                      <w:sz w:val="20"/>
                      <w:szCs w:val="20"/>
                    </w:rPr>
                  </w:pPr>
                  <w:r>
                    <w:rPr>
                      <w:spacing w:val="7"/>
                      <w:sz w:val="20"/>
                      <w:szCs w:val="20"/>
                    </w:rPr>
                    <w:t>施工期</w:t>
                  </w:r>
                </w:p>
              </w:tc>
              <w:tc>
                <w:tcPr>
                  <w:tcW w:w="1151" w:type="dxa"/>
                  <w:vAlign w:val="top"/>
                </w:tcPr>
                <w:p w14:paraId="23765C32">
                  <w:pPr>
                    <w:pStyle w:val="6"/>
                    <w:spacing w:before="30" w:line="218" w:lineRule="auto"/>
                    <w:ind w:left="370"/>
                    <w:rPr>
                      <w:sz w:val="20"/>
                      <w:szCs w:val="20"/>
                    </w:rPr>
                  </w:pPr>
                  <w:r>
                    <w:rPr>
                      <w:spacing w:val="5"/>
                      <w:sz w:val="20"/>
                      <w:szCs w:val="20"/>
                    </w:rPr>
                    <w:t>废气</w:t>
                  </w:r>
                </w:p>
              </w:tc>
              <w:tc>
                <w:tcPr>
                  <w:tcW w:w="4571" w:type="dxa"/>
                  <w:vAlign w:val="top"/>
                </w:tcPr>
                <w:p w14:paraId="34D2407C">
                  <w:pPr>
                    <w:pStyle w:val="6"/>
                    <w:spacing w:before="30" w:line="218" w:lineRule="auto"/>
                    <w:ind w:left="364"/>
                    <w:rPr>
                      <w:sz w:val="20"/>
                      <w:szCs w:val="20"/>
                    </w:rPr>
                  </w:pPr>
                  <w:r>
                    <w:rPr>
                      <w:rFonts w:ascii="Times New Roman" w:hAnsi="Times New Roman" w:eastAsia="Times New Roman" w:cs="Times New Roman"/>
                      <w:spacing w:val="8"/>
                      <w:sz w:val="20"/>
                      <w:szCs w:val="20"/>
                    </w:rPr>
                    <w:t>1</w:t>
                  </w:r>
                  <w:r>
                    <w:rPr>
                      <w:spacing w:val="8"/>
                      <w:sz w:val="20"/>
                      <w:szCs w:val="20"/>
                    </w:rPr>
                    <w:t>辆洒水车、洒水降尘、防尘网等临时围挡</w:t>
                  </w:r>
                </w:p>
              </w:tc>
              <w:tc>
                <w:tcPr>
                  <w:tcW w:w="1386" w:type="dxa"/>
                  <w:vAlign w:val="top"/>
                </w:tcPr>
                <w:p w14:paraId="08070027">
                  <w:pPr>
                    <w:spacing w:before="67"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r>
            <w:tr w14:paraId="2F628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908" w:type="dxa"/>
                  <w:vMerge w:val="continue"/>
                  <w:tcBorders>
                    <w:top w:val="nil"/>
                    <w:bottom w:val="nil"/>
                  </w:tcBorders>
                  <w:vAlign w:val="top"/>
                </w:tcPr>
                <w:p w14:paraId="17DEBB6D">
                  <w:pPr>
                    <w:rPr>
                      <w:rFonts w:ascii="Arial"/>
                      <w:sz w:val="21"/>
                    </w:rPr>
                  </w:pPr>
                </w:p>
              </w:tc>
              <w:tc>
                <w:tcPr>
                  <w:tcW w:w="1151" w:type="dxa"/>
                  <w:vMerge w:val="restart"/>
                  <w:tcBorders>
                    <w:bottom w:val="nil"/>
                  </w:tcBorders>
                  <w:vAlign w:val="top"/>
                </w:tcPr>
                <w:p w14:paraId="02D12FD9">
                  <w:pPr>
                    <w:spacing w:line="472" w:lineRule="auto"/>
                    <w:rPr>
                      <w:rFonts w:ascii="Arial"/>
                      <w:sz w:val="21"/>
                    </w:rPr>
                  </w:pPr>
                </w:p>
                <w:p w14:paraId="3563F0EC">
                  <w:pPr>
                    <w:pStyle w:val="6"/>
                    <w:spacing w:before="65" w:line="228" w:lineRule="auto"/>
                    <w:ind w:left="370"/>
                    <w:rPr>
                      <w:sz w:val="20"/>
                      <w:szCs w:val="20"/>
                    </w:rPr>
                  </w:pPr>
                  <w:r>
                    <w:rPr>
                      <w:spacing w:val="5"/>
                      <w:sz w:val="20"/>
                      <w:szCs w:val="20"/>
                    </w:rPr>
                    <w:t>废水</w:t>
                  </w:r>
                </w:p>
              </w:tc>
              <w:tc>
                <w:tcPr>
                  <w:tcW w:w="4571" w:type="dxa"/>
                  <w:vAlign w:val="top"/>
                </w:tcPr>
                <w:p w14:paraId="5621CCC8">
                  <w:pPr>
                    <w:pStyle w:val="6"/>
                    <w:spacing w:before="125" w:line="228" w:lineRule="auto"/>
                    <w:ind w:left="191"/>
                    <w:rPr>
                      <w:sz w:val="20"/>
                      <w:szCs w:val="20"/>
                    </w:rPr>
                  </w:pPr>
                  <w:r>
                    <w:rPr>
                      <w:spacing w:val="6"/>
                      <w:sz w:val="20"/>
                      <w:szCs w:val="20"/>
                    </w:rPr>
                    <w:t>升压站施工场地设</w:t>
                  </w:r>
                  <w:r>
                    <w:rPr>
                      <w:spacing w:val="-15"/>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座</w:t>
                  </w:r>
                  <w:r>
                    <w:rPr>
                      <w:spacing w:val="-37"/>
                      <w:sz w:val="20"/>
                      <w:szCs w:val="20"/>
                    </w:rPr>
                    <w:t xml:space="preserve"> </w:t>
                  </w:r>
                  <w:r>
                    <w:rPr>
                      <w:rFonts w:ascii="Times New Roman" w:hAnsi="Times New Roman" w:eastAsia="Times New Roman" w:cs="Times New Roman"/>
                      <w:spacing w:val="6"/>
                      <w:sz w:val="20"/>
                      <w:szCs w:val="20"/>
                    </w:rPr>
                    <w:t>5m</w:t>
                  </w:r>
                  <w:r>
                    <w:rPr>
                      <w:rFonts w:ascii="Times New Roman" w:hAnsi="Times New Roman" w:eastAsia="Times New Roman" w:cs="Times New Roman"/>
                      <w:spacing w:val="6"/>
                      <w:position w:val="6"/>
                      <w:sz w:val="13"/>
                      <w:szCs w:val="13"/>
                    </w:rPr>
                    <w:t xml:space="preserve">3 </w:t>
                  </w:r>
                  <w:r>
                    <w:rPr>
                      <w:spacing w:val="6"/>
                      <w:sz w:val="20"/>
                      <w:szCs w:val="20"/>
                    </w:rPr>
                    <w:t>施工废水的沉淀池</w:t>
                  </w:r>
                </w:p>
              </w:tc>
              <w:tc>
                <w:tcPr>
                  <w:tcW w:w="1386" w:type="dxa"/>
                  <w:vAlign w:val="top"/>
                </w:tcPr>
                <w:p w14:paraId="51AC85E3">
                  <w:pPr>
                    <w:spacing w:before="164" w:line="195" w:lineRule="auto"/>
                    <w:ind w:left="66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D235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08" w:type="dxa"/>
                  <w:vMerge w:val="continue"/>
                  <w:tcBorders>
                    <w:top w:val="nil"/>
                    <w:bottom w:val="nil"/>
                  </w:tcBorders>
                  <w:vAlign w:val="top"/>
                </w:tcPr>
                <w:p w14:paraId="3C9C7119">
                  <w:pPr>
                    <w:rPr>
                      <w:rFonts w:ascii="Arial"/>
                      <w:sz w:val="21"/>
                    </w:rPr>
                  </w:pPr>
                </w:p>
              </w:tc>
              <w:tc>
                <w:tcPr>
                  <w:tcW w:w="1151" w:type="dxa"/>
                  <w:vMerge w:val="continue"/>
                  <w:tcBorders>
                    <w:top w:val="nil"/>
                  </w:tcBorders>
                  <w:vAlign w:val="top"/>
                </w:tcPr>
                <w:p w14:paraId="5356C4A3">
                  <w:pPr>
                    <w:rPr>
                      <w:rFonts w:ascii="Arial"/>
                      <w:sz w:val="21"/>
                    </w:rPr>
                  </w:pPr>
                </w:p>
              </w:tc>
              <w:tc>
                <w:tcPr>
                  <w:tcW w:w="4571" w:type="dxa"/>
                  <w:vAlign w:val="top"/>
                </w:tcPr>
                <w:p w14:paraId="10CE2C4F">
                  <w:pPr>
                    <w:pStyle w:val="6"/>
                    <w:spacing w:before="32" w:line="228" w:lineRule="auto"/>
                    <w:ind w:left="114"/>
                    <w:rPr>
                      <w:sz w:val="20"/>
                      <w:szCs w:val="20"/>
                    </w:rPr>
                  </w:pPr>
                  <w:r>
                    <w:rPr>
                      <w:spacing w:val="7"/>
                      <w:sz w:val="20"/>
                      <w:szCs w:val="20"/>
                    </w:rPr>
                    <w:t>升压站区排水沟；道路工程区排水沟，及排</w:t>
                  </w:r>
                  <w:r>
                    <w:rPr>
                      <w:spacing w:val="6"/>
                      <w:sz w:val="20"/>
                      <w:szCs w:val="20"/>
                    </w:rPr>
                    <w:t>水沟</w:t>
                  </w:r>
                </w:p>
                <w:p w14:paraId="6438FED2">
                  <w:pPr>
                    <w:pStyle w:val="6"/>
                    <w:spacing w:before="24" w:line="228" w:lineRule="auto"/>
                    <w:ind w:left="160"/>
                    <w:rPr>
                      <w:sz w:val="20"/>
                      <w:szCs w:val="20"/>
                    </w:rPr>
                  </w:pPr>
                  <w:r>
                    <w:rPr>
                      <w:spacing w:val="8"/>
                      <w:sz w:val="20"/>
                      <w:szCs w:val="20"/>
                    </w:rPr>
                    <w:t>末端设置沉沙池；</w:t>
                  </w:r>
                  <w:r>
                    <w:rPr>
                      <w:spacing w:val="-9"/>
                      <w:sz w:val="20"/>
                      <w:szCs w:val="20"/>
                    </w:rPr>
                    <w:t xml:space="preserve"> </w:t>
                  </w:r>
                  <w:r>
                    <w:rPr>
                      <w:spacing w:val="8"/>
                      <w:sz w:val="20"/>
                      <w:szCs w:val="20"/>
                    </w:rPr>
                    <w:t>施工场地临时排水沟，及排</w:t>
                  </w:r>
                </w:p>
                <w:p w14:paraId="7700C6CC">
                  <w:pPr>
                    <w:pStyle w:val="6"/>
                    <w:spacing w:before="24" w:line="218" w:lineRule="auto"/>
                    <w:ind w:left="1243"/>
                    <w:rPr>
                      <w:sz w:val="20"/>
                      <w:szCs w:val="20"/>
                    </w:rPr>
                  </w:pPr>
                  <w:r>
                    <w:rPr>
                      <w:spacing w:val="8"/>
                      <w:sz w:val="20"/>
                      <w:szCs w:val="20"/>
                    </w:rPr>
                    <w:t>水沟末端设置沉沙池等</w:t>
                  </w:r>
                </w:p>
              </w:tc>
              <w:tc>
                <w:tcPr>
                  <w:tcW w:w="1386" w:type="dxa"/>
                  <w:vAlign w:val="top"/>
                </w:tcPr>
                <w:p w14:paraId="2BDB70D7">
                  <w:pPr>
                    <w:pStyle w:val="6"/>
                    <w:spacing w:before="167" w:line="241" w:lineRule="auto"/>
                    <w:ind w:left="601" w:right="166" w:hanging="428"/>
                    <w:rPr>
                      <w:sz w:val="20"/>
                      <w:szCs w:val="20"/>
                    </w:rPr>
                  </w:pPr>
                  <w:r>
                    <w:rPr>
                      <w:spacing w:val="8"/>
                      <w:sz w:val="20"/>
                      <w:szCs w:val="20"/>
                    </w:rPr>
                    <w:t>计入水保投</w:t>
                  </w:r>
                  <w:r>
                    <w:rPr>
                      <w:sz w:val="20"/>
                      <w:szCs w:val="20"/>
                    </w:rPr>
                    <w:t xml:space="preserve"> 资</w:t>
                  </w:r>
                </w:p>
              </w:tc>
            </w:tr>
            <w:tr w14:paraId="1B6D5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08" w:type="dxa"/>
                  <w:vMerge w:val="continue"/>
                  <w:tcBorders>
                    <w:top w:val="nil"/>
                  </w:tcBorders>
                  <w:vAlign w:val="top"/>
                </w:tcPr>
                <w:p w14:paraId="67415D57">
                  <w:pPr>
                    <w:rPr>
                      <w:rFonts w:ascii="Arial"/>
                      <w:sz w:val="21"/>
                    </w:rPr>
                  </w:pPr>
                </w:p>
              </w:tc>
              <w:tc>
                <w:tcPr>
                  <w:tcW w:w="1151" w:type="dxa"/>
                  <w:vAlign w:val="top"/>
                </w:tcPr>
                <w:p w14:paraId="5DE0280E">
                  <w:pPr>
                    <w:pStyle w:val="6"/>
                    <w:spacing w:before="31" w:line="218" w:lineRule="auto"/>
                    <w:ind w:left="388"/>
                    <w:rPr>
                      <w:sz w:val="20"/>
                      <w:szCs w:val="20"/>
                    </w:rPr>
                  </w:pPr>
                  <w:r>
                    <w:rPr>
                      <w:spacing w:val="-5"/>
                      <w:sz w:val="20"/>
                      <w:szCs w:val="20"/>
                    </w:rPr>
                    <w:t>固废</w:t>
                  </w:r>
                </w:p>
              </w:tc>
              <w:tc>
                <w:tcPr>
                  <w:tcW w:w="4571" w:type="dxa"/>
                  <w:vAlign w:val="top"/>
                </w:tcPr>
                <w:p w14:paraId="74F9F206">
                  <w:pPr>
                    <w:pStyle w:val="6"/>
                    <w:spacing w:before="31" w:line="218" w:lineRule="auto"/>
                    <w:ind w:left="1031"/>
                    <w:rPr>
                      <w:sz w:val="20"/>
                      <w:szCs w:val="20"/>
                    </w:rPr>
                  </w:pPr>
                  <w:r>
                    <w:rPr>
                      <w:spacing w:val="9"/>
                      <w:sz w:val="20"/>
                      <w:szCs w:val="20"/>
                    </w:rPr>
                    <w:t>施工营地区设置若干垃圾桶</w:t>
                  </w:r>
                </w:p>
              </w:tc>
              <w:tc>
                <w:tcPr>
                  <w:tcW w:w="1386" w:type="dxa"/>
                  <w:vAlign w:val="top"/>
                </w:tcPr>
                <w:p w14:paraId="5A820B7A">
                  <w:pPr>
                    <w:spacing w:before="67"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2D199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08" w:type="dxa"/>
                  <w:vMerge w:val="restart"/>
                  <w:tcBorders>
                    <w:bottom w:val="nil"/>
                  </w:tcBorders>
                  <w:vAlign w:val="top"/>
                </w:tcPr>
                <w:p w14:paraId="69CF8DD3">
                  <w:pPr>
                    <w:rPr>
                      <w:rFonts w:ascii="Arial"/>
                      <w:sz w:val="21"/>
                    </w:rPr>
                  </w:pPr>
                </w:p>
                <w:p w14:paraId="1BFA5902">
                  <w:pPr>
                    <w:rPr>
                      <w:rFonts w:ascii="Arial"/>
                      <w:sz w:val="21"/>
                    </w:rPr>
                  </w:pPr>
                </w:p>
                <w:p w14:paraId="33F6D76F">
                  <w:pPr>
                    <w:rPr>
                      <w:rFonts w:ascii="Arial"/>
                      <w:sz w:val="21"/>
                    </w:rPr>
                  </w:pPr>
                </w:p>
                <w:p w14:paraId="03F0AA1F">
                  <w:pPr>
                    <w:spacing w:line="241" w:lineRule="auto"/>
                    <w:rPr>
                      <w:rFonts w:ascii="Arial"/>
                      <w:sz w:val="21"/>
                    </w:rPr>
                  </w:pPr>
                </w:p>
                <w:p w14:paraId="3A330F94">
                  <w:pPr>
                    <w:spacing w:line="241" w:lineRule="auto"/>
                    <w:rPr>
                      <w:rFonts w:ascii="Arial"/>
                      <w:sz w:val="21"/>
                    </w:rPr>
                  </w:pPr>
                </w:p>
                <w:p w14:paraId="30CFE84C">
                  <w:pPr>
                    <w:spacing w:line="241" w:lineRule="auto"/>
                    <w:rPr>
                      <w:rFonts w:ascii="Arial"/>
                      <w:sz w:val="21"/>
                    </w:rPr>
                  </w:pPr>
                </w:p>
                <w:p w14:paraId="44CC0EA9">
                  <w:pPr>
                    <w:spacing w:line="241" w:lineRule="auto"/>
                    <w:rPr>
                      <w:rFonts w:ascii="Arial"/>
                      <w:sz w:val="21"/>
                    </w:rPr>
                  </w:pPr>
                </w:p>
                <w:p w14:paraId="071F3996">
                  <w:pPr>
                    <w:spacing w:line="241" w:lineRule="auto"/>
                    <w:rPr>
                      <w:rFonts w:ascii="Arial"/>
                      <w:sz w:val="21"/>
                    </w:rPr>
                  </w:pPr>
                </w:p>
                <w:p w14:paraId="2D7F1F28">
                  <w:pPr>
                    <w:spacing w:line="241" w:lineRule="auto"/>
                    <w:rPr>
                      <w:rFonts w:ascii="Arial"/>
                      <w:sz w:val="21"/>
                    </w:rPr>
                  </w:pPr>
                </w:p>
                <w:p w14:paraId="0B576207">
                  <w:pPr>
                    <w:spacing w:line="241" w:lineRule="auto"/>
                    <w:rPr>
                      <w:rFonts w:ascii="Arial"/>
                      <w:sz w:val="21"/>
                    </w:rPr>
                  </w:pPr>
                </w:p>
                <w:p w14:paraId="58ABC4CB">
                  <w:pPr>
                    <w:spacing w:line="241" w:lineRule="auto"/>
                    <w:rPr>
                      <w:rFonts w:ascii="Arial"/>
                      <w:sz w:val="21"/>
                    </w:rPr>
                  </w:pPr>
                </w:p>
                <w:p w14:paraId="21AA220D">
                  <w:pPr>
                    <w:spacing w:line="241" w:lineRule="auto"/>
                    <w:rPr>
                      <w:rFonts w:ascii="Arial"/>
                      <w:sz w:val="21"/>
                    </w:rPr>
                  </w:pPr>
                </w:p>
                <w:p w14:paraId="26C32D04">
                  <w:pPr>
                    <w:spacing w:line="241" w:lineRule="auto"/>
                    <w:rPr>
                      <w:rFonts w:ascii="Arial"/>
                      <w:sz w:val="21"/>
                    </w:rPr>
                  </w:pPr>
                </w:p>
                <w:p w14:paraId="277ABB54">
                  <w:pPr>
                    <w:pStyle w:val="6"/>
                    <w:spacing w:before="65" w:line="228" w:lineRule="auto"/>
                    <w:ind w:left="143"/>
                    <w:rPr>
                      <w:sz w:val="20"/>
                      <w:szCs w:val="20"/>
                    </w:rPr>
                  </w:pPr>
                  <w:r>
                    <w:rPr>
                      <w:spacing w:val="6"/>
                      <w:sz w:val="20"/>
                      <w:szCs w:val="20"/>
                    </w:rPr>
                    <w:t>运营期</w:t>
                  </w:r>
                </w:p>
              </w:tc>
              <w:tc>
                <w:tcPr>
                  <w:tcW w:w="1151" w:type="dxa"/>
                  <w:vAlign w:val="top"/>
                </w:tcPr>
                <w:p w14:paraId="1FC6012E">
                  <w:pPr>
                    <w:pStyle w:val="6"/>
                    <w:spacing w:before="31" w:line="217" w:lineRule="auto"/>
                    <w:ind w:left="370"/>
                    <w:rPr>
                      <w:sz w:val="20"/>
                      <w:szCs w:val="20"/>
                    </w:rPr>
                  </w:pPr>
                  <w:r>
                    <w:rPr>
                      <w:spacing w:val="5"/>
                      <w:sz w:val="20"/>
                      <w:szCs w:val="20"/>
                    </w:rPr>
                    <w:t>废气</w:t>
                  </w:r>
                </w:p>
              </w:tc>
              <w:tc>
                <w:tcPr>
                  <w:tcW w:w="4571" w:type="dxa"/>
                  <w:vAlign w:val="top"/>
                </w:tcPr>
                <w:p w14:paraId="0173077A">
                  <w:pPr>
                    <w:pStyle w:val="6"/>
                    <w:spacing w:before="31" w:line="217" w:lineRule="auto"/>
                    <w:ind w:left="1703"/>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3"/>
                      <w:w w:val="101"/>
                      <w:sz w:val="20"/>
                      <w:szCs w:val="20"/>
                    </w:rPr>
                    <w:t xml:space="preserve"> </w:t>
                  </w:r>
                  <w:r>
                    <w:rPr>
                      <w:spacing w:val="3"/>
                      <w:sz w:val="20"/>
                      <w:szCs w:val="20"/>
                    </w:rPr>
                    <w:t>套抽油烟机</w:t>
                  </w:r>
                </w:p>
              </w:tc>
              <w:tc>
                <w:tcPr>
                  <w:tcW w:w="1386" w:type="dxa"/>
                  <w:vAlign w:val="top"/>
                </w:tcPr>
                <w:p w14:paraId="6A4704B1">
                  <w:pPr>
                    <w:spacing w:before="67"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596AF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08" w:type="dxa"/>
                  <w:vMerge w:val="continue"/>
                  <w:tcBorders>
                    <w:top w:val="nil"/>
                    <w:bottom w:val="nil"/>
                  </w:tcBorders>
                  <w:vAlign w:val="top"/>
                </w:tcPr>
                <w:p w14:paraId="01DB33FB">
                  <w:pPr>
                    <w:rPr>
                      <w:rFonts w:ascii="Arial"/>
                      <w:sz w:val="21"/>
                    </w:rPr>
                  </w:pPr>
                </w:p>
              </w:tc>
              <w:tc>
                <w:tcPr>
                  <w:tcW w:w="1151" w:type="dxa"/>
                  <w:vMerge w:val="restart"/>
                  <w:tcBorders>
                    <w:bottom w:val="nil"/>
                  </w:tcBorders>
                  <w:vAlign w:val="top"/>
                </w:tcPr>
                <w:p w14:paraId="740A1105">
                  <w:pPr>
                    <w:spacing w:line="375" w:lineRule="auto"/>
                    <w:rPr>
                      <w:rFonts w:ascii="Arial"/>
                      <w:sz w:val="21"/>
                    </w:rPr>
                  </w:pPr>
                </w:p>
                <w:p w14:paraId="10CF0949">
                  <w:pPr>
                    <w:pStyle w:val="6"/>
                    <w:spacing w:before="65" w:line="228" w:lineRule="auto"/>
                    <w:ind w:left="370"/>
                    <w:rPr>
                      <w:sz w:val="20"/>
                      <w:szCs w:val="20"/>
                    </w:rPr>
                  </w:pPr>
                  <w:r>
                    <w:rPr>
                      <w:spacing w:val="5"/>
                      <w:sz w:val="20"/>
                      <w:szCs w:val="20"/>
                    </w:rPr>
                    <w:t>废水</w:t>
                  </w:r>
                </w:p>
              </w:tc>
              <w:tc>
                <w:tcPr>
                  <w:tcW w:w="4571" w:type="dxa"/>
                  <w:vAlign w:val="top"/>
                </w:tcPr>
                <w:p w14:paraId="0AB83573">
                  <w:pPr>
                    <w:pStyle w:val="6"/>
                    <w:spacing w:before="30" w:line="218" w:lineRule="auto"/>
                    <w:ind w:left="1242"/>
                    <w:rPr>
                      <w:sz w:val="20"/>
                      <w:szCs w:val="20"/>
                    </w:rPr>
                  </w:pPr>
                  <w:r>
                    <w:rPr>
                      <w:spacing w:val="8"/>
                      <w:sz w:val="20"/>
                      <w:szCs w:val="20"/>
                    </w:rPr>
                    <w:t>光伏场区雨污分流系统</w:t>
                  </w:r>
                </w:p>
              </w:tc>
              <w:tc>
                <w:tcPr>
                  <w:tcW w:w="1386" w:type="dxa"/>
                  <w:vMerge w:val="restart"/>
                  <w:tcBorders>
                    <w:bottom w:val="nil"/>
                  </w:tcBorders>
                  <w:vAlign w:val="top"/>
                </w:tcPr>
                <w:p w14:paraId="192466C4">
                  <w:pPr>
                    <w:spacing w:line="419" w:lineRule="auto"/>
                    <w:rPr>
                      <w:rFonts w:ascii="Arial"/>
                      <w:sz w:val="21"/>
                    </w:rPr>
                  </w:pPr>
                </w:p>
                <w:p w14:paraId="519012B9">
                  <w:pPr>
                    <w:spacing w:before="57"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2B484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08" w:type="dxa"/>
                  <w:vMerge w:val="continue"/>
                  <w:tcBorders>
                    <w:top w:val="nil"/>
                    <w:bottom w:val="nil"/>
                  </w:tcBorders>
                  <w:vAlign w:val="top"/>
                </w:tcPr>
                <w:p w14:paraId="0DDF8A9A">
                  <w:pPr>
                    <w:rPr>
                      <w:rFonts w:ascii="Arial"/>
                      <w:sz w:val="21"/>
                    </w:rPr>
                  </w:pPr>
                </w:p>
              </w:tc>
              <w:tc>
                <w:tcPr>
                  <w:tcW w:w="1151" w:type="dxa"/>
                  <w:vMerge w:val="continue"/>
                  <w:tcBorders>
                    <w:top w:val="nil"/>
                  </w:tcBorders>
                  <w:vAlign w:val="top"/>
                </w:tcPr>
                <w:p w14:paraId="247A4D68">
                  <w:pPr>
                    <w:rPr>
                      <w:rFonts w:ascii="Arial"/>
                      <w:sz w:val="21"/>
                    </w:rPr>
                  </w:pPr>
                </w:p>
              </w:tc>
              <w:tc>
                <w:tcPr>
                  <w:tcW w:w="4571" w:type="dxa"/>
                  <w:vAlign w:val="top"/>
                </w:tcPr>
                <w:p w14:paraId="2D9B8508">
                  <w:pPr>
                    <w:pStyle w:val="6"/>
                    <w:spacing w:before="31" w:line="228" w:lineRule="auto"/>
                    <w:ind w:left="179"/>
                    <w:rPr>
                      <w:sz w:val="20"/>
                      <w:szCs w:val="20"/>
                    </w:rPr>
                  </w:pPr>
                  <w:r>
                    <w:rPr>
                      <w:rFonts w:ascii="Times New Roman" w:hAnsi="Times New Roman" w:eastAsia="Times New Roman" w:cs="Times New Roman"/>
                      <w:spacing w:val="3"/>
                      <w:sz w:val="20"/>
                      <w:szCs w:val="20"/>
                    </w:rPr>
                    <w:t xml:space="preserve">1 </w:t>
                  </w:r>
                  <w:r>
                    <w:rPr>
                      <w:spacing w:val="3"/>
                      <w:sz w:val="20"/>
                      <w:szCs w:val="20"/>
                    </w:rPr>
                    <w:t>个</w:t>
                  </w:r>
                  <w:r>
                    <w:rPr>
                      <w:spacing w:val="-3"/>
                      <w:sz w:val="20"/>
                      <w:szCs w:val="20"/>
                    </w:rPr>
                    <w:t xml:space="preserve"> </w:t>
                  </w:r>
                  <w:r>
                    <w:rPr>
                      <w:rFonts w:ascii="Times New Roman" w:hAnsi="Times New Roman" w:eastAsia="Times New Roman" w:cs="Times New Roman"/>
                      <w:spacing w:val="3"/>
                      <w:sz w:val="20"/>
                      <w:szCs w:val="20"/>
                    </w:rPr>
                    <w:t>1m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20"/>
                      <w:w w:val="102"/>
                      <w:position w:val="6"/>
                      <w:sz w:val="13"/>
                      <w:szCs w:val="13"/>
                    </w:rPr>
                    <w:t xml:space="preserve"> </w:t>
                  </w:r>
                  <w:r>
                    <w:rPr>
                      <w:spacing w:val="3"/>
                      <w:sz w:val="20"/>
                      <w:szCs w:val="20"/>
                    </w:rPr>
                    <w:t>隔油池、</w:t>
                  </w:r>
                  <w:r>
                    <w:rPr>
                      <w:rFonts w:ascii="Times New Roman" w:hAnsi="Times New Roman" w:eastAsia="Times New Roman" w:cs="Times New Roman"/>
                      <w:spacing w:val="3"/>
                      <w:sz w:val="20"/>
                      <w:szCs w:val="20"/>
                    </w:rPr>
                    <w:t xml:space="preserve">1 </w:t>
                  </w:r>
                  <w:r>
                    <w:rPr>
                      <w:spacing w:val="3"/>
                      <w:sz w:val="20"/>
                      <w:szCs w:val="20"/>
                    </w:rPr>
                    <w:t>个</w:t>
                  </w:r>
                  <w:r>
                    <w:rPr>
                      <w:spacing w:val="-35"/>
                      <w:sz w:val="20"/>
                      <w:szCs w:val="20"/>
                    </w:rPr>
                    <w:t xml:space="preserve"> </w:t>
                  </w:r>
                  <w:r>
                    <w:rPr>
                      <w:rFonts w:ascii="Times New Roman" w:hAnsi="Times New Roman" w:eastAsia="Times New Roman" w:cs="Times New Roman"/>
                      <w:spacing w:val="3"/>
                      <w:sz w:val="20"/>
                      <w:szCs w:val="20"/>
                    </w:rPr>
                    <w:t>5m</w:t>
                  </w:r>
                  <w:r>
                    <w:rPr>
                      <w:rFonts w:ascii="Times New Roman" w:hAnsi="Times New Roman" w:eastAsia="Times New Roman" w:cs="Times New Roman"/>
                      <w:spacing w:val="3"/>
                      <w:position w:val="6"/>
                      <w:sz w:val="13"/>
                      <w:szCs w:val="13"/>
                    </w:rPr>
                    <w:t xml:space="preserve">3 </w:t>
                  </w:r>
                  <w:r>
                    <w:rPr>
                      <w:spacing w:val="3"/>
                      <w:sz w:val="20"/>
                      <w:szCs w:val="20"/>
                    </w:rPr>
                    <w:t>化粪池、</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3"/>
                      <w:sz w:val="20"/>
                      <w:szCs w:val="20"/>
                    </w:rPr>
                    <w:t xml:space="preserve"> </w:t>
                  </w:r>
                  <w:r>
                    <w:rPr>
                      <w:spacing w:val="3"/>
                      <w:sz w:val="20"/>
                      <w:szCs w:val="20"/>
                    </w:rPr>
                    <w:t>套处理规</w:t>
                  </w:r>
                </w:p>
                <w:p w14:paraId="1851C966">
                  <w:pPr>
                    <w:pStyle w:val="6"/>
                    <w:spacing w:before="24" w:line="228" w:lineRule="auto"/>
                    <w:ind w:left="147"/>
                    <w:rPr>
                      <w:sz w:val="20"/>
                      <w:szCs w:val="20"/>
                    </w:rPr>
                  </w:pPr>
                  <w:r>
                    <w:rPr>
                      <w:spacing w:val="3"/>
                      <w:sz w:val="20"/>
                      <w:szCs w:val="20"/>
                    </w:rPr>
                    <w:t>模</w:t>
                  </w:r>
                  <w:r>
                    <w:rPr>
                      <w:spacing w:val="-34"/>
                      <w:sz w:val="20"/>
                      <w:szCs w:val="20"/>
                    </w:rPr>
                    <w:t xml:space="preserve"> </w:t>
                  </w:r>
                  <w:r>
                    <w:rPr>
                      <w:rFonts w:ascii="Times New Roman" w:hAnsi="Times New Roman" w:eastAsia="Times New Roman" w:cs="Times New Roman"/>
                      <w:spacing w:val="3"/>
                      <w:sz w:val="20"/>
                      <w:szCs w:val="20"/>
                    </w:rPr>
                    <w:t>2m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r>
                    <w:rPr>
                      <w:rFonts w:ascii="Times New Roman" w:hAnsi="Times New Roman" w:eastAsia="Times New Roman" w:cs="Times New Roman"/>
                      <w:spacing w:val="29"/>
                      <w:sz w:val="20"/>
                      <w:szCs w:val="20"/>
                    </w:rPr>
                    <w:t xml:space="preserve"> </w:t>
                  </w:r>
                  <w:r>
                    <w:rPr>
                      <w:spacing w:val="3"/>
                      <w:sz w:val="20"/>
                      <w:szCs w:val="20"/>
                    </w:rPr>
                    <w:t>的一体化污水处理设施及</w:t>
                  </w:r>
                  <w:r>
                    <w:rPr>
                      <w:spacing w:val="-23"/>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座</w:t>
                  </w:r>
                  <w:r>
                    <w:rPr>
                      <w:spacing w:val="-23"/>
                      <w:sz w:val="20"/>
                      <w:szCs w:val="20"/>
                    </w:rPr>
                    <w:t xml:space="preserve"> </w:t>
                  </w:r>
                  <w:r>
                    <w:rPr>
                      <w:rFonts w:ascii="Times New Roman" w:hAnsi="Times New Roman" w:eastAsia="Times New Roman" w:cs="Times New Roman"/>
                      <w:spacing w:val="3"/>
                      <w:sz w:val="20"/>
                      <w:szCs w:val="20"/>
                    </w:rPr>
                    <w:t>10m</w:t>
                  </w:r>
                  <w:r>
                    <w:rPr>
                      <w:rFonts w:ascii="Times New Roman" w:hAnsi="Times New Roman" w:eastAsia="Times New Roman" w:cs="Times New Roman"/>
                      <w:spacing w:val="3"/>
                      <w:position w:val="6"/>
                      <w:sz w:val="13"/>
                      <w:szCs w:val="13"/>
                    </w:rPr>
                    <w:t xml:space="preserve">3  </w:t>
                  </w:r>
                  <w:r>
                    <w:rPr>
                      <w:spacing w:val="3"/>
                      <w:sz w:val="20"/>
                      <w:szCs w:val="20"/>
                    </w:rPr>
                    <w:t>中</w:t>
                  </w:r>
                </w:p>
                <w:p w14:paraId="0FFEA85E">
                  <w:pPr>
                    <w:pStyle w:val="6"/>
                    <w:spacing w:before="27" w:line="217" w:lineRule="auto"/>
                    <w:ind w:left="2083"/>
                    <w:rPr>
                      <w:sz w:val="20"/>
                      <w:szCs w:val="20"/>
                    </w:rPr>
                  </w:pPr>
                  <w:r>
                    <w:rPr>
                      <w:spacing w:val="3"/>
                      <w:sz w:val="20"/>
                      <w:szCs w:val="20"/>
                    </w:rPr>
                    <w:t>水池</w:t>
                  </w:r>
                </w:p>
              </w:tc>
              <w:tc>
                <w:tcPr>
                  <w:tcW w:w="1386" w:type="dxa"/>
                  <w:vMerge w:val="continue"/>
                  <w:tcBorders>
                    <w:top w:val="nil"/>
                  </w:tcBorders>
                  <w:vAlign w:val="top"/>
                </w:tcPr>
                <w:p w14:paraId="60257DC1">
                  <w:pPr>
                    <w:rPr>
                      <w:rFonts w:ascii="Arial"/>
                      <w:sz w:val="21"/>
                    </w:rPr>
                  </w:pPr>
                </w:p>
              </w:tc>
            </w:tr>
            <w:tr w14:paraId="4D626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08" w:type="dxa"/>
                  <w:vMerge w:val="continue"/>
                  <w:tcBorders>
                    <w:top w:val="nil"/>
                    <w:bottom w:val="nil"/>
                  </w:tcBorders>
                  <w:vAlign w:val="top"/>
                </w:tcPr>
                <w:p w14:paraId="47CBB482">
                  <w:pPr>
                    <w:rPr>
                      <w:rFonts w:ascii="Arial"/>
                      <w:sz w:val="21"/>
                    </w:rPr>
                  </w:pPr>
                </w:p>
              </w:tc>
              <w:tc>
                <w:tcPr>
                  <w:tcW w:w="1151" w:type="dxa"/>
                  <w:vAlign w:val="top"/>
                </w:tcPr>
                <w:p w14:paraId="3B87943A">
                  <w:pPr>
                    <w:pStyle w:val="6"/>
                    <w:spacing w:before="32" w:line="217" w:lineRule="auto"/>
                    <w:ind w:left="380"/>
                    <w:rPr>
                      <w:sz w:val="20"/>
                      <w:szCs w:val="20"/>
                    </w:rPr>
                  </w:pPr>
                  <w:r>
                    <w:rPr>
                      <w:spacing w:val="-1"/>
                      <w:sz w:val="20"/>
                      <w:szCs w:val="20"/>
                    </w:rPr>
                    <w:t>噪声</w:t>
                  </w:r>
                </w:p>
              </w:tc>
              <w:tc>
                <w:tcPr>
                  <w:tcW w:w="4571" w:type="dxa"/>
                  <w:vAlign w:val="top"/>
                </w:tcPr>
                <w:p w14:paraId="507272C4">
                  <w:pPr>
                    <w:pStyle w:val="6"/>
                    <w:spacing w:before="32" w:line="217" w:lineRule="auto"/>
                    <w:ind w:left="615"/>
                    <w:rPr>
                      <w:sz w:val="20"/>
                      <w:szCs w:val="20"/>
                    </w:rPr>
                  </w:pPr>
                  <w:r>
                    <w:rPr>
                      <w:spacing w:val="9"/>
                      <w:sz w:val="20"/>
                      <w:szCs w:val="20"/>
                    </w:rPr>
                    <w:t>设备隔声，风机、变压器减振装置等</w:t>
                  </w:r>
                </w:p>
              </w:tc>
              <w:tc>
                <w:tcPr>
                  <w:tcW w:w="1386" w:type="dxa"/>
                  <w:vAlign w:val="top"/>
                </w:tcPr>
                <w:p w14:paraId="0F38FF76">
                  <w:pPr>
                    <w:spacing w:before="71" w:line="192"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04625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08" w:type="dxa"/>
                  <w:vMerge w:val="continue"/>
                  <w:tcBorders>
                    <w:top w:val="nil"/>
                    <w:bottom w:val="nil"/>
                  </w:tcBorders>
                  <w:vAlign w:val="top"/>
                </w:tcPr>
                <w:p w14:paraId="29173496">
                  <w:pPr>
                    <w:rPr>
                      <w:rFonts w:ascii="Arial"/>
                      <w:sz w:val="21"/>
                    </w:rPr>
                  </w:pPr>
                </w:p>
              </w:tc>
              <w:tc>
                <w:tcPr>
                  <w:tcW w:w="1151" w:type="dxa"/>
                  <w:vMerge w:val="restart"/>
                  <w:tcBorders>
                    <w:bottom w:val="nil"/>
                  </w:tcBorders>
                  <w:vAlign w:val="top"/>
                </w:tcPr>
                <w:p w14:paraId="073BB833">
                  <w:pPr>
                    <w:pStyle w:val="6"/>
                    <w:spacing w:before="172" w:line="228" w:lineRule="auto"/>
                    <w:ind w:left="388"/>
                    <w:rPr>
                      <w:sz w:val="20"/>
                      <w:szCs w:val="20"/>
                    </w:rPr>
                  </w:pPr>
                  <w:r>
                    <w:rPr>
                      <w:spacing w:val="-5"/>
                      <w:sz w:val="20"/>
                      <w:szCs w:val="20"/>
                    </w:rPr>
                    <w:t>固废</w:t>
                  </w:r>
                </w:p>
              </w:tc>
              <w:tc>
                <w:tcPr>
                  <w:tcW w:w="4571" w:type="dxa"/>
                  <w:vAlign w:val="top"/>
                </w:tcPr>
                <w:p w14:paraId="2E64E95C">
                  <w:pPr>
                    <w:pStyle w:val="6"/>
                    <w:spacing w:before="33" w:line="219" w:lineRule="auto"/>
                    <w:ind w:left="1230"/>
                    <w:rPr>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27"/>
                      <w:w w:val="101"/>
                      <w:sz w:val="20"/>
                      <w:szCs w:val="20"/>
                    </w:rPr>
                    <w:t xml:space="preserve"> </w:t>
                  </w:r>
                  <w:r>
                    <w:rPr>
                      <w:spacing w:val="-9"/>
                      <w:sz w:val="20"/>
                      <w:szCs w:val="20"/>
                    </w:rPr>
                    <w:t>间</w:t>
                  </w:r>
                  <w:r>
                    <w:rPr>
                      <w:spacing w:val="-21"/>
                      <w:sz w:val="20"/>
                      <w:szCs w:val="20"/>
                    </w:rPr>
                    <w:t xml:space="preserve"> </w:t>
                  </w:r>
                  <w:r>
                    <w:rPr>
                      <w:rFonts w:ascii="Times New Roman" w:hAnsi="Times New Roman" w:eastAsia="Times New Roman" w:cs="Times New Roman"/>
                      <w:spacing w:val="-9"/>
                      <w:sz w:val="20"/>
                      <w:szCs w:val="20"/>
                    </w:rPr>
                    <w:t>10m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7"/>
                      <w:w w:val="102"/>
                      <w:position w:val="6"/>
                      <w:sz w:val="13"/>
                      <w:szCs w:val="13"/>
                    </w:rPr>
                    <w:t xml:space="preserve"> </w:t>
                  </w:r>
                  <w:r>
                    <w:rPr>
                      <w:spacing w:val="5"/>
                      <w:sz w:val="20"/>
                      <w:szCs w:val="20"/>
                    </w:rPr>
                    <w:t>的危废贮存库</w:t>
                  </w:r>
                </w:p>
              </w:tc>
              <w:tc>
                <w:tcPr>
                  <w:tcW w:w="1386" w:type="dxa"/>
                  <w:vAlign w:val="top"/>
                </w:tcPr>
                <w:p w14:paraId="34C3702C">
                  <w:pPr>
                    <w:spacing w:before="69" w:line="195" w:lineRule="auto"/>
                    <w:ind w:left="65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14:paraId="2CCB3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08" w:type="dxa"/>
                  <w:vMerge w:val="continue"/>
                  <w:tcBorders>
                    <w:top w:val="nil"/>
                    <w:bottom w:val="nil"/>
                  </w:tcBorders>
                  <w:vAlign w:val="top"/>
                </w:tcPr>
                <w:p w14:paraId="6EE49689">
                  <w:pPr>
                    <w:rPr>
                      <w:rFonts w:ascii="Arial"/>
                      <w:sz w:val="21"/>
                    </w:rPr>
                  </w:pPr>
                </w:p>
              </w:tc>
              <w:tc>
                <w:tcPr>
                  <w:tcW w:w="1151" w:type="dxa"/>
                  <w:vMerge w:val="continue"/>
                  <w:tcBorders>
                    <w:top w:val="nil"/>
                  </w:tcBorders>
                  <w:vAlign w:val="top"/>
                </w:tcPr>
                <w:p w14:paraId="3FF757CA">
                  <w:pPr>
                    <w:rPr>
                      <w:rFonts w:ascii="Arial"/>
                      <w:sz w:val="21"/>
                    </w:rPr>
                  </w:pPr>
                </w:p>
              </w:tc>
              <w:tc>
                <w:tcPr>
                  <w:tcW w:w="4571" w:type="dxa"/>
                  <w:vAlign w:val="top"/>
                </w:tcPr>
                <w:p w14:paraId="1EF87AFC">
                  <w:pPr>
                    <w:pStyle w:val="6"/>
                    <w:spacing w:before="30" w:line="218" w:lineRule="auto"/>
                    <w:ind w:left="1019"/>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36"/>
                      <w:w w:val="101"/>
                      <w:sz w:val="20"/>
                      <w:szCs w:val="20"/>
                    </w:rPr>
                    <w:t xml:space="preserve"> </w:t>
                  </w:r>
                  <w:r>
                    <w:rPr>
                      <w:spacing w:val="2"/>
                      <w:sz w:val="20"/>
                      <w:szCs w:val="20"/>
                    </w:rPr>
                    <w:t>间</w:t>
                  </w:r>
                  <w:r>
                    <w:rPr>
                      <w:spacing w:val="-43"/>
                      <w:sz w:val="20"/>
                      <w:szCs w:val="20"/>
                    </w:rPr>
                    <w:t xml:space="preserve"> </w:t>
                  </w:r>
                  <w:r>
                    <w:rPr>
                      <w:rFonts w:ascii="Times New Roman" w:hAnsi="Times New Roman" w:eastAsia="Times New Roman" w:cs="Times New Roman"/>
                      <w:spacing w:val="2"/>
                      <w:sz w:val="20"/>
                      <w:szCs w:val="20"/>
                    </w:rPr>
                    <w:t>28m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25"/>
                      <w:w w:val="101"/>
                      <w:position w:val="6"/>
                      <w:sz w:val="13"/>
                      <w:szCs w:val="13"/>
                    </w:rPr>
                    <w:t xml:space="preserve"> </w:t>
                  </w:r>
                  <w:r>
                    <w:rPr>
                      <w:spacing w:val="2"/>
                      <w:sz w:val="20"/>
                      <w:szCs w:val="20"/>
                    </w:rPr>
                    <w:t>的一般固废暂存间</w:t>
                  </w:r>
                </w:p>
              </w:tc>
              <w:tc>
                <w:tcPr>
                  <w:tcW w:w="1386" w:type="dxa"/>
                  <w:vAlign w:val="top"/>
                </w:tcPr>
                <w:p w14:paraId="0A5A4135">
                  <w:pPr>
                    <w:spacing w:before="66"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5E960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08" w:type="dxa"/>
                  <w:vMerge w:val="continue"/>
                  <w:tcBorders>
                    <w:top w:val="nil"/>
                    <w:bottom w:val="nil"/>
                  </w:tcBorders>
                  <w:vAlign w:val="top"/>
                </w:tcPr>
                <w:p w14:paraId="5D1C5EC5">
                  <w:pPr>
                    <w:rPr>
                      <w:rFonts w:ascii="Arial"/>
                      <w:sz w:val="21"/>
                    </w:rPr>
                  </w:pPr>
                </w:p>
              </w:tc>
              <w:tc>
                <w:tcPr>
                  <w:tcW w:w="1151" w:type="dxa"/>
                  <w:vAlign w:val="top"/>
                </w:tcPr>
                <w:p w14:paraId="647C1D5E">
                  <w:pPr>
                    <w:pStyle w:val="6"/>
                    <w:spacing w:before="302" w:line="228" w:lineRule="auto"/>
                    <w:ind w:left="184"/>
                    <w:rPr>
                      <w:sz w:val="20"/>
                      <w:szCs w:val="20"/>
                    </w:rPr>
                  </w:pPr>
                  <w:r>
                    <w:rPr>
                      <w:spacing w:val="1"/>
                      <w:sz w:val="20"/>
                      <w:szCs w:val="20"/>
                    </w:rPr>
                    <w:t>电磁辐射</w:t>
                  </w:r>
                </w:p>
              </w:tc>
              <w:tc>
                <w:tcPr>
                  <w:tcW w:w="4571" w:type="dxa"/>
                  <w:vAlign w:val="top"/>
                </w:tcPr>
                <w:p w14:paraId="0A7A90FC">
                  <w:pPr>
                    <w:pStyle w:val="6"/>
                    <w:spacing w:before="31" w:line="227" w:lineRule="auto"/>
                    <w:ind w:left="111"/>
                    <w:rPr>
                      <w:sz w:val="20"/>
                      <w:szCs w:val="20"/>
                    </w:rPr>
                  </w:pPr>
                  <w:r>
                    <w:rPr>
                      <w:spacing w:val="7"/>
                      <w:sz w:val="20"/>
                      <w:szCs w:val="20"/>
                    </w:rPr>
                    <w:t>采取过电压保护，保证导体和电气设备之间的电</w:t>
                  </w:r>
                </w:p>
                <w:p w14:paraId="52FE6658">
                  <w:pPr>
                    <w:pStyle w:val="6"/>
                    <w:spacing w:before="24" w:line="228" w:lineRule="auto"/>
                    <w:ind w:left="113"/>
                    <w:rPr>
                      <w:sz w:val="20"/>
                      <w:szCs w:val="20"/>
                    </w:rPr>
                  </w:pPr>
                  <w:r>
                    <w:rPr>
                      <w:spacing w:val="7"/>
                      <w:sz w:val="20"/>
                      <w:szCs w:val="20"/>
                    </w:rPr>
                    <w:t>气安全距离，设置防雷接地保护装置，选用带屏</w:t>
                  </w:r>
                </w:p>
                <w:p w14:paraId="485D93A9">
                  <w:pPr>
                    <w:pStyle w:val="6"/>
                    <w:spacing w:before="27" w:line="217" w:lineRule="auto"/>
                    <w:ind w:left="1035"/>
                    <w:rPr>
                      <w:sz w:val="20"/>
                      <w:szCs w:val="20"/>
                    </w:rPr>
                  </w:pPr>
                  <w:r>
                    <w:rPr>
                      <w:spacing w:val="8"/>
                      <w:sz w:val="20"/>
                      <w:szCs w:val="20"/>
                    </w:rPr>
                    <w:t>蔽层的电缆、屏蔽层接地等</w:t>
                  </w:r>
                </w:p>
              </w:tc>
              <w:tc>
                <w:tcPr>
                  <w:tcW w:w="1386" w:type="dxa"/>
                  <w:vAlign w:val="top"/>
                </w:tcPr>
                <w:p w14:paraId="77E1AA5F">
                  <w:pPr>
                    <w:spacing w:line="279" w:lineRule="auto"/>
                    <w:rPr>
                      <w:rFonts w:ascii="Arial"/>
                      <w:sz w:val="21"/>
                    </w:rPr>
                  </w:pPr>
                </w:p>
                <w:p w14:paraId="1A6D9B34">
                  <w:pPr>
                    <w:spacing w:before="58" w:line="195"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8.6</w:t>
                  </w:r>
                </w:p>
              </w:tc>
            </w:tr>
            <w:tr w14:paraId="72CD0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08" w:type="dxa"/>
                  <w:vMerge w:val="continue"/>
                  <w:tcBorders>
                    <w:top w:val="nil"/>
                    <w:bottom w:val="nil"/>
                  </w:tcBorders>
                  <w:vAlign w:val="top"/>
                </w:tcPr>
                <w:p w14:paraId="3A38F14A">
                  <w:pPr>
                    <w:rPr>
                      <w:rFonts w:ascii="Arial"/>
                      <w:sz w:val="21"/>
                    </w:rPr>
                  </w:pPr>
                </w:p>
              </w:tc>
              <w:tc>
                <w:tcPr>
                  <w:tcW w:w="1151" w:type="dxa"/>
                  <w:vMerge w:val="restart"/>
                  <w:tcBorders>
                    <w:bottom w:val="nil"/>
                  </w:tcBorders>
                  <w:vAlign w:val="top"/>
                </w:tcPr>
                <w:p w14:paraId="0355754D">
                  <w:pPr>
                    <w:spacing w:line="267" w:lineRule="auto"/>
                    <w:rPr>
                      <w:rFonts w:ascii="Arial"/>
                      <w:sz w:val="21"/>
                    </w:rPr>
                  </w:pPr>
                </w:p>
                <w:p w14:paraId="4AD339D2">
                  <w:pPr>
                    <w:spacing w:line="267" w:lineRule="auto"/>
                    <w:rPr>
                      <w:rFonts w:ascii="Arial"/>
                      <w:sz w:val="21"/>
                    </w:rPr>
                  </w:pPr>
                </w:p>
                <w:p w14:paraId="1CA904B9">
                  <w:pPr>
                    <w:spacing w:line="267" w:lineRule="auto"/>
                    <w:rPr>
                      <w:rFonts w:ascii="Arial"/>
                      <w:sz w:val="21"/>
                    </w:rPr>
                  </w:pPr>
                </w:p>
                <w:p w14:paraId="4469E02D">
                  <w:pPr>
                    <w:spacing w:line="267" w:lineRule="auto"/>
                    <w:rPr>
                      <w:rFonts w:ascii="Arial"/>
                      <w:sz w:val="21"/>
                    </w:rPr>
                  </w:pPr>
                </w:p>
                <w:p w14:paraId="6AC87C0F">
                  <w:pPr>
                    <w:spacing w:line="268" w:lineRule="auto"/>
                    <w:rPr>
                      <w:rFonts w:ascii="Arial"/>
                      <w:sz w:val="21"/>
                    </w:rPr>
                  </w:pPr>
                </w:p>
                <w:p w14:paraId="3C65B037">
                  <w:pPr>
                    <w:spacing w:line="268" w:lineRule="auto"/>
                    <w:rPr>
                      <w:rFonts w:ascii="Arial"/>
                      <w:sz w:val="21"/>
                    </w:rPr>
                  </w:pPr>
                </w:p>
                <w:p w14:paraId="4F9C4E75">
                  <w:pPr>
                    <w:pStyle w:val="6"/>
                    <w:spacing w:before="65" w:line="228" w:lineRule="auto"/>
                    <w:ind w:left="159"/>
                    <w:rPr>
                      <w:sz w:val="20"/>
                      <w:szCs w:val="20"/>
                    </w:rPr>
                  </w:pPr>
                  <w:r>
                    <w:rPr>
                      <w:spacing w:val="7"/>
                      <w:sz w:val="20"/>
                      <w:szCs w:val="20"/>
                    </w:rPr>
                    <w:t>环境风险</w:t>
                  </w:r>
                </w:p>
              </w:tc>
              <w:tc>
                <w:tcPr>
                  <w:tcW w:w="4571" w:type="dxa"/>
                  <w:vAlign w:val="top"/>
                </w:tcPr>
                <w:p w14:paraId="17067A99">
                  <w:pPr>
                    <w:pStyle w:val="6"/>
                    <w:spacing w:before="30" w:line="235" w:lineRule="auto"/>
                    <w:ind w:left="2185" w:right="119" w:hanging="2057"/>
                    <w:rPr>
                      <w:sz w:val="20"/>
                      <w:szCs w:val="20"/>
                    </w:rPr>
                  </w:pPr>
                  <w:r>
                    <w:rPr>
                      <w:spacing w:val="5"/>
                      <w:sz w:val="20"/>
                      <w:szCs w:val="20"/>
                    </w:rPr>
                    <w:t>升压站主变压器集油坑</w:t>
                  </w:r>
                  <w:r>
                    <w:rPr>
                      <w:spacing w:val="-21"/>
                      <w:sz w:val="20"/>
                      <w:szCs w:val="20"/>
                    </w:rPr>
                    <w:t xml:space="preserve"> </w:t>
                  </w:r>
                  <w:r>
                    <w:rPr>
                      <w:rFonts w:ascii="Times New Roman" w:hAnsi="Times New Roman" w:eastAsia="Times New Roman" w:cs="Times New Roman"/>
                      <w:spacing w:val="5"/>
                      <w:sz w:val="20"/>
                      <w:szCs w:val="20"/>
                    </w:rPr>
                    <w:t>10m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12"/>
                      <w:position w:val="6"/>
                      <w:sz w:val="13"/>
                      <w:szCs w:val="13"/>
                    </w:rPr>
                    <w:t xml:space="preserve"> </w:t>
                  </w:r>
                  <w:r>
                    <w:rPr>
                      <w:spacing w:val="5"/>
                      <w:sz w:val="20"/>
                      <w:szCs w:val="20"/>
                    </w:rPr>
                    <w:t>、</w:t>
                  </w:r>
                  <w:r>
                    <w:rPr>
                      <w:rFonts w:ascii="Times New Roman" w:hAnsi="Times New Roman" w:eastAsia="Times New Roman" w:cs="Times New Roman"/>
                      <w:spacing w:val="5"/>
                      <w:sz w:val="20"/>
                      <w:szCs w:val="20"/>
                    </w:rPr>
                    <w:t xml:space="preserve">1 </w:t>
                  </w:r>
                  <w:r>
                    <w:rPr>
                      <w:spacing w:val="5"/>
                      <w:sz w:val="20"/>
                      <w:szCs w:val="20"/>
                    </w:rPr>
                    <w:t>个</w:t>
                  </w:r>
                  <w:r>
                    <w:rPr>
                      <w:spacing w:val="-37"/>
                      <w:sz w:val="20"/>
                      <w:szCs w:val="20"/>
                    </w:rPr>
                    <w:t xml:space="preserve"> </w:t>
                  </w:r>
                  <w:r>
                    <w:rPr>
                      <w:rFonts w:ascii="Times New Roman" w:hAnsi="Times New Roman" w:eastAsia="Times New Roman" w:cs="Times New Roman"/>
                      <w:spacing w:val="5"/>
                      <w:sz w:val="20"/>
                      <w:szCs w:val="20"/>
                    </w:rPr>
                    <w:t>50m</w:t>
                  </w:r>
                  <w:r>
                    <w:rPr>
                      <w:rFonts w:ascii="Times New Roman" w:hAnsi="Times New Roman" w:eastAsia="Times New Roman" w:cs="Times New Roman"/>
                      <w:spacing w:val="5"/>
                      <w:position w:val="6"/>
                      <w:sz w:val="13"/>
                      <w:szCs w:val="13"/>
                    </w:rPr>
                    <w:t xml:space="preserve">3 </w:t>
                  </w:r>
                  <w:r>
                    <w:rPr>
                      <w:spacing w:val="5"/>
                      <w:sz w:val="20"/>
                      <w:szCs w:val="20"/>
                    </w:rPr>
                    <w:t>事故油</w:t>
                  </w:r>
                  <w:r>
                    <w:rPr>
                      <w:sz w:val="20"/>
                      <w:szCs w:val="20"/>
                    </w:rPr>
                    <w:t xml:space="preserve"> 池</w:t>
                  </w:r>
                </w:p>
              </w:tc>
              <w:tc>
                <w:tcPr>
                  <w:tcW w:w="1386" w:type="dxa"/>
                  <w:vMerge w:val="restart"/>
                  <w:tcBorders>
                    <w:bottom w:val="nil"/>
                  </w:tcBorders>
                  <w:vAlign w:val="top"/>
                </w:tcPr>
                <w:p w14:paraId="3C1E4145">
                  <w:pPr>
                    <w:spacing w:line="274" w:lineRule="auto"/>
                    <w:rPr>
                      <w:rFonts w:ascii="Arial"/>
                      <w:sz w:val="21"/>
                    </w:rPr>
                  </w:pPr>
                </w:p>
                <w:p w14:paraId="2BA05FBA">
                  <w:pPr>
                    <w:spacing w:line="274" w:lineRule="auto"/>
                    <w:rPr>
                      <w:rFonts w:ascii="Arial"/>
                      <w:sz w:val="21"/>
                    </w:rPr>
                  </w:pPr>
                </w:p>
                <w:p w14:paraId="47F6C2EE">
                  <w:pPr>
                    <w:spacing w:line="275" w:lineRule="auto"/>
                    <w:rPr>
                      <w:rFonts w:ascii="Arial"/>
                      <w:sz w:val="21"/>
                    </w:rPr>
                  </w:pPr>
                </w:p>
                <w:p w14:paraId="76071844">
                  <w:pPr>
                    <w:spacing w:line="275" w:lineRule="auto"/>
                    <w:rPr>
                      <w:rFonts w:ascii="Arial"/>
                      <w:sz w:val="21"/>
                    </w:rPr>
                  </w:pPr>
                </w:p>
                <w:p w14:paraId="64BC13EE">
                  <w:pPr>
                    <w:spacing w:line="275" w:lineRule="auto"/>
                    <w:rPr>
                      <w:rFonts w:ascii="Arial"/>
                      <w:sz w:val="21"/>
                    </w:rPr>
                  </w:pPr>
                </w:p>
                <w:p w14:paraId="1A847FE1">
                  <w:pPr>
                    <w:spacing w:before="57"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14:paraId="1B0FA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908" w:type="dxa"/>
                  <w:vMerge w:val="continue"/>
                  <w:tcBorders>
                    <w:top w:val="nil"/>
                    <w:bottom w:val="nil"/>
                  </w:tcBorders>
                  <w:vAlign w:val="top"/>
                </w:tcPr>
                <w:p w14:paraId="7305859B">
                  <w:pPr>
                    <w:rPr>
                      <w:rFonts w:ascii="Arial"/>
                      <w:sz w:val="21"/>
                    </w:rPr>
                  </w:pPr>
                </w:p>
              </w:tc>
              <w:tc>
                <w:tcPr>
                  <w:tcW w:w="1151" w:type="dxa"/>
                  <w:vMerge w:val="continue"/>
                  <w:tcBorders>
                    <w:top w:val="nil"/>
                    <w:bottom w:val="nil"/>
                  </w:tcBorders>
                  <w:vAlign w:val="top"/>
                </w:tcPr>
                <w:p w14:paraId="4FAAE86A">
                  <w:pPr>
                    <w:rPr>
                      <w:rFonts w:ascii="Arial"/>
                      <w:sz w:val="21"/>
                    </w:rPr>
                  </w:pPr>
                </w:p>
              </w:tc>
              <w:tc>
                <w:tcPr>
                  <w:tcW w:w="4571" w:type="dxa"/>
                  <w:vAlign w:val="top"/>
                </w:tcPr>
                <w:p w14:paraId="7507DD5D">
                  <w:pPr>
                    <w:pStyle w:val="6"/>
                    <w:spacing w:before="31" w:line="228" w:lineRule="auto"/>
                    <w:ind w:left="138"/>
                    <w:rPr>
                      <w:rFonts w:ascii="Times New Roman" w:hAnsi="Times New Roman" w:eastAsia="Times New Roman" w:cs="Times New Roman"/>
                      <w:sz w:val="20"/>
                      <w:szCs w:val="20"/>
                    </w:rPr>
                  </w:pPr>
                  <w:r>
                    <w:rPr>
                      <w:spacing w:val="9"/>
                      <w:sz w:val="20"/>
                      <w:szCs w:val="20"/>
                    </w:rPr>
                    <w:t>在箱式变压器下设置一个等容积集油坑，即：</w:t>
                  </w:r>
                  <w:r>
                    <w:rPr>
                      <w:rFonts w:ascii="Times New Roman" w:hAnsi="Times New Roman" w:eastAsia="Times New Roman" w:cs="Times New Roman"/>
                      <w:spacing w:val="9"/>
                      <w:sz w:val="20"/>
                      <w:szCs w:val="20"/>
                    </w:rPr>
                    <w:t>3</w:t>
                  </w:r>
                </w:p>
                <w:p w14:paraId="7C88D377">
                  <w:pPr>
                    <w:pStyle w:val="6"/>
                    <w:spacing w:before="24" w:line="228" w:lineRule="auto"/>
                    <w:ind w:left="160"/>
                    <w:rPr>
                      <w:sz w:val="20"/>
                      <w:szCs w:val="20"/>
                    </w:rPr>
                  </w:pPr>
                  <w:r>
                    <w:rPr>
                      <w:spacing w:val="5"/>
                      <w:sz w:val="20"/>
                      <w:szCs w:val="20"/>
                    </w:rPr>
                    <w:t>台</w:t>
                  </w:r>
                  <w:r>
                    <w:rPr>
                      <w:spacing w:val="-22"/>
                      <w:sz w:val="20"/>
                      <w:szCs w:val="20"/>
                    </w:rPr>
                    <w:t xml:space="preserve"> </w:t>
                  </w:r>
                  <w:r>
                    <w:rPr>
                      <w:rFonts w:ascii="Times New Roman" w:hAnsi="Times New Roman" w:eastAsia="Times New Roman" w:cs="Times New Roman"/>
                      <w:spacing w:val="5"/>
                      <w:sz w:val="20"/>
                      <w:szCs w:val="20"/>
                    </w:rPr>
                    <w:t>900</w:t>
                  </w:r>
                  <w:r>
                    <w:rPr>
                      <w:rFonts w:ascii="Times New Roman" w:hAnsi="Times New Roman" w:eastAsia="Times New Roman" w:cs="Times New Roman"/>
                      <w:sz w:val="20"/>
                      <w:szCs w:val="20"/>
                    </w:rPr>
                    <w:t>kVA</w:t>
                  </w:r>
                  <w:r>
                    <w:rPr>
                      <w:rFonts w:ascii="Times New Roman" w:hAnsi="Times New Roman" w:eastAsia="Times New Roman" w:cs="Times New Roman"/>
                      <w:spacing w:val="5"/>
                      <w:sz w:val="20"/>
                      <w:szCs w:val="20"/>
                    </w:rPr>
                    <w:t xml:space="preserve"> </w:t>
                  </w:r>
                  <w:r>
                    <w:rPr>
                      <w:spacing w:val="5"/>
                      <w:sz w:val="20"/>
                      <w:szCs w:val="20"/>
                    </w:rPr>
                    <w:t>箱变下各设一个</w:t>
                  </w:r>
                  <w:r>
                    <w:rPr>
                      <w:spacing w:val="-38"/>
                      <w:sz w:val="20"/>
                      <w:szCs w:val="20"/>
                    </w:rPr>
                    <w:t xml:space="preserve"> </w:t>
                  </w:r>
                  <w:r>
                    <w:rPr>
                      <w:rFonts w:ascii="Times New Roman" w:hAnsi="Times New Roman" w:eastAsia="Times New Roman" w:cs="Times New Roman"/>
                      <w:spacing w:val="5"/>
                      <w:sz w:val="20"/>
                      <w:szCs w:val="20"/>
                    </w:rPr>
                    <w:t>0.8m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10"/>
                      <w:w w:val="102"/>
                      <w:position w:val="6"/>
                      <w:sz w:val="13"/>
                      <w:szCs w:val="13"/>
                    </w:rPr>
                    <w:t xml:space="preserve"> </w:t>
                  </w:r>
                  <w:r>
                    <w:rPr>
                      <w:spacing w:val="5"/>
                      <w:sz w:val="20"/>
                      <w:szCs w:val="20"/>
                    </w:rPr>
                    <w:t>集油坑，</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26"/>
                      <w:sz w:val="20"/>
                      <w:szCs w:val="20"/>
                    </w:rPr>
                    <w:t xml:space="preserve"> </w:t>
                  </w:r>
                  <w:r>
                    <w:rPr>
                      <w:spacing w:val="5"/>
                      <w:sz w:val="20"/>
                      <w:szCs w:val="20"/>
                    </w:rPr>
                    <w:t>台</w:t>
                  </w:r>
                </w:p>
                <w:p w14:paraId="2F567605">
                  <w:pPr>
                    <w:pStyle w:val="6"/>
                    <w:spacing w:before="24" w:line="228" w:lineRule="auto"/>
                    <w:ind w:left="342"/>
                    <w:rPr>
                      <w:sz w:val="20"/>
                      <w:szCs w:val="20"/>
                    </w:rPr>
                  </w:pPr>
                  <w:r>
                    <w:rPr>
                      <w:rFonts w:ascii="Times New Roman" w:hAnsi="Times New Roman" w:eastAsia="Times New Roman" w:cs="Times New Roman"/>
                      <w:spacing w:val="3"/>
                      <w:sz w:val="20"/>
                      <w:szCs w:val="20"/>
                    </w:rPr>
                    <w:t>1200</w:t>
                  </w:r>
                  <w:r>
                    <w:rPr>
                      <w:rFonts w:ascii="Times New Roman" w:hAnsi="Times New Roman" w:eastAsia="Times New Roman" w:cs="Times New Roman"/>
                      <w:sz w:val="20"/>
                      <w:szCs w:val="20"/>
                    </w:rPr>
                    <w:t>kVA</w:t>
                  </w:r>
                  <w:r>
                    <w:rPr>
                      <w:rFonts w:ascii="Times New Roman" w:hAnsi="Times New Roman" w:eastAsia="Times New Roman" w:cs="Times New Roman"/>
                      <w:spacing w:val="20"/>
                      <w:w w:val="101"/>
                      <w:sz w:val="20"/>
                      <w:szCs w:val="20"/>
                    </w:rPr>
                    <w:t xml:space="preserve"> </w:t>
                  </w:r>
                  <w:r>
                    <w:rPr>
                      <w:spacing w:val="3"/>
                      <w:sz w:val="20"/>
                      <w:szCs w:val="20"/>
                    </w:rPr>
                    <w:t>箱变各设一个</w:t>
                  </w:r>
                  <w:r>
                    <w:rPr>
                      <w:spacing w:val="-21"/>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11"/>
                      <w:position w:val="6"/>
                      <w:sz w:val="13"/>
                      <w:szCs w:val="13"/>
                    </w:rPr>
                    <w:t xml:space="preserve"> </w:t>
                  </w:r>
                  <w:r>
                    <w:rPr>
                      <w:spacing w:val="3"/>
                      <w:sz w:val="20"/>
                      <w:szCs w:val="20"/>
                    </w:rPr>
                    <w:t>集油坑，</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6"/>
                      <w:sz w:val="20"/>
                      <w:szCs w:val="20"/>
                    </w:rPr>
                    <w:t xml:space="preserve"> </w:t>
                  </w:r>
                  <w:r>
                    <w:rPr>
                      <w:spacing w:val="3"/>
                      <w:sz w:val="20"/>
                      <w:szCs w:val="20"/>
                    </w:rPr>
                    <w:t>台</w:t>
                  </w:r>
                </w:p>
                <w:p w14:paraId="40D989B0">
                  <w:pPr>
                    <w:pStyle w:val="6"/>
                    <w:spacing w:before="26" w:line="228" w:lineRule="auto"/>
                    <w:ind w:left="342"/>
                    <w:rPr>
                      <w:sz w:val="20"/>
                      <w:szCs w:val="20"/>
                    </w:rPr>
                  </w:pPr>
                  <w:r>
                    <w:rPr>
                      <w:rFonts w:ascii="Times New Roman" w:hAnsi="Times New Roman" w:eastAsia="Times New Roman" w:cs="Times New Roman"/>
                      <w:spacing w:val="4"/>
                      <w:sz w:val="20"/>
                      <w:szCs w:val="20"/>
                    </w:rPr>
                    <w:t>1800</w:t>
                  </w:r>
                  <w:r>
                    <w:rPr>
                      <w:rFonts w:ascii="Times New Roman" w:hAnsi="Times New Roman" w:eastAsia="Times New Roman" w:cs="Times New Roman"/>
                      <w:sz w:val="20"/>
                      <w:szCs w:val="20"/>
                    </w:rPr>
                    <w:t>kVA</w:t>
                  </w:r>
                  <w:r>
                    <w:rPr>
                      <w:rFonts w:ascii="Times New Roman" w:hAnsi="Times New Roman" w:eastAsia="Times New Roman" w:cs="Times New Roman"/>
                      <w:spacing w:val="24"/>
                      <w:w w:val="101"/>
                      <w:sz w:val="20"/>
                      <w:szCs w:val="20"/>
                    </w:rPr>
                    <w:t xml:space="preserve"> </w:t>
                  </w:r>
                  <w:r>
                    <w:rPr>
                      <w:spacing w:val="4"/>
                      <w:sz w:val="20"/>
                      <w:szCs w:val="20"/>
                    </w:rPr>
                    <w:t>箱变各设一个</w:t>
                  </w:r>
                  <w:r>
                    <w:rPr>
                      <w:spacing w:val="-21"/>
                      <w:sz w:val="20"/>
                      <w:szCs w:val="20"/>
                    </w:rPr>
                    <w:t xml:space="preserve"> </w:t>
                  </w:r>
                  <w:r>
                    <w:rPr>
                      <w:rFonts w:ascii="Times New Roman" w:hAnsi="Times New Roman" w:eastAsia="Times New Roman" w:cs="Times New Roman"/>
                      <w:spacing w:val="4"/>
                      <w:sz w:val="20"/>
                      <w:szCs w:val="20"/>
                    </w:rPr>
                    <w:t>1.6m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11"/>
                      <w:position w:val="6"/>
                      <w:sz w:val="13"/>
                      <w:szCs w:val="13"/>
                    </w:rPr>
                    <w:t xml:space="preserve"> </w:t>
                  </w:r>
                  <w:r>
                    <w:rPr>
                      <w:spacing w:val="4"/>
                      <w:sz w:val="20"/>
                      <w:szCs w:val="20"/>
                    </w:rPr>
                    <w:t>集油坑，</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26"/>
                      <w:sz w:val="20"/>
                      <w:szCs w:val="20"/>
                    </w:rPr>
                    <w:t xml:space="preserve"> </w:t>
                  </w:r>
                  <w:r>
                    <w:rPr>
                      <w:spacing w:val="4"/>
                      <w:sz w:val="20"/>
                      <w:szCs w:val="20"/>
                    </w:rPr>
                    <w:t>台</w:t>
                  </w:r>
                </w:p>
                <w:p w14:paraId="5C43BD37">
                  <w:pPr>
                    <w:pStyle w:val="6"/>
                    <w:spacing w:before="24" w:line="228" w:lineRule="auto"/>
                    <w:ind w:left="231"/>
                    <w:rPr>
                      <w:sz w:val="20"/>
                      <w:szCs w:val="20"/>
                    </w:rPr>
                  </w:pPr>
                  <w:r>
                    <w:rPr>
                      <w:rFonts w:ascii="Times New Roman" w:hAnsi="Times New Roman" w:eastAsia="Times New Roman" w:cs="Times New Roman"/>
                      <w:spacing w:val="5"/>
                      <w:sz w:val="20"/>
                      <w:szCs w:val="20"/>
                    </w:rPr>
                    <w:t>2100</w:t>
                  </w:r>
                  <w:r>
                    <w:rPr>
                      <w:rFonts w:ascii="Times New Roman" w:hAnsi="Times New Roman" w:eastAsia="Times New Roman" w:cs="Times New Roman"/>
                      <w:sz w:val="20"/>
                      <w:szCs w:val="20"/>
                    </w:rPr>
                    <w:t>kVA</w:t>
                  </w:r>
                  <w:r>
                    <w:rPr>
                      <w:rFonts w:ascii="Times New Roman" w:hAnsi="Times New Roman" w:eastAsia="Times New Roman" w:cs="Times New Roman"/>
                      <w:spacing w:val="26"/>
                      <w:w w:val="101"/>
                      <w:sz w:val="20"/>
                      <w:szCs w:val="20"/>
                    </w:rPr>
                    <w:t xml:space="preserve"> </w:t>
                  </w:r>
                  <w:r>
                    <w:rPr>
                      <w:spacing w:val="5"/>
                      <w:sz w:val="20"/>
                      <w:szCs w:val="20"/>
                    </w:rPr>
                    <w:t>型箱变各设一个</w:t>
                  </w:r>
                  <w:r>
                    <w:rPr>
                      <w:spacing w:val="-41"/>
                      <w:sz w:val="20"/>
                      <w:szCs w:val="20"/>
                    </w:rPr>
                    <w:t xml:space="preserve"> </w:t>
                  </w:r>
                  <w:r>
                    <w:rPr>
                      <w:rFonts w:ascii="Times New Roman" w:hAnsi="Times New Roman" w:eastAsia="Times New Roman" w:cs="Times New Roman"/>
                      <w:spacing w:val="5"/>
                      <w:sz w:val="20"/>
                      <w:szCs w:val="20"/>
                    </w:rPr>
                    <w:t>2.0m</w:t>
                  </w:r>
                  <w:r>
                    <w:rPr>
                      <w:rFonts w:ascii="Times New Roman" w:hAnsi="Times New Roman" w:eastAsia="Times New Roman" w:cs="Times New Roman"/>
                      <w:spacing w:val="5"/>
                      <w:position w:val="6"/>
                      <w:sz w:val="13"/>
                      <w:szCs w:val="13"/>
                    </w:rPr>
                    <w:t xml:space="preserve">3 </w:t>
                  </w:r>
                  <w:r>
                    <w:rPr>
                      <w:spacing w:val="5"/>
                      <w:sz w:val="20"/>
                      <w:szCs w:val="20"/>
                    </w:rPr>
                    <w:t>集油坑，</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29"/>
                      <w:sz w:val="20"/>
                      <w:szCs w:val="20"/>
                    </w:rPr>
                    <w:t xml:space="preserve"> </w:t>
                  </w:r>
                  <w:r>
                    <w:rPr>
                      <w:spacing w:val="5"/>
                      <w:sz w:val="20"/>
                      <w:szCs w:val="20"/>
                    </w:rPr>
                    <w:t>台</w:t>
                  </w:r>
                </w:p>
                <w:p w14:paraId="47E4F0D0">
                  <w:pPr>
                    <w:pStyle w:val="6"/>
                    <w:spacing w:before="26" w:line="228" w:lineRule="auto"/>
                    <w:ind w:left="231"/>
                    <w:rPr>
                      <w:sz w:val="20"/>
                      <w:szCs w:val="20"/>
                    </w:rPr>
                  </w:pPr>
                  <w:r>
                    <w:rPr>
                      <w:rFonts w:ascii="Times New Roman" w:hAnsi="Times New Roman" w:eastAsia="Times New Roman" w:cs="Times New Roman"/>
                      <w:spacing w:val="5"/>
                      <w:sz w:val="20"/>
                      <w:szCs w:val="20"/>
                    </w:rPr>
                    <w:t>2400</w:t>
                  </w:r>
                  <w:r>
                    <w:rPr>
                      <w:rFonts w:ascii="Times New Roman" w:hAnsi="Times New Roman" w:eastAsia="Times New Roman" w:cs="Times New Roman"/>
                      <w:sz w:val="20"/>
                      <w:szCs w:val="20"/>
                    </w:rPr>
                    <w:t>kVA</w:t>
                  </w:r>
                  <w:r>
                    <w:rPr>
                      <w:rFonts w:ascii="Times New Roman" w:hAnsi="Times New Roman" w:eastAsia="Times New Roman" w:cs="Times New Roman"/>
                      <w:spacing w:val="26"/>
                      <w:w w:val="101"/>
                      <w:sz w:val="20"/>
                      <w:szCs w:val="20"/>
                    </w:rPr>
                    <w:t xml:space="preserve"> </w:t>
                  </w:r>
                  <w:r>
                    <w:rPr>
                      <w:spacing w:val="5"/>
                      <w:sz w:val="20"/>
                      <w:szCs w:val="20"/>
                    </w:rPr>
                    <w:t>型箱变各设一个</w:t>
                  </w:r>
                  <w:r>
                    <w:rPr>
                      <w:spacing w:val="-41"/>
                      <w:sz w:val="20"/>
                      <w:szCs w:val="20"/>
                    </w:rPr>
                    <w:t xml:space="preserve"> </w:t>
                  </w:r>
                  <w:r>
                    <w:rPr>
                      <w:rFonts w:ascii="Times New Roman" w:hAnsi="Times New Roman" w:eastAsia="Times New Roman" w:cs="Times New Roman"/>
                      <w:spacing w:val="5"/>
                      <w:sz w:val="20"/>
                      <w:szCs w:val="20"/>
                    </w:rPr>
                    <w:t>2.2m</w:t>
                  </w:r>
                  <w:r>
                    <w:rPr>
                      <w:rFonts w:ascii="Times New Roman" w:hAnsi="Times New Roman" w:eastAsia="Times New Roman" w:cs="Times New Roman"/>
                      <w:spacing w:val="5"/>
                      <w:position w:val="6"/>
                      <w:sz w:val="13"/>
                      <w:szCs w:val="13"/>
                    </w:rPr>
                    <w:t xml:space="preserve">3 </w:t>
                  </w:r>
                  <w:r>
                    <w:rPr>
                      <w:spacing w:val="5"/>
                      <w:sz w:val="20"/>
                      <w:szCs w:val="20"/>
                    </w:rPr>
                    <w:t>集油坑，</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29"/>
                      <w:sz w:val="20"/>
                      <w:szCs w:val="20"/>
                    </w:rPr>
                    <w:t xml:space="preserve"> </w:t>
                  </w:r>
                  <w:r>
                    <w:rPr>
                      <w:spacing w:val="5"/>
                      <w:sz w:val="20"/>
                      <w:szCs w:val="20"/>
                    </w:rPr>
                    <w:t>台</w:t>
                  </w:r>
                </w:p>
                <w:p w14:paraId="374F1241">
                  <w:pPr>
                    <w:pStyle w:val="6"/>
                    <w:spacing w:before="27" w:line="228" w:lineRule="auto"/>
                    <w:ind w:left="178"/>
                    <w:rPr>
                      <w:sz w:val="20"/>
                      <w:szCs w:val="20"/>
                    </w:rPr>
                  </w:pPr>
                  <w:r>
                    <w:rPr>
                      <w:rFonts w:ascii="Times New Roman" w:hAnsi="Times New Roman" w:eastAsia="Times New Roman" w:cs="Times New Roman"/>
                      <w:spacing w:val="5"/>
                      <w:sz w:val="20"/>
                      <w:szCs w:val="20"/>
                    </w:rPr>
                    <w:t>2700</w:t>
                  </w:r>
                  <w:r>
                    <w:rPr>
                      <w:rFonts w:ascii="Times New Roman" w:hAnsi="Times New Roman" w:eastAsia="Times New Roman" w:cs="Times New Roman"/>
                      <w:sz w:val="20"/>
                      <w:szCs w:val="20"/>
                    </w:rPr>
                    <w:t>kVA</w:t>
                  </w:r>
                  <w:r>
                    <w:rPr>
                      <w:rFonts w:ascii="Times New Roman" w:hAnsi="Times New Roman" w:eastAsia="Times New Roman" w:cs="Times New Roman"/>
                      <w:spacing w:val="27"/>
                      <w:sz w:val="20"/>
                      <w:szCs w:val="20"/>
                    </w:rPr>
                    <w:t xml:space="preserve"> </w:t>
                  </w:r>
                  <w:r>
                    <w:rPr>
                      <w:spacing w:val="5"/>
                      <w:sz w:val="20"/>
                      <w:szCs w:val="20"/>
                    </w:rPr>
                    <w:t>型箱变各设一个</w:t>
                  </w:r>
                  <w:r>
                    <w:rPr>
                      <w:spacing w:val="-41"/>
                      <w:sz w:val="20"/>
                      <w:szCs w:val="20"/>
                    </w:rPr>
                    <w:t xml:space="preserve"> </w:t>
                  </w:r>
                  <w:r>
                    <w:rPr>
                      <w:rFonts w:ascii="Times New Roman" w:hAnsi="Times New Roman" w:eastAsia="Times New Roman" w:cs="Times New Roman"/>
                      <w:spacing w:val="5"/>
                      <w:sz w:val="20"/>
                      <w:szCs w:val="20"/>
                    </w:rPr>
                    <w:t>2.3m</w:t>
                  </w:r>
                  <w:r>
                    <w:rPr>
                      <w:rFonts w:ascii="Times New Roman" w:hAnsi="Times New Roman" w:eastAsia="Times New Roman" w:cs="Times New Roman"/>
                      <w:spacing w:val="5"/>
                      <w:position w:val="6"/>
                      <w:sz w:val="13"/>
                      <w:szCs w:val="13"/>
                    </w:rPr>
                    <w:t xml:space="preserve">3 </w:t>
                  </w:r>
                  <w:r>
                    <w:rPr>
                      <w:spacing w:val="5"/>
                      <w:sz w:val="20"/>
                      <w:szCs w:val="20"/>
                    </w:rPr>
                    <w:t>集油坑，</w:t>
                  </w:r>
                  <w:r>
                    <w:rPr>
                      <w:rFonts w:ascii="Times New Roman" w:hAnsi="Times New Roman" w:eastAsia="Times New Roman" w:cs="Times New Roman"/>
                      <w:spacing w:val="5"/>
                      <w:sz w:val="20"/>
                      <w:szCs w:val="20"/>
                    </w:rPr>
                    <w:t>19</w:t>
                  </w:r>
                  <w:r>
                    <w:rPr>
                      <w:rFonts w:ascii="Times New Roman" w:hAnsi="Times New Roman" w:eastAsia="Times New Roman" w:cs="Times New Roman"/>
                      <w:spacing w:val="26"/>
                      <w:w w:val="101"/>
                      <w:sz w:val="20"/>
                      <w:szCs w:val="20"/>
                    </w:rPr>
                    <w:t xml:space="preserve"> </w:t>
                  </w:r>
                  <w:r>
                    <w:rPr>
                      <w:spacing w:val="5"/>
                      <w:sz w:val="20"/>
                      <w:szCs w:val="20"/>
                    </w:rPr>
                    <w:t>台</w:t>
                  </w:r>
                </w:p>
                <w:p w14:paraId="491F1F07">
                  <w:pPr>
                    <w:pStyle w:val="6"/>
                    <w:spacing w:before="24" w:line="217" w:lineRule="auto"/>
                    <w:ind w:left="525"/>
                    <w:rPr>
                      <w:sz w:val="20"/>
                      <w:szCs w:val="20"/>
                    </w:rPr>
                  </w:pPr>
                  <w:r>
                    <w:rPr>
                      <w:rFonts w:ascii="Times New Roman" w:hAnsi="Times New Roman" w:eastAsia="Times New Roman" w:cs="Times New Roman"/>
                      <w:spacing w:val="5"/>
                      <w:sz w:val="20"/>
                      <w:szCs w:val="20"/>
                    </w:rPr>
                    <w:t>3300</w:t>
                  </w:r>
                  <w:r>
                    <w:rPr>
                      <w:rFonts w:ascii="Times New Roman" w:hAnsi="Times New Roman" w:eastAsia="Times New Roman" w:cs="Times New Roman"/>
                      <w:sz w:val="20"/>
                      <w:szCs w:val="20"/>
                    </w:rPr>
                    <w:t>kVA</w:t>
                  </w:r>
                  <w:r>
                    <w:rPr>
                      <w:rFonts w:ascii="Times New Roman" w:hAnsi="Times New Roman" w:eastAsia="Times New Roman" w:cs="Times New Roman"/>
                      <w:spacing w:val="5"/>
                      <w:sz w:val="20"/>
                      <w:szCs w:val="20"/>
                    </w:rPr>
                    <w:t xml:space="preserve"> </w:t>
                  </w:r>
                  <w:r>
                    <w:rPr>
                      <w:spacing w:val="5"/>
                      <w:sz w:val="20"/>
                      <w:szCs w:val="20"/>
                    </w:rPr>
                    <w:t>型箱变各设一个</w:t>
                  </w:r>
                  <w:r>
                    <w:rPr>
                      <w:spacing w:val="-29"/>
                      <w:sz w:val="20"/>
                      <w:szCs w:val="20"/>
                    </w:rPr>
                    <w:t xml:space="preserve"> </w:t>
                  </w:r>
                  <w:r>
                    <w:rPr>
                      <w:rFonts w:ascii="Times New Roman" w:hAnsi="Times New Roman" w:eastAsia="Times New Roman" w:cs="Times New Roman"/>
                      <w:spacing w:val="5"/>
                      <w:sz w:val="20"/>
                      <w:szCs w:val="20"/>
                    </w:rPr>
                    <w:t>2.5m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10"/>
                      <w:w w:val="101"/>
                      <w:position w:val="6"/>
                      <w:sz w:val="13"/>
                      <w:szCs w:val="13"/>
                    </w:rPr>
                    <w:t xml:space="preserve"> </w:t>
                  </w:r>
                  <w:r>
                    <w:rPr>
                      <w:spacing w:val="5"/>
                      <w:sz w:val="20"/>
                      <w:szCs w:val="20"/>
                    </w:rPr>
                    <w:t>集油坑</w:t>
                  </w:r>
                </w:p>
              </w:tc>
              <w:tc>
                <w:tcPr>
                  <w:tcW w:w="1386" w:type="dxa"/>
                  <w:vMerge w:val="continue"/>
                  <w:tcBorders>
                    <w:top w:val="nil"/>
                    <w:bottom w:val="nil"/>
                  </w:tcBorders>
                  <w:vAlign w:val="top"/>
                </w:tcPr>
                <w:p w14:paraId="3F3E7B8C">
                  <w:pPr>
                    <w:rPr>
                      <w:rFonts w:ascii="Arial"/>
                      <w:sz w:val="21"/>
                    </w:rPr>
                  </w:pPr>
                </w:p>
              </w:tc>
            </w:tr>
            <w:tr w14:paraId="2F43A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08" w:type="dxa"/>
                  <w:vMerge w:val="continue"/>
                  <w:tcBorders>
                    <w:top w:val="nil"/>
                    <w:bottom w:val="nil"/>
                  </w:tcBorders>
                  <w:vAlign w:val="top"/>
                </w:tcPr>
                <w:p w14:paraId="7D801629">
                  <w:pPr>
                    <w:rPr>
                      <w:rFonts w:ascii="Arial"/>
                      <w:sz w:val="21"/>
                    </w:rPr>
                  </w:pPr>
                </w:p>
              </w:tc>
              <w:tc>
                <w:tcPr>
                  <w:tcW w:w="1151" w:type="dxa"/>
                  <w:vMerge w:val="continue"/>
                  <w:tcBorders>
                    <w:top w:val="nil"/>
                    <w:bottom w:val="nil"/>
                  </w:tcBorders>
                  <w:vAlign w:val="top"/>
                </w:tcPr>
                <w:p w14:paraId="42416E9C">
                  <w:pPr>
                    <w:rPr>
                      <w:rFonts w:ascii="Arial"/>
                      <w:sz w:val="21"/>
                    </w:rPr>
                  </w:pPr>
                </w:p>
              </w:tc>
              <w:tc>
                <w:tcPr>
                  <w:tcW w:w="4571" w:type="dxa"/>
                  <w:vAlign w:val="top"/>
                </w:tcPr>
                <w:p w14:paraId="47419687">
                  <w:pPr>
                    <w:pStyle w:val="6"/>
                    <w:spacing w:before="32" w:line="217" w:lineRule="auto"/>
                    <w:ind w:left="115"/>
                    <w:rPr>
                      <w:sz w:val="20"/>
                      <w:szCs w:val="20"/>
                    </w:rPr>
                  </w:pPr>
                  <w:r>
                    <w:rPr>
                      <w:spacing w:val="6"/>
                      <w:sz w:val="20"/>
                      <w:szCs w:val="20"/>
                    </w:rPr>
                    <w:t>危废贮存库、事故油池防渗处理，设置标识标牌</w:t>
                  </w:r>
                </w:p>
              </w:tc>
              <w:tc>
                <w:tcPr>
                  <w:tcW w:w="1386" w:type="dxa"/>
                  <w:vMerge w:val="continue"/>
                  <w:tcBorders>
                    <w:top w:val="nil"/>
                  </w:tcBorders>
                  <w:vAlign w:val="top"/>
                </w:tcPr>
                <w:p w14:paraId="2E70167C">
                  <w:pPr>
                    <w:rPr>
                      <w:rFonts w:ascii="Arial"/>
                      <w:sz w:val="21"/>
                    </w:rPr>
                  </w:pPr>
                </w:p>
              </w:tc>
            </w:tr>
            <w:tr w14:paraId="11BF2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08" w:type="dxa"/>
                  <w:vMerge w:val="continue"/>
                  <w:tcBorders>
                    <w:top w:val="nil"/>
                  </w:tcBorders>
                  <w:vAlign w:val="top"/>
                </w:tcPr>
                <w:p w14:paraId="4BDA5019">
                  <w:pPr>
                    <w:rPr>
                      <w:rFonts w:ascii="Arial"/>
                      <w:sz w:val="21"/>
                    </w:rPr>
                  </w:pPr>
                </w:p>
              </w:tc>
              <w:tc>
                <w:tcPr>
                  <w:tcW w:w="1151" w:type="dxa"/>
                  <w:vMerge w:val="continue"/>
                  <w:tcBorders>
                    <w:top w:val="nil"/>
                  </w:tcBorders>
                  <w:vAlign w:val="top"/>
                </w:tcPr>
                <w:p w14:paraId="0C356860">
                  <w:pPr>
                    <w:rPr>
                      <w:rFonts w:ascii="Arial"/>
                      <w:sz w:val="21"/>
                    </w:rPr>
                  </w:pPr>
                </w:p>
              </w:tc>
              <w:tc>
                <w:tcPr>
                  <w:tcW w:w="4571" w:type="dxa"/>
                  <w:vAlign w:val="top"/>
                </w:tcPr>
                <w:p w14:paraId="24B54948">
                  <w:pPr>
                    <w:pStyle w:val="6"/>
                    <w:spacing w:before="29" w:line="235" w:lineRule="auto"/>
                    <w:ind w:left="300" w:right="87" w:hanging="188"/>
                    <w:rPr>
                      <w:sz w:val="20"/>
                      <w:szCs w:val="20"/>
                    </w:rPr>
                  </w:pPr>
                  <w:r>
                    <w:rPr>
                      <w:spacing w:val="7"/>
                      <w:sz w:val="20"/>
                      <w:szCs w:val="20"/>
                    </w:rPr>
                    <w:t>配备空油桶、消防沙、吸油棉、铲子、消防栓、</w:t>
                  </w:r>
                  <w:r>
                    <w:rPr>
                      <w:spacing w:val="18"/>
                      <w:sz w:val="20"/>
                      <w:szCs w:val="20"/>
                    </w:rPr>
                    <w:t xml:space="preserve"> </w:t>
                  </w:r>
                  <w:r>
                    <w:rPr>
                      <w:spacing w:val="9"/>
                      <w:sz w:val="20"/>
                      <w:szCs w:val="20"/>
                    </w:rPr>
                    <w:t>消防服、灭火器、火警报警装置等应急物资</w:t>
                  </w:r>
                </w:p>
              </w:tc>
              <w:tc>
                <w:tcPr>
                  <w:tcW w:w="1386" w:type="dxa"/>
                  <w:vAlign w:val="top"/>
                </w:tcPr>
                <w:p w14:paraId="602C3C91">
                  <w:pPr>
                    <w:spacing w:before="206" w:line="192"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3ABED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059" w:type="dxa"/>
                  <w:gridSpan w:val="2"/>
                  <w:vMerge w:val="restart"/>
                  <w:tcBorders>
                    <w:bottom w:val="nil"/>
                  </w:tcBorders>
                  <w:vAlign w:val="top"/>
                </w:tcPr>
                <w:p w14:paraId="25BF7D1A">
                  <w:pPr>
                    <w:spacing w:line="384" w:lineRule="auto"/>
                    <w:rPr>
                      <w:rFonts w:ascii="Arial"/>
                      <w:sz w:val="21"/>
                    </w:rPr>
                  </w:pPr>
                </w:p>
                <w:p w14:paraId="1796040D">
                  <w:pPr>
                    <w:pStyle w:val="6"/>
                    <w:spacing w:before="65" w:line="228" w:lineRule="auto"/>
                    <w:ind w:left="618"/>
                    <w:rPr>
                      <w:sz w:val="20"/>
                      <w:szCs w:val="20"/>
                    </w:rPr>
                  </w:pPr>
                  <w:r>
                    <w:rPr>
                      <w:spacing w:val="6"/>
                      <w:sz w:val="20"/>
                      <w:szCs w:val="20"/>
                    </w:rPr>
                    <w:t>生态环境</w:t>
                  </w:r>
                </w:p>
              </w:tc>
              <w:tc>
                <w:tcPr>
                  <w:tcW w:w="4571" w:type="dxa"/>
                  <w:vAlign w:val="top"/>
                </w:tcPr>
                <w:p w14:paraId="07A1D67F">
                  <w:pPr>
                    <w:pStyle w:val="6"/>
                    <w:spacing w:before="32" w:line="234" w:lineRule="auto"/>
                    <w:ind w:left="297" w:right="105" w:hanging="173"/>
                    <w:rPr>
                      <w:sz w:val="20"/>
                      <w:szCs w:val="20"/>
                    </w:rPr>
                  </w:pPr>
                  <w:r>
                    <w:rPr>
                      <w:spacing w:val="6"/>
                      <w:sz w:val="20"/>
                      <w:szCs w:val="20"/>
                    </w:rPr>
                    <w:t>临时占用的集电线路区、场内道路边坡及施工场</w:t>
                  </w:r>
                  <w:r>
                    <w:rPr>
                      <w:spacing w:val="9"/>
                      <w:sz w:val="20"/>
                      <w:szCs w:val="20"/>
                    </w:rPr>
                    <w:t xml:space="preserve"> 地区进行施工迹地恢复，执行水保方案措施</w:t>
                  </w:r>
                </w:p>
              </w:tc>
              <w:tc>
                <w:tcPr>
                  <w:tcW w:w="1386" w:type="dxa"/>
                  <w:vAlign w:val="top"/>
                </w:tcPr>
                <w:p w14:paraId="112697C3">
                  <w:pPr>
                    <w:pStyle w:val="6"/>
                    <w:spacing w:before="32" w:line="234" w:lineRule="auto"/>
                    <w:ind w:left="601" w:right="166" w:hanging="428"/>
                    <w:rPr>
                      <w:sz w:val="20"/>
                      <w:szCs w:val="20"/>
                    </w:rPr>
                  </w:pPr>
                  <w:r>
                    <w:rPr>
                      <w:spacing w:val="8"/>
                      <w:sz w:val="20"/>
                      <w:szCs w:val="20"/>
                    </w:rPr>
                    <w:t>计入水保投</w:t>
                  </w:r>
                  <w:r>
                    <w:rPr>
                      <w:sz w:val="20"/>
                      <w:szCs w:val="20"/>
                    </w:rPr>
                    <w:t xml:space="preserve"> 资</w:t>
                  </w:r>
                </w:p>
              </w:tc>
            </w:tr>
            <w:tr w14:paraId="56AA2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059" w:type="dxa"/>
                  <w:gridSpan w:val="2"/>
                  <w:vMerge w:val="continue"/>
                  <w:tcBorders>
                    <w:top w:val="nil"/>
                    <w:bottom w:val="nil"/>
                  </w:tcBorders>
                  <w:vAlign w:val="top"/>
                </w:tcPr>
                <w:p w14:paraId="15F98AE9">
                  <w:pPr>
                    <w:rPr>
                      <w:rFonts w:ascii="Arial"/>
                      <w:sz w:val="21"/>
                    </w:rPr>
                  </w:pPr>
                </w:p>
              </w:tc>
              <w:tc>
                <w:tcPr>
                  <w:tcW w:w="4571" w:type="dxa"/>
                  <w:vAlign w:val="top"/>
                </w:tcPr>
                <w:p w14:paraId="7321CE06">
                  <w:pPr>
                    <w:pStyle w:val="6"/>
                    <w:spacing w:before="33" w:line="216" w:lineRule="auto"/>
                    <w:ind w:left="1453"/>
                    <w:rPr>
                      <w:sz w:val="20"/>
                      <w:szCs w:val="20"/>
                    </w:rPr>
                  </w:pPr>
                  <w:r>
                    <w:rPr>
                      <w:spacing w:val="8"/>
                      <w:sz w:val="20"/>
                      <w:szCs w:val="20"/>
                    </w:rPr>
                    <w:t>生态保护宣传教育</w:t>
                  </w:r>
                </w:p>
              </w:tc>
              <w:tc>
                <w:tcPr>
                  <w:tcW w:w="1386" w:type="dxa"/>
                  <w:vAlign w:val="top"/>
                </w:tcPr>
                <w:p w14:paraId="38BD6E48">
                  <w:pPr>
                    <w:spacing w:before="68" w:line="195" w:lineRule="auto"/>
                    <w:ind w:left="64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41FA7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059" w:type="dxa"/>
                  <w:gridSpan w:val="2"/>
                  <w:vMerge w:val="continue"/>
                  <w:tcBorders>
                    <w:top w:val="nil"/>
                  </w:tcBorders>
                  <w:vAlign w:val="top"/>
                </w:tcPr>
                <w:p w14:paraId="57DB757E">
                  <w:pPr>
                    <w:rPr>
                      <w:rFonts w:ascii="Arial"/>
                      <w:sz w:val="21"/>
                    </w:rPr>
                  </w:pPr>
                </w:p>
              </w:tc>
              <w:tc>
                <w:tcPr>
                  <w:tcW w:w="4571" w:type="dxa"/>
                  <w:vAlign w:val="top"/>
                </w:tcPr>
                <w:p w14:paraId="277BBE9B">
                  <w:pPr>
                    <w:pStyle w:val="6"/>
                    <w:spacing w:before="31" w:line="218" w:lineRule="auto"/>
                    <w:ind w:left="1520"/>
                    <w:rPr>
                      <w:rFonts w:ascii="Times New Roman" w:hAnsi="Times New Roman" w:eastAsia="Times New Roman" w:cs="Times New Roman"/>
                      <w:sz w:val="13"/>
                      <w:szCs w:val="13"/>
                    </w:rPr>
                  </w:pPr>
                  <w:r>
                    <w:rPr>
                      <w:spacing w:val="3"/>
                      <w:sz w:val="20"/>
                      <w:szCs w:val="20"/>
                    </w:rPr>
                    <w:t>绿化面积</w:t>
                  </w:r>
                  <w:r>
                    <w:rPr>
                      <w:spacing w:val="-17"/>
                      <w:sz w:val="20"/>
                      <w:szCs w:val="20"/>
                    </w:rPr>
                    <w:t xml:space="preserve"> </w:t>
                  </w:r>
                  <w:r>
                    <w:rPr>
                      <w:rFonts w:ascii="Times New Roman" w:hAnsi="Times New Roman" w:eastAsia="Times New Roman" w:cs="Times New Roman"/>
                      <w:spacing w:val="3"/>
                      <w:sz w:val="20"/>
                      <w:szCs w:val="20"/>
                    </w:rPr>
                    <w:t>1000m</w:t>
                  </w:r>
                  <w:r>
                    <w:rPr>
                      <w:rFonts w:ascii="Times New Roman" w:hAnsi="Times New Roman" w:eastAsia="Times New Roman" w:cs="Times New Roman"/>
                      <w:spacing w:val="3"/>
                      <w:position w:val="6"/>
                      <w:sz w:val="13"/>
                      <w:szCs w:val="13"/>
                    </w:rPr>
                    <w:t>2</w:t>
                  </w:r>
                </w:p>
              </w:tc>
              <w:tc>
                <w:tcPr>
                  <w:tcW w:w="1386" w:type="dxa"/>
                  <w:vAlign w:val="top"/>
                </w:tcPr>
                <w:p w14:paraId="0FA72B87">
                  <w:pPr>
                    <w:spacing w:before="70" w:line="192"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440F1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059" w:type="dxa"/>
                  <w:gridSpan w:val="2"/>
                  <w:vMerge w:val="restart"/>
                  <w:tcBorders>
                    <w:bottom w:val="nil"/>
                  </w:tcBorders>
                  <w:vAlign w:val="top"/>
                </w:tcPr>
                <w:p w14:paraId="3FE890D3">
                  <w:pPr>
                    <w:spacing w:line="263" w:lineRule="auto"/>
                    <w:rPr>
                      <w:rFonts w:ascii="Arial"/>
                      <w:sz w:val="21"/>
                    </w:rPr>
                  </w:pPr>
                </w:p>
                <w:p w14:paraId="44ABB22C">
                  <w:pPr>
                    <w:spacing w:line="264" w:lineRule="auto"/>
                    <w:rPr>
                      <w:rFonts w:ascii="Arial"/>
                      <w:sz w:val="21"/>
                    </w:rPr>
                  </w:pPr>
                </w:p>
                <w:p w14:paraId="1273F369">
                  <w:pPr>
                    <w:pStyle w:val="6"/>
                    <w:spacing w:before="65" w:line="228" w:lineRule="auto"/>
                    <w:ind w:left="826"/>
                    <w:rPr>
                      <w:sz w:val="20"/>
                      <w:szCs w:val="20"/>
                    </w:rPr>
                  </w:pPr>
                  <w:r>
                    <w:rPr>
                      <w:spacing w:val="4"/>
                      <w:sz w:val="20"/>
                      <w:szCs w:val="20"/>
                    </w:rPr>
                    <w:t>其他</w:t>
                  </w:r>
                </w:p>
              </w:tc>
              <w:tc>
                <w:tcPr>
                  <w:tcW w:w="4571" w:type="dxa"/>
                  <w:vAlign w:val="top"/>
                </w:tcPr>
                <w:p w14:paraId="51AA8C0D">
                  <w:pPr>
                    <w:pStyle w:val="6"/>
                    <w:spacing w:before="31" w:line="217" w:lineRule="auto"/>
                    <w:ind w:left="1451"/>
                    <w:rPr>
                      <w:sz w:val="20"/>
                      <w:szCs w:val="20"/>
                    </w:rPr>
                  </w:pPr>
                  <w:r>
                    <w:rPr>
                      <w:spacing w:val="8"/>
                      <w:sz w:val="20"/>
                      <w:szCs w:val="20"/>
                    </w:rPr>
                    <w:t>环境影响评价编制</w:t>
                  </w:r>
                </w:p>
              </w:tc>
              <w:tc>
                <w:tcPr>
                  <w:tcW w:w="1386" w:type="dxa"/>
                  <w:vAlign w:val="top"/>
                </w:tcPr>
                <w:p w14:paraId="10DBD44C">
                  <w:pPr>
                    <w:spacing w:before="67" w:line="195" w:lineRule="auto"/>
                    <w:ind w:left="64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4BED4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059" w:type="dxa"/>
                  <w:gridSpan w:val="2"/>
                  <w:vMerge w:val="continue"/>
                  <w:tcBorders>
                    <w:top w:val="nil"/>
                    <w:bottom w:val="nil"/>
                  </w:tcBorders>
                  <w:vAlign w:val="top"/>
                </w:tcPr>
                <w:p w14:paraId="7C5F24AC">
                  <w:pPr>
                    <w:rPr>
                      <w:rFonts w:ascii="Arial"/>
                      <w:sz w:val="21"/>
                    </w:rPr>
                  </w:pPr>
                </w:p>
              </w:tc>
              <w:tc>
                <w:tcPr>
                  <w:tcW w:w="4571" w:type="dxa"/>
                  <w:vAlign w:val="top"/>
                </w:tcPr>
                <w:p w14:paraId="0642FD60">
                  <w:pPr>
                    <w:pStyle w:val="6"/>
                    <w:spacing w:before="33" w:line="216" w:lineRule="auto"/>
                    <w:ind w:left="1452"/>
                    <w:rPr>
                      <w:sz w:val="20"/>
                      <w:szCs w:val="20"/>
                    </w:rPr>
                  </w:pPr>
                  <w:r>
                    <w:rPr>
                      <w:spacing w:val="8"/>
                      <w:sz w:val="20"/>
                      <w:szCs w:val="20"/>
                    </w:rPr>
                    <w:t>竣工环境保护验收</w:t>
                  </w:r>
                </w:p>
              </w:tc>
              <w:tc>
                <w:tcPr>
                  <w:tcW w:w="1386" w:type="dxa"/>
                  <w:vAlign w:val="top"/>
                </w:tcPr>
                <w:p w14:paraId="177526E1">
                  <w:pPr>
                    <w:spacing w:before="68" w:line="195" w:lineRule="auto"/>
                    <w:ind w:left="65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14:paraId="6B2D0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059" w:type="dxa"/>
                  <w:gridSpan w:val="2"/>
                  <w:vMerge w:val="continue"/>
                  <w:tcBorders>
                    <w:top w:val="nil"/>
                    <w:bottom w:val="nil"/>
                  </w:tcBorders>
                  <w:vAlign w:val="top"/>
                </w:tcPr>
                <w:p w14:paraId="17AD9093">
                  <w:pPr>
                    <w:rPr>
                      <w:rFonts w:ascii="Arial"/>
                      <w:sz w:val="21"/>
                    </w:rPr>
                  </w:pPr>
                </w:p>
              </w:tc>
              <w:tc>
                <w:tcPr>
                  <w:tcW w:w="4571" w:type="dxa"/>
                  <w:vAlign w:val="top"/>
                </w:tcPr>
                <w:p w14:paraId="0CC5F765">
                  <w:pPr>
                    <w:pStyle w:val="6"/>
                    <w:spacing w:before="31" w:line="218" w:lineRule="auto"/>
                    <w:ind w:left="933"/>
                    <w:rPr>
                      <w:sz w:val="20"/>
                      <w:szCs w:val="20"/>
                    </w:rPr>
                  </w:pPr>
                  <w:r>
                    <w:rPr>
                      <w:spacing w:val="8"/>
                      <w:sz w:val="20"/>
                      <w:szCs w:val="20"/>
                    </w:rPr>
                    <w:t>突发环境事件应急预案编制费</w:t>
                  </w:r>
                </w:p>
              </w:tc>
              <w:tc>
                <w:tcPr>
                  <w:tcW w:w="1386" w:type="dxa"/>
                  <w:vAlign w:val="top"/>
                </w:tcPr>
                <w:p w14:paraId="56033F48">
                  <w:pPr>
                    <w:spacing w:before="67" w:line="195" w:lineRule="auto"/>
                    <w:ind w:left="64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3D798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059" w:type="dxa"/>
                  <w:gridSpan w:val="2"/>
                  <w:vMerge w:val="continue"/>
                  <w:tcBorders>
                    <w:top w:val="nil"/>
                    <w:bottom w:val="nil"/>
                  </w:tcBorders>
                  <w:vAlign w:val="top"/>
                </w:tcPr>
                <w:p w14:paraId="362CA167">
                  <w:pPr>
                    <w:rPr>
                      <w:rFonts w:ascii="Arial"/>
                      <w:sz w:val="21"/>
                    </w:rPr>
                  </w:pPr>
                </w:p>
              </w:tc>
              <w:tc>
                <w:tcPr>
                  <w:tcW w:w="4571" w:type="dxa"/>
                  <w:vAlign w:val="top"/>
                </w:tcPr>
                <w:p w14:paraId="744C6F77">
                  <w:pPr>
                    <w:pStyle w:val="6"/>
                    <w:spacing w:before="31" w:line="217" w:lineRule="auto"/>
                    <w:ind w:left="1871"/>
                    <w:rPr>
                      <w:sz w:val="20"/>
                      <w:szCs w:val="20"/>
                    </w:rPr>
                  </w:pPr>
                  <w:r>
                    <w:rPr>
                      <w:spacing w:val="7"/>
                      <w:sz w:val="20"/>
                      <w:szCs w:val="20"/>
                    </w:rPr>
                    <w:t>环境监理</w:t>
                  </w:r>
                </w:p>
              </w:tc>
              <w:tc>
                <w:tcPr>
                  <w:tcW w:w="1386" w:type="dxa"/>
                  <w:vAlign w:val="top"/>
                </w:tcPr>
                <w:p w14:paraId="657FBDDA">
                  <w:pPr>
                    <w:spacing w:before="67"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73ED3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059" w:type="dxa"/>
                  <w:gridSpan w:val="2"/>
                  <w:vMerge w:val="continue"/>
                  <w:tcBorders>
                    <w:top w:val="nil"/>
                    <w:bottom w:val="nil"/>
                  </w:tcBorders>
                  <w:vAlign w:val="top"/>
                </w:tcPr>
                <w:p w14:paraId="17716057">
                  <w:pPr>
                    <w:rPr>
                      <w:rFonts w:ascii="Arial"/>
                      <w:sz w:val="21"/>
                    </w:rPr>
                  </w:pPr>
                </w:p>
              </w:tc>
              <w:tc>
                <w:tcPr>
                  <w:tcW w:w="4571" w:type="dxa"/>
                  <w:tcBorders>
                    <w:bottom w:val="nil"/>
                  </w:tcBorders>
                  <w:vAlign w:val="top"/>
                </w:tcPr>
                <w:p w14:paraId="12B52938">
                  <w:pPr>
                    <w:pStyle w:val="6"/>
                    <w:spacing w:before="33" w:line="219" w:lineRule="auto"/>
                    <w:ind w:left="1871"/>
                    <w:rPr>
                      <w:sz w:val="20"/>
                      <w:szCs w:val="20"/>
                    </w:rPr>
                  </w:pPr>
                  <w:r>
                    <w:rPr>
                      <w:spacing w:val="7"/>
                      <w:sz w:val="20"/>
                      <w:szCs w:val="20"/>
                    </w:rPr>
                    <w:t>环境监测</w:t>
                  </w:r>
                </w:p>
              </w:tc>
              <w:tc>
                <w:tcPr>
                  <w:tcW w:w="1386" w:type="dxa"/>
                  <w:tcBorders>
                    <w:bottom w:val="nil"/>
                  </w:tcBorders>
                  <w:vAlign w:val="top"/>
                </w:tcPr>
                <w:p w14:paraId="4D416FCC">
                  <w:pPr>
                    <w:spacing w:before="69" w:line="195" w:lineRule="auto"/>
                    <w:ind w:left="64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bl>
          <w:p w14:paraId="4E6022F0">
            <w:pPr>
              <w:spacing w:line="46" w:lineRule="auto"/>
              <w:rPr>
                <w:rFonts w:ascii="Arial"/>
                <w:sz w:val="2"/>
              </w:rPr>
            </w:pPr>
          </w:p>
        </w:tc>
      </w:tr>
    </w:tbl>
    <w:p w14:paraId="61AFFEE4">
      <w:pPr>
        <w:rPr>
          <w:rFonts w:ascii="Arial"/>
          <w:sz w:val="21"/>
        </w:rPr>
      </w:pPr>
    </w:p>
    <w:p w14:paraId="48955B5F">
      <w:pPr>
        <w:rPr>
          <w:rFonts w:ascii="Arial" w:hAnsi="Arial" w:eastAsia="Arial" w:cs="Arial"/>
          <w:sz w:val="21"/>
          <w:szCs w:val="21"/>
        </w:rPr>
        <w:sectPr>
          <w:footerReference r:id="rId170" w:type="default"/>
          <w:pgSz w:w="11907" w:h="16840"/>
          <w:pgMar w:top="1431" w:right="1453" w:bottom="1278" w:left="1453" w:header="0" w:footer="1116" w:gutter="0"/>
          <w:cols w:space="720" w:num="1"/>
        </w:sectPr>
      </w:pPr>
    </w:p>
    <w:p w14:paraId="21FBCAAD">
      <w:pPr>
        <w:spacing w:line="99" w:lineRule="exact"/>
      </w:pPr>
      <w:r>
        <w:pict>
          <v:shape id="_x0000_s1087" o:spid="_x0000_s1087" style="position:absolute;left:0pt;margin-left:115.6pt;margin-top:91.05pt;height:0.5pt;width:401.1pt;mso-position-horizontal-relative:page;mso-position-vertical-relative:page;z-index:251735040;mso-width-relative:page;mso-height-relative:page;" filled="f" stroked="t" coordsize="8022,10" o:allowincell="f" path="m0,4l8021,4e">
            <v:fill on="f" focussize="0,0"/>
            <v:stroke weight="0.48pt" color="#000000" miterlimit="2" joinstyle="bevel"/>
            <v:imagedata o:title=""/>
            <o:lock v:ext="edit"/>
          </v:shape>
        </w:pict>
      </w:r>
    </w:p>
    <w:tbl>
      <w:tblPr>
        <w:tblStyle w:val="5"/>
        <w:tblW w:w="898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2"/>
        <w:gridCol w:w="6619"/>
        <w:gridCol w:w="1380"/>
        <w:gridCol w:w="124"/>
      </w:tblGrid>
      <w:tr w14:paraId="18D23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862" w:type="dxa"/>
            <w:tcBorders>
              <w:right w:val="single" w:color="000000" w:sz="2" w:space="0"/>
            </w:tcBorders>
            <w:vAlign w:val="top"/>
          </w:tcPr>
          <w:p w14:paraId="15AC06F1">
            <w:pPr>
              <w:rPr>
                <w:rFonts w:ascii="Arial"/>
                <w:sz w:val="21"/>
              </w:rPr>
            </w:pPr>
            <w:r>
              <w:pict>
                <v:shape id="_x0000_s1088" o:spid="_x0000_s1088" style="position:absolute;left:0pt;margin-left:36.9pt;margin-top:0.95pt;height:14.15pt;width:0.5pt;mso-position-horizontal-relative:page;mso-position-vertical-relative:page;z-index:251736064;mso-width-relative:page;mso-height-relative:page;" filled="f" stroked="t" coordsize="10,282" path="m4,0l4,282e">
                  <v:fill on="f" focussize="0,0"/>
                  <v:stroke weight="0.48pt" color="#000000" miterlimit="2" joinstyle="bevel"/>
                  <v:imagedata o:title=""/>
                  <o:lock v:ext="edit"/>
                </v:shape>
              </w:pict>
            </w:r>
          </w:p>
        </w:tc>
        <w:tc>
          <w:tcPr>
            <w:tcW w:w="6619" w:type="dxa"/>
            <w:tcBorders>
              <w:top w:val="single" w:color="000000" w:sz="2" w:space="0"/>
              <w:left w:val="single" w:color="000000" w:sz="2" w:space="0"/>
              <w:right w:val="single" w:color="000000" w:sz="2" w:space="0"/>
            </w:tcBorders>
            <w:vAlign w:val="top"/>
          </w:tcPr>
          <w:p w14:paraId="6B01AB7F">
            <w:pPr>
              <w:pStyle w:val="6"/>
              <w:spacing w:before="37" w:line="225" w:lineRule="auto"/>
              <w:ind w:left="3105"/>
              <w:rPr>
                <w:sz w:val="20"/>
                <w:szCs w:val="20"/>
              </w:rPr>
            </w:pPr>
            <w:r>
              <w:rPr>
                <w:spacing w:val="4"/>
                <w:sz w:val="20"/>
                <w:szCs w:val="20"/>
              </w:rPr>
              <w:t>合计</w:t>
            </w:r>
          </w:p>
        </w:tc>
        <w:tc>
          <w:tcPr>
            <w:tcW w:w="1380" w:type="dxa"/>
            <w:tcBorders>
              <w:top w:val="single" w:color="000000" w:sz="2" w:space="0"/>
              <w:left w:val="single" w:color="000000" w:sz="2" w:space="0"/>
              <w:right w:val="single" w:color="000000" w:sz="2" w:space="0"/>
            </w:tcBorders>
            <w:vAlign w:val="top"/>
          </w:tcPr>
          <w:p w14:paraId="4B9EDC33">
            <w:pPr>
              <w:spacing w:before="72"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184.6</w:t>
            </w:r>
          </w:p>
        </w:tc>
        <w:tc>
          <w:tcPr>
            <w:tcW w:w="124" w:type="dxa"/>
            <w:tcBorders>
              <w:left w:val="single" w:color="000000" w:sz="2" w:space="0"/>
            </w:tcBorders>
            <w:vAlign w:val="top"/>
          </w:tcPr>
          <w:p w14:paraId="3713DAE9">
            <w:pPr>
              <w:rPr>
                <w:rFonts w:ascii="Arial"/>
                <w:sz w:val="21"/>
              </w:rPr>
            </w:pPr>
          </w:p>
        </w:tc>
      </w:tr>
    </w:tbl>
    <w:p w14:paraId="1D9FF9ED">
      <w:pPr>
        <w:rPr>
          <w:rFonts w:ascii="Arial"/>
          <w:sz w:val="21"/>
        </w:rPr>
      </w:pPr>
    </w:p>
    <w:p w14:paraId="28A53C8E">
      <w:pPr>
        <w:rPr>
          <w:rFonts w:ascii="Arial" w:hAnsi="Arial" w:eastAsia="Arial" w:cs="Arial"/>
          <w:sz w:val="21"/>
          <w:szCs w:val="21"/>
        </w:rPr>
        <w:sectPr>
          <w:footerReference r:id="rId171" w:type="default"/>
          <w:pgSz w:w="11907" w:h="16840"/>
          <w:pgMar w:top="1431" w:right="1453" w:bottom="1278" w:left="1453" w:header="0" w:footer="1116" w:gutter="0"/>
          <w:cols w:space="720" w:num="1"/>
        </w:sectPr>
      </w:pPr>
    </w:p>
    <w:p w14:paraId="6C0E589D">
      <w:pPr>
        <w:spacing w:line="464" w:lineRule="auto"/>
        <w:rPr>
          <w:rFonts w:ascii="Arial"/>
          <w:sz w:val="21"/>
        </w:rPr>
      </w:pPr>
    </w:p>
    <w:p w14:paraId="31F2D838">
      <w:pPr>
        <w:spacing w:before="98" w:line="211" w:lineRule="auto"/>
        <w:ind w:left="4622"/>
        <w:outlineLvl w:val="0"/>
        <w:rPr>
          <w:rFonts w:ascii="黑体" w:hAnsi="黑体" w:eastAsia="黑体" w:cs="黑体"/>
          <w:sz w:val="30"/>
          <w:szCs w:val="30"/>
        </w:rPr>
      </w:pPr>
      <w:bookmarkStart w:id="21" w:name="bookmark14"/>
      <w:bookmarkEnd w:id="21"/>
      <w:bookmarkStart w:id="22" w:name="bookmark13"/>
      <w:bookmarkEnd w:id="22"/>
      <w:r>
        <w:rPr>
          <w:rFonts w:ascii="黑体" w:hAnsi="黑体" w:eastAsia="黑体" w:cs="黑体"/>
          <w:spacing w:val="-2"/>
          <w:sz w:val="30"/>
          <w:szCs w:val="30"/>
        </w:rPr>
        <w:t>六、生态环境保护措施监督检查清单</w:t>
      </w:r>
    </w:p>
    <w:tbl>
      <w:tblPr>
        <w:tblStyle w:val="5"/>
        <w:tblW w:w="13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4055"/>
        <w:gridCol w:w="2338"/>
        <w:gridCol w:w="4507"/>
        <w:gridCol w:w="2402"/>
      </w:tblGrid>
      <w:tr w14:paraId="673D4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686" w:type="dxa"/>
            <w:vMerge w:val="restart"/>
            <w:tcBorders>
              <w:top w:val="single" w:color="000000" w:sz="6" w:space="0"/>
              <w:left w:val="single" w:color="000000" w:sz="6" w:space="0"/>
              <w:bottom w:val="nil"/>
              <w:tl2br w:val="single" w:color="000000" w:sz="4" w:space="0"/>
            </w:tcBorders>
            <w:vAlign w:val="top"/>
          </w:tcPr>
          <w:p w14:paraId="346036E5">
            <w:pPr>
              <w:pStyle w:val="6"/>
              <w:spacing w:before="206" w:line="228" w:lineRule="auto"/>
              <w:ind w:left="153"/>
              <w:rPr>
                <w:sz w:val="20"/>
                <w:szCs w:val="20"/>
              </w:rPr>
            </w:pPr>
            <w:r>
              <w:rPr>
                <w:b/>
                <w:bCs/>
                <w:spacing w:val="-9"/>
                <w:sz w:val="20"/>
                <w:szCs w:val="20"/>
              </w:rPr>
              <w:t>内容</w:t>
            </w:r>
          </w:p>
          <w:p w14:paraId="6413D414">
            <w:pPr>
              <w:spacing w:line="441" w:lineRule="auto"/>
              <w:rPr>
                <w:rFonts w:ascii="Arial"/>
                <w:sz w:val="21"/>
              </w:rPr>
            </w:pPr>
          </w:p>
          <w:p w14:paraId="01B542CC">
            <w:pPr>
              <w:pStyle w:val="6"/>
              <w:spacing w:before="65" w:line="228" w:lineRule="auto"/>
              <w:ind w:left="129"/>
              <w:rPr>
                <w:sz w:val="20"/>
                <w:szCs w:val="20"/>
              </w:rPr>
            </w:pPr>
            <w:r>
              <w:rPr>
                <w:b/>
                <w:bCs/>
                <w:spacing w:val="3"/>
                <w:sz w:val="20"/>
                <w:szCs w:val="20"/>
              </w:rPr>
              <w:t>要素</w:t>
            </w:r>
          </w:p>
        </w:tc>
        <w:tc>
          <w:tcPr>
            <w:tcW w:w="6393" w:type="dxa"/>
            <w:gridSpan w:val="2"/>
            <w:tcBorders>
              <w:top w:val="single" w:color="000000" w:sz="6" w:space="0"/>
            </w:tcBorders>
            <w:vAlign w:val="top"/>
          </w:tcPr>
          <w:p w14:paraId="183B8852">
            <w:pPr>
              <w:pStyle w:val="6"/>
              <w:spacing w:before="238" w:line="228" w:lineRule="auto"/>
              <w:ind w:left="2881"/>
              <w:rPr>
                <w:sz w:val="20"/>
                <w:szCs w:val="20"/>
              </w:rPr>
            </w:pPr>
            <w:r>
              <w:rPr>
                <w:b/>
                <w:bCs/>
                <w:spacing w:val="5"/>
                <w:sz w:val="20"/>
                <w:szCs w:val="20"/>
              </w:rPr>
              <w:t>施工期</w:t>
            </w:r>
          </w:p>
        </w:tc>
        <w:tc>
          <w:tcPr>
            <w:tcW w:w="6909" w:type="dxa"/>
            <w:gridSpan w:val="2"/>
            <w:tcBorders>
              <w:top w:val="single" w:color="000000" w:sz="6" w:space="0"/>
              <w:right w:val="single" w:color="000000" w:sz="6" w:space="0"/>
            </w:tcBorders>
            <w:vAlign w:val="top"/>
          </w:tcPr>
          <w:p w14:paraId="11C4FC04">
            <w:pPr>
              <w:pStyle w:val="6"/>
              <w:spacing w:before="238" w:line="228" w:lineRule="auto"/>
              <w:ind w:left="3141"/>
              <w:rPr>
                <w:sz w:val="20"/>
                <w:szCs w:val="20"/>
              </w:rPr>
            </w:pPr>
            <w:r>
              <w:rPr>
                <w:b/>
                <w:bCs/>
                <w:spacing w:val="5"/>
                <w:sz w:val="20"/>
                <w:szCs w:val="20"/>
              </w:rPr>
              <w:t>运营期</w:t>
            </w:r>
          </w:p>
        </w:tc>
      </w:tr>
      <w:tr w14:paraId="6DE2B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86" w:type="dxa"/>
            <w:vMerge w:val="continue"/>
            <w:tcBorders>
              <w:top w:val="nil"/>
              <w:left w:val="single" w:color="000000" w:sz="6" w:space="0"/>
              <w:tl2br w:val="single" w:color="000000" w:sz="4" w:space="0"/>
            </w:tcBorders>
            <w:vAlign w:val="top"/>
          </w:tcPr>
          <w:p w14:paraId="6A9E05F7">
            <w:pPr>
              <w:rPr>
                <w:rFonts w:ascii="Arial"/>
                <w:sz w:val="21"/>
              </w:rPr>
            </w:pPr>
          </w:p>
        </w:tc>
        <w:tc>
          <w:tcPr>
            <w:tcW w:w="4055" w:type="dxa"/>
            <w:vAlign w:val="top"/>
          </w:tcPr>
          <w:p w14:paraId="7C1113A4">
            <w:pPr>
              <w:pStyle w:val="6"/>
              <w:spacing w:before="237" w:line="228" w:lineRule="auto"/>
              <w:ind w:left="1396"/>
              <w:rPr>
                <w:sz w:val="20"/>
                <w:szCs w:val="20"/>
              </w:rPr>
            </w:pPr>
            <w:r>
              <w:rPr>
                <w:b/>
                <w:bCs/>
                <w:spacing w:val="6"/>
                <w:sz w:val="20"/>
                <w:szCs w:val="20"/>
              </w:rPr>
              <w:t>环境保护措施</w:t>
            </w:r>
          </w:p>
        </w:tc>
        <w:tc>
          <w:tcPr>
            <w:tcW w:w="2338" w:type="dxa"/>
            <w:vAlign w:val="top"/>
          </w:tcPr>
          <w:p w14:paraId="20833185">
            <w:pPr>
              <w:pStyle w:val="6"/>
              <w:spacing w:before="236" w:line="228" w:lineRule="auto"/>
              <w:ind w:left="750"/>
              <w:rPr>
                <w:sz w:val="20"/>
                <w:szCs w:val="20"/>
              </w:rPr>
            </w:pPr>
            <w:r>
              <w:rPr>
                <w:b/>
                <w:bCs/>
                <w:spacing w:val="6"/>
                <w:sz w:val="20"/>
                <w:szCs w:val="20"/>
              </w:rPr>
              <w:t>验收要求</w:t>
            </w:r>
          </w:p>
        </w:tc>
        <w:tc>
          <w:tcPr>
            <w:tcW w:w="4507" w:type="dxa"/>
            <w:vAlign w:val="top"/>
          </w:tcPr>
          <w:p w14:paraId="4A05F8CB">
            <w:pPr>
              <w:pStyle w:val="6"/>
              <w:spacing w:before="237" w:line="228" w:lineRule="auto"/>
              <w:ind w:left="1629"/>
              <w:rPr>
                <w:sz w:val="20"/>
                <w:szCs w:val="20"/>
              </w:rPr>
            </w:pPr>
            <w:r>
              <w:rPr>
                <w:b/>
                <w:bCs/>
                <w:spacing w:val="6"/>
                <w:sz w:val="20"/>
                <w:szCs w:val="20"/>
              </w:rPr>
              <w:t>环境保护措施</w:t>
            </w:r>
          </w:p>
        </w:tc>
        <w:tc>
          <w:tcPr>
            <w:tcW w:w="2402" w:type="dxa"/>
            <w:tcBorders>
              <w:right w:val="single" w:color="000000" w:sz="6" w:space="0"/>
            </w:tcBorders>
            <w:vAlign w:val="top"/>
          </w:tcPr>
          <w:p w14:paraId="521DD9AF">
            <w:pPr>
              <w:pStyle w:val="6"/>
              <w:spacing w:before="236" w:line="228" w:lineRule="auto"/>
              <w:ind w:left="786"/>
              <w:rPr>
                <w:sz w:val="20"/>
                <w:szCs w:val="20"/>
              </w:rPr>
            </w:pPr>
            <w:r>
              <w:rPr>
                <w:b/>
                <w:bCs/>
                <w:spacing w:val="6"/>
                <w:sz w:val="20"/>
                <w:szCs w:val="20"/>
              </w:rPr>
              <w:t>验收要求</w:t>
            </w:r>
          </w:p>
        </w:tc>
      </w:tr>
      <w:tr w14:paraId="2982A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4" w:hRule="atLeast"/>
        </w:trPr>
        <w:tc>
          <w:tcPr>
            <w:tcW w:w="686" w:type="dxa"/>
            <w:tcBorders>
              <w:left w:val="single" w:color="000000" w:sz="6" w:space="0"/>
              <w:bottom w:val="single" w:color="000000" w:sz="6" w:space="0"/>
            </w:tcBorders>
            <w:vAlign w:val="top"/>
          </w:tcPr>
          <w:p w14:paraId="34677413">
            <w:pPr>
              <w:spacing w:line="256" w:lineRule="auto"/>
              <w:rPr>
                <w:rFonts w:ascii="Arial"/>
                <w:sz w:val="21"/>
              </w:rPr>
            </w:pPr>
          </w:p>
          <w:p w14:paraId="4736BD65">
            <w:pPr>
              <w:spacing w:line="256" w:lineRule="auto"/>
              <w:rPr>
                <w:rFonts w:ascii="Arial"/>
                <w:sz w:val="21"/>
              </w:rPr>
            </w:pPr>
          </w:p>
          <w:p w14:paraId="1295B0C9">
            <w:pPr>
              <w:spacing w:line="256" w:lineRule="auto"/>
              <w:rPr>
                <w:rFonts w:ascii="Arial"/>
                <w:sz w:val="21"/>
              </w:rPr>
            </w:pPr>
          </w:p>
          <w:p w14:paraId="2FBC6F91">
            <w:pPr>
              <w:spacing w:line="256" w:lineRule="auto"/>
              <w:rPr>
                <w:rFonts w:ascii="Arial"/>
                <w:sz w:val="21"/>
              </w:rPr>
            </w:pPr>
          </w:p>
          <w:p w14:paraId="667D5DBC">
            <w:pPr>
              <w:spacing w:line="256" w:lineRule="auto"/>
              <w:rPr>
                <w:rFonts w:ascii="Arial"/>
                <w:sz w:val="21"/>
              </w:rPr>
            </w:pPr>
          </w:p>
          <w:p w14:paraId="455B0442">
            <w:pPr>
              <w:spacing w:line="257" w:lineRule="auto"/>
              <w:rPr>
                <w:rFonts w:ascii="Arial"/>
                <w:sz w:val="21"/>
              </w:rPr>
            </w:pPr>
          </w:p>
          <w:p w14:paraId="50FBCEF0">
            <w:pPr>
              <w:spacing w:line="257" w:lineRule="auto"/>
              <w:rPr>
                <w:rFonts w:ascii="Arial"/>
                <w:sz w:val="21"/>
              </w:rPr>
            </w:pPr>
          </w:p>
          <w:p w14:paraId="306044DF">
            <w:pPr>
              <w:spacing w:line="257" w:lineRule="auto"/>
              <w:rPr>
                <w:rFonts w:ascii="Arial"/>
                <w:sz w:val="21"/>
              </w:rPr>
            </w:pPr>
          </w:p>
          <w:p w14:paraId="3CA74A6F">
            <w:pPr>
              <w:spacing w:line="257" w:lineRule="auto"/>
              <w:rPr>
                <w:rFonts w:ascii="Arial"/>
                <w:sz w:val="21"/>
              </w:rPr>
            </w:pPr>
          </w:p>
          <w:p w14:paraId="51A1FE30">
            <w:pPr>
              <w:spacing w:line="257" w:lineRule="auto"/>
              <w:rPr>
                <w:rFonts w:ascii="Arial"/>
                <w:sz w:val="21"/>
              </w:rPr>
            </w:pPr>
          </w:p>
          <w:p w14:paraId="55FA2BC3">
            <w:pPr>
              <w:spacing w:line="257" w:lineRule="auto"/>
              <w:rPr>
                <w:rFonts w:ascii="Arial"/>
                <w:sz w:val="21"/>
              </w:rPr>
            </w:pPr>
          </w:p>
          <w:p w14:paraId="702CC899">
            <w:pPr>
              <w:spacing w:line="257" w:lineRule="auto"/>
              <w:rPr>
                <w:rFonts w:ascii="Arial"/>
                <w:sz w:val="21"/>
              </w:rPr>
            </w:pPr>
          </w:p>
          <w:p w14:paraId="74742CD6">
            <w:pPr>
              <w:pStyle w:val="6"/>
              <w:spacing w:before="65" w:line="243" w:lineRule="auto"/>
              <w:ind w:left="132" w:right="135" w:firstLine="8"/>
              <w:rPr>
                <w:sz w:val="20"/>
                <w:szCs w:val="20"/>
              </w:rPr>
            </w:pPr>
            <w:r>
              <w:rPr>
                <w:spacing w:val="-1"/>
                <w:sz w:val="20"/>
                <w:szCs w:val="20"/>
              </w:rPr>
              <w:t>陆生</w:t>
            </w:r>
            <w:r>
              <w:rPr>
                <w:sz w:val="20"/>
                <w:szCs w:val="20"/>
              </w:rPr>
              <w:t xml:space="preserve"> </w:t>
            </w:r>
            <w:r>
              <w:rPr>
                <w:spacing w:val="3"/>
                <w:sz w:val="20"/>
                <w:szCs w:val="20"/>
              </w:rPr>
              <w:t>生态</w:t>
            </w:r>
          </w:p>
        </w:tc>
        <w:tc>
          <w:tcPr>
            <w:tcW w:w="4055" w:type="dxa"/>
            <w:tcBorders>
              <w:bottom w:val="single" w:color="000000" w:sz="6" w:space="0"/>
            </w:tcBorders>
            <w:vAlign w:val="top"/>
          </w:tcPr>
          <w:p w14:paraId="0D016669">
            <w:pPr>
              <w:pStyle w:val="6"/>
              <w:spacing w:before="33" w:line="247" w:lineRule="auto"/>
              <w:ind w:left="138" w:right="141" w:firstLine="62"/>
              <w:jc w:val="both"/>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 xml:space="preserve">）施工设计阶段必须进行施工组织设 </w:t>
            </w:r>
            <w:r>
              <w:rPr>
                <w:spacing w:val="9"/>
                <w:sz w:val="20"/>
                <w:szCs w:val="20"/>
              </w:rPr>
              <w:t>计，合理规划临时施工场地，严格选择施</w:t>
            </w:r>
            <w:r>
              <w:rPr>
                <w:spacing w:val="6"/>
                <w:sz w:val="20"/>
                <w:szCs w:val="20"/>
              </w:rPr>
              <w:t xml:space="preserve"> </w:t>
            </w:r>
            <w:r>
              <w:rPr>
                <w:spacing w:val="9"/>
                <w:sz w:val="20"/>
                <w:szCs w:val="20"/>
              </w:rPr>
              <w:t>工附属设施的布置位置，光伏列阵应避让</w:t>
            </w:r>
            <w:r>
              <w:rPr>
                <w:spacing w:val="6"/>
                <w:sz w:val="20"/>
                <w:szCs w:val="20"/>
              </w:rPr>
              <w:t xml:space="preserve"> </w:t>
            </w:r>
            <w:r>
              <w:rPr>
                <w:spacing w:val="9"/>
                <w:sz w:val="20"/>
                <w:szCs w:val="20"/>
              </w:rPr>
              <w:t>植被长势较好的植被区，如应避让天然灌</w:t>
            </w:r>
            <w:r>
              <w:rPr>
                <w:spacing w:val="6"/>
                <w:sz w:val="20"/>
                <w:szCs w:val="20"/>
              </w:rPr>
              <w:t xml:space="preserve"> </w:t>
            </w:r>
            <w:r>
              <w:rPr>
                <w:spacing w:val="9"/>
                <w:sz w:val="20"/>
                <w:szCs w:val="20"/>
              </w:rPr>
              <w:t>木林地，植被尽可能保留，不改变林草地</w:t>
            </w:r>
          </w:p>
          <w:p w14:paraId="52933B37">
            <w:pPr>
              <w:pStyle w:val="6"/>
              <w:spacing w:before="24" w:line="227" w:lineRule="auto"/>
              <w:ind w:right="16"/>
              <w:jc w:val="right"/>
              <w:rPr>
                <w:sz w:val="20"/>
                <w:szCs w:val="20"/>
              </w:rPr>
            </w:pPr>
            <w:r>
              <w:rPr>
                <w:spacing w:val="6"/>
                <w:sz w:val="20"/>
                <w:szCs w:val="20"/>
              </w:rPr>
              <w:t>性质，并远离线路附近的村庄，优化布置，</w:t>
            </w:r>
          </w:p>
          <w:p w14:paraId="00DEC557">
            <w:pPr>
              <w:pStyle w:val="6"/>
              <w:spacing w:before="27" w:line="229" w:lineRule="auto"/>
              <w:ind w:left="1501"/>
              <w:rPr>
                <w:sz w:val="20"/>
                <w:szCs w:val="20"/>
              </w:rPr>
            </w:pPr>
            <w:r>
              <w:rPr>
                <w:spacing w:val="5"/>
                <w:sz w:val="20"/>
                <w:szCs w:val="20"/>
              </w:rPr>
              <w:t>减少占地。</w:t>
            </w:r>
          </w:p>
          <w:p w14:paraId="7A2BBAA2">
            <w:pPr>
              <w:pStyle w:val="6"/>
              <w:spacing w:before="21" w:line="244" w:lineRule="auto"/>
              <w:ind w:left="138" w:right="110" w:hanging="21"/>
              <w:jc w:val="both"/>
              <w:rPr>
                <w:sz w:val="20"/>
                <w:szCs w:val="20"/>
              </w:rPr>
            </w:pPr>
            <w:r>
              <w:rPr>
                <w:spacing w:val="6"/>
                <w:sz w:val="20"/>
                <w:szCs w:val="20"/>
              </w:rPr>
              <w:t>（</w:t>
            </w:r>
            <w:r>
              <w:rPr>
                <w:rFonts w:ascii="Times New Roman" w:hAnsi="Times New Roman" w:eastAsia="Times New Roman" w:cs="Times New Roman"/>
                <w:spacing w:val="6"/>
                <w:sz w:val="20"/>
                <w:szCs w:val="20"/>
              </w:rPr>
              <w:t>2</w:t>
            </w:r>
            <w:r>
              <w:rPr>
                <w:spacing w:val="6"/>
                <w:sz w:val="20"/>
                <w:szCs w:val="20"/>
              </w:rPr>
              <w:t xml:space="preserve">）严格施工管理，禁止超范围占地；光 </w:t>
            </w:r>
            <w:r>
              <w:rPr>
                <w:spacing w:val="9"/>
                <w:sz w:val="20"/>
                <w:szCs w:val="20"/>
              </w:rPr>
              <w:t>伏区除桩基用地外，严禁硬化地面、严禁</w:t>
            </w:r>
            <w:r>
              <w:rPr>
                <w:spacing w:val="6"/>
                <w:sz w:val="20"/>
                <w:szCs w:val="20"/>
              </w:rPr>
              <w:t xml:space="preserve"> </w:t>
            </w:r>
            <w:r>
              <w:rPr>
                <w:spacing w:val="9"/>
                <w:sz w:val="20"/>
                <w:szCs w:val="20"/>
              </w:rPr>
              <w:t>抛荒、撂荒；施工结束后，对裸露的土地</w:t>
            </w:r>
          </w:p>
          <w:p w14:paraId="65D4CAC9">
            <w:pPr>
              <w:pStyle w:val="6"/>
              <w:spacing w:before="24" w:line="228" w:lineRule="auto"/>
              <w:ind w:left="451"/>
              <w:rPr>
                <w:sz w:val="20"/>
                <w:szCs w:val="20"/>
              </w:rPr>
            </w:pPr>
            <w:r>
              <w:rPr>
                <w:spacing w:val="8"/>
                <w:sz w:val="20"/>
                <w:szCs w:val="20"/>
              </w:rPr>
              <w:t>进行绿化、对临时占地进行修复。</w:t>
            </w:r>
          </w:p>
          <w:p w14:paraId="4BDFA2A7">
            <w:pPr>
              <w:pStyle w:val="6"/>
              <w:spacing w:before="30" w:line="248" w:lineRule="auto"/>
              <w:ind w:left="106" w:right="58" w:firstLine="10"/>
              <w:rPr>
                <w:sz w:val="20"/>
                <w:szCs w:val="20"/>
              </w:rPr>
            </w:pPr>
            <w:r>
              <w:rPr>
                <w:spacing w:val="6"/>
                <w:sz w:val="20"/>
                <w:szCs w:val="20"/>
              </w:rPr>
              <w:t>（</w:t>
            </w:r>
            <w:r>
              <w:rPr>
                <w:rFonts w:ascii="Times New Roman" w:hAnsi="Times New Roman" w:eastAsia="Times New Roman" w:cs="Times New Roman"/>
                <w:spacing w:val="6"/>
                <w:sz w:val="20"/>
                <w:szCs w:val="20"/>
              </w:rPr>
              <w:t>3</w:t>
            </w:r>
            <w:r>
              <w:rPr>
                <w:spacing w:val="6"/>
                <w:sz w:val="20"/>
                <w:szCs w:val="20"/>
              </w:rPr>
              <w:t xml:space="preserve">）占用林草地区域时，光伏板下方原有 </w:t>
            </w:r>
            <w:r>
              <w:rPr>
                <w:spacing w:val="9"/>
                <w:sz w:val="20"/>
                <w:szCs w:val="20"/>
              </w:rPr>
              <w:t>植被盖度达到</w:t>
            </w:r>
            <w:r>
              <w:rPr>
                <w:spacing w:val="-30"/>
                <w:sz w:val="20"/>
                <w:szCs w:val="20"/>
              </w:rPr>
              <w:t xml:space="preserve"> </w:t>
            </w:r>
            <w:r>
              <w:rPr>
                <w:rFonts w:ascii="Times New Roman" w:hAnsi="Times New Roman" w:eastAsia="Times New Roman" w:cs="Times New Roman"/>
                <w:spacing w:val="9"/>
                <w:sz w:val="20"/>
                <w:szCs w:val="20"/>
              </w:rPr>
              <w:t>30%</w:t>
            </w:r>
            <w:r>
              <w:rPr>
                <w:spacing w:val="9"/>
                <w:sz w:val="20"/>
                <w:szCs w:val="20"/>
              </w:rPr>
              <w:t>以上，且具备自然恢复</w:t>
            </w:r>
            <w:r>
              <w:rPr>
                <w:sz w:val="20"/>
                <w:szCs w:val="20"/>
              </w:rPr>
              <w:t xml:space="preserve"> </w:t>
            </w:r>
            <w:r>
              <w:rPr>
                <w:spacing w:val="8"/>
                <w:sz w:val="20"/>
                <w:szCs w:val="20"/>
              </w:rPr>
              <w:t>条件的，</w:t>
            </w:r>
            <w:r>
              <w:rPr>
                <w:spacing w:val="-44"/>
                <w:sz w:val="20"/>
                <w:szCs w:val="20"/>
              </w:rPr>
              <w:t xml:space="preserve"> </w:t>
            </w:r>
            <w:r>
              <w:rPr>
                <w:spacing w:val="8"/>
                <w:sz w:val="20"/>
                <w:szCs w:val="20"/>
              </w:rPr>
              <w:t>以自然恢复植被为主，不采取开</w:t>
            </w:r>
            <w:r>
              <w:rPr>
                <w:sz w:val="20"/>
                <w:szCs w:val="20"/>
              </w:rPr>
              <w:t xml:space="preserve">  </w:t>
            </w:r>
            <w:r>
              <w:rPr>
                <w:spacing w:val="4"/>
                <w:sz w:val="20"/>
                <w:szCs w:val="20"/>
              </w:rPr>
              <w:t>挖补种、更替树种、除草等人工干预措施；</w:t>
            </w:r>
            <w:r>
              <w:rPr>
                <w:spacing w:val="8"/>
                <w:sz w:val="20"/>
                <w:szCs w:val="20"/>
              </w:rPr>
              <w:t xml:space="preserve"> 原有植被盖度达到</w:t>
            </w:r>
            <w:r>
              <w:rPr>
                <w:spacing w:val="-37"/>
                <w:sz w:val="20"/>
                <w:szCs w:val="20"/>
              </w:rPr>
              <w:t xml:space="preserve"> </w:t>
            </w:r>
            <w:r>
              <w:rPr>
                <w:rFonts w:ascii="Times New Roman" w:hAnsi="Times New Roman" w:eastAsia="Times New Roman" w:cs="Times New Roman"/>
                <w:spacing w:val="8"/>
                <w:sz w:val="20"/>
                <w:szCs w:val="20"/>
              </w:rPr>
              <w:t>20%</w:t>
            </w:r>
            <w:r>
              <w:rPr>
                <w:spacing w:val="8"/>
                <w:sz w:val="20"/>
                <w:szCs w:val="20"/>
              </w:rPr>
              <w:t>以上</w:t>
            </w:r>
            <w:r>
              <w:rPr>
                <w:spacing w:val="-39"/>
                <w:sz w:val="20"/>
                <w:szCs w:val="20"/>
              </w:rPr>
              <w:t xml:space="preserve"> </w:t>
            </w:r>
            <w:r>
              <w:rPr>
                <w:rFonts w:ascii="Times New Roman" w:hAnsi="Times New Roman" w:eastAsia="Times New Roman" w:cs="Times New Roman"/>
                <w:spacing w:val="8"/>
                <w:sz w:val="20"/>
                <w:szCs w:val="20"/>
              </w:rPr>
              <w:t>30%</w:t>
            </w:r>
            <w:r>
              <w:rPr>
                <w:spacing w:val="8"/>
                <w:sz w:val="20"/>
                <w:szCs w:val="20"/>
              </w:rPr>
              <w:t>以下，且</w:t>
            </w:r>
            <w:r>
              <w:rPr>
                <w:sz w:val="20"/>
                <w:szCs w:val="20"/>
              </w:rPr>
              <w:t xml:space="preserve"> </w:t>
            </w:r>
            <w:r>
              <w:rPr>
                <w:spacing w:val="11"/>
                <w:sz w:val="20"/>
                <w:szCs w:val="20"/>
              </w:rPr>
              <w:t>具备自然恢复条件的，采取补植补种修复</w:t>
            </w:r>
            <w:r>
              <w:rPr>
                <w:spacing w:val="1"/>
                <w:sz w:val="20"/>
                <w:szCs w:val="20"/>
              </w:rPr>
              <w:t xml:space="preserve">  </w:t>
            </w:r>
            <w:r>
              <w:rPr>
                <w:spacing w:val="9"/>
                <w:sz w:val="20"/>
                <w:szCs w:val="20"/>
              </w:rPr>
              <w:t>植被；原有植被盖度低于</w:t>
            </w:r>
            <w:r>
              <w:rPr>
                <w:spacing w:val="-28"/>
                <w:sz w:val="20"/>
                <w:szCs w:val="20"/>
              </w:rPr>
              <w:t xml:space="preserve"> </w:t>
            </w:r>
            <w:r>
              <w:rPr>
                <w:rFonts w:ascii="Times New Roman" w:hAnsi="Times New Roman" w:eastAsia="Times New Roman" w:cs="Times New Roman"/>
                <w:spacing w:val="9"/>
                <w:sz w:val="20"/>
                <w:szCs w:val="20"/>
              </w:rPr>
              <w:t>20%</w:t>
            </w:r>
            <w:r>
              <w:rPr>
                <w:spacing w:val="9"/>
                <w:sz w:val="20"/>
                <w:szCs w:val="20"/>
              </w:rPr>
              <w:t>的，采取人</w:t>
            </w:r>
            <w:r>
              <w:rPr>
                <w:sz w:val="20"/>
                <w:szCs w:val="20"/>
              </w:rPr>
              <w:t xml:space="preserve"> </w:t>
            </w:r>
            <w:r>
              <w:rPr>
                <w:spacing w:val="11"/>
                <w:sz w:val="20"/>
                <w:szCs w:val="20"/>
              </w:rPr>
              <w:t>工种草等措施改良植被及土壤条件，防止</w:t>
            </w:r>
          </w:p>
          <w:p w14:paraId="4B2CE8F5">
            <w:pPr>
              <w:pStyle w:val="6"/>
              <w:spacing w:before="26" w:line="228" w:lineRule="auto"/>
              <w:ind w:right="16"/>
              <w:jc w:val="right"/>
              <w:rPr>
                <w:sz w:val="20"/>
                <w:szCs w:val="20"/>
              </w:rPr>
            </w:pPr>
            <w:r>
              <w:rPr>
                <w:spacing w:val="6"/>
                <w:sz w:val="20"/>
                <w:szCs w:val="20"/>
              </w:rPr>
              <w:t>水土流失和土壤侵蚀；尽量选用当地物种，</w:t>
            </w:r>
          </w:p>
          <w:p w14:paraId="134049DF">
            <w:pPr>
              <w:pStyle w:val="6"/>
              <w:spacing w:before="24" w:line="228" w:lineRule="auto"/>
              <w:ind w:left="1190"/>
              <w:rPr>
                <w:sz w:val="20"/>
                <w:szCs w:val="20"/>
              </w:rPr>
            </w:pPr>
            <w:r>
              <w:rPr>
                <w:spacing w:val="7"/>
                <w:sz w:val="20"/>
                <w:szCs w:val="20"/>
              </w:rPr>
              <w:t>不引入外来物种。</w:t>
            </w:r>
          </w:p>
          <w:p w14:paraId="0414CF92">
            <w:pPr>
              <w:pStyle w:val="6"/>
              <w:spacing w:before="29" w:line="242" w:lineRule="auto"/>
              <w:ind w:left="138" w:right="110" w:hanging="21"/>
              <w:jc w:val="both"/>
              <w:rPr>
                <w:sz w:val="20"/>
                <w:szCs w:val="20"/>
              </w:rPr>
            </w:pPr>
            <w:r>
              <w:rPr>
                <w:spacing w:val="6"/>
                <w:sz w:val="20"/>
                <w:szCs w:val="20"/>
              </w:rPr>
              <w:t>（</w:t>
            </w:r>
            <w:r>
              <w:rPr>
                <w:rFonts w:ascii="Times New Roman" w:hAnsi="Times New Roman" w:eastAsia="Times New Roman" w:cs="Times New Roman"/>
                <w:spacing w:val="6"/>
                <w:sz w:val="20"/>
                <w:szCs w:val="20"/>
              </w:rPr>
              <w:t>4</w:t>
            </w:r>
            <w:r>
              <w:rPr>
                <w:spacing w:val="6"/>
                <w:sz w:val="20"/>
                <w:szCs w:val="20"/>
              </w:rPr>
              <w:t xml:space="preserve">）植被恢复及绿化过程中，宜采用当地 </w:t>
            </w:r>
            <w:r>
              <w:rPr>
                <w:spacing w:val="11"/>
                <w:sz w:val="20"/>
                <w:szCs w:val="20"/>
              </w:rPr>
              <w:t>植物进行</w:t>
            </w:r>
            <w:r>
              <w:rPr>
                <w:rFonts w:ascii="Times New Roman" w:hAnsi="Times New Roman" w:eastAsia="Times New Roman" w:cs="Times New Roman"/>
                <w:spacing w:val="11"/>
                <w:sz w:val="20"/>
                <w:szCs w:val="20"/>
              </w:rPr>
              <w:t>“</w:t>
            </w:r>
            <w:r>
              <w:rPr>
                <w:spacing w:val="11"/>
                <w:sz w:val="20"/>
                <w:szCs w:val="20"/>
              </w:rPr>
              <w:t>恢复性</w:t>
            </w:r>
            <w:r>
              <w:rPr>
                <w:rFonts w:ascii="Times New Roman" w:hAnsi="Times New Roman" w:eastAsia="Times New Roman" w:cs="Times New Roman"/>
                <w:spacing w:val="11"/>
                <w:sz w:val="20"/>
                <w:szCs w:val="20"/>
              </w:rPr>
              <w:t>”</w:t>
            </w:r>
            <w:r>
              <w:rPr>
                <w:spacing w:val="11"/>
                <w:sz w:val="20"/>
                <w:szCs w:val="20"/>
              </w:rPr>
              <w:t>种植，然后采取</w:t>
            </w:r>
            <w:r>
              <w:rPr>
                <w:rFonts w:ascii="Times New Roman" w:hAnsi="Times New Roman" w:eastAsia="Times New Roman" w:cs="Times New Roman"/>
                <w:spacing w:val="11"/>
                <w:sz w:val="20"/>
                <w:szCs w:val="20"/>
              </w:rPr>
              <w:t>“</w:t>
            </w:r>
            <w:r>
              <w:rPr>
                <w:spacing w:val="11"/>
                <w:sz w:val="20"/>
                <w:szCs w:val="20"/>
              </w:rPr>
              <w:t>封育</w:t>
            </w:r>
            <w:r>
              <w:rPr>
                <w:rFonts w:ascii="Times New Roman" w:hAnsi="Times New Roman" w:eastAsia="Times New Roman" w:cs="Times New Roman"/>
                <w:spacing w:val="11"/>
                <w:sz w:val="20"/>
                <w:szCs w:val="20"/>
              </w:rPr>
              <w:t>”</w:t>
            </w:r>
            <w:r>
              <w:rPr>
                <w:rFonts w:ascii="Times New Roman" w:hAnsi="Times New Roman" w:eastAsia="Times New Roman" w:cs="Times New Roman"/>
                <w:spacing w:val="15"/>
                <w:sz w:val="20"/>
                <w:szCs w:val="20"/>
              </w:rPr>
              <w:t xml:space="preserve"> </w:t>
            </w:r>
            <w:r>
              <w:rPr>
                <w:spacing w:val="9"/>
                <w:sz w:val="20"/>
                <w:szCs w:val="20"/>
              </w:rPr>
              <w:t>手段，促进自然恢复。在植被恢复及绿化</w:t>
            </w:r>
            <w:r>
              <w:rPr>
                <w:spacing w:val="6"/>
                <w:sz w:val="20"/>
                <w:szCs w:val="20"/>
              </w:rPr>
              <w:t xml:space="preserve"> </w:t>
            </w:r>
            <w:r>
              <w:rPr>
                <w:spacing w:val="9"/>
                <w:sz w:val="20"/>
                <w:szCs w:val="20"/>
              </w:rPr>
              <w:t>过程中，应选择乡土树种及适合当地环境</w:t>
            </w:r>
          </w:p>
        </w:tc>
        <w:tc>
          <w:tcPr>
            <w:tcW w:w="2338" w:type="dxa"/>
            <w:tcBorders>
              <w:bottom w:val="single" w:color="000000" w:sz="6" w:space="0"/>
            </w:tcBorders>
            <w:vAlign w:val="top"/>
          </w:tcPr>
          <w:p w14:paraId="0199A395">
            <w:pPr>
              <w:spacing w:line="250" w:lineRule="auto"/>
              <w:rPr>
                <w:rFonts w:ascii="Arial"/>
                <w:sz w:val="21"/>
              </w:rPr>
            </w:pPr>
          </w:p>
          <w:p w14:paraId="7C5054D4">
            <w:pPr>
              <w:spacing w:line="250" w:lineRule="auto"/>
              <w:rPr>
                <w:rFonts w:ascii="Arial"/>
                <w:sz w:val="21"/>
              </w:rPr>
            </w:pPr>
          </w:p>
          <w:p w14:paraId="51D2CA1E">
            <w:pPr>
              <w:spacing w:line="250" w:lineRule="auto"/>
              <w:rPr>
                <w:rFonts w:ascii="Arial"/>
                <w:sz w:val="21"/>
              </w:rPr>
            </w:pPr>
          </w:p>
          <w:p w14:paraId="046A18CE">
            <w:pPr>
              <w:spacing w:line="250" w:lineRule="auto"/>
              <w:rPr>
                <w:rFonts w:ascii="Arial"/>
                <w:sz w:val="21"/>
              </w:rPr>
            </w:pPr>
          </w:p>
          <w:p w14:paraId="2808B0EF">
            <w:pPr>
              <w:spacing w:line="250" w:lineRule="auto"/>
              <w:rPr>
                <w:rFonts w:ascii="Arial"/>
                <w:sz w:val="21"/>
              </w:rPr>
            </w:pPr>
          </w:p>
          <w:p w14:paraId="6CE1B365">
            <w:pPr>
              <w:spacing w:line="250" w:lineRule="auto"/>
              <w:rPr>
                <w:rFonts w:ascii="Arial"/>
                <w:sz w:val="21"/>
              </w:rPr>
            </w:pPr>
          </w:p>
          <w:p w14:paraId="2DA61D11">
            <w:pPr>
              <w:spacing w:line="250" w:lineRule="auto"/>
              <w:rPr>
                <w:rFonts w:ascii="Arial"/>
                <w:sz w:val="21"/>
              </w:rPr>
            </w:pPr>
          </w:p>
          <w:p w14:paraId="3CEE78E8">
            <w:pPr>
              <w:spacing w:line="250" w:lineRule="auto"/>
              <w:rPr>
                <w:rFonts w:ascii="Arial"/>
                <w:sz w:val="21"/>
              </w:rPr>
            </w:pPr>
          </w:p>
          <w:p w14:paraId="3BE6D189">
            <w:pPr>
              <w:pStyle w:val="6"/>
              <w:spacing w:before="65" w:line="228" w:lineRule="auto"/>
              <w:ind w:left="231"/>
              <w:rPr>
                <w:sz w:val="20"/>
                <w:szCs w:val="20"/>
              </w:rPr>
            </w:pPr>
            <w:r>
              <w:rPr>
                <w:spacing w:val="8"/>
                <w:sz w:val="20"/>
                <w:szCs w:val="20"/>
              </w:rPr>
              <w:t>项目不占生态保护红</w:t>
            </w:r>
          </w:p>
          <w:p w14:paraId="5C9B094D">
            <w:pPr>
              <w:pStyle w:val="6"/>
              <w:spacing w:before="23" w:line="227" w:lineRule="auto"/>
              <w:ind w:left="125"/>
              <w:rPr>
                <w:sz w:val="20"/>
                <w:szCs w:val="20"/>
              </w:rPr>
            </w:pPr>
            <w:r>
              <w:rPr>
                <w:spacing w:val="8"/>
                <w:sz w:val="20"/>
                <w:szCs w:val="20"/>
              </w:rPr>
              <w:t>线、基本农田；无乱砍</w:t>
            </w:r>
          </w:p>
          <w:p w14:paraId="44B5AC4C">
            <w:pPr>
              <w:pStyle w:val="6"/>
              <w:spacing w:before="24" w:line="228" w:lineRule="auto"/>
              <w:ind w:left="122"/>
              <w:rPr>
                <w:sz w:val="20"/>
                <w:szCs w:val="20"/>
              </w:rPr>
            </w:pPr>
            <w:r>
              <w:rPr>
                <w:spacing w:val="8"/>
                <w:sz w:val="20"/>
                <w:szCs w:val="20"/>
              </w:rPr>
              <w:t>滥伐、猎杀野生动物现</w:t>
            </w:r>
          </w:p>
          <w:p w14:paraId="5A95E45B">
            <w:pPr>
              <w:pStyle w:val="6"/>
              <w:spacing w:before="26" w:line="228" w:lineRule="auto"/>
              <w:ind w:left="130"/>
              <w:rPr>
                <w:sz w:val="20"/>
                <w:szCs w:val="20"/>
              </w:rPr>
            </w:pPr>
            <w:r>
              <w:rPr>
                <w:spacing w:val="8"/>
                <w:sz w:val="20"/>
                <w:szCs w:val="20"/>
              </w:rPr>
              <w:t>象发生；水保措施执行</w:t>
            </w:r>
          </w:p>
          <w:p w14:paraId="6FA0F513">
            <w:pPr>
              <w:pStyle w:val="6"/>
              <w:spacing w:before="24" w:line="228" w:lineRule="auto"/>
              <w:ind w:left="128"/>
              <w:rPr>
                <w:sz w:val="20"/>
                <w:szCs w:val="20"/>
              </w:rPr>
            </w:pPr>
            <w:r>
              <w:rPr>
                <w:spacing w:val="8"/>
                <w:sz w:val="20"/>
                <w:szCs w:val="20"/>
              </w:rPr>
              <w:t>到位，达到《生产建设</w:t>
            </w:r>
          </w:p>
          <w:p w14:paraId="60EE1004">
            <w:pPr>
              <w:pStyle w:val="6"/>
              <w:spacing w:before="27" w:line="228" w:lineRule="auto"/>
              <w:ind w:left="231"/>
              <w:rPr>
                <w:sz w:val="20"/>
                <w:szCs w:val="20"/>
              </w:rPr>
            </w:pPr>
            <w:r>
              <w:rPr>
                <w:spacing w:val="8"/>
                <w:sz w:val="20"/>
                <w:szCs w:val="20"/>
              </w:rPr>
              <w:t>项目水土保持技术规</w:t>
            </w:r>
          </w:p>
          <w:p w14:paraId="4AA68DB5">
            <w:pPr>
              <w:pStyle w:val="6"/>
              <w:spacing w:before="24" w:line="232" w:lineRule="auto"/>
              <w:ind w:left="115"/>
              <w:rPr>
                <w:sz w:val="20"/>
                <w:szCs w:val="20"/>
              </w:rPr>
            </w:pPr>
            <w:r>
              <w:rPr>
                <w:spacing w:val="5"/>
                <w:sz w:val="20"/>
                <w:szCs w:val="20"/>
              </w:rPr>
              <w:t>范》（</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50433-2018</w:t>
            </w:r>
            <w:r>
              <w:rPr>
                <w:spacing w:val="5"/>
                <w:sz w:val="20"/>
                <w:szCs w:val="20"/>
              </w:rPr>
              <w:t>）</w:t>
            </w:r>
          </w:p>
          <w:p w14:paraId="1E6324DE">
            <w:pPr>
              <w:pStyle w:val="6"/>
              <w:spacing w:before="22" w:line="228" w:lineRule="auto"/>
              <w:ind w:left="122"/>
              <w:rPr>
                <w:sz w:val="20"/>
                <w:szCs w:val="20"/>
              </w:rPr>
            </w:pPr>
            <w:r>
              <w:rPr>
                <w:spacing w:val="9"/>
                <w:sz w:val="20"/>
                <w:szCs w:val="20"/>
              </w:rPr>
              <w:t>及《生产建设项目水土</w:t>
            </w:r>
          </w:p>
          <w:p w14:paraId="0CDF7472">
            <w:pPr>
              <w:pStyle w:val="6"/>
              <w:spacing w:before="25" w:line="228" w:lineRule="auto"/>
              <w:ind w:left="438"/>
              <w:rPr>
                <w:sz w:val="20"/>
                <w:szCs w:val="20"/>
              </w:rPr>
            </w:pPr>
            <w:r>
              <w:rPr>
                <w:spacing w:val="6"/>
                <w:sz w:val="20"/>
                <w:szCs w:val="20"/>
              </w:rPr>
              <w:t>流失防治标准》</w:t>
            </w:r>
          </w:p>
          <w:p w14:paraId="14390621">
            <w:pPr>
              <w:pStyle w:val="6"/>
              <w:spacing w:before="26"/>
              <w:ind w:left="121"/>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/T50434-2018</w:t>
            </w:r>
            <w:r>
              <w:rPr>
                <w:spacing w:val="4"/>
                <w:sz w:val="20"/>
                <w:szCs w:val="20"/>
              </w:rPr>
              <w:t>）。</w:t>
            </w:r>
          </w:p>
        </w:tc>
        <w:tc>
          <w:tcPr>
            <w:tcW w:w="4507" w:type="dxa"/>
            <w:tcBorders>
              <w:bottom w:val="single" w:color="000000" w:sz="6" w:space="0"/>
            </w:tcBorders>
            <w:vAlign w:val="top"/>
          </w:tcPr>
          <w:p w14:paraId="58283AEC">
            <w:pPr>
              <w:pStyle w:val="6"/>
              <w:spacing w:before="35" w:line="248" w:lineRule="auto"/>
              <w:ind w:left="112" w:right="63" w:firstLine="10"/>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 xml:space="preserve">）严格执行《云南省能源局关于进一步支持 </w:t>
            </w:r>
            <w:r>
              <w:rPr>
                <w:spacing w:val="4"/>
                <w:sz w:val="20"/>
                <w:szCs w:val="20"/>
              </w:rPr>
              <w:t>光伏扶贫和规范光伏发电产业用地的通知》（云</w:t>
            </w:r>
            <w:r>
              <w:rPr>
                <w:spacing w:val="3"/>
                <w:sz w:val="20"/>
                <w:szCs w:val="20"/>
              </w:rPr>
              <w:t xml:space="preserve"> </w:t>
            </w:r>
            <w:r>
              <w:rPr>
                <w:spacing w:val="5"/>
                <w:sz w:val="20"/>
                <w:szCs w:val="20"/>
              </w:rPr>
              <w:t>自然资〔</w:t>
            </w:r>
            <w:r>
              <w:rPr>
                <w:rFonts w:ascii="Times New Roman" w:hAnsi="Times New Roman" w:eastAsia="Times New Roman" w:cs="Times New Roman"/>
                <w:spacing w:val="5"/>
                <w:sz w:val="20"/>
                <w:szCs w:val="20"/>
              </w:rPr>
              <w:t>2019</w:t>
            </w:r>
            <w:r>
              <w:rPr>
                <w:spacing w:val="5"/>
                <w:sz w:val="20"/>
                <w:szCs w:val="20"/>
              </w:rPr>
              <w:t>〕</w:t>
            </w:r>
            <w:r>
              <w:rPr>
                <w:rFonts w:ascii="Times New Roman" w:hAnsi="Times New Roman" w:eastAsia="Times New Roman" w:cs="Times New Roman"/>
                <w:spacing w:val="5"/>
                <w:sz w:val="20"/>
                <w:szCs w:val="20"/>
              </w:rPr>
              <w:t>196</w:t>
            </w:r>
            <w:r>
              <w:rPr>
                <w:rFonts w:ascii="Times New Roman" w:hAnsi="Times New Roman" w:eastAsia="Times New Roman" w:cs="Times New Roman"/>
                <w:spacing w:val="15"/>
                <w:sz w:val="20"/>
                <w:szCs w:val="20"/>
              </w:rPr>
              <w:t xml:space="preserve"> </w:t>
            </w:r>
            <w:r>
              <w:rPr>
                <w:spacing w:val="5"/>
                <w:sz w:val="20"/>
                <w:szCs w:val="20"/>
              </w:rPr>
              <w:t>号），光伏复合项目，光伏</w:t>
            </w:r>
            <w:r>
              <w:rPr>
                <w:sz w:val="20"/>
                <w:szCs w:val="20"/>
              </w:rPr>
              <w:t xml:space="preserve"> </w:t>
            </w:r>
            <w:r>
              <w:rPr>
                <w:spacing w:val="9"/>
                <w:sz w:val="20"/>
                <w:szCs w:val="20"/>
              </w:rPr>
              <w:t>板下及周围种植林草植被，光伏组件严格执行</w:t>
            </w:r>
            <w:r>
              <w:rPr>
                <w:spacing w:val="4"/>
                <w:sz w:val="20"/>
                <w:szCs w:val="20"/>
              </w:rPr>
              <w:t xml:space="preserve">  </w:t>
            </w:r>
            <w:r>
              <w:rPr>
                <w:spacing w:val="5"/>
                <w:sz w:val="20"/>
                <w:szCs w:val="20"/>
              </w:rPr>
              <w:t>最低沿高于地面</w:t>
            </w:r>
            <w:r>
              <w:rPr>
                <w:spacing w:val="-31"/>
                <w:sz w:val="20"/>
                <w:szCs w:val="20"/>
              </w:rPr>
              <w:t xml:space="preserve"> </w:t>
            </w:r>
            <w:r>
              <w:rPr>
                <w:rFonts w:ascii="Times New Roman" w:hAnsi="Times New Roman" w:eastAsia="Times New Roman" w:cs="Times New Roman"/>
                <w:spacing w:val="5"/>
                <w:sz w:val="20"/>
                <w:szCs w:val="20"/>
              </w:rPr>
              <w:t>2.5m</w:t>
            </w:r>
            <w:r>
              <w:rPr>
                <w:rFonts w:ascii="Times New Roman" w:hAnsi="Times New Roman" w:eastAsia="Times New Roman" w:cs="Times New Roman"/>
                <w:spacing w:val="-27"/>
                <w:sz w:val="20"/>
                <w:szCs w:val="20"/>
              </w:rPr>
              <w:t xml:space="preserve"> </w:t>
            </w:r>
            <w:r>
              <w:rPr>
                <w:spacing w:val="5"/>
                <w:sz w:val="20"/>
                <w:szCs w:val="20"/>
              </w:rPr>
              <w:t>、桩基间列间距大于</w:t>
            </w:r>
            <w:r>
              <w:rPr>
                <w:spacing w:val="-44"/>
                <w:sz w:val="20"/>
                <w:szCs w:val="20"/>
              </w:rPr>
              <w:t xml:space="preserve"> </w:t>
            </w:r>
            <w:r>
              <w:rPr>
                <w:rFonts w:ascii="Times New Roman" w:hAnsi="Times New Roman" w:eastAsia="Times New Roman" w:cs="Times New Roman"/>
                <w:spacing w:val="5"/>
                <w:sz w:val="20"/>
                <w:szCs w:val="20"/>
              </w:rPr>
              <w:t>4m</w:t>
            </w:r>
            <w:r>
              <w:rPr>
                <w:spacing w:val="5"/>
                <w:sz w:val="20"/>
                <w:szCs w:val="20"/>
              </w:rPr>
              <w:t>、</w:t>
            </w:r>
            <w:r>
              <w:rPr>
                <w:sz w:val="20"/>
                <w:szCs w:val="20"/>
              </w:rPr>
              <w:t xml:space="preserve"> </w:t>
            </w:r>
            <w:r>
              <w:rPr>
                <w:spacing w:val="6"/>
                <w:sz w:val="20"/>
                <w:szCs w:val="20"/>
              </w:rPr>
              <w:t>行间距大于</w:t>
            </w:r>
            <w:r>
              <w:rPr>
                <w:spacing w:val="-29"/>
                <w:sz w:val="20"/>
                <w:szCs w:val="20"/>
              </w:rPr>
              <w:t xml:space="preserve"> </w:t>
            </w:r>
            <w:r>
              <w:rPr>
                <w:rFonts w:ascii="Times New Roman" w:hAnsi="Times New Roman" w:eastAsia="Times New Roman" w:cs="Times New Roman"/>
                <w:spacing w:val="6"/>
                <w:sz w:val="20"/>
                <w:szCs w:val="20"/>
              </w:rPr>
              <w:t>6.5m</w:t>
            </w:r>
            <w:r>
              <w:rPr>
                <w:rFonts w:ascii="Times New Roman" w:hAnsi="Times New Roman" w:eastAsia="Times New Roman" w:cs="Times New Roman"/>
                <w:spacing w:val="29"/>
                <w:sz w:val="20"/>
                <w:szCs w:val="20"/>
              </w:rPr>
              <w:t xml:space="preserve"> </w:t>
            </w:r>
            <w:r>
              <w:rPr>
                <w:spacing w:val="6"/>
                <w:sz w:val="20"/>
                <w:szCs w:val="20"/>
              </w:rPr>
              <w:t>的架设要求，不破坏林业或农</w:t>
            </w:r>
            <w:r>
              <w:rPr>
                <w:sz w:val="20"/>
                <w:szCs w:val="20"/>
              </w:rPr>
              <w:t xml:space="preserve"> </w:t>
            </w:r>
            <w:r>
              <w:rPr>
                <w:spacing w:val="9"/>
                <w:sz w:val="20"/>
                <w:szCs w:val="20"/>
              </w:rPr>
              <w:t>业生产条件，除桩基用地外，严禁硬化地面，</w:t>
            </w:r>
          </w:p>
          <w:p w14:paraId="1F330DA9">
            <w:pPr>
              <w:pStyle w:val="6"/>
              <w:spacing w:before="24" w:line="228" w:lineRule="auto"/>
              <w:ind w:left="113"/>
              <w:rPr>
                <w:sz w:val="20"/>
                <w:szCs w:val="20"/>
              </w:rPr>
            </w:pPr>
            <w:r>
              <w:rPr>
                <w:spacing w:val="7"/>
                <w:sz w:val="20"/>
                <w:szCs w:val="20"/>
              </w:rPr>
              <w:t>严禁抛荒、撂荒。</w:t>
            </w:r>
          </w:p>
          <w:p w14:paraId="53677F6F">
            <w:pPr>
              <w:pStyle w:val="6"/>
              <w:spacing w:before="22" w:line="247" w:lineRule="auto"/>
              <w:ind w:left="112" w:right="103" w:firstLine="10"/>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）光伏场区及临时道路区等临时用地区域在</w:t>
            </w:r>
            <w:r>
              <w:rPr>
                <w:spacing w:val="6"/>
                <w:sz w:val="20"/>
                <w:szCs w:val="20"/>
              </w:rPr>
              <w:t xml:space="preserve"> </w:t>
            </w:r>
            <w:r>
              <w:rPr>
                <w:spacing w:val="9"/>
                <w:sz w:val="20"/>
                <w:szCs w:val="20"/>
              </w:rPr>
              <w:t>植被恢复过程中，应加强初期、中期的植被抚</w:t>
            </w:r>
            <w:r>
              <w:rPr>
                <w:spacing w:val="4"/>
                <w:sz w:val="20"/>
                <w:szCs w:val="20"/>
              </w:rPr>
              <w:t xml:space="preserve">  </w:t>
            </w:r>
            <w:r>
              <w:rPr>
                <w:spacing w:val="9"/>
                <w:sz w:val="20"/>
                <w:szCs w:val="20"/>
              </w:rPr>
              <w:t>育工作。尽量采取场地封禁自然恢复，并辅以</w:t>
            </w:r>
            <w:r>
              <w:rPr>
                <w:spacing w:val="4"/>
                <w:sz w:val="20"/>
                <w:szCs w:val="20"/>
              </w:rPr>
              <w:t xml:space="preserve">  </w:t>
            </w:r>
            <w:r>
              <w:rPr>
                <w:spacing w:val="9"/>
                <w:sz w:val="20"/>
                <w:szCs w:val="20"/>
              </w:rPr>
              <w:t>适当的人工手段；如选取本地常见的乡土物种</w:t>
            </w:r>
            <w:r>
              <w:rPr>
                <w:spacing w:val="4"/>
                <w:sz w:val="20"/>
                <w:szCs w:val="20"/>
              </w:rPr>
              <w:t xml:space="preserve">  </w:t>
            </w:r>
            <w:r>
              <w:rPr>
                <w:spacing w:val="5"/>
                <w:sz w:val="20"/>
                <w:szCs w:val="20"/>
              </w:rPr>
              <w:t>补种补植。</w:t>
            </w:r>
          </w:p>
          <w:p w14:paraId="0966A5EA">
            <w:pPr>
              <w:pStyle w:val="6"/>
              <w:spacing w:before="25" w:line="247" w:lineRule="auto"/>
              <w:ind w:left="111" w:right="46" w:firstLine="11"/>
              <w:rPr>
                <w:sz w:val="20"/>
                <w:szCs w:val="20"/>
              </w:rPr>
            </w:pPr>
            <w:r>
              <w:rPr>
                <w:spacing w:val="6"/>
                <w:sz w:val="20"/>
                <w:szCs w:val="20"/>
              </w:rPr>
              <w:t>（</w:t>
            </w:r>
            <w:r>
              <w:rPr>
                <w:rFonts w:ascii="Times New Roman" w:hAnsi="Times New Roman" w:eastAsia="Times New Roman" w:cs="Times New Roman"/>
                <w:spacing w:val="6"/>
                <w:sz w:val="20"/>
                <w:szCs w:val="20"/>
              </w:rPr>
              <w:t>3</w:t>
            </w:r>
            <w:r>
              <w:rPr>
                <w:spacing w:val="6"/>
                <w:sz w:val="20"/>
                <w:szCs w:val="20"/>
              </w:rPr>
              <w:t>）</w:t>
            </w:r>
            <w:r>
              <w:rPr>
                <w:spacing w:val="-52"/>
                <w:sz w:val="20"/>
                <w:szCs w:val="20"/>
              </w:rPr>
              <w:t xml:space="preserve"> </w:t>
            </w:r>
            <w:r>
              <w:rPr>
                <w:spacing w:val="6"/>
                <w:sz w:val="20"/>
                <w:szCs w:val="20"/>
              </w:rPr>
              <w:t>占用林草地区域，后期光伏场区植被恢复</w:t>
            </w:r>
            <w:r>
              <w:rPr>
                <w:sz w:val="20"/>
                <w:szCs w:val="20"/>
              </w:rPr>
              <w:t xml:space="preserve"> </w:t>
            </w:r>
            <w:r>
              <w:rPr>
                <w:spacing w:val="6"/>
                <w:sz w:val="20"/>
                <w:szCs w:val="20"/>
              </w:rPr>
              <w:t>后，生长过程中在满足电站正常运行的基础上，</w:t>
            </w:r>
            <w:r>
              <w:rPr>
                <w:spacing w:val="17"/>
                <w:sz w:val="20"/>
                <w:szCs w:val="20"/>
              </w:rPr>
              <w:t xml:space="preserve"> </w:t>
            </w:r>
            <w:r>
              <w:rPr>
                <w:spacing w:val="9"/>
                <w:sz w:val="20"/>
                <w:szCs w:val="20"/>
              </w:rPr>
              <w:t>应尽量减少对下方及周边植物的扰动。在影响</w:t>
            </w:r>
            <w:r>
              <w:rPr>
                <w:spacing w:val="5"/>
                <w:sz w:val="20"/>
                <w:szCs w:val="20"/>
              </w:rPr>
              <w:t xml:space="preserve">  </w:t>
            </w:r>
            <w:r>
              <w:rPr>
                <w:spacing w:val="6"/>
                <w:sz w:val="20"/>
                <w:szCs w:val="20"/>
              </w:rPr>
              <w:t>电站发电时，应尽量采取人工修剪高度的方式，</w:t>
            </w:r>
            <w:r>
              <w:rPr>
                <w:spacing w:val="17"/>
                <w:sz w:val="20"/>
                <w:szCs w:val="20"/>
              </w:rPr>
              <w:t xml:space="preserve"> </w:t>
            </w:r>
            <w:r>
              <w:rPr>
                <w:spacing w:val="7"/>
                <w:sz w:val="20"/>
                <w:szCs w:val="20"/>
              </w:rPr>
              <w:t>避免直接清理砍伐。</w:t>
            </w:r>
          </w:p>
          <w:p w14:paraId="61CC9D39">
            <w:pPr>
              <w:pStyle w:val="6"/>
              <w:spacing w:before="24"/>
              <w:ind w:left="113" w:right="101" w:firstLine="9"/>
              <w:rPr>
                <w:sz w:val="20"/>
                <w:szCs w:val="20"/>
              </w:rPr>
            </w:pPr>
            <w:r>
              <w:rPr>
                <w:spacing w:val="8"/>
                <w:sz w:val="20"/>
                <w:szCs w:val="20"/>
              </w:rPr>
              <w:t>（</w:t>
            </w:r>
            <w:r>
              <w:rPr>
                <w:rFonts w:ascii="Times New Roman" w:hAnsi="Times New Roman" w:eastAsia="Times New Roman" w:cs="Times New Roman"/>
                <w:spacing w:val="8"/>
                <w:sz w:val="20"/>
                <w:szCs w:val="20"/>
              </w:rPr>
              <w:t>4</w:t>
            </w:r>
            <w:r>
              <w:rPr>
                <w:spacing w:val="8"/>
                <w:sz w:val="20"/>
                <w:szCs w:val="20"/>
              </w:rPr>
              <w:t xml:space="preserve">）保护当地的野生动物，禁止人为捕杀；禁 </w:t>
            </w:r>
            <w:r>
              <w:rPr>
                <w:spacing w:val="7"/>
                <w:sz w:val="20"/>
                <w:szCs w:val="20"/>
              </w:rPr>
              <w:t>止引入外来有害生物。</w:t>
            </w:r>
          </w:p>
          <w:p w14:paraId="42303DC6">
            <w:pPr>
              <w:pStyle w:val="6"/>
              <w:spacing w:before="24" w:line="245" w:lineRule="auto"/>
              <w:ind w:left="116" w:right="142" w:firstLine="6"/>
              <w:rPr>
                <w:sz w:val="20"/>
                <w:szCs w:val="20"/>
              </w:rPr>
            </w:pPr>
            <w:r>
              <w:rPr>
                <w:spacing w:val="6"/>
                <w:sz w:val="20"/>
                <w:szCs w:val="20"/>
              </w:rPr>
              <w:t>（</w:t>
            </w:r>
            <w:r>
              <w:rPr>
                <w:rFonts w:ascii="Times New Roman" w:hAnsi="Times New Roman" w:eastAsia="Times New Roman" w:cs="Times New Roman"/>
                <w:spacing w:val="6"/>
                <w:sz w:val="20"/>
                <w:szCs w:val="20"/>
              </w:rPr>
              <w:t>5</w:t>
            </w:r>
            <w:r>
              <w:rPr>
                <w:spacing w:val="6"/>
                <w:sz w:val="20"/>
                <w:szCs w:val="20"/>
              </w:rPr>
              <w:t>）对光伏区鸟类死亡、受伤情况进行调查，</w:t>
            </w:r>
            <w:r>
              <w:rPr>
                <w:spacing w:val="9"/>
                <w:sz w:val="20"/>
                <w:szCs w:val="20"/>
              </w:rPr>
              <w:t xml:space="preserve"> 必要时采取驱赶措施，降低光伏板对鸟类的影</w:t>
            </w:r>
            <w:r>
              <w:rPr>
                <w:spacing w:val="5"/>
                <w:sz w:val="20"/>
                <w:szCs w:val="20"/>
              </w:rPr>
              <w:t xml:space="preserve"> </w:t>
            </w:r>
            <w:r>
              <w:rPr>
                <w:spacing w:val="-2"/>
                <w:sz w:val="20"/>
                <w:szCs w:val="20"/>
              </w:rPr>
              <w:t>响。</w:t>
            </w:r>
          </w:p>
          <w:p w14:paraId="717E4152">
            <w:pPr>
              <w:pStyle w:val="6"/>
              <w:spacing w:before="21" w:line="234" w:lineRule="auto"/>
              <w:ind w:left="113" w:right="103" w:firstLine="9"/>
              <w:rPr>
                <w:sz w:val="20"/>
                <w:szCs w:val="20"/>
              </w:rPr>
            </w:pPr>
            <w:r>
              <w:rPr>
                <w:spacing w:val="8"/>
                <w:sz w:val="20"/>
                <w:szCs w:val="20"/>
              </w:rPr>
              <w:t>（</w:t>
            </w:r>
            <w:r>
              <w:rPr>
                <w:rFonts w:ascii="Times New Roman" w:hAnsi="Times New Roman" w:eastAsia="Times New Roman" w:cs="Times New Roman"/>
                <w:spacing w:val="8"/>
                <w:sz w:val="20"/>
                <w:szCs w:val="20"/>
              </w:rPr>
              <w:t>6</w:t>
            </w:r>
            <w:r>
              <w:rPr>
                <w:spacing w:val="8"/>
                <w:sz w:val="20"/>
                <w:szCs w:val="20"/>
              </w:rPr>
              <w:t>）光伏周围建设好截排水沟，空闲地多种植</w:t>
            </w:r>
            <w:r>
              <w:rPr>
                <w:spacing w:val="6"/>
                <w:sz w:val="20"/>
                <w:szCs w:val="20"/>
              </w:rPr>
              <w:t xml:space="preserve"> </w:t>
            </w:r>
            <w:r>
              <w:rPr>
                <w:spacing w:val="8"/>
                <w:sz w:val="20"/>
                <w:szCs w:val="20"/>
              </w:rPr>
              <w:t>本地树种，减少区域水土流失。</w:t>
            </w:r>
          </w:p>
        </w:tc>
        <w:tc>
          <w:tcPr>
            <w:tcW w:w="2402" w:type="dxa"/>
            <w:tcBorders>
              <w:bottom w:val="single" w:color="000000" w:sz="6" w:space="0"/>
              <w:right w:val="single" w:color="000000" w:sz="6" w:space="0"/>
            </w:tcBorders>
            <w:vAlign w:val="top"/>
          </w:tcPr>
          <w:p w14:paraId="71BBA176">
            <w:pPr>
              <w:spacing w:line="247" w:lineRule="auto"/>
              <w:rPr>
                <w:rFonts w:ascii="Arial"/>
                <w:sz w:val="21"/>
              </w:rPr>
            </w:pPr>
          </w:p>
          <w:p w14:paraId="228A1886">
            <w:pPr>
              <w:spacing w:line="247" w:lineRule="auto"/>
              <w:rPr>
                <w:rFonts w:ascii="Arial"/>
                <w:sz w:val="21"/>
              </w:rPr>
            </w:pPr>
          </w:p>
          <w:p w14:paraId="6B62C24B">
            <w:pPr>
              <w:spacing w:line="247" w:lineRule="auto"/>
              <w:rPr>
                <w:rFonts w:ascii="Arial"/>
                <w:sz w:val="21"/>
              </w:rPr>
            </w:pPr>
          </w:p>
          <w:p w14:paraId="3F580032">
            <w:pPr>
              <w:spacing w:line="247" w:lineRule="auto"/>
              <w:rPr>
                <w:rFonts w:ascii="Arial"/>
                <w:sz w:val="21"/>
              </w:rPr>
            </w:pPr>
          </w:p>
          <w:p w14:paraId="41A1D6B0">
            <w:pPr>
              <w:spacing w:line="247" w:lineRule="auto"/>
              <w:rPr>
                <w:rFonts w:ascii="Arial"/>
                <w:sz w:val="21"/>
              </w:rPr>
            </w:pPr>
          </w:p>
          <w:p w14:paraId="72F50C60">
            <w:pPr>
              <w:spacing w:line="247" w:lineRule="auto"/>
              <w:rPr>
                <w:rFonts w:ascii="Arial"/>
                <w:sz w:val="21"/>
              </w:rPr>
            </w:pPr>
          </w:p>
          <w:p w14:paraId="0509B8CE">
            <w:pPr>
              <w:spacing w:line="247" w:lineRule="auto"/>
              <w:rPr>
                <w:rFonts w:ascii="Arial"/>
                <w:sz w:val="21"/>
              </w:rPr>
            </w:pPr>
          </w:p>
          <w:p w14:paraId="5ADB6AE9">
            <w:pPr>
              <w:spacing w:line="247" w:lineRule="auto"/>
              <w:rPr>
                <w:rFonts w:ascii="Arial"/>
                <w:sz w:val="21"/>
              </w:rPr>
            </w:pPr>
          </w:p>
          <w:p w14:paraId="4308B800">
            <w:pPr>
              <w:spacing w:line="248" w:lineRule="auto"/>
              <w:rPr>
                <w:rFonts w:ascii="Arial"/>
                <w:sz w:val="21"/>
              </w:rPr>
            </w:pPr>
          </w:p>
          <w:p w14:paraId="3B177B79">
            <w:pPr>
              <w:spacing w:line="248" w:lineRule="auto"/>
              <w:rPr>
                <w:rFonts w:ascii="Arial"/>
                <w:sz w:val="21"/>
              </w:rPr>
            </w:pPr>
          </w:p>
          <w:p w14:paraId="43C7D0EA">
            <w:pPr>
              <w:spacing w:line="248" w:lineRule="auto"/>
              <w:rPr>
                <w:rFonts w:ascii="Arial"/>
                <w:sz w:val="21"/>
              </w:rPr>
            </w:pPr>
          </w:p>
          <w:p w14:paraId="26E7F627">
            <w:pPr>
              <w:spacing w:line="248" w:lineRule="auto"/>
              <w:rPr>
                <w:rFonts w:ascii="Arial"/>
                <w:sz w:val="21"/>
              </w:rPr>
            </w:pPr>
          </w:p>
          <w:p w14:paraId="667C5BDC">
            <w:pPr>
              <w:spacing w:line="248" w:lineRule="auto"/>
              <w:rPr>
                <w:rFonts w:ascii="Arial"/>
                <w:sz w:val="21"/>
              </w:rPr>
            </w:pPr>
          </w:p>
          <w:p w14:paraId="2D15E84E">
            <w:pPr>
              <w:pStyle w:val="6"/>
              <w:spacing w:before="65" w:line="228" w:lineRule="auto"/>
              <w:ind w:left="159"/>
              <w:rPr>
                <w:sz w:val="20"/>
                <w:szCs w:val="20"/>
              </w:rPr>
            </w:pPr>
            <w:r>
              <w:rPr>
                <w:spacing w:val="8"/>
                <w:sz w:val="20"/>
                <w:szCs w:val="20"/>
              </w:rPr>
              <w:t>植被恢复效果达到要求</w:t>
            </w:r>
          </w:p>
        </w:tc>
      </w:tr>
    </w:tbl>
    <w:p w14:paraId="38157DA9">
      <w:pPr>
        <w:rPr>
          <w:rFonts w:ascii="Arial"/>
          <w:sz w:val="21"/>
        </w:rPr>
      </w:pPr>
    </w:p>
    <w:p w14:paraId="64ED0D82">
      <w:pPr>
        <w:rPr>
          <w:rFonts w:ascii="Arial" w:hAnsi="Arial" w:eastAsia="Arial" w:cs="Arial"/>
          <w:sz w:val="21"/>
          <w:szCs w:val="21"/>
        </w:rPr>
        <w:sectPr>
          <w:footerReference r:id="rId172" w:type="default"/>
          <w:pgSz w:w="16839" w:h="11906"/>
          <w:pgMar w:top="1012" w:right="1417" w:bottom="1278" w:left="1417" w:header="0" w:footer="1116" w:gutter="0"/>
          <w:cols w:space="720" w:num="1"/>
        </w:sectPr>
      </w:pPr>
    </w:p>
    <w:p w14:paraId="615F3F60">
      <w:pPr>
        <w:spacing w:before="18"/>
      </w:pPr>
    </w:p>
    <w:p w14:paraId="613D2596">
      <w:pPr>
        <w:spacing w:before="18"/>
      </w:pPr>
    </w:p>
    <w:tbl>
      <w:tblPr>
        <w:tblStyle w:val="5"/>
        <w:tblW w:w="13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4055"/>
        <w:gridCol w:w="2338"/>
        <w:gridCol w:w="4507"/>
        <w:gridCol w:w="2402"/>
      </w:tblGrid>
      <w:tr w14:paraId="4EBC1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9" w:hRule="atLeast"/>
        </w:trPr>
        <w:tc>
          <w:tcPr>
            <w:tcW w:w="686" w:type="dxa"/>
            <w:tcBorders>
              <w:top w:val="single" w:color="000000" w:sz="6" w:space="0"/>
              <w:left w:val="single" w:color="000000" w:sz="6" w:space="0"/>
            </w:tcBorders>
            <w:vAlign w:val="top"/>
          </w:tcPr>
          <w:p w14:paraId="31F72765">
            <w:pPr>
              <w:rPr>
                <w:rFonts w:ascii="Arial"/>
                <w:sz w:val="21"/>
              </w:rPr>
            </w:pPr>
          </w:p>
        </w:tc>
        <w:tc>
          <w:tcPr>
            <w:tcW w:w="4055" w:type="dxa"/>
            <w:tcBorders>
              <w:top w:val="single" w:color="000000" w:sz="6" w:space="0"/>
            </w:tcBorders>
            <w:vAlign w:val="top"/>
          </w:tcPr>
          <w:p w14:paraId="62DFFB85">
            <w:pPr>
              <w:pStyle w:val="6"/>
              <w:spacing w:before="26" w:line="243" w:lineRule="auto"/>
              <w:ind w:left="158" w:right="141" w:hanging="3"/>
              <w:rPr>
                <w:sz w:val="20"/>
                <w:szCs w:val="20"/>
              </w:rPr>
            </w:pPr>
            <w:r>
              <w:rPr>
                <w:spacing w:val="8"/>
                <w:sz w:val="20"/>
                <w:szCs w:val="20"/>
              </w:rPr>
              <w:t>的植物，并注意乔、灌、草搭配的原则，</w:t>
            </w:r>
            <w:r>
              <w:rPr>
                <w:spacing w:val="7"/>
                <w:sz w:val="20"/>
                <w:szCs w:val="20"/>
              </w:rPr>
              <w:t xml:space="preserve"> </w:t>
            </w:r>
            <w:r>
              <w:rPr>
                <w:spacing w:val="8"/>
                <w:sz w:val="20"/>
                <w:szCs w:val="20"/>
              </w:rPr>
              <w:t>同时要与周围的自然景观相协调统一，可</w:t>
            </w:r>
            <w:r>
              <w:rPr>
                <w:spacing w:val="4"/>
                <w:sz w:val="20"/>
                <w:szCs w:val="20"/>
              </w:rPr>
              <w:t xml:space="preserve"> </w:t>
            </w:r>
            <w:r>
              <w:rPr>
                <w:spacing w:val="13"/>
                <w:sz w:val="20"/>
                <w:szCs w:val="20"/>
              </w:rPr>
              <w:t>选用马桑、火棘、清香木等乡土植物。</w:t>
            </w:r>
          </w:p>
          <w:p w14:paraId="7F87E9EA">
            <w:pPr>
              <w:pStyle w:val="6"/>
              <w:spacing w:before="26" w:line="239" w:lineRule="auto"/>
              <w:ind w:left="138" w:right="110" w:hanging="21"/>
              <w:rPr>
                <w:sz w:val="20"/>
                <w:szCs w:val="20"/>
              </w:rPr>
            </w:pPr>
            <w:r>
              <w:rPr>
                <w:spacing w:val="6"/>
                <w:sz w:val="20"/>
                <w:szCs w:val="20"/>
              </w:rPr>
              <w:t>（</w:t>
            </w:r>
            <w:r>
              <w:rPr>
                <w:rFonts w:ascii="Times New Roman" w:hAnsi="Times New Roman" w:eastAsia="Times New Roman" w:cs="Times New Roman"/>
                <w:spacing w:val="6"/>
                <w:sz w:val="20"/>
                <w:szCs w:val="20"/>
              </w:rPr>
              <w:t>5</w:t>
            </w:r>
            <w:r>
              <w:rPr>
                <w:spacing w:val="6"/>
                <w:sz w:val="20"/>
                <w:szCs w:val="20"/>
              </w:rPr>
              <w:t xml:space="preserve">）施工结束及时完成临时设施拆除、场 </w:t>
            </w:r>
            <w:r>
              <w:rPr>
                <w:spacing w:val="9"/>
                <w:sz w:val="20"/>
                <w:szCs w:val="20"/>
              </w:rPr>
              <w:t>地清理及植被恢复；及时完成草光互补工</w:t>
            </w:r>
          </w:p>
          <w:p w14:paraId="441EDEEC">
            <w:pPr>
              <w:pStyle w:val="6"/>
              <w:spacing w:before="27" w:line="228" w:lineRule="auto"/>
              <w:ind w:left="1817"/>
              <w:rPr>
                <w:sz w:val="20"/>
                <w:szCs w:val="20"/>
              </w:rPr>
            </w:pPr>
            <w:r>
              <w:rPr>
                <w:sz w:val="20"/>
                <w:szCs w:val="20"/>
              </w:rPr>
              <w:t>程。</w:t>
            </w:r>
          </w:p>
          <w:p w14:paraId="6BA881FE">
            <w:pPr>
              <w:pStyle w:val="6"/>
              <w:spacing w:before="24" w:line="239" w:lineRule="auto"/>
              <w:ind w:left="143" w:right="110" w:hanging="26"/>
              <w:rPr>
                <w:sz w:val="20"/>
                <w:szCs w:val="20"/>
              </w:rPr>
            </w:pPr>
            <w:r>
              <w:rPr>
                <w:spacing w:val="6"/>
                <w:sz w:val="20"/>
                <w:szCs w:val="20"/>
              </w:rPr>
              <w:t>（</w:t>
            </w:r>
            <w:r>
              <w:rPr>
                <w:rFonts w:ascii="Times New Roman" w:hAnsi="Times New Roman" w:eastAsia="Times New Roman" w:cs="Times New Roman"/>
                <w:spacing w:val="6"/>
                <w:sz w:val="20"/>
                <w:szCs w:val="20"/>
              </w:rPr>
              <w:t>6</w:t>
            </w:r>
            <w:r>
              <w:rPr>
                <w:spacing w:val="6"/>
                <w:sz w:val="20"/>
                <w:szCs w:val="20"/>
              </w:rPr>
              <w:t xml:space="preserve">）项目施工过程中、施工结束后应按照 </w:t>
            </w:r>
            <w:r>
              <w:rPr>
                <w:spacing w:val="9"/>
                <w:sz w:val="20"/>
                <w:szCs w:val="20"/>
              </w:rPr>
              <w:t>《化桃箐光伏发电项目水土保持方案报告</w:t>
            </w:r>
          </w:p>
          <w:p w14:paraId="30669F71">
            <w:pPr>
              <w:pStyle w:val="6"/>
              <w:spacing w:before="26" w:line="227" w:lineRule="auto"/>
              <w:ind w:left="457"/>
              <w:rPr>
                <w:sz w:val="20"/>
                <w:szCs w:val="20"/>
              </w:rPr>
            </w:pPr>
            <w:r>
              <w:rPr>
                <w:spacing w:val="8"/>
                <w:sz w:val="20"/>
                <w:szCs w:val="20"/>
              </w:rPr>
              <w:t>书》中的要求采取相应水保措施。</w:t>
            </w:r>
          </w:p>
          <w:p w14:paraId="591A2B62">
            <w:pPr>
              <w:pStyle w:val="6"/>
              <w:spacing w:before="29" w:line="249" w:lineRule="auto"/>
              <w:ind w:left="107" w:right="39" w:firstLine="10"/>
              <w:rPr>
                <w:sz w:val="20"/>
                <w:szCs w:val="20"/>
              </w:rPr>
            </w:pPr>
            <w:r>
              <w:rPr>
                <w:spacing w:val="6"/>
                <w:sz w:val="20"/>
                <w:szCs w:val="20"/>
              </w:rPr>
              <w:t>（</w:t>
            </w:r>
            <w:r>
              <w:rPr>
                <w:rFonts w:ascii="Times New Roman" w:hAnsi="Times New Roman" w:eastAsia="Times New Roman" w:cs="Times New Roman"/>
                <w:spacing w:val="6"/>
                <w:sz w:val="20"/>
                <w:szCs w:val="20"/>
              </w:rPr>
              <w:t>7</w:t>
            </w:r>
            <w:r>
              <w:rPr>
                <w:spacing w:val="6"/>
                <w:sz w:val="20"/>
                <w:szCs w:val="20"/>
              </w:rPr>
              <w:t xml:space="preserve">）建设单位应成立监督管理机构，制定 </w:t>
            </w:r>
            <w:r>
              <w:rPr>
                <w:spacing w:val="11"/>
                <w:sz w:val="20"/>
                <w:szCs w:val="20"/>
              </w:rPr>
              <w:t>相应的管理、奖惩制度，配备专职人员对</w:t>
            </w:r>
            <w:r>
              <w:rPr>
                <w:sz w:val="20"/>
                <w:szCs w:val="20"/>
              </w:rPr>
              <w:t xml:space="preserve">  </w:t>
            </w:r>
            <w:r>
              <w:rPr>
                <w:spacing w:val="11"/>
                <w:sz w:val="20"/>
                <w:szCs w:val="20"/>
              </w:rPr>
              <w:t>工程施工的全过程进行监督管理。杜绝乱</w:t>
            </w:r>
            <w:r>
              <w:rPr>
                <w:sz w:val="20"/>
                <w:szCs w:val="20"/>
              </w:rPr>
              <w:t xml:space="preserve">  </w:t>
            </w:r>
            <w:r>
              <w:rPr>
                <w:spacing w:val="5"/>
                <w:sz w:val="20"/>
                <w:szCs w:val="20"/>
              </w:rPr>
              <w:t>砍滥伐、捕猎行为的发生；加强林业管理，</w:t>
            </w:r>
            <w:r>
              <w:rPr>
                <w:spacing w:val="6"/>
                <w:sz w:val="20"/>
                <w:szCs w:val="20"/>
              </w:rPr>
              <w:t xml:space="preserve"> </w:t>
            </w:r>
            <w:r>
              <w:rPr>
                <w:spacing w:val="11"/>
                <w:sz w:val="20"/>
                <w:szCs w:val="20"/>
              </w:rPr>
              <w:t>严禁捕猎鸟类、兽类、砍伐非施工区域的</w:t>
            </w:r>
            <w:r>
              <w:rPr>
                <w:sz w:val="20"/>
                <w:szCs w:val="20"/>
              </w:rPr>
              <w:t xml:space="preserve">  </w:t>
            </w:r>
            <w:r>
              <w:rPr>
                <w:spacing w:val="11"/>
                <w:sz w:val="20"/>
                <w:szCs w:val="20"/>
              </w:rPr>
              <w:t>植物，违者应依法处理。同时注意森林防</w:t>
            </w:r>
            <w:r>
              <w:rPr>
                <w:sz w:val="20"/>
                <w:szCs w:val="20"/>
              </w:rPr>
              <w:t xml:space="preserve">  </w:t>
            </w:r>
            <w:r>
              <w:rPr>
                <w:spacing w:val="11"/>
                <w:sz w:val="20"/>
                <w:szCs w:val="20"/>
              </w:rPr>
              <w:t>火，避免森林火灾的发生。工程建设区应</w:t>
            </w:r>
            <w:r>
              <w:rPr>
                <w:sz w:val="20"/>
                <w:szCs w:val="20"/>
              </w:rPr>
              <w:t xml:space="preserve">  </w:t>
            </w:r>
            <w:r>
              <w:rPr>
                <w:spacing w:val="5"/>
                <w:sz w:val="20"/>
                <w:szCs w:val="20"/>
              </w:rPr>
              <w:t>设置警示牌提醒施工人员，保护生态环境。</w:t>
            </w:r>
            <w:r>
              <w:rPr>
                <w:spacing w:val="6"/>
                <w:sz w:val="20"/>
                <w:szCs w:val="20"/>
              </w:rPr>
              <w:t xml:space="preserve"> （</w:t>
            </w:r>
            <w:r>
              <w:rPr>
                <w:rFonts w:ascii="Times New Roman" w:hAnsi="Times New Roman" w:eastAsia="Times New Roman" w:cs="Times New Roman"/>
                <w:spacing w:val="6"/>
                <w:sz w:val="20"/>
                <w:szCs w:val="20"/>
              </w:rPr>
              <w:t>8</w:t>
            </w:r>
            <w:r>
              <w:rPr>
                <w:spacing w:val="6"/>
                <w:sz w:val="20"/>
                <w:szCs w:val="20"/>
              </w:rPr>
              <w:t>）植被恢复期应注意加强管理巡查，做</w:t>
            </w:r>
            <w:r>
              <w:rPr>
                <w:spacing w:val="17"/>
                <w:sz w:val="20"/>
                <w:szCs w:val="20"/>
              </w:rPr>
              <w:t xml:space="preserve"> </w:t>
            </w:r>
            <w:r>
              <w:rPr>
                <w:spacing w:val="11"/>
                <w:sz w:val="20"/>
                <w:szCs w:val="20"/>
              </w:rPr>
              <w:t>好浇水、施肥保障措施，若发现种植的植</w:t>
            </w:r>
            <w:r>
              <w:rPr>
                <w:sz w:val="20"/>
                <w:szCs w:val="20"/>
              </w:rPr>
              <w:t xml:space="preserve">  </w:t>
            </w:r>
            <w:r>
              <w:rPr>
                <w:spacing w:val="11"/>
                <w:sz w:val="20"/>
                <w:szCs w:val="20"/>
              </w:rPr>
              <w:t>物死亡，应查明死亡原因，并进行补种和</w:t>
            </w:r>
          </w:p>
          <w:p w14:paraId="7E028485">
            <w:pPr>
              <w:pStyle w:val="6"/>
              <w:spacing w:before="26" w:line="209" w:lineRule="auto"/>
              <w:ind w:left="1501"/>
              <w:rPr>
                <w:sz w:val="20"/>
                <w:szCs w:val="20"/>
              </w:rPr>
            </w:pPr>
            <w:r>
              <w:rPr>
                <w:spacing w:val="5"/>
                <w:sz w:val="20"/>
                <w:szCs w:val="20"/>
              </w:rPr>
              <w:t>加强管理。</w:t>
            </w:r>
          </w:p>
        </w:tc>
        <w:tc>
          <w:tcPr>
            <w:tcW w:w="2338" w:type="dxa"/>
            <w:tcBorders>
              <w:top w:val="single" w:color="000000" w:sz="6" w:space="0"/>
            </w:tcBorders>
            <w:vAlign w:val="top"/>
          </w:tcPr>
          <w:p w14:paraId="678EFB80">
            <w:pPr>
              <w:rPr>
                <w:rFonts w:ascii="Arial"/>
                <w:sz w:val="21"/>
              </w:rPr>
            </w:pPr>
          </w:p>
        </w:tc>
        <w:tc>
          <w:tcPr>
            <w:tcW w:w="4507" w:type="dxa"/>
            <w:tcBorders>
              <w:top w:val="single" w:color="000000" w:sz="6" w:space="0"/>
            </w:tcBorders>
            <w:vAlign w:val="top"/>
          </w:tcPr>
          <w:p w14:paraId="5FBC0F3C">
            <w:pPr>
              <w:pStyle w:val="6"/>
              <w:spacing w:before="26" w:line="243" w:lineRule="auto"/>
              <w:ind w:left="113" w:right="103" w:firstLine="9"/>
              <w:rPr>
                <w:sz w:val="20"/>
                <w:szCs w:val="20"/>
              </w:rPr>
            </w:pPr>
            <w:r>
              <w:rPr>
                <w:spacing w:val="8"/>
                <w:sz w:val="20"/>
                <w:szCs w:val="20"/>
              </w:rPr>
              <w:t>（</w:t>
            </w:r>
            <w:r>
              <w:rPr>
                <w:rFonts w:ascii="Times New Roman" w:hAnsi="Times New Roman" w:eastAsia="Times New Roman" w:cs="Times New Roman"/>
                <w:spacing w:val="8"/>
                <w:sz w:val="20"/>
                <w:szCs w:val="20"/>
              </w:rPr>
              <w:t>7</w:t>
            </w:r>
            <w:r>
              <w:rPr>
                <w:spacing w:val="8"/>
                <w:sz w:val="20"/>
                <w:szCs w:val="20"/>
              </w:rPr>
              <w:t>）建设单位要做好项目区的森林草原防火工</w:t>
            </w:r>
            <w:r>
              <w:rPr>
                <w:spacing w:val="6"/>
                <w:sz w:val="20"/>
                <w:szCs w:val="20"/>
              </w:rPr>
              <w:t xml:space="preserve"> </w:t>
            </w:r>
            <w:r>
              <w:rPr>
                <w:spacing w:val="9"/>
                <w:sz w:val="20"/>
                <w:szCs w:val="20"/>
              </w:rPr>
              <w:t>作，重点加强项目运营、检修期间的野外火源</w:t>
            </w:r>
            <w:r>
              <w:rPr>
                <w:spacing w:val="3"/>
                <w:sz w:val="20"/>
                <w:szCs w:val="20"/>
              </w:rPr>
              <w:t xml:space="preserve">  </w:t>
            </w:r>
            <w:r>
              <w:rPr>
                <w:spacing w:val="8"/>
                <w:sz w:val="20"/>
                <w:szCs w:val="20"/>
              </w:rPr>
              <w:t>管理，落实森林草原防火管护人员和措施。</w:t>
            </w:r>
          </w:p>
          <w:p w14:paraId="7FD50D22">
            <w:pPr>
              <w:pStyle w:val="6"/>
              <w:spacing w:before="26" w:line="239" w:lineRule="auto"/>
              <w:ind w:left="113" w:right="103" w:firstLine="9"/>
              <w:rPr>
                <w:sz w:val="20"/>
                <w:szCs w:val="20"/>
              </w:rPr>
            </w:pPr>
            <w:r>
              <w:rPr>
                <w:spacing w:val="8"/>
                <w:sz w:val="20"/>
                <w:szCs w:val="20"/>
              </w:rPr>
              <w:t>（</w:t>
            </w:r>
            <w:r>
              <w:rPr>
                <w:rFonts w:ascii="Times New Roman" w:hAnsi="Times New Roman" w:eastAsia="Times New Roman" w:cs="Times New Roman"/>
                <w:spacing w:val="8"/>
                <w:sz w:val="20"/>
                <w:szCs w:val="20"/>
              </w:rPr>
              <w:t>8</w:t>
            </w:r>
            <w:r>
              <w:rPr>
                <w:spacing w:val="8"/>
                <w:sz w:val="20"/>
                <w:szCs w:val="20"/>
              </w:rPr>
              <w:t>）强化光伏电站运营期运输油料安全和环境</w:t>
            </w:r>
            <w:r>
              <w:rPr>
                <w:spacing w:val="6"/>
                <w:sz w:val="20"/>
                <w:szCs w:val="20"/>
              </w:rPr>
              <w:t xml:space="preserve"> </w:t>
            </w:r>
            <w:r>
              <w:rPr>
                <w:spacing w:val="8"/>
                <w:sz w:val="20"/>
                <w:szCs w:val="20"/>
              </w:rPr>
              <w:t>风险管理，避免泄漏事故发生。</w:t>
            </w:r>
          </w:p>
          <w:p w14:paraId="21496777">
            <w:pPr>
              <w:pStyle w:val="6"/>
              <w:spacing w:before="26" w:line="244" w:lineRule="auto"/>
              <w:ind w:left="112" w:right="101" w:firstLine="10"/>
              <w:rPr>
                <w:sz w:val="20"/>
                <w:szCs w:val="20"/>
              </w:rPr>
            </w:pPr>
            <w:r>
              <w:rPr>
                <w:spacing w:val="8"/>
                <w:sz w:val="20"/>
                <w:szCs w:val="20"/>
              </w:rPr>
              <w:t>（</w:t>
            </w:r>
            <w:r>
              <w:rPr>
                <w:rFonts w:ascii="Times New Roman" w:hAnsi="Times New Roman" w:eastAsia="Times New Roman" w:cs="Times New Roman"/>
                <w:spacing w:val="8"/>
                <w:sz w:val="20"/>
                <w:szCs w:val="20"/>
              </w:rPr>
              <w:t>9</w:t>
            </w:r>
            <w:r>
              <w:rPr>
                <w:spacing w:val="8"/>
                <w:sz w:val="20"/>
                <w:szCs w:val="20"/>
              </w:rPr>
              <w:t xml:space="preserve">）为美化站场内环境，减轻场内气体散发对 </w:t>
            </w:r>
            <w:r>
              <w:rPr>
                <w:spacing w:val="9"/>
                <w:sz w:val="20"/>
                <w:szCs w:val="20"/>
              </w:rPr>
              <w:t>场外环境的影响，对站场内空地和场界四周进</w:t>
            </w:r>
            <w:r>
              <w:rPr>
                <w:spacing w:val="4"/>
                <w:sz w:val="20"/>
                <w:szCs w:val="20"/>
              </w:rPr>
              <w:t xml:space="preserve">  </w:t>
            </w:r>
            <w:r>
              <w:rPr>
                <w:spacing w:val="6"/>
                <w:sz w:val="20"/>
                <w:szCs w:val="20"/>
              </w:rPr>
              <w:t>行适当绿化。</w:t>
            </w:r>
          </w:p>
        </w:tc>
        <w:tc>
          <w:tcPr>
            <w:tcW w:w="2402" w:type="dxa"/>
            <w:tcBorders>
              <w:top w:val="single" w:color="000000" w:sz="6" w:space="0"/>
              <w:right w:val="single" w:color="000000" w:sz="6" w:space="0"/>
            </w:tcBorders>
            <w:vAlign w:val="top"/>
          </w:tcPr>
          <w:p w14:paraId="55CB1F7F">
            <w:pPr>
              <w:rPr>
                <w:rFonts w:ascii="Arial"/>
                <w:sz w:val="21"/>
              </w:rPr>
            </w:pPr>
          </w:p>
        </w:tc>
      </w:tr>
      <w:tr w14:paraId="44235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86" w:type="dxa"/>
            <w:tcBorders>
              <w:left w:val="single" w:color="000000" w:sz="6" w:space="0"/>
            </w:tcBorders>
            <w:vAlign w:val="top"/>
          </w:tcPr>
          <w:p w14:paraId="19E12D22">
            <w:pPr>
              <w:pStyle w:val="6"/>
              <w:spacing w:before="108" w:line="242" w:lineRule="auto"/>
              <w:ind w:left="132" w:right="135"/>
              <w:rPr>
                <w:sz w:val="20"/>
                <w:szCs w:val="20"/>
              </w:rPr>
            </w:pPr>
            <w:r>
              <w:rPr>
                <w:spacing w:val="3"/>
                <w:sz w:val="20"/>
                <w:szCs w:val="20"/>
              </w:rPr>
              <w:t>水生</w:t>
            </w:r>
            <w:r>
              <w:rPr>
                <w:sz w:val="20"/>
                <w:szCs w:val="20"/>
              </w:rPr>
              <w:t xml:space="preserve"> </w:t>
            </w:r>
            <w:r>
              <w:rPr>
                <w:spacing w:val="3"/>
                <w:sz w:val="20"/>
                <w:szCs w:val="20"/>
              </w:rPr>
              <w:t>生态</w:t>
            </w:r>
          </w:p>
        </w:tc>
        <w:tc>
          <w:tcPr>
            <w:tcW w:w="4055" w:type="dxa"/>
            <w:vAlign w:val="top"/>
          </w:tcPr>
          <w:p w14:paraId="185104E1">
            <w:pPr>
              <w:spacing w:before="278" w:line="199" w:lineRule="auto"/>
              <w:ind w:left="19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38" w:type="dxa"/>
            <w:vAlign w:val="top"/>
          </w:tcPr>
          <w:p w14:paraId="725DC12E">
            <w:pPr>
              <w:spacing w:before="278" w:line="199" w:lineRule="auto"/>
              <w:ind w:left="1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507" w:type="dxa"/>
            <w:vAlign w:val="top"/>
          </w:tcPr>
          <w:p w14:paraId="211B2B34">
            <w:pPr>
              <w:spacing w:before="278" w:line="199" w:lineRule="auto"/>
              <w:ind w:left="2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02" w:type="dxa"/>
            <w:tcBorders>
              <w:right w:val="single" w:color="000000" w:sz="6" w:space="0"/>
            </w:tcBorders>
            <w:vAlign w:val="top"/>
          </w:tcPr>
          <w:p w14:paraId="692204EC">
            <w:pPr>
              <w:spacing w:before="278" w:line="199" w:lineRule="auto"/>
              <w:ind w:left="1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28DE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686" w:type="dxa"/>
            <w:tcBorders>
              <w:left w:val="single" w:color="000000" w:sz="6" w:space="0"/>
              <w:bottom w:val="single" w:color="000000" w:sz="6" w:space="0"/>
            </w:tcBorders>
            <w:vAlign w:val="top"/>
          </w:tcPr>
          <w:p w14:paraId="3D4AB1D9">
            <w:pPr>
              <w:spacing w:line="326" w:lineRule="auto"/>
              <w:rPr>
                <w:rFonts w:ascii="Arial"/>
                <w:sz w:val="21"/>
              </w:rPr>
            </w:pPr>
          </w:p>
          <w:p w14:paraId="7D614BA3">
            <w:pPr>
              <w:spacing w:line="326" w:lineRule="auto"/>
              <w:rPr>
                <w:rFonts w:ascii="Arial"/>
                <w:sz w:val="21"/>
              </w:rPr>
            </w:pPr>
          </w:p>
          <w:p w14:paraId="3F16E294">
            <w:pPr>
              <w:pStyle w:val="6"/>
              <w:spacing w:before="65" w:line="229" w:lineRule="auto"/>
              <w:ind w:left="130"/>
              <w:rPr>
                <w:sz w:val="20"/>
                <w:szCs w:val="20"/>
              </w:rPr>
            </w:pPr>
            <w:r>
              <w:rPr>
                <w:spacing w:val="4"/>
                <w:sz w:val="20"/>
                <w:szCs w:val="20"/>
              </w:rPr>
              <w:t>地表</w:t>
            </w:r>
          </w:p>
          <w:p w14:paraId="1B9A0BC1">
            <w:pPr>
              <w:pStyle w:val="6"/>
              <w:spacing w:before="25" w:line="228" w:lineRule="auto"/>
              <w:ind w:left="133"/>
              <w:rPr>
                <w:sz w:val="20"/>
                <w:szCs w:val="20"/>
              </w:rPr>
            </w:pPr>
            <w:r>
              <w:rPr>
                <w:spacing w:val="3"/>
                <w:sz w:val="20"/>
                <w:szCs w:val="20"/>
              </w:rPr>
              <w:t>水环</w:t>
            </w:r>
          </w:p>
          <w:p w14:paraId="50C4A744">
            <w:pPr>
              <w:pStyle w:val="6"/>
              <w:spacing w:before="25" w:line="228" w:lineRule="auto"/>
              <w:ind w:left="237"/>
              <w:rPr>
                <w:sz w:val="20"/>
                <w:szCs w:val="20"/>
              </w:rPr>
            </w:pPr>
            <w:r>
              <w:rPr>
                <w:sz w:val="20"/>
                <w:szCs w:val="20"/>
              </w:rPr>
              <w:t>境</w:t>
            </w:r>
          </w:p>
        </w:tc>
        <w:tc>
          <w:tcPr>
            <w:tcW w:w="4055" w:type="dxa"/>
            <w:tcBorders>
              <w:bottom w:val="single" w:color="000000" w:sz="6" w:space="0"/>
            </w:tcBorders>
            <w:vAlign w:val="top"/>
          </w:tcPr>
          <w:p w14:paraId="5FB4C6E4">
            <w:pPr>
              <w:pStyle w:val="6"/>
              <w:spacing w:before="41" w:line="246" w:lineRule="auto"/>
              <w:ind w:left="105" w:right="55" w:firstLine="431"/>
              <w:rPr>
                <w:sz w:val="20"/>
                <w:szCs w:val="20"/>
              </w:rPr>
            </w:pPr>
            <w:r>
              <w:rPr>
                <w:spacing w:val="5"/>
                <w:sz w:val="20"/>
                <w:szCs w:val="20"/>
              </w:rPr>
              <w:t>（</w:t>
            </w:r>
            <w:r>
              <w:rPr>
                <w:rFonts w:ascii="Times New Roman" w:hAnsi="Times New Roman" w:eastAsia="Times New Roman" w:cs="Times New Roman"/>
                <w:spacing w:val="5"/>
                <w:sz w:val="20"/>
                <w:szCs w:val="20"/>
              </w:rPr>
              <w:t>1</w:t>
            </w:r>
            <w:r>
              <w:rPr>
                <w:spacing w:val="5"/>
                <w:sz w:val="20"/>
                <w:szCs w:val="20"/>
              </w:rPr>
              <w:t>）施工废水：在升压站施工场区设</w:t>
            </w:r>
            <w:r>
              <w:rPr>
                <w:spacing w:val="15"/>
                <w:sz w:val="20"/>
                <w:szCs w:val="20"/>
              </w:rPr>
              <w:t xml:space="preserve"> </w:t>
            </w:r>
            <w:r>
              <w:rPr>
                <w:sz w:val="20"/>
                <w:szCs w:val="20"/>
              </w:rPr>
              <w:t>置</w:t>
            </w:r>
            <w:r>
              <w:rPr>
                <w:spacing w:val="-20"/>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14"/>
                <w:sz w:val="20"/>
                <w:szCs w:val="20"/>
              </w:rPr>
              <w:t xml:space="preserve"> </w:t>
            </w:r>
            <w:r>
              <w:rPr>
                <w:sz w:val="20"/>
                <w:szCs w:val="20"/>
              </w:rPr>
              <w:t>座</w:t>
            </w:r>
            <w:r>
              <w:rPr>
                <w:spacing w:val="-38"/>
                <w:sz w:val="20"/>
                <w:szCs w:val="20"/>
              </w:rPr>
              <w:t xml:space="preserve"> </w:t>
            </w:r>
            <w:r>
              <w:rPr>
                <w:rFonts w:ascii="Times New Roman" w:hAnsi="Times New Roman" w:eastAsia="Times New Roman" w:cs="Times New Roman"/>
                <w:sz w:val="20"/>
                <w:szCs w:val="20"/>
              </w:rPr>
              <w:t>5m</w:t>
            </w:r>
            <w:r>
              <w:rPr>
                <w:rFonts w:ascii="Times New Roman" w:hAnsi="Times New Roman" w:eastAsia="Times New Roman" w:cs="Times New Roman"/>
                <w:position w:val="6"/>
                <w:sz w:val="13"/>
                <w:szCs w:val="13"/>
              </w:rPr>
              <w:t>3</w:t>
            </w:r>
            <w:r>
              <w:rPr>
                <w:rFonts w:ascii="Times New Roman" w:hAnsi="Times New Roman" w:eastAsia="Times New Roman" w:cs="Times New Roman"/>
                <w:spacing w:val="28"/>
                <w:position w:val="6"/>
                <w:sz w:val="13"/>
                <w:szCs w:val="13"/>
              </w:rPr>
              <w:t xml:space="preserve"> </w:t>
            </w:r>
            <w:r>
              <w:rPr>
                <w:sz w:val="20"/>
                <w:szCs w:val="20"/>
              </w:rPr>
              <w:t xml:space="preserve">的沉淀池，用于处理施工废水， </w:t>
            </w:r>
            <w:r>
              <w:rPr>
                <w:spacing w:val="13"/>
                <w:sz w:val="20"/>
                <w:szCs w:val="20"/>
              </w:rPr>
              <w:t>产生的废水经沉淀池处理后，全部回用于</w:t>
            </w:r>
            <w:r>
              <w:rPr>
                <w:spacing w:val="1"/>
                <w:sz w:val="20"/>
                <w:szCs w:val="20"/>
              </w:rPr>
              <w:t xml:space="preserve"> </w:t>
            </w:r>
            <w:r>
              <w:rPr>
                <w:spacing w:val="8"/>
                <w:sz w:val="20"/>
                <w:szCs w:val="20"/>
              </w:rPr>
              <w:t>施工用水和场地洒水降尘，不外排。</w:t>
            </w:r>
          </w:p>
          <w:p w14:paraId="617087C7">
            <w:pPr>
              <w:pStyle w:val="6"/>
              <w:spacing w:before="26" w:line="242" w:lineRule="auto"/>
              <w:ind w:left="107" w:right="108" w:firstLine="430"/>
              <w:rPr>
                <w:sz w:val="20"/>
                <w:szCs w:val="20"/>
              </w:rPr>
            </w:pPr>
            <w:r>
              <w:rPr>
                <w:spacing w:val="6"/>
                <w:sz w:val="20"/>
                <w:szCs w:val="20"/>
              </w:rPr>
              <w:t>（</w:t>
            </w:r>
            <w:r>
              <w:rPr>
                <w:rFonts w:ascii="Times New Roman" w:hAnsi="Times New Roman" w:eastAsia="Times New Roman" w:cs="Times New Roman"/>
                <w:spacing w:val="6"/>
                <w:sz w:val="20"/>
                <w:szCs w:val="20"/>
              </w:rPr>
              <w:t>2</w:t>
            </w:r>
            <w:r>
              <w:rPr>
                <w:spacing w:val="6"/>
                <w:sz w:val="20"/>
                <w:szCs w:val="20"/>
              </w:rPr>
              <w:t>）雨天地表径流：各片区施工前，</w:t>
            </w:r>
            <w:r>
              <w:rPr>
                <w:spacing w:val="1"/>
                <w:sz w:val="20"/>
                <w:szCs w:val="20"/>
              </w:rPr>
              <w:t xml:space="preserve"> </w:t>
            </w:r>
            <w:r>
              <w:rPr>
                <w:spacing w:val="13"/>
                <w:sz w:val="20"/>
                <w:szCs w:val="20"/>
              </w:rPr>
              <w:t>应先按主体设计及水土保持方案完成截排</w:t>
            </w:r>
            <w:r>
              <w:rPr>
                <w:sz w:val="20"/>
                <w:szCs w:val="20"/>
              </w:rPr>
              <w:t xml:space="preserve"> </w:t>
            </w:r>
            <w:r>
              <w:rPr>
                <w:spacing w:val="12"/>
                <w:sz w:val="20"/>
                <w:szCs w:val="20"/>
              </w:rPr>
              <w:t>水沟及临时沉沙池的挖设，施工过程中产</w:t>
            </w:r>
            <w:r>
              <w:rPr>
                <w:spacing w:val="14"/>
                <w:sz w:val="20"/>
                <w:szCs w:val="20"/>
              </w:rPr>
              <w:t xml:space="preserve"> </w:t>
            </w:r>
            <w:r>
              <w:rPr>
                <w:spacing w:val="12"/>
                <w:sz w:val="20"/>
                <w:szCs w:val="20"/>
              </w:rPr>
              <w:t>生的雨天地表径流经临时排水沟引入沉沙</w:t>
            </w:r>
          </w:p>
        </w:tc>
        <w:tc>
          <w:tcPr>
            <w:tcW w:w="2338" w:type="dxa"/>
            <w:tcBorders>
              <w:bottom w:val="single" w:color="000000" w:sz="6" w:space="0"/>
            </w:tcBorders>
            <w:vAlign w:val="top"/>
          </w:tcPr>
          <w:p w14:paraId="6700AE67">
            <w:pPr>
              <w:pStyle w:val="6"/>
              <w:spacing w:before="174" w:line="247" w:lineRule="auto"/>
              <w:ind w:left="124" w:right="120" w:hanging="2"/>
              <w:jc w:val="both"/>
              <w:rPr>
                <w:sz w:val="20"/>
                <w:szCs w:val="20"/>
              </w:rPr>
            </w:pPr>
            <w:r>
              <w:rPr>
                <w:spacing w:val="9"/>
                <w:sz w:val="20"/>
                <w:szCs w:val="20"/>
              </w:rPr>
              <w:t>施工期施工废水、施工</w:t>
            </w:r>
            <w:r>
              <w:rPr>
                <w:sz w:val="20"/>
                <w:szCs w:val="20"/>
              </w:rPr>
              <w:t xml:space="preserve"> </w:t>
            </w:r>
            <w:r>
              <w:rPr>
                <w:spacing w:val="8"/>
                <w:sz w:val="20"/>
                <w:szCs w:val="20"/>
              </w:rPr>
              <w:t>生活污水处理后，全部</w:t>
            </w:r>
            <w:r>
              <w:rPr>
                <w:spacing w:val="6"/>
                <w:sz w:val="20"/>
                <w:szCs w:val="20"/>
              </w:rPr>
              <w:t xml:space="preserve"> </w:t>
            </w:r>
            <w:r>
              <w:rPr>
                <w:spacing w:val="8"/>
                <w:sz w:val="20"/>
                <w:szCs w:val="20"/>
              </w:rPr>
              <w:t>回用，不外排。雨天场</w:t>
            </w:r>
            <w:r>
              <w:rPr>
                <w:spacing w:val="6"/>
                <w:sz w:val="20"/>
                <w:szCs w:val="20"/>
              </w:rPr>
              <w:t xml:space="preserve"> </w:t>
            </w:r>
            <w:r>
              <w:rPr>
                <w:spacing w:val="8"/>
                <w:sz w:val="20"/>
                <w:szCs w:val="20"/>
              </w:rPr>
              <w:t>区地表径流经沉沙池沉</w:t>
            </w:r>
            <w:r>
              <w:rPr>
                <w:spacing w:val="6"/>
                <w:sz w:val="20"/>
                <w:szCs w:val="20"/>
              </w:rPr>
              <w:t xml:space="preserve"> </w:t>
            </w:r>
            <w:r>
              <w:rPr>
                <w:spacing w:val="8"/>
                <w:sz w:val="20"/>
                <w:szCs w:val="20"/>
              </w:rPr>
              <w:t>淀后，全部回用于施工</w:t>
            </w:r>
          </w:p>
          <w:p w14:paraId="057BB1A2">
            <w:pPr>
              <w:pStyle w:val="6"/>
              <w:spacing w:before="24" w:line="228" w:lineRule="auto"/>
              <w:ind w:left="123"/>
              <w:rPr>
                <w:sz w:val="20"/>
                <w:szCs w:val="20"/>
              </w:rPr>
            </w:pPr>
            <w:r>
              <w:rPr>
                <w:spacing w:val="7"/>
                <w:sz w:val="20"/>
                <w:szCs w:val="20"/>
              </w:rPr>
              <w:t>过程及场地洒水降尘，</w:t>
            </w:r>
          </w:p>
          <w:p w14:paraId="77093FD2">
            <w:pPr>
              <w:pStyle w:val="6"/>
              <w:spacing w:before="27" w:line="228" w:lineRule="auto"/>
              <w:ind w:left="755"/>
              <w:rPr>
                <w:sz w:val="20"/>
                <w:szCs w:val="20"/>
              </w:rPr>
            </w:pPr>
            <w:r>
              <w:rPr>
                <w:spacing w:val="4"/>
                <w:sz w:val="20"/>
                <w:szCs w:val="20"/>
              </w:rPr>
              <w:t>不外排。</w:t>
            </w:r>
          </w:p>
        </w:tc>
        <w:tc>
          <w:tcPr>
            <w:tcW w:w="4507" w:type="dxa"/>
            <w:tcBorders>
              <w:bottom w:val="single" w:color="000000" w:sz="6" w:space="0"/>
            </w:tcBorders>
            <w:vAlign w:val="top"/>
          </w:tcPr>
          <w:p w14:paraId="6EDF2ABA">
            <w:pPr>
              <w:pStyle w:val="6"/>
              <w:spacing w:before="42" w:line="239" w:lineRule="auto"/>
              <w:ind w:left="115" w:right="197" w:hanging="1"/>
              <w:rPr>
                <w:sz w:val="20"/>
                <w:szCs w:val="20"/>
              </w:rPr>
            </w:pPr>
            <w:r>
              <w:rPr>
                <w:spacing w:val="9"/>
                <w:sz w:val="20"/>
                <w:szCs w:val="20"/>
              </w:rPr>
              <w:t xml:space="preserve">升压站内实行雨污分流，食堂废水经隔油池隔 </w:t>
            </w:r>
            <w:r>
              <w:rPr>
                <w:spacing w:val="8"/>
                <w:sz w:val="20"/>
                <w:szCs w:val="20"/>
              </w:rPr>
              <w:t>油后，连同其他生活污水经化粪池预处理后，</w:t>
            </w:r>
          </w:p>
          <w:p w14:paraId="153C1295">
            <w:pPr>
              <w:pStyle w:val="6"/>
              <w:spacing w:before="25" w:line="244" w:lineRule="auto"/>
              <w:ind w:left="115" w:right="101" w:hanging="4"/>
              <w:rPr>
                <w:sz w:val="20"/>
                <w:szCs w:val="20"/>
              </w:rPr>
            </w:pPr>
            <w:r>
              <w:rPr>
                <w:spacing w:val="7"/>
                <w:sz w:val="20"/>
                <w:szCs w:val="20"/>
              </w:rPr>
              <w:t>进入</w:t>
            </w:r>
            <w:r>
              <w:rPr>
                <w:spacing w:val="-4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1"/>
                <w:sz w:val="20"/>
                <w:szCs w:val="20"/>
              </w:rPr>
              <w:t xml:space="preserve"> </w:t>
            </w:r>
            <w:r>
              <w:rPr>
                <w:spacing w:val="7"/>
                <w:sz w:val="20"/>
                <w:szCs w:val="20"/>
              </w:rPr>
              <w:t>座规模为</w:t>
            </w:r>
            <w:r>
              <w:rPr>
                <w:rFonts w:ascii="Times New Roman" w:hAnsi="Times New Roman" w:eastAsia="Times New Roman" w:cs="Times New Roman"/>
                <w:spacing w:val="7"/>
                <w:sz w:val="20"/>
                <w:szCs w:val="20"/>
              </w:rPr>
              <w:t>2m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 xml:space="preserve">/d </w:t>
            </w:r>
            <w:r>
              <w:rPr>
                <w:spacing w:val="7"/>
                <w:sz w:val="20"/>
                <w:szCs w:val="20"/>
              </w:rPr>
              <w:t>的一体化污水处理装置处</w:t>
            </w:r>
            <w:r>
              <w:rPr>
                <w:sz w:val="20"/>
                <w:szCs w:val="20"/>
              </w:rPr>
              <w:t xml:space="preserve"> </w:t>
            </w:r>
            <w:r>
              <w:rPr>
                <w:spacing w:val="8"/>
                <w:sz w:val="20"/>
                <w:szCs w:val="20"/>
              </w:rPr>
              <w:t>理达到《城市污水再生利用 城市杂用水水质》</w:t>
            </w:r>
            <w:r>
              <w:rPr>
                <w:spacing w:val="13"/>
                <w:sz w:val="20"/>
                <w:szCs w:val="20"/>
              </w:rPr>
              <w:t xml:space="preserve"> </w:t>
            </w: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/T18920-2020</w:t>
            </w:r>
            <w:r>
              <w:rPr>
                <w:spacing w:val="7"/>
                <w:sz w:val="20"/>
                <w:szCs w:val="20"/>
              </w:rPr>
              <w:t>）中绿化标准后进入一个</w:t>
            </w:r>
          </w:p>
          <w:p w14:paraId="6114CFB1">
            <w:pPr>
              <w:pStyle w:val="6"/>
              <w:spacing w:before="24"/>
              <w:ind w:left="112" w:right="30" w:firstLine="1"/>
              <w:rPr>
                <w:sz w:val="20"/>
                <w:szCs w:val="20"/>
              </w:rPr>
            </w:pPr>
            <w:r>
              <w:rPr>
                <w:rFonts w:ascii="Times New Roman" w:hAnsi="Times New Roman" w:eastAsia="Times New Roman" w:cs="Times New Roman"/>
                <w:spacing w:val="3"/>
                <w:sz w:val="20"/>
                <w:szCs w:val="20"/>
              </w:rPr>
              <w:t>50m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3"/>
                <w:w w:val="102"/>
                <w:position w:val="6"/>
                <w:sz w:val="13"/>
                <w:szCs w:val="13"/>
              </w:rPr>
              <w:t xml:space="preserve"> </w:t>
            </w:r>
            <w:r>
              <w:rPr>
                <w:spacing w:val="3"/>
                <w:sz w:val="20"/>
                <w:szCs w:val="20"/>
              </w:rPr>
              <w:t>中水池，用于升压站内绿化浇洒，不外排。</w:t>
            </w:r>
            <w:r>
              <w:rPr>
                <w:sz w:val="20"/>
                <w:szCs w:val="20"/>
              </w:rPr>
              <w:t xml:space="preserve"> </w:t>
            </w:r>
            <w:r>
              <w:rPr>
                <w:spacing w:val="9"/>
                <w:sz w:val="20"/>
                <w:szCs w:val="20"/>
              </w:rPr>
              <w:t>清洁废水直接作为板下植物的生长用水不外</w:t>
            </w:r>
          </w:p>
          <w:p w14:paraId="5666B208">
            <w:pPr>
              <w:pStyle w:val="6"/>
              <w:spacing w:before="25" w:line="216" w:lineRule="auto"/>
              <w:ind w:left="112"/>
              <w:rPr>
                <w:sz w:val="20"/>
                <w:szCs w:val="20"/>
              </w:rPr>
            </w:pPr>
            <w:r>
              <w:rPr>
                <w:sz w:val="20"/>
                <w:szCs w:val="20"/>
              </w:rPr>
              <w:t>排。</w:t>
            </w:r>
          </w:p>
        </w:tc>
        <w:tc>
          <w:tcPr>
            <w:tcW w:w="2402" w:type="dxa"/>
            <w:tcBorders>
              <w:bottom w:val="single" w:color="000000" w:sz="6" w:space="0"/>
              <w:right w:val="single" w:color="000000" w:sz="6" w:space="0"/>
            </w:tcBorders>
            <w:vAlign w:val="top"/>
          </w:tcPr>
          <w:p w14:paraId="02B15F49">
            <w:pPr>
              <w:spacing w:line="262" w:lineRule="auto"/>
              <w:rPr>
                <w:rFonts w:ascii="Arial"/>
                <w:sz w:val="21"/>
              </w:rPr>
            </w:pPr>
          </w:p>
          <w:p w14:paraId="6FC9F09D">
            <w:pPr>
              <w:spacing w:line="263" w:lineRule="auto"/>
              <w:rPr>
                <w:rFonts w:ascii="Arial"/>
                <w:sz w:val="21"/>
              </w:rPr>
            </w:pPr>
          </w:p>
          <w:p w14:paraId="63B67611">
            <w:pPr>
              <w:spacing w:line="263" w:lineRule="auto"/>
              <w:rPr>
                <w:rFonts w:ascii="Arial"/>
                <w:sz w:val="21"/>
              </w:rPr>
            </w:pPr>
          </w:p>
          <w:p w14:paraId="667B1439">
            <w:pPr>
              <w:pStyle w:val="6"/>
              <w:spacing w:before="65" w:line="239" w:lineRule="auto"/>
              <w:ind w:left="696" w:right="249" w:hanging="433"/>
              <w:rPr>
                <w:sz w:val="20"/>
                <w:szCs w:val="20"/>
              </w:rPr>
            </w:pPr>
            <w:r>
              <w:rPr>
                <w:spacing w:val="8"/>
                <w:sz w:val="20"/>
                <w:szCs w:val="20"/>
              </w:rPr>
              <w:t>污水全部回用于项目</w:t>
            </w:r>
            <w:r>
              <w:rPr>
                <w:spacing w:val="6"/>
                <w:sz w:val="20"/>
                <w:szCs w:val="20"/>
              </w:rPr>
              <w:t xml:space="preserve"> </w:t>
            </w:r>
            <w:r>
              <w:rPr>
                <w:spacing w:val="5"/>
                <w:sz w:val="20"/>
                <w:szCs w:val="20"/>
              </w:rPr>
              <w:t>区，不外排</w:t>
            </w:r>
          </w:p>
        </w:tc>
      </w:tr>
    </w:tbl>
    <w:p w14:paraId="7682F18B">
      <w:pPr>
        <w:rPr>
          <w:rFonts w:ascii="Arial"/>
          <w:sz w:val="21"/>
        </w:rPr>
      </w:pPr>
    </w:p>
    <w:p w14:paraId="4A37FE8C">
      <w:pPr>
        <w:rPr>
          <w:rFonts w:ascii="Arial" w:hAnsi="Arial" w:eastAsia="Arial" w:cs="Arial"/>
          <w:sz w:val="21"/>
          <w:szCs w:val="21"/>
        </w:rPr>
        <w:sectPr>
          <w:footerReference r:id="rId173" w:type="default"/>
          <w:pgSz w:w="16839" w:h="11906"/>
          <w:pgMar w:top="1012" w:right="1417" w:bottom="1278" w:left="1417" w:header="0" w:footer="1116" w:gutter="0"/>
          <w:cols w:space="720" w:num="1"/>
        </w:sectPr>
      </w:pPr>
    </w:p>
    <w:p w14:paraId="5F1EDB31">
      <w:pPr>
        <w:spacing w:before="18"/>
      </w:pPr>
    </w:p>
    <w:p w14:paraId="640ED199">
      <w:pPr>
        <w:spacing w:before="18"/>
      </w:pPr>
    </w:p>
    <w:tbl>
      <w:tblPr>
        <w:tblStyle w:val="5"/>
        <w:tblW w:w="13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4055"/>
        <w:gridCol w:w="2338"/>
        <w:gridCol w:w="4507"/>
        <w:gridCol w:w="2402"/>
      </w:tblGrid>
      <w:tr w14:paraId="65C02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8" w:hRule="atLeast"/>
        </w:trPr>
        <w:tc>
          <w:tcPr>
            <w:tcW w:w="686" w:type="dxa"/>
            <w:tcBorders>
              <w:top w:val="single" w:color="000000" w:sz="6" w:space="0"/>
              <w:left w:val="single" w:color="000000" w:sz="6" w:space="0"/>
            </w:tcBorders>
            <w:vAlign w:val="top"/>
          </w:tcPr>
          <w:p w14:paraId="6E65216D">
            <w:pPr>
              <w:rPr>
                <w:rFonts w:ascii="Arial"/>
                <w:sz w:val="21"/>
              </w:rPr>
            </w:pPr>
          </w:p>
        </w:tc>
        <w:tc>
          <w:tcPr>
            <w:tcW w:w="4055" w:type="dxa"/>
            <w:tcBorders>
              <w:top w:val="single" w:color="000000" w:sz="6" w:space="0"/>
            </w:tcBorders>
            <w:vAlign w:val="top"/>
          </w:tcPr>
          <w:p w14:paraId="15D24652">
            <w:pPr>
              <w:pStyle w:val="6"/>
              <w:spacing w:before="27" w:line="239" w:lineRule="auto"/>
              <w:ind w:left="107" w:right="110"/>
              <w:rPr>
                <w:sz w:val="20"/>
                <w:szCs w:val="20"/>
              </w:rPr>
            </w:pPr>
            <w:r>
              <w:rPr>
                <w:spacing w:val="12"/>
                <w:sz w:val="20"/>
                <w:szCs w:val="20"/>
              </w:rPr>
              <w:t>池沉淀处理后，全部回用于施工过程及场</w:t>
            </w:r>
            <w:r>
              <w:rPr>
                <w:spacing w:val="14"/>
                <w:sz w:val="20"/>
                <w:szCs w:val="20"/>
              </w:rPr>
              <w:t xml:space="preserve"> </w:t>
            </w:r>
            <w:r>
              <w:rPr>
                <w:spacing w:val="8"/>
                <w:sz w:val="20"/>
                <w:szCs w:val="20"/>
              </w:rPr>
              <w:t>地洒水降尘，不外排。</w:t>
            </w:r>
          </w:p>
          <w:p w14:paraId="51A11121">
            <w:pPr>
              <w:pStyle w:val="6"/>
              <w:spacing w:before="23" w:line="247" w:lineRule="auto"/>
              <w:ind w:left="108" w:right="108" w:firstLine="429"/>
              <w:rPr>
                <w:sz w:val="20"/>
                <w:szCs w:val="20"/>
              </w:rPr>
            </w:pPr>
            <w:r>
              <w:rPr>
                <w:spacing w:val="5"/>
                <w:sz w:val="20"/>
                <w:szCs w:val="20"/>
              </w:rPr>
              <w:t>（</w:t>
            </w:r>
            <w:r>
              <w:rPr>
                <w:rFonts w:ascii="Times New Roman" w:hAnsi="Times New Roman" w:eastAsia="Times New Roman" w:cs="Times New Roman"/>
                <w:spacing w:val="5"/>
                <w:sz w:val="20"/>
                <w:szCs w:val="20"/>
              </w:rPr>
              <w:t>3</w:t>
            </w:r>
            <w:r>
              <w:rPr>
                <w:spacing w:val="5"/>
                <w:sz w:val="20"/>
                <w:szCs w:val="20"/>
              </w:rPr>
              <w:t>）加强管理，做好机械的日常维修</w:t>
            </w:r>
            <w:r>
              <w:rPr>
                <w:spacing w:val="15"/>
                <w:sz w:val="20"/>
                <w:szCs w:val="20"/>
              </w:rPr>
              <w:t xml:space="preserve"> </w:t>
            </w:r>
            <w:r>
              <w:rPr>
                <w:spacing w:val="10"/>
                <w:sz w:val="20"/>
                <w:szCs w:val="20"/>
              </w:rPr>
              <w:t>保养，杜绝跑、</w:t>
            </w:r>
            <w:r>
              <w:rPr>
                <w:spacing w:val="-48"/>
                <w:sz w:val="20"/>
                <w:szCs w:val="20"/>
              </w:rPr>
              <w:t xml:space="preserve"> </w:t>
            </w:r>
            <w:r>
              <w:rPr>
                <w:spacing w:val="10"/>
                <w:sz w:val="20"/>
                <w:szCs w:val="20"/>
              </w:rPr>
              <w:t>冒、滴、漏现象。另外，</w:t>
            </w:r>
            <w:r>
              <w:rPr>
                <w:sz w:val="20"/>
                <w:szCs w:val="20"/>
              </w:rPr>
              <w:t xml:space="preserve"> </w:t>
            </w:r>
            <w:r>
              <w:rPr>
                <w:spacing w:val="12"/>
                <w:sz w:val="20"/>
                <w:szCs w:val="20"/>
              </w:rPr>
              <w:t>雨天应对各类机械、粉状物料进行遮盖防</w:t>
            </w:r>
            <w:r>
              <w:rPr>
                <w:spacing w:val="16"/>
                <w:sz w:val="20"/>
                <w:szCs w:val="20"/>
              </w:rPr>
              <w:t xml:space="preserve"> </w:t>
            </w:r>
            <w:r>
              <w:rPr>
                <w:sz w:val="20"/>
                <w:szCs w:val="20"/>
              </w:rPr>
              <w:t>雨。</w:t>
            </w:r>
          </w:p>
          <w:p w14:paraId="6CA68440">
            <w:pPr>
              <w:pStyle w:val="6"/>
              <w:spacing w:before="18" w:line="246" w:lineRule="auto"/>
              <w:ind w:left="107" w:right="55" w:firstLine="430"/>
              <w:rPr>
                <w:sz w:val="20"/>
                <w:szCs w:val="20"/>
              </w:rPr>
            </w:pPr>
            <w:r>
              <w:rPr>
                <w:spacing w:val="-3"/>
                <w:sz w:val="20"/>
                <w:szCs w:val="20"/>
              </w:rPr>
              <w:t>（</w:t>
            </w:r>
            <w:r>
              <w:rPr>
                <w:rFonts w:ascii="Times New Roman" w:hAnsi="Times New Roman" w:eastAsia="Times New Roman" w:cs="Times New Roman"/>
                <w:spacing w:val="-3"/>
                <w:sz w:val="20"/>
                <w:szCs w:val="20"/>
              </w:rPr>
              <w:t>4</w:t>
            </w:r>
            <w:r>
              <w:rPr>
                <w:spacing w:val="-3"/>
                <w:sz w:val="20"/>
                <w:szCs w:val="20"/>
              </w:rPr>
              <w:t>）节约用水，减少施工废水的产生，</w:t>
            </w:r>
            <w:r>
              <w:rPr>
                <w:spacing w:val="9"/>
                <w:sz w:val="20"/>
                <w:szCs w:val="20"/>
              </w:rPr>
              <w:t xml:space="preserve"> </w:t>
            </w:r>
            <w:r>
              <w:rPr>
                <w:spacing w:val="13"/>
                <w:sz w:val="20"/>
                <w:szCs w:val="20"/>
              </w:rPr>
              <w:t>且尽量避免雨季土石方施工，暴雨期间停</w:t>
            </w:r>
            <w:r>
              <w:rPr>
                <w:sz w:val="20"/>
                <w:szCs w:val="20"/>
              </w:rPr>
              <w:t xml:space="preserve"> </w:t>
            </w:r>
            <w:r>
              <w:rPr>
                <w:spacing w:val="13"/>
                <w:sz w:val="20"/>
                <w:szCs w:val="20"/>
              </w:rPr>
              <w:t>止地基开挖等扰动地表类的施工。禁止任</w:t>
            </w:r>
            <w:r>
              <w:rPr>
                <w:sz w:val="20"/>
                <w:szCs w:val="20"/>
              </w:rPr>
              <w:t xml:space="preserve"> </w:t>
            </w:r>
            <w:r>
              <w:rPr>
                <w:spacing w:val="8"/>
                <w:sz w:val="20"/>
                <w:szCs w:val="20"/>
              </w:rPr>
              <w:t>何施工废水排入周边地表水。</w:t>
            </w:r>
          </w:p>
          <w:p w14:paraId="1158BC16">
            <w:pPr>
              <w:pStyle w:val="6"/>
              <w:spacing w:before="31" w:line="237" w:lineRule="auto"/>
              <w:ind w:left="107" w:right="108" w:firstLine="429"/>
              <w:rPr>
                <w:sz w:val="20"/>
                <w:szCs w:val="20"/>
              </w:rPr>
            </w:pPr>
            <w:r>
              <w:rPr>
                <w:spacing w:val="1"/>
                <w:sz w:val="20"/>
                <w:szCs w:val="20"/>
              </w:rPr>
              <w:t>（</w:t>
            </w:r>
            <w:r>
              <w:rPr>
                <w:rFonts w:ascii="Times New Roman" w:hAnsi="Times New Roman" w:eastAsia="Times New Roman" w:cs="Times New Roman"/>
                <w:spacing w:val="1"/>
                <w:sz w:val="20"/>
                <w:szCs w:val="20"/>
              </w:rPr>
              <w:t>5</w:t>
            </w:r>
            <w:r>
              <w:rPr>
                <w:spacing w:val="1"/>
                <w:sz w:val="20"/>
                <w:szCs w:val="20"/>
              </w:rPr>
              <w:t>）</w:t>
            </w:r>
            <w:r>
              <w:rPr>
                <w:spacing w:val="1"/>
              </w:rPr>
              <w:t>项目所有区块均不在化桃箐</w:t>
            </w:r>
            <w:r>
              <w:rPr>
                <w:spacing w:val="8"/>
              </w:rPr>
              <w:t xml:space="preserve"> </w:t>
            </w:r>
            <w:r>
              <w:rPr>
                <w:spacing w:val="-1"/>
              </w:rPr>
              <w:t>饮用水水源保护区汇水区范围内，施</w:t>
            </w:r>
            <w:r>
              <w:rPr>
                <w:spacing w:val="6"/>
              </w:rPr>
              <w:t xml:space="preserve"> </w:t>
            </w:r>
            <w:r>
              <w:rPr>
                <w:spacing w:val="-1"/>
              </w:rPr>
              <w:t>工结束后及时进行生态恢复，施工废</w:t>
            </w:r>
            <w:r>
              <w:rPr>
                <w:spacing w:val="6"/>
              </w:rPr>
              <w:t xml:space="preserve"> </w:t>
            </w:r>
            <w:r>
              <w:rPr>
                <w:spacing w:val="-1"/>
              </w:rPr>
              <w:t>水经沉淀处理后回用于洒水降尘。基</w:t>
            </w:r>
            <w:r>
              <w:rPr>
                <w:spacing w:val="8"/>
              </w:rPr>
              <w:t xml:space="preserve"> </w:t>
            </w:r>
            <w:r>
              <w:rPr>
                <w:spacing w:val="-1"/>
              </w:rPr>
              <w:t>础施工前，必须先在施工场地四周修</w:t>
            </w:r>
            <w:r>
              <w:rPr>
                <w:spacing w:val="8"/>
              </w:rPr>
              <w:t xml:space="preserve"> </w:t>
            </w:r>
            <w:r>
              <w:rPr>
                <w:spacing w:val="-1"/>
              </w:rPr>
              <w:t>建截（排）水沟、沉砂池等，沉砂池</w:t>
            </w:r>
            <w:r>
              <w:rPr>
                <w:spacing w:val="8"/>
              </w:rPr>
              <w:t xml:space="preserve"> </w:t>
            </w:r>
            <w:r>
              <w:rPr>
                <w:spacing w:val="-1"/>
              </w:rPr>
              <w:t>出口铺设土工布。施工过程中加强施</w:t>
            </w:r>
            <w:r>
              <w:rPr>
                <w:spacing w:val="8"/>
              </w:rPr>
              <w:t xml:space="preserve"> </w:t>
            </w:r>
            <w:r>
              <w:rPr>
                <w:spacing w:val="-1"/>
              </w:rPr>
              <w:t>工人员的环保教育，严禁在周围地表</w:t>
            </w:r>
            <w:r>
              <w:rPr>
                <w:spacing w:val="8"/>
              </w:rPr>
              <w:t xml:space="preserve"> </w:t>
            </w:r>
            <w:r>
              <w:rPr>
                <w:spacing w:val="-1"/>
              </w:rPr>
              <w:t>水体内清洗车辆、建筑材料等</w:t>
            </w:r>
            <w:r>
              <w:rPr>
                <w:spacing w:val="-1"/>
                <w:sz w:val="20"/>
                <w:szCs w:val="20"/>
              </w:rPr>
              <w:t>。</w:t>
            </w:r>
          </w:p>
          <w:p w14:paraId="29EFB04B">
            <w:pPr>
              <w:pStyle w:val="6"/>
              <w:spacing w:before="21" w:line="230" w:lineRule="auto"/>
              <w:ind w:left="124" w:right="110" w:firstLine="413"/>
              <w:rPr>
                <w:sz w:val="20"/>
                <w:szCs w:val="20"/>
              </w:rPr>
            </w:pPr>
            <w:r>
              <w:rPr>
                <w:spacing w:val="5"/>
                <w:sz w:val="20"/>
                <w:szCs w:val="20"/>
              </w:rPr>
              <w:t>（</w:t>
            </w:r>
            <w:r>
              <w:rPr>
                <w:rFonts w:ascii="Times New Roman" w:hAnsi="Times New Roman" w:eastAsia="Times New Roman" w:cs="Times New Roman"/>
                <w:spacing w:val="5"/>
                <w:sz w:val="20"/>
                <w:szCs w:val="20"/>
              </w:rPr>
              <w:t>6</w:t>
            </w:r>
            <w:r>
              <w:rPr>
                <w:spacing w:val="5"/>
                <w:sz w:val="20"/>
                <w:szCs w:val="20"/>
              </w:rPr>
              <w:t>）施工过程中保持项目区内山箐沟</w:t>
            </w:r>
            <w:r>
              <w:rPr>
                <w:spacing w:val="15"/>
                <w:sz w:val="20"/>
                <w:szCs w:val="20"/>
              </w:rPr>
              <w:t xml:space="preserve"> </w:t>
            </w:r>
            <w:r>
              <w:rPr>
                <w:spacing w:val="7"/>
                <w:sz w:val="20"/>
                <w:szCs w:val="20"/>
              </w:rPr>
              <w:t>的通畅，不得占用、拦挡河道。</w:t>
            </w:r>
          </w:p>
        </w:tc>
        <w:tc>
          <w:tcPr>
            <w:tcW w:w="2338" w:type="dxa"/>
            <w:tcBorders>
              <w:top w:val="single" w:color="000000" w:sz="6" w:space="0"/>
            </w:tcBorders>
            <w:vAlign w:val="top"/>
          </w:tcPr>
          <w:p w14:paraId="4E58D2EC">
            <w:pPr>
              <w:rPr>
                <w:rFonts w:ascii="Arial"/>
                <w:sz w:val="21"/>
              </w:rPr>
            </w:pPr>
          </w:p>
        </w:tc>
        <w:tc>
          <w:tcPr>
            <w:tcW w:w="4507" w:type="dxa"/>
            <w:tcBorders>
              <w:top w:val="single" w:color="000000" w:sz="6" w:space="0"/>
            </w:tcBorders>
            <w:vAlign w:val="top"/>
          </w:tcPr>
          <w:p w14:paraId="0F5574BC">
            <w:pPr>
              <w:rPr>
                <w:rFonts w:ascii="Arial"/>
                <w:sz w:val="21"/>
              </w:rPr>
            </w:pPr>
          </w:p>
        </w:tc>
        <w:tc>
          <w:tcPr>
            <w:tcW w:w="2402" w:type="dxa"/>
            <w:tcBorders>
              <w:top w:val="single" w:color="000000" w:sz="6" w:space="0"/>
              <w:right w:val="single" w:color="000000" w:sz="6" w:space="0"/>
            </w:tcBorders>
            <w:vAlign w:val="top"/>
          </w:tcPr>
          <w:p w14:paraId="0989F6DF">
            <w:pPr>
              <w:rPr>
                <w:rFonts w:ascii="Arial"/>
                <w:sz w:val="21"/>
              </w:rPr>
            </w:pPr>
          </w:p>
        </w:tc>
      </w:tr>
      <w:tr w14:paraId="7ECE9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86" w:type="dxa"/>
            <w:tcBorders>
              <w:left w:val="single" w:color="000000" w:sz="6" w:space="0"/>
            </w:tcBorders>
            <w:vAlign w:val="top"/>
          </w:tcPr>
          <w:p w14:paraId="61ED25C7">
            <w:pPr>
              <w:pStyle w:val="6"/>
              <w:spacing w:before="42"/>
              <w:ind w:left="130" w:right="135"/>
              <w:jc w:val="both"/>
              <w:rPr>
                <w:sz w:val="20"/>
                <w:szCs w:val="20"/>
              </w:rPr>
            </w:pPr>
            <w:r>
              <w:rPr>
                <w:spacing w:val="4"/>
                <w:sz w:val="20"/>
                <w:szCs w:val="20"/>
              </w:rPr>
              <w:t>地下</w:t>
            </w:r>
            <w:r>
              <w:rPr>
                <w:sz w:val="20"/>
                <w:szCs w:val="20"/>
              </w:rPr>
              <w:t xml:space="preserve"> </w:t>
            </w:r>
            <w:r>
              <w:rPr>
                <w:spacing w:val="4"/>
                <w:sz w:val="20"/>
                <w:szCs w:val="20"/>
              </w:rPr>
              <w:t>水及</w:t>
            </w:r>
            <w:r>
              <w:rPr>
                <w:sz w:val="20"/>
                <w:szCs w:val="20"/>
              </w:rPr>
              <w:t xml:space="preserve"> </w:t>
            </w:r>
            <w:r>
              <w:rPr>
                <w:spacing w:val="4"/>
                <w:sz w:val="20"/>
                <w:szCs w:val="20"/>
              </w:rPr>
              <w:t>土壤</w:t>
            </w:r>
            <w:r>
              <w:rPr>
                <w:sz w:val="20"/>
                <w:szCs w:val="20"/>
              </w:rPr>
              <w:t xml:space="preserve"> </w:t>
            </w:r>
            <w:r>
              <w:rPr>
                <w:spacing w:val="4"/>
                <w:sz w:val="20"/>
                <w:szCs w:val="20"/>
              </w:rPr>
              <w:t>环境</w:t>
            </w:r>
          </w:p>
        </w:tc>
        <w:tc>
          <w:tcPr>
            <w:tcW w:w="4055" w:type="dxa"/>
            <w:vAlign w:val="top"/>
          </w:tcPr>
          <w:p w14:paraId="35B32EE6">
            <w:pPr>
              <w:spacing w:line="421" w:lineRule="auto"/>
              <w:rPr>
                <w:rFonts w:ascii="Arial"/>
                <w:sz w:val="21"/>
              </w:rPr>
            </w:pPr>
          </w:p>
          <w:p w14:paraId="5C367C22">
            <w:pPr>
              <w:spacing w:before="57" w:line="199" w:lineRule="auto"/>
              <w:ind w:left="19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38" w:type="dxa"/>
            <w:vAlign w:val="top"/>
          </w:tcPr>
          <w:p w14:paraId="1B1DAAC7">
            <w:pPr>
              <w:spacing w:line="421" w:lineRule="auto"/>
              <w:rPr>
                <w:rFonts w:ascii="Arial"/>
                <w:sz w:val="21"/>
              </w:rPr>
            </w:pPr>
          </w:p>
          <w:p w14:paraId="4F69AF13">
            <w:pPr>
              <w:spacing w:before="57" w:line="199" w:lineRule="auto"/>
              <w:ind w:left="1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507" w:type="dxa"/>
            <w:vAlign w:val="top"/>
          </w:tcPr>
          <w:p w14:paraId="0BF2218E">
            <w:pPr>
              <w:spacing w:line="421" w:lineRule="auto"/>
              <w:rPr>
                <w:rFonts w:ascii="Arial"/>
                <w:sz w:val="21"/>
              </w:rPr>
            </w:pPr>
          </w:p>
          <w:p w14:paraId="0CBF33A1">
            <w:pPr>
              <w:spacing w:before="57" w:line="199" w:lineRule="auto"/>
              <w:ind w:left="2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02" w:type="dxa"/>
            <w:tcBorders>
              <w:right w:val="single" w:color="000000" w:sz="6" w:space="0"/>
            </w:tcBorders>
            <w:vAlign w:val="top"/>
          </w:tcPr>
          <w:p w14:paraId="0CBCC841">
            <w:pPr>
              <w:spacing w:line="421" w:lineRule="auto"/>
              <w:rPr>
                <w:rFonts w:ascii="Arial"/>
                <w:sz w:val="21"/>
              </w:rPr>
            </w:pPr>
          </w:p>
          <w:p w14:paraId="47C6B921">
            <w:pPr>
              <w:spacing w:before="57" w:line="199" w:lineRule="auto"/>
              <w:ind w:left="1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F2A6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9" w:hRule="atLeast"/>
        </w:trPr>
        <w:tc>
          <w:tcPr>
            <w:tcW w:w="686" w:type="dxa"/>
            <w:tcBorders>
              <w:left w:val="single" w:color="000000" w:sz="6" w:space="0"/>
              <w:bottom w:val="single" w:color="000000" w:sz="6" w:space="0"/>
            </w:tcBorders>
            <w:vAlign w:val="top"/>
          </w:tcPr>
          <w:p w14:paraId="041B37ED">
            <w:pPr>
              <w:spacing w:line="259" w:lineRule="auto"/>
              <w:rPr>
                <w:rFonts w:ascii="Arial"/>
                <w:sz w:val="21"/>
              </w:rPr>
            </w:pPr>
          </w:p>
          <w:p w14:paraId="25C7C68A">
            <w:pPr>
              <w:spacing w:line="260" w:lineRule="auto"/>
              <w:rPr>
                <w:rFonts w:ascii="Arial"/>
                <w:sz w:val="21"/>
              </w:rPr>
            </w:pPr>
          </w:p>
          <w:p w14:paraId="6496E843">
            <w:pPr>
              <w:pStyle w:val="6"/>
              <w:spacing w:before="65" w:line="239" w:lineRule="auto"/>
              <w:ind w:left="237" w:right="135" w:hanging="102"/>
              <w:rPr>
                <w:sz w:val="20"/>
                <w:szCs w:val="20"/>
              </w:rPr>
            </w:pPr>
            <w:r>
              <w:rPr>
                <w:spacing w:val="2"/>
                <w:sz w:val="20"/>
                <w:szCs w:val="20"/>
              </w:rPr>
              <w:t>声环</w:t>
            </w:r>
            <w:r>
              <w:rPr>
                <w:sz w:val="20"/>
                <w:szCs w:val="20"/>
              </w:rPr>
              <w:t xml:space="preserve"> 境</w:t>
            </w:r>
          </w:p>
        </w:tc>
        <w:tc>
          <w:tcPr>
            <w:tcW w:w="4055" w:type="dxa"/>
            <w:tcBorders>
              <w:bottom w:val="single" w:color="000000" w:sz="6" w:space="0"/>
            </w:tcBorders>
            <w:vAlign w:val="top"/>
          </w:tcPr>
          <w:p w14:paraId="5B95E649">
            <w:pPr>
              <w:pStyle w:val="6"/>
              <w:spacing w:before="40" w:line="246" w:lineRule="auto"/>
              <w:ind w:left="105" w:right="39" w:firstLine="492"/>
              <w:jc w:val="both"/>
              <w:rPr>
                <w:sz w:val="20"/>
                <w:szCs w:val="20"/>
              </w:rPr>
            </w:pPr>
            <w:r>
              <w:rPr>
                <w:spacing w:val="-3"/>
                <w:sz w:val="20"/>
                <w:szCs w:val="20"/>
              </w:rPr>
              <w:t>（</w:t>
            </w:r>
            <w:r>
              <w:rPr>
                <w:rFonts w:ascii="Times New Roman" w:hAnsi="Times New Roman" w:eastAsia="Times New Roman" w:cs="Times New Roman"/>
                <w:spacing w:val="-3"/>
                <w:sz w:val="20"/>
                <w:szCs w:val="20"/>
              </w:rPr>
              <w:t>1</w:t>
            </w:r>
            <w:r>
              <w:rPr>
                <w:spacing w:val="-3"/>
                <w:sz w:val="20"/>
                <w:szCs w:val="20"/>
              </w:rPr>
              <w:t>）临近区块</w:t>
            </w:r>
            <w:r>
              <w:rPr>
                <w:spacing w:val="-11"/>
                <w:sz w:val="20"/>
                <w:szCs w:val="20"/>
              </w:rPr>
              <w:t xml:space="preserve"> </w:t>
            </w:r>
            <w:r>
              <w:rPr>
                <w:rFonts w:ascii="Times New Roman" w:hAnsi="Times New Roman" w:eastAsia="Times New Roman" w:cs="Times New Roman"/>
                <w:spacing w:val="-3"/>
                <w:sz w:val="20"/>
                <w:szCs w:val="20"/>
              </w:rPr>
              <w:t>14</w:t>
            </w:r>
            <w:r>
              <w:rPr>
                <w:rFonts w:ascii="Times New Roman" w:hAnsi="Times New Roman" w:eastAsia="Times New Roman" w:cs="Times New Roman"/>
                <w:spacing w:val="26"/>
                <w:w w:val="101"/>
                <w:sz w:val="20"/>
                <w:szCs w:val="20"/>
              </w:rPr>
              <w:t xml:space="preserve"> </w:t>
            </w:r>
            <w:r>
              <w:rPr>
                <w:spacing w:val="-3"/>
                <w:sz w:val="20"/>
                <w:szCs w:val="20"/>
              </w:rPr>
              <w:t>附近的水冒天散户、</w:t>
            </w:r>
            <w:r>
              <w:rPr>
                <w:sz w:val="20"/>
                <w:szCs w:val="20"/>
              </w:rPr>
              <w:t xml:space="preserve"> </w:t>
            </w: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5"/>
                <w:sz w:val="20"/>
                <w:szCs w:val="20"/>
              </w:rPr>
              <w:t xml:space="preserve"> </w:t>
            </w:r>
            <w:r>
              <w:rPr>
                <w:spacing w:val="5"/>
                <w:sz w:val="20"/>
                <w:szCs w:val="20"/>
              </w:rPr>
              <w:t>集电线路</w:t>
            </w:r>
            <w:r>
              <w:rPr>
                <w:rFonts w:ascii="Times New Roman" w:hAnsi="Times New Roman" w:eastAsia="Times New Roman" w:cs="Times New Roman"/>
                <w:spacing w:val="5"/>
                <w:sz w:val="20"/>
                <w:szCs w:val="20"/>
              </w:rPr>
              <w:t>B</w:t>
            </w:r>
            <w:r>
              <w:rPr>
                <w:rFonts w:ascii="Times New Roman" w:hAnsi="Times New Roman" w:eastAsia="Times New Roman" w:cs="Times New Roman"/>
                <w:spacing w:val="30"/>
                <w:w w:val="101"/>
                <w:sz w:val="20"/>
                <w:szCs w:val="20"/>
              </w:rPr>
              <w:t xml:space="preserve"> </w:t>
            </w:r>
            <w:r>
              <w:rPr>
                <w:spacing w:val="5"/>
                <w:sz w:val="20"/>
                <w:szCs w:val="20"/>
              </w:rPr>
              <w:t>回</w:t>
            </w:r>
            <w:r>
              <w:rPr>
                <w:spacing w:val="-50"/>
                <w:sz w:val="20"/>
                <w:szCs w:val="20"/>
              </w:rPr>
              <w:t xml:space="preserve"> </w:t>
            </w:r>
            <w:r>
              <w:rPr>
                <w:rFonts w:ascii="Times New Roman" w:hAnsi="Times New Roman" w:eastAsia="Times New Roman" w:cs="Times New Roman"/>
                <w:spacing w:val="5"/>
                <w:sz w:val="20"/>
                <w:szCs w:val="20"/>
              </w:rPr>
              <w:t>8#</w:t>
            </w:r>
            <w:r>
              <w:rPr>
                <w:spacing w:val="5"/>
                <w:sz w:val="20"/>
                <w:szCs w:val="20"/>
              </w:rPr>
              <w:t>塔基南侧鲁纳散户、</w:t>
            </w:r>
            <w:r>
              <w:rPr>
                <w:sz w:val="20"/>
                <w:szCs w:val="20"/>
              </w:rPr>
              <w:t xml:space="preserve"> </w:t>
            </w:r>
            <w:r>
              <w:rPr>
                <w:spacing w:val="6"/>
                <w:sz w:val="20"/>
                <w:szCs w:val="20"/>
              </w:rPr>
              <w:t>区块</w:t>
            </w:r>
            <w:r>
              <w:rPr>
                <w:spacing w:val="-7"/>
                <w:sz w:val="20"/>
                <w:szCs w:val="20"/>
              </w:rPr>
              <w:t xml:space="preserve"> </w:t>
            </w:r>
            <w:r>
              <w:rPr>
                <w:rFonts w:ascii="Times New Roman" w:hAnsi="Times New Roman" w:eastAsia="Times New Roman" w:cs="Times New Roman"/>
                <w:spacing w:val="6"/>
                <w:sz w:val="20"/>
                <w:szCs w:val="20"/>
              </w:rPr>
              <w:t>13</w:t>
            </w:r>
            <w:r>
              <w:rPr>
                <w:rFonts w:ascii="Times New Roman" w:hAnsi="Times New Roman" w:eastAsia="Times New Roman" w:cs="Times New Roman"/>
                <w:spacing w:val="23"/>
                <w:sz w:val="20"/>
                <w:szCs w:val="20"/>
              </w:rPr>
              <w:t xml:space="preserve"> </w:t>
            </w:r>
            <w:r>
              <w:rPr>
                <w:spacing w:val="6"/>
                <w:sz w:val="20"/>
                <w:szCs w:val="20"/>
              </w:rPr>
              <w:t>箱变</w:t>
            </w:r>
            <w:r>
              <w:rPr>
                <w:spacing w:val="-32"/>
                <w:sz w:val="20"/>
                <w:szCs w:val="20"/>
              </w:rPr>
              <w:t xml:space="preserve"> </w:t>
            </w:r>
            <w:r>
              <w:rPr>
                <w:rFonts w:ascii="Times New Roman" w:hAnsi="Times New Roman" w:eastAsia="Times New Roman" w:cs="Times New Roman"/>
                <w:spacing w:val="6"/>
                <w:sz w:val="20"/>
                <w:szCs w:val="20"/>
              </w:rPr>
              <w:t>T13</w:t>
            </w:r>
            <w:r>
              <w:rPr>
                <w:rFonts w:ascii="Times New Roman" w:hAnsi="Times New Roman" w:eastAsia="Times New Roman" w:cs="Times New Roman"/>
                <w:spacing w:val="25"/>
                <w:w w:val="101"/>
                <w:sz w:val="20"/>
                <w:szCs w:val="20"/>
              </w:rPr>
              <w:t xml:space="preserve"> </w:t>
            </w:r>
            <w:r>
              <w:rPr>
                <w:spacing w:val="6"/>
                <w:sz w:val="20"/>
                <w:szCs w:val="20"/>
              </w:rPr>
              <w:t>北侧散户、</w:t>
            </w:r>
            <w:r>
              <w:rPr>
                <w:spacing w:val="-59"/>
                <w:sz w:val="20"/>
                <w:szCs w:val="20"/>
              </w:rPr>
              <w:t xml:space="preserve"> </w:t>
            </w:r>
            <w:r>
              <w:rPr>
                <w:spacing w:val="6"/>
                <w:sz w:val="20"/>
                <w:szCs w:val="20"/>
              </w:rPr>
              <w:t>区块</w:t>
            </w:r>
            <w:r>
              <w:rPr>
                <w:spacing w:val="-28"/>
                <w:sz w:val="20"/>
                <w:szCs w:val="20"/>
              </w:rPr>
              <w:t xml:space="preserve"> </w:t>
            </w:r>
            <w:r>
              <w:rPr>
                <w:rFonts w:ascii="Times New Roman" w:hAnsi="Times New Roman" w:eastAsia="Times New Roman" w:cs="Times New Roman"/>
                <w:spacing w:val="6"/>
                <w:sz w:val="20"/>
                <w:szCs w:val="20"/>
              </w:rPr>
              <w:t>5</w:t>
            </w:r>
            <w:r>
              <w:rPr>
                <w:rFonts w:ascii="Times New Roman" w:hAnsi="Times New Roman" w:eastAsia="Times New Roman" w:cs="Times New Roman"/>
                <w:spacing w:val="24"/>
                <w:sz w:val="20"/>
                <w:szCs w:val="20"/>
              </w:rPr>
              <w:t xml:space="preserve"> </w:t>
            </w:r>
            <w:r>
              <w:rPr>
                <w:spacing w:val="6"/>
                <w:sz w:val="20"/>
                <w:szCs w:val="20"/>
              </w:rPr>
              <w:t>箱变</w:t>
            </w:r>
            <w:r>
              <w:rPr>
                <w:sz w:val="20"/>
                <w:szCs w:val="20"/>
              </w:rPr>
              <w:t xml:space="preserve"> </w:t>
            </w:r>
            <w:r>
              <w:rPr>
                <w:rFonts w:ascii="Times New Roman" w:hAnsi="Times New Roman" w:eastAsia="Times New Roman" w:cs="Times New Roman"/>
                <w:spacing w:val="5"/>
                <w:sz w:val="20"/>
                <w:szCs w:val="20"/>
              </w:rPr>
              <w:t>T5</w:t>
            </w:r>
            <w:r>
              <w:rPr>
                <w:rFonts w:ascii="Times New Roman" w:hAnsi="Times New Roman" w:eastAsia="Times New Roman" w:cs="Times New Roman"/>
                <w:spacing w:val="16"/>
                <w:sz w:val="20"/>
                <w:szCs w:val="20"/>
              </w:rPr>
              <w:t xml:space="preserve"> </w:t>
            </w:r>
            <w:r>
              <w:rPr>
                <w:spacing w:val="5"/>
                <w:sz w:val="20"/>
                <w:szCs w:val="20"/>
              </w:rPr>
              <w:t>西侧散户（</w:t>
            </w:r>
            <w:r>
              <w:rPr>
                <w:rFonts w:ascii="Times New Roman" w:hAnsi="Times New Roman" w:eastAsia="Times New Roman" w:cs="Times New Roman"/>
                <w:spacing w:val="5"/>
                <w:sz w:val="20"/>
                <w:szCs w:val="20"/>
              </w:rPr>
              <w:t>N4</w:t>
            </w:r>
            <w:r>
              <w:rPr>
                <w:spacing w:val="5"/>
                <w:sz w:val="20"/>
                <w:szCs w:val="20"/>
              </w:rPr>
              <w:t>）施工时设置临时移动声</w:t>
            </w:r>
            <w:r>
              <w:rPr>
                <w:sz w:val="20"/>
                <w:szCs w:val="20"/>
              </w:rPr>
              <w:t xml:space="preserve"> </w:t>
            </w:r>
            <w:r>
              <w:rPr>
                <w:spacing w:val="12"/>
                <w:sz w:val="20"/>
                <w:szCs w:val="20"/>
              </w:rPr>
              <w:t>屏障，夜间禁止施工，因特殊需要必须连</w:t>
            </w:r>
            <w:r>
              <w:rPr>
                <w:spacing w:val="16"/>
                <w:sz w:val="20"/>
                <w:szCs w:val="20"/>
              </w:rPr>
              <w:t xml:space="preserve"> </w:t>
            </w:r>
            <w:r>
              <w:rPr>
                <w:spacing w:val="13"/>
                <w:sz w:val="20"/>
                <w:szCs w:val="20"/>
              </w:rPr>
              <w:t>续作业的，施工单位必须持有关主管部门</w:t>
            </w:r>
          </w:p>
        </w:tc>
        <w:tc>
          <w:tcPr>
            <w:tcW w:w="2338" w:type="dxa"/>
            <w:tcBorders>
              <w:bottom w:val="single" w:color="000000" w:sz="6" w:space="0"/>
            </w:tcBorders>
            <w:vAlign w:val="top"/>
          </w:tcPr>
          <w:p w14:paraId="5B6A8473">
            <w:pPr>
              <w:spacing w:line="384" w:lineRule="auto"/>
              <w:rPr>
                <w:rFonts w:ascii="Arial"/>
                <w:sz w:val="21"/>
              </w:rPr>
            </w:pPr>
          </w:p>
          <w:p w14:paraId="214119F6">
            <w:pPr>
              <w:pStyle w:val="6"/>
              <w:spacing w:before="65"/>
              <w:ind w:left="332" w:right="120" w:hanging="210"/>
              <w:rPr>
                <w:sz w:val="20"/>
                <w:szCs w:val="20"/>
              </w:rPr>
            </w:pPr>
            <w:r>
              <w:rPr>
                <w:spacing w:val="9"/>
                <w:sz w:val="20"/>
                <w:szCs w:val="20"/>
              </w:rPr>
              <w:t>达到《建筑施工场界环</w:t>
            </w:r>
            <w:r>
              <w:rPr>
                <w:sz w:val="20"/>
                <w:szCs w:val="20"/>
              </w:rPr>
              <w:t xml:space="preserve"> </w:t>
            </w:r>
            <w:r>
              <w:rPr>
                <w:spacing w:val="7"/>
                <w:sz w:val="20"/>
                <w:szCs w:val="20"/>
              </w:rPr>
              <w:t>境噪声排放标准》</w:t>
            </w:r>
          </w:p>
          <w:p w14:paraId="61CAEFAF">
            <w:pPr>
              <w:pStyle w:val="6"/>
              <w:spacing w:before="23"/>
              <w:ind w:left="322"/>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12523-2011</w:t>
            </w:r>
            <w:r>
              <w:rPr>
                <w:spacing w:val="4"/>
                <w:sz w:val="20"/>
                <w:szCs w:val="20"/>
              </w:rPr>
              <w:t>）</w:t>
            </w:r>
          </w:p>
        </w:tc>
        <w:tc>
          <w:tcPr>
            <w:tcW w:w="4507" w:type="dxa"/>
            <w:tcBorders>
              <w:bottom w:val="single" w:color="000000" w:sz="6" w:space="0"/>
            </w:tcBorders>
            <w:vAlign w:val="top"/>
          </w:tcPr>
          <w:p w14:paraId="2C8198A9">
            <w:pPr>
              <w:spacing w:line="259" w:lineRule="auto"/>
              <w:rPr>
                <w:rFonts w:ascii="Arial"/>
                <w:sz w:val="21"/>
              </w:rPr>
            </w:pPr>
          </w:p>
          <w:p w14:paraId="3B63AC37">
            <w:pPr>
              <w:spacing w:line="260" w:lineRule="auto"/>
              <w:rPr>
                <w:rFonts w:ascii="Arial"/>
                <w:sz w:val="21"/>
              </w:rPr>
            </w:pPr>
          </w:p>
          <w:p w14:paraId="3584F984">
            <w:pPr>
              <w:pStyle w:val="6"/>
              <w:spacing w:before="65" w:line="239" w:lineRule="auto"/>
              <w:ind w:left="1526" w:right="151" w:hanging="1366"/>
              <w:rPr>
                <w:sz w:val="20"/>
                <w:szCs w:val="20"/>
              </w:rPr>
            </w:pPr>
            <w:r>
              <w:rPr>
                <w:spacing w:val="9"/>
                <w:sz w:val="20"/>
                <w:szCs w:val="20"/>
              </w:rPr>
              <w:t xml:space="preserve">选用低噪声设备，采取隔声、减振等措施，并 </w:t>
            </w:r>
            <w:r>
              <w:rPr>
                <w:spacing w:val="7"/>
                <w:sz w:val="20"/>
                <w:szCs w:val="20"/>
              </w:rPr>
              <w:t>加强设备维护。</w:t>
            </w:r>
          </w:p>
        </w:tc>
        <w:tc>
          <w:tcPr>
            <w:tcW w:w="2402" w:type="dxa"/>
            <w:tcBorders>
              <w:bottom w:val="single" w:color="000000" w:sz="6" w:space="0"/>
              <w:right w:val="single" w:color="000000" w:sz="6" w:space="0"/>
            </w:tcBorders>
            <w:vAlign w:val="top"/>
          </w:tcPr>
          <w:p w14:paraId="6F0D9058">
            <w:pPr>
              <w:pStyle w:val="6"/>
              <w:spacing w:before="43"/>
              <w:ind w:left="164" w:right="143" w:firstLine="99"/>
              <w:rPr>
                <w:sz w:val="20"/>
                <w:szCs w:val="20"/>
              </w:rPr>
            </w:pPr>
            <w:r>
              <w:rPr>
                <w:spacing w:val="8"/>
                <w:sz w:val="20"/>
                <w:szCs w:val="20"/>
              </w:rPr>
              <w:t>光伏场区厂界噪声达</w:t>
            </w:r>
            <w:r>
              <w:rPr>
                <w:spacing w:val="3"/>
                <w:sz w:val="20"/>
                <w:szCs w:val="20"/>
              </w:rPr>
              <w:t xml:space="preserve">  </w:t>
            </w:r>
            <w:r>
              <w:rPr>
                <w:spacing w:val="8"/>
                <w:sz w:val="20"/>
                <w:szCs w:val="20"/>
              </w:rPr>
              <w:t>《工业企业厂界环境噪</w:t>
            </w:r>
          </w:p>
          <w:p w14:paraId="693F48DF">
            <w:pPr>
              <w:pStyle w:val="6"/>
              <w:spacing w:before="24" w:line="228" w:lineRule="auto"/>
              <w:ind w:left="582"/>
              <w:rPr>
                <w:sz w:val="20"/>
                <w:szCs w:val="20"/>
              </w:rPr>
            </w:pPr>
            <w:r>
              <w:rPr>
                <w:spacing w:val="6"/>
                <w:sz w:val="20"/>
                <w:szCs w:val="20"/>
              </w:rPr>
              <w:t>声排放标准》</w:t>
            </w:r>
          </w:p>
          <w:p w14:paraId="5F938D66">
            <w:pPr>
              <w:pStyle w:val="6"/>
              <w:spacing w:before="27" w:line="239" w:lineRule="auto"/>
              <w:ind w:left="157" w:right="143" w:firstLine="13"/>
              <w:rPr>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spacing w:val="5"/>
                <w:sz w:val="20"/>
                <w:szCs w:val="20"/>
              </w:rPr>
              <w:t>）</w:t>
            </w:r>
            <w:r>
              <w:rPr>
                <w:rFonts w:ascii="Times New Roman" w:hAnsi="Times New Roman" w:eastAsia="Times New Roman" w:cs="Times New Roman"/>
                <w:spacing w:val="5"/>
                <w:sz w:val="20"/>
                <w:szCs w:val="20"/>
              </w:rPr>
              <w:t xml:space="preserve">1 </w:t>
            </w:r>
            <w:r>
              <w:rPr>
                <w:spacing w:val="5"/>
                <w:sz w:val="20"/>
                <w:szCs w:val="20"/>
              </w:rPr>
              <w:t>类</w:t>
            </w:r>
            <w:r>
              <w:rPr>
                <w:spacing w:val="4"/>
                <w:sz w:val="20"/>
                <w:szCs w:val="20"/>
              </w:rPr>
              <w:t xml:space="preserve"> </w:t>
            </w:r>
            <w:r>
              <w:rPr>
                <w:spacing w:val="9"/>
                <w:sz w:val="20"/>
                <w:szCs w:val="20"/>
              </w:rPr>
              <w:t>标准；升压站厂界噪声</w:t>
            </w:r>
            <w:r>
              <w:rPr>
                <w:sz w:val="20"/>
                <w:szCs w:val="20"/>
              </w:rPr>
              <w:t xml:space="preserve"> </w:t>
            </w:r>
            <w:r>
              <w:rPr>
                <w:spacing w:val="9"/>
                <w:sz w:val="20"/>
                <w:szCs w:val="20"/>
              </w:rPr>
              <w:t>达《工业企业厂界环境</w:t>
            </w:r>
          </w:p>
        </w:tc>
      </w:tr>
    </w:tbl>
    <w:p w14:paraId="504197E4">
      <w:pPr>
        <w:rPr>
          <w:rFonts w:ascii="Arial"/>
          <w:sz w:val="21"/>
        </w:rPr>
      </w:pPr>
    </w:p>
    <w:p w14:paraId="3C3C01CB">
      <w:pPr>
        <w:rPr>
          <w:rFonts w:ascii="Arial" w:hAnsi="Arial" w:eastAsia="Arial" w:cs="Arial"/>
          <w:sz w:val="21"/>
          <w:szCs w:val="21"/>
        </w:rPr>
        <w:sectPr>
          <w:footerReference r:id="rId174" w:type="default"/>
          <w:pgSz w:w="16839" w:h="11906"/>
          <w:pgMar w:top="1012" w:right="1417" w:bottom="1278" w:left="1417" w:header="0" w:footer="1116" w:gutter="0"/>
          <w:cols w:space="720" w:num="1"/>
        </w:sectPr>
      </w:pPr>
    </w:p>
    <w:p w14:paraId="341F3A55">
      <w:pPr>
        <w:spacing w:before="18"/>
      </w:pPr>
    </w:p>
    <w:p w14:paraId="4964E950">
      <w:pPr>
        <w:spacing w:before="18"/>
      </w:pPr>
    </w:p>
    <w:tbl>
      <w:tblPr>
        <w:tblStyle w:val="5"/>
        <w:tblW w:w="13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4055"/>
        <w:gridCol w:w="2338"/>
        <w:gridCol w:w="4507"/>
        <w:gridCol w:w="2402"/>
      </w:tblGrid>
      <w:tr w14:paraId="2B1FE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1" w:hRule="atLeast"/>
        </w:trPr>
        <w:tc>
          <w:tcPr>
            <w:tcW w:w="686" w:type="dxa"/>
            <w:tcBorders>
              <w:top w:val="single" w:color="000000" w:sz="6" w:space="0"/>
              <w:left w:val="single" w:color="000000" w:sz="6" w:space="0"/>
            </w:tcBorders>
            <w:vAlign w:val="top"/>
          </w:tcPr>
          <w:p w14:paraId="77A67C0A">
            <w:pPr>
              <w:rPr>
                <w:rFonts w:ascii="Arial"/>
                <w:sz w:val="21"/>
              </w:rPr>
            </w:pPr>
          </w:p>
        </w:tc>
        <w:tc>
          <w:tcPr>
            <w:tcW w:w="4055" w:type="dxa"/>
            <w:tcBorders>
              <w:top w:val="single" w:color="000000" w:sz="6" w:space="0"/>
            </w:tcBorders>
            <w:vAlign w:val="top"/>
          </w:tcPr>
          <w:p w14:paraId="64B46CB2">
            <w:pPr>
              <w:pStyle w:val="6"/>
              <w:spacing w:before="28" w:line="238" w:lineRule="auto"/>
              <w:ind w:left="106" w:right="108" w:firstLine="17"/>
              <w:rPr>
                <w:sz w:val="20"/>
                <w:szCs w:val="20"/>
              </w:rPr>
            </w:pPr>
            <w:r>
              <w:rPr>
                <w:spacing w:val="12"/>
                <w:sz w:val="20"/>
                <w:szCs w:val="20"/>
              </w:rPr>
              <w:t>的证明向生态环境局登记备案，并于连续</w:t>
            </w:r>
            <w:r>
              <w:rPr>
                <w:sz w:val="20"/>
                <w:szCs w:val="20"/>
              </w:rPr>
              <w:t xml:space="preserve"> </w:t>
            </w:r>
            <w:r>
              <w:rPr>
                <w:spacing w:val="5"/>
                <w:sz w:val="20"/>
                <w:szCs w:val="20"/>
              </w:rPr>
              <w:t>施工之日</w:t>
            </w:r>
            <w:r>
              <w:rPr>
                <w:spacing w:val="-9"/>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7"/>
                <w:sz w:val="20"/>
                <w:szCs w:val="20"/>
              </w:rPr>
              <w:t xml:space="preserve"> </w:t>
            </w:r>
            <w:r>
              <w:rPr>
                <w:spacing w:val="5"/>
                <w:sz w:val="20"/>
                <w:szCs w:val="20"/>
              </w:rPr>
              <w:t>天前公告环境保护目标。</w:t>
            </w:r>
          </w:p>
          <w:p w14:paraId="4B5708B4">
            <w:pPr>
              <w:pStyle w:val="6"/>
              <w:spacing w:before="24" w:line="244" w:lineRule="auto"/>
              <w:ind w:left="106" w:right="108" w:firstLine="490"/>
              <w:rPr>
                <w:sz w:val="20"/>
                <w:szCs w:val="20"/>
              </w:rPr>
            </w:pPr>
            <w:r>
              <w:rPr>
                <w:spacing w:val="2"/>
                <w:sz w:val="20"/>
                <w:szCs w:val="20"/>
              </w:rPr>
              <w:t>（</w:t>
            </w:r>
            <w:r>
              <w:rPr>
                <w:rFonts w:ascii="Times New Roman" w:hAnsi="Times New Roman" w:eastAsia="Times New Roman" w:cs="Times New Roman"/>
                <w:spacing w:val="2"/>
                <w:sz w:val="20"/>
                <w:szCs w:val="20"/>
              </w:rPr>
              <w:t>2</w:t>
            </w:r>
            <w:r>
              <w:rPr>
                <w:spacing w:val="2"/>
                <w:sz w:val="20"/>
                <w:szCs w:val="20"/>
              </w:rPr>
              <w:t>）使用低噪声机械设备，同时对设</w:t>
            </w:r>
            <w:r>
              <w:rPr>
                <w:spacing w:val="6"/>
                <w:sz w:val="20"/>
                <w:szCs w:val="20"/>
              </w:rPr>
              <w:t xml:space="preserve"> </w:t>
            </w:r>
            <w:r>
              <w:rPr>
                <w:spacing w:val="13"/>
                <w:sz w:val="20"/>
                <w:szCs w:val="20"/>
              </w:rPr>
              <w:t>备进行定期保养和维护，严格操作规范和</w:t>
            </w:r>
            <w:r>
              <w:rPr>
                <w:sz w:val="20"/>
                <w:szCs w:val="20"/>
              </w:rPr>
              <w:t xml:space="preserve"> </w:t>
            </w:r>
            <w:r>
              <w:rPr>
                <w:spacing w:val="8"/>
                <w:sz w:val="20"/>
                <w:szCs w:val="20"/>
              </w:rPr>
              <w:t>操作规程，减少设备噪声的产生。</w:t>
            </w:r>
          </w:p>
          <w:p w14:paraId="344F0BC7">
            <w:pPr>
              <w:pStyle w:val="6"/>
              <w:spacing w:before="25" w:line="244" w:lineRule="auto"/>
              <w:ind w:left="107" w:right="108" w:firstLine="490"/>
              <w:rPr>
                <w:sz w:val="20"/>
                <w:szCs w:val="20"/>
              </w:rPr>
            </w:pPr>
            <w:r>
              <w:rPr>
                <w:spacing w:val="2"/>
                <w:sz w:val="20"/>
                <w:szCs w:val="20"/>
              </w:rPr>
              <w:t>（</w:t>
            </w:r>
            <w:r>
              <w:rPr>
                <w:rFonts w:ascii="Times New Roman" w:hAnsi="Times New Roman" w:eastAsia="Times New Roman" w:cs="Times New Roman"/>
                <w:spacing w:val="2"/>
                <w:sz w:val="20"/>
                <w:szCs w:val="20"/>
              </w:rPr>
              <w:t>3</w:t>
            </w:r>
            <w:r>
              <w:rPr>
                <w:spacing w:val="2"/>
                <w:sz w:val="20"/>
                <w:szCs w:val="20"/>
              </w:rPr>
              <w:t>）合理布设高噪声设备位置，尽量</w:t>
            </w:r>
            <w:r>
              <w:rPr>
                <w:spacing w:val="6"/>
                <w:sz w:val="20"/>
                <w:szCs w:val="20"/>
              </w:rPr>
              <w:t xml:space="preserve"> </w:t>
            </w:r>
            <w:r>
              <w:rPr>
                <w:spacing w:val="13"/>
                <w:sz w:val="20"/>
                <w:szCs w:val="20"/>
              </w:rPr>
              <w:t>远离敏感点；对高噪声设备采取减振、隔</w:t>
            </w:r>
            <w:r>
              <w:rPr>
                <w:sz w:val="20"/>
                <w:szCs w:val="20"/>
              </w:rPr>
              <w:t xml:space="preserve"> </w:t>
            </w:r>
            <w:r>
              <w:rPr>
                <w:spacing w:val="7"/>
                <w:sz w:val="20"/>
                <w:szCs w:val="20"/>
              </w:rPr>
              <w:t>声等降噪措施。</w:t>
            </w:r>
          </w:p>
          <w:p w14:paraId="34CCC831">
            <w:pPr>
              <w:pStyle w:val="6"/>
              <w:spacing w:before="22" w:line="247" w:lineRule="auto"/>
              <w:ind w:left="107" w:right="108" w:firstLine="490"/>
              <w:rPr>
                <w:sz w:val="20"/>
                <w:szCs w:val="20"/>
              </w:rPr>
            </w:pPr>
            <w:r>
              <w:rPr>
                <w:spacing w:val="2"/>
                <w:sz w:val="20"/>
                <w:szCs w:val="20"/>
              </w:rPr>
              <w:t>（</w:t>
            </w:r>
            <w:r>
              <w:rPr>
                <w:rFonts w:ascii="Times New Roman" w:hAnsi="Times New Roman" w:eastAsia="Times New Roman" w:cs="Times New Roman"/>
                <w:spacing w:val="2"/>
                <w:sz w:val="20"/>
                <w:szCs w:val="20"/>
              </w:rPr>
              <w:t>4</w:t>
            </w:r>
            <w:r>
              <w:rPr>
                <w:spacing w:val="2"/>
                <w:sz w:val="20"/>
                <w:szCs w:val="20"/>
              </w:rPr>
              <w:t>）施工单位要文明施工，减轻施工</w:t>
            </w:r>
            <w:r>
              <w:rPr>
                <w:spacing w:val="6"/>
                <w:sz w:val="20"/>
                <w:szCs w:val="20"/>
              </w:rPr>
              <w:t xml:space="preserve"> </w:t>
            </w:r>
            <w:r>
              <w:rPr>
                <w:spacing w:val="13"/>
                <w:sz w:val="20"/>
                <w:szCs w:val="20"/>
              </w:rPr>
              <w:t>期间施工人员产生的社会噪声对环境的影</w:t>
            </w:r>
            <w:r>
              <w:rPr>
                <w:sz w:val="20"/>
                <w:szCs w:val="20"/>
              </w:rPr>
              <w:t xml:space="preserve"> </w:t>
            </w:r>
            <w:r>
              <w:rPr>
                <w:spacing w:val="13"/>
                <w:sz w:val="20"/>
                <w:szCs w:val="20"/>
              </w:rPr>
              <w:t>响。在施工现场标明投诉电话，对投诉问</w:t>
            </w:r>
            <w:r>
              <w:rPr>
                <w:sz w:val="20"/>
                <w:szCs w:val="20"/>
              </w:rPr>
              <w:t xml:space="preserve"> </w:t>
            </w:r>
            <w:r>
              <w:rPr>
                <w:spacing w:val="13"/>
                <w:sz w:val="20"/>
                <w:szCs w:val="20"/>
              </w:rPr>
              <w:t>题建设单位应及时与当地生态环境部门沟</w:t>
            </w:r>
            <w:r>
              <w:rPr>
                <w:sz w:val="20"/>
                <w:szCs w:val="20"/>
              </w:rPr>
              <w:t xml:space="preserve"> </w:t>
            </w:r>
            <w:r>
              <w:rPr>
                <w:spacing w:val="5"/>
                <w:sz w:val="20"/>
                <w:szCs w:val="20"/>
              </w:rPr>
              <w:t>通解决。</w:t>
            </w:r>
          </w:p>
          <w:p w14:paraId="2B10345E">
            <w:pPr>
              <w:pStyle w:val="6"/>
              <w:spacing w:before="25" w:line="244" w:lineRule="auto"/>
              <w:ind w:left="110" w:right="108" w:firstLine="486"/>
              <w:rPr>
                <w:sz w:val="20"/>
                <w:szCs w:val="20"/>
              </w:rPr>
            </w:pPr>
            <w:r>
              <w:rPr>
                <w:spacing w:val="2"/>
                <w:sz w:val="20"/>
                <w:szCs w:val="20"/>
              </w:rPr>
              <w:t>（</w:t>
            </w:r>
            <w:r>
              <w:rPr>
                <w:rFonts w:ascii="Times New Roman" w:hAnsi="Times New Roman" w:eastAsia="Times New Roman" w:cs="Times New Roman"/>
                <w:spacing w:val="2"/>
                <w:sz w:val="20"/>
                <w:szCs w:val="20"/>
              </w:rPr>
              <w:t>5</w:t>
            </w:r>
            <w:r>
              <w:rPr>
                <w:spacing w:val="2"/>
                <w:sz w:val="20"/>
                <w:szCs w:val="20"/>
              </w:rPr>
              <w:t>）运输过程中的车辆应尽量避免在</w:t>
            </w:r>
            <w:r>
              <w:rPr>
                <w:spacing w:val="6"/>
                <w:sz w:val="20"/>
                <w:szCs w:val="20"/>
              </w:rPr>
              <w:t xml:space="preserve"> </w:t>
            </w:r>
            <w:r>
              <w:rPr>
                <w:spacing w:val="12"/>
                <w:sz w:val="20"/>
                <w:szCs w:val="20"/>
              </w:rPr>
              <w:t>夜间运输，限制车速，进出厂区、经过居</w:t>
            </w:r>
            <w:r>
              <w:rPr>
                <w:spacing w:val="14"/>
                <w:sz w:val="20"/>
                <w:szCs w:val="20"/>
              </w:rPr>
              <w:t xml:space="preserve"> </w:t>
            </w:r>
            <w:r>
              <w:rPr>
                <w:spacing w:val="8"/>
                <w:sz w:val="20"/>
                <w:szCs w:val="20"/>
              </w:rPr>
              <w:t>民点时严禁鸣笛，做到文明行车。</w:t>
            </w:r>
          </w:p>
          <w:p w14:paraId="5B13686E">
            <w:pPr>
              <w:pStyle w:val="6"/>
              <w:spacing w:before="24" w:line="239" w:lineRule="auto"/>
              <w:ind w:left="107" w:right="110" w:firstLine="490"/>
              <w:rPr>
                <w:sz w:val="20"/>
                <w:szCs w:val="20"/>
              </w:rPr>
            </w:pPr>
            <w:r>
              <w:rPr>
                <w:spacing w:val="2"/>
                <w:sz w:val="20"/>
                <w:szCs w:val="20"/>
              </w:rPr>
              <w:t>（</w:t>
            </w:r>
            <w:r>
              <w:rPr>
                <w:rFonts w:ascii="Times New Roman" w:hAnsi="Times New Roman" w:eastAsia="Times New Roman" w:cs="Times New Roman"/>
                <w:spacing w:val="2"/>
                <w:sz w:val="20"/>
                <w:szCs w:val="20"/>
              </w:rPr>
              <w:t>6</w:t>
            </w:r>
            <w:r>
              <w:rPr>
                <w:spacing w:val="2"/>
                <w:sz w:val="20"/>
                <w:szCs w:val="20"/>
              </w:rPr>
              <w:t>）在进行物料运输时，应合理安排</w:t>
            </w:r>
            <w:r>
              <w:rPr>
                <w:spacing w:val="6"/>
                <w:sz w:val="20"/>
                <w:szCs w:val="20"/>
              </w:rPr>
              <w:t xml:space="preserve"> </w:t>
            </w:r>
            <w:r>
              <w:rPr>
                <w:spacing w:val="8"/>
                <w:sz w:val="20"/>
                <w:szCs w:val="20"/>
              </w:rPr>
              <w:t>运输时间，经过敏感点时应低速、禁鸣。</w:t>
            </w:r>
          </w:p>
          <w:p w14:paraId="08BF451B">
            <w:pPr>
              <w:pStyle w:val="6"/>
              <w:spacing w:before="26" w:line="241" w:lineRule="auto"/>
              <w:ind w:left="107" w:right="110" w:firstLine="430"/>
              <w:rPr>
                <w:sz w:val="20"/>
                <w:szCs w:val="20"/>
              </w:rPr>
            </w:pPr>
            <w:r>
              <w:rPr>
                <w:spacing w:val="5"/>
                <w:sz w:val="20"/>
                <w:szCs w:val="20"/>
              </w:rPr>
              <w:t>（</w:t>
            </w:r>
            <w:r>
              <w:rPr>
                <w:rFonts w:ascii="Times New Roman" w:hAnsi="Times New Roman" w:eastAsia="Times New Roman" w:cs="Times New Roman"/>
                <w:spacing w:val="5"/>
                <w:sz w:val="20"/>
                <w:szCs w:val="20"/>
              </w:rPr>
              <w:t>7</w:t>
            </w:r>
            <w:r>
              <w:rPr>
                <w:spacing w:val="5"/>
                <w:sz w:val="20"/>
                <w:szCs w:val="20"/>
              </w:rPr>
              <w:t>）施工期间建设单位应与施工方签</w:t>
            </w:r>
            <w:r>
              <w:rPr>
                <w:spacing w:val="15"/>
                <w:sz w:val="20"/>
                <w:szCs w:val="20"/>
              </w:rPr>
              <w:t xml:space="preserve"> </w:t>
            </w:r>
            <w:r>
              <w:rPr>
                <w:spacing w:val="9"/>
                <w:sz w:val="20"/>
                <w:szCs w:val="20"/>
              </w:rPr>
              <w:t>订环境管理责任书，具体落实施工期噪声</w:t>
            </w:r>
            <w:r>
              <w:rPr>
                <w:spacing w:val="6"/>
                <w:sz w:val="20"/>
                <w:szCs w:val="20"/>
              </w:rPr>
              <w:t xml:space="preserve"> </w:t>
            </w:r>
            <w:r>
              <w:rPr>
                <w:spacing w:val="9"/>
                <w:sz w:val="20"/>
                <w:szCs w:val="20"/>
              </w:rPr>
              <w:t>防治措施，并且加强与周围可能受影响单</w:t>
            </w:r>
            <w:r>
              <w:rPr>
                <w:spacing w:val="6"/>
                <w:sz w:val="20"/>
                <w:szCs w:val="20"/>
              </w:rPr>
              <w:t xml:space="preserve"> </w:t>
            </w:r>
            <w:r>
              <w:rPr>
                <w:spacing w:val="8"/>
                <w:sz w:val="20"/>
                <w:szCs w:val="20"/>
              </w:rPr>
              <w:t>位的沟通，减轻对声环境的不利影响。</w:t>
            </w:r>
          </w:p>
        </w:tc>
        <w:tc>
          <w:tcPr>
            <w:tcW w:w="2338" w:type="dxa"/>
            <w:tcBorders>
              <w:top w:val="single" w:color="000000" w:sz="6" w:space="0"/>
            </w:tcBorders>
            <w:vAlign w:val="top"/>
          </w:tcPr>
          <w:p w14:paraId="411DD0CF">
            <w:pPr>
              <w:rPr>
                <w:rFonts w:ascii="Arial"/>
                <w:sz w:val="21"/>
              </w:rPr>
            </w:pPr>
          </w:p>
        </w:tc>
        <w:tc>
          <w:tcPr>
            <w:tcW w:w="4507" w:type="dxa"/>
            <w:tcBorders>
              <w:top w:val="single" w:color="000000" w:sz="6" w:space="0"/>
            </w:tcBorders>
            <w:vAlign w:val="top"/>
          </w:tcPr>
          <w:p w14:paraId="72B3CA18">
            <w:pPr>
              <w:rPr>
                <w:rFonts w:ascii="Arial"/>
                <w:sz w:val="21"/>
              </w:rPr>
            </w:pPr>
          </w:p>
        </w:tc>
        <w:tc>
          <w:tcPr>
            <w:tcW w:w="2402" w:type="dxa"/>
            <w:tcBorders>
              <w:top w:val="single" w:color="000000" w:sz="6" w:space="0"/>
              <w:right w:val="single" w:color="000000" w:sz="6" w:space="0"/>
            </w:tcBorders>
            <w:vAlign w:val="top"/>
          </w:tcPr>
          <w:p w14:paraId="5D563EFD">
            <w:pPr>
              <w:pStyle w:val="6"/>
              <w:spacing w:before="27" w:line="228" w:lineRule="auto"/>
              <w:ind w:left="482"/>
              <w:rPr>
                <w:sz w:val="20"/>
                <w:szCs w:val="20"/>
              </w:rPr>
            </w:pPr>
            <w:r>
              <w:rPr>
                <w:spacing w:val="5"/>
                <w:sz w:val="20"/>
                <w:szCs w:val="20"/>
              </w:rPr>
              <w:t>噪声排放标准》</w:t>
            </w:r>
          </w:p>
          <w:p w14:paraId="3307011E">
            <w:pPr>
              <w:pStyle w:val="6"/>
              <w:spacing w:before="23" w:line="228" w:lineRule="auto"/>
              <w:ind w:left="171"/>
              <w:rPr>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spacing w:val="5"/>
                <w:sz w:val="20"/>
                <w:szCs w:val="20"/>
              </w:rPr>
              <w:t>）</w:t>
            </w:r>
            <w:r>
              <w:rPr>
                <w:rFonts w:ascii="Times New Roman" w:hAnsi="Times New Roman" w:eastAsia="Times New Roman" w:cs="Times New Roman"/>
                <w:spacing w:val="5"/>
                <w:sz w:val="20"/>
                <w:szCs w:val="20"/>
              </w:rPr>
              <w:t xml:space="preserve">2 </w:t>
            </w:r>
            <w:r>
              <w:rPr>
                <w:spacing w:val="5"/>
                <w:sz w:val="20"/>
                <w:szCs w:val="20"/>
              </w:rPr>
              <w:t>类</w:t>
            </w:r>
          </w:p>
          <w:p w14:paraId="37CF8DD3">
            <w:pPr>
              <w:pStyle w:val="6"/>
              <w:spacing w:before="25" w:line="228" w:lineRule="auto"/>
              <w:ind w:left="999"/>
              <w:rPr>
                <w:sz w:val="20"/>
                <w:szCs w:val="20"/>
              </w:rPr>
            </w:pPr>
            <w:r>
              <w:rPr>
                <w:spacing w:val="4"/>
                <w:sz w:val="20"/>
                <w:szCs w:val="20"/>
              </w:rPr>
              <w:t>标准</w:t>
            </w:r>
          </w:p>
        </w:tc>
      </w:tr>
      <w:tr w14:paraId="50FD3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86" w:type="dxa"/>
            <w:tcBorders>
              <w:left w:val="single" w:color="000000" w:sz="6" w:space="0"/>
            </w:tcBorders>
            <w:vAlign w:val="top"/>
          </w:tcPr>
          <w:p w14:paraId="0A75489A">
            <w:pPr>
              <w:pStyle w:val="6"/>
              <w:spacing w:before="245" w:line="228" w:lineRule="auto"/>
              <w:ind w:left="130"/>
              <w:rPr>
                <w:sz w:val="20"/>
                <w:szCs w:val="20"/>
              </w:rPr>
            </w:pPr>
            <w:r>
              <w:rPr>
                <w:spacing w:val="5"/>
                <w:sz w:val="20"/>
                <w:szCs w:val="20"/>
              </w:rPr>
              <w:t>振动</w:t>
            </w:r>
          </w:p>
        </w:tc>
        <w:tc>
          <w:tcPr>
            <w:tcW w:w="4055" w:type="dxa"/>
            <w:vAlign w:val="top"/>
          </w:tcPr>
          <w:p w14:paraId="3F54B094">
            <w:pPr>
              <w:spacing w:before="277" w:line="199" w:lineRule="auto"/>
              <w:ind w:left="19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38" w:type="dxa"/>
            <w:vAlign w:val="top"/>
          </w:tcPr>
          <w:p w14:paraId="22270B41">
            <w:pPr>
              <w:spacing w:before="277" w:line="199" w:lineRule="auto"/>
              <w:ind w:left="1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507" w:type="dxa"/>
            <w:vAlign w:val="top"/>
          </w:tcPr>
          <w:p w14:paraId="38570F22">
            <w:pPr>
              <w:spacing w:before="277" w:line="199" w:lineRule="auto"/>
              <w:ind w:left="2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02" w:type="dxa"/>
            <w:tcBorders>
              <w:right w:val="single" w:color="000000" w:sz="6" w:space="0"/>
            </w:tcBorders>
            <w:vAlign w:val="top"/>
          </w:tcPr>
          <w:p w14:paraId="3FCB2391">
            <w:pPr>
              <w:spacing w:before="277" w:line="199" w:lineRule="auto"/>
              <w:ind w:left="1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49AC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0" w:hRule="atLeast"/>
        </w:trPr>
        <w:tc>
          <w:tcPr>
            <w:tcW w:w="686" w:type="dxa"/>
            <w:tcBorders>
              <w:left w:val="single" w:color="000000" w:sz="6" w:space="0"/>
              <w:bottom w:val="single" w:color="000000" w:sz="6" w:space="0"/>
            </w:tcBorders>
            <w:vAlign w:val="top"/>
          </w:tcPr>
          <w:p w14:paraId="72A5D12E">
            <w:pPr>
              <w:spacing w:line="327" w:lineRule="auto"/>
              <w:rPr>
                <w:rFonts w:ascii="Arial"/>
                <w:sz w:val="21"/>
              </w:rPr>
            </w:pPr>
          </w:p>
          <w:p w14:paraId="7E04D988">
            <w:pPr>
              <w:spacing w:line="327" w:lineRule="auto"/>
              <w:rPr>
                <w:rFonts w:ascii="Arial"/>
                <w:sz w:val="21"/>
              </w:rPr>
            </w:pPr>
          </w:p>
          <w:p w14:paraId="27AC28FC">
            <w:pPr>
              <w:pStyle w:val="6"/>
              <w:spacing w:before="65" w:line="239" w:lineRule="auto"/>
              <w:ind w:left="130" w:right="135" w:firstLine="2"/>
              <w:rPr>
                <w:sz w:val="20"/>
                <w:szCs w:val="20"/>
              </w:rPr>
            </w:pPr>
            <w:r>
              <w:rPr>
                <w:spacing w:val="3"/>
                <w:sz w:val="20"/>
                <w:szCs w:val="20"/>
              </w:rPr>
              <w:t>大气</w:t>
            </w:r>
            <w:r>
              <w:rPr>
                <w:sz w:val="20"/>
                <w:szCs w:val="20"/>
              </w:rPr>
              <w:t xml:space="preserve"> </w:t>
            </w:r>
            <w:r>
              <w:rPr>
                <w:spacing w:val="4"/>
                <w:sz w:val="20"/>
                <w:szCs w:val="20"/>
              </w:rPr>
              <w:t>环境</w:t>
            </w:r>
          </w:p>
        </w:tc>
        <w:tc>
          <w:tcPr>
            <w:tcW w:w="4055" w:type="dxa"/>
            <w:tcBorders>
              <w:bottom w:val="single" w:color="000000" w:sz="6" w:space="0"/>
            </w:tcBorders>
            <w:vAlign w:val="top"/>
          </w:tcPr>
          <w:p w14:paraId="48B372D7">
            <w:pPr>
              <w:pStyle w:val="6"/>
              <w:spacing w:before="178" w:line="246" w:lineRule="auto"/>
              <w:ind w:left="137" w:right="141"/>
              <w:jc w:val="both"/>
              <w:rPr>
                <w:sz w:val="20"/>
                <w:szCs w:val="20"/>
              </w:rPr>
            </w:pPr>
            <w:r>
              <w:rPr>
                <w:spacing w:val="9"/>
                <w:sz w:val="20"/>
                <w:szCs w:val="20"/>
              </w:rPr>
              <w:t>采用在作业面和土堆适当洒水、规定运输</w:t>
            </w:r>
            <w:r>
              <w:rPr>
                <w:spacing w:val="7"/>
                <w:sz w:val="20"/>
                <w:szCs w:val="20"/>
              </w:rPr>
              <w:t xml:space="preserve"> </w:t>
            </w:r>
            <w:r>
              <w:rPr>
                <w:spacing w:val="9"/>
                <w:sz w:val="20"/>
                <w:szCs w:val="20"/>
              </w:rPr>
              <w:t>车辆在施工区路面减速行驶、清洗车轮和</w:t>
            </w:r>
            <w:r>
              <w:rPr>
                <w:spacing w:val="7"/>
                <w:sz w:val="20"/>
                <w:szCs w:val="20"/>
              </w:rPr>
              <w:t xml:space="preserve"> </w:t>
            </w:r>
            <w:r>
              <w:rPr>
                <w:spacing w:val="9"/>
                <w:sz w:val="20"/>
                <w:szCs w:val="20"/>
              </w:rPr>
              <w:t>车体、土堆和建筑材料帆布遮盖、大风天</w:t>
            </w:r>
            <w:r>
              <w:rPr>
                <w:spacing w:val="7"/>
                <w:sz w:val="20"/>
                <w:szCs w:val="20"/>
              </w:rPr>
              <w:t xml:space="preserve"> </w:t>
            </w:r>
            <w:r>
              <w:rPr>
                <w:spacing w:val="9"/>
                <w:sz w:val="20"/>
                <w:szCs w:val="20"/>
              </w:rPr>
              <w:t>气停止作业或采用挡风栅栏降低风速等措</w:t>
            </w:r>
            <w:r>
              <w:rPr>
                <w:spacing w:val="7"/>
                <w:sz w:val="20"/>
                <w:szCs w:val="20"/>
              </w:rPr>
              <w:t xml:space="preserve"> </w:t>
            </w:r>
            <w:r>
              <w:rPr>
                <w:spacing w:val="9"/>
                <w:sz w:val="20"/>
                <w:szCs w:val="20"/>
              </w:rPr>
              <w:t>施。食堂油烟经抽油烟机处理后，通过专</w:t>
            </w:r>
          </w:p>
          <w:p w14:paraId="2CF81777">
            <w:pPr>
              <w:pStyle w:val="6"/>
              <w:spacing w:before="27" w:line="228" w:lineRule="auto"/>
              <w:ind w:left="1189"/>
              <w:rPr>
                <w:sz w:val="20"/>
                <w:szCs w:val="20"/>
              </w:rPr>
            </w:pPr>
            <w:r>
              <w:rPr>
                <w:spacing w:val="7"/>
                <w:sz w:val="20"/>
                <w:szCs w:val="20"/>
              </w:rPr>
              <w:t>用油烟管道排放。</w:t>
            </w:r>
          </w:p>
        </w:tc>
        <w:tc>
          <w:tcPr>
            <w:tcW w:w="2338" w:type="dxa"/>
            <w:tcBorders>
              <w:bottom w:val="single" w:color="000000" w:sz="6" w:space="0"/>
            </w:tcBorders>
            <w:vAlign w:val="top"/>
          </w:tcPr>
          <w:p w14:paraId="2B6494F6">
            <w:pPr>
              <w:spacing w:line="382" w:lineRule="auto"/>
              <w:rPr>
                <w:rFonts w:ascii="Arial"/>
                <w:sz w:val="21"/>
              </w:rPr>
            </w:pPr>
          </w:p>
          <w:p w14:paraId="0787C838">
            <w:pPr>
              <w:pStyle w:val="6"/>
              <w:spacing w:before="65" w:line="228" w:lineRule="auto"/>
              <w:ind w:left="122"/>
              <w:rPr>
                <w:sz w:val="20"/>
                <w:szCs w:val="20"/>
              </w:rPr>
            </w:pPr>
            <w:r>
              <w:rPr>
                <w:spacing w:val="9"/>
                <w:sz w:val="20"/>
                <w:szCs w:val="20"/>
              </w:rPr>
              <w:t>施工扬尘排放达到《大</w:t>
            </w:r>
          </w:p>
          <w:p w14:paraId="2E7845E1">
            <w:pPr>
              <w:pStyle w:val="6"/>
              <w:spacing w:before="26" w:line="228" w:lineRule="auto"/>
              <w:ind w:left="229"/>
              <w:rPr>
                <w:sz w:val="20"/>
                <w:szCs w:val="20"/>
              </w:rPr>
            </w:pPr>
            <w:r>
              <w:rPr>
                <w:spacing w:val="8"/>
                <w:sz w:val="20"/>
                <w:szCs w:val="20"/>
              </w:rPr>
              <w:t>气污染物综合排放标</w:t>
            </w:r>
          </w:p>
          <w:p w14:paraId="08B77953">
            <w:pPr>
              <w:pStyle w:val="6"/>
              <w:spacing w:before="23" w:line="229" w:lineRule="auto"/>
              <w:ind w:left="112"/>
              <w:rPr>
                <w:sz w:val="20"/>
                <w:szCs w:val="20"/>
              </w:rPr>
            </w:pP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16297-1996</w:t>
            </w:r>
            <w:r>
              <w:rPr>
                <w:spacing w:val="5"/>
                <w:sz w:val="20"/>
                <w:szCs w:val="20"/>
              </w:rPr>
              <w:t>）</w:t>
            </w:r>
          </w:p>
          <w:p w14:paraId="6082449D">
            <w:pPr>
              <w:pStyle w:val="6"/>
              <w:spacing w:before="25" w:line="229" w:lineRule="auto"/>
              <w:ind w:left="963"/>
              <w:rPr>
                <w:sz w:val="20"/>
                <w:szCs w:val="20"/>
              </w:rPr>
            </w:pPr>
            <w:r>
              <w:rPr>
                <w:spacing w:val="4"/>
                <w:sz w:val="20"/>
                <w:szCs w:val="20"/>
              </w:rPr>
              <w:t>要求</w:t>
            </w:r>
          </w:p>
        </w:tc>
        <w:tc>
          <w:tcPr>
            <w:tcW w:w="4507" w:type="dxa"/>
            <w:tcBorders>
              <w:bottom w:val="single" w:color="000000" w:sz="6" w:space="0"/>
            </w:tcBorders>
            <w:vAlign w:val="top"/>
          </w:tcPr>
          <w:p w14:paraId="1368571F">
            <w:pPr>
              <w:pStyle w:val="6"/>
              <w:spacing w:before="44" w:line="246" w:lineRule="auto"/>
              <w:ind w:left="148" w:right="122" w:firstLine="12"/>
              <w:jc w:val="both"/>
              <w:rPr>
                <w:sz w:val="20"/>
                <w:szCs w:val="20"/>
              </w:rPr>
            </w:pPr>
            <w:r>
              <w:rPr>
                <w:spacing w:val="9"/>
                <w:sz w:val="20"/>
                <w:szCs w:val="20"/>
              </w:rPr>
              <w:t>食堂需安装集气罩、油烟净化器处理，经处理</w:t>
            </w:r>
            <w:r>
              <w:rPr>
                <w:spacing w:val="8"/>
                <w:sz w:val="20"/>
                <w:szCs w:val="20"/>
              </w:rPr>
              <w:t xml:space="preserve"> </w:t>
            </w:r>
            <w:r>
              <w:rPr>
                <w:spacing w:val="10"/>
                <w:sz w:val="20"/>
                <w:szCs w:val="20"/>
              </w:rPr>
              <w:t>后设置专用烟道引至食堂所在构筑物高于楼顶</w:t>
            </w:r>
            <w:r>
              <w:rPr>
                <w:spacing w:val="3"/>
                <w:sz w:val="20"/>
                <w:szCs w:val="20"/>
              </w:rPr>
              <w:t xml:space="preserve"> </w:t>
            </w:r>
            <w:r>
              <w:rPr>
                <w:rFonts w:ascii="Times New Roman" w:hAnsi="Times New Roman" w:eastAsia="Times New Roman" w:cs="Times New Roman"/>
                <w:spacing w:val="7"/>
                <w:sz w:val="20"/>
                <w:szCs w:val="20"/>
              </w:rPr>
              <w:t xml:space="preserve">1.5m </w:t>
            </w:r>
            <w:r>
              <w:rPr>
                <w:spacing w:val="7"/>
                <w:sz w:val="20"/>
                <w:szCs w:val="20"/>
              </w:rPr>
              <w:t>处排放；化粪池和一体化污水处理站均为</w:t>
            </w:r>
            <w:r>
              <w:rPr>
                <w:spacing w:val="13"/>
                <w:sz w:val="20"/>
                <w:szCs w:val="20"/>
              </w:rPr>
              <w:t xml:space="preserve"> </w:t>
            </w:r>
            <w:r>
              <w:rPr>
                <w:spacing w:val="10"/>
                <w:sz w:val="20"/>
                <w:szCs w:val="20"/>
              </w:rPr>
              <w:t>地埋式，减少异味的产生；保持项目区内环境</w:t>
            </w:r>
            <w:r>
              <w:rPr>
                <w:spacing w:val="1"/>
                <w:sz w:val="20"/>
                <w:szCs w:val="20"/>
              </w:rPr>
              <w:t xml:space="preserve"> </w:t>
            </w:r>
            <w:r>
              <w:rPr>
                <w:spacing w:val="10"/>
                <w:sz w:val="20"/>
                <w:szCs w:val="20"/>
              </w:rPr>
              <w:t>卫生，减少运营期地面扬尘和飘散物对环境空</w:t>
            </w:r>
            <w:r>
              <w:rPr>
                <w:sz w:val="20"/>
                <w:szCs w:val="20"/>
              </w:rPr>
              <w:t xml:space="preserve"> </w:t>
            </w:r>
            <w:r>
              <w:rPr>
                <w:spacing w:val="10"/>
                <w:sz w:val="20"/>
                <w:szCs w:val="20"/>
              </w:rPr>
              <w:t>气质量的影响；场内道路两旁栽种行道树，阻</w:t>
            </w:r>
            <w:r>
              <w:rPr>
                <w:spacing w:val="3"/>
                <w:sz w:val="20"/>
                <w:szCs w:val="20"/>
              </w:rPr>
              <w:t xml:space="preserve"> </w:t>
            </w:r>
            <w:r>
              <w:rPr>
                <w:spacing w:val="10"/>
                <w:sz w:val="20"/>
                <w:szCs w:val="20"/>
              </w:rPr>
              <w:t>挡道路扬尘，设置标志提醒车辆减速慢行，减</w:t>
            </w:r>
          </w:p>
        </w:tc>
        <w:tc>
          <w:tcPr>
            <w:tcW w:w="2402" w:type="dxa"/>
            <w:tcBorders>
              <w:bottom w:val="single" w:color="000000" w:sz="6" w:space="0"/>
              <w:right w:val="single" w:color="000000" w:sz="6" w:space="0"/>
            </w:tcBorders>
            <w:vAlign w:val="top"/>
          </w:tcPr>
          <w:p w14:paraId="087F239C">
            <w:pPr>
              <w:spacing w:line="380" w:lineRule="auto"/>
              <w:rPr>
                <w:rFonts w:ascii="Arial"/>
                <w:sz w:val="21"/>
              </w:rPr>
            </w:pPr>
          </w:p>
          <w:p w14:paraId="00F51611">
            <w:pPr>
              <w:pStyle w:val="6"/>
              <w:spacing w:before="65" w:line="244" w:lineRule="auto"/>
              <w:ind w:left="123" w:right="110" w:firstLine="40"/>
              <w:jc w:val="both"/>
              <w:rPr>
                <w:sz w:val="20"/>
                <w:szCs w:val="20"/>
              </w:rPr>
            </w:pPr>
            <w:r>
              <w:rPr>
                <w:spacing w:val="8"/>
                <w:sz w:val="20"/>
                <w:szCs w:val="20"/>
              </w:rPr>
              <w:t>《饮食业油烟排放标准</w:t>
            </w:r>
            <w:r>
              <w:rPr>
                <w:spacing w:val="3"/>
                <w:sz w:val="20"/>
                <w:szCs w:val="20"/>
              </w:rPr>
              <w:t xml:space="preserve"> </w:t>
            </w:r>
            <w:r>
              <w:rPr>
                <w:spacing w:val="12"/>
                <w:sz w:val="20"/>
                <w:szCs w:val="20"/>
              </w:rPr>
              <w:t>（试行）》（</w:t>
            </w:r>
            <w:r>
              <w:rPr>
                <w:rFonts w:ascii="Times New Roman" w:hAnsi="Times New Roman" w:eastAsia="Times New Roman" w:cs="Times New Roman"/>
                <w:sz w:val="20"/>
                <w:szCs w:val="20"/>
              </w:rPr>
              <w:t>GB</w:t>
            </w:r>
            <w:r>
              <w:rPr>
                <w:rFonts w:ascii="Times New Roman" w:hAnsi="Times New Roman" w:eastAsia="Times New Roman" w:cs="Times New Roman"/>
                <w:spacing w:val="12"/>
                <w:sz w:val="20"/>
                <w:szCs w:val="20"/>
              </w:rPr>
              <w:t>18483</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7"/>
                <w:sz w:val="20"/>
                <w:szCs w:val="20"/>
              </w:rPr>
              <w:t>-2001</w:t>
            </w:r>
            <w:r>
              <w:rPr>
                <w:spacing w:val="7"/>
                <w:sz w:val="20"/>
                <w:szCs w:val="20"/>
              </w:rPr>
              <w:t>）最高允许排放浓</w:t>
            </w:r>
          </w:p>
          <w:p w14:paraId="45C291B7">
            <w:pPr>
              <w:pStyle w:val="6"/>
              <w:spacing w:before="27" w:line="228" w:lineRule="auto"/>
              <w:ind w:left="892"/>
              <w:rPr>
                <w:sz w:val="20"/>
                <w:szCs w:val="20"/>
              </w:rPr>
            </w:pPr>
            <w:r>
              <w:rPr>
                <w:spacing w:val="7"/>
                <w:sz w:val="20"/>
                <w:szCs w:val="20"/>
              </w:rPr>
              <w:t>度要求</w:t>
            </w:r>
          </w:p>
        </w:tc>
      </w:tr>
    </w:tbl>
    <w:p w14:paraId="03E725D3">
      <w:pPr>
        <w:rPr>
          <w:rFonts w:ascii="Arial"/>
          <w:sz w:val="21"/>
        </w:rPr>
      </w:pPr>
    </w:p>
    <w:p w14:paraId="7080FF0C">
      <w:pPr>
        <w:rPr>
          <w:rFonts w:ascii="Arial" w:hAnsi="Arial" w:eastAsia="Arial" w:cs="Arial"/>
          <w:sz w:val="21"/>
          <w:szCs w:val="21"/>
        </w:rPr>
        <w:sectPr>
          <w:footerReference r:id="rId175" w:type="default"/>
          <w:pgSz w:w="16839" w:h="11906"/>
          <w:pgMar w:top="1012" w:right="1417" w:bottom="1278" w:left="1417" w:header="0" w:footer="1116" w:gutter="0"/>
          <w:cols w:space="720" w:num="1"/>
        </w:sectPr>
      </w:pPr>
    </w:p>
    <w:p w14:paraId="1E9C0C68">
      <w:pPr>
        <w:spacing w:before="18"/>
      </w:pPr>
    </w:p>
    <w:p w14:paraId="5D4C22B9">
      <w:pPr>
        <w:spacing w:before="18"/>
      </w:pPr>
    </w:p>
    <w:tbl>
      <w:tblPr>
        <w:tblStyle w:val="5"/>
        <w:tblW w:w="13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4055"/>
        <w:gridCol w:w="2338"/>
        <w:gridCol w:w="4507"/>
        <w:gridCol w:w="2402"/>
      </w:tblGrid>
      <w:tr w14:paraId="163BE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686" w:type="dxa"/>
            <w:tcBorders>
              <w:top w:val="single" w:color="000000" w:sz="6" w:space="0"/>
              <w:left w:val="single" w:color="000000" w:sz="6" w:space="0"/>
            </w:tcBorders>
            <w:vAlign w:val="top"/>
          </w:tcPr>
          <w:p w14:paraId="7AE5AFE4">
            <w:pPr>
              <w:rPr>
                <w:rFonts w:ascii="Arial"/>
                <w:sz w:val="21"/>
              </w:rPr>
            </w:pPr>
          </w:p>
        </w:tc>
        <w:tc>
          <w:tcPr>
            <w:tcW w:w="4055" w:type="dxa"/>
            <w:tcBorders>
              <w:top w:val="single" w:color="000000" w:sz="6" w:space="0"/>
            </w:tcBorders>
            <w:vAlign w:val="top"/>
          </w:tcPr>
          <w:p w14:paraId="43D4F206">
            <w:pPr>
              <w:rPr>
                <w:rFonts w:ascii="Arial"/>
                <w:sz w:val="21"/>
              </w:rPr>
            </w:pPr>
          </w:p>
        </w:tc>
        <w:tc>
          <w:tcPr>
            <w:tcW w:w="2338" w:type="dxa"/>
            <w:tcBorders>
              <w:top w:val="single" w:color="000000" w:sz="6" w:space="0"/>
            </w:tcBorders>
            <w:vAlign w:val="top"/>
          </w:tcPr>
          <w:p w14:paraId="6FB8B228">
            <w:pPr>
              <w:rPr>
                <w:rFonts w:ascii="Arial"/>
                <w:sz w:val="21"/>
              </w:rPr>
            </w:pPr>
          </w:p>
        </w:tc>
        <w:tc>
          <w:tcPr>
            <w:tcW w:w="4507" w:type="dxa"/>
            <w:tcBorders>
              <w:top w:val="single" w:color="000000" w:sz="6" w:space="0"/>
            </w:tcBorders>
            <w:vAlign w:val="top"/>
          </w:tcPr>
          <w:p w14:paraId="662BED0A">
            <w:pPr>
              <w:pStyle w:val="6"/>
              <w:spacing w:before="27" w:line="228" w:lineRule="auto"/>
              <w:ind w:right="6"/>
              <w:jc w:val="right"/>
              <w:rPr>
                <w:sz w:val="20"/>
                <w:szCs w:val="20"/>
              </w:rPr>
            </w:pPr>
            <w:r>
              <w:rPr>
                <w:spacing w:val="8"/>
                <w:sz w:val="20"/>
                <w:szCs w:val="20"/>
              </w:rPr>
              <w:t>少道路扬尘、车辆尾气对周围大气环境的影响。</w:t>
            </w:r>
          </w:p>
        </w:tc>
        <w:tc>
          <w:tcPr>
            <w:tcW w:w="2402" w:type="dxa"/>
            <w:tcBorders>
              <w:top w:val="single" w:color="000000" w:sz="6" w:space="0"/>
              <w:right w:val="single" w:color="000000" w:sz="6" w:space="0"/>
            </w:tcBorders>
            <w:vAlign w:val="top"/>
          </w:tcPr>
          <w:p w14:paraId="2254783D">
            <w:pPr>
              <w:rPr>
                <w:rFonts w:ascii="Arial"/>
                <w:sz w:val="21"/>
              </w:rPr>
            </w:pPr>
          </w:p>
        </w:tc>
      </w:tr>
      <w:tr w14:paraId="272DF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4" w:hRule="atLeast"/>
        </w:trPr>
        <w:tc>
          <w:tcPr>
            <w:tcW w:w="686" w:type="dxa"/>
            <w:tcBorders>
              <w:left w:val="single" w:color="000000" w:sz="6" w:space="0"/>
            </w:tcBorders>
            <w:vAlign w:val="top"/>
          </w:tcPr>
          <w:p w14:paraId="45EF3887">
            <w:pPr>
              <w:spacing w:line="253" w:lineRule="auto"/>
              <w:rPr>
                <w:rFonts w:ascii="Arial"/>
                <w:sz w:val="21"/>
              </w:rPr>
            </w:pPr>
          </w:p>
          <w:p w14:paraId="5B2B803A">
            <w:pPr>
              <w:spacing w:line="254" w:lineRule="auto"/>
              <w:rPr>
                <w:rFonts w:ascii="Arial"/>
                <w:sz w:val="21"/>
              </w:rPr>
            </w:pPr>
          </w:p>
          <w:p w14:paraId="07DBA519">
            <w:pPr>
              <w:spacing w:line="254" w:lineRule="auto"/>
              <w:rPr>
                <w:rFonts w:ascii="Arial"/>
                <w:sz w:val="21"/>
              </w:rPr>
            </w:pPr>
          </w:p>
          <w:p w14:paraId="3BED04FD">
            <w:pPr>
              <w:spacing w:line="254" w:lineRule="auto"/>
              <w:rPr>
                <w:rFonts w:ascii="Arial"/>
                <w:sz w:val="21"/>
              </w:rPr>
            </w:pPr>
          </w:p>
          <w:p w14:paraId="79386B99">
            <w:pPr>
              <w:spacing w:line="254" w:lineRule="auto"/>
              <w:rPr>
                <w:rFonts w:ascii="Arial"/>
                <w:sz w:val="21"/>
              </w:rPr>
            </w:pPr>
          </w:p>
          <w:p w14:paraId="676E102A">
            <w:pPr>
              <w:spacing w:line="254" w:lineRule="auto"/>
              <w:rPr>
                <w:rFonts w:ascii="Arial"/>
                <w:sz w:val="21"/>
              </w:rPr>
            </w:pPr>
          </w:p>
          <w:p w14:paraId="0CAA789D">
            <w:pPr>
              <w:spacing w:line="254" w:lineRule="auto"/>
              <w:rPr>
                <w:rFonts w:ascii="Arial"/>
                <w:sz w:val="21"/>
              </w:rPr>
            </w:pPr>
          </w:p>
          <w:p w14:paraId="009A0702">
            <w:pPr>
              <w:spacing w:line="254" w:lineRule="auto"/>
              <w:rPr>
                <w:rFonts w:ascii="Arial"/>
                <w:sz w:val="21"/>
              </w:rPr>
            </w:pPr>
          </w:p>
          <w:p w14:paraId="377ABC6B">
            <w:pPr>
              <w:spacing w:line="254" w:lineRule="auto"/>
              <w:rPr>
                <w:rFonts w:ascii="Arial"/>
                <w:sz w:val="21"/>
              </w:rPr>
            </w:pPr>
          </w:p>
          <w:p w14:paraId="1A8C6BBD">
            <w:pPr>
              <w:spacing w:line="254" w:lineRule="auto"/>
              <w:rPr>
                <w:rFonts w:ascii="Arial"/>
                <w:sz w:val="21"/>
              </w:rPr>
            </w:pPr>
          </w:p>
          <w:p w14:paraId="7038AC8B">
            <w:pPr>
              <w:pStyle w:val="6"/>
              <w:spacing w:before="65" w:line="239" w:lineRule="auto"/>
              <w:ind w:left="130" w:right="135" w:firstLine="18"/>
              <w:rPr>
                <w:sz w:val="20"/>
                <w:szCs w:val="20"/>
              </w:rPr>
            </w:pPr>
            <w:r>
              <w:rPr>
                <w:spacing w:val="-5"/>
                <w:sz w:val="20"/>
                <w:szCs w:val="20"/>
              </w:rPr>
              <w:t>固体</w:t>
            </w:r>
            <w:r>
              <w:rPr>
                <w:sz w:val="20"/>
                <w:szCs w:val="20"/>
              </w:rPr>
              <w:t xml:space="preserve"> </w:t>
            </w:r>
            <w:r>
              <w:rPr>
                <w:spacing w:val="5"/>
                <w:sz w:val="20"/>
                <w:szCs w:val="20"/>
              </w:rPr>
              <w:t>废物</w:t>
            </w:r>
          </w:p>
        </w:tc>
        <w:tc>
          <w:tcPr>
            <w:tcW w:w="4055" w:type="dxa"/>
            <w:vAlign w:val="top"/>
          </w:tcPr>
          <w:p w14:paraId="1C852FD6">
            <w:pPr>
              <w:pStyle w:val="6"/>
              <w:spacing w:before="33" w:line="247" w:lineRule="auto"/>
              <w:ind w:left="137" w:right="55" w:hanging="14"/>
              <w:jc w:val="both"/>
              <w:rPr>
                <w:sz w:val="20"/>
                <w:szCs w:val="20"/>
              </w:rPr>
            </w:pPr>
            <w:r>
              <w:rPr>
                <w:rFonts w:ascii="Times New Roman" w:hAnsi="Times New Roman" w:eastAsia="Times New Roman" w:cs="Times New Roman"/>
                <w:spacing w:val="-2"/>
                <w:sz w:val="20"/>
                <w:szCs w:val="20"/>
              </w:rPr>
              <w:t>1</w:t>
            </w:r>
            <w:r>
              <w:rPr>
                <w:spacing w:val="-2"/>
                <w:sz w:val="20"/>
                <w:szCs w:val="20"/>
              </w:rPr>
              <w:t>、废弃土石方：项目剥离的表土直接回覆，</w:t>
            </w:r>
            <w:r>
              <w:rPr>
                <w:spacing w:val="9"/>
                <w:sz w:val="20"/>
                <w:szCs w:val="20"/>
              </w:rPr>
              <w:t xml:space="preserve"> 不能及时回覆表土暂存于表土堆场，施工</w:t>
            </w:r>
            <w:r>
              <w:rPr>
                <w:spacing w:val="3"/>
                <w:sz w:val="20"/>
                <w:szCs w:val="20"/>
              </w:rPr>
              <w:t xml:space="preserve">  </w:t>
            </w:r>
            <w:r>
              <w:rPr>
                <w:spacing w:val="9"/>
                <w:sz w:val="20"/>
                <w:szCs w:val="20"/>
              </w:rPr>
              <w:t>结束用于绿化覆土，项目临时表土堆场均</w:t>
            </w:r>
            <w:r>
              <w:rPr>
                <w:spacing w:val="3"/>
                <w:sz w:val="20"/>
                <w:szCs w:val="20"/>
              </w:rPr>
              <w:t xml:space="preserve">  </w:t>
            </w:r>
            <w:r>
              <w:rPr>
                <w:spacing w:val="9"/>
                <w:sz w:val="20"/>
                <w:szCs w:val="20"/>
              </w:rPr>
              <w:t>在项目用地范围内，严禁新增占地，堆场</w:t>
            </w:r>
            <w:r>
              <w:rPr>
                <w:spacing w:val="3"/>
                <w:sz w:val="20"/>
                <w:szCs w:val="20"/>
              </w:rPr>
              <w:t xml:space="preserve">  </w:t>
            </w:r>
            <w:r>
              <w:rPr>
                <w:spacing w:val="9"/>
                <w:sz w:val="20"/>
                <w:szCs w:val="20"/>
              </w:rPr>
              <w:t>应远离河道，并进行覆盖和拦挡。堆存时</w:t>
            </w:r>
            <w:r>
              <w:rPr>
                <w:spacing w:val="3"/>
                <w:sz w:val="20"/>
                <w:szCs w:val="20"/>
              </w:rPr>
              <w:t xml:space="preserve">  </w:t>
            </w:r>
            <w:r>
              <w:rPr>
                <w:spacing w:val="9"/>
                <w:sz w:val="20"/>
                <w:szCs w:val="20"/>
              </w:rPr>
              <w:t>间较长时，应在堆土期间新增临时撒草措</w:t>
            </w:r>
          </w:p>
          <w:p w14:paraId="57C2922D">
            <w:pPr>
              <w:pStyle w:val="6"/>
              <w:spacing w:before="26"/>
              <w:ind w:left="1607" w:right="141" w:hanging="1470"/>
              <w:rPr>
                <w:sz w:val="20"/>
                <w:szCs w:val="20"/>
              </w:rPr>
            </w:pPr>
            <w:r>
              <w:rPr>
                <w:spacing w:val="9"/>
                <w:sz w:val="20"/>
                <w:szCs w:val="20"/>
              </w:rPr>
              <w:t>施。临时堆土清理后应对临时堆场覆土绿</w:t>
            </w:r>
            <w:r>
              <w:rPr>
                <w:spacing w:val="7"/>
                <w:sz w:val="20"/>
                <w:szCs w:val="20"/>
              </w:rPr>
              <w:t xml:space="preserve"> </w:t>
            </w:r>
            <w:r>
              <w:rPr>
                <w:spacing w:val="4"/>
                <w:sz w:val="20"/>
                <w:szCs w:val="20"/>
              </w:rPr>
              <w:t>化处理。</w:t>
            </w:r>
          </w:p>
          <w:p w14:paraId="76CAB656">
            <w:pPr>
              <w:pStyle w:val="6"/>
              <w:spacing w:before="23" w:line="244" w:lineRule="auto"/>
              <w:ind w:left="137" w:right="110" w:hanging="34"/>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29"/>
                <w:sz w:val="20"/>
                <w:szCs w:val="20"/>
              </w:rPr>
              <w:t xml:space="preserve"> </w:t>
            </w:r>
            <w:r>
              <w:rPr>
                <w:spacing w:val="6"/>
                <w:sz w:val="20"/>
                <w:szCs w:val="20"/>
              </w:rPr>
              <w:t>、建筑垃圾：应分类收集，能利用部分外</w:t>
            </w:r>
            <w:r>
              <w:rPr>
                <w:sz w:val="20"/>
                <w:szCs w:val="20"/>
              </w:rPr>
              <w:t xml:space="preserve"> </w:t>
            </w:r>
            <w:r>
              <w:rPr>
                <w:spacing w:val="9"/>
                <w:sz w:val="20"/>
                <w:szCs w:val="20"/>
              </w:rPr>
              <w:t>售收购商进行回收利用，不可回收部分委</w:t>
            </w:r>
            <w:r>
              <w:rPr>
                <w:spacing w:val="6"/>
                <w:sz w:val="20"/>
                <w:szCs w:val="20"/>
              </w:rPr>
              <w:t xml:space="preserve"> </w:t>
            </w:r>
            <w:r>
              <w:rPr>
                <w:spacing w:val="8"/>
                <w:sz w:val="20"/>
                <w:szCs w:val="20"/>
              </w:rPr>
              <w:t>托施工单位清运至合法弃渣场规范处置。</w:t>
            </w:r>
          </w:p>
          <w:p w14:paraId="57703367">
            <w:pPr>
              <w:pStyle w:val="6"/>
              <w:spacing w:before="23" w:line="246" w:lineRule="auto"/>
              <w:ind w:left="138" w:right="110" w:hanging="31"/>
              <w:rPr>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15"/>
                <w:sz w:val="20"/>
                <w:szCs w:val="20"/>
              </w:rPr>
              <w:t xml:space="preserve"> </w:t>
            </w:r>
            <w:r>
              <w:rPr>
                <w:spacing w:val="5"/>
                <w:sz w:val="20"/>
                <w:szCs w:val="20"/>
              </w:rPr>
              <w:t>、生活垃圾：在施工场地设置临时生活垃</w:t>
            </w:r>
            <w:r>
              <w:rPr>
                <w:sz w:val="20"/>
                <w:szCs w:val="20"/>
              </w:rPr>
              <w:t xml:space="preserve"> </w:t>
            </w:r>
            <w:r>
              <w:rPr>
                <w:spacing w:val="10"/>
                <w:sz w:val="20"/>
                <w:szCs w:val="20"/>
              </w:rPr>
              <w:t>圾桶，对施工人员的生活垃圾进行收集，</w:t>
            </w:r>
            <w:r>
              <w:rPr>
                <w:spacing w:val="3"/>
                <w:sz w:val="20"/>
                <w:szCs w:val="20"/>
              </w:rPr>
              <w:t xml:space="preserve"> </w:t>
            </w:r>
            <w:r>
              <w:rPr>
                <w:spacing w:val="8"/>
                <w:sz w:val="20"/>
                <w:szCs w:val="20"/>
              </w:rPr>
              <w:t>垃圾实行</w:t>
            </w:r>
            <w:r>
              <w:rPr>
                <w:rFonts w:ascii="Times New Roman" w:hAnsi="Times New Roman" w:eastAsia="Times New Roman" w:cs="Times New Roman"/>
                <w:spacing w:val="8"/>
                <w:sz w:val="20"/>
                <w:szCs w:val="20"/>
              </w:rPr>
              <w:t>“</w:t>
            </w:r>
            <w:r>
              <w:rPr>
                <w:spacing w:val="8"/>
                <w:sz w:val="20"/>
                <w:szCs w:val="20"/>
              </w:rPr>
              <w:t>日产日清</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4"/>
                <w:sz w:val="20"/>
                <w:szCs w:val="20"/>
              </w:rPr>
              <w:t xml:space="preserve"> </w:t>
            </w:r>
            <w:r>
              <w:rPr>
                <w:spacing w:val="8"/>
                <w:sz w:val="20"/>
                <w:szCs w:val="20"/>
              </w:rPr>
              <w:t>，能回收利用的进行</w:t>
            </w:r>
            <w:r>
              <w:rPr>
                <w:sz w:val="20"/>
                <w:szCs w:val="20"/>
              </w:rPr>
              <w:t xml:space="preserve"> </w:t>
            </w:r>
            <w:r>
              <w:rPr>
                <w:spacing w:val="9"/>
                <w:sz w:val="20"/>
                <w:szCs w:val="20"/>
              </w:rPr>
              <w:t>回收利用，不能回收利用的委托当地环卫</w:t>
            </w:r>
          </w:p>
          <w:p w14:paraId="5F110EED">
            <w:pPr>
              <w:pStyle w:val="6"/>
              <w:spacing w:before="24" w:line="228" w:lineRule="auto"/>
              <w:ind w:left="1295"/>
              <w:rPr>
                <w:sz w:val="20"/>
                <w:szCs w:val="20"/>
              </w:rPr>
            </w:pPr>
            <w:r>
              <w:rPr>
                <w:spacing w:val="6"/>
                <w:sz w:val="20"/>
                <w:szCs w:val="20"/>
              </w:rPr>
              <w:t>部门统一处置。</w:t>
            </w:r>
          </w:p>
          <w:p w14:paraId="1C97DA66">
            <w:pPr>
              <w:pStyle w:val="6"/>
              <w:spacing w:before="26" w:line="239" w:lineRule="auto"/>
              <w:ind w:left="998" w:right="110" w:hanging="896"/>
              <w:rPr>
                <w:sz w:val="20"/>
                <w:szCs w:val="20"/>
              </w:rPr>
            </w:pPr>
            <w:r>
              <w:rPr>
                <w:rFonts w:ascii="Times New Roman" w:hAnsi="Times New Roman" w:eastAsia="Times New Roman" w:cs="Times New Roman"/>
                <w:spacing w:val="7"/>
                <w:sz w:val="20"/>
                <w:szCs w:val="20"/>
              </w:rPr>
              <w:t>4</w:t>
            </w:r>
            <w:r>
              <w:rPr>
                <w:spacing w:val="7"/>
                <w:sz w:val="20"/>
                <w:szCs w:val="20"/>
              </w:rPr>
              <w:t>、项目施工期旱厕产生的粪便委托周边村</w:t>
            </w:r>
            <w:r>
              <w:rPr>
                <w:spacing w:val="2"/>
                <w:sz w:val="20"/>
                <w:szCs w:val="20"/>
              </w:rPr>
              <w:t xml:space="preserve"> </w:t>
            </w:r>
            <w:r>
              <w:rPr>
                <w:spacing w:val="6"/>
                <w:sz w:val="20"/>
                <w:szCs w:val="20"/>
              </w:rPr>
              <w:t>民清掏作为农肥使用。</w:t>
            </w:r>
          </w:p>
          <w:p w14:paraId="34C50817">
            <w:pPr>
              <w:pStyle w:val="6"/>
              <w:spacing w:before="27" w:line="239" w:lineRule="auto"/>
              <w:ind w:left="137" w:right="110" w:hanging="28"/>
              <w:rPr>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16"/>
                <w:sz w:val="20"/>
                <w:szCs w:val="20"/>
              </w:rPr>
              <w:t xml:space="preserve"> </w:t>
            </w:r>
            <w:r>
              <w:rPr>
                <w:spacing w:val="5"/>
                <w:sz w:val="20"/>
                <w:szCs w:val="20"/>
              </w:rPr>
              <w:t>、废弃设备零件经收集后回收利用。包装</w:t>
            </w:r>
            <w:r>
              <w:rPr>
                <w:sz w:val="20"/>
                <w:szCs w:val="20"/>
              </w:rPr>
              <w:t xml:space="preserve"> </w:t>
            </w:r>
            <w:r>
              <w:rPr>
                <w:spacing w:val="9"/>
                <w:sz w:val="20"/>
                <w:szCs w:val="20"/>
              </w:rPr>
              <w:t>废物收集后进行分类，均交由废品回收机</w:t>
            </w:r>
          </w:p>
          <w:p w14:paraId="4E14119E">
            <w:pPr>
              <w:pStyle w:val="6"/>
              <w:spacing w:before="26" w:line="209" w:lineRule="auto"/>
              <w:ind w:left="1190"/>
              <w:rPr>
                <w:sz w:val="20"/>
                <w:szCs w:val="20"/>
              </w:rPr>
            </w:pPr>
            <w:r>
              <w:rPr>
                <w:spacing w:val="7"/>
                <w:sz w:val="20"/>
                <w:szCs w:val="20"/>
              </w:rPr>
              <w:t>构进行循环利用。</w:t>
            </w:r>
          </w:p>
        </w:tc>
        <w:tc>
          <w:tcPr>
            <w:tcW w:w="2338" w:type="dxa"/>
            <w:vAlign w:val="top"/>
          </w:tcPr>
          <w:p w14:paraId="46E7A6CE">
            <w:pPr>
              <w:spacing w:line="243" w:lineRule="auto"/>
              <w:rPr>
                <w:rFonts w:ascii="Arial"/>
                <w:sz w:val="21"/>
              </w:rPr>
            </w:pPr>
          </w:p>
          <w:p w14:paraId="5296A938">
            <w:pPr>
              <w:spacing w:line="243" w:lineRule="auto"/>
              <w:rPr>
                <w:rFonts w:ascii="Arial"/>
                <w:sz w:val="21"/>
              </w:rPr>
            </w:pPr>
          </w:p>
          <w:p w14:paraId="057618D1">
            <w:pPr>
              <w:spacing w:line="243" w:lineRule="auto"/>
              <w:rPr>
                <w:rFonts w:ascii="Arial"/>
                <w:sz w:val="21"/>
              </w:rPr>
            </w:pPr>
          </w:p>
          <w:p w14:paraId="3967E0AF">
            <w:pPr>
              <w:spacing w:line="243" w:lineRule="auto"/>
              <w:rPr>
                <w:rFonts w:ascii="Arial"/>
                <w:sz w:val="21"/>
              </w:rPr>
            </w:pPr>
          </w:p>
          <w:p w14:paraId="615941FB">
            <w:pPr>
              <w:spacing w:line="243" w:lineRule="auto"/>
              <w:rPr>
                <w:rFonts w:ascii="Arial"/>
                <w:sz w:val="21"/>
              </w:rPr>
            </w:pPr>
          </w:p>
          <w:p w14:paraId="5BC0F53E">
            <w:pPr>
              <w:spacing w:line="243" w:lineRule="auto"/>
              <w:rPr>
                <w:rFonts w:ascii="Arial"/>
                <w:sz w:val="21"/>
              </w:rPr>
            </w:pPr>
          </w:p>
          <w:p w14:paraId="526937C5">
            <w:pPr>
              <w:spacing w:line="243" w:lineRule="auto"/>
              <w:rPr>
                <w:rFonts w:ascii="Arial"/>
                <w:sz w:val="21"/>
              </w:rPr>
            </w:pPr>
          </w:p>
          <w:p w14:paraId="0CA5F9F4">
            <w:pPr>
              <w:spacing w:line="243" w:lineRule="auto"/>
              <w:rPr>
                <w:rFonts w:ascii="Arial"/>
                <w:sz w:val="21"/>
              </w:rPr>
            </w:pPr>
          </w:p>
          <w:p w14:paraId="320E1757">
            <w:pPr>
              <w:spacing w:line="243" w:lineRule="auto"/>
              <w:rPr>
                <w:rFonts w:ascii="Arial"/>
                <w:sz w:val="21"/>
              </w:rPr>
            </w:pPr>
          </w:p>
          <w:p w14:paraId="62257B9E">
            <w:pPr>
              <w:spacing w:line="243" w:lineRule="auto"/>
              <w:rPr>
                <w:rFonts w:ascii="Arial"/>
                <w:sz w:val="21"/>
              </w:rPr>
            </w:pPr>
          </w:p>
          <w:p w14:paraId="1887D50E">
            <w:pPr>
              <w:spacing w:line="243" w:lineRule="auto"/>
              <w:rPr>
                <w:rFonts w:ascii="Arial"/>
                <w:sz w:val="21"/>
              </w:rPr>
            </w:pPr>
          </w:p>
          <w:p w14:paraId="76E79EE7">
            <w:pPr>
              <w:pStyle w:val="6"/>
              <w:spacing w:before="65" w:line="228" w:lineRule="auto"/>
              <w:ind w:left="395"/>
              <w:rPr>
                <w:rFonts w:ascii="Times New Roman" w:hAnsi="Times New Roman" w:eastAsia="Times New Roman" w:cs="Times New Roman"/>
                <w:sz w:val="20"/>
                <w:szCs w:val="20"/>
              </w:rPr>
            </w:pPr>
            <w:r>
              <w:rPr>
                <w:spacing w:val="2"/>
                <w:sz w:val="20"/>
                <w:szCs w:val="20"/>
              </w:rPr>
              <w:t>固废处置率</w:t>
            </w:r>
            <w:r>
              <w:rPr>
                <w:spacing w:val="-20"/>
                <w:sz w:val="20"/>
                <w:szCs w:val="20"/>
              </w:rPr>
              <w:t xml:space="preserve"> </w:t>
            </w:r>
            <w:r>
              <w:rPr>
                <w:rFonts w:ascii="Times New Roman" w:hAnsi="Times New Roman" w:eastAsia="Times New Roman" w:cs="Times New Roman"/>
                <w:spacing w:val="2"/>
                <w:sz w:val="20"/>
                <w:szCs w:val="20"/>
              </w:rPr>
              <w:t>100%</w:t>
            </w:r>
          </w:p>
        </w:tc>
        <w:tc>
          <w:tcPr>
            <w:tcW w:w="4507" w:type="dxa"/>
            <w:vAlign w:val="top"/>
          </w:tcPr>
          <w:p w14:paraId="0D8894B5">
            <w:pPr>
              <w:spacing w:line="259" w:lineRule="auto"/>
              <w:rPr>
                <w:rFonts w:ascii="Arial"/>
                <w:sz w:val="21"/>
              </w:rPr>
            </w:pPr>
          </w:p>
          <w:p w14:paraId="17A5E5F7">
            <w:pPr>
              <w:spacing w:line="259" w:lineRule="auto"/>
              <w:rPr>
                <w:rFonts w:ascii="Arial"/>
                <w:sz w:val="21"/>
              </w:rPr>
            </w:pPr>
          </w:p>
          <w:p w14:paraId="51DADE62">
            <w:pPr>
              <w:spacing w:line="259" w:lineRule="auto"/>
              <w:rPr>
                <w:rFonts w:ascii="Arial"/>
                <w:sz w:val="21"/>
              </w:rPr>
            </w:pPr>
          </w:p>
          <w:p w14:paraId="7632082B">
            <w:pPr>
              <w:pStyle w:val="6"/>
              <w:spacing w:before="65" w:line="227" w:lineRule="auto"/>
              <w:ind w:left="129"/>
              <w:rPr>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27"/>
                <w:sz w:val="20"/>
                <w:szCs w:val="20"/>
              </w:rPr>
              <w:t xml:space="preserve"> </w:t>
            </w:r>
            <w:r>
              <w:rPr>
                <w:spacing w:val="7"/>
                <w:sz w:val="20"/>
                <w:szCs w:val="20"/>
              </w:rPr>
              <w:t>、废电池板、废电气元件、废逆变器：暂存于</w:t>
            </w:r>
          </w:p>
          <w:p w14:paraId="6D09D24C">
            <w:pPr>
              <w:pStyle w:val="6"/>
              <w:spacing w:before="27" w:line="239" w:lineRule="auto"/>
              <w:ind w:left="1218" w:right="141" w:hanging="1064"/>
              <w:rPr>
                <w:sz w:val="20"/>
                <w:szCs w:val="20"/>
              </w:rPr>
            </w:pPr>
            <w:r>
              <w:rPr>
                <w:spacing w:val="7"/>
                <w:sz w:val="20"/>
                <w:szCs w:val="20"/>
              </w:rPr>
              <w:t>一般固废暂存间（</w:t>
            </w:r>
            <w:r>
              <w:rPr>
                <w:rFonts w:ascii="Times New Roman" w:hAnsi="Times New Roman" w:eastAsia="Times New Roman" w:cs="Times New Roman"/>
                <w:spacing w:val="7"/>
                <w:sz w:val="20"/>
                <w:szCs w:val="20"/>
              </w:rPr>
              <w:t>10m</w:t>
            </w:r>
            <w:r>
              <w:rPr>
                <w:rFonts w:ascii="Times New Roman" w:hAnsi="Times New Roman" w:eastAsia="Times New Roman" w:cs="Times New Roman"/>
                <w:spacing w:val="7"/>
                <w:position w:val="6"/>
                <w:sz w:val="13"/>
                <w:szCs w:val="13"/>
              </w:rPr>
              <w:t xml:space="preserve">2 </w:t>
            </w:r>
            <w:r>
              <w:rPr>
                <w:spacing w:val="2"/>
                <w:sz w:val="20"/>
                <w:szCs w:val="20"/>
              </w:rPr>
              <w:t>），</w:t>
            </w:r>
            <w:r>
              <w:rPr>
                <w:spacing w:val="7"/>
                <w:sz w:val="20"/>
                <w:szCs w:val="20"/>
              </w:rPr>
              <w:t>及时委托专业的回</w:t>
            </w:r>
            <w:r>
              <w:rPr>
                <w:sz w:val="20"/>
                <w:szCs w:val="20"/>
              </w:rPr>
              <w:t xml:space="preserve"> </w:t>
            </w:r>
            <w:r>
              <w:rPr>
                <w:spacing w:val="7"/>
                <w:sz w:val="20"/>
                <w:szCs w:val="20"/>
              </w:rPr>
              <w:t>收厂家收购回收处理。</w:t>
            </w:r>
          </w:p>
          <w:p w14:paraId="0B82233B">
            <w:pPr>
              <w:pStyle w:val="6"/>
              <w:spacing w:before="26" w:line="239" w:lineRule="auto"/>
              <w:ind w:left="1740" w:right="103" w:hanging="1631"/>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9"/>
                <w:sz w:val="20"/>
                <w:szCs w:val="20"/>
              </w:rPr>
              <w:t xml:space="preserve"> </w:t>
            </w:r>
            <w:r>
              <w:rPr>
                <w:spacing w:val="7"/>
                <w:sz w:val="20"/>
                <w:szCs w:val="20"/>
              </w:rPr>
              <w:t>、废储能电池：直接由供应商进行回收，不在</w:t>
            </w:r>
            <w:r>
              <w:rPr>
                <w:sz w:val="20"/>
                <w:szCs w:val="20"/>
              </w:rPr>
              <w:t xml:space="preserve"> </w:t>
            </w:r>
            <w:r>
              <w:rPr>
                <w:spacing w:val="5"/>
                <w:sz w:val="20"/>
                <w:szCs w:val="20"/>
              </w:rPr>
              <w:t>厂区暂存。</w:t>
            </w:r>
          </w:p>
          <w:p w14:paraId="08AFF3F7">
            <w:pPr>
              <w:pStyle w:val="6"/>
              <w:spacing w:before="24" w:line="228" w:lineRule="auto"/>
              <w:ind w:left="113"/>
              <w:rPr>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11"/>
                <w:sz w:val="20"/>
                <w:szCs w:val="20"/>
              </w:rPr>
              <w:t xml:space="preserve"> </w:t>
            </w:r>
            <w:r>
              <w:rPr>
                <w:spacing w:val="7"/>
                <w:sz w:val="20"/>
                <w:szCs w:val="20"/>
              </w:rPr>
              <w:t>、废铅蓄电池、废变压器油和事故废油均属危</w:t>
            </w:r>
          </w:p>
          <w:p w14:paraId="51DAAD16">
            <w:pPr>
              <w:pStyle w:val="6"/>
              <w:spacing w:before="27" w:line="228" w:lineRule="auto"/>
              <w:ind w:left="278"/>
              <w:rPr>
                <w:sz w:val="20"/>
                <w:szCs w:val="20"/>
              </w:rPr>
            </w:pPr>
            <w:r>
              <w:rPr>
                <w:spacing w:val="8"/>
                <w:sz w:val="20"/>
                <w:szCs w:val="20"/>
              </w:rPr>
              <w:t>险废物，经集中收集后，暂存于危废贮存库</w:t>
            </w:r>
          </w:p>
          <w:p w14:paraId="5B55CF4B">
            <w:pPr>
              <w:pStyle w:val="6"/>
              <w:spacing w:before="24" w:line="228" w:lineRule="auto"/>
              <w:ind w:left="581"/>
              <w:rPr>
                <w:sz w:val="20"/>
                <w:szCs w:val="20"/>
              </w:rPr>
            </w:pPr>
            <w:r>
              <w:rPr>
                <w:spacing w:val="5"/>
                <w:sz w:val="20"/>
                <w:szCs w:val="20"/>
              </w:rPr>
              <w:t>（</w:t>
            </w:r>
            <w:r>
              <w:rPr>
                <w:rFonts w:ascii="Times New Roman" w:hAnsi="Times New Roman" w:eastAsia="Times New Roman" w:cs="Times New Roman"/>
                <w:spacing w:val="5"/>
                <w:sz w:val="20"/>
                <w:szCs w:val="20"/>
              </w:rPr>
              <w:t>28m</w:t>
            </w:r>
            <w:r>
              <w:rPr>
                <w:rFonts w:ascii="Times New Roman" w:hAnsi="Times New Roman" w:eastAsia="Times New Roman" w:cs="Times New Roman"/>
                <w:spacing w:val="5"/>
                <w:position w:val="6"/>
                <w:sz w:val="13"/>
                <w:szCs w:val="13"/>
              </w:rPr>
              <w:t xml:space="preserve">2 </w:t>
            </w:r>
            <w:r>
              <w:rPr>
                <w:spacing w:val="5"/>
                <w:sz w:val="20"/>
                <w:szCs w:val="20"/>
              </w:rPr>
              <w:t>），并委托有资质单位处置。</w:t>
            </w:r>
          </w:p>
          <w:p w14:paraId="7B598B0F">
            <w:pPr>
              <w:pStyle w:val="6"/>
              <w:spacing w:before="28" w:line="239" w:lineRule="auto"/>
              <w:ind w:left="1742" w:right="101" w:hanging="1634"/>
              <w:rPr>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27"/>
                <w:sz w:val="20"/>
                <w:szCs w:val="20"/>
              </w:rPr>
              <w:t xml:space="preserve"> </w:t>
            </w:r>
            <w:r>
              <w:rPr>
                <w:spacing w:val="8"/>
                <w:sz w:val="20"/>
                <w:szCs w:val="20"/>
              </w:rPr>
              <w:t>、化粪池及污水处理站污泥委托当地环卫部门</w:t>
            </w:r>
            <w:r>
              <w:rPr>
                <w:sz w:val="20"/>
                <w:szCs w:val="20"/>
              </w:rPr>
              <w:t xml:space="preserve"> </w:t>
            </w:r>
            <w:r>
              <w:rPr>
                <w:spacing w:val="4"/>
                <w:sz w:val="20"/>
                <w:szCs w:val="20"/>
              </w:rPr>
              <w:t>定期清掏。</w:t>
            </w:r>
          </w:p>
          <w:p w14:paraId="4B37A035">
            <w:pPr>
              <w:pStyle w:val="6"/>
              <w:spacing w:before="26" w:line="241" w:lineRule="auto"/>
              <w:ind w:left="1840" w:right="101" w:hanging="1726"/>
              <w:rPr>
                <w:sz w:val="20"/>
                <w:szCs w:val="20"/>
              </w:rPr>
            </w:pPr>
            <w:r>
              <w:rPr>
                <w:rFonts w:ascii="Times New Roman" w:hAnsi="Times New Roman" w:eastAsia="Times New Roman" w:cs="Times New Roman"/>
                <w:spacing w:val="7"/>
                <w:sz w:val="20"/>
                <w:szCs w:val="20"/>
              </w:rPr>
              <w:t>5</w:t>
            </w:r>
            <w:r>
              <w:rPr>
                <w:rFonts w:ascii="Times New Roman" w:hAnsi="Times New Roman" w:eastAsia="Times New Roman" w:cs="Times New Roman"/>
                <w:spacing w:val="-12"/>
                <w:sz w:val="20"/>
                <w:szCs w:val="20"/>
              </w:rPr>
              <w:t xml:space="preserve"> </w:t>
            </w:r>
            <w:r>
              <w:rPr>
                <w:spacing w:val="7"/>
                <w:sz w:val="20"/>
                <w:szCs w:val="20"/>
              </w:rPr>
              <w:t>、隔油池废油、餐厨废物委托有资质的单位清</w:t>
            </w:r>
            <w:r>
              <w:rPr>
                <w:sz w:val="20"/>
                <w:szCs w:val="20"/>
              </w:rPr>
              <w:t xml:space="preserve"> </w:t>
            </w:r>
            <w:r>
              <w:rPr>
                <w:spacing w:val="5"/>
                <w:sz w:val="20"/>
                <w:szCs w:val="20"/>
              </w:rPr>
              <w:t>运处置。</w:t>
            </w:r>
          </w:p>
          <w:p w14:paraId="2EE00836">
            <w:pPr>
              <w:pStyle w:val="6"/>
              <w:spacing w:before="23" w:line="239" w:lineRule="auto"/>
              <w:ind w:left="163" w:right="110" w:hanging="43"/>
              <w:rPr>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17"/>
                <w:sz w:val="20"/>
                <w:szCs w:val="20"/>
              </w:rPr>
              <w:t xml:space="preserve"> </w:t>
            </w:r>
            <w:r>
              <w:rPr>
                <w:spacing w:val="6"/>
                <w:sz w:val="20"/>
                <w:szCs w:val="20"/>
              </w:rPr>
              <w:t>、生活垃圾实行</w:t>
            </w:r>
            <w:r>
              <w:rPr>
                <w:rFonts w:ascii="Times New Roman" w:hAnsi="Times New Roman" w:eastAsia="Times New Roman" w:cs="Times New Roman"/>
                <w:spacing w:val="6"/>
                <w:sz w:val="20"/>
                <w:szCs w:val="20"/>
              </w:rPr>
              <w:t>“</w:t>
            </w:r>
            <w:r>
              <w:rPr>
                <w:spacing w:val="6"/>
                <w:sz w:val="20"/>
                <w:szCs w:val="20"/>
              </w:rPr>
              <w:t>日产日清</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4"/>
                <w:sz w:val="20"/>
                <w:szCs w:val="20"/>
              </w:rPr>
              <w:t xml:space="preserve"> </w:t>
            </w:r>
            <w:r>
              <w:rPr>
                <w:spacing w:val="6"/>
                <w:sz w:val="20"/>
                <w:szCs w:val="20"/>
              </w:rPr>
              <w:t>，能回收利用的进</w:t>
            </w:r>
            <w:r>
              <w:rPr>
                <w:sz w:val="20"/>
                <w:szCs w:val="20"/>
              </w:rPr>
              <w:t xml:space="preserve"> </w:t>
            </w:r>
            <w:r>
              <w:rPr>
                <w:spacing w:val="9"/>
                <w:sz w:val="20"/>
                <w:szCs w:val="20"/>
              </w:rPr>
              <w:t>行回收利用，不能回收利用的委托当地环卫部</w:t>
            </w:r>
          </w:p>
          <w:p w14:paraId="60898AB4">
            <w:pPr>
              <w:pStyle w:val="6"/>
              <w:spacing w:before="27" w:line="229" w:lineRule="auto"/>
              <w:ind w:left="1655"/>
              <w:rPr>
                <w:sz w:val="20"/>
                <w:szCs w:val="20"/>
              </w:rPr>
            </w:pPr>
            <w:r>
              <w:rPr>
                <w:spacing w:val="2"/>
                <w:sz w:val="20"/>
                <w:szCs w:val="20"/>
              </w:rPr>
              <w:t>门统一处置。</w:t>
            </w:r>
          </w:p>
        </w:tc>
        <w:tc>
          <w:tcPr>
            <w:tcW w:w="2402" w:type="dxa"/>
            <w:tcBorders>
              <w:right w:val="single" w:color="000000" w:sz="6" w:space="0"/>
            </w:tcBorders>
            <w:vAlign w:val="top"/>
          </w:tcPr>
          <w:p w14:paraId="52769B26">
            <w:pPr>
              <w:spacing w:line="243" w:lineRule="auto"/>
              <w:rPr>
                <w:rFonts w:ascii="Arial"/>
                <w:sz w:val="21"/>
              </w:rPr>
            </w:pPr>
          </w:p>
          <w:p w14:paraId="59F5AFCD">
            <w:pPr>
              <w:spacing w:line="243" w:lineRule="auto"/>
              <w:rPr>
                <w:rFonts w:ascii="Arial"/>
                <w:sz w:val="21"/>
              </w:rPr>
            </w:pPr>
          </w:p>
          <w:p w14:paraId="056E3EDF">
            <w:pPr>
              <w:spacing w:line="243" w:lineRule="auto"/>
              <w:rPr>
                <w:rFonts w:ascii="Arial"/>
                <w:sz w:val="21"/>
              </w:rPr>
            </w:pPr>
          </w:p>
          <w:p w14:paraId="1BDDE54A">
            <w:pPr>
              <w:spacing w:line="243" w:lineRule="auto"/>
              <w:rPr>
                <w:rFonts w:ascii="Arial"/>
                <w:sz w:val="21"/>
              </w:rPr>
            </w:pPr>
          </w:p>
          <w:p w14:paraId="0DBA9C1A">
            <w:pPr>
              <w:spacing w:line="243" w:lineRule="auto"/>
              <w:rPr>
                <w:rFonts w:ascii="Arial"/>
                <w:sz w:val="21"/>
              </w:rPr>
            </w:pPr>
          </w:p>
          <w:p w14:paraId="54ADE346">
            <w:pPr>
              <w:spacing w:line="243" w:lineRule="auto"/>
              <w:rPr>
                <w:rFonts w:ascii="Arial"/>
                <w:sz w:val="21"/>
              </w:rPr>
            </w:pPr>
          </w:p>
          <w:p w14:paraId="007811FB">
            <w:pPr>
              <w:spacing w:line="243" w:lineRule="auto"/>
              <w:rPr>
                <w:rFonts w:ascii="Arial"/>
                <w:sz w:val="21"/>
              </w:rPr>
            </w:pPr>
          </w:p>
          <w:p w14:paraId="351967B3">
            <w:pPr>
              <w:spacing w:line="243" w:lineRule="auto"/>
              <w:rPr>
                <w:rFonts w:ascii="Arial"/>
                <w:sz w:val="21"/>
              </w:rPr>
            </w:pPr>
          </w:p>
          <w:p w14:paraId="35B516D3">
            <w:pPr>
              <w:spacing w:line="243" w:lineRule="auto"/>
              <w:rPr>
                <w:rFonts w:ascii="Arial"/>
                <w:sz w:val="21"/>
              </w:rPr>
            </w:pPr>
          </w:p>
          <w:p w14:paraId="1C67F995">
            <w:pPr>
              <w:spacing w:line="243" w:lineRule="auto"/>
              <w:rPr>
                <w:rFonts w:ascii="Arial"/>
                <w:sz w:val="21"/>
              </w:rPr>
            </w:pPr>
          </w:p>
          <w:p w14:paraId="5C8220CB">
            <w:pPr>
              <w:spacing w:line="243" w:lineRule="auto"/>
              <w:rPr>
                <w:rFonts w:ascii="Arial"/>
                <w:sz w:val="21"/>
              </w:rPr>
            </w:pPr>
          </w:p>
          <w:p w14:paraId="534227FB">
            <w:pPr>
              <w:pStyle w:val="6"/>
              <w:spacing w:before="65" w:line="228" w:lineRule="auto"/>
              <w:ind w:left="428"/>
              <w:rPr>
                <w:rFonts w:ascii="Times New Roman" w:hAnsi="Times New Roman" w:eastAsia="Times New Roman" w:cs="Times New Roman"/>
                <w:sz w:val="20"/>
                <w:szCs w:val="20"/>
              </w:rPr>
            </w:pPr>
            <w:r>
              <w:rPr>
                <w:spacing w:val="2"/>
                <w:sz w:val="20"/>
                <w:szCs w:val="20"/>
              </w:rPr>
              <w:t>固废处置率</w:t>
            </w:r>
            <w:r>
              <w:rPr>
                <w:spacing w:val="-20"/>
                <w:sz w:val="20"/>
                <w:szCs w:val="20"/>
              </w:rPr>
              <w:t xml:space="preserve"> </w:t>
            </w:r>
            <w:r>
              <w:rPr>
                <w:rFonts w:ascii="Times New Roman" w:hAnsi="Times New Roman" w:eastAsia="Times New Roman" w:cs="Times New Roman"/>
                <w:spacing w:val="2"/>
                <w:sz w:val="20"/>
                <w:szCs w:val="20"/>
              </w:rPr>
              <w:t>100%</w:t>
            </w:r>
          </w:p>
        </w:tc>
      </w:tr>
      <w:tr w14:paraId="37A0B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686" w:type="dxa"/>
            <w:tcBorders>
              <w:left w:val="single" w:color="000000" w:sz="6" w:space="0"/>
            </w:tcBorders>
            <w:vAlign w:val="top"/>
          </w:tcPr>
          <w:p w14:paraId="4A6B151E">
            <w:pPr>
              <w:spacing w:line="259" w:lineRule="auto"/>
              <w:rPr>
                <w:rFonts w:ascii="Arial"/>
                <w:sz w:val="21"/>
              </w:rPr>
            </w:pPr>
          </w:p>
          <w:p w14:paraId="5D4A70C6">
            <w:pPr>
              <w:spacing w:line="260" w:lineRule="auto"/>
              <w:rPr>
                <w:rFonts w:ascii="Arial"/>
                <w:sz w:val="21"/>
              </w:rPr>
            </w:pPr>
          </w:p>
          <w:p w14:paraId="5DCE24D5">
            <w:pPr>
              <w:pStyle w:val="6"/>
              <w:spacing w:before="65" w:line="239" w:lineRule="auto"/>
              <w:ind w:left="130" w:right="135" w:firstLine="24"/>
              <w:rPr>
                <w:sz w:val="20"/>
                <w:szCs w:val="20"/>
              </w:rPr>
            </w:pPr>
            <w:r>
              <w:rPr>
                <w:spacing w:val="-8"/>
                <w:sz w:val="20"/>
                <w:szCs w:val="20"/>
              </w:rPr>
              <w:t>电磁</w:t>
            </w:r>
            <w:r>
              <w:rPr>
                <w:sz w:val="20"/>
                <w:szCs w:val="20"/>
              </w:rPr>
              <w:t xml:space="preserve"> </w:t>
            </w:r>
            <w:r>
              <w:rPr>
                <w:spacing w:val="4"/>
                <w:sz w:val="20"/>
                <w:szCs w:val="20"/>
              </w:rPr>
              <w:t>环境</w:t>
            </w:r>
          </w:p>
        </w:tc>
        <w:tc>
          <w:tcPr>
            <w:tcW w:w="4055" w:type="dxa"/>
            <w:vAlign w:val="top"/>
          </w:tcPr>
          <w:p w14:paraId="19663935">
            <w:pPr>
              <w:spacing w:line="346" w:lineRule="auto"/>
              <w:rPr>
                <w:rFonts w:ascii="Arial"/>
                <w:sz w:val="21"/>
              </w:rPr>
            </w:pPr>
          </w:p>
          <w:p w14:paraId="5B6F18AB">
            <w:pPr>
              <w:spacing w:line="347" w:lineRule="auto"/>
              <w:rPr>
                <w:rFonts w:ascii="Arial"/>
                <w:sz w:val="21"/>
              </w:rPr>
            </w:pPr>
          </w:p>
          <w:p w14:paraId="63B85E84">
            <w:pPr>
              <w:spacing w:before="58" w:line="199" w:lineRule="auto"/>
              <w:ind w:left="19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38" w:type="dxa"/>
            <w:vAlign w:val="top"/>
          </w:tcPr>
          <w:p w14:paraId="4B372E86">
            <w:pPr>
              <w:spacing w:line="346" w:lineRule="auto"/>
              <w:rPr>
                <w:rFonts w:ascii="Arial"/>
                <w:sz w:val="21"/>
              </w:rPr>
            </w:pPr>
          </w:p>
          <w:p w14:paraId="5E698DB7">
            <w:pPr>
              <w:spacing w:line="347" w:lineRule="auto"/>
              <w:rPr>
                <w:rFonts w:ascii="Arial"/>
                <w:sz w:val="21"/>
              </w:rPr>
            </w:pPr>
          </w:p>
          <w:p w14:paraId="77CB2E07">
            <w:pPr>
              <w:spacing w:before="58" w:line="199" w:lineRule="auto"/>
              <w:ind w:left="1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507" w:type="dxa"/>
            <w:vAlign w:val="top"/>
          </w:tcPr>
          <w:p w14:paraId="3CDC243D">
            <w:pPr>
              <w:pStyle w:val="6"/>
              <w:spacing w:before="39" w:line="247" w:lineRule="auto"/>
              <w:ind w:left="166" w:right="151" w:hanging="6"/>
              <w:jc w:val="both"/>
              <w:rPr>
                <w:sz w:val="20"/>
                <w:szCs w:val="20"/>
              </w:rPr>
            </w:pPr>
            <w:r>
              <w:rPr>
                <w:spacing w:val="9"/>
                <w:sz w:val="20"/>
                <w:szCs w:val="20"/>
              </w:rPr>
              <w:t>采取过电压保护，保证导体和电气设备之间的 电气安全距离，设置防雷接地保护装置，选用</w:t>
            </w:r>
            <w:r>
              <w:rPr>
                <w:spacing w:val="2"/>
                <w:sz w:val="20"/>
                <w:szCs w:val="20"/>
              </w:rPr>
              <w:t xml:space="preserve"> </w:t>
            </w:r>
            <w:r>
              <w:rPr>
                <w:spacing w:val="9"/>
                <w:sz w:val="20"/>
                <w:szCs w:val="20"/>
              </w:rPr>
              <w:t>带屏蔽层的电缆、屏蔽层接地等。开展运行期</w:t>
            </w:r>
            <w:r>
              <w:rPr>
                <w:spacing w:val="2"/>
                <w:sz w:val="20"/>
                <w:szCs w:val="20"/>
              </w:rPr>
              <w:t xml:space="preserve"> </w:t>
            </w:r>
            <w:r>
              <w:rPr>
                <w:spacing w:val="9"/>
                <w:sz w:val="20"/>
                <w:szCs w:val="20"/>
              </w:rPr>
              <w:t>间的环境影响因子监测工作，如发现环境影响</w:t>
            </w:r>
            <w:r>
              <w:rPr>
                <w:spacing w:val="2"/>
                <w:sz w:val="20"/>
                <w:szCs w:val="20"/>
              </w:rPr>
              <w:t xml:space="preserve"> </w:t>
            </w:r>
            <w:r>
              <w:rPr>
                <w:spacing w:val="9"/>
                <w:sz w:val="20"/>
                <w:szCs w:val="20"/>
              </w:rPr>
              <w:t>因子超标情况，应采取有效措施确保满足标准</w:t>
            </w:r>
          </w:p>
          <w:p w14:paraId="2A27D021">
            <w:pPr>
              <w:pStyle w:val="6"/>
              <w:spacing w:before="25" w:line="206" w:lineRule="auto"/>
              <w:ind w:left="1752"/>
              <w:rPr>
                <w:sz w:val="20"/>
                <w:szCs w:val="20"/>
              </w:rPr>
            </w:pPr>
            <w:r>
              <w:rPr>
                <w:spacing w:val="3"/>
                <w:sz w:val="20"/>
                <w:szCs w:val="20"/>
              </w:rPr>
              <w:t>限值要求。</w:t>
            </w:r>
          </w:p>
        </w:tc>
        <w:tc>
          <w:tcPr>
            <w:tcW w:w="2402" w:type="dxa"/>
            <w:tcBorders>
              <w:right w:val="single" w:color="000000" w:sz="6" w:space="0"/>
            </w:tcBorders>
            <w:vAlign w:val="top"/>
          </w:tcPr>
          <w:p w14:paraId="36C59FF6">
            <w:pPr>
              <w:spacing w:line="380" w:lineRule="auto"/>
              <w:rPr>
                <w:rFonts w:ascii="Arial"/>
                <w:sz w:val="21"/>
              </w:rPr>
            </w:pPr>
          </w:p>
          <w:p w14:paraId="2DC33EC1">
            <w:pPr>
              <w:pStyle w:val="6"/>
              <w:spacing w:before="65" w:line="244" w:lineRule="auto"/>
              <w:ind w:left="117" w:right="105" w:firstLine="39"/>
              <w:jc w:val="both"/>
              <w:rPr>
                <w:sz w:val="20"/>
                <w:szCs w:val="20"/>
              </w:rPr>
            </w:pPr>
            <w:r>
              <w:rPr>
                <w:spacing w:val="9"/>
                <w:sz w:val="20"/>
                <w:szCs w:val="20"/>
              </w:rPr>
              <w:t>达到《电磁环境控制限</w:t>
            </w:r>
            <w:r>
              <w:rPr>
                <w:sz w:val="20"/>
                <w:szCs w:val="20"/>
              </w:rPr>
              <w:t xml:space="preserve"> </w:t>
            </w:r>
            <w:r>
              <w:rPr>
                <w:spacing w:val="1"/>
                <w:sz w:val="20"/>
                <w:szCs w:val="20"/>
              </w:rPr>
              <w:t>值》（</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8702-2014</w:t>
            </w:r>
            <w:r>
              <w:rPr>
                <w:spacing w:val="1"/>
                <w:sz w:val="20"/>
                <w:szCs w:val="20"/>
              </w:rPr>
              <w:t>）中</w:t>
            </w:r>
            <w:r>
              <w:rPr>
                <w:spacing w:val="9"/>
                <w:sz w:val="20"/>
                <w:szCs w:val="20"/>
              </w:rPr>
              <w:t xml:space="preserve"> </w:t>
            </w:r>
            <w:r>
              <w:rPr>
                <w:spacing w:val="13"/>
                <w:sz w:val="20"/>
                <w:szCs w:val="20"/>
              </w:rPr>
              <w:t>公众曝露控制限值要求</w:t>
            </w:r>
          </w:p>
        </w:tc>
      </w:tr>
      <w:tr w14:paraId="4F0DB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686" w:type="dxa"/>
            <w:tcBorders>
              <w:left w:val="single" w:color="000000" w:sz="6" w:space="0"/>
              <w:bottom w:val="single" w:color="000000" w:sz="6" w:space="0"/>
            </w:tcBorders>
            <w:vAlign w:val="top"/>
          </w:tcPr>
          <w:p w14:paraId="3FDF0E6C">
            <w:pPr>
              <w:pStyle w:val="6"/>
              <w:spacing w:before="112"/>
              <w:ind w:left="130" w:right="135"/>
              <w:rPr>
                <w:sz w:val="20"/>
                <w:szCs w:val="20"/>
              </w:rPr>
            </w:pPr>
            <w:r>
              <w:rPr>
                <w:spacing w:val="4"/>
                <w:sz w:val="20"/>
                <w:szCs w:val="20"/>
              </w:rPr>
              <w:t>环境</w:t>
            </w:r>
            <w:r>
              <w:rPr>
                <w:sz w:val="20"/>
                <w:szCs w:val="20"/>
              </w:rPr>
              <w:t xml:space="preserve"> </w:t>
            </w:r>
            <w:r>
              <w:rPr>
                <w:spacing w:val="4"/>
                <w:sz w:val="20"/>
                <w:szCs w:val="20"/>
              </w:rPr>
              <w:t>风险</w:t>
            </w:r>
          </w:p>
        </w:tc>
        <w:tc>
          <w:tcPr>
            <w:tcW w:w="4055" w:type="dxa"/>
            <w:tcBorders>
              <w:bottom w:val="single" w:color="000000" w:sz="6" w:space="0"/>
            </w:tcBorders>
            <w:vAlign w:val="top"/>
          </w:tcPr>
          <w:p w14:paraId="16DF5AFD">
            <w:pPr>
              <w:spacing w:before="280" w:line="199" w:lineRule="auto"/>
              <w:ind w:left="19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38" w:type="dxa"/>
            <w:tcBorders>
              <w:bottom w:val="single" w:color="000000" w:sz="6" w:space="0"/>
            </w:tcBorders>
            <w:vAlign w:val="top"/>
          </w:tcPr>
          <w:p w14:paraId="70FAFC1B">
            <w:pPr>
              <w:spacing w:before="280" w:line="199" w:lineRule="auto"/>
              <w:ind w:left="1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507" w:type="dxa"/>
            <w:tcBorders>
              <w:bottom w:val="single" w:color="000000" w:sz="6" w:space="0"/>
            </w:tcBorders>
            <w:vAlign w:val="top"/>
          </w:tcPr>
          <w:p w14:paraId="495D8AA6">
            <w:pPr>
              <w:pStyle w:val="6"/>
              <w:spacing w:before="112"/>
              <w:ind w:left="123" w:right="103" w:firstLine="77"/>
              <w:rPr>
                <w:sz w:val="20"/>
                <w:szCs w:val="20"/>
              </w:rPr>
            </w:pPr>
            <w:r>
              <w:rPr>
                <w:spacing w:val="-2"/>
                <w:sz w:val="20"/>
                <w:szCs w:val="20"/>
              </w:rPr>
              <w:t>本项目在主变压器下设置一座</w:t>
            </w:r>
            <w:r>
              <w:rPr>
                <w:rFonts w:ascii="Times New Roman" w:hAnsi="Times New Roman" w:eastAsia="Times New Roman" w:cs="Times New Roman"/>
                <w:spacing w:val="-2"/>
                <w:sz w:val="20"/>
                <w:szCs w:val="20"/>
              </w:rPr>
              <w:t>20%</w:t>
            </w:r>
            <w:r>
              <w:rPr>
                <w:spacing w:val="-2"/>
                <w:sz w:val="20"/>
                <w:szCs w:val="20"/>
              </w:rPr>
              <w:t>油量事故油池</w:t>
            </w:r>
            <w:r>
              <w:rPr>
                <w:spacing w:val="7"/>
                <w:sz w:val="20"/>
                <w:szCs w:val="20"/>
              </w:rPr>
              <w:t xml:space="preserve"> </w:t>
            </w:r>
            <w:r>
              <w:rPr>
                <w:spacing w:val="-5"/>
                <w:sz w:val="20"/>
                <w:szCs w:val="20"/>
              </w:rPr>
              <w:t>（</w:t>
            </w:r>
            <w:r>
              <w:rPr>
                <w:rFonts w:ascii="Times New Roman" w:hAnsi="Times New Roman" w:eastAsia="Times New Roman" w:cs="Times New Roman"/>
                <w:spacing w:val="-5"/>
                <w:sz w:val="20"/>
                <w:szCs w:val="20"/>
              </w:rPr>
              <w:t>10m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10"/>
                <w:position w:val="6"/>
                <w:sz w:val="13"/>
                <w:szCs w:val="13"/>
              </w:rPr>
              <w:t xml:space="preserve"> </w:t>
            </w:r>
            <w:r>
              <w:rPr>
                <w:spacing w:val="-19"/>
                <w:sz w:val="20"/>
                <w:szCs w:val="20"/>
              </w:rPr>
              <w:t>），</w:t>
            </w:r>
            <w:r>
              <w:rPr>
                <w:spacing w:val="-5"/>
                <w:sz w:val="20"/>
                <w:szCs w:val="20"/>
              </w:rPr>
              <w:t>并在主变压器东南侧设</w:t>
            </w:r>
            <w:r>
              <w:rPr>
                <w:spacing w:val="-23"/>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3"/>
                <w:w w:val="101"/>
                <w:sz w:val="20"/>
                <w:szCs w:val="20"/>
              </w:rPr>
              <w:t xml:space="preserve"> </w:t>
            </w:r>
            <w:r>
              <w:rPr>
                <w:spacing w:val="-5"/>
                <w:sz w:val="20"/>
                <w:szCs w:val="20"/>
              </w:rPr>
              <w:t>座</w:t>
            </w:r>
            <w:r>
              <w:rPr>
                <w:spacing w:val="-23"/>
                <w:sz w:val="20"/>
                <w:szCs w:val="20"/>
              </w:rPr>
              <w:t xml:space="preserve"> </w:t>
            </w:r>
            <w:r>
              <w:rPr>
                <w:rFonts w:ascii="Times New Roman" w:hAnsi="Times New Roman" w:eastAsia="Times New Roman" w:cs="Times New Roman"/>
                <w:spacing w:val="-5"/>
                <w:sz w:val="20"/>
                <w:szCs w:val="20"/>
              </w:rPr>
              <w:t>100%</w:t>
            </w:r>
            <w:r>
              <w:rPr>
                <w:spacing w:val="-5"/>
                <w:sz w:val="20"/>
                <w:szCs w:val="20"/>
              </w:rPr>
              <w:t>事故</w:t>
            </w:r>
          </w:p>
        </w:tc>
        <w:tc>
          <w:tcPr>
            <w:tcW w:w="2402" w:type="dxa"/>
            <w:tcBorders>
              <w:bottom w:val="single" w:color="000000" w:sz="6" w:space="0"/>
              <w:right w:val="single" w:color="000000" w:sz="6" w:space="0"/>
            </w:tcBorders>
            <w:vAlign w:val="top"/>
          </w:tcPr>
          <w:p w14:paraId="51F96D40">
            <w:pPr>
              <w:pStyle w:val="6"/>
              <w:spacing w:before="111"/>
              <w:ind w:left="158" w:right="143"/>
              <w:rPr>
                <w:sz w:val="20"/>
                <w:szCs w:val="20"/>
              </w:rPr>
            </w:pPr>
            <w:r>
              <w:rPr>
                <w:spacing w:val="8"/>
                <w:sz w:val="20"/>
                <w:szCs w:val="20"/>
              </w:rPr>
              <w:t>制定应急预案，并按照</w:t>
            </w:r>
            <w:r>
              <w:rPr>
                <w:spacing w:val="7"/>
                <w:sz w:val="20"/>
                <w:szCs w:val="20"/>
              </w:rPr>
              <w:t xml:space="preserve"> </w:t>
            </w:r>
            <w:r>
              <w:rPr>
                <w:spacing w:val="8"/>
                <w:sz w:val="20"/>
                <w:szCs w:val="20"/>
              </w:rPr>
              <w:t>应急预案及本环评要求</w:t>
            </w:r>
          </w:p>
        </w:tc>
      </w:tr>
    </w:tbl>
    <w:p w14:paraId="3CEF8E05">
      <w:pPr>
        <w:rPr>
          <w:rFonts w:ascii="Arial"/>
          <w:sz w:val="21"/>
        </w:rPr>
      </w:pPr>
    </w:p>
    <w:p w14:paraId="71608A08">
      <w:pPr>
        <w:rPr>
          <w:rFonts w:ascii="Arial" w:hAnsi="Arial" w:eastAsia="Arial" w:cs="Arial"/>
          <w:sz w:val="21"/>
          <w:szCs w:val="21"/>
        </w:rPr>
        <w:sectPr>
          <w:footerReference r:id="rId176" w:type="default"/>
          <w:pgSz w:w="16839" w:h="11906"/>
          <w:pgMar w:top="1012" w:right="1417" w:bottom="1278" w:left="1417" w:header="0" w:footer="1116" w:gutter="0"/>
          <w:cols w:space="720" w:num="1"/>
        </w:sectPr>
      </w:pPr>
    </w:p>
    <w:p w14:paraId="19D8AF08">
      <w:pPr>
        <w:spacing w:before="18"/>
      </w:pPr>
    </w:p>
    <w:p w14:paraId="1D5C50AD">
      <w:pPr>
        <w:spacing w:before="18"/>
      </w:pPr>
    </w:p>
    <w:tbl>
      <w:tblPr>
        <w:tblStyle w:val="5"/>
        <w:tblW w:w="13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4055"/>
        <w:gridCol w:w="2338"/>
        <w:gridCol w:w="4507"/>
        <w:gridCol w:w="2402"/>
      </w:tblGrid>
      <w:tr w14:paraId="7CE40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8" w:hRule="atLeast"/>
        </w:trPr>
        <w:tc>
          <w:tcPr>
            <w:tcW w:w="686" w:type="dxa"/>
            <w:tcBorders>
              <w:top w:val="single" w:color="000000" w:sz="6" w:space="0"/>
              <w:left w:val="single" w:color="000000" w:sz="6" w:space="0"/>
            </w:tcBorders>
            <w:vAlign w:val="top"/>
          </w:tcPr>
          <w:p w14:paraId="49AD68ED">
            <w:pPr>
              <w:rPr>
                <w:rFonts w:ascii="Arial"/>
                <w:sz w:val="21"/>
              </w:rPr>
            </w:pPr>
          </w:p>
        </w:tc>
        <w:tc>
          <w:tcPr>
            <w:tcW w:w="4055" w:type="dxa"/>
            <w:tcBorders>
              <w:top w:val="single" w:color="000000" w:sz="6" w:space="0"/>
            </w:tcBorders>
            <w:vAlign w:val="top"/>
          </w:tcPr>
          <w:p w14:paraId="1F670811">
            <w:pPr>
              <w:rPr>
                <w:rFonts w:ascii="Arial"/>
                <w:sz w:val="21"/>
              </w:rPr>
            </w:pPr>
          </w:p>
        </w:tc>
        <w:tc>
          <w:tcPr>
            <w:tcW w:w="2338" w:type="dxa"/>
            <w:tcBorders>
              <w:top w:val="single" w:color="000000" w:sz="6" w:space="0"/>
            </w:tcBorders>
            <w:vAlign w:val="top"/>
          </w:tcPr>
          <w:p w14:paraId="5EFC023C">
            <w:pPr>
              <w:rPr>
                <w:rFonts w:ascii="Arial"/>
                <w:sz w:val="21"/>
              </w:rPr>
            </w:pPr>
          </w:p>
        </w:tc>
        <w:tc>
          <w:tcPr>
            <w:tcW w:w="4507" w:type="dxa"/>
            <w:tcBorders>
              <w:top w:val="single" w:color="000000" w:sz="6" w:space="0"/>
            </w:tcBorders>
            <w:vAlign w:val="top"/>
          </w:tcPr>
          <w:p w14:paraId="73097373">
            <w:pPr>
              <w:pStyle w:val="6"/>
              <w:spacing w:before="27" w:line="228" w:lineRule="auto"/>
              <w:ind w:left="128"/>
              <w:rPr>
                <w:sz w:val="20"/>
                <w:szCs w:val="20"/>
              </w:rPr>
            </w:pPr>
            <w:r>
              <w:rPr>
                <w:spacing w:val="6"/>
                <w:sz w:val="20"/>
                <w:szCs w:val="20"/>
              </w:rPr>
              <w:t>油池（有效容积约</w:t>
            </w:r>
            <w:r>
              <w:rPr>
                <w:spacing w:val="-34"/>
                <w:sz w:val="20"/>
                <w:szCs w:val="20"/>
              </w:rPr>
              <w:t xml:space="preserve"> </w:t>
            </w:r>
            <w:r>
              <w:rPr>
                <w:rFonts w:ascii="Times New Roman" w:hAnsi="Times New Roman" w:eastAsia="Times New Roman" w:cs="Times New Roman"/>
                <w:spacing w:val="6"/>
                <w:sz w:val="20"/>
                <w:szCs w:val="20"/>
              </w:rPr>
              <w:t>50m</w:t>
            </w:r>
            <w:r>
              <w:rPr>
                <w:rFonts w:ascii="Times New Roman" w:hAnsi="Times New Roman" w:eastAsia="Times New Roman" w:cs="Times New Roman"/>
                <w:spacing w:val="6"/>
                <w:position w:val="6"/>
                <w:sz w:val="13"/>
                <w:szCs w:val="13"/>
              </w:rPr>
              <w:t xml:space="preserve">3 </w:t>
            </w:r>
            <w:r>
              <w:rPr>
                <w:spacing w:val="6"/>
                <w:sz w:val="20"/>
                <w:szCs w:val="20"/>
              </w:rPr>
              <w:t>）；在箱式变压器下设</w:t>
            </w:r>
          </w:p>
          <w:p w14:paraId="0C293CAB">
            <w:pPr>
              <w:pStyle w:val="6"/>
              <w:spacing w:before="23" w:line="228" w:lineRule="auto"/>
              <w:ind w:left="111"/>
              <w:rPr>
                <w:sz w:val="20"/>
                <w:szCs w:val="20"/>
              </w:rPr>
            </w:pPr>
            <w:r>
              <w:rPr>
                <w:spacing w:val="4"/>
                <w:sz w:val="20"/>
                <w:szCs w:val="20"/>
              </w:rPr>
              <w:t>置一个等容积集油坑，即：</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43"/>
                <w:w w:val="101"/>
                <w:sz w:val="20"/>
                <w:szCs w:val="20"/>
              </w:rPr>
              <w:t xml:space="preserve"> </w:t>
            </w:r>
            <w:r>
              <w:rPr>
                <w:spacing w:val="4"/>
                <w:sz w:val="20"/>
                <w:szCs w:val="20"/>
              </w:rPr>
              <w:t>台</w:t>
            </w:r>
            <w:r>
              <w:rPr>
                <w:spacing w:val="-39"/>
                <w:sz w:val="20"/>
                <w:szCs w:val="20"/>
              </w:rPr>
              <w:t xml:space="preserve"> </w:t>
            </w:r>
            <w:r>
              <w:rPr>
                <w:rFonts w:ascii="Times New Roman" w:hAnsi="Times New Roman" w:eastAsia="Times New Roman" w:cs="Times New Roman"/>
                <w:spacing w:val="4"/>
                <w:sz w:val="20"/>
                <w:szCs w:val="20"/>
              </w:rPr>
              <w:t>900</w:t>
            </w:r>
            <w:r>
              <w:rPr>
                <w:rFonts w:ascii="Times New Roman" w:hAnsi="Times New Roman" w:eastAsia="Times New Roman" w:cs="Times New Roman"/>
                <w:sz w:val="20"/>
                <w:szCs w:val="20"/>
              </w:rPr>
              <w:t>kVA</w:t>
            </w:r>
            <w:r>
              <w:rPr>
                <w:rFonts w:ascii="Times New Roman" w:hAnsi="Times New Roman" w:eastAsia="Times New Roman" w:cs="Times New Roman"/>
                <w:spacing w:val="15"/>
                <w:sz w:val="20"/>
                <w:szCs w:val="20"/>
              </w:rPr>
              <w:t xml:space="preserve"> </w:t>
            </w:r>
            <w:r>
              <w:rPr>
                <w:spacing w:val="4"/>
                <w:sz w:val="20"/>
                <w:szCs w:val="20"/>
              </w:rPr>
              <w:t>箱变下</w:t>
            </w:r>
          </w:p>
          <w:p w14:paraId="69F12405">
            <w:pPr>
              <w:pStyle w:val="6"/>
              <w:spacing w:before="24" w:line="228" w:lineRule="auto"/>
              <w:ind w:left="115"/>
              <w:rPr>
                <w:sz w:val="20"/>
                <w:szCs w:val="20"/>
              </w:rPr>
            </w:pPr>
            <w:r>
              <w:rPr>
                <w:sz w:val="20"/>
                <w:szCs w:val="20"/>
              </w:rPr>
              <w:t>各设一个</w:t>
            </w:r>
            <w:r>
              <w:rPr>
                <w:spacing w:val="-39"/>
                <w:sz w:val="20"/>
                <w:szCs w:val="20"/>
              </w:rPr>
              <w:t xml:space="preserve"> </w:t>
            </w:r>
            <w:r>
              <w:rPr>
                <w:rFonts w:ascii="Times New Roman" w:hAnsi="Times New Roman" w:eastAsia="Times New Roman" w:cs="Times New Roman"/>
                <w:sz w:val="20"/>
                <w:szCs w:val="20"/>
              </w:rPr>
              <w:t>0.8m</w:t>
            </w:r>
            <w:r>
              <w:rPr>
                <w:rFonts w:ascii="Times New Roman" w:hAnsi="Times New Roman" w:eastAsia="Times New Roman" w:cs="Times New Roman"/>
                <w:position w:val="6"/>
                <w:sz w:val="13"/>
                <w:szCs w:val="13"/>
              </w:rPr>
              <w:t>3</w:t>
            </w:r>
            <w:r>
              <w:rPr>
                <w:rFonts w:ascii="Times New Roman" w:hAnsi="Times New Roman" w:eastAsia="Times New Roman" w:cs="Times New Roman"/>
                <w:spacing w:val="10"/>
                <w:w w:val="102"/>
                <w:position w:val="6"/>
                <w:sz w:val="13"/>
                <w:szCs w:val="13"/>
              </w:rPr>
              <w:t xml:space="preserve"> </w:t>
            </w:r>
            <w:r>
              <w:rPr>
                <w:sz w:val="20"/>
                <w:szCs w:val="20"/>
              </w:rPr>
              <w:t>集油坑，</w:t>
            </w:r>
            <w:r>
              <w:rPr>
                <w:rFonts w:ascii="Times New Roman" w:hAnsi="Times New Roman" w:eastAsia="Times New Roman" w:cs="Times New Roman"/>
                <w:sz w:val="20"/>
                <w:szCs w:val="20"/>
              </w:rPr>
              <w:t>2</w:t>
            </w:r>
            <w:r>
              <w:rPr>
                <w:rFonts w:ascii="Times New Roman" w:hAnsi="Times New Roman" w:eastAsia="Times New Roman" w:cs="Times New Roman"/>
                <w:spacing w:val="28"/>
                <w:w w:val="101"/>
                <w:sz w:val="20"/>
                <w:szCs w:val="20"/>
              </w:rPr>
              <w:t xml:space="preserve"> </w:t>
            </w:r>
            <w:r>
              <w:rPr>
                <w:sz w:val="20"/>
                <w:szCs w:val="20"/>
              </w:rPr>
              <w:t>台</w:t>
            </w:r>
            <w:r>
              <w:rPr>
                <w:spacing w:val="-23"/>
                <w:sz w:val="20"/>
                <w:szCs w:val="20"/>
              </w:rPr>
              <w:t xml:space="preserve"> </w:t>
            </w:r>
            <w:r>
              <w:rPr>
                <w:rFonts w:ascii="Times New Roman" w:hAnsi="Times New Roman" w:eastAsia="Times New Roman" w:cs="Times New Roman"/>
                <w:sz w:val="20"/>
                <w:szCs w:val="20"/>
              </w:rPr>
              <w:t>1200kVA</w:t>
            </w:r>
            <w:r>
              <w:rPr>
                <w:rFonts w:ascii="Times New Roman" w:hAnsi="Times New Roman" w:eastAsia="Times New Roman" w:cs="Times New Roman"/>
                <w:spacing w:val="13"/>
                <w:sz w:val="20"/>
                <w:szCs w:val="20"/>
              </w:rPr>
              <w:t xml:space="preserve"> </w:t>
            </w:r>
            <w:r>
              <w:rPr>
                <w:sz w:val="20"/>
                <w:szCs w:val="20"/>
              </w:rPr>
              <w:t>箱变各设</w:t>
            </w:r>
          </w:p>
          <w:p w14:paraId="1A00AE97">
            <w:pPr>
              <w:pStyle w:val="6"/>
              <w:spacing w:before="26" w:line="228" w:lineRule="auto"/>
              <w:ind w:left="116"/>
              <w:rPr>
                <w:sz w:val="20"/>
                <w:szCs w:val="20"/>
              </w:rPr>
            </w:pPr>
            <w:r>
              <w:rPr>
                <w:spacing w:val="-8"/>
                <w:sz w:val="20"/>
                <w:szCs w:val="20"/>
              </w:rPr>
              <w:t>一个</w:t>
            </w:r>
            <w:r>
              <w:rPr>
                <w:spacing w:val="-13"/>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10"/>
                <w:w w:val="101"/>
                <w:position w:val="6"/>
                <w:sz w:val="13"/>
                <w:szCs w:val="13"/>
              </w:rPr>
              <w:t xml:space="preserve"> </w:t>
            </w:r>
            <w:r>
              <w:rPr>
                <w:spacing w:val="-8"/>
                <w:sz w:val="20"/>
                <w:szCs w:val="20"/>
              </w:rPr>
              <w:t>集油坑，</w:t>
            </w:r>
            <w:r>
              <w:rPr>
                <w:rFonts w:ascii="Times New Roman" w:hAnsi="Times New Roman" w:eastAsia="Times New Roman" w:cs="Times New Roman"/>
                <w:spacing w:val="-8"/>
                <w:sz w:val="20"/>
                <w:szCs w:val="20"/>
              </w:rPr>
              <w:t>5</w:t>
            </w:r>
            <w:r>
              <w:rPr>
                <w:rFonts w:ascii="Times New Roman" w:hAnsi="Times New Roman" w:eastAsia="Times New Roman" w:cs="Times New Roman"/>
                <w:spacing w:val="28"/>
                <w:sz w:val="20"/>
                <w:szCs w:val="20"/>
              </w:rPr>
              <w:t xml:space="preserve"> </w:t>
            </w:r>
            <w:r>
              <w:rPr>
                <w:spacing w:val="5"/>
                <w:sz w:val="20"/>
                <w:szCs w:val="20"/>
              </w:rPr>
              <w:t>台</w:t>
            </w:r>
            <w:r>
              <w:rPr>
                <w:spacing w:val="-23"/>
                <w:sz w:val="20"/>
                <w:szCs w:val="20"/>
              </w:rPr>
              <w:t xml:space="preserve"> </w:t>
            </w:r>
            <w:r>
              <w:rPr>
                <w:rFonts w:ascii="Times New Roman" w:hAnsi="Times New Roman" w:eastAsia="Times New Roman" w:cs="Times New Roman"/>
                <w:spacing w:val="5"/>
                <w:sz w:val="20"/>
                <w:szCs w:val="20"/>
              </w:rPr>
              <w:t>1800</w:t>
            </w:r>
            <w:r>
              <w:rPr>
                <w:rFonts w:ascii="Times New Roman" w:hAnsi="Times New Roman" w:eastAsia="Times New Roman" w:cs="Times New Roman"/>
                <w:sz w:val="20"/>
                <w:szCs w:val="20"/>
              </w:rPr>
              <w:t>kVA</w:t>
            </w:r>
            <w:r>
              <w:rPr>
                <w:rFonts w:ascii="Times New Roman" w:hAnsi="Times New Roman" w:eastAsia="Times New Roman" w:cs="Times New Roman"/>
                <w:spacing w:val="5"/>
                <w:sz w:val="20"/>
                <w:szCs w:val="20"/>
              </w:rPr>
              <w:t xml:space="preserve"> </w:t>
            </w:r>
            <w:r>
              <w:rPr>
                <w:spacing w:val="5"/>
                <w:sz w:val="20"/>
                <w:szCs w:val="20"/>
              </w:rPr>
              <w:t>箱变各设一个</w:t>
            </w:r>
          </w:p>
          <w:p w14:paraId="1F81E176">
            <w:pPr>
              <w:pStyle w:val="6"/>
              <w:spacing w:before="24" w:line="228" w:lineRule="auto"/>
              <w:ind w:left="222"/>
              <w:rPr>
                <w:sz w:val="20"/>
                <w:szCs w:val="20"/>
              </w:rPr>
            </w:pPr>
            <w:r>
              <w:rPr>
                <w:rFonts w:ascii="Times New Roman" w:hAnsi="Times New Roman" w:eastAsia="Times New Roman" w:cs="Times New Roman"/>
                <w:spacing w:val="4"/>
                <w:sz w:val="20"/>
                <w:szCs w:val="20"/>
              </w:rPr>
              <w:t>1.6m</w:t>
            </w:r>
            <w:r>
              <w:rPr>
                <w:rFonts w:ascii="Times New Roman" w:hAnsi="Times New Roman" w:eastAsia="Times New Roman" w:cs="Times New Roman"/>
                <w:spacing w:val="4"/>
                <w:position w:val="6"/>
                <w:sz w:val="13"/>
                <w:szCs w:val="13"/>
              </w:rPr>
              <w:t xml:space="preserve">3 </w:t>
            </w:r>
            <w:r>
              <w:rPr>
                <w:spacing w:val="4"/>
                <w:sz w:val="20"/>
                <w:szCs w:val="20"/>
              </w:rPr>
              <w:t>集油坑，</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29"/>
                <w:sz w:val="20"/>
                <w:szCs w:val="20"/>
              </w:rPr>
              <w:t xml:space="preserve"> </w:t>
            </w:r>
            <w:r>
              <w:rPr>
                <w:spacing w:val="4"/>
                <w:sz w:val="20"/>
                <w:szCs w:val="20"/>
              </w:rPr>
              <w:t>台</w:t>
            </w:r>
            <w:r>
              <w:rPr>
                <w:spacing w:val="-43"/>
                <w:sz w:val="20"/>
                <w:szCs w:val="20"/>
              </w:rPr>
              <w:t xml:space="preserve"> </w:t>
            </w:r>
            <w:r>
              <w:rPr>
                <w:rFonts w:ascii="Times New Roman" w:hAnsi="Times New Roman" w:eastAsia="Times New Roman" w:cs="Times New Roman"/>
                <w:spacing w:val="4"/>
                <w:sz w:val="20"/>
                <w:szCs w:val="20"/>
              </w:rPr>
              <w:t>2100</w:t>
            </w:r>
            <w:r>
              <w:rPr>
                <w:rFonts w:ascii="Times New Roman" w:hAnsi="Times New Roman" w:eastAsia="Times New Roman" w:cs="Times New Roman"/>
                <w:sz w:val="20"/>
                <w:szCs w:val="20"/>
              </w:rPr>
              <w:t>kVA</w:t>
            </w:r>
            <w:r>
              <w:rPr>
                <w:rFonts w:ascii="Times New Roman" w:hAnsi="Times New Roman" w:eastAsia="Times New Roman" w:cs="Times New Roman"/>
                <w:spacing w:val="15"/>
                <w:w w:val="101"/>
                <w:sz w:val="20"/>
                <w:szCs w:val="20"/>
              </w:rPr>
              <w:t xml:space="preserve"> </w:t>
            </w:r>
            <w:r>
              <w:rPr>
                <w:spacing w:val="4"/>
                <w:sz w:val="20"/>
                <w:szCs w:val="20"/>
              </w:rPr>
              <w:t>型箱变各设</w:t>
            </w:r>
            <w:r>
              <w:rPr>
                <w:spacing w:val="3"/>
                <w:sz w:val="20"/>
                <w:szCs w:val="20"/>
              </w:rPr>
              <w:t>一个</w:t>
            </w:r>
          </w:p>
          <w:p w14:paraId="036755FC">
            <w:pPr>
              <w:pStyle w:val="6"/>
              <w:spacing w:before="26" w:line="228" w:lineRule="auto"/>
              <w:ind w:left="202"/>
              <w:rPr>
                <w:sz w:val="20"/>
                <w:szCs w:val="20"/>
              </w:rPr>
            </w:pPr>
            <w:r>
              <w:rPr>
                <w:rFonts w:ascii="Times New Roman" w:hAnsi="Times New Roman" w:eastAsia="Times New Roman" w:cs="Times New Roman"/>
                <w:spacing w:val="4"/>
                <w:sz w:val="20"/>
                <w:szCs w:val="20"/>
              </w:rPr>
              <w:t>2.0m</w:t>
            </w:r>
            <w:r>
              <w:rPr>
                <w:rFonts w:ascii="Times New Roman" w:hAnsi="Times New Roman" w:eastAsia="Times New Roman" w:cs="Times New Roman"/>
                <w:spacing w:val="4"/>
                <w:position w:val="6"/>
                <w:sz w:val="13"/>
                <w:szCs w:val="13"/>
              </w:rPr>
              <w:t xml:space="preserve">3 </w:t>
            </w:r>
            <w:r>
              <w:rPr>
                <w:spacing w:val="4"/>
                <w:sz w:val="20"/>
                <w:szCs w:val="20"/>
              </w:rPr>
              <w:t>集油坑，</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47"/>
                <w:sz w:val="20"/>
                <w:szCs w:val="20"/>
              </w:rPr>
              <w:t xml:space="preserve"> </w:t>
            </w:r>
            <w:r>
              <w:rPr>
                <w:spacing w:val="4"/>
                <w:sz w:val="20"/>
                <w:szCs w:val="20"/>
              </w:rPr>
              <w:t>台</w:t>
            </w:r>
            <w:r>
              <w:rPr>
                <w:spacing w:val="-43"/>
                <w:sz w:val="20"/>
                <w:szCs w:val="20"/>
              </w:rPr>
              <w:t xml:space="preserve"> </w:t>
            </w:r>
            <w:r>
              <w:rPr>
                <w:rFonts w:ascii="Times New Roman" w:hAnsi="Times New Roman" w:eastAsia="Times New Roman" w:cs="Times New Roman"/>
                <w:spacing w:val="4"/>
                <w:sz w:val="20"/>
                <w:szCs w:val="20"/>
              </w:rPr>
              <w:t>2400</w:t>
            </w:r>
            <w:r>
              <w:rPr>
                <w:rFonts w:ascii="Times New Roman" w:hAnsi="Times New Roman" w:eastAsia="Times New Roman" w:cs="Times New Roman"/>
                <w:sz w:val="20"/>
                <w:szCs w:val="20"/>
              </w:rPr>
              <w:t>kVA</w:t>
            </w:r>
            <w:r>
              <w:rPr>
                <w:rFonts w:ascii="Times New Roman" w:hAnsi="Times New Roman" w:eastAsia="Times New Roman" w:cs="Times New Roman"/>
                <w:spacing w:val="15"/>
                <w:w w:val="101"/>
                <w:sz w:val="20"/>
                <w:szCs w:val="20"/>
              </w:rPr>
              <w:t xml:space="preserve"> </w:t>
            </w:r>
            <w:r>
              <w:rPr>
                <w:spacing w:val="4"/>
                <w:sz w:val="20"/>
                <w:szCs w:val="20"/>
              </w:rPr>
              <w:t>型箱变各设一个</w:t>
            </w:r>
          </w:p>
          <w:p w14:paraId="02613FF8">
            <w:pPr>
              <w:pStyle w:val="6"/>
              <w:spacing w:before="25" w:line="228" w:lineRule="auto"/>
              <w:ind w:left="202"/>
              <w:rPr>
                <w:sz w:val="20"/>
                <w:szCs w:val="20"/>
              </w:rPr>
            </w:pPr>
            <w:r>
              <w:rPr>
                <w:rFonts w:ascii="Times New Roman" w:hAnsi="Times New Roman" w:eastAsia="Times New Roman" w:cs="Times New Roman"/>
                <w:spacing w:val="4"/>
                <w:sz w:val="20"/>
                <w:szCs w:val="20"/>
              </w:rPr>
              <w:t>2.2m</w:t>
            </w:r>
            <w:r>
              <w:rPr>
                <w:rFonts w:ascii="Times New Roman" w:hAnsi="Times New Roman" w:eastAsia="Times New Roman" w:cs="Times New Roman"/>
                <w:spacing w:val="4"/>
                <w:position w:val="6"/>
                <w:sz w:val="13"/>
                <w:szCs w:val="13"/>
              </w:rPr>
              <w:t xml:space="preserve">3 </w:t>
            </w:r>
            <w:r>
              <w:rPr>
                <w:spacing w:val="4"/>
                <w:sz w:val="20"/>
                <w:szCs w:val="20"/>
              </w:rPr>
              <w:t>集油坑，</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47"/>
                <w:sz w:val="20"/>
                <w:szCs w:val="20"/>
              </w:rPr>
              <w:t xml:space="preserve"> </w:t>
            </w:r>
            <w:r>
              <w:rPr>
                <w:spacing w:val="4"/>
                <w:sz w:val="20"/>
                <w:szCs w:val="20"/>
              </w:rPr>
              <w:t>台</w:t>
            </w:r>
            <w:r>
              <w:rPr>
                <w:spacing w:val="-43"/>
                <w:sz w:val="20"/>
                <w:szCs w:val="20"/>
              </w:rPr>
              <w:t xml:space="preserve"> </w:t>
            </w:r>
            <w:r>
              <w:rPr>
                <w:rFonts w:ascii="Times New Roman" w:hAnsi="Times New Roman" w:eastAsia="Times New Roman" w:cs="Times New Roman"/>
                <w:spacing w:val="4"/>
                <w:sz w:val="20"/>
                <w:szCs w:val="20"/>
              </w:rPr>
              <w:t>2700</w:t>
            </w:r>
            <w:r>
              <w:rPr>
                <w:rFonts w:ascii="Times New Roman" w:hAnsi="Times New Roman" w:eastAsia="Times New Roman" w:cs="Times New Roman"/>
                <w:sz w:val="20"/>
                <w:szCs w:val="20"/>
              </w:rPr>
              <w:t>kVA</w:t>
            </w:r>
            <w:r>
              <w:rPr>
                <w:rFonts w:ascii="Times New Roman" w:hAnsi="Times New Roman" w:eastAsia="Times New Roman" w:cs="Times New Roman"/>
                <w:spacing w:val="15"/>
                <w:w w:val="101"/>
                <w:sz w:val="20"/>
                <w:szCs w:val="20"/>
              </w:rPr>
              <w:t xml:space="preserve"> </w:t>
            </w:r>
            <w:r>
              <w:rPr>
                <w:spacing w:val="4"/>
                <w:sz w:val="20"/>
                <w:szCs w:val="20"/>
              </w:rPr>
              <w:t>型箱变各设一个</w:t>
            </w:r>
          </w:p>
          <w:p w14:paraId="3B286829">
            <w:pPr>
              <w:pStyle w:val="6"/>
              <w:spacing w:before="26" w:line="228" w:lineRule="auto"/>
              <w:ind w:left="149"/>
              <w:rPr>
                <w:sz w:val="20"/>
                <w:szCs w:val="20"/>
              </w:rPr>
            </w:pPr>
            <w:r>
              <w:rPr>
                <w:rFonts w:ascii="Times New Roman" w:hAnsi="Times New Roman" w:eastAsia="Times New Roman" w:cs="Times New Roman"/>
                <w:spacing w:val="4"/>
                <w:sz w:val="20"/>
                <w:szCs w:val="20"/>
              </w:rPr>
              <w:t>2.3m</w:t>
            </w:r>
            <w:r>
              <w:rPr>
                <w:rFonts w:ascii="Times New Roman" w:hAnsi="Times New Roman" w:eastAsia="Times New Roman" w:cs="Times New Roman"/>
                <w:spacing w:val="4"/>
                <w:position w:val="6"/>
                <w:sz w:val="13"/>
                <w:szCs w:val="13"/>
              </w:rPr>
              <w:t xml:space="preserve">3 </w:t>
            </w:r>
            <w:r>
              <w:rPr>
                <w:spacing w:val="4"/>
                <w:sz w:val="20"/>
                <w:szCs w:val="20"/>
              </w:rPr>
              <w:t>集油坑，</w:t>
            </w:r>
            <w:r>
              <w:rPr>
                <w:rFonts w:ascii="Times New Roman" w:hAnsi="Times New Roman" w:eastAsia="Times New Roman" w:cs="Times New Roman"/>
                <w:spacing w:val="4"/>
                <w:sz w:val="20"/>
                <w:szCs w:val="20"/>
              </w:rPr>
              <w:t>19</w:t>
            </w:r>
            <w:r>
              <w:rPr>
                <w:rFonts w:ascii="Times New Roman" w:hAnsi="Times New Roman" w:eastAsia="Times New Roman" w:cs="Times New Roman"/>
                <w:spacing w:val="44"/>
                <w:w w:val="101"/>
                <w:sz w:val="20"/>
                <w:szCs w:val="20"/>
              </w:rPr>
              <w:t xml:space="preserve"> </w:t>
            </w:r>
            <w:r>
              <w:rPr>
                <w:spacing w:val="4"/>
                <w:sz w:val="20"/>
                <w:szCs w:val="20"/>
              </w:rPr>
              <w:t>台</w:t>
            </w:r>
            <w:r>
              <w:rPr>
                <w:spacing w:val="-39"/>
                <w:sz w:val="20"/>
                <w:szCs w:val="20"/>
              </w:rPr>
              <w:t xml:space="preserve"> </w:t>
            </w:r>
            <w:r>
              <w:rPr>
                <w:rFonts w:ascii="Times New Roman" w:hAnsi="Times New Roman" w:eastAsia="Times New Roman" w:cs="Times New Roman"/>
                <w:spacing w:val="4"/>
                <w:sz w:val="20"/>
                <w:szCs w:val="20"/>
              </w:rPr>
              <w:t>3300</w:t>
            </w:r>
            <w:r>
              <w:rPr>
                <w:rFonts w:ascii="Times New Roman" w:hAnsi="Times New Roman" w:eastAsia="Times New Roman" w:cs="Times New Roman"/>
                <w:sz w:val="20"/>
                <w:szCs w:val="20"/>
              </w:rPr>
              <w:t>kVA</w:t>
            </w:r>
            <w:r>
              <w:rPr>
                <w:rFonts w:ascii="Times New Roman" w:hAnsi="Times New Roman" w:eastAsia="Times New Roman" w:cs="Times New Roman"/>
                <w:spacing w:val="15"/>
                <w:w w:val="101"/>
                <w:sz w:val="20"/>
                <w:szCs w:val="20"/>
              </w:rPr>
              <w:t xml:space="preserve"> </w:t>
            </w:r>
            <w:r>
              <w:rPr>
                <w:spacing w:val="4"/>
                <w:sz w:val="20"/>
                <w:szCs w:val="20"/>
              </w:rPr>
              <w:t>型箱变各设一个</w:t>
            </w:r>
          </w:p>
          <w:p w14:paraId="4E7D0588">
            <w:pPr>
              <w:pStyle w:val="6"/>
              <w:spacing w:before="24" w:line="228" w:lineRule="auto"/>
              <w:ind w:right="6"/>
              <w:jc w:val="right"/>
              <w:rPr>
                <w:sz w:val="20"/>
                <w:szCs w:val="20"/>
              </w:rPr>
            </w:pPr>
            <w:r>
              <w:rPr>
                <w:rFonts w:ascii="Times New Roman" w:hAnsi="Times New Roman" w:eastAsia="Times New Roman" w:cs="Times New Roman"/>
                <w:spacing w:val="3"/>
                <w:sz w:val="20"/>
                <w:szCs w:val="20"/>
              </w:rPr>
              <w:t>2.5m</w:t>
            </w:r>
            <w:r>
              <w:rPr>
                <w:rFonts w:ascii="Times New Roman" w:hAnsi="Times New Roman" w:eastAsia="Times New Roman" w:cs="Times New Roman"/>
                <w:spacing w:val="3"/>
                <w:position w:val="6"/>
                <w:sz w:val="13"/>
                <w:szCs w:val="13"/>
              </w:rPr>
              <w:t xml:space="preserve">3 </w:t>
            </w:r>
            <w:r>
              <w:rPr>
                <w:spacing w:val="3"/>
                <w:sz w:val="20"/>
                <w:szCs w:val="20"/>
              </w:rPr>
              <w:t>集油坑，收集事故情况下变压器的泄漏油，</w:t>
            </w:r>
          </w:p>
          <w:p w14:paraId="3924621C">
            <w:pPr>
              <w:pStyle w:val="6"/>
              <w:spacing w:before="27" w:line="228" w:lineRule="auto"/>
              <w:ind w:left="165"/>
              <w:rPr>
                <w:sz w:val="20"/>
                <w:szCs w:val="20"/>
              </w:rPr>
            </w:pPr>
            <w:r>
              <w:rPr>
                <w:spacing w:val="9"/>
                <w:sz w:val="20"/>
                <w:szCs w:val="20"/>
              </w:rPr>
              <w:t>并定期检查主变压器及箱变，避免出现泄漏等</w:t>
            </w:r>
          </w:p>
          <w:p w14:paraId="7381C63D">
            <w:pPr>
              <w:pStyle w:val="6"/>
              <w:spacing w:before="24" w:line="227" w:lineRule="auto"/>
              <w:ind w:left="164"/>
              <w:rPr>
                <w:sz w:val="20"/>
                <w:szCs w:val="20"/>
              </w:rPr>
            </w:pPr>
            <w:r>
              <w:rPr>
                <w:spacing w:val="9"/>
                <w:sz w:val="20"/>
                <w:szCs w:val="20"/>
              </w:rPr>
              <w:t>不良情况。光伏区内箱式变压器、事故油池和</w:t>
            </w:r>
          </w:p>
          <w:p w14:paraId="059A8B14">
            <w:pPr>
              <w:pStyle w:val="6"/>
              <w:spacing w:before="25" w:line="228" w:lineRule="auto"/>
              <w:ind w:left="162"/>
              <w:rPr>
                <w:sz w:val="20"/>
                <w:szCs w:val="20"/>
              </w:rPr>
            </w:pPr>
            <w:r>
              <w:rPr>
                <w:spacing w:val="9"/>
                <w:sz w:val="20"/>
                <w:szCs w:val="20"/>
              </w:rPr>
              <w:t>升压站内主变压器、集油坑、事故油池、危废</w:t>
            </w:r>
          </w:p>
          <w:p w14:paraId="624F74DA">
            <w:pPr>
              <w:pStyle w:val="6"/>
              <w:spacing w:before="27" w:line="228" w:lineRule="auto"/>
              <w:ind w:left="161"/>
              <w:rPr>
                <w:sz w:val="20"/>
                <w:szCs w:val="20"/>
              </w:rPr>
            </w:pPr>
            <w:r>
              <w:rPr>
                <w:spacing w:val="9"/>
                <w:sz w:val="20"/>
                <w:szCs w:val="20"/>
              </w:rPr>
              <w:t>贮存库实施重点防渗措施。其他生产区实施一</w:t>
            </w:r>
          </w:p>
          <w:p w14:paraId="0E0DE376">
            <w:pPr>
              <w:pStyle w:val="6"/>
              <w:spacing w:before="27" w:line="227" w:lineRule="auto"/>
              <w:ind w:left="160"/>
              <w:rPr>
                <w:sz w:val="20"/>
                <w:szCs w:val="20"/>
              </w:rPr>
            </w:pPr>
            <w:r>
              <w:rPr>
                <w:spacing w:val="9"/>
                <w:sz w:val="20"/>
                <w:szCs w:val="20"/>
              </w:rPr>
              <w:t>般防渗措施。升压站占地区域内综合楼和附属</w:t>
            </w:r>
          </w:p>
          <w:p w14:paraId="1BC0B16A">
            <w:pPr>
              <w:pStyle w:val="6"/>
              <w:spacing w:before="25" w:line="212" w:lineRule="auto"/>
              <w:ind w:left="1319"/>
              <w:rPr>
                <w:sz w:val="20"/>
                <w:szCs w:val="20"/>
              </w:rPr>
            </w:pPr>
            <w:r>
              <w:rPr>
                <w:spacing w:val="7"/>
                <w:sz w:val="20"/>
                <w:szCs w:val="20"/>
              </w:rPr>
              <w:t>用房进行简单防渗。</w:t>
            </w:r>
          </w:p>
        </w:tc>
        <w:tc>
          <w:tcPr>
            <w:tcW w:w="2402" w:type="dxa"/>
            <w:tcBorders>
              <w:top w:val="single" w:color="000000" w:sz="6" w:space="0"/>
              <w:right w:val="single" w:color="000000" w:sz="6" w:space="0"/>
            </w:tcBorders>
            <w:vAlign w:val="top"/>
          </w:tcPr>
          <w:p w14:paraId="3AC2DB84">
            <w:pPr>
              <w:pStyle w:val="6"/>
              <w:spacing w:before="28"/>
              <w:ind w:left="1100" w:right="143" w:hanging="938"/>
              <w:rPr>
                <w:sz w:val="20"/>
                <w:szCs w:val="20"/>
              </w:rPr>
            </w:pPr>
            <w:r>
              <w:rPr>
                <w:spacing w:val="8"/>
                <w:sz w:val="20"/>
                <w:szCs w:val="20"/>
              </w:rPr>
              <w:t>设置相应的风险防范措</w:t>
            </w:r>
            <w:r>
              <w:rPr>
                <w:spacing w:val="5"/>
                <w:sz w:val="20"/>
                <w:szCs w:val="20"/>
              </w:rPr>
              <w:t xml:space="preserve"> </w:t>
            </w:r>
            <w:r>
              <w:rPr>
                <w:spacing w:val="1"/>
                <w:sz w:val="20"/>
                <w:szCs w:val="20"/>
              </w:rPr>
              <w:t>施</w:t>
            </w:r>
          </w:p>
        </w:tc>
      </w:tr>
      <w:tr w14:paraId="179D1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4" w:hRule="atLeast"/>
        </w:trPr>
        <w:tc>
          <w:tcPr>
            <w:tcW w:w="686" w:type="dxa"/>
            <w:vMerge w:val="restart"/>
            <w:tcBorders>
              <w:left w:val="single" w:color="000000" w:sz="6" w:space="0"/>
              <w:bottom w:val="nil"/>
            </w:tcBorders>
            <w:vAlign w:val="top"/>
          </w:tcPr>
          <w:p w14:paraId="24C40887">
            <w:pPr>
              <w:spacing w:line="267" w:lineRule="auto"/>
              <w:rPr>
                <w:rFonts w:ascii="Arial"/>
                <w:sz w:val="21"/>
              </w:rPr>
            </w:pPr>
          </w:p>
          <w:p w14:paraId="1440BCB8">
            <w:pPr>
              <w:spacing w:line="267" w:lineRule="auto"/>
              <w:rPr>
                <w:rFonts w:ascii="Arial"/>
                <w:sz w:val="21"/>
              </w:rPr>
            </w:pPr>
          </w:p>
          <w:p w14:paraId="6E000302">
            <w:pPr>
              <w:spacing w:line="267" w:lineRule="auto"/>
              <w:rPr>
                <w:rFonts w:ascii="Arial"/>
                <w:sz w:val="21"/>
              </w:rPr>
            </w:pPr>
          </w:p>
          <w:p w14:paraId="74C9EE80">
            <w:pPr>
              <w:spacing w:line="267" w:lineRule="auto"/>
              <w:rPr>
                <w:rFonts w:ascii="Arial"/>
                <w:sz w:val="21"/>
              </w:rPr>
            </w:pPr>
          </w:p>
          <w:p w14:paraId="43AE1846">
            <w:pPr>
              <w:spacing w:line="268" w:lineRule="auto"/>
              <w:rPr>
                <w:rFonts w:ascii="Arial"/>
                <w:sz w:val="21"/>
              </w:rPr>
            </w:pPr>
          </w:p>
          <w:p w14:paraId="7650B34A">
            <w:pPr>
              <w:spacing w:line="268" w:lineRule="auto"/>
              <w:rPr>
                <w:rFonts w:ascii="Arial"/>
                <w:sz w:val="21"/>
              </w:rPr>
            </w:pPr>
          </w:p>
          <w:p w14:paraId="2979F459">
            <w:pPr>
              <w:spacing w:line="268" w:lineRule="auto"/>
              <w:rPr>
                <w:rFonts w:ascii="Arial"/>
                <w:sz w:val="21"/>
              </w:rPr>
            </w:pPr>
          </w:p>
          <w:p w14:paraId="3361FC7F">
            <w:pPr>
              <w:pStyle w:val="6"/>
              <w:spacing w:before="65"/>
              <w:ind w:left="130" w:right="135"/>
              <w:rPr>
                <w:sz w:val="20"/>
                <w:szCs w:val="20"/>
              </w:rPr>
            </w:pPr>
            <w:r>
              <w:rPr>
                <w:spacing w:val="4"/>
                <w:sz w:val="20"/>
                <w:szCs w:val="20"/>
              </w:rPr>
              <w:t>环境</w:t>
            </w:r>
            <w:r>
              <w:rPr>
                <w:sz w:val="20"/>
                <w:szCs w:val="20"/>
              </w:rPr>
              <w:t xml:space="preserve"> </w:t>
            </w:r>
            <w:r>
              <w:rPr>
                <w:spacing w:val="4"/>
                <w:sz w:val="20"/>
                <w:szCs w:val="20"/>
              </w:rPr>
              <w:t>监测</w:t>
            </w:r>
          </w:p>
        </w:tc>
        <w:tc>
          <w:tcPr>
            <w:tcW w:w="4055" w:type="dxa"/>
            <w:vAlign w:val="top"/>
          </w:tcPr>
          <w:p w14:paraId="5CD84D68">
            <w:pPr>
              <w:spacing w:line="245" w:lineRule="auto"/>
              <w:rPr>
                <w:rFonts w:ascii="Arial"/>
                <w:sz w:val="21"/>
              </w:rPr>
            </w:pPr>
          </w:p>
          <w:p w14:paraId="0A276CD0">
            <w:pPr>
              <w:spacing w:line="246" w:lineRule="auto"/>
              <w:rPr>
                <w:rFonts w:ascii="Arial"/>
                <w:sz w:val="21"/>
              </w:rPr>
            </w:pPr>
          </w:p>
          <w:p w14:paraId="71BB9ECC">
            <w:pPr>
              <w:spacing w:line="246" w:lineRule="auto"/>
              <w:rPr>
                <w:rFonts w:ascii="Arial"/>
                <w:sz w:val="21"/>
              </w:rPr>
            </w:pPr>
          </w:p>
          <w:p w14:paraId="19872553">
            <w:pPr>
              <w:spacing w:line="246" w:lineRule="auto"/>
              <w:rPr>
                <w:rFonts w:ascii="Arial"/>
                <w:sz w:val="21"/>
              </w:rPr>
            </w:pPr>
          </w:p>
          <w:p w14:paraId="42E48E71">
            <w:pPr>
              <w:spacing w:line="246" w:lineRule="auto"/>
              <w:rPr>
                <w:rFonts w:ascii="Arial"/>
                <w:sz w:val="21"/>
              </w:rPr>
            </w:pPr>
          </w:p>
          <w:p w14:paraId="6290B1B4">
            <w:pPr>
              <w:spacing w:before="58" w:line="199" w:lineRule="auto"/>
              <w:ind w:left="19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38" w:type="dxa"/>
            <w:vAlign w:val="top"/>
          </w:tcPr>
          <w:p w14:paraId="6B1C6254">
            <w:pPr>
              <w:spacing w:line="245" w:lineRule="auto"/>
              <w:rPr>
                <w:rFonts w:ascii="Arial"/>
                <w:sz w:val="21"/>
              </w:rPr>
            </w:pPr>
          </w:p>
          <w:p w14:paraId="31888E8A">
            <w:pPr>
              <w:spacing w:line="246" w:lineRule="auto"/>
              <w:rPr>
                <w:rFonts w:ascii="Arial"/>
                <w:sz w:val="21"/>
              </w:rPr>
            </w:pPr>
          </w:p>
          <w:p w14:paraId="7FFE7070">
            <w:pPr>
              <w:spacing w:line="246" w:lineRule="auto"/>
              <w:rPr>
                <w:rFonts w:ascii="Arial"/>
                <w:sz w:val="21"/>
              </w:rPr>
            </w:pPr>
          </w:p>
          <w:p w14:paraId="5BC67016">
            <w:pPr>
              <w:spacing w:line="246" w:lineRule="auto"/>
              <w:rPr>
                <w:rFonts w:ascii="Arial"/>
                <w:sz w:val="21"/>
              </w:rPr>
            </w:pPr>
          </w:p>
          <w:p w14:paraId="4F025D2E">
            <w:pPr>
              <w:spacing w:line="246" w:lineRule="auto"/>
              <w:rPr>
                <w:rFonts w:ascii="Arial"/>
                <w:sz w:val="21"/>
              </w:rPr>
            </w:pPr>
          </w:p>
          <w:p w14:paraId="266F5962">
            <w:pPr>
              <w:spacing w:before="58" w:line="199" w:lineRule="auto"/>
              <w:ind w:left="1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507" w:type="dxa"/>
            <w:vAlign w:val="top"/>
          </w:tcPr>
          <w:p w14:paraId="7D48231C">
            <w:pPr>
              <w:pStyle w:val="6"/>
              <w:spacing w:before="39" w:line="228" w:lineRule="auto"/>
              <w:ind w:left="129"/>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21"/>
                <w:sz w:val="20"/>
                <w:szCs w:val="20"/>
              </w:rPr>
              <w:t xml:space="preserve"> </w:t>
            </w:r>
            <w:r>
              <w:rPr>
                <w:sz w:val="20"/>
                <w:szCs w:val="20"/>
              </w:rPr>
              <w:t>、厂界噪声：</w:t>
            </w:r>
          </w:p>
          <w:p w14:paraId="6A499957">
            <w:pPr>
              <w:pStyle w:val="6"/>
              <w:spacing w:before="21" w:line="247" w:lineRule="auto"/>
              <w:ind w:left="112" w:right="13" w:firstLine="10"/>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）监测地点：升压站东、南、西、北厂界外</w:t>
            </w:r>
            <w:r>
              <w:rPr>
                <w:spacing w:val="4"/>
                <w:sz w:val="20"/>
                <w:szCs w:val="20"/>
              </w:rPr>
              <w:t xml:space="preserve">  </w:t>
            </w:r>
            <w:r>
              <w:rPr>
                <w:rFonts w:ascii="Times New Roman" w:hAnsi="Times New Roman" w:eastAsia="Times New Roman" w:cs="Times New Roman"/>
                <w:spacing w:val="4"/>
                <w:sz w:val="20"/>
                <w:szCs w:val="20"/>
              </w:rPr>
              <w:t>1m</w:t>
            </w:r>
            <w:r>
              <w:rPr>
                <w:rFonts w:ascii="Times New Roman" w:hAnsi="Times New Roman" w:eastAsia="Times New Roman" w:cs="Times New Roman"/>
                <w:spacing w:val="15"/>
                <w:w w:val="101"/>
                <w:sz w:val="20"/>
                <w:szCs w:val="20"/>
              </w:rPr>
              <w:t xml:space="preserve"> </w:t>
            </w:r>
            <w:r>
              <w:rPr>
                <w:spacing w:val="4"/>
                <w:sz w:val="20"/>
                <w:szCs w:val="20"/>
              </w:rPr>
              <w:t>各设</w:t>
            </w:r>
            <w:r>
              <w:rPr>
                <w:spacing w:val="-21"/>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个监测点位；区块</w:t>
            </w:r>
            <w:r>
              <w:rPr>
                <w:spacing w:val="-20"/>
                <w:sz w:val="20"/>
                <w:szCs w:val="20"/>
              </w:rPr>
              <w:t xml:space="preserve"> </w:t>
            </w:r>
            <w:r>
              <w:rPr>
                <w:rFonts w:ascii="Times New Roman" w:hAnsi="Times New Roman" w:eastAsia="Times New Roman" w:cs="Times New Roman"/>
                <w:spacing w:val="4"/>
                <w:sz w:val="20"/>
                <w:szCs w:val="20"/>
              </w:rPr>
              <w:t>14</w:t>
            </w:r>
            <w:r>
              <w:rPr>
                <w:rFonts w:ascii="Times New Roman" w:hAnsi="Times New Roman" w:eastAsia="Times New Roman" w:cs="Times New Roman"/>
                <w:spacing w:val="26"/>
                <w:sz w:val="20"/>
                <w:szCs w:val="20"/>
              </w:rPr>
              <w:t xml:space="preserve"> </w:t>
            </w:r>
            <w:r>
              <w:rPr>
                <w:spacing w:val="4"/>
                <w:sz w:val="20"/>
                <w:szCs w:val="20"/>
              </w:rPr>
              <w:t>附近的水冒天</w:t>
            </w:r>
            <w:r>
              <w:rPr>
                <w:sz w:val="20"/>
                <w:szCs w:val="20"/>
              </w:rPr>
              <w:t xml:space="preserve">   </w:t>
            </w:r>
            <w:r>
              <w:rPr>
                <w:spacing w:val="6"/>
                <w:sz w:val="20"/>
                <w:szCs w:val="20"/>
              </w:rPr>
              <w:t>散户）、</w:t>
            </w: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集电线路</w:t>
            </w:r>
            <w:r>
              <w:rPr>
                <w:spacing w:val="-32"/>
                <w:sz w:val="20"/>
                <w:szCs w:val="20"/>
              </w:rPr>
              <w:t xml:space="preserve"> </w:t>
            </w:r>
            <w:r>
              <w:rPr>
                <w:rFonts w:ascii="Times New Roman" w:hAnsi="Times New Roman" w:eastAsia="Times New Roman" w:cs="Times New Roman"/>
                <w:spacing w:val="6"/>
                <w:sz w:val="20"/>
                <w:szCs w:val="20"/>
              </w:rPr>
              <w:t>B</w:t>
            </w:r>
            <w:r>
              <w:rPr>
                <w:rFonts w:ascii="Times New Roman" w:hAnsi="Times New Roman" w:eastAsia="Times New Roman" w:cs="Times New Roman"/>
                <w:spacing w:val="31"/>
                <w:w w:val="101"/>
                <w:sz w:val="20"/>
                <w:szCs w:val="20"/>
              </w:rPr>
              <w:t xml:space="preserve"> </w:t>
            </w:r>
            <w:r>
              <w:rPr>
                <w:spacing w:val="6"/>
                <w:sz w:val="20"/>
                <w:szCs w:val="20"/>
              </w:rPr>
              <w:t>回</w:t>
            </w:r>
            <w:r>
              <w:rPr>
                <w:spacing w:val="-35"/>
                <w:sz w:val="20"/>
                <w:szCs w:val="20"/>
              </w:rPr>
              <w:t xml:space="preserve"> </w:t>
            </w:r>
            <w:r>
              <w:rPr>
                <w:rFonts w:ascii="Times New Roman" w:hAnsi="Times New Roman" w:eastAsia="Times New Roman" w:cs="Times New Roman"/>
                <w:spacing w:val="6"/>
                <w:sz w:val="20"/>
                <w:szCs w:val="20"/>
              </w:rPr>
              <w:t>8#</w:t>
            </w:r>
            <w:r>
              <w:rPr>
                <w:spacing w:val="6"/>
                <w:sz w:val="20"/>
                <w:szCs w:val="20"/>
              </w:rPr>
              <w:t>塔基南侧鲁纳</w:t>
            </w:r>
            <w:r>
              <w:rPr>
                <w:sz w:val="20"/>
                <w:szCs w:val="20"/>
              </w:rPr>
              <w:t xml:space="preserve">  </w:t>
            </w:r>
            <w:r>
              <w:rPr>
                <w:spacing w:val="-1"/>
                <w:sz w:val="20"/>
                <w:szCs w:val="20"/>
              </w:rPr>
              <w:t>散户</w:t>
            </w:r>
            <w:r>
              <w:rPr>
                <w:spacing w:val="-3"/>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6"/>
                <w:sz w:val="20"/>
                <w:szCs w:val="20"/>
              </w:rPr>
              <w:t xml:space="preserve"> </w:t>
            </w:r>
            <w:r>
              <w:rPr>
                <w:spacing w:val="-1"/>
                <w:sz w:val="20"/>
                <w:szCs w:val="20"/>
              </w:rPr>
              <w:t>、区块</w:t>
            </w:r>
            <w:r>
              <w:rPr>
                <w:spacing w:val="-21"/>
                <w:sz w:val="20"/>
                <w:szCs w:val="20"/>
              </w:rPr>
              <w:t xml:space="preserve"> </w:t>
            </w:r>
            <w:r>
              <w:rPr>
                <w:rFonts w:ascii="Times New Roman" w:hAnsi="Times New Roman" w:eastAsia="Times New Roman" w:cs="Times New Roman"/>
                <w:spacing w:val="-1"/>
                <w:sz w:val="20"/>
                <w:szCs w:val="20"/>
              </w:rPr>
              <w:t xml:space="preserve">13 </w:t>
            </w:r>
            <w:r>
              <w:rPr>
                <w:spacing w:val="-1"/>
                <w:sz w:val="20"/>
                <w:szCs w:val="20"/>
              </w:rPr>
              <w:t>箱变</w:t>
            </w:r>
            <w:r>
              <w:rPr>
                <w:spacing w:val="-38"/>
                <w:sz w:val="20"/>
                <w:szCs w:val="20"/>
              </w:rPr>
              <w:t xml:space="preserve"> </w:t>
            </w:r>
            <w:r>
              <w:rPr>
                <w:rFonts w:ascii="Times New Roman" w:hAnsi="Times New Roman" w:eastAsia="Times New Roman" w:cs="Times New Roman"/>
                <w:spacing w:val="-1"/>
                <w:sz w:val="20"/>
                <w:szCs w:val="20"/>
              </w:rPr>
              <w:t>T13</w:t>
            </w:r>
            <w:r>
              <w:rPr>
                <w:rFonts w:ascii="Times New Roman" w:hAnsi="Times New Roman" w:eastAsia="Times New Roman" w:cs="Times New Roman"/>
                <w:spacing w:val="15"/>
                <w:w w:val="101"/>
                <w:sz w:val="20"/>
                <w:szCs w:val="20"/>
              </w:rPr>
              <w:t xml:space="preserve"> </w:t>
            </w:r>
            <w:r>
              <w:rPr>
                <w:spacing w:val="-1"/>
                <w:sz w:val="20"/>
                <w:szCs w:val="20"/>
              </w:rPr>
              <w:t>北侧鲁纳散户</w:t>
            </w:r>
            <w:r>
              <w:rPr>
                <w:spacing w:val="-44"/>
                <w:sz w:val="20"/>
                <w:szCs w:val="20"/>
              </w:rPr>
              <w:t xml:space="preserve"> </w:t>
            </w:r>
            <w:r>
              <w:rPr>
                <w:rFonts w:ascii="Times New Roman" w:hAnsi="Times New Roman" w:eastAsia="Times New Roman" w:cs="Times New Roman"/>
                <w:spacing w:val="-1"/>
                <w:sz w:val="20"/>
                <w:szCs w:val="20"/>
              </w:rPr>
              <w:t>4</w:t>
            </w:r>
            <w:r>
              <w:rPr>
                <w:spacing w:val="-1"/>
                <w:sz w:val="20"/>
                <w:szCs w:val="20"/>
              </w:rPr>
              <w:t>（</w:t>
            </w:r>
            <w:r>
              <w:rPr>
                <w:rFonts w:ascii="Times New Roman" w:hAnsi="Times New Roman" w:eastAsia="Times New Roman" w:cs="Times New Roman"/>
                <w:spacing w:val="-1"/>
                <w:sz w:val="20"/>
                <w:szCs w:val="20"/>
              </w:rPr>
              <w:t>N3</w:t>
            </w:r>
            <w:r>
              <w:rPr>
                <w:spacing w:val="-1"/>
                <w:sz w:val="20"/>
                <w:szCs w:val="20"/>
              </w:rPr>
              <w:t>）</w:t>
            </w:r>
            <w:r>
              <w:rPr>
                <w:sz w:val="20"/>
                <w:szCs w:val="20"/>
              </w:rPr>
              <w:t xml:space="preserve"> </w:t>
            </w:r>
            <w:r>
              <w:rPr>
                <w:spacing w:val="5"/>
                <w:sz w:val="20"/>
                <w:szCs w:val="20"/>
              </w:rPr>
              <w:t>各布设</w:t>
            </w:r>
            <w:r>
              <w:rPr>
                <w:spacing w:val="-20"/>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个监测点位</w:t>
            </w:r>
          </w:p>
          <w:p w14:paraId="3C97562C">
            <w:pPr>
              <w:pStyle w:val="6"/>
              <w:spacing w:before="27" w:line="221" w:lineRule="auto"/>
              <w:ind w:left="123"/>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）监测因子：</w:t>
            </w:r>
            <w:r>
              <w:rPr>
                <w:rFonts w:ascii="Times New Roman" w:hAnsi="Times New Roman" w:eastAsia="Times New Roman" w:cs="Times New Roman"/>
                <w:sz w:val="20"/>
                <w:szCs w:val="20"/>
              </w:rPr>
              <w:t>Leq</w:t>
            </w:r>
            <w:r>
              <w:rPr>
                <w:spacing w:val="8"/>
                <w:sz w:val="20"/>
                <w:szCs w:val="20"/>
              </w:rPr>
              <w:t>。</w:t>
            </w:r>
          </w:p>
          <w:p w14:paraId="5E0F0FE0">
            <w:pPr>
              <w:pStyle w:val="6"/>
              <w:spacing w:before="31" w:line="237" w:lineRule="auto"/>
              <w:ind w:left="118" w:right="101" w:firstLine="4"/>
              <w:rPr>
                <w:sz w:val="20"/>
                <w:szCs w:val="20"/>
              </w:rPr>
            </w:pPr>
            <w:r>
              <w:rPr>
                <w:spacing w:val="8"/>
                <w:sz w:val="20"/>
                <w:szCs w:val="20"/>
              </w:rPr>
              <w:t>（</w:t>
            </w:r>
            <w:r>
              <w:rPr>
                <w:rFonts w:ascii="Times New Roman" w:hAnsi="Times New Roman" w:eastAsia="Times New Roman" w:cs="Times New Roman"/>
                <w:spacing w:val="8"/>
                <w:sz w:val="20"/>
                <w:szCs w:val="20"/>
              </w:rPr>
              <w:t>3</w:t>
            </w:r>
            <w:r>
              <w:rPr>
                <w:spacing w:val="8"/>
                <w:sz w:val="20"/>
                <w:szCs w:val="20"/>
              </w:rPr>
              <w:t>）监测频率：环保竣工验收时监测一次，一 次</w:t>
            </w:r>
            <w:r>
              <w:rPr>
                <w:spacing w:val="-41"/>
                <w:sz w:val="20"/>
                <w:szCs w:val="20"/>
              </w:rPr>
              <w:t xml:space="preserve"> </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16"/>
                <w:sz w:val="20"/>
                <w:szCs w:val="20"/>
              </w:rPr>
              <w:t xml:space="preserve"> </w:t>
            </w:r>
            <w:r>
              <w:rPr>
                <w:spacing w:val="8"/>
                <w:sz w:val="20"/>
                <w:szCs w:val="20"/>
              </w:rPr>
              <w:t>天，昼间、夜间各一次。运营期每季度一</w:t>
            </w:r>
            <w:r>
              <w:rPr>
                <w:sz w:val="20"/>
                <w:szCs w:val="20"/>
              </w:rPr>
              <w:t xml:space="preserve">  </w:t>
            </w:r>
            <w:r>
              <w:rPr>
                <w:spacing w:val="-3"/>
                <w:sz w:val="20"/>
                <w:szCs w:val="20"/>
              </w:rPr>
              <w:t>次。</w:t>
            </w:r>
          </w:p>
        </w:tc>
        <w:tc>
          <w:tcPr>
            <w:tcW w:w="2402" w:type="dxa"/>
            <w:tcBorders>
              <w:right w:val="single" w:color="000000" w:sz="6" w:space="0"/>
            </w:tcBorders>
            <w:vAlign w:val="top"/>
          </w:tcPr>
          <w:p w14:paraId="57C69EFD">
            <w:pPr>
              <w:spacing w:line="244" w:lineRule="auto"/>
              <w:rPr>
                <w:rFonts w:ascii="Arial"/>
                <w:sz w:val="21"/>
              </w:rPr>
            </w:pPr>
          </w:p>
          <w:p w14:paraId="2A55588A">
            <w:pPr>
              <w:pStyle w:val="6"/>
              <w:spacing w:before="65" w:line="239" w:lineRule="auto"/>
              <w:ind w:left="157" w:right="143" w:firstLine="2"/>
              <w:rPr>
                <w:sz w:val="20"/>
                <w:szCs w:val="20"/>
              </w:rPr>
            </w:pPr>
            <w:r>
              <w:rPr>
                <w:spacing w:val="8"/>
                <w:sz w:val="20"/>
                <w:szCs w:val="20"/>
              </w:rPr>
              <w:t>升压站厂界噪声达《工</w:t>
            </w:r>
            <w:r>
              <w:rPr>
                <w:spacing w:val="6"/>
                <w:sz w:val="20"/>
                <w:szCs w:val="20"/>
              </w:rPr>
              <w:t xml:space="preserve"> </w:t>
            </w:r>
            <w:r>
              <w:rPr>
                <w:spacing w:val="9"/>
                <w:sz w:val="20"/>
                <w:szCs w:val="20"/>
              </w:rPr>
              <w:t>业企业厂界环境噪声排</w:t>
            </w:r>
          </w:p>
          <w:p w14:paraId="197082BF">
            <w:pPr>
              <w:pStyle w:val="6"/>
              <w:spacing w:before="26" w:line="228" w:lineRule="auto"/>
              <w:ind w:left="787"/>
              <w:rPr>
                <w:sz w:val="20"/>
                <w:szCs w:val="20"/>
              </w:rPr>
            </w:pPr>
            <w:r>
              <w:rPr>
                <w:spacing w:val="5"/>
                <w:sz w:val="20"/>
                <w:szCs w:val="20"/>
              </w:rPr>
              <w:t>放标准》</w:t>
            </w:r>
          </w:p>
          <w:p w14:paraId="585D3339">
            <w:pPr>
              <w:pStyle w:val="6"/>
              <w:spacing w:before="26" w:line="243" w:lineRule="auto"/>
              <w:ind w:left="159" w:right="143" w:firstLine="11"/>
              <w:rPr>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spacing w:val="5"/>
                <w:sz w:val="20"/>
                <w:szCs w:val="20"/>
              </w:rPr>
              <w:t>）</w:t>
            </w:r>
            <w:r>
              <w:rPr>
                <w:rFonts w:ascii="Times New Roman" w:hAnsi="Times New Roman" w:eastAsia="Times New Roman" w:cs="Times New Roman"/>
                <w:spacing w:val="5"/>
                <w:sz w:val="20"/>
                <w:szCs w:val="20"/>
              </w:rPr>
              <w:t xml:space="preserve">2 </w:t>
            </w:r>
            <w:r>
              <w:rPr>
                <w:spacing w:val="5"/>
                <w:sz w:val="20"/>
                <w:szCs w:val="20"/>
              </w:rPr>
              <w:t>类</w:t>
            </w:r>
            <w:r>
              <w:rPr>
                <w:spacing w:val="4"/>
                <w:sz w:val="20"/>
                <w:szCs w:val="20"/>
              </w:rPr>
              <w:t xml:space="preserve"> </w:t>
            </w:r>
            <w:r>
              <w:rPr>
                <w:spacing w:val="8"/>
                <w:sz w:val="20"/>
                <w:szCs w:val="20"/>
              </w:rPr>
              <w:t>要求；敏感点处噪声达</w:t>
            </w:r>
            <w:r>
              <w:rPr>
                <w:spacing w:val="7"/>
                <w:sz w:val="20"/>
                <w:szCs w:val="20"/>
              </w:rPr>
              <w:t xml:space="preserve"> </w:t>
            </w:r>
            <w:r>
              <w:rPr>
                <w:spacing w:val="19"/>
                <w:sz w:val="20"/>
                <w:szCs w:val="20"/>
              </w:rPr>
              <w:t>《声环境质量标准》</w:t>
            </w:r>
          </w:p>
          <w:p w14:paraId="05EEC602">
            <w:pPr>
              <w:pStyle w:val="6"/>
              <w:spacing w:before="25" w:line="228" w:lineRule="auto"/>
              <w:ind w:left="128"/>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3096-2008</w:t>
            </w:r>
            <w:r>
              <w:rPr>
                <w:spacing w:val="4"/>
                <w:sz w:val="20"/>
                <w:szCs w:val="20"/>
              </w:rPr>
              <w:t>）</w:t>
            </w:r>
            <w:r>
              <w:rPr>
                <w:rFonts w:ascii="Times New Roman" w:hAnsi="Times New Roman" w:eastAsia="Times New Roman" w:cs="Times New Roman"/>
                <w:spacing w:val="4"/>
                <w:sz w:val="20"/>
                <w:szCs w:val="20"/>
              </w:rPr>
              <w:t xml:space="preserve">1 </w:t>
            </w:r>
            <w:r>
              <w:rPr>
                <w:spacing w:val="4"/>
                <w:sz w:val="20"/>
                <w:szCs w:val="20"/>
              </w:rPr>
              <w:t>类标</w:t>
            </w:r>
          </w:p>
          <w:p w14:paraId="412272E1">
            <w:pPr>
              <w:pStyle w:val="6"/>
              <w:spacing w:before="24" w:line="229" w:lineRule="auto"/>
              <w:ind w:left="1103"/>
              <w:rPr>
                <w:sz w:val="20"/>
                <w:szCs w:val="20"/>
              </w:rPr>
            </w:pPr>
            <w:r>
              <w:rPr>
                <w:sz w:val="20"/>
                <w:szCs w:val="20"/>
              </w:rPr>
              <w:t>准</w:t>
            </w:r>
          </w:p>
        </w:tc>
      </w:tr>
      <w:tr w14:paraId="21030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686" w:type="dxa"/>
            <w:vMerge w:val="continue"/>
            <w:tcBorders>
              <w:top w:val="nil"/>
              <w:left w:val="single" w:color="000000" w:sz="6" w:space="0"/>
              <w:bottom w:val="single" w:color="000000" w:sz="6" w:space="0"/>
            </w:tcBorders>
            <w:vAlign w:val="top"/>
          </w:tcPr>
          <w:p w14:paraId="49CFC3E2">
            <w:pPr>
              <w:rPr>
                <w:rFonts w:ascii="Arial"/>
                <w:sz w:val="21"/>
              </w:rPr>
            </w:pPr>
          </w:p>
        </w:tc>
        <w:tc>
          <w:tcPr>
            <w:tcW w:w="4055" w:type="dxa"/>
            <w:tcBorders>
              <w:bottom w:val="single" w:color="000000" w:sz="6" w:space="0"/>
            </w:tcBorders>
            <w:vAlign w:val="top"/>
          </w:tcPr>
          <w:p w14:paraId="0D96BD58">
            <w:pPr>
              <w:spacing w:line="346" w:lineRule="auto"/>
              <w:rPr>
                <w:rFonts w:ascii="Arial"/>
                <w:sz w:val="21"/>
              </w:rPr>
            </w:pPr>
          </w:p>
          <w:p w14:paraId="180C8F0D">
            <w:pPr>
              <w:spacing w:line="346" w:lineRule="auto"/>
              <w:rPr>
                <w:rFonts w:ascii="Arial"/>
                <w:sz w:val="21"/>
              </w:rPr>
            </w:pPr>
          </w:p>
          <w:p w14:paraId="127370B8">
            <w:pPr>
              <w:spacing w:before="58" w:line="199" w:lineRule="auto"/>
              <w:ind w:left="19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38" w:type="dxa"/>
            <w:tcBorders>
              <w:bottom w:val="single" w:color="000000" w:sz="6" w:space="0"/>
            </w:tcBorders>
            <w:vAlign w:val="top"/>
          </w:tcPr>
          <w:p w14:paraId="6E5B6959">
            <w:pPr>
              <w:spacing w:line="346" w:lineRule="auto"/>
              <w:rPr>
                <w:rFonts w:ascii="Arial"/>
                <w:sz w:val="21"/>
              </w:rPr>
            </w:pPr>
          </w:p>
          <w:p w14:paraId="51B06D3F">
            <w:pPr>
              <w:spacing w:line="346" w:lineRule="auto"/>
              <w:rPr>
                <w:rFonts w:ascii="Arial"/>
                <w:sz w:val="21"/>
              </w:rPr>
            </w:pPr>
          </w:p>
          <w:p w14:paraId="654F6DA7">
            <w:pPr>
              <w:spacing w:before="58" w:line="199" w:lineRule="auto"/>
              <w:ind w:left="1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507" w:type="dxa"/>
            <w:tcBorders>
              <w:bottom w:val="single" w:color="000000" w:sz="6" w:space="0"/>
            </w:tcBorders>
            <w:vAlign w:val="top"/>
          </w:tcPr>
          <w:p w14:paraId="4D9A654E">
            <w:pPr>
              <w:pStyle w:val="6"/>
              <w:spacing w:before="43" w:line="228" w:lineRule="auto"/>
              <w:ind w:left="109"/>
              <w:rPr>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spacing w:val="1"/>
                <w:sz w:val="20"/>
                <w:szCs w:val="20"/>
              </w:rPr>
              <w:t>、废水</w:t>
            </w:r>
          </w:p>
          <w:p w14:paraId="197E5DEF">
            <w:pPr>
              <w:pStyle w:val="6"/>
              <w:spacing w:before="24" w:line="228" w:lineRule="auto"/>
              <w:ind w:right="6"/>
              <w:jc w:val="right"/>
              <w:rPr>
                <w:sz w:val="20"/>
                <w:szCs w:val="20"/>
              </w:rPr>
            </w:pPr>
            <w:r>
              <w:rPr>
                <w:spacing w:val="3"/>
                <w:sz w:val="20"/>
                <w:szCs w:val="20"/>
              </w:rPr>
              <w:t>（</w:t>
            </w:r>
            <w:r>
              <w:rPr>
                <w:rFonts w:ascii="Times New Roman" w:hAnsi="Times New Roman" w:eastAsia="Times New Roman" w:cs="Times New Roman"/>
                <w:spacing w:val="3"/>
                <w:sz w:val="20"/>
                <w:szCs w:val="20"/>
              </w:rPr>
              <w:t>1</w:t>
            </w:r>
            <w:r>
              <w:rPr>
                <w:spacing w:val="3"/>
                <w:sz w:val="20"/>
                <w:szCs w:val="20"/>
              </w:rPr>
              <w:t>）监测点位：一体化污水处理设施进、出口。</w:t>
            </w:r>
          </w:p>
          <w:p w14:paraId="62EF41B7">
            <w:pPr>
              <w:pStyle w:val="6"/>
              <w:spacing w:before="24"/>
              <w:ind w:left="118" w:right="32" w:firstLine="4"/>
              <w:rPr>
                <w:sz w:val="20"/>
                <w:szCs w:val="20"/>
              </w:rPr>
            </w:pPr>
            <w:r>
              <w:rPr>
                <w:spacing w:val="-3"/>
                <w:sz w:val="20"/>
                <w:szCs w:val="20"/>
              </w:rPr>
              <w:t>（</w:t>
            </w:r>
            <w:r>
              <w:rPr>
                <w:rFonts w:ascii="Times New Roman" w:hAnsi="Times New Roman" w:eastAsia="Times New Roman" w:cs="Times New Roman"/>
                <w:spacing w:val="-3"/>
                <w:sz w:val="20"/>
                <w:szCs w:val="20"/>
              </w:rPr>
              <w:t>2</w:t>
            </w:r>
            <w:r>
              <w:rPr>
                <w:spacing w:val="-3"/>
                <w:sz w:val="20"/>
                <w:szCs w:val="20"/>
              </w:rPr>
              <w:t>）监测因子：</w:t>
            </w:r>
            <w:r>
              <w:rPr>
                <w:rFonts w:ascii="Times New Roman" w:hAnsi="Times New Roman" w:eastAsia="Times New Roman" w:cs="Times New Roman"/>
                <w:spacing w:val="-3"/>
                <w:sz w:val="20"/>
                <w:szCs w:val="20"/>
              </w:rPr>
              <w:t>pH</w:t>
            </w:r>
            <w:r>
              <w:rPr>
                <w:rFonts w:ascii="Times New Roman" w:hAnsi="Times New Roman" w:eastAsia="Times New Roman" w:cs="Times New Roman"/>
                <w:spacing w:val="-15"/>
                <w:sz w:val="20"/>
                <w:szCs w:val="20"/>
              </w:rPr>
              <w:t xml:space="preserve"> </w:t>
            </w:r>
            <w:r>
              <w:rPr>
                <w:spacing w:val="-3"/>
                <w:sz w:val="20"/>
                <w:szCs w:val="20"/>
              </w:rPr>
              <w:t>、</w:t>
            </w:r>
            <w:r>
              <w:rPr>
                <w:rFonts w:ascii="Times New Roman" w:hAnsi="Times New Roman" w:eastAsia="Times New Roman" w:cs="Times New Roman"/>
                <w:spacing w:val="-3"/>
                <w:sz w:val="20"/>
                <w:szCs w:val="20"/>
              </w:rPr>
              <w:t>COD</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BOD5</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SS</w:t>
            </w:r>
            <w:r>
              <w:rPr>
                <w:rFonts w:ascii="Times New Roman" w:hAnsi="Times New Roman" w:eastAsia="Times New Roman" w:cs="Times New Roman"/>
                <w:spacing w:val="-26"/>
                <w:sz w:val="20"/>
                <w:szCs w:val="20"/>
              </w:rPr>
              <w:t xml:space="preserve"> </w:t>
            </w:r>
            <w:r>
              <w:rPr>
                <w:spacing w:val="-3"/>
                <w:sz w:val="20"/>
                <w:szCs w:val="20"/>
              </w:rPr>
              <w:t>、氨氮、</w:t>
            </w:r>
            <w:r>
              <w:rPr>
                <w:sz w:val="20"/>
                <w:szCs w:val="20"/>
              </w:rPr>
              <w:t xml:space="preserve"> </w:t>
            </w:r>
            <w:r>
              <w:rPr>
                <w:spacing w:val="3"/>
                <w:sz w:val="20"/>
                <w:szCs w:val="20"/>
              </w:rPr>
              <w:t>总磷等。</w:t>
            </w:r>
          </w:p>
          <w:p w14:paraId="4683D978">
            <w:pPr>
              <w:pStyle w:val="6"/>
              <w:spacing w:before="24" w:line="234" w:lineRule="auto"/>
              <w:ind w:left="119" w:right="101" w:firstLine="3"/>
              <w:rPr>
                <w:sz w:val="20"/>
                <w:szCs w:val="20"/>
              </w:rPr>
            </w:pPr>
            <w:r>
              <w:rPr>
                <w:spacing w:val="8"/>
                <w:sz w:val="20"/>
                <w:szCs w:val="20"/>
              </w:rPr>
              <w:t>（</w:t>
            </w:r>
            <w:r>
              <w:rPr>
                <w:rFonts w:ascii="Times New Roman" w:hAnsi="Times New Roman" w:eastAsia="Times New Roman" w:cs="Times New Roman"/>
                <w:spacing w:val="8"/>
                <w:sz w:val="20"/>
                <w:szCs w:val="20"/>
              </w:rPr>
              <w:t>3</w:t>
            </w:r>
            <w:r>
              <w:rPr>
                <w:spacing w:val="8"/>
                <w:sz w:val="20"/>
                <w:szCs w:val="20"/>
              </w:rPr>
              <w:t xml:space="preserve">）监测频次：环保竣工验收时监测一次。运 </w:t>
            </w:r>
            <w:r>
              <w:rPr>
                <w:spacing w:val="6"/>
                <w:sz w:val="20"/>
                <w:szCs w:val="20"/>
              </w:rPr>
              <w:t>营期每年一次。</w:t>
            </w:r>
          </w:p>
        </w:tc>
        <w:tc>
          <w:tcPr>
            <w:tcW w:w="2402" w:type="dxa"/>
            <w:tcBorders>
              <w:bottom w:val="single" w:color="000000" w:sz="6" w:space="0"/>
              <w:right w:val="single" w:color="000000" w:sz="6" w:space="0"/>
            </w:tcBorders>
            <w:vAlign w:val="top"/>
          </w:tcPr>
          <w:p w14:paraId="5EC3E5ED">
            <w:pPr>
              <w:pStyle w:val="6"/>
              <w:spacing w:before="176" w:line="246" w:lineRule="auto"/>
              <w:ind w:left="156" w:right="131" w:firstLine="1"/>
              <w:rPr>
                <w:sz w:val="20"/>
                <w:szCs w:val="20"/>
              </w:rPr>
            </w:pPr>
            <w:r>
              <w:rPr>
                <w:spacing w:val="9"/>
                <w:sz w:val="20"/>
                <w:szCs w:val="20"/>
              </w:rPr>
              <w:t>达到《城市污水再生利</w:t>
            </w:r>
            <w:r>
              <w:rPr>
                <w:sz w:val="20"/>
                <w:szCs w:val="20"/>
              </w:rPr>
              <w:t xml:space="preserve"> </w:t>
            </w:r>
            <w:r>
              <w:rPr>
                <w:spacing w:val="12"/>
                <w:sz w:val="20"/>
                <w:szCs w:val="20"/>
              </w:rPr>
              <w:t>用 城市杂用水水质》</w:t>
            </w:r>
            <w:r>
              <w:rPr>
                <w:spacing w:val="4"/>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/T18920-2020</w:t>
            </w:r>
            <w:r>
              <w:rPr>
                <w:spacing w:val="5"/>
                <w:sz w:val="20"/>
                <w:szCs w:val="20"/>
              </w:rPr>
              <w:t xml:space="preserve">）中 </w:t>
            </w:r>
            <w:r>
              <w:rPr>
                <w:spacing w:val="9"/>
                <w:sz w:val="20"/>
                <w:szCs w:val="20"/>
              </w:rPr>
              <w:t>城市绿化标准后回用于</w:t>
            </w:r>
          </w:p>
          <w:p w14:paraId="29E69C22">
            <w:pPr>
              <w:pStyle w:val="6"/>
              <w:spacing w:before="24" w:line="228" w:lineRule="auto"/>
              <w:ind w:left="580"/>
              <w:rPr>
                <w:sz w:val="20"/>
                <w:szCs w:val="20"/>
              </w:rPr>
            </w:pPr>
            <w:r>
              <w:rPr>
                <w:spacing w:val="7"/>
                <w:sz w:val="20"/>
                <w:szCs w:val="20"/>
              </w:rPr>
              <w:t>绿化，不外排</w:t>
            </w:r>
          </w:p>
        </w:tc>
      </w:tr>
    </w:tbl>
    <w:p w14:paraId="2CEE1144">
      <w:pPr>
        <w:rPr>
          <w:rFonts w:ascii="Arial"/>
          <w:sz w:val="21"/>
        </w:rPr>
      </w:pPr>
    </w:p>
    <w:p w14:paraId="7FEB296A">
      <w:pPr>
        <w:rPr>
          <w:rFonts w:ascii="Arial" w:hAnsi="Arial" w:eastAsia="Arial" w:cs="Arial"/>
          <w:sz w:val="21"/>
          <w:szCs w:val="21"/>
        </w:rPr>
        <w:sectPr>
          <w:footerReference r:id="rId177" w:type="default"/>
          <w:pgSz w:w="16839" w:h="11906"/>
          <w:pgMar w:top="1012" w:right="1417" w:bottom="1278" w:left="1417" w:header="0" w:footer="1116" w:gutter="0"/>
          <w:cols w:space="720" w:num="1"/>
        </w:sectPr>
      </w:pPr>
    </w:p>
    <w:p w14:paraId="4F23A681">
      <w:pPr>
        <w:spacing w:before="18"/>
      </w:pPr>
    </w:p>
    <w:p w14:paraId="3B0D307A">
      <w:pPr>
        <w:spacing w:before="18"/>
      </w:pPr>
    </w:p>
    <w:tbl>
      <w:tblPr>
        <w:tblStyle w:val="5"/>
        <w:tblW w:w="13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4055"/>
        <w:gridCol w:w="2338"/>
        <w:gridCol w:w="4507"/>
        <w:gridCol w:w="2402"/>
      </w:tblGrid>
      <w:tr w14:paraId="2FEAD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686" w:type="dxa"/>
            <w:vMerge w:val="restart"/>
            <w:tcBorders>
              <w:top w:val="single" w:color="000000" w:sz="6" w:space="0"/>
              <w:left w:val="single" w:color="000000" w:sz="6" w:space="0"/>
              <w:bottom w:val="nil"/>
            </w:tcBorders>
            <w:vAlign w:val="top"/>
          </w:tcPr>
          <w:p w14:paraId="16C59EEF">
            <w:pPr>
              <w:rPr>
                <w:rFonts w:ascii="Arial"/>
                <w:sz w:val="21"/>
              </w:rPr>
            </w:pPr>
          </w:p>
        </w:tc>
        <w:tc>
          <w:tcPr>
            <w:tcW w:w="4055" w:type="dxa"/>
            <w:vMerge w:val="restart"/>
            <w:tcBorders>
              <w:top w:val="single" w:color="000000" w:sz="6" w:space="0"/>
              <w:bottom w:val="nil"/>
            </w:tcBorders>
            <w:vAlign w:val="top"/>
          </w:tcPr>
          <w:p w14:paraId="53EC33DD">
            <w:pPr>
              <w:spacing w:line="242" w:lineRule="auto"/>
              <w:rPr>
                <w:rFonts w:ascii="Arial"/>
                <w:sz w:val="21"/>
              </w:rPr>
            </w:pPr>
          </w:p>
          <w:p w14:paraId="38C4BBC0">
            <w:pPr>
              <w:spacing w:line="242" w:lineRule="auto"/>
              <w:rPr>
                <w:rFonts w:ascii="Arial"/>
                <w:sz w:val="21"/>
              </w:rPr>
            </w:pPr>
          </w:p>
          <w:p w14:paraId="6214F94A">
            <w:pPr>
              <w:spacing w:line="242" w:lineRule="auto"/>
              <w:rPr>
                <w:rFonts w:ascii="Arial"/>
                <w:sz w:val="21"/>
              </w:rPr>
            </w:pPr>
          </w:p>
          <w:p w14:paraId="52CBE8EB">
            <w:pPr>
              <w:spacing w:line="242" w:lineRule="auto"/>
              <w:rPr>
                <w:rFonts w:ascii="Arial"/>
                <w:sz w:val="21"/>
              </w:rPr>
            </w:pPr>
          </w:p>
          <w:p w14:paraId="46657023">
            <w:pPr>
              <w:spacing w:line="242" w:lineRule="auto"/>
              <w:rPr>
                <w:rFonts w:ascii="Arial"/>
                <w:sz w:val="21"/>
              </w:rPr>
            </w:pPr>
          </w:p>
          <w:p w14:paraId="08F192A0">
            <w:pPr>
              <w:spacing w:line="242" w:lineRule="auto"/>
              <w:rPr>
                <w:rFonts w:ascii="Arial"/>
                <w:sz w:val="21"/>
              </w:rPr>
            </w:pPr>
          </w:p>
          <w:p w14:paraId="2EAF4E2E">
            <w:pPr>
              <w:spacing w:line="242" w:lineRule="auto"/>
              <w:rPr>
                <w:rFonts w:ascii="Arial"/>
                <w:sz w:val="21"/>
              </w:rPr>
            </w:pPr>
          </w:p>
          <w:p w14:paraId="3C200642">
            <w:pPr>
              <w:spacing w:line="242" w:lineRule="auto"/>
              <w:rPr>
                <w:rFonts w:ascii="Arial"/>
                <w:sz w:val="21"/>
              </w:rPr>
            </w:pPr>
          </w:p>
          <w:p w14:paraId="6972A061">
            <w:pPr>
              <w:spacing w:line="243" w:lineRule="auto"/>
              <w:rPr>
                <w:rFonts w:ascii="Arial"/>
                <w:sz w:val="21"/>
              </w:rPr>
            </w:pPr>
          </w:p>
          <w:p w14:paraId="34DEF58E">
            <w:pPr>
              <w:spacing w:before="58" w:line="199" w:lineRule="auto"/>
              <w:ind w:left="19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38" w:type="dxa"/>
            <w:vMerge w:val="restart"/>
            <w:tcBorders>
              <w:top w:val="single" w:color="000000" w:sz="6" w:space="0"/>
              <w:bottom w:val="nil"/>
            </w:tcBorders>
            <w:vAlign w:val="top"/>
          </w:tcPr>
          <w:p w14:paraId="1189CD68">
            <w:pPr>
              <w:spacing w:line="242" w:lineRule="auto"/>
              <w:rPr>
                <w:rFonts w:ascii="Arial"/>
                <w:sz w:val="21"/>
              </w:rPr>
            </w:pPr>
          </w:p>
          <w:p w14:paraId="48C0C56F">
            <w:pPr>
              <w:spacing w:line="242" w:lineRule="auto"/>
              <w:rPr>
                <w:rFonts w:ascii="Arial"/>
                <w:sz w:val="21"/>
              </w:rPr>
            </w:pPr>
          </w:p>
          <w:p w14:paraId="53632F9C">
            <w:pPr>
              <w:spacing w:line="242" w:lineRule="auto"/>
              <w:rPr>
                <w:rFonts w:ascii="Arial"/>
                <w:sz w:val="21"/>
              </w:rPr>
            </w:pPr>
          </w:p>
          <w:p w14:paraId="1BA299C4">
            <w:pPr>
              <w:spacing w:line="242" w:lineRule="auto"/>
              <w:rPr>
                <w:rFonts w:ascii="Arial"/>
                <w:sz w:val="21"/>
              </w:rPr>
            </w:pPr>
          </w:p>
          <w:p w14:paraId="7E505ABE">
            <w:pPr>
              <w:spacing w:line="242" w:lineRule="auto"/>
              <w:rPr>
                <w:rFonts w:ascii="Arial"/>
                <w:sz w:val="21"/>
              </w:rPr>
            </w:pPr>
          </w:p>
          <w:p w14:paraId="5FE9A597">
            <w:pPr>
              <w:spacing w:line="242" w:lineRule="auto"/>
              <w:rPr>
                <w:rFonts w:ascii="Arial"/>
                <w:sz w:val="21"/>
              </w:rPr>
            </w:pPr>
          </w:p>
          <w:p w14:paraId="73700D67">
            <w:pPr>
              <w:spacing w:line="242" w:lineRule="auto"/>
              <w:rPr>
                <w:rFonts w:ascii="Arial"/>
                <w:sz w:val="21"/>
              </w:rPr>
            </w:pPr>
          </w:p>
          <w:p w14:paraId="3EF5379A">
            <w:pPr>
              <w:spacing w:line="242" w:lineRule="auto"/>
              <w:rPr>
                <w:rFonts w:ascii="Arial"/>
                <w:sz w:val="21"/>
              </w:rPr>
            </w:pPr>
          </w:p>
          <w:p w14:paraId="632C75E4">
            <w:pPr>
              <w:spacing w:line="243" w:lineRule="auto"/>
              <w:rPr>
                <w:rFonts w:ascii="Arial"/>
                <w:sz w:val="21"/>
              </w:rPr>
            </w:pPr>
          </w:p>
          <w:p w14:paraId="79128F96">
            <w:pPr>
              <w:spacing w:before="58" w:line="199" w:lineRule="auto"/>
              <w:ind w:left="1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507" w:type="dxa"/>
            <w:tcBorders>
              <w:top w:val="single" w:color="000000" w:sz="6" w:space="0"/>
            </w:tcBorders>
            <w:vAlign w:val="top"/>
          </w:tcPr>
          <w:p w14:paraId="7BC7C611">
            <w:pPr>
              <w:pStyle w:val="6"/>
              <w:spacing w:before="36" w:line="228" w:lineRule="auto"/>
              <w:ind w:left="113"/>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3"/>
                <w:sz w:val="20"/>
                <w:szCs w:val="20"/>
              </w:rPr>
              <w:t xml:space="preserve"> </w:t>
            </w:r>
            <w:r>
              <w:rPr>
                <w:spacing w:val="3"/>
                <w:sz w:val="20"/>
                <w:szCs w:val="20"/>
              </w:rPr>
              <w:t>、电磁辐射</w:t>
            </w:r>
          </w:p>
          <w:p w14:paraId="7EFDE352">
            <w:pPr>
              <w:pStyle w:val="6"/>
              <w:spacing w:before="25" w:line="248" w:lineRule="auto"/>
              <w:ind w:left="113" w:right="30" w:firstLine="9"/>
              <w:rPr>
                <w:sz w:val="20"/>
                <w:szCs w:val="20"/>
              </w:rPr>
            </w:pPr>
            <w:r>
              <w:rPr>
                <w:spacing w:val="2"/>
                <w:sz w:val="20"/>
                <w:szCs w:val="20"/>
              </w:rPr>
              <w:t>（</w:t>
            </w:r>
            <w:r>
              <w:rPr>
                <w:rFonts w:ascii="Times New Roman" w:hAnsi="Times New Roman" w:eastAsia="Times New Roman" w:cs="Times New Roman"/>
                <w:spacing w:val="2"/>
                <w:sz w:val="20"/>
                <w:szCs w:val="20"/>
              </w:rPr>
              <w:t>1</w:t>
            </w:r>
            <w:r>
              <w:rPr>
                <w:spacing w:val="2"/>
                <w:sz w:val="20"/>
                <w:szCs w:val="20"/>
              </w:rPr>
              <w:t>）监测点位：升压站（含储能场区）东、南、</w:t>
            </w:r>
            <w:r>
              <w:rPr>
                <w:spacing w:val="3"/>
                <w:sz w:val="20"/>
                <w:szCs w:val="20"/>
              </w:rPr>
              <w:t xml:space="preserve"> 西、北围墙外</w:t>
            </w:r>
            <w:r>
              <w:rPr>
                <w:spacing w:val="-31"/>
                <w:sz w:val="20"/>
                <w:szCs w:val="20"/>
              </w:rPr>
              <w:t xml:space="preserve"> </w:t>
            </w:r>
            <w:r>
              <w:rPr>
                <w:rFonts w:ascii="Times New Roman" w:hAnsi="Times New Roman" w:eastAsia="Times New Roman" w:cs="Times New Roman"/>
                <w:spacing w:val="3"/>
                <w:sz w:val="20"/>
                <w:szCs w:val="20"/>
              </w:rPr>
              <w:t>5m</w:t>
            </w:r>
            <w:r>
              <w:rPr>
                <w:rFonts w:ascii="Times New Roman" w:hAnsi="Times New Roman" w:eastAsia="Times New Roman" w:cs="Times New Roman"/>
                <w:spacing w:val="16"/>
                <w:sz w:val="20"/>
                <w:szCs w:val="20"/>
              </w:rPr>
              <w:t xml:space="preserve"> </w:t>
            </w:r>
            <w:r>
              <w:rPr>
                <w:spacing w:val="3"/>
                <w:sz w:val="20"/>
                <w:szCs w:val="20"/>
              </w:rPr>
              <w:t>处各设</w:t>
            </w:r>
            <w:r>
              <w:rPr>
                <w:spacing w:val="-21"/>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个监测点位；储能站</w:t>
            </w:r>
            <w:r>
              <w:rPr>
                <w:sz w:val="20"/>
                <w:szCs w:val="20"/>
              </w:rPr>
              <w:t xml:space="preserve"> </w:t>
            </w:r>
            <w:r>
              <w:rPr>
                <w:spacing w:val="-3"/>
                <w:sz w:val="20"/>
                <w:szCs w:val="20"/>
              </w:rPr>
              <w:t>东、南、西、北围墙外</w:t>
            </w:r>
            <w:r>
              <w:rPr>
                <w:spacing w:val="-38"/>
                <w:sz w:val="20"/>
                <w:szCs w:val="20"/>
              </w:rPr>
              <w:t xml:space="preserve"> </w:t>
            </w:r>
            <w:r>
              <w:rPr>
                <w:rFonts w:ascii="Times New Roman" w:hAnsi="Times New Roman" w:eastAsia="Times New Roman" w:cs="Times New Roman"/>
                <w:spacing w:val="-3"/>
                <w:sz w:val="20"/>
                <w:szCs w:val="20"/>
              </w:rPr>
              <w:t>5m</w:t>
            </w:r>
            <w:r>
              <w:rPr>
                <w:rFonts w:ascii="Times New Roman" w:hAnsi="Times New Roman" w:eastAsia="Times New Roman" w:cs="Times New Roman"/>
                <w:spacing w:val="16"/>
                <w:sz w:val="20"/>
                <w:szCs w:val="20"/>
              </w:rPr>
              <w:t xml:space="preserve"> </w:t>
            </w:r>
            <w:r>
              <w:rPr>
                <w:spacing w:val="-3"/>
                <w:sz w:val="20"/>
                <w:szCs w:val="20"/>
              </w:rPr>
              <w:t>处各设</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2"/>
                <w:sz w:val="20"/>
                <w:szCs w:val="20"/>
              </w:rPr>
              <w:t xml:space="preserve"> </w:t>
            </w:r>
            <w:r>
              <w:rPr>
                <w:spacing w:val="-3"/>
                <w:sz w:val="20"/>
                <w:szCs w:val="20"/>
              </w:rPr>
              <w:t>个监测点位；</w:t>
            </w:r>
            <w:r>
              <w:rPr>
                <w:sz w:val="20"/>
                <w:szCs w:val="20"/>
              </w:rPr>
              <w:t xml:space="preserve"> </w:t>
            </w:r>
            <w:r>
              <w:rPr>
                <w:spacing w:val="9"/>
                <w:sz w:val="20"/>
                <w:szCs w:val="20"/>
              </w:rPr>
              <w:t>升压站厂界电磁衰减断面以升压站围墙周围的</w:t>
            </w:r>
            <w:r>
              <w:rPr>
                <w:spacing w:val="3"/>
                <w:sz w:val="20"/>
                <w:szCs w:val="20"/>
              </w:rPr>
              <w:t xml:space="preserve">  </w:t>
            </w:r>
            <w:r>
              <w:rPr>
                <w:spacing w:val="9"/>
                <w:sz w:val="20"/>
                <w:szCs w:val="20"/>
              </w:rPr>
              <w:t>工频电场、工频磁场最大值处为起点，在垂直</w:t>
            </w:r>
            <w:r>
              <w:rPr>
                <w:spacing w:val="3"/>
                <w:sz w:val="20"/>
                <w:szCs w:val="20"/>
              </w:rPr>
              <w:t xml:space="preserve">  </w:t>
            </w:r>
            <w:r>
              <w:rPr>
                <w:spacing w:val="6"/>
                <w:sz w:val="20"/>
                <w:szCs w:val="20"/>
              </w:rPr>
              <w:t>于围墙的方向上布设，监测点间距为</w:t>
            </w:r>
            <w:r>
              <w:rPr>
                <w:spacing w:val="-24"/>
                <w:sz w:val="20"/>
                <w:szCs w:val="20"/>
              </w:rPr>
              <w:t xml:space="preserve"> </w:t>
            </w:r>
            <w:r>
              <w:rPr>
                <w:rFonts w:ascii="Times New Roman" w:hAnsi="Times New Roman" w:eastAsia="Times New Roman" w:cs="Times New Roman"/>
                <w:spacing w:val="6"/>
                <w:sz w:val="20"/>
                <w:szCs w:val="20"/>
              </w:rPr>
              <w:t>5m</w:t>
            </w:r>
            <w:r>
              <w:rPr>
                <w:rFonts w:ascii="Times New Roman" w:hAnsi="Times New Roman" w:eastAsia="Times New Roman" w:cs="Times New Roman"/>
                <w:spacing w:val="-24"/>
                <w:sz w:val="20"/>
                <w:szCs w:val="20"/>
              </w:rPr>
              <w:t xml:space="preserve"> </w:t>
            </w:r>
            <w:r>
              <w:rPr>
                <w:spacing w:val="6"/>
                <w:sz w:val="20"/>
                <w:szCs w:val="20"/>
              </w:rPr>
              <w:t>，顺序</w:t>
            </w:r>
            <w:r>
              <w:rPr>
                <w:sz w:val="20"/>
                <w:szCs w:val="20"/>
              </w:rPr>
              <w:t xml:space="preserve"> </w:t>
            </w:r>
            <w:r>
              <w:rPr>
                <w:spacing w:val="6"/>
                <w:sz w:val="20"/>
                <w:szCs w:val="20"/>
              </w:rPr>
              <w:t>测至距离围墙</w:t>
            </w:r>
            <w:r>
              <w:rPr>
                <w:spacing w:val="-33"/>
                <w:sz w:val="20"/>
                <w:szCs w:val="20"/>
              </w:rPr>
              <w:t xml:space="preserve"> </w:t>
            </w:r>
            <w:r>
              <w:rPr>
                <w:rFonts w:ascii="Times New Roman" w:hAnsi="Times New Roman" w:eastAsia="Times New Roman" w:cs="Times New Roman"/>
                <w:spacing w:val="6"/>
                <w:sz w:val="20"/>
                <w:szCs w:val="20"/>
              </w:rPr>
              <w:t xml:space="preserve">50m </w:t>
            </w:r>
            <w:r>
              <w:rPr>
                <w:spacing w:val="6"/>
                <w:sz w:val="20"/>
                <w:szCs w:val="20"/>
              </w:rPr>
              <w:t>处为止。</w:t>
            </w:r>
          </w:p>
          <w:p w14:paraId="50758B89">
            <w:pPr>
              <w:pStyle w:val="6"/>
              <w:spacing w:before="24" w:line="228" w:lineRule="auto"/>
              <w:ind w:left="123"/>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）监测因子：工频电场、工频磁场。</w:t>
            </w:r>
          </w:p>
          <w:p w14:paraId="7C585308">
            <w:pPr>
              <w:pStyle w:val="6"/>
              <w:spacing w:before="25" w:line="231" w:lineRule="auto"/>
              <w:ind w:left="119" w:right="101" w:firstLine="3"/>
              <w:rPr>
                <w:sz w:val="20"/>
                <w:szCs w:val="20"/>
              </w:rPr>
            </w:pPr>
            <w:r>
              <w:rPr>
                <w:spacing w:val="8"/>
                <w:sz w:val="20"/>
                <w:szCs w:val="20"/>
              </w:rPr>
              <w:t>（</w:t>
            </w:r>
            <w:r>
              <w:rPr>
                <w:rFonts w:ascii="Times New Roman" w:hAnsi="Times New Roman" w:eastAsia="Times New Roman" w:cs="Times New Roman"/>
                <w:spacing w:val="8"/>
                <w:sz w:val="20"/>
                <w:szCs w:val="20"/>
              </w:rPr>
              <w:t>3</w:t>
            </w:r>
            <w:r>
              <w:rPr>
                <w:spacing w:val="8"/>
                <w:sz w:val="20"/>
                <w:szCs w:val="20"/>
              </w:rPr>
              <w:t xml:space="preserve">）监测频次：环保竣工验收时监测一次。运 </w:t>
            </w:r>
            <w:r>
              <w:rPr>
                <w:spacing w:val="6"/>
                <w:sz w:val="20"/>
                <w:szCs w:val="20"/>
              </w:rPr>
              <w:t>营期每年一次。</w:t>
            </w:r>
          </w:p>
        </w:tc>
        <w:tc>
          <w:tcPr>
            <w:tcW w:w="2402" w:type="dxa"/>
            <w:tcBorders>
              <w:top w:val="single" w:color="000000" w:sz="6" w:space="0"/>
              <w:right w:val="single" w:color="000000" w:sz="6" w:space="0"/>
            </w:tcBorders>
            <w:vAlign w:val="top"/>
          </w:tcPr>
          <w:p w14:paraId="2956C5B6">
            <w:pPr>
              <w:spacing w:line="263" w:lineRule="auto"/>
              <w:rPr>
                <w:rFonts w:ascii="Arial"/>
                <w:sz w:val="21"/>
              </w:rPr>
            </w:pPr>
          </w:p>
          <w:p w14:paraId="6C7622A5">
            <w:pPr>
              <w:spacing w:line="263" w:lineRule="auto"/>
              <w:rPr>
                <w:rFonts w:ascii="Arial"/>
                <w:sz w:val="21"/>
              </w:rPr>
            </w:pPr>
          </w:p>
          <w:p w14:paraId="536971EA">
            <w:pPr>
              <w:spacing w:line="263" w:lineRule="auto"/>
              <w:rPr>
                <w:rFonts w:ascii="Arial"/>
                <w:sz w:val="21"/>
              </w:rPr>
            </w:pPr>
          </w:p>
          <w:p w14:paraId="53197997">
            <w:pPr>
              <w:spacing w:line="264" w:lineRule="auto"/>
              <w:rPr>
                <w:rFonts w:ascii="Arial"/>
                <w:sz w:val="21"/>
              </w:rPr>
            </w:pPr>
          </w:p>
          <w:p w14:paraId="0299E2D2">
            <w:pPr>
              <w:pStyle w:val="6"/>
              <w:spacing w:before="65" w:line="228" w:lineRule="auto"/>
              <w:ind w:left="157"/>
              <w:rPr>
                <w:sz w:val="20"/>
                <w:szCs w:val="20"/>
              </w:rPr>
            </w:pPr>
            <w:r>
              <w:rPr>
                <w:spacing w:val="9"/>
                <w:sz w:val="20"/>
                <w:szCs w:val="20"/>
              </w:rPr>
              <w:t>达到《电磁环境控制限</w:t>
            </w:r>
          </w:p>
          <w:p w14:paraId="0B779262">
            <w:pPr>
              <w:pStyle w:val="6"/>
              <w:spacing w:before="23" w:line="228" w:lineRule="auto"/>
              <w:ind w:left="117"/>
              <w:rPr>
                <w:sz w:val="20"/>
                <w:szCs w:val="20"/>
              </w:rPr>
            </w:pPr>
            <w:r>
              <w:rPr>
                <w:spacing w:val="1"/>
                <w:sz w:val="20"/>
                <w:szCs w:val="20"/>
              </w:rPr>
              <w:t>值》（</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8702-2014</w:t>
            </w:r>
            <w:r>
              <w:rPr>
                <w:spacing w:val="1"/>
                <w:sz w:val="20"/>
                <w:szCs w:val="20"/>
              </w:rPr>
              <w:t>）标</w:t>
            </w:r>
          </w:p>
          <w:p w14:paraId="020FBE79">
            <w:pPr>
              <w:pStyle w:val="6"/>
              <w:spacing w:before="27" w:line="229" w:lineRule="auto"/>
              <w:ind w:left="894"/>
              <w:rPr>
                <w:sz w:val="20"/>
                <w:szCs w:val="20"/>
              </w:rPr>
            </w:pPr>
            <w:r>
              <w:rPr>
                <w:spacing w:val="6"/>
                <w:sz w:val="20"/>
                <w:szCs w:val="20"/>
              </w:rPr>
              <w:t>准要求</w:t>
            </w:r>
          </w:p>
        </w:tc>
      </w:tr>
      <w:tr w14:paraId="01DFD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34" w:hRule="atLeast"/>
        </w:trPr>
        <w:tc>
          <w:tcPr>
            <w:tcW w:w="686" w:type="dxa"/>
            <w:vMerge w:val="continue"/>
            <w:tcBorders>
              <w:top w:val="nil"/>
              <w:left w:val="single" w:color="000000" w:sz="6" w:space="0"/>
            </w:tcBorders>
            <w:vAlign w:val="top"/>
          </w:tcPr>
          <w:p w14:paraId="720E5EC9">
            <w:pPr>
              <w:rPr>
                <w:rFonts w:ascii="Arial"/>
                <w:sz w:val="21"/>
              </w:rPr>
            </w:pPr>
          </w:p>
        </w:tc>
        <w:tc>
          <w:tcPr>
            <w:tcW w:w="4055" w:type="dxa"/>
            <w:vMerge w:val="continue"/>
            <w:tcBorders>
              <w:top w:val="nil"/>
            </w:tcBorders>
            <w:vAlign w:val="top"/>
          </w:tcPr>
          <w:p w14:paraId="589AB15E">
            <w:pPr>
              <w:rPr>
                <w:rFonts w:ascii="Arial"/>
                <w:sz w:val="21"/>
              </w:rPr>
            </w:pPr>
          </w:p>
        </w:tc>
        <w:tc>
          <w:tcPr>
            <w:tcW w:w="2338" w:type="dxa"/>
            <w:vMerge w:val="continue"/>
            <w:tcBorders>
              <w:top w:val="nil"/>
            </w:tcBorders>
            <w:vAlign w:val="top"/>
          </w:tcPr>
          <w:p w14:paraId="7868176C">
            <w:pPr>
              <w:rPr>
                <w:rFonts w:ascii="Arial"/>
                <w:sz w:val="21"/>
              </w:rPr>
            </w:pPr>
          </w:p>
        </w:tc>
        <w:tc>
          <w:tcPr>
            <w:tcW w:w="4507" w:type="dxa"/>
            <w:vAlign w:val="top"/>
          </w:tcPr>
          <w:p w14:paraId="193FA0C8">
            <w:pPr>
              <w:pStyle w:val="6"/>
              <w:spacing w:before="39" w:line="229" w:lineRule="auto"/>
              <w:ind w:left="108"/>
              <w:rPr>
                <w:sz w:val="20"/>
                <w:szCs w:val="20"/>
              </w:rPr>
            </w:pPr>
            <w:r>
              <w:rPr>
                <w:rFonts w:ascii="Times New Roman" w:hAnsi="Times New Roman" w:eastAsia="Times New Roman" w:cs="Times New Roman"/>
                <w:spacing w:val="4"/>
                <w:sz w:val="20"/>
                <w:szCs w:val="20"/>
              </w:rPr>
              <w:t>4</w:t>
            </w:r>
            <w:r>
              <w:rPr>
                <w:rFonts w:ascii="Times New Roman" w:hAnsi="Times New Roman" w:eastAsia="Times New Roman" w:cs="Times New Roman"/>
                <w:spacing w:val="-24"/>
                <w:sz w:val="20"/>
                <w:szCs w:val="20"/>
              </w:rPr>
              <w:t xml:space="preserve"> </w:t>
            </w:r>
            <w:r>
              <w:rPr>
                <w:spacing w:val="4"/>
                <w:sz w:val="20"/>
                <w:szCs w:val="20"/>
              </w:rPr>
              <w:t>、生态监测</w:t>
            </w:r>
          </w:p>
          <w:p w14:paraId="713D0932">
            <w:pPr>
              <w:pStyle w:val="6"/>
              <w:spacing w:before="21" w:line="242" w:lineRule="auto"/>
              <w:ind w:left="112" w:right="101" w:firstLine="10"/>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 xml:space="preserve">）监测点位：光伏场区光伏板空地、临时场 </w:t>
            </w:r>
            <w:r>
              <w:rPr>
                <w:spacing w:val="3"/>
                <w:sz w:val="20"/>
                <w:szCs w:val="20"/>
              </w:rPr>
              <w:t>地区。</w:t>
            </w:r>
          </w:p>
          <w:p w14:paraId="520B1B4B">
            <w:pPr>
              <w:pStyle w:val="6"/>
              <w:spacing w:before="22"/>
              <w:ind w:left="112" w:right="101" w:firstLine="10"/>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 xml:space="preserve">）监测因子：陆生植物的分布及生态植被植 </w:t>
            </w:r>
            <w:r>
              <w:rPr>
                <w:spacing w:val="6"/>
                <w:sz w:val="20"/>
                <w:szCs w:val="20"/>
              </w:rPr>
              <w:t>物恢复情况。</w:t>
            </w:r>
          </w:p>
          <w:p w14:paraId="72858131">
            <w:pPr>
              <w:pStyle w:val="6"/>
              <w:spacing w:before="24" w:line="206" w:lineRule="auto"/>
              <w:ind w:left="123"/>
              <w:rPr>
                <w:sz w:val="20"/>
                <w:szCs w:val="20"/>
              </w:rPr>
            </w:pPr>
            <w:r>
              <w:rPr>
                <w:spacing w:val="5"/>
                <w:sz w:val="20"/>
                <w:szCs w:val="20"/>
              </w:rPr>
              <w:t>（</w:t>
            </w:r>
            <w:r>
              <w:rPr>
                <w:rFonts w:ascii="Times New Roman" w:hAnsi="Times New Roman" w:eastAsia="Times New Roman" w:cs="Times New Roman"/>
                <w:spacing w:val="5"/>
                <w:sz w:val="20"/>
                <w:szCs w:val="20"/>
              </w:rPr>
              <w:t>3</w:t>
            </w:r>
            <w:r>
              <w:rPr>
                <w:spacing w:val="5"/>
                <w:sz w:val="20"/>
                <w:szCs w:val="20"/>
              </w:rPr>
              <w:t>）监测频次：验收时调查</w:t>
            </w:r>
            <w:r>
              <w:rPr>
                <w:spacing w:val="-22"/>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8"/>
                <w:w w:val="101"/>
                <w:sz w:val="20"/>
                <w:szCs w:val="20"/>
              </w:rPr>
              <w:t xml:space="preserve"> </w:t>
            </w:r>
            <w:r>
              <w:rPr>
                <w:spacing w:val="5"/>
                <w:sz w:val="20"/>
                <w:szCs w:val="20"/>
              </w:rPr>
              <w:t>次。</w:t>
            </w:r>
          </w:p>
        </w:tc>
        <w:tc>
          <w:tcPr>
            <w:tcW w:w="2402" w:type="dxa"/>
            <w:tcBorders>
              <w:right w:val="single" w:color="000000" w:sz="6" w:space="0"/>
            </w:tcBorders>
            <w:vAlign w:val="top"/>
          </w:tcPr>
          <w:p w14:paraId="1DE9EBB6">
            <w:pPr>
              <w:spacing w:line="324" w:lineRule="auto"/>
              <w:rPr>
                <w:rFonts w:ascii="Arial"/>
                <w:sz w:val="21"/>
              </w:rPr>
            </w:pPr>
          </w:p>
          <w:p w14:paraId="66097577">
            <w:pPr>
              <w:spacing w:line="325" w:lineRule="auto"/>
              <w:rPr>
                <w:rFonts w:ascii="Arial"/>
                <w:sz w:val="21"/>
              </w:rPr>
            </w:pPr>
          </w:p>
          <w:p w14:paraId="202F67CF">
            <w:pPr>
              <w:pStyle w:val="6"/>
              <w:spacing w:before="65" w:line="230" w:lineRule="auto"/>
              <w:ind w:left="893"/>
              <w:rPr>
                <w:sz w:val="20"/>
                <w:szCs w:val="20"/>
              </w:rPr>
            </w:pPr>
            <w:r>
              <w:rPr>
                <w:spacing w:val="6"/>
                <w:sz w:val="20"/>
                <w:szCs w:val="20"/>
              </w:rPr>
              <w:t>影响小</w:t>
            </w:r>
          </w:p>
        </w:tc>
      </w:tr>
      <w:tr w14:paraId="79195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686" w:type="dxa"/>
            <w:tcBorders>
              <w:left w:val="single" w:color="000000" w:sz="6" w:space="0"/>
              <w:bottom w:val="single" w:color="000000" w:sz="6" w:space="0"/>
            </w:tcBorders>
            <w:vAlign w:val="top"/>
          </w:tcPr>
          <w:p w14:paraId="0103F840">
            <w:pPr>
              <w:pStyle w:val="6"/>
              <w:spacing w:before="246" w:line="228" w:lineRule="auto"/>
              <w:ind w:left="131"/>
              <w:rPr>
                <w:sz w:val="20"/>
                <w:szCs w:val="20"/>
              </w:rPr>
            </w:pPr>
            <w:r>
              <w:rPr>
                <w:spacing w:val="4"/>
                <w:sz w:val="20"/>
                <w:szCs w:val="20"/>
              </w:rPr>
              <w:t>其他</w:t>
            </w:r>
          </w:p>
        </w:tc>
        <w:tc>
          <w:tcPr>
            <w:tcW w:w="4055" w:type="dxa"/>
            <w:tcBorders>
              <w:bottom w:val="single" w:color="000000" w:sz="6" w:space="0"/>
            </w:tcBorders>
            <w:vAlign w:val="top"/>
          </w:tcPr>
          <w:p w14:paraId="1943F22E">
            <w:pPr>
              <w:spacing w:before="280" w:line="199" w:lineRule="auto"/>
              <w:ind w:left="19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38" w:type="dxa"/>
            <w:tcBorders>
              <w:bottom w:val="single" w:color="000000" w:sz="6" w:space="0"/>
            </w:tcBorders>
            <w:vAlign w:val="top"/>
          </w:tcPr>
          <w:p w14:paraId="1523F060">
            <w:pPr>
              <w:spacing w:before="280" w:line="199" w:lineRule="auto"/>
              <w:ind w:left="1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507" w:type="dxa"/>
            <w:tcBorders>
              <w:bottom w:val="single" w:color="000000" w:sz="6" w:space="0"/>
            </w:tcBorders>
            <w:vAlign w:val="top"/>
          </w:tcPr>
          <w:p w14:paraId="127D12E4">
            <w:pPr>
              <w:spacing w:before="280" w:line="199" w:lineRule="auto"/>
              <w:ind w:left="2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02" w:type="dxa"/>
            <w:tcBorders>
              <w:bottom w:val="single" w:color="000000" w:sz="6" w:space="0"/>
              <w:right w:val="single" w:color="000000" w:sz="6" w:space="0"/>
            </w:tcBorders>
            <w:vAlign w:val="top"/>
          </w:tcPr>
          <w:p w14:paraId="47311EDB">
            <w:pPr>
              <w:spacing w:before="280" w:line="199" w:lineRule="auto"/>
              <w:ind w:left="1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5BA01ACB">
      <w:pPr>
        <w:rPr>
          <w:rFonts w:ascii="Arial"/>
          <w:sz w:val="21"/>
        </w:rPr>
      </w:pPr>
    </w:p>
    <w:p w14:paraId="7D7E37EB">
      <w:pPr>
        <w:rPr>
          <w:rFonts w:ascii="Arial" w:hAnsi="Arial" w:eastAsia="Arial" w:cs="Arial"/>
          <w:sz w:val="21"/>
          <w:szCs w:val="21"/>
        </w:rPr>
        <w:sectPr>
          <w:footerReference r:id="rId178" w:type="default"/>
          <w:pgSz w:w="16839" w:h="11906"/>
          <w:pgMar w:top="1012" w:right="1417" w:bottom="1278" w:left="1417" w:header="0" w:footer="1116" w:gutter="0"/>
          <w:cols w:space="720" w:num="1"/>
        </w:sectPr>
      </w:pPr>
    </w:p>
    <w:p w14:paraId="11094C01">
      <w:pPr>
        <w:spacing w:before="145" w:line="226" w:lineRule="auto"/>
        <w:ind w:left="3955"/>
        <w:outlineLvl w:val="0"/>
        <w:rPr>
          <w:rFonts w:ascii="黑体" w:hAnsi="黑体" w:eastAsia="黑体" w:cs="黑体"/>
          <w:sz w:val="30"/>
          <w:szCs w:val="30"/>
        </w:rPr>
      </w:pPr>
      <w:bookmarkStart w:id="23" w:name="bookmark15"/>
      <w:bookmarkEnd w:id="23"/>
      <w:bookmarkStart w:id="24" w:name="bookmark16"/>
      <w:bookmarkEnd w:id="24"/>
      <w:r>
        <w:rPr>
          <w:rFonts w:ascii="黑体" w:hAnsi="黑体" w:eastAsia="黑体" w:cs="黑体"/>
          <w:spacing w:val="-3"/>
          <w:sz w:val="30"/>
          <w:szCs w:val="30"/>
        </w:rPr>
        <w:t>七、结论</w:t>
      </w:r>
    </w:p>
    <w:p w14:paraId="751E3C82">
      <w:pPr>
        <w:spacing w:line="216" w:lineRule="exact"/>
      </w:pPr>
    </w:p>
    <w:tbl>
      <w:tblPr>
        <w:tblStyle w:val="5"/>
        <w:tblW w:w="9076"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6"/>
      </w:tblGrid>
      <w:tr w14:paraId="6520784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878" w:hRule="atLeast"/>
        </w:trPr>
        <w:tc>
          <w:tcPr>
            <w:tcW w:w="9076" w:type="dxa"/>
            <w:vAlign w:val="top"/>
          </w:tcPr>
          <w:p w14:paraId="4CD12F28">
            <w:pPr>
              <w:pStyle w:val="6"/>
              <w:spacing w:before="41" w:line="218" w:lineRule="auto"/>
              <w:ind w:left="597"/>
            </w:pPr>
            <w:r>
              <w:rPr>
                <w:rFonts w:ascii="Times New Roman" w:hAnsi="Times New Roman" w:eastAsia="Times New Roman" w:cs="Times New Roman"/>
                <w:b/>
                <w:bCs/>
                <w:spacing w:val="-9"/>
              </w:rPr>
              <w:t>1</w:t>
            </w:r>
            <w:r>
              <w:rPr>
                <w:rFonts w:ascii="Times New Roman" w:hAnsi="Times New Roman" w:eastAsia="Times New Roman" w:cs="Times New Roman"/>
                <w:b/>
                <w:bCs/>
                <w:spacing w:val="-31"/>
              </w:rPr>
              <w:t xml:space="preserve"> </w:t>
            </w:r>
            <w:r>
              <w:rPr>
                <w:b/>
                <w:bCs/>
                <w:spacing w:val="-9"/>
              </w:rPr>
              <w:t>、评价结论</w:t>
            </w:r>
          </w:p>
          <w:p w14:paraId="11B1FC5C">
            <w:pPr>
              <w:pStyle w:val="6"/>
              <w:spacing w:before="180" w:line="356" w:lineRule="auto"/>
              <w:ind w:left="109" w:right="23" w:firstLine="484"/>
            </w:pPr>
            <w:r>
              <w:rPr>
                <w:spacing w:val="-6"/>
              </w:rPr>
              <w:t>项目建设符合国家产业政策、光伏用地意见、三线一单控制要求、环保政策要求。</w:t>
            </w:r>
            <w:r>
              <w:rPr>
                <w:spacing w:val="18"/>
              </w:rPr>
              <w:t xml:space="preserve"> </w:t>
            </w:r>
            <w:r>
              <w:rPr>
                <w:spacing w:val="1"/>
              </w:rPr>
              <w:t>项目不涉及自然保护区、风景名胜区、森林</w:t>
            </w:r>
            <w:r>
              <w:t xml:space="preserve">公园、饮用水水源保护区等环境敏感区， </w:t>
            </w:r>
            <w:r>
              <w:rPr>
                <w:spacing w:val="1"/>
              </w:rPr>
              <w:t>用地为政府可供用地，无重大环境制约因素</w:t>
            </w:r>
            <w:r>
              <w:t xml:space="preserve">，选址合理。项目为清洁能源利用项目， </w:t>
            </w:r>
            <w:r>
              <w:rPr>
                <w:spacing w:val="-1"/>
              </w:rPr>
              <w:t>采用的技术成熟、可靠，为清洁能源。项目在施工期和运营期严格落实本环评及水土</w:t>
            </w:r>
            <w:r>
              <w:rPr>
                <w:spacing w:val="3"/>
              </w:rPr>
              <w:t xml:space="preserve"> </w:t>
            </w:r>
            <w:r>
              <w:rPr>
                <w:spacing w:val="-1"/>
              </w:rPr>
              <w:t>保持方案提出的各项生态保护和污染防治措施后，项目施工期和运营期产生的环境影</w:t>
            </w:r>
            <w:r>
              <w:rPr>
                <w:spacing w:val="3"/>
              </w:rPr>
              <w:t xml:space="preserve"> </w:t>
            </w:r>
            <w:r>
              <w:rPr>
                <w:spacing w:val="-1"/>
              </w:rPr>
              <w:t>响满足相应的环境保护要求，对项目区域生态环境、大气环境、水环境、声环境、电</w:t>
            </w:r>
            <w:r>
              <w:rPr>
                <w:spacing w:val="3"/>
              </w:rPr>
              <w:t xml:space="preserve"> </w:t>
            </w:r>
            <w:r>
              <w:rPr>
                <w:spacing w:val="-1"/>
              </w:rPr>
              <w:t>磁环境等影响较小，不会改变项目所在区域环境功能现状。综上所述，从环境保护角</w:t>
            </w:r>
            <w:r>
              <w:rPr>
                <w:spacing w:val="3"/>
              </w:rPr>
              <w:t xml:space="preserve"> </w:t>
            </w:r>
            <w:r>
              <w:rPr>
                <w:spacing w:val="-1"/>
              </w:rPr>
              <w:t>度分析，本项目的建设是可行的。</w:t>
            </w:r>
          </w:p>
          <w:p w14:paraId="632E662F">
            <w:pPr>
              <w:pStyle w:val="6"/>
              <w:spacing w:before="34" w:line="220" w:lineRule="auto"/>
              <w:ind w:left="587"/>
            </w:pPr>
            <w:r>
              <w:rPr>
                <w:rFonts w:ascii="Times New Roman" w:hAnsi="Times New Roman" w:eastAsia="Times New Roman" w:cs="Times New Roman"/>
                <w:b/>
                <w:bCs/>
                <w:spacing w:val="-7"/>
              </w:rPr>
              <w:t>2</w:t>
            </w:r>
            <w:r>
              <w:rPr>
                <w:rFonts w:ascii="Times New Roman" w:hAnsi="Times New Roman" w:eastAsia="Times New Roman" w:cs="Times New Roman"/>
                <w:b/>
                <w:bCs/>
                <w:spacing w:val="-29"/>
              </w:rPr>
              <w:t xml:space="preserve"> </w:t>
            </w:r>
            <w:r>
              <w:rPr>
                <w:b/>
                <w:bCs/>
                <w:spacing w:val="-7"/>
              </w:rPr>
              <w:t>、建议及要求</w:t>
            </w:r>
          </w:p>
          <w:p w14:paraId="70C485E0">
            <w:pPr>
              <w:pStyle w:val="6"/>
              <w:spacing w:before="181" w:line="289" w:lineRule="auto"/>
              <w:ind w:left="109" w:right="199" w:firstLine="492"/>
            </w:pPr>
            <w:r>
              <w:rPr>
                <w:spacing w:val="-2"/>
              </w:rPr>
              <w:t>（</w:t>
            </w:r>
            <w:r>
              <w:rPr>
                <w:rFonts w:ascii="Times New Roman" w:hAnsi="Times New Roman" w:eastAsia="Times New Roman" w:cs="Times New Roman"/>
                <w:spacing w:val="-2"/>
              </w:rPr>
              <w:t>1</w:t>
            </w:r>
            <w:r>
              <w:rPr>
                <w:spacing w:val="-2"/>
              </w:rPr>
              <w:t>）严格落实环保“三同时</w:t>
            </w:r>
            <w:r>
              <w:rPr>
                <w:spacing w:val="-72"/>
              </w:rPr>
              <w:t xml:space="preserve"> </w:t>
            </w:r>
            <w:r>
              <w:rPr>
                <w:spacing w:val="-2"/>
              </w:rPr>
              <w:t>”制度，即环保设施与主体工程要同时设计、同时</w:t>
            </w:r>
            <w:r>
              <w:t xml:space="preserve"> </w:t>
            </w:r>
            <w:r>
              <w:rPr>
                <w:spacing w:val="-1"/>
              </w:rPr>
              <w:t>施工、同时投产使用。</w:t>
            </w:r>
          </w:p>
          <w:p w14:paraId="154A568E">
            <w:pPr>
              <w:pStyle w:val="6"/>
              <w:spacing w:before="182" w:line="289" w:lineRule="auto"/>
              <w:ind w:left="109" w:right="199" w:firstLine="493"/>
            </w:pPr>
            <w:r>
              <w:rPr>
                <w:spacing w:val="-1"/>
              </w:rPr>
              <w:t>（</w:t>
            </w:r>
            <w:r>
              <w:rPr>
                <w:rFonts w:ascii="Times New Roman" w:hAnsi="Times New Roman" w:eastAsia="Times New Roman" w:cs="Times New Roman"/>
                <w:spacing w:val="-1"/>
              </w:rPr>
              <w:t>2</w:t>
            </w:r>
            <w:r>
              <w:rPr>
                <w:spacing w:val="-1"/>
              </w:rPr>
              <w:t>）项目建设完成、设备调试正常后，及时开展环境保护竣工验收工作，并报</w:t>
            </w:r>
            <w:r>
              <w:rPr>
                <w:spacing w:val="13"/>
              </w:rPr>
              <w:t xml:space="preserve"> </w:t>
            </w:r>
            <w:r>
              <w:rPr>
                <w:spacing w:val="-1"/>
              </w:rPr>
              <w:t>送相关信息，并接受监督检查。</w:t>
            </w:r>
          </w:p>
          <w:p w14:paraId="65328EC6">
            <w:pPr>
              <w:pStyle w:val="6"/>
              <w:spacing w:before="182" w:line="290" w:lineRule="auto"/>
              <w:ind w:left="110" w:right="199" w:firstLine="491"/>
            </w:pPr>
            <w:r>
              <w:rPr>
                <w:spacing w:val="-1"/>
              </w:rPr>
              <w:t>（</w:t>
            </w:r>
            <w:r>
              <w:rPr>
                <w:rFonts w:ascii="Times New Roman" w:hAnsi="Times New Roman" w:eastAsia="Times New Roman" w:cs="Times New Roman"/>
                <w:spacing w:val="-1"/>
              </w:rPr>
              <w:t>3</w:t>
            </w:r>
            <w:r>
              <w:rPr>
                <w:spacing w:val="-1"/>
              </w:rPr>
              <w:t>）编制突发环境事件应急预案，并报至当地生态环境主管部门备案，并根据</w:t>
            </w:r>
            <w:r>
              <w:rPr>
                <w:spacing w:val="13"/>
              </w:rPr>
              <w:t xml:space="preserve"> </w:t>
            </w:r>
            <w:r>
              <w:t>应急预案要求，定期开展突发环境事件演练工作</w:t>
            </w:r>
            <w:r>
              <w:rPr>
                <w:spacing w:val="-1"/>
              </w:rPr>
              <w:t>，做好演练记录和总结。</w:t>
            </w:r>
          </w:p>
          <w:p w14:paraId="296AD214">
            <w:pPr>
              <w:pStyle w:val="6"/>
              <w:spacing w:before="179" w:line="289" w:lineRule="auto"/>
              <w:ind w:left="111" w:right="23" w:firstLine="490"/>
            </w:pPr>
            <w:r>
              <w:rPr>
                <w:spacing w:val="-2"/>
              </w:rPr>
              <w:t>（</w:t>
            </w:r>
            <w:r>
              <w:rPr>
                <w:rFonts w:ascii="Times New Roman" w:hAnsi="Times New Roman" w:eastAsia="Times New Roman" w:cs="Times New Roman"/>
                <w:spacing w:val="-2"/>
              </w:rPr>
              <w:t>4</w:t>
            </w:r>
            <w:r>
              <w:rPr>
                <w:spacing w:val="-2"/>
              </w:rPr>
              <w:t>）完善项目环境管理体系，制定环保管理制度</w:t>
            </w:r>
            <w:r>
              <w:rPr>
                <w:spacing w:val="-3"/>
              </w:rPr>
              <w:t>，定期开展环境保护知识宣传、</w:t>
            </w:r>
            <w:r>
              <w:t xml:space="preserve"> </w:t>
            </w:r>
            <w:r>
              <w:rPr>
                <w:spacing w:val="-1"/>
              </w:rPr>
              <w:t>培训，提高员工环保及环境风险防范意识。</w:t>
            </w:r>
          </w:p>
        </w:tc>
      </w:tr>
    </w:tbl>
    <w:p w14:paraId="1F73199B">
      <w:pPr>
        <w:rPr>
          <w:rFonts w:ascii="Arial"/>
          <w:sz w:val="21"/>
        </w:rPr>
      </w:pPr>
    </w:p>
    <w:p w14:paraId="5182AE4F">
      <w:pPr>
        <w:rPr>
          <w:rFonts w:ascii="Arial" w:hAnsi="Arial" w:eastAsia="Arial" w:cs="Arial"/>
          <w:sz w:val="21"/>
          <w:szCs w:val="21"/>
        </w:rPr>
        <w:sectPr>
          <w:footerReference r:id="rId179" w:type="default"/>
          <w:pgSz w:w="11906" w:h="16839"/>
          <w:pgMar w:top="1431" w:right="1407" w:bottom="1225" w:left="1407" w:header="0" w:footer="1035" w:gutter="0"/>
          <w:cols w:space="720" w:num="1"/>
        </w:sectPr>
      </w:pPr>
    </w:p>
    <w:p w14:paraId="121FB288">
      <w:pPr>
        <w:spacing w:line="255" w:lineRule="auto"/>
        <w:rPr>
          <w:rFonts w:ascii="Arial"/>
          <w:sz w:val="21"/>
        </w:rPr>
      </w:pPr>
    </w:p>
    <w:p w14:paraId="2DA334BB">
      <w:pPr>
        <w:spacing w:line="256" w:lineRule="auto"/>
        <w:rPr>
          <w:rFonts w:ascii="Arial"/>
          <w:sz w:val="21"/>
        </w:rPr>
      </w:pPr>
    </w:p>
    <w:p w14:paraId="035C38B0">
      <w:pPr>
        <w:spacing w:line="256" w:lineRule="auto"/>
        <w:rPr>
          <w:rFonts w:ascii="Arial"/>
          <w:sz w:val="21"/>
        </w:rPr>
      </w:pPr>
    </w:p>
    <w:p w14:paraId="5D83DBC7">
      <w:pPr>
        <w:pStyle w:val="2"/>
        <w:spacing w:before="169" w:line="318" w:lineRule="auto"/>
        <w:ind w:left="2621" w:right="774" w:hanging="1824"/>
        <w:rPr>
          <w:sz w:val="52"/>
          <w:szCs w:val="52"/>
        </w:rPr>
      </w:pPr>
      <w:r>
        <w:rPr>
          <w:b/>
          <w:bCs/>
          <w:spacing w:val="-6"/>
          <w:sz w:val="52"/>
          <w:szCs w:val="52"/>
        </w:rPr>
        <w:t>化桃箐光伏发电项目电磁环境</w:t>
      </w:r>
      <w:r>
        <w:rPr>
          <w:spacing w:val="8"/>
          <w:sz w:val="52"/>
          <w:szCs w:val="52"/>
        </w:rPr>
        <w:t xml:space="preserve"> </w:t>
      </w:r>
      <w:r>
        <w:rPr>
          <w:b/>
          <w:bCs/>
          <w:spacing w:val="-7"/>
          <w:sz w:val="52"/>
          <w:szCs w:val="52"/>
        </w:rPr>
        <w:t>影响专项评价</w:t>
      </w:r>
    </w:p>
    <w:p w14:paraId="70F843B8">
      <w:pPr>
        <w:spacing w:line="241" w:lineRule="auto"/>
        <w:rPr>
          <w:rFonts w:ascii="Arial"/>
          <w:sz w:val="21"/>
        </w:rPr>
      </w:pPr>
    </w:p>
    <w:p w14:paraId="494FC267">
      <w:pPr>
        <w:spacing w:line="241" w:lineRule="auto"/>
        <w:rPr>
          <w:rFonts w:ascii="Arial"/>
          <w:sz w:val="21"/>
        </w:rPr>
      </w:pPr>
    </w:p>
    <w:p w14:paraId="16843830">
      <w:pPr>
        <w:spacing w:line="241" w:lineRule="auto"/>
        <w:rPr>
          <w:rFonts w:ascii="Arial"/>
          <w:sz w:val="21"/>
        </w:rPr>
      </w:pPr>
    </w:p>
    <w:p w14:paraId="721F20EE">
      <w:pPr>
        <w:spacing w:line="241" w:lineRule="auto"/>
        <w:rPr>
          <w:rFonts w:ascii="Arial"/>
          <w:sz w:val="21"/>
        </w:rPr>
      </w:pPr>
    </w:p>
    <w:p w14:paraId="57E3C923">
      <w:pPr>
        <w:spacing w:line="241" w:lineRule="auto"/>
        <w:rPr>
          <w:rFonts w:ascii="Arial"/>
          <w:sz w:val="21"/>
        </w:rPr>
      </w:pPr>
    </w:p>
    <w:p w14:paraId="1696D317">
      <w:pPr>
        <w:spacing w:line="241" w:lineRule="auto"/>
        <w:rPr>
          <w:rFonts w:ascii="Arial"/>
          <w:sz w:val="21"/>
        </w:rPr>
      </w:pPr>
    </w:p>
    <w:p w14:paraId="76E2D88B">
      <w:pPr>
        <w:spacing w:line="241" w:lineRule="auto"/>
        <w:rPr>
          <w:rFonts w:ascii="Arial"/>
          <w:sz w:val="21"/>
        </w:rPr>
      </w:pPr>
    </w:p>
    <w:p w14:paraId="63E62296">
      <w:pPr>
        <w:spacing w:line="241" w:lineRule="auto"/>
        <w:rPr>
          <w:rFonts w:ascii="Arial"/>
          <w:sz w:val="21"/>
        </w:rPr>
      </w:pPr>
    </w:p>
    <w:p w14:paraId="149FE5AD">
      <w:pPr>
        <w:spacing w:line="241" w:lineRule="auto"/>
        <w:rPr>
          <w:rFonts w:ascii="Arial"/>
          <w:sz w:val="21"/>
        </w:rPr>
      </w:pPr>
    </w:p>
    <w:p w14:paraId="38883D39">
      <w:pPr>
        <w:spacing w:line="241" w:lineRule="auto"/>
        <w:rPr>
          <w:rFonts w:ascii="Arial"/>
          <w:sz w:val="21"/>
        </w:rPr>
      </w:pPr>
    </w:p>
    <w:p w14:paraId="1146572F">
      <w:pPr>
        <w:spacing w:line="241" w:lineRule="auto"/>
        <w:rPr>
          <w:rFonts w:ascii="Arial"/>
          <w:sz w:val="21"/>
        </w:rPr>
      </w:pPr>
    </w:p>
    <w:p w14:paraId="085D8FEC">
      <w:pPr>
        <w:spacing w:line="241" w:lineRule="auto"/>
        <w:rPr>
          <w:rFonts w:ascii="Arial"/>
          <w:sz w:val="21"/>
        </w:rPr>
      </w:pPr>
    </w:p>
    <w:p w14:paraId="1E32DBFA">
      <w:pPr>
        <w:spacing w:line="241" w:lineRule="auto"/>
        <w:rPr>
          <w:rFonts w:ascii="Arial"/>
          <w:sz w:val="21"/>
        </w:rPr>
      </w:pPr>
    </w:p>
    <w:p w14:paraId="1DFC72BE">
      <w:pPr>
        <w:spacing w:line="241" w:lineRule="auto"/>
        <w:rPr>
          <w:rFonts w:ascii="Arial"/>
          <w:sz w:val="21"/>
        </w:rPr>
      </w:pPr>
    </w:p>
    <w:p w14:paraId="575B898B">
      <w:pPr>
        <w:spacing w:line="241" w:lineRule="auto"/>
        <w:rPr>
          <w:rFonts w:ascii="Arial"/>
          <w:sz w:val="21"/>
        </w:rPr>
      </w:pPr>
    </w:p>
    <w:p w14:paraId="741019D9">
      <w:pPr>
        <w:spacing w:line="241" w:lineRule="auto"/>
        <w:rPr>
          <w:rFonts w:ascii="Arial"/>
          <w:sz w:val="21"/>
        </w:rPr>
      </w:pPr>
    </w:p>
    <w:p w14:paraId="00097E02">
      <w:pPr>
        <w:spacing w:line="241" w:lineRule="auto"/>
        <w:rPr>
          <w:rFonts w:ascii="Arial"/>
          <w:sz w:val="21"/>
        </w:rPr>
      </w:pPr>
    </w:p>
    <w:p w14:paraId="3393C816">
      <w:pPr>
        <w:spacing w:line="241" w:lineRule="auto"/>
        <w:rPr>
          <w:rFonts w:ascii="Arial"/>
          <w:sz w:val="21"/>
        </w:rPr>
      </w:pPr>
    </w:p>
    <w:p w14:paraId="3711CB06">
      <w:pPr>
        <w:spacing w:line="241" w:lineRule="auto"/>
        <w:rPr>
          <w:rFonts w:ascii="Arial"/>
          <w:sz w:val="21"/>
        </w:rPr>
      </w:pPr>
    </w:p>
    <w:p w14:paraId="36163F4D">
      <w:pPr>
        <w:spacing w:line="241" w:lineRule="auto"/>
        <w:rPr>
          <w:rFonts w:ascii="Arial"/>
          <w:sz w:val="21"/>
        </w:rPr>
      </w:pPr>
    </w:p>
    <w:p w14:paraId="0A59BA98">
      <w:pPr>
        <w:spacing w:line="241" w:lineRule="auto"/>
        <w:rPr>
          <w:rFonts w:ascii="Arial"/>
          <w:sz w:val="21"/>
        </w:rPr>
      </w:pPr>
    </w:p>
    <w:p w14:paraId="2B52C21E">
      <w:pPr>
        <w:spacing w:line="241" w:lineRule="auto"/>
        <w:rPr>
          <w:rFonts w:ascii="Arial"/>
          <w:sz w:val="21"/>
        </w:rPr>
      </w:pPr>
    </w:p>
    <w:p w14:paraId="5E4BE313">
      <w:pPr>
        <w:spacing w:line="241" w:lineRule="auto"/>
        <w:rPr>
          <w:rFonts w:ascii="Arial"/>
          <w:sz w:val="21"/>
        </w:rPr>
      </w:pPr>
    </w:p>
    <w:p w14:paraId="2AF6BF28">
      <w:pPr>
        <w:spacing w:line="241" w:lineRule="auto"/>
        <w:rPr>
          <w:rFonts w:ascii="Arial"/>
          <w:sz w:val="21"/>
        </w:rPr>
      </w:pPr>
    </w:p>
    <w:p w14:paraId="59CFE2DF">
      <w:pPr>
        <w:spacing w:line="241" w:lineRule="auto"/>
        <w:rPr>
          <w:rFonts w:ascii="Arial"/>
          <w:sz w:val="21"/>
        </w:rPr>
      </w:pPr>
    </w:p>
    <w:p w14:paraId="6D4C830C">
      <w:pPr>
        <w:spacing w:line="241" w:lineRule="auto"/>
        <w:rPr>
          <w:rFonts w:ascii="Arial"/>
          <w:sz w:val="21"/>
        </w:rPr>
      </w:pPr>
    </w:p>
    <w:p w14:paraId="2476F7BD">
      <w:pPr>
        <w:spacing w:line="241" w:lineRule="auto"/>
        <w:rPr>
          <w:rFonts w:ascii="Arial"/>
          <w:sz w:val="21"/>
        </w:rPr>
      </w:pPr>
    </w:p>
    <w:p w14:paraId="66752DCD">
      <w:pPr>
        <w:spacing w:line="242" w:lineRule="auto"/>
        <w:rPr>
          <w:rFonts w:ascii="Arial"/>
          <w:sz w:val="21"/>
        </w:rPr>
      </w:pPr>
    </w:p>
    <w:p w14:paraId="409F4CAC">
      <w:pPr>
        <w:pStyle w:val="2"/>
        <w:spacing w:before="101" w:line="513" w:lineRule="auto"/>
        <w:ind w:left="29" w:right="14" w:firstLine="1"/>
        <w:rPr>
          <w:sz w:val="31"/>
          <w:szCs w:val="31"/>
        </w:rPr>
      </w:pPr>
      <w:r>
        <w:rPr>
          <w:spacing w:val="8"/>
          <w:sz w:val="31"/>
          <w:szCs w:val="31"/>
        </w:rPr>
        <w:t>建设单位（盖章</w:t>
      </w:r>
      <w:r>
        <w:rPr>
          <w:spacing w:val="10"/>
          <w:sz w:val="31"/>
          <w:szCs w:val="31"/>
        </w:rPr>
        <w:t>）：</w:t>
      </w:r>
      <w:r>
        <w:rPr>
          <w:spacing w:val="10"/>
          <w:sz w:val="31"/>
          <w:szCs w:val="31"/>
          <w:u w:val="single" w:color="auto"/>
        </w:rPr>
        <w:t xml:space="preserve">    </w:t>
      </w:r>
      <w:r>
        <w:rPr>
          <w:spacing w:val="8"/>
          <w:sz w:val="31"/>
          <w:szCs w:val="31"/>
          <w:u w:val="single" w:color="auto"/>
        </w:rPr>
        <w:t>京能（寻甸）新能源有限公司</w:t>
      </w:r>
      <w:r>
        <w:rPr>
          <w:spacing w:val="2"/>
          <w:sz w:val="31"/>
          <w:szCs w:val="31"/>
          <w:u w:val="single" w:color="auto"/>
        </w:rPr>
        <w:t xml:space="preserve">    </w:t>
      </w:r>
      <w:r>
        <w:rPr>
          <w:sz w:val="31"/>
          <w:szCs w:val="31"/>
        </w:rPr>
        <w:t xml:space="preserve"> </w:t>
      </w:r>
      <w:r>
        <w:rPr>
          <w:spacing w:val="3"/>
          <w:sz w:val="31"/>
          <w:szCs w:val="31"/>
        </w:rPr>
        <w:t>编制日期：</w:t>
      </w:r>
      <w:r>
        <w:rPr>
          <w:rFonts w:ascii="Times New Roman" w:hAnsi="Times New Roman" w:eastAsia="Times New Roman" w:cs="Times New Roman"/>
          <w:sz w:val="31"/>
          <w:szCs w:val="31"/>
          <w:u w:val="single" w:color="auto"/>
        </w:rPr>
        <w:t xml:space="preserve">                                 </w:t>
      </w:r>
      <w:r>
        <w:rPr>
          <w:rFonts w:ascii="Times New Roman" w:hAnsi="Times New Roman" w:eastAsia="Times New Roman" w:cs="Times New Roman"/>
          <w:spacing w:val="3"/>
          <w:sz w:val="31"/>
          <w:szCs w:val="31"/>
          <w:u w:val="single" w:color="auto"/>
        </w:rPr>
        <w:t xml:space="preserve">2025 </w:t>
      </w:r>
      <w:r>
        <w:rPr>
          <w:spacing w:val="3"/>
          <w:sz w:val="31"/>
          <w:szCs w:val="31"/>
          <w:u w:val="single" w:color="auto"/>
        </w:rPr>
        <w:t>年</w:t>
      </w:r>
      <w:r>
        <w:rPr>
          <w:spacing w:val="-52"/>
          <w:sz w:val="31"/>
          <w:szCs w:val="31"/>
          <w:u w:val="single" w:color="auto"/>
        </w:rPr>
        <w:t xml:space="preserve"> </w:t>
      </w:r>
      <w:r>
        <w:rPr>
          <w:rFonts w:ascii="Times New Roman" w:hAnsi="Times New Roman" w:eastAsia="Times New Roman" w:cs="Times New Roman"/>
          <w:spacing w:val="3"/>
          <w:sz w:val="31"/>
          <w:szCs w:val="31"/>
          <w:u w:val="single" w:color="auto"/>
        </w:rPr>
        <w:t>3</w:t>
      </w:r>
      <w:r>
        <w:rPr>
          <w:rFonts w:ascii="Times New Roman" w:hAnsi="Times New Roman" w:eastAsia="Times New Roman" w:cs="Times New Roman"/>
          <w:spacing w:val="23"/>
          <w:sz w:val="31"/>
          <w:szCs w:val="31"/>
          <w:u w:val="single" w:color="auto"/>
        </w:rPr>
        <w:t xml:space="preserve"> </w:t>
      </w:r>
      <w:r>
        <w:rPr>
          <w:spacing w:val="3"/>
          <w:sz w:val="31"/>
          <w:szCs w:val="31"/>
          <w:u w:val="single" w:color="auto"/>
        </w:rPr>
        <w:t>月</w:t>
      </w:r>
      <w:r>
        <w:rPr>
          <w:sz w:val="31"/>
          <w:szCs w:val="31"/>
          <w:u w:val="single" w:color="auto"/>
        </w:rPr>
        <w:t xml:space="preserve">               </w:t>
      </w:r>
    </w:p>
    <w:p w14:paraId="609C75F1">
      <w:pPr>
        <w:spacing w:line="513" w:lineRule="auto"/>
        <w:rPr>
          <w:sz w:val="31"/>
          <w:szCs w:val="31"/>
        </w:rPr>
        <w:sectPr>
          <w:footerReference r:id="rId180" w:type="default"/>
          <w:pgSz w:w="11906" w:h="16839"/>
          <w:pgMar w:top="1431" w:right="1785" w:bottom="400" w:left="1785" w:header="0" w:footer="0" w:gutter="0"/>
          <w:cols w:space="720" w:num="1"/>
        </w:sectPr>
      </w:pPr>
    </w:p>
    <w:sdt>
      <w:sdtPr>
        <w:rPr>
          <w:rFonts w:ascii="宋体" w:hAnsi="宋体" w:eastAsia="宋体" w:cs="宋体"/>
          <w:sz w:val="28"/>
          <w:szCs w:val="28"/>
        </w:rPr>
        <w:id w:val="2"/>
        <w:docPartObj>
          <w:docPartGallery w:val="Table of Contents"/>
          <w:docPartUnique/>
        </w:docPartObj>
      </w:sdtPr>
      <w:sdtEndPr>
        <w:rPr>
          <w:rFonts w:ascii="Times New Roman" w:hAnsi="Times New Roman" w:eastAsia="Times New Roman" w:cs="Times New Roman"/>
          <w:sz w:val="24"/>
          <w:szCs w:val="24"/>
        </w:rPr>
      </w:sdtEndPr>
      <w:sdtContent>
        <w:p w14:paraId="660DADEC">
          <w:pPr>
            <w:pStyle w:val="2"/>
            <w:spacing w:before="181" w:line="222" w:lineRule="auto"/>
            <w:ind w:left="3880"/>
            <w:rPr>
              <w:sz w:val="28"/>
              <w:szCs w:val="28"/>
            </w:rPr>
          </w:pPr>
          <w:r>
            <w:rPr>
              <w:b/>
              <w:bCs/>
              <w:spacing w:val="-35"/>
              <w:sz w:val="28"/>
              <w:szCs w:val="28"/>
            </w:rPr>
            <w:t>目</w:t>
          </w:r>
          <w:r>
            <w:rPr>
              <w:spacing w:val="13"/>
              <w:sz w:val="28"/>
              <w:szCs w:val="28"/>
            </w:rPr>
            <w:t xml:space="preserve"> </w:t>
          </w:r>
          <w:r>
            <w:rPr>
              <w:b/>
              <w:bCs/>
              <w:spacing w:val="-35"/>
              <w:sz w:val="28"/>
              <w:szCs w:val="28"/>
            </w:rPr>
            <w:t>录</w:t>
          </w:r>
        </w:p>
        <w:p w14:paraId="7D2E0BD8">
          <w:pPr>
            <w:pStyle w:val="2"/>
            <w:tabs>
              <w:tab w:val="right" w:leader="dot" w:pos="8320"/>
            </w:tabs>
            <w:spacing w:before="229" w:line="184" w:lineRule="auto"/>
            <w:ind w:left="42"/>
            <w:rPr>
              <w:rFonts w:ascii="Times New Roman" w:hAnsi="Times New Roman" w:eastAsia="Times New Roman" w:cs="Times New Roman"/>
            </w:rPr>
          </w:pPr>
          <w:r>
            <w:fldChar w:fldCharType="begin"/>
          </w:r>
          <w:r>
            <w:instrText xml:space="preserve"> HYPERLINK \l "bookmark17" </w:instrText>
          </w:r>
          <w:r>
            <w:fldChar w:fldCharType="separate"/>
          </w:r>
          <w:r>
            <w:rPr>
              <w:rFonts w:ascii="Times New Roman" w:hAnsi="Times New Roman" w:eastAsia="Times New Roman" w:cs="Times New Roman"/>
              <w:spacing w:val="-14"/>
            </w:rPr>
            <w:t>1</w:t>
          </w:r>
          <w:r>
            <w:rPr>
              <w:rFonts w:ascii="Times New Roman" w:hAnsi="Times New Roman" w:eastAsia="Times New Roman" w:cs="Times New Roman"/>
              <w:spacing w:val="6"/>
            </w:rPr>
            <w:t xml:space="preserve">  </w:t>
          </w:r>
          <w:r>
            <w:rPr>
              <w:spacing w:val="-14"/>
            </w:rPr>
            <w:t>前言</w:t>
          </w:r>
          <w:r>
            <w:tab/>
          </w:r>
          <w:r>
            <w:rPr>
              <w:spacing w:val="-34"/>
            </w:rPr>
            <w:t xml:space="preserve"> </w:t>
          </w:r>
          <w:r>
            <w:rPr>
              <w:rFonts w:ascii="Times New Roman" w:hAnsi="Times New Roman" w:eastAsia="Times New Roman" w:cs="Times New Roman"/>
              <w:spacing w:val="-29"/>
            </w:rPr>
            <w:t>1</w:t>
          </w:r>
          <w:r>
            <w:rPr>
              <w:rFonts w:ascii="Times New Roman" w:hAnsi="Times New Roman" w:eastAsia="Times New Roman" w:cs="Times New Roman"/>
              <w:spacing w:val="-29"/>
            </w:rPr>
            <w:fldChar w:fldCharType="end"/>
          </w:r>
        </w:p>
        <w:p w14:paraId="1B1E4298">
          <w:pPr>
            <w:pStyle w:val="2"/>
            <w:tabs>
              <w:tab w:val="right" w:leader="dot" w:pos="8320"/>
            </w:tabs>
            <w:spacing w:before="228" w:line="184" w:lineRule="auto"/>
            <w:ind w:left="19"/>
            <w:rPr>
              <w:rFonts w:ascii="Times New Roman" w:hAnsi="Times New Roman" w:eastAsia="Times New Roman" w:cs="Times New Roman"/>
            </w:rPr>
          </w:pPr>
          <w:r>
            <w:fldChar w:fldCharType="begin"/>
          </w:r>
          <w:r>
            <w:instrText xml:space="preserve"> HYPERLINK \l "bookmark18" </w:instrText>
          </w:r>
          <w:r>
            <w:fldChar w:fldCharType="separate"/>
          </w:r>
          <w:r>
            <w:rPr>
              <w:rFonts w:ascii="Times New Roman" w:hAnsi="Times New Roman" w:eastAsia="Times New Roman" w:cs="Times New Roman"/>
              <w:spacing w:val="-7"/>
            </w:rPr>
            <w:t>2</w:t>
          </w:r>
          <w:r>
            <w:rPr>
              <w:rFonts w:ascii="Times New Roman" w:hAnsi="Times New Roman" w:eastAsia="Times New Roman" w:cs="Times New Roman"/>
              <w:spacing w:val="7"/>
            </w:rPr>
            <w:t xml:space="preserve">  </w:t>
          </w:r>
          <w:r>
            <w:rPr>
              <w:spacing w:val="-7"/>
            </w:rPr>
            <w:t>总则</w:t>
          </w:r>
          <w:r>
            <w:tab/>
          </w:r>
          <w:r>
            <w:rPr>
              <w:spacing w:val="-57"/>
            </w:rPr>
            <w:t xml:space="preserve"> </w:t>
          </w:r>
          <w:r>
            <w:rPr>
              <w:rFonts w:ascii="Times New Roman" w:hAnsi="Times New Roman" w:eastAsia="Times New Roman" w:cs="Times New Roman"/>
            </w:rPr>
            <w:t>2</w:t>
          </w:r>
          <w:r>
            <w:rPr>
              <w:rFonts w:ascii="Times New Roman" w:hAnsi="Times New Roman" w:eastAsia="Times New Roman" w:cs="Times New Roman"/>
            </w:rPr>
            <w:fldChar w:fldCharType="end"/>
          </w:r>
        </w:p>
        <w:p w14:paraId="04E4CA67">
          <w:pPr>
            <w:pStyle w:val="2"/>
            <w:tabs>
              <w:tab w:val="right" w:leader="dot" w:pos="8320"/>
            </w:tabs>
            <w:spacing w:before="228" w:line="184" w:lineRule="auto"/>
            <w:ind w:left="23"/>
            <w:rPr>
              <w:rFonts w:ascii="Times New Roman" w:hAnsi="Times New Roman" w:eastAsia="Times New Roman" w:cs="Times New Roman"/>
            </w:rPr>
          </w:pPr>
          <w:r>
            <w:fldChar w:fldCharType="begin"/>
          </w:r>
          <w:r>
            <w:instrText xml:space="preserve"> HYPERLINK \l "bookmark19" </w:instrText>
          </w:r>
          <w:r>
            <w:fldChar w:fldCharType="separate"/>
          </w:r>
          <w:r>
            <w:rPr>
              <w:rFonts w:ascii="Times New Roman" w:hAnsi="Times New Roman" w:eastAsia="Times New Roman" w:cs="Times New Roman"/>
              <w:spacing w:val="-1"/>
            </w:rPr>
            <w:t xml:space="preserve">3 </w:t>
          </w:r>
          <w:r>
            <w:rPr>
              <w:spacing w:val="-1"/>
            </w:rPr>
            <w:t>建设项目概况与分析</w:t>
          </w:r>
          <w:r>
            <w:tab/>
          </w:r>
          <w:r>
            <w:rPr>
              <w:spacing w:val="-51"/>
            </w:rPr>
            <w:t xml:space="preserve"> </w:t>
          </w:r>
          <w:r>
            <w:rPr>
              <w:rFonts w:ascii="Times New Roman" w:hAnsi="Times New Roman" w:eastAsia="Times New Roman" w:cs="Times New Roman"/>
            </w:rPr>
            <w:t>5</w:t>
          </w:r>
          <w:r>
            <w:rPr>
              <w:rFonts w:ascii="Times New Roman" w:hAnsi="Times New Roman" w:eastAsia="Times New Roman" w:cs="Times New Roman"/>
            </w:rPr>
            <w:fldChar w:fldCharType="end"/>
          </w:r>
        </w:p>
        <w:p w14:paraId="39A49FAB">
          <w:pPr>
            <w:pStyle w:val="2"/>
            <w:tabs>
              <w:tab w:val="right" w:leader="dot" w:pos="8320"/>
            </w:tabs>
            <w:spacing w:before="229" w:line="184" w:lineRule="auto"/>
            <w:ind w:left="17"/>
            <w:rPr>
              <w:rFonts w:ascii="Times New Roman" w:hAnsi="Times New Roman" w:eastAsia="Times New Roman" w:cs="Times New Roman"/>
            </w:rPr>
          </w:pPr>
          <w:r>
            <w:fldChar w:fldCharType="begin"/>
          </w:r>
          <w:r>
            <w:instrText xml:space="preserve"> HYPERLINK \l "bookmark20" </w:instrText>
          </w:r>
          <w:r>
            <w:fldChar w:fldCharType="separate"/>
          </w:r>
          <w:r>
            <w:rPr>
              <w:rFonts w:ascii="Times New Roman" w:hAnsi="Times New Roman" w:eastAsia="Times New Roman" w:cs="Times New Roman"/>
              <w:spacing w:val="-6"/>
            </w:rPr>
            <w:t>4</w:t>
          </w:r>
          <w:r>
            <w:rPr>
              <w:rFonts w:ascii="Times New Roman" w:hAnsi="Times New Roman" w:eastAsia="Times New Roman" w:cs="Times New Roman"/>
              <w:spacing w:val="37"/>
            </w:rPr>
            <w:t xml:space="preserve"> </w:t>
          </w:r>
          <w:r>
            <w:rPr>
              <w:spacing w:val="-6"/>
            </w:rPr>
            <w:t>电磁环境现状</w:t>
          </w:r>
          <w:r>
            <w:tab/>
          </w:r>
          <w:r>
            <w:rPr>
              <w:spacing w:val="-47"/>
            </w:rPr>
            <w:t xml:space="preserve"> </w:t>
          </w:r>
          <w:r>
            <w:rPr>
              <w:rFonts w:ascii="Times New Roman" w:hAnsi="Times New Roman" w:eastAsia="Times New Roman" w:cs="Times New Roman"/>
              <w:spacing w:val="-15"/>
            </w:rPr>
            <w:t>8</w:t>
          </w:r>
          <w:r>
            <w:rPr>
              <w:rFonts w:ascii="Times New Roman" w:hAnsi="Times New Roman" w:eastAsia="Times New Roman" w:cs="Times New Roman"/>
              <w:spacing w:val="-15"/>
            </w:rPr>
            <w:fldChar w:fldCharType="end"/>
          </w:r>
        </w:p>
        <w:p w14:paraId="522B56BB">
          <w:pPr>
            <w:pStyle w:val="2"/>
            <w:tabs>
              <w:tab w:val="right" w:leader="dot" w:pos="8320"/>
            </w:tabs>
            <w:spacing w:before="228" w:line="184" w:lineRule="auto"/>
            <w:ind w:left="25"/>
            <w:rPr>
              <w:rFonts w:ascii="Times New Roman" w:hAnsi="Times New Roman" w:eastAsia="Times New Roman" w:cs="Times New Roman"/>
            </w:rPr>
          </w:pPr>
          <w:r>
            <w:fldChar w:fldCharType="begin"/>
          </w:r>
          <w:r>
            <w:instrText xml:space="preserve"> HYPERLINK \l "bookmark21" </w:instrText>
          </w:r>
          <w:r>
            <w:fldChar w:fldCharType="separate"/>
          </w:r>
          <w:r>
            <w:rPr>
              <w:rFonts w:ascii="Times New Roman" w:hAnsi="Times New Roman" w:eastAsia="Times New Roman" w:cs="Times New Roman"/>
              <w:spacing w:val="-6"/>
            </w:rPr>
            <w:t>5</w:t>
          </w:r>
          <w:r>
            <w:rPr>
              <w:rFonts w:ascii="Times New Roman" w:hAnsi="Times New Roman" w:eastAsia="Times New Roman" w:cs="Times New Roman"/>
              <w:spacing w:val="41"/>
            </w:rPr>
            <w:t xml:space="preserve"> </w:t>
          </w:r>
          <w:r>
            <w:rPr>
              <w:spacing w:val="-6"/>
            </w:rPr>
            <w:t>电磁环境影响分析</w:t>
          </w:r>
          <w:r>
            <w:tab/>
          </w:r>
          <w:r>
            <w:rPr>
              <w:spacing w:val="-52"/>
            </w:rPr>
            <w:t xml:space="preserve"> </w:t>
          </w:r>
          <w:r>
            <w:rPr>
              <w:rFonts w:ascii="Times New Roman" w:hAnsi="Times New Roman" w:eastAsia="Times New Roman" w:cs="Times New Roman"/>
            </w:rPr>
            <w:t>9</w:t>
          </w:r>
          <w:r>
            <w:rPr>
              <w:rFonts w:ascii="Times New Roman" w:hAnsi="Times New Roman" w:eastAsia="Times New Roman" w:cs="Times New Roman"/>
            </w:rPr>
            <w:fldChar w:fldCharType="end"/>
          </w:r>
        </w:p>
        <w:p w14:paraId="1A295E51">
          <w:pPr>
            <w:pStyle w:val="2"/>
            <w:tabs>
              <w:tab w:val="right" w:leader="dot" w:pos="8320"/>
            </w:tabs>
            <w:spacing w:before="229" w:line="184" w:lineRule="auto"/>
            <w:ind w:left="24"/>
            <w:rPr>
              <w:rFonts w:ascii="Times New Roman" w:hAnsi="Times New Roman" w:eastAsia="Times New Roman" w:cs="Times New Roman"/>
            </w:rPr>
          </w:pPr>
          <w:r>
            <w:fldChar w:fldCharType="begin"/>
          </w:r>
          <w:r>
            <w:instrText xml:space="preserve"> HYPERLINK \l "bookmark22" </w:instrText>
          </w:r>
          <w:r>
            <w:fldChar w:fldCharType="separate"/>
          </w:r>
          <w:r>
            <w:rPr>
              <w:rFonts w:ascii="Times New Roman" w:hAnsi="Times New Roman" w:eastAsia="Times New Roman" w:cs="Times New Roman"/>
              <w:spacing w:val="-6"/>
            </w:rPr>
            <w:t>6</w:t>
          </w:r>
          <w:r>
            <w:rPr>
              <w:rFonts w:ascii="Times New Roman" w:hAnsi="Times New Roman" w:eastAsia="Times New Roman" w:cs="Times New Roman"/>
              <w:spacing w:val="42"/>
              <w:w w:val="101"/>
            </w:rPr>
            <w:t xml:space="preserve"> </w:t>
          </w:r>
          <w:r>
            <w:rPr>
              <w:spacing w:val="-6"/>
            </w:rPr>
            <w:t>电磁环境保护措施</w:t>
          </w:r>
          <w:r>
            <w:tab/>
          </w:r>
          <w:r>
            <w:rPr>
              <w:spacing w:val="-33"/>
            </w:rPr>
            <w:t xml:space="preserve"> </w:t>
          </w:r>
          <w:r>
            <w:rPr>
              <w:rFonts w:ascii="Times New Roman" w:hAnsi="Times New Roman" w:eastAsia="Times New Roman" w:cs="Times New Roman"/>
              <w:spacing w:val="-15"/>
            </w:rPr>
            <w:t>15</w:t>
          </w:r>
          <w:r>
            <w:rPr>
              <w:rFonts w:ascii="Times New Roman" w:hAnsi="Times New Roman" w:eastAsia="Times New Roman" w:cs="Times New Roman"/>
              <w:spacing w:val="-15"/>
            </w:rPr>
            <w:fldChar w:fldCharType="end"/>
          </w:r>
        </w:p>
        <w:p w14:paraId="0930622F">
          <w:pPr>
            <w:pStyle w:val="2"/>
            <w:tabs>
              <w:tab w:val="right" w:leader="dot" w:pos="8320"/>
            </w:tabs>
            <w:spacing w:before="229" w:line="184" w:lineRule="auto"/>
            <w:ind w:left="22"/>
            <w:rPr>
              <w:rFonts w:ascii="Times New Roman" w:hAnsi="Times New Roman" w:eastAsia="Times New Roman" w:cs="Times New Roman"/>
            </w:rPr>
          </w:pPr>
          <w:r>
            <w:fldChar w:fldCharType="begin"/>
          </w:r>
          <w:r>
            <w:instrText xml:space="preserve"> HYPERLINK \l "bookmark23" </w:instrText>
          </w:r>
          <w:r>
            <w:fldChar w:fldCharType="separate"/>
          </w:r>
          <w:r>
            <w:rPr>
              <w:rFonts w:ascii="Times New Roman" w:hAnsi="Times New Roman" w:eastAsia="Times New Roman" w:cs="Times New Roman"/>
              <w:spacing w:val="-6"/>
            </w:rPr>
            <w:t>7</w:t>
          </w:r>
          <w:r>
            <w:rPr>
              <w:rFonts w:ascii="Times New Roman" w:hAnsi="Times New Roman" w:eastAsia="Times New Roman" w:cs="Times New Roman"/>
              <w:spacing w:val="22"/>
            </w:rPr>
            <w:t xml:space="preserve">  </w:t>
          </w:r>
          <w:r>
            <w:rPr>
              <w:spacing w:val="-6"/>
            </w:rPr>
            <w:t>电磁环境监测计划</w:t>
          </w:r>
          <w:r>
            <w:tab/>
          </w:r>
          <w:r>
            <w:rPr>
              <w:spacing w:val="-33"/>
            </w:rPr>
            <w:t xml:space="preserve"> </w:t>
          </w:r>
          <w:r>
            <w:rPr>
              <w:rFonts w:ascii="Times New Roman" w:hAnsi="Times New Roman" w:eastAsia="Times New Roman" w:cs="Times New Roman"/>
              <w:spacing w:val="-15"/>
            </w:rPr>
            <w:t>15</w:t>
          </w:r>
          <w:r>
            <w:rPr>
              <w:rFonts w:ascii="Times New Roman" w:hAnsi="Times New Roman" w:eastAsia="Times New Roman" w:cs="Times New Roman"/>
              <w:spacing w:val="-15"/>
            </w:rPr>
            <w:fldChar w:fldCharType="end"/>
          </w:r>
        </w:p>
        <w:p w14:paraId="15A1E7D9">
          <w:pPr>
            <w:pStyle w:val="2"/>
            <w:tabs>
              <w:tab w:val="right" w:leader="dot" w:pos="8320"/>
            </w:tabs>
            <w:spacing w:before="228" w:line="218" w:lineRule="auto"/>
            <w:ind w:left="28"/>
            <w:rPr>
              <w:rFonts w:ascii="Times New Roman" w:hAnsi="Times New Roman" w:eastAsia="Times New Roman" w:cs="Times New Roman"/>
            </w:rPr>
          </w:pPr>
          <w:r>
            <w:fldChar w:fldCharType="begin"/>
          </w:r>
          <w:r>
            <w:instrText xml:space="preserve"> HYPERLINK \l "bookmark24" </w:instrText>
          </w:r>
          <w:r>
            <w:fldChar w:fldCharType="separate"/>
          </w:r>
          <w:r>
            <w:rPr>
              <w:rFonts w:ascii="Times New Roman" w:hAnsi="Times New Roman" w:eastAsia="Times New Roman" w:cs="Times New Roman"/>
              <w:spacing w:val="-5"/>
            </w:rPr>
            <w:t>8</w:t>
          </w:r>
          <w:r>
            <w:rPr>
              <w:rFonts w:ascii="Times New Roman" w:hAnsi="Times New Roman" w:eastAsia="Times New Roman" w:cs="Times New Roman"/>
              <w:spacing w:val="19"/>
              <w:w w:val="101"/>
            </w:rPr>
            <w:t xml:space="preserve">  </w:t>
          </w:r>
          <w:r>
            <w:rPr>
              <w:spacing w:val="-5"/>
            </w:rPr>
            <w:t>电磁环境影响评价结论</w:t>
          </w:r>
          <w:r>
            <w:tab/>
          </w:r>
          <w:r>
            <w:rPr>
              <w:spacing w:val="-33"/>
            </w:rPr>
            <w:t xml:space="preserve"> </w:t>
          </w:r>
          <w:r>
            <w:rPr>
              <w:rFonts w:ascii="Times New Roman" w:hAnsi="Times New Roman" w:eastAsia="Times New Roman" w:cs="Times New Roman"/>
              <w:spacing w:val="-15"/>
            </w:rPr>
            <w:t>16</w:t>
          </w:r>
          <w:r>
            <w:rPr>
              <w:rFonts w:ascii="Times New Roman" w:hAnsi="Times New Roman" w:eastAsia="Times New Roman" w:cs="Times New Roman"/>
              <w:spacing w:val="-15"/>
            </w:rPr>
            <w:fldChar w:fldCharType="end"/>
          </w:r>
        </w:p>
      </w:sdtContent>
    </w:sdt>
    <w:p w14:paraId="49D63560">
      <w:pPr>
        <w:spacing w:line="218" w:lineRule="auto"/>
        <w:rPr>
          <w:rFonts w:ascii="Times New Roman" w:hAnsi="Times New Roman" w:eastAsia="Times New Roman" w:cs="Times New Roman"/>
        </w:rPr>
        <w:sectPr>
          <w:pgSz w:w="11906" w:h="16839"/>
          <w:pgMar w:top="1431" w:right="1785" w:bottom="400" w:left="1785" w:header="0" w:footer="0" w:gutter="0"/>
          <w:cols w:space="720" w:num="1"/>
        </w:sectPr>
      </w:pPr>
    </w:p>
    <w:p w14:paraId="260459CC">
      <w:pPr>
        <w:pStyle w:val="2"/>
        <w:spacing w:before="171" w:line="221" w:lineRule="auto"/>
        <w:ind w:left="3734"/>
        <w:outlineLvl w:val="0"/>
        <w:rPr>
          <w:sz w:val="30"/>
          <w:szCs w:val="30"/>
        </w:rPr>
      </w:pPr>
      <w:bookmarkStart w:id="25" w:name="bookmark17"/>
      <w:bookmarkEnd w:id="25"/>
      <w:r>
        <w:rPr>
          <w:rFonts w:ascii="Times New Roman" w:hAnsi="Times New Roman" w:eastAsia="Times New Roman" w:cs="Times New Roman"/>
          <w:b/>
          <w:bCs/>
          <w:spacing w:val="-15"/>
          <w:sz w:val="30"/>
          <w:szCs w:val="30"/>
        </w:rPr>
        <w:t>1</w:t>
      </w:r>
      <w:r>
        <w:rPr>
          <w:rFonts w:ascii="Times New Roman" w:hAnsi="Times New Roman" w:eastAsia="Times New Roman" w:cs="Times New Roman"/>
          <w:b/>
          <w:bCs/>
          <w:spacing w:val="8"/>
          <w:sz w:val="30"/>
          <w:szCs w:val="30"/>
        </w:rPr>
        <w:t xml:space="preserve">  </w:t>
      </w:r>
      <w:r>
        <w:rPr>
          <w:b/>
          <w:bCs/>
          <w:spacing w:val="-15"/>
          <w:sz w:val="30"/>
          <w:szCs w:val="30"/>
        </w:rPr>
        <w:t>前言</w:t>
      </w:r>
    </w:p>
    <w:p w14:paraId="08EE163A">
      <w:pPr>
        <w:pStyle w:val="2"/>
        <w:spacing w:before="214" w:line="357" w:lineRule="auto"/>
        <w:ind w:left="22" w:firstLine="481"/>
        <w:jc w:val="both"/>
      </w:pPr>
      <w:r>
        <w:rPr>
          <w:spacing w:val="4"/>
        </w:rPr>
        <w:t>化桃箐光伏发电项目建设地点位于云南省昆明市寻甸回族彝族自治县河口</w:t>
      </w:r>
      <w:r>
        <w:rPr>
          <w:spacing w:val="2"/>
        </w:rPr>
        <w:t xml:space="preserve">  </w:t>
      </w:r>
      <w:r>
        <w:rPr>
          <w:spacing w:val="-1"/>
        </w:rPr>
        <w:t>镇境内，项目配套建设一座</w:t>
      </w:r>
      <w:r>
        <w:rPr>
          <w:spacing w:val="-55"/>
        </w:rPr>
        <w:t xml:space="preserve"> </w:t>
      </w:r>
      <w:r>
        <w:rPr>
          <w:rFonts w:ascii="Times New Roman" w:hAnsi="Times New Roman" w:eastAsia="Times New Roman" w:cs="Times New Roman"/>
          <w:spacing w:val="-1"/>
        </w:rPr>
        <w:t xml:space="preserve">220kV </w:t>
      </w:r>
      <w:r>
        <w:rPr>
          <w:spacing w:val="-1"/>
        </w:rPr>
        <w:t>升压</w:t>
      </w:r>
      <w:r>
        <w:rPr>
          <w:spacing w:val="-2"/>
        </w:rPr>
        <w:t>站。按照《中华人民共和国环境保护法》</w:t>
      </w:r>
      <w:r>
        <w:t xml:space="preserve"> </w:t>
      </w:r>
      <w:r>
        <w:rPr>
          <w:spacing w:val="-1"/>
        </w:rPr>
        <w:t>（</w:t>
      </w:r>
      <w:r>
        <w:rPr>
          <w:rFonts w:ascii="Times New Roman" w:hAnsi="Times New Roman" w:eastAsia="Times New Roman" w:cs="Times New Roman"/>
          <w:spacing w:val="-1"/>
        </w:rPr>
        <w:t>2015</w:t>
      </w:r>
      <w:r>
        <w:rPr>
          <w:rFonts w:ascii="Times New Roman" w:hAnsi="Times New Roman" w:eastAsia="Times New Roman" w:cs="Times New Roman"/>
          <w:spacing w:val="31"/>
        </w:rPr>
        <w:t xml:space="preserve"> </w:t>
      </w:r>
      <w:r>
        <w:rPr>
          <w:spacing w:val="-1"/>
        </w:rPr>
        <w:t>年</w:t>
      </w:r>
      <w:r>
        <w:rPr>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3"/>
        </w:rPr>
        <w:t xml:space="preserve"> </w:t>
      </w:r>
      <w:r>
        <w:rPr>
          <w:spacing w:val="-1"/>
        </w:rPr>
        <w:t>月</w:t>
      </w:r>
      <w:r>
        <w:rPr>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58"/>
        </w:rPr>
        <w:t xml:space="preserve"> </w:t>
      </w:r>
      <w:r>
        <w:rPr>
          <w:spacing w:val="-1"/>
        </w:rPr>
        <w:t>日修正）、《中华人民共和国环境影响评价法》（</w:t>
      </w:r>
      <w:r>
        <w:rPr>
          <w:rFonts w:ascii="Times New Roman" w:hAnsi="Times New Roman" w:eastAsia="Times New Roman" w:cs="Times New Roman"/>
          <w:spacing w:val="-1"/>
        </w:rPr>
        <w:t>2018</w:t>
      </w:r>
      <w:r>
        <w:rPr>
          <w:rFonts w:ascii="Times New Roman" w:hAnsi="Times New Roman" w:eastAsia="Times New Roman" w:cs="Times New Roman"/>
          <w:spacing w:val="17"/>
          <w:w w:val="101"/>
        </w:rPr>
        <w:t xml:space="preserve"> </w:t>
      </w:r>
      <w:r>
        <w:rPr>
          <w:spacing w:val="-1"/>
        </w:rPr>
        <w:t>年</w:t>
      </w:r>
      <w:r>
        <w:rPr>
          <w:spacing w:val="-27"/>
        </w:rPr>
        <w:t xml:space="preserve"> </w:t>
      </w:r>
      <w:r>
        <w:rPr>
          <w:rFonts w:ascii="Times New Roman" w:hAnsi="Times New Roman" w:eastAsia="Times New Roman" w:cs="Times New Roman"/>
          <w:spacing w:val="-1"/>
        </w:rPr>
        <w:t>12</w:t>
      </w:r>
      <w:r>
        <w:rPr>
          <w:rFonts w:ascii="Times New Roman" w:hAnsi="Times New Roman" w:eastAsia="Times New Roman" w:cs="Times New Roman"/>
        </w:rPr>
        <w:t xml:space="preserve">   </w:t>
      </w:r>
      <w:r>
        <w:rPr>
          <w:spacing w:val="-1"/>
        </w:rPr>
        <w:t>月</w:t>
      </w:r>
      <w:r>
        <w:rPr>
          <w:spacing w:val="-55"/>
        </w:rPr>
        <w:t xml:space="preserve"> </w:t>
      </w:r>
      <w:r>
        <w:rPr>
          <w:rFonts w:ascii="Times New Roman" w:hAnsi="Times New Roman" w:eastAsia="Times New Roman" w:cs="Times New Roman"/>
          <w:spacing w:val="-1"/>
        </w:rPr>
        <w:t>29</w:t>
      </w:r>
      <w:r>
        <w:rPr>
          <w:rFonts w:ascii="Times New Roman" w:hAnsi="Times New Roman" w:eastAsia="Times New Roman" w:cs="Times New Roman"/>
          <w:spacing w:val="50"/>
          <w:w w:val="101"/>
        </w:rPr>
        <w:t xml:space="preserve"> </w:t>
      </w:r>
      <w:r>
        <w:rPr>
          <w:spacing w:val="-1"/>
        </w:rPr>
        <w:t>日修正）及建设项目环境影响评价分类管理名录（</w:t>
      </w:r>
      <w:r>
        <w:rPr>
          <w:rFonts w:ascii="Times New Roman" w:hAnsi="Times New Roman" w:eastAsia="Times New Roman" w:cs="Times New Roman"/>
          <w:spacing w:val="-1"/>
        </w:rPr>
        <w:t>2021</w:t>
      </w:r>
      <w:r>
        <w:rPr>
          <w:spacing w:val="-1"/>
        </w:rPr>
        <w:t>年版</w:t>
      </w:r>
      <w:r>
        <w:rPr>
          <w:spacing w:val="-2"/>
        </w:rPr>
        <w:t>），</w:t>
      </w:r>
      <w:r>
        <w:rPr>
          <w:spacing w:val="-1"/>
        </w:rPr>
        <w:t>本项目属</w:t>
      </w:r>
      <w:r>
        <w:t xml:space="preserve">  </w:t>
      </w:r>
      <w:r>
        <w:rPr>
          <w:spacing w:val="-2"/>
        </w:rPr>
        <w:t>于《建设项目环境影响评价分类管理名录（</w:t>
      </w:r>
      <w:r>
        <w:rPr>
          <w:rFonts w:ascii="Times New Roman" w:hAnsi="Times New Roman" w:eastAsia="Times New Roman" w:cs="Times New Roman"/>
          <w:spacing w:val="-2"/>
        </w:rPr>
        <w:t>2021</w:t>
      </w:r>
      <w:r>
        <w:rPr>
          <w:spacing w:val="-2"/>
        </w:rPr>
        <w:t>年版）》中“</w:t>
      </w:r>
      <w:r>
        <w:rPr>
          <w:spacing w:val="-86"/>
        </w:rPr>
        <w:t xml:space="preserve"> </w:t>
      </w:r>
      <w:r>
        <w:rPr>
          <w:rFonts w:ascii="Times New Roman" w:hAnsi="Times New Roman" w:eastAsia="Times New Roman" w:cs="Times New Roman"/>
          <w:spacing w:val="-2"/>
        </w:rPr>
        <w:t xml:space="preserve">161 </w:t>
      </w:r>
      <w:r>
        <w:rPr>
          <w:spacing w:val="-2"/>
        </w:rPr>
        <w:t>条：输变电工</w:t>
      </w:r>
      <w:r>
        <w:t xml:space="preserve">  </w:t>
      </w:r>
      <w:r>
        <w:rPr>
          <w:spacing w:val="-6"/>
        </w:rPr>
        <w:t>程</w:t>
      </w:r>
      <w:r>
        <w:rPr>
          <w:spacing w:val="-70"/>
        </w:rPr>
        <w:t xml:space="preserve"> </w:t>
      </w:r>
      <w:r>
        <w:rPr>
          <w:spacing w:val="-6"/>
        </w:rPr>
        <w:t>”的“其他（</w:t>
      </w:r>
      <w:r>
        <w:rPr>
          <w:rFonts w:ascii="Times New Roman" w:hAnsi="Times New Roman" w:eastAsia="Times New Roman" w:cs="Times New Roman"/>
          <w:spacing w:val="-6"/>
        </w:rPr>
        <w:t xml:space="preserve">100 </w:t>
      </w:r>
      <w:r>
        <w:rPr>
          <w:spacing w:val="-6"/>
        </w:rPr>
        <w:t>千伏以下除外）”类，因此，本项目需编制环境影响报告表。</w:t>
      </w:r>
      <w:r>
        <w:t xml:space="preserve"> </w:t>
      </w:r>
      <w:r>
        <w:rPr>
          <w:spacing w:val="-3"/>
        </w:rPr>
        <w:t>为此，京能（寻甸）新能源有限公司特委托我公司进行该项目的环境影响评价工</w:t>
      </w:r>
      <w:r>
        <w:t xml:space="preserve">  </w:t>
      </w:r>
      <w:r>
        <w:rPr>
          <w:spacing w:val="-3"/>
        </w:rPr>
        <w:t>作。按照当地生态环境主管部门环境管理要求，</w:t>
      </w:r>
      <w:r>
        <w:rPr>
          <w:spacing w:val="-4"/>
        </w:rPr>
        <w:t>拟将项目</w:t>
      </w:r>
      <w:r>
        <w:rPr>
          <w:spacing w:val="-48"/>
        </w:rPr>
        <w:t xml:space="preserve"> </w:t>
      </w:r>
      <w:r>
        <w:rPr>
          <w:spacing w:val="-4"/>
        </w:rPr>
        <w:t>220kV</w:t>
      </w:r>
      <w:r>
        <w:rPr>
          <w:spacing w:val="-49"/>
        </w:rPr>
        <w:t xml:space="preserve"> </w:t>
      </w:r>
      <w:r>
        <w:rPr>
          <w:spacing w:val="-4"/>
        </w:rPr>
        <w:t>升压站电磁辐射</w:t>
      </w:r>
      <w:r>
        <w:t xml:space="preserve">  </w:t>
      </w:r>
      <w:r>
        <w:rPr>
          <w:spacing w:val="-1"/>
        </w:rPr>
        <w:t>纳入专项一并评价。</w:t>
      </w:r>
    </w:p>
    <w:p w14:paraId="12C532B6">
      <w:pPr>
        <w:pStyle w:val="2"/>
        <w:spacing w:before="36" w:line="218" w:lineRule="auto"/>
        <w:ind w:left="502"/>
      </w:pPr>
      <w:r>
        <w:rPr>
          <w:b/>
          <w:bCs/>
          <w:spacing w:val="-4"/>
        </w:rPr>
        <w:t>评价说明：</w:t>
      </w:r>
    </w:p>
    <w:p w14:paraId="0F591CD8">
      <w:pPr>
        <w:pStyle w:val="2"/>
        <w:spacing w:before="184" w:line="353" w:lineRule="auto"/>
        <w:ind w:left="23" w:right="25" w:firstLine="498"/>
        <w:jc w:val="both"/>
      </w:pPr>
      <w:r>
        <w:rPr>
          <w:rFonts w:ascii="Times New Roman" w:hAnsi="Times New Roman" w:eastAsia="Times New Roman" w:cs="Times New Roman"/>
          <w:spacing w:val="-5"/>
        </w:rPr>
        <w:t>1</w:t>
      </w:r>
      <w:r>
        <w:rPr>
          <w:spacing w:val="-5"/>
        </w:rPr>
        <w:t>、化桃箐光伏发电项目上文非辐射评价中已对升压站的生态环境、声环境、</w:t>
      </w:r>
      <w:r>
        <w:rPr>
          <w:spacing w:val="7"/>
        </w:rPr>
        <w:t xml:space="preserve"> </w:t>
      </w:r>
      <w:r>
        <w:rPr>
          <w:spacing w:val="-3"/>
        </w:rPr>
        <w:t>地表水环境等环境要素进行评价，按照《建设项目环境影响报告表编制技术指南</w:t>
      </w:r>
      <w:r>
        <w:rPr>
          <w:spacing w:val="1"/>
        </w:rPr>
        <w:t xml:space="preserve"> </w:t>
      </w:r>
      <w:r>
        <w:t>（生态影响类 试行）》对报告表的简化要求，本次电磁专项评价不再对上述环</w:t>
      </w:r>
      <w:r>
        <w:rPr>
          <w:spacing w:val="13"/>
        </w:rPr>
        <w:t xml:space="preserve"> </w:t>
      </w:r>
      <w:r>
        <w:rPr>
          <w:spacing w:val="-1"/>
        </w:rPr>
        <w:t>境要素重复赘述，仅对电磁环境进行评价。</w:t>
      </w:r>
    </w:p>
    <w:p w14:paraId="4952AB35">
      <w:pPr>
        <w:pStyle w:val="2"/>
        <w:spacing w:before="37" w:line="353" w:lineRule="auto"/>
        <w:ind w:left="26" w:right="105" w:firstLine="472"/>
        <w:jc w:val="both"/>
      </w:pPr>
      <w:r>
        <w:rPr>
          <w:rFonts w:ascii="Times New Roman" w:hAnsi="Times New Roman" w:eastAsia="Times New Roman" w:cs="Times New Roman"/>
          <w:spacing w:val="-3"/>
        </w:rPr>
        <w:t>2</w:t>
      </w:r>
      <w:r>
        <w:rPr>
          <w:rFonts w:ascii="Times New Roman" w:hAnsi="Times New Roman" w:eastAsia="Times New Roman" w:cs="Times New Roman"/>
          <w:spacing w:val="-33"/>
        </w:rPr>
        <w:t xml:space="preserve"> </w:t>
      </w:r>
      <w:r>
        <w:rPr>
          <w:spacing w:val="-3"/>
        </w:rPr>
        <w:t>、根据《建设项目环境影响评价分类管理名录》（</w:t>
      </w:r>
      <w:r>
        <w:rPr>
          <w:rFonts w:ascii="Times New Roman" w:hAnsi="Times New Roman" w:eastAsia="Times New Roman" w:cs="Times New Roman"/>
          <w:spacing w:val="-3"/>
        </w:rPr>
        <w:t>2021</w:t>
      </w:r>
      <w:r>
        <w:rPr>
          <w:rFonts w:ascii="Times New Roman" w:hAnsi="Times New Roman" w:eastAsia="Times New Roman" w:cs="Times New Roman"/>
          <w:spacing w:val="-4"/>
        </w:rPr>
        <w:t xml:space="preserve"> </w:t>
      </w:r>
      <w:r>
        <w:rPr>
          <w:spacing w:val="-4"/>
        </w:rPr>
        <w:t>版</w:t>
      </w:r>
      <w:r>
        <w:rPr>
          <w:spacing w:val="9"/>
        </w:rPr>
        <w:t>），</w:t>
      </w:r>
      <w:r>
        <w:rPr>
          <w:rFonts w:ascii="Times New Roman" w:hAnsi="Times New Roman" w:eastAsia="Times New Roman" w:cs="Times New Roman"/>
          <w:spacing w:val="-4"/>
        </w:rPr>
        <w:t>100kV</w:t>
      </w:r>
      <w:r>
        <w:rPr>
          <w:rFonts w:ascii="Times New Roman" w:hAnsi="Times New Roman" w:eastAsia="Times New Roman" w:cs="Times New Roman"/>
          <w:spacing w:val="39"/>
        </w:rPr>
        <w:t xml:space="preserve"> </w:t>
      </w:r>
      <w:r>
        <w:rPr>
          <w:spacing w:val="-4"/>
        </w:rPr>
        <w:t>以下</w:t>
      </w:r>
      <w:r>
        <w:t xml:space="preserve"> </w:t>
      </w:r>
      <w:r>
        <w:rPr>
          <w:spacing w:val="1"/>
        </w:rPr>
        <w:t>电压等级的交流输变电建设项目属于豁免范</w:t>
      </w:r>
      <w:r>
        <w:t>围，因此拟建项目涉及的</w:t>
      </w:r>
      <w:r>
        <w:rPr>
          <w:rFonts w:ascii="Times New Roman" w:hAnsi="Times New Roman" w:eastAsia="Times New Roman" w:cs="Times New Roman"/>
        </w:rPr>
        <w:t xml:space="preserve">35kV </w:t>
      </w:r>
      <w:r>
        <w:t xml:space="preserve">集电 </w:t>
      </w:r>
      <w:r>
        <w:rPr>
          <w:spacing w:val="-3"/>
        </w:rPr>
        <w:t>线路属于豁免水平，其产生的电磁辐射影响较小，因此，本次专项评价内容</w:t>
      </w:r>
      <w:r>
        <w:rPr>
          <w:spacing w:val="-4"/>
        </w:rPr>
        <w:t>为项</w:t>
      </w:r>
      <w:r>
        <w:t xml:space="preserve"> </w:t>
      </w:r>
      <w:r>
        <w:rPr>
          <w:spacing w:val="-2"/>
        </w:rPr>
        <w:t>目拟建的</w:t>
      </w:r>
      <w:r>
        <w:rPr>
          <w:spacing w:val="-46"/>
        </w:rPr>
        <w:t xml:space="preserve"> </w:t>
      </w:r>
      <w:r>
        <w:rPr>
          <w:rFonts w:ascii="Times New Roman" w:hAnsi="Times New Roman" w:eastAsia="Times New Roman" w:cs="Times New Roman"/>
          <w:spacing w:val="-2"/>
        </w:rPr>
        <w:t xml:space="preserve">220kV </w:t>
      </w:r>
      <w:r>
        <w:rPr>
          <w:spacing w:val="-2"/>
        </w:rPr>
        <w:t>升压站。</w:t>
      </w:r>
    </w:p>
    <w:p w14:paraId="38AD3997">
      <w:pPr>
        <w:spacing w:line="353" w:lineRule="auto"/>
        <w:sectPr>
          <w:footerReference r:id="rId181" w:type="default"/>
          <w:pgSz w:w="11906" w:h="16839"/>
          <w:pgMar w:top="1431" w:right="1693" w:bottom="1175" w:left="1785" w:header="0" w:footer="987" w:gutter="0"/>
          <w:cols w:space="720" w:num="1"/>
        </w:sectPr>
      </w:pPr>
    </w:p>
    <w:p w14:paraId="20F21AE2">
      <w:pPr>
        <w:pStyle w:val="2"/>
        <w:spacing w:before="172" w:line="220" w:lineRule="auto"/>
        <w:ind w:left="21"/>
        <w:outlineLvl w:val="0"/>
        <w:rPr>
          <w:sz w:val="30"/>
          <w:szCs w:val="30"/>
        </w:rPr>
      </w:pPr>
      <w:bookmarkStart w:id="26" w:name="bookmark18"/>
      <w:bookmarkEnd w:id="26"/>
      <w:r>
        <w:rPr>
          <w:rFonts w:ascii="Times New Roman" w:hAnsi="Times New Roman" w:eastAsia="Times New Roman" w:cs="Times New Roman"/>
          <w:b/>
          <w:bCs/>
          <w:spacing w:val="-12"/>
          <w:sz w:val="30"/>
          <w:szCs w:val="30"/>
        </w:rPr>
        <w:t>2</w:t>
      </w:r>
      <w:r>
        <w:rPr>
          <w:rFonts w:ascii="Times New Roman" w:hAnsi="Times New Roman" w:eastAsia="Times New Roman" w:cs="Times New Roman"/>
          <w:b/>
          <w:bCs/>
          <w:spacing w:val="10"/>
          <w:sz w:val="30"/>
          <w:szCs w:val="30"/>
        </w:rPr>
        <w:t xml:space="preserve">  </w:t>
      </w:r>
      <w:r>
        <w:rPr>
          <w:b/>
          <w:bCs/>
          <w:spacing w:val="-12"/>
          <w:sz w:val="30"/>
          <w:szCs w:val="30"/>
        </w:rPr>
        <w:t>总则</w:t>
      </w:r>
    </w:p>
    <w:p w14:paraId="3A4C206C">
      <w:pPr>
        <w:pStyle w:val="2"/>
        <w:spacing w:before="275" w:line="219" w:lineRule="auto"/>
        <w:ind w:left="20"/>
        <w:outlineLvl w:val="1"/>
        <w:rPr>
          <w:sz w:val="28"/>
          <w:szCs w:val="28"/>
        </w:rPr>
      </w:pPr>
      <w:r>
        <w:rPr>
          <w:rFonts w:ascii="Times New Roman" w:hAnsi="Times New Roman" w:eastAsia="Times New Roman" w:cs="Times New Roman"/>
          <w:b/>
          <w:bCs/>
          <w:spacing w:val="-2"/>
          <w:sz w:val="28"/>
          <w:szCs w:val="28"/>
        </w:rPr>
        <w:t xml:space="preserve">2.1 </w:t>
      </w:r>
      <w:r>
        <w:rPr>
          <w:b/>
          <w:bCs/>
          <w:spacing w:val="-2"/>
          <w:sz w:val="28"/>
          <w:szCs w:val="28"/>
        </w:rPr>
        <w:t>编制依据</w:t>
      </w:r>
    </w:p>
    <w:p w14:paraId="22AD13B8">
      <w:pPr>
        <w:pStyle w:val="2"/>
        <w:spacing w:before="233" w:line="219" w:lineRule="auto"/>
        <w:ind w:left="19"/>
        <w:outlineLvl w:val="2"/>
      </w:pPr>
      <w:r>
        <w:rPr>
          <w:rFonts w:ascii="Times New Roman" w:hAnsi="Times New Roman" w:eastAsia="Times New Roman" w:cs="Times New Roman"/>
          <w:b/>
          <w:bCs/>
          <w:spacing w:val="-2"/>
        </w:rPr>
        <w:t xml:space="preserve">2.1.1 </w:t>
      </w:r>
      <w:r>
        <w:rPr>
          <w:b/>
          <w:bCs/>
          <w:spacing w:val="-2"/>
        </w:rPr>
        <w:t>法律法规</w:t>
      </w:r>
    </w:p>
    <w:p w14:paraId="0FB72FE9">
      <w:pPr>
        <w:pStyle w:val="2"/>
        <w:spacing w:before="181" w:line="290" w:lineRule="auto"/>
        <w:ind w:left="29" w:right="16" w:firstLine="485"/>
      </w:pPr>
      <w:r>
        <w:rPr>
          <w:spacing w:val="-2"/>
        </w:rPr>
        <w:t>（</w:t>
      </w:r>
      <w:r>
        <w:rPr>
          <w:rFonts w:ascii="Times New Roman" w:hAnsi="Times New Roman" w:eastAsia="Times New Roman" w:cs="Times New Roman"/>
          <w:spacing w:val="-2"/>
        </w:rPr>
        <w:t>1</w:t>
      </w:r>
      <w:r>
        <w:rPr>
          <w:spacing w:val="-2"/>
        </w:rPr>
        <w:t>）《中华人民共和国环境保护法》，</w:t>
      </w:r>
      <w:r>
        <w:rPr>
          <w:rFonts w:ascii="Times New Roman" w:hAnsi="Times New Roman" w:eastAsia="Times New Roman" w:cs="Times New Roman"/>
          <w:spacing w:val="-2"/>
        </w:rPr>
        <w:t xml:space="preserve">2014 </w:t>
      </w:r>
      <w:r>
        <w:rPr>
          <w:spacing w:val="-2"/>
        </w:rPr>
        <w:t>年</w:t>
      </w:r>
      <w:r>
        <w:rPr>
          <w:spacing w:val="-47"/>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8"/>
        </w:rPr>
        <w:t xml:space="preserve"> </w:t>
      </w:r>
      <w:r>
        <w:rPr>
          <w:spacing w:val="-2"/>
        </w:rPr>
        <w:t>月</w:t>
      </w:r>
      <w:r>
        <w:rPr>
          <w:spacing w:val="-53"/>
        </w:rPr>
        <w:t xml:space="preserve"> </w:t>
      </w:r>
      <w:r>
        <w:rPr>
          <w:rFonts w:ascii="Times New Roman" w:hAnsi="Times New Roman" w:eastAsia="Times New Roman" w:cs="Times New Roman"/>
          <w:spacing w:val="-2"/>
        </w:rPr>
        <w:t xml:space="preserve">24  </w:t>
      </w:r>
      <w:r>
        <w:rPr>
          <w:spacing w:val="-2"/>
        </w:rPr>
        <w:t>日修订，</w:t>
      </w:r>
      <w:r>
        <w:rPr>
          <w:rFonts w:ascii="Times New Roman" w:hAnsi="Times New Roman" w:eastAsia="Times New Roman" w:cs="Times New Roman"/>
          <w:spacing w:val="-2"/>
        </w:rPr>
        <w:t>2015</w:t>
      </w:r>
      <w:r>
        <w:rPr>
          <w:rFonts w:ascii="Times New Roman" w:hAnsi="Times New Roman" w:eastAsia="Times New Roman" w:cs="Times New Roman"/>
          <w:spacing w:val="16"/>
        </w:rPr>
        <w:t xml:space="preserve"> </w:t>
      </w:r>
      <w:r>
        <w:rPr>
          <w:spacing w:val="-2"/>
        </w:rPr>
        <w:t>年</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rPr>
        <w:t xml:space="preserve"> </w:t>
      </w:r>
      <w:r>
        <w:rPr>
          <w:spacing w:val="-16"/>
        </w:rPr>
        <w:t>月</w:t>
      </w:r>
      <w:r>
        <w:rPr>
          <w:spacing w:val="-31"/>
        </w:rPr>
        <w:t xml:space="preserve"> </w:t>
      </w:r>
      <w:r>
        <w:rPr>
          <w:rFonts w:ascii="Times New Roman" w:hAnsi="Times New Roman" w:eastAsia="Times New Roman" w:cs="Times New Roman"/>
          <w:spacing w:val="-16"/>
        </w:rPr>
        <w:t>1</w:t>
      </w:r>
      <w:r>
        <w:rPr>
          <w:rFonts w:ascii="Times New Roman" w:hAnsi="Times New Roman" w:eastAsia="Times New Roman" w:cs="Times New Roman"/>
          <w:spacing w:val="50"/>
          <w:w w:val="101"/>
        </w:rPr>
        <w:t xml:space="preserve"> </w:t>
      </w:r>
      <w:r>
        <w:rPr>
          <w:spacing w:val="-16"/>
        </w:rPr>
        <w:t>日施行；</w:t>
      </w:r>
    </w:p>
    <w:p w14:paraId="1A2C5EFB">
      <w:pPr>
        <w:pStyle w:val="2"/>
        <w:spacing w:before="184" w:line="289" w:lineRule="auto"/>
        <w:ind w:left="23" w:right="13" w:firstLine="491"/>
      </w:pPr>
      <w:r>
        <w:rPr>
          <w:spacing w:val="-4"/>
        </w:rPr>
        <w:t>（</w:t>
      </w:r>
      <w:r>
        <w:rPr>
          <w:rFonts w:ascii="Times New Roman" w:hAnsi="Times New Roman" w:eastAsia="Times New Roman" w:cs="Times New Roman"/>
          <w:spacing w:val="-4"/>
        </w:rPr>
        <w:t>2</w:t>
      </w:r>
      <w:r>
        <w:rPr>
          <w:spacing w:val="-4"/>
        </w:rPr>
        <w:t>）《中华人民共和国环境影响评价法》，</w:t>
      </w:r>
      <w:r>
        <w:rPr>
          <w:rFonts w:ascii="Times New Roman" w:hAnsi="Times New Roman" w:eastAsia="Times New Roman" w:cs="Times New Roman"/>
          <w:spacing w:val="-4"/>
        </w:rPr>
        <w:t xml:space="preserve">2018 </w:t>
      </w:r>
      <w:r>
        <w:rPr>
          <w:spacing w:val="-4"/>
        </w:rPr>
        <w:t>年</w:t>
      </w:r>
      <w:r>
        <w:rPr>
          <w:spacing w:val="-32"/>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15"/>
        </w:rPr>
        <w:t xml:space="preserve"> </w:t>
      </w:r>
      <w:r>
        <w:rPr>
          <w:spacing w:val="-4"/>
        </w:rPr>
        <w:t>月</w:t>
      </w:r>
      <w:r>
        <w:rPr>
          <w:spacing w:val="-55"/>
        </w:rPr>
        <w:t xml:space="preserve"> </w:t>
      </w:r>
      <w:r>
        <w:rPr>
          <w:rFonts w:ascii="Times New Roman" w:hAnsi="Times New Roman" w:eastAsia="Times New Roman" w:cs="Times New Roman"/>
          <w:spacing w:val="-4"/>
        </w:rPr>
        <w:t>29</w:t>
      </w:r>
      <w:r>
        <w:rPr>
          <w:rFonts w:ascii="Times New Roman" w:hAnsi="Times New Roman" w:eastAsia="Times New Roman" w:cs="Times New Roman"/>
          <w:spacing w:val="-5"/>
        </w:rPr>
        <w:t xml:space="preserve">  </w:t>
      </w:r>
      <w:r>
        <w:rPr>
          <w:spacing w:val="-5"/>
        </w:rPr>
        <w:t>日，第十三届</w:t>
      </w:r>
      <w:r>
        <w:t xml:space="preserve"> </w:t>
      </w:r>
      <w:r>
        <w:rPr>
          <w:spacing w:val="-1"/>
        </w:rPr>
        <w:t>全国人民代表大会常务委员会第七次会议第二次修正；</w:t>
      </w:r>
    </w:p>
    <w:p w14:paraId="2D2E230D">
      <w:pPr>
        <w:pStyle w:val="2"/>
        <w:spacing w:before="184" w:line="289" w:lineRule="auto"/>
        <w:ind w:left="22" w:right="13" w:firstLine="492"/>
      </w:pPr>
      <w:r>
        <w:rPr>
          <w:spacing w:val="-4"/>
        </w:rPr>
        <w:t>（</w:t>
      </w:r>
      <w:r>
        <w:rPr>
          <w:rFonts w:ascii="Times New Roman" w:hAnsi="Times New Roman" w:eastAsia="Times New Roman" w:cs="Times New Roman"/>
          <w:spacing w:val="-4"/>
        </w:rPr>
        <w:t>3</w:t>
      </w:r>
      <w:r>
        <w:rPr>
          <w:spacing w:val="-4"/>
        </w:rPr>
        <w:t>）《中华人民共和国电力法》，</w:t>
      </w:r>
      <w:r>
        <w:rPr>
          <w:rFonts w:ascii="Times New Roman" w:hAnsi="Times New Roman" w:eastAsia="Times New Roman" w:cs="Times New Roman"/>
          <w:spacing w:val="-4"/>
        </w:rPr>
        <w:t xml:space="preserve">2018 </w:t>
      </w:r>
      <w:r>
        <w:rPr>
          <w:spacing w:val="-4"/>
        </w:rPr>
        <w:t>年</w:t>
      </w:r>
      <w:r>
        <w:rPr>
          <w:rFonts w:ascii="Times New Roman" w:hAnsi="Times New Roman" w:eastAsia="Times New Roman" w:cs="Times New Roman"/>
          <w:spacing w:val="-4"/>
        </w:rPr>
        <w:t>12</w:t>
      </w:r>
      <w:r>
        <w:rPr>
          <w:spacing w:val="-4"/>
        </w:rPr>
        <w:t>月</w:t>
      </w:r>
      <w:r>
        <w:rPr>
          <w:rFonts w:ascii="Times New Roman" w:hAnsi="Times New Roman" w:eastAsia="Times New Roman" w:cs="Times New Roman"/>
          <w:spacing w:val="-4"/>
        </w:rPr>
        <w:t>29</w:t>
      </w:r>
      <w:r>
        <w:rPr>
          <w:spacing w:val="-4"/>
        </w:rPr>
        <w:t>日第</w:t>
      </w:r>
      <w:r>
        <w:rPr>
          <w:spacing w:val="-5"/>
        </w:rPr>
        <w:t>十三届全国人民</w:t>
      </w:r>
      <w:r>
        <w:rPr>
          <w:rFonts w:hint="eastAsia"/>
          <w:spacing w:val="-5"/>
          <w:lang w:val="en-US" w:eastAsia="zh-CN"/>
        </w:rPr>
        <w:t>代</w:t>
      </w:r>
      <w:r>
        <w:rPr>
          <w:spacing w:val="-1"/>
        </w:rPr>
        <w:t>表大会常务委员会第七次会议第三次修正；</w:t>
      </w:r>
    </w:p>
    <w:p w14:paraId="111ECAEA">
      <w:pPr>
        <w:pStyle w:val="2"/>
        <w:spacing w:before="183" w:line="290" w:lineRule="auto"/>
        <w:ind w:left="26" w:right="13" w:firstLine="488"/>
      </w:pPr>
      <w:r>
        <w:rPr>
          <w:spacing w:val="-5"/>
        </w:rPr>
        <w:t>（</w:t>
      </w:r>
      <w:r>
        <w:rPr>
          <w:rFonts w:ascii="Times New Roman" w:hAnsi="Times New Roman" w:eastAsia="Times New Roman" w:cs="Times New Roman"/>
          <w:spacing w:val="-5"/>
        </w:rPr>
        <w:t>4</w:t>
      </w:r>
      <w:r>
        <w:rPr>
          <w:spacing w:val="-5"/>
        </w:rPr>
        <w:t>）《电力设施保护条例》，</w:t>
      </w:r>
      <w:r>
        <w:rPr>
          <w:rFonts w:ascii="Times New Roman" w:hAnsi="Times New Roman" w:eastAsia="Times New Roman" w:cs="Times New Roman"/>
          <w:spacing w:val="-5"/>
        </w:rPr>
        <w:t xml:space="preserve">2011 </w:t>
      </w:r>
      <w:r>
        <w:rPr>
          <w:spacing w:val="-5"/>
        </w:rPr>
        <w:t>年</w:t>
      </w:r>
      <w:r>
        <w:rPr>
          <w:spacing w:val="-16"/>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w w:val="101"/>
        </w:rPr>
        <w:t xml:space="preserve"> </w:t>
      </w:r>
      <w:r>
        <w:rPr>
          <w:spacing w:val="-5"/>
        </w:rPr>
        <w:t>月</w:t>
      </w:r>
      <w:r>
        <w:rPr>
          <w:spacing w:val="-46"/>
        </w:rPr>
        <w:t xml:space="preserve"> </w:t>
      </w:r>
      <w:r>
        <w:rPr>
          <w:rFonts w:ascii="Times New Roman" w:hAnsi="Times New Roman" w:eastAsia="Times New Roman" w:cs="Times New Roman"/>
          <w:spacing w:val="-5"/>
        </w:rPr>
        <w:t xml:space="preserve">8  </w:t>
      </w:r>
      <w:r>
        <w:rPr>
          <w:spacing w:val="-5"/>
        </w:rPr>
        <w:t>日《国务院关于废止和修改部</w:t>
      </w:r>
      <w:r>
        <w:t xml:space="preserve"> </w:t>
      </w:r>
      <w:r>
        <w:rPr>
          <w:spacing w:val="-1"/>
        </w:rPr>
        <w:t>分行政法规的决定》第二次修订；</w:t>
      </w:r>
    </w:p>
    <w:p w14:paraId="130A4EBE">
      <w:pPr>
        <w:pStyle w:val="2"/>
        <w:spacing w:before="184" w:line="289" w:lineRule="auto"/>
        <w:ind w:left="26" w:right="13" w:firstLine="488"/>
      </w:pPr>
      <w:r>
        <w:rPr>
          <w:spacing w:val="-1"/>
        </w:rPr>
        <w:t>（</w:t>
      </w:r>
      <w:r>
        <w:rPr>
          <w:rFonts w:ascii="Times New Roman" w:hAnsi="Times New Roman" w:eastAsia="Times New Roman" w:cs="Times New Roman"/>
          <w:spacing w:val="-1"/>
        </w:rPr>
        <w:t>5</w:t>
      </w:r>
      <w:r>
        <w:rPr>
          <w:spacing w:val="-1"/>
        </w:rPr>
        <w:t>）《云南省环境保护条例》，</w:t>
      </w:r>
      <w:r>
        <w:rPr>
          <w:rFonts w:ascii="Times New Roman" w:hAnsi="Times New Roman" w:eastAsia="Times New Roman" w:cs="Times New Roman"/>
          <w:spacing w:val="-1"/>
        </w:rPr>
        <w:t xml:space="preserve">2004 </w:t>
      </w:r>
      <w:r>
        <w:rPr>
          <w:spacing w:val="-1"/>
        </w:rPr>
        <w:t>年</w:t>
      </w:r>
      <w:r>
        <w:rPr>
          <w:spacing w:val="-43"/>
        </w:rPr>
        <w:t xml:space="preserve"> </w:t>
      </w:r>
      <w:r>
        <w:rPr>
          <w:rFonts w:ascii="Times New Roman" w:hAnsi="Times New Roman" w:eastAsia="Times New Roman" w:cs="Times New Roman"/>
          <w:spacing w:val="-1"/>
        </w:rPr>
        <w:t>6</w:t>
      </w:r>
      <w:r>
        <w:rPr>
          <w:rFonts w:ascii="Times New Roman" w:hAnsi="Times New Roman" w:eastAsia="Times New Roman" w:cs="Times New Roman"/>
          <w:spacing w:val="18"/>
        </w:rPr>
        <w:t xml:space="preserve"> </w:t>
      </w:r>
      <w:r>
        <w:rPr>
          <w:spacing w:val="-1"/>
        </w:rPr>
        <w:t>月</w:t>
      </w:r>
      <w:r>
        <w:rPr>
          <w:spacing w:val="-53"/>
        </w:rPr>
        <w:t xml:space="preserve"> </w:t>
      </w:r>
      <w:r>
        <w:rPr>
          <w:rFonts w:ascii="Times New Roman" w:hAnsi="Times New Roman" w:eastAsia="Times New Roman" w:cs="Times New Roman"/>
          <w:spacing w:val="-1"/>
        </w:rPr>
        <w:t xml:space="preserve">29  </w:t>
      </w:r>
      <w:r>
        <w:rPr>
          <w:spacing w:val="-1"/>
        </w:rPr>
        <w:t>日云南省第十届人民代表</w:t>
      </w:r>
      <w:r>
        <w:t xml:space="preserve"> </w:t>
      </w:r>
      <w:r>
        <w:rPr>
          <w:spacing w:val="-1"/>
        </w:rPr>
        <w:t>大会常务委员会第十次会议修正；</w:t>
      </w:r>
    </w:p>
    <w:p w14:paraId="618C3C1C">
      <w:pPr>
        <w:pStyle w:val="2"/>
        <w:spacing w:before="185" w:line="289" w:lineRule="auto"/>
        <w:ind w:left="22" w:right="16" w:firstLine="492"/>
      </w:pPr>
      <w:r>
        <w:rPr>
          <w:spacing w:val="-1"/>
        </w:rPr>
        <w:t>（</w:t>
      </w:r>
      <w:r>
        <w:rPr>
          <w:rFonts w:ascii="Times New Roman" w:hAnsi="Times New Roman" w:eastAsia="Times New Roman" w:cs="Times New Roman"/>
          <w:spacing w:val="-1"/>
        </w:rPr>
        <w:t>6</w:t>
      </w:r>
      <w:r>
        <w:rPr>
          <w:spacing w:val="-1"/>
        </w:rPr>
        <w:t>）《云南省供用电条例》，</w:t>
      </w:r>
      <w:r>
        <w:rPr>
          <w:rFonts w:ascii="Times New Roman" w:hAnsi="Times New Roman" w:eastAsia="Times New Roman" w:cs="Times New Roman"/>
          <w:spacing w:val="-1"/>
        </w:rPr>
        <w:t xml:space="preserve">2004 </w:t>
      </w:r>
      <w:r>
        <w:rPr>
          <w:spacing w:val="-1"/>
        </w:rPr>
        <w:t>年</w:t>
      </w:r>
      <w:r>
        <w:rPr>
          <w:spacing w:val="-45"/>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7"/>
          <w:w w:val="101"/>
        </w:rPr>
        <w:t xml:space="preserve"> </w:t>
      </w:r>
      <w:r>
        <w:rPr>
          <w:spacing w:val="-1"/>
        </w:rPr>
        <w:t>月</w:t>
      </w:r>
      <w:r>
        <w:rPr>
          <w:spacing w:val="-53"/>
        </w:rPr>
        <w:t xml:space="preserve"> </w:t>
      </w:r>
      <w:r>
        <w:rPr>
          <w:rFonts w:ascii="Times New Roman" w:hAnsi="Times New Roman" w:eastAsia="Times New Roman" w:cs="Times New Roman"/>
          <w:spacing w:val="-1"/>
        </w:rPr>
        <w:t xml:space="preserve">26  </w:t>
      </w:r>
      <w:r>
        <w:rPr>
          <w:spacing w:val="-1"/>
        </w:rPr>
        <w:t>日云南省第十届人民代表大</w:t>
      </w:r>
      <w:r>
        <w:t xml:space="preserve"> </w:t>
      </w:r>
      <w:r>
        <w:rPr>
          <w:spacing w:val="-4"/>
        </w:rPr>
        <w:t>会常务委员会第八次会议通过，</w:t>
      </w:r>
      <w:r>
        <w:rPr>
          <w:rFonts w:ascii="Times New Roman" w:hAnsi="Times New Roman" w:eastAsia="Times New Roman" w:cs="Times New Roman"/>
          <w:spacing w:val="-4"/>
        </w:rPr>
        <w:t xml:space="preserve">2004 </w:t>
      </w:r>
      <w:r>
        <w:rPr>
          <w:spacing w:val="-4"/>
        </w:rPr>
        <w:t>年</w:t>
      </w:r>
      <w:r>
        <w:rPr>
          <w:spacing w:val="-50"/>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15"/>
        </w:rPr>
        <w:t xml:space="preserve"> </w:t>
      </w:r>
      <w:r>
        <w:rPr>
          <w:spacing w:val="-4"/>
        </w:rPr>
        <w:t>月</w:t>
      </w:r>
      <w:r>
        <w:rPr>
          <w:spacing w:val="-32"/>
        </w:rPr>
        <w:t xml:space="preserve"> </w:t>
      </w:r>
      <w:r>
        <w:rPr>
          <w:rFonts w:ascii="Times New Roman" w:hAnsi="Times New Roman" w:eastAsia="Times New Roman" w:cs="Times New Roman"/>
          <w:spacing w:val="-5"/>
        </w:rPr>
        <w:t xml:space="preserve">1  </w:t>
      </w:r>
      <w:r>
        <w:rPr>
          <w:spacing w:val="-5"/>
        </w:rPr>
        <w:t>日施行；</w:t>
      </w:r>
    </w:p>
    <w:p w14:paraId="1FEA1895">
      <w:pPr>
        <w:pStyle w:val="2"/>
        <w:spacing w:before="184" w:line="289" w:lineRule="auto"/>
        <w:ind w:left="29" w:right="16" w:firstLine="485"/>
      </w:pPr>
      <w:r>
        <w:rPr>
          <w:spacing w:val="-2"/>
        </w:rPr>
        <w:t>（</w:t>
      </w:r>
      <w:r>
        <w:rPr>
          <w:rFonts w:ascii="Times New Roman" w:hAnsi="Times New Roman" w:eastAsia="Times New Roman" w:cs="Times New Roman"/>
          <w:spacing w:val="-2"/>
        </w:rPr>
        <w:t>7</w:t>
      </w:r>
      <w:r>
        <w:rPr>
          <w:spacing w:val="-2"/>
        </w:rPr>
        <w:t>）《建设项目环境保护管理条例》，</w:t>
      </w:r>
      <w:r>
        <w:rPr>
          <w:rFonts w:ascii="Times New Roman" w:hAnsi="Times New Roman" w:eastAsia="Times New Roman" w:cs="Times New Roman"/>
          <w:spacing w:val="-2"/>
        </w:rPr>
        <w:t xml:space="preserve">2017 </w:t>
      </w:r>
      <w:r>
        <w:rPr>
          <w:spacing w:val="-2"/>
        </w:rPr>
        <w:t>年</w:t>
      </w:r>
      <w:r>
        <w:rPr>
          <w:spacing w:val="-45"/>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17"/>
          <w:w w:val="101"/>
        </w:rPr>
        <w:t xml:space="preserve"> </w:t>
      </w:r>
      <w:r>
        <w:rPr>
          <w:spacing w:val="-2"/>
        </w:rPr>
        <w:t>月</w:t>
      </w:r>
      <w:r>
        <w:rPr>
          <w:spacing w:val="-53"/>
        </w:rPr>
        <w:t xml:space="preserve"> </w:t>
      </w:r>
      <w:r>
        <w:rPr>
          <w:rFonts w:ascii="Times New Roman" w:hAnsi="Times New Roman" w:eastAsia="Times New Roman" w:cs="Times New Roman"/>
          <w:spacing w:val="-2"/>
        </w:rPr>
        <w:t xml:space="preserve">21  </w:t>
      </w:r>
      <w:r>
        <w:rPr>
          <w:spacing w:val="-3"/>
        </w:rPr>
        <w:t>日国务院第</w:t>
      </w:r>
      <w:r>
        <w:rPr>
          <w:spacing w:val="-27"/>
        </w:rPr>
        <w:t xml:space="preserve"> </w:t>
      </w:r>
      <w:r>
        <w:rPr>
          <w:rFonts w:ascii="Times New Roman" w:hAnsi="Times New Roman" w:eastAsia="Times New Roman" w:cs="Times New Roman"/>
          <w:spacing w:val="-3"/>
        </w:rPr>
        <w:t>177</w:t>
      </w:r>
      <w:r>
        <w:rPr>
          <w:rFonts w:ascii="Times New Roman" w:hAnsi="Times New Roman" w:eastAsia="Times New Roman" w:cs="Times New Roman"/>
          <w:spacing w:val="16"/>
        </w:rPr>
        <w:t xml:space="preserve"> </w:t>
      </w:r>
      <w:r>
        <w:rPr>
          <w:spacing w:val="-3"/>
        </w:rPr>
        <w:t>次</w:t>
      </w:r>
      <w:r>
        <w:t xml:space="preserve"> </w:t>
      </w:r>
      <w:r>
        <w:rPr>
          <w:spacing w:val="-8"/>
        </w:rPr>
        <w:t>常务会议通过修订，</w:t>
      </w:r>
      <w:r>
        <w:rPr>
          <w:spacing w:val="-57"/>
        </w:rPr>
        <w:t xml:space="preserve"> </w:t>
      </w:r>
      <w:r>
        <w:rPr>
          <w:spacing w:val="-8"/>
        </w:rPr>
        <w:t>自</w:t>
      </w:r>
      <w:r>
        <w:rPr>
          <w:spacing w:val="-55"/>
        </w:rPr>
        <w:t xml:space="preserve"> </w:t>
      </w:r>
      <w:r>
        <w:rPr>
          <w:rFonts w:ascii="Times New Roman" w:hAnsi="Times New Roman" w:eastAsia="Times New Roman" w:cs="Times New Roman"/>
          <w:spacing w:val="-8"/>
        </w:rPr>
        <w:t xml:space="preserve">2017 </w:t>
      </w:r>
      <w:r>
        <w:rPr>
          <w:spacing w:val="-8"/>
        </w:rPr>
        <w:t>年</w:t>
      </w:r>
      <w:r>
        <w:rPr>
          <w:spacing w:val="-32"/>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15"/>
          <w:w w:val="101"/>
        </w:rPr>
        <w:t xml:space="preserve"> </w:t>
      </w:r>
      <w:r>
        <w:rPr>
          <w:spacing w:val="-8"/>
        </w:rPr>
        <w:t>月</w:t>
      </w:r>
      <w:r>
        <w:rPr>
          <w:spacing w:val="-32"/>
        </w:rPr>
        <w:t xml:space="preserve"> </w:t>
      </w:r>
      <w:r>
        <w:rPr>
          <w:rFonts w:ascii="Times New Roman" w:hAnsi="Times New Roman" w:eastAsia="Times New Roman" w:cs="Times New Roman"/>
          <w:spacing w:val="-8"/>
        </w:rPr>
        <w:t xml:space="preserve">1  </w:t>
      </w:r>
      <w:r>
        <w:rPr>
          <w:spacing w:val="-8"/>
        </w:rPr>
        <w:t>日起施行；</w:t>
      </w:r>
    </w:p>
    <w:p w14:paraId="68EA79FC">
      <w:pPr>
        <w:pStyle w:val="2"/>
        <w:spacing w:before="183" w:line="219" w:lineRule="auto"/>
        <w:ind w:right="13"/>
        <w:jc w:val="right"/>
      </w:pPr>
      <w:r>
        <w:t>（</w:t>
      </w:r>
      <w:r>
        <w:rPr>
          <w:rFonts w:ascii="Times New Roman" w:hAnsi="Times New Roman" w:eastAsia="Times New Roman" w:cs="Times New Roman"/>
        </w:rPr>
        <w:t>8</w:t>
      </w:r>
      <w:r>
        <w:t>）《建设项目环境保护分类管理名录（</w:t>
      </w:r>
      <w:r>
        <w:rPr>
          <w:rFonts w:ascii="Times New Roman" w:hAnsi="Times New Roman" w:eastAsia="Times New Roman" w:cs="Times New Roman"/>
        </w:rPr>
        <w:t>2021</w:t>
      </w:r>
      <w:r>
        <w:t>年版）》，生态环境部令第</w:t>
      </w:r>
    </w:p>
    <w:p w14:paraId="6A659690">
      <w:pPr>
        <w:pStyle w:val="2"/>
        <w:spacing w:before="185" w:line="219" w:lineRule="auto"/>
        <w:ind w:left="42"/>
      </w:pPr>
      <w:r>
        <w:rPr>
          <w:rFonts w:ascii="Times New Roman" w:hAnsi="Times New Roman" w:eastAsia="Times New Roman" w:cs="Times New Roman"/>
          <w:spacing w:val="-10"/>
        </w:rPr>
        <w:t>16</w:t>
      </w:r>
      <w:r>
        <w:rPr>
          <w:rFonts w:ascii="Times New Roman" w:hAnsi="Times New Roman" w:eastAsia="Times New Roman" w:cs="Times New Roman"/>
          <w:spacing w:val="29"/>
          <w:w w:val="101"/>
        </w:rPr>
        <w:t xml:space="preserve"> </w:t>
      </w:r>
      <w:r>
        <w:rPr>
          <w:spacing w:val="-10"/>
        </w:rPr>
        <w:t>号，</w:t>
      </w:r>
      <w:r>
        <w:rPr>
          <w:rFonts w:ascii="Times New Roman" w:hAnsi="Times New Roman" w:eastAsia="Times New Roman" w:cs="Times New Roman"/>
          <w:spacing w:val="-10"/>
        </w:rPr>
        <w:t xml:space="preserve">2021 </w:t>
      </w:r>
      <w:r>
        <w:rPr>
          <w:spacing w:val="-10"/>
        </w:rPr>
        <w:t>年</w:t>
      </w:r>
      <w:r>
        <w:rPr>
          <w:spacing w:val="-32"/>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月</w:t>
      </w:r>
      <w:r>
        <w:rPr>
          <w:spacing w:val="-32"/>
        </w:rPr>
        <w:t xml:space="preserve"> </w:t>
      </w:r>
      <w:r>
        <w:rPr>
          <w:rFonts w:ascii="Times New Roman" w:hAnsi="Times New Roman" w:eastAsia="Times New Roman" w:cs="Times New Roman"/>
          <w:spacing w:val="-10"/>
        </w:rPr>
        <w:t xml:space="preserve">1  </w:t>
      </w:r>
      <w:r>
        <w:rPr>
          <w:spacing w:val="-10"/>
        </w:rPr>
        <w:t>日施行；</w:t>
      </w:r>
    </w:p>
    <w:p w14:paraId="1859A959">
      <w:pPr>
        <w:pStyle w:val="2"/>
        <w:spacing w:before="182" w:line="219" w:lineRule="auto"/>
        <w:ind w:left="514"/>
      </w:pPr>
      <w:r>
        <w:rPr>
          <w:spacing w:val="-1"/>
        </w:rPr>
        <w:t>（</w:t>
      </w:r>
      <w:r>
        <w:rPr>
          <w:rFonts w:ascii="Times New Roman" w:hAnsi="Times New Roman" w:eastAsia="Times New Roman" w:cs="Times New Roman"/>
          <w:spacing w:val="-1"/>
        </w:rPr>
        <w:t>9</w:t>
      </w:r>
      <w:r>
        <w:rPr>
          <w:spacing w:val="-1"/>
        </w:rPr>
        <w:t>）《产业结构调整指导目录（</w:t>
      </w:r>
      <w:r>
        <w:rPr>
          <w:rFonts w:ascii="Times New Roman" w:hAnsi="Times New Roman" w:eastAsia="Times New Roman" w:cs="Times New Roman"/>
          <w:spacing w:val="-1"/>
        </w:rPr>
        <w:t xml:space="preserve">2024 </w:t>
      </w:r>
      <w:r>
        <w:rPr>
          <w:spacing w:val="-1"/>
        </w:rPr>
        <w:t>年本）》。</w:t>
      </w:r>
    </w:p>
    <w:p w14:paraId="1CE18503">
      <w:pPr>
        <w:pStyle w:val="2"/>
        <w:spacing w:before="184" w:line="219" w:lineRule="auto"/>
        <w:ind w:left="19"/>
        <w:outlineLvl w:val="2"/>
      </w:pPr>
      <w:r>
        <w:rPr>
          <w:rFonts w:ascii="Times New Roman" w:hAnsi="Times New Roman" w:eastAsia="Times New Roman" w:cs="Times New Roman"/>
          <w:b/>
          <w:bCs/>
          <w:spacing w:val="-2"/>
        </w:rPr>
        <w:t xml:space="preserve">2.1.2  </w:t>
      </w:r>
      <w:r>
        <w:rPr>
          <w:b/>
          <w:bCs/>
          <w:spacing w:val="-2"/>
        </w:rPr>
        <w:t>技术规范与标准</w:t>
      </w:r>
    </w:p>
    <w:p w14:paraId="05540AB3">
      <w:pPr>
        <w:pStyle w:val="2"/>
        <w:spacing w:before="104" w:line="218" w:lineRule="auto"/>
        <w:ind w:left="514"/>
      </w:pPr>
      <w:r>
        <w:rPr>
          <w:spacing w:val="-2"/>
        </w:rPr>
        <w:t>（</w:t>
      </w:r>
      <w:r>
        <w:rPr>
          <w:rFonts w:ascii="Times New Roman" w:hAnsi="Times New Roman" w:eastAsia="Times New Roman" w:cs="Times New Roman"/>
          <w:spacing w:val="-2"/>
        </w:rPr>
        <w:t>1</w:t>
      </w:r>
      <w:r>
        <w:rPr>
          <w:spacing w:val="-2"/>
        </w:rPr>
        <w:t>）《建设项目环境影响评价技术导则 总纲》（</w:t>
      </w:r>
      <w:r>
        <w:rPr>
          <w:rFonts w:ascii="Times New Roman" w:hAnsi="Times New Roman" w:eastAsia="Times New Roman" w:cs="Times New Roman"/>
          <w:spacing w:val="-2"/>
        </w:rPr>
        <w:t>HJ2.</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1-2016</w:t>
      </w:r>
      <w:r>
        <w:rPr>
          <w:spacing w:val="7"/>
        </w:rPr>
        <w:t>）；</w:t>
      </w:r>
    </w:p>
    <w:p w14:paraId="3EEE66FF">
      <w:pPr>
        <w:pStyle w:val="2"/>
        <w:spacing w:before="184" w:line="218" w:lineRule="auto"/>
        <w:ind w:left="514"/>
      </w:pPr>
      <w:r>
        <w:rPr>
          <w:spacing w:val="-1"/>
        </w:rPr>
        <w:t>（</w:t>
      </w:r>
      <w:r>
        <w:rPr>
          <w:rFonts w:ascii="Times New Roman" w:hAnsi="Times New Roman" w:eastAsia="Times New Roman" w:cs="Times New Roman"/>
          <w:spacing w:val="-1"/>
        </w:rPr>
        <w:t>2</w:t>
      </w:r>
      <w:r>
        <w:rPr>
          <w:spacing w:val="-1"/>
        </w:rPr>
        <w:t>）《环境影响评价技术导则 输变电》（</w:t>
      </w:r>
      <w:r>
        <w:rPr>
          <w:rFonts w:ascii="Times New Roman" w:hAnsi="Times New Roman" w:eastAsia="Times New Roman" w:cs="Times New Roman"/>
          <w:spacing w:val="-1"/>
        </w:rPr>
        <w:t>HJ24-2020</w:t>
      </w:r>
      <w:r>
        <w:rPr>
          <w:spacing w:val="3"/>
        </w:rPr>
        <w:t>）；</w:t>
      </w:r>
    </w:p>
    <w:p w14:paraId="24C2546B">
      <w:pPr>
        <w:pStyle w:val="2"/>
        <w:spacing w:before="183" w:line="219" w:lineRule="auto"/>
        <w:ind w:left="514"/>
      </w:pPr>
      <w:r>
        <w:rPr>
          <w:spacing w:val="-1"/>
        </w:rPr>
        <w:t>（</w:t>
      </w:r>
      <w:r>
        <w:rPr>
          <w:rFonts w:ascii="Times New Roman" w:hAnsi="Times New Roman" w:eastAsia="Times New Roman" w:cs="Times New Roman"/>
          <w:spacing w:val="-1"/>
        </w:rPr>
        <w:t>3</w:t>
      </w:r>
      <w:r>
        <w:rPr>
          <w:spacing w:val="-1"/>
        </w:rPr>
        <w:t>）《输变电建设项目环境保护技术要求》（</w:t>
      </w:r>
      <w:r>
        <w:rPr>
          <w:rFonts w:ascii="Times New Roman" w:hAnsi="Times New Roman" w:eastAsia="Times New Roman" w:cs="Times New Roman"/>
          <w:spacing w:val="-1"/>
        </w:rPr>
        <w:t>HJ1</w:t>
      </w:r>
      <w:r>
        <w:rPr>
          <w:rFonts w:ascii="Times New Roman" w:hAnsi="Times New Roman" w:eastAsia="Times New Roman" w:cs="Times New Roman"/>
          <w:spacing w:val="-2"/>
        </w:rPr>
        <w:t>113-2020</w:t>
      </w:r>
      <w:r>
        <w:t>）；</w:t>
      </w:r>
    </w:p>
    <w:p w14:paraId="00DC40B7">
      <w:pPr>
        <w:pStyle w:val="2"/>
        <w:spacing w:before="183" w:line="219" w:lineRule="auto"/>
        <w:ind w:left="514"/>
      </w:pPr>
      <w:r>
        <w:rPr>
          <w:spacing w:val="-1"/>
        </w:rPr>
        <w:t>（</w:t>
      </w:r>
      <w:r>
        <w:rPr>
          <w:rFonts w:ascii="Times New Roman" w:hAnsi="Times New Roman" w:eastAsia="Times New Roman" w:cs="Times New Roman"/>
          <w:spacing w:val="-1"/>
        </w:rPr>
        <w:t>4</w:t>
      </w:r>
      <w:r>
        <w:rPr>
          <w:spacing w:val="-1"/>
        </w:rPr>
        <w:t>）《交流输变电工程电磁环境监测方法（试行）》（</w:t>
      </w:r>
      <w:r>
        <w:rPr>
          <w:rFonts w:ascii="Times New Roman" w:hAnsi="Times New Roman" w:eastAsia="Times New Roman" w:cs="Times New Roman"/>
          <w:spacing w:val="-1"/>
        </w:rPr>
        <w:t>HJ681-2013</w:t>
      </w:r>
      <w:r>
        <w:rPr>
          <w:spacing w:val="6"/>
        </w:rPr>
        <w:t>）；</w:t>
      </w:r>
    </w:p>
    <w:p w14:paraId="4F019D25">
      <w:pPr>
        <w:pStyle w:val="2"/>
        <w:spacing w:before="181" w:line="219" w:lineRule="auto"/>
        <w:ind w:left="514"/>
      </w:pPr>
      <w:r>
        <w:rPr>
          <w:spacing w:val="-1"/>
        </w:rPr>
        <w:t>（</w:t>
      </w:r>
      <w:r>
        <w:rPr>
          <w:rFonts w:ascii="Times New Roman" w:hAnsi="Times New Roman" w:eastAsia="Times New Roman" w:cs="Times New Roman"/>
          <w:spacing w:val="-1"/>
        </w:rPr>
        <w:t>5</w:t>
      </w:r>
      <w:r>
        <w:rPr>
          <w:spacing w:val="-1"/>
        </w:rPr>
        <w:t>）《电磁环境控制限值》（</w:t>
      </w:r>
      <w:r>
        <w:rPr>
          <w:rFonts w:ascii="Times New Roman" w:hAnsi="Times New Roman" w:eastAsia="Times New Roman" w:cs="Times New Roman"/>
          <w:spacing w:val="-1"/>
        </w:rPr>
        <w:t>GB8702-2014</w:t>
      </w:r>
      <w:r>
        <w:rPr>
          <w:spacing w:val="-1"/>
        </w:rPr>
        <w:t>）。</w:t>
      </w:r>
    </w:p>
    <w:p w14:paraId="18604AEA">
      <w:pPr>
        <w:pStyle w:val="2"/>
        <w:spacing w:before="263" w:line="219" w:lineRule="auto"/>
        <w:ind w:left="19"/>
        <w:outlineLvl w:val="2"/>
      </w:pPr>
      <w:r>
        <w:rPr>
          <w:rFonts w:ascii="Times New Roman" w:hAnsi="Times New Roman" w:eastAsia="Times New Roman" w:cs="Times New Roman"/>
          <w:b/>
          <w:bCs/>
          <w:spacing w:val="-2"/>
        </w:rPr>
        <w:t xml:space="preserve">2.1.3 </w:t>
      </w:r>
      <w:r>
        <w:rPr>
          <w:b/>
          <w:bCs/>
          <w:spacing w:val="-2"/>
        </w:rPr>
        <w:t>其他相关技术资料</w:t>
      </w:r>
    </w:p>
    <w:p w14:paraId="0BC8CD4B">
      <w:pPr>
        <w:pStyle w:val="2"/>
        <w:spacing w:before="103" w:line="218" w:lineRule="auto"/>
        <w:ind w:left="514"/>
      </w:pPr>
      <w:r>
        <w:rPr>
          <w:spacing w:val="-1"/>
        </w:rPr>
        <w:t>（</w:t>
      </w:r>
      <w:r>
        <w:rPr>
          <w:rFonts w:ascii="Times New Roman" w:hAnsi="Times New Roman" w:eastAsia="Times New Roman" w:cs="Times New Roman"/>
          <w:spacing w:val="-1"/>
        </w:rPr>
        <w:t>1</w:t>
      </w:r>
      <w:r>
        <w:rPr>
          <w:spacing w:val="-1"/>
        </w:rPr>
        <w:t>）《化桃箐光伏发电项目初步设计报告》；</w:t>
      </w:r>
    </w:p>
    <w:p w14:paraId="502EE825">
      <w:pPr>
        <w:pStyle w:val="2"/>
        <w:spacing w:before="183" w:line="218" w:lineRule="auto"/>
        <w:ind w:left="514"/>
      </w:pPr>
      <w:r>
        <w:rPr>
          <w:spacing w:val="-1"/>
        </w:rPr>
        <w:t>（</w:t>
      </w:r>
      <w:r>
        <w:rPr>
          <w:rFonts w:ascii="Times New Roman" w:hAnsi="Times New Roman" w:eastAsia="Times New Roman" w:cs="Times New Roman"/>
          <w:spacing w:val="-1"/>
        </w:rPr>
        <w:t>2</w:t>
      </w:r>
      <w:r>
        <w:rPr>
          <w:spacing w:val="-1"/>
        </w:rPr>
        <w:t>）《国投寻甸化桃箐光伏电站项目总体设计报告》；</w:t>
      </w:r>
    </w:p>
    <w:p w14:paraId="292D2EA8">
      <w:pPr>
        <w:spacing w:line="218" w:lineRule="auto"/>
        <w:sectPr>
          <w:footerReference r:id="rId182" w:type="default"/>
          <w:pgSz w:w="11906" w:h="16839"/>
          <w:pgMar w:top="1431" w:right="1785" w:bottom="1177" w:left="1785" w:header="0" w:footer="987" w:gutter="0"/>
          <w:cols w:space="720" w:num="1"/>
        </w:sectPr>
      </w:pPr>
    </w:p>
    <w:p w14:paraId="61CF38B5">
      <w:pPr>
        <w:pStyle w:val="2"/>
        <w:spacing w:before="47" w:line="218" w:lineRule="auto"/>
        <w:ind w:left="613"/>
      </w:pPr>
      <w:r>
        <w:rPr>
          <w:spacing w:val="-1"/>
        </w:rPr>
        <w:t>（</w:t>
      </w:r>
      <w:r>
        <w:rPr>
          <w:rFonts w:ascii="Times New Roman" w:hAnsi="Times New Roman" w:eastAsia="Times New Roman" w:cs="Times New Roman"/>
          <w:spacing w:val="-1"/>
        </w:rPr>
        <w:t>3</w:t>
      </w:r>
      <w:r>
        <w:rPr>
          <w:spacing w:val="-1"/>
        </w:rPr>
        <w:t>）《化桃箐光伏发电项目接入系统工程接入系统报告》；</w:t>
      </w:r>
    </w:p>
    <w:p w14:paraId="2F7DBCB7">
      <w:pPr>
        <w:pStyle w:val="2"/>
        <w:spacing w:before="184" w:line="219" w:lineRule="auto"/>
        <w:ind w:left="613"/>
      </w:pPr>
      <w:r>
        <w:rPr>
          <w:spacing w:val="-2"/>
        </w:rPr>
        <w:t>（</w:t>
      </w:r>
      <w:r>
        <w:rPr>
          <w:rFonts w:ascii="Times New Roman" w:hAnsi="Times New Roman" w:eastAsia="Times New Roman" w:cs="Times New Roman"/>
          <w:spacing w:val="-2"/>
        </w:rPr>
        <w:t>4</w:t>
      </w:r>
      <w:r>
        <w:rPr>
          <w:spacing w:val="-2"/>
        </w:rPr>
        <w:t>）建设单位提供的其他资料。</w:t>
      </w:r>
    </w:p>
    <w:p w14:paraId="004C06B7">
      <w:pPr>
        <w:pStyle w:val="2"/>
        <w:spacing w:before="315" w:line="219" w:lineRule="auto"/>
        <w:ind w:left="119"/>
        <w:outlineLvl w:val="1"/>
        <w:rPr>
          <w:sz w:val="28"/>
          <w:szCs w:val="28"/>
        </w:rPr>
      </w:pPr>
      <w:r>
        <w:rPr>
          <w:rFonts w:ascii="Times New Roman" w:hAnsi="Times New Roman" w:eastAsia="Times New Roman" w:cs="Times New Roman"/>
          <w:b/>
          <w:bCs/>
          <w:spacing w:val="-2"/>
          <w:sz w:val="28"/>
          <w:szCs w:val="28"/>
        </w:rPr>
        <w:t xml:space="preserve">2.2 </w:t>
      </w:r>
      <w:r>
        <w:rPr>
          <w:b/>
          <w:bCs/>
          <w:spacing w:val="-2"/>
          <w:sz w:val="28"/>
          <w:szCs w:val="28"/>
        </w:rPr>
        <w:t>评价因子及评价标准</w:t>
      </w:r>
    </w:p>
    <w:p w14:paraId="3E2D3798">
      <w:pPr>
        <w:pStyle w:val="2"/>
        <w:spacing w:before="236" w:line="218" w:lineRule="auto"/>
        <w:ind w:left="118"/>
        <w:outlineLvl w:val="2"/>
      </w:pPr>
      <w:r>
        <w:rPr>
          <w:rFonts w:ascii="Times New Roman" w:hAnsi="Times New Roman" w:eastAsia="Times New Roman" w:cs="Times New Roman"/>
          <w:b/>
          <w:bCs/>
          <w:spacing w:val="-2"/>
        </w:rPr>
        <w:t xml:space="preserve">2.2.1 </w:t>
      </w:r>
      <w:r>
        <w:rPr>
          <w:b/>
          <w:bCs/>
          <w:spacing w:val="-2"/>
        </w:rPr>
        <w:t>评价因子</w:t>
      </w:r>
    </w:p>
    <w:p w14:paraId="4BBBD4D2">
      <w:pPr>
        <w:pStyle w:val="2"/>
        <w:spacing w:before="185" w:line="344" w:lineRule="auto"/>
        <w:ind w:left="125" w:right="125" w:firstLine="478"/>
        <w:jc w:val="both"/>
      </w:pPr>
      <w:r>
        <w:t xml:space="preserve">本工程建设期间无电磁环境影响。根据《环境影响评价技术导则 输变电》 </w:t>
      </w:r>
      <w:r>
        <w:rPr>
          <w:spacing w:val="-2"/>
        </w:rPr>
        <w:t>（</w:t>
      </w:r>
      <w:r>
        <w:rPr>
          <w:rFonts w:ascii="Times New Roman" w:hAnsi="Times New Roman" w:eastAsia="Times New Roman" w:cs="Times New Roman"/>
          <w:spacing w:val="-2"/>
        </w:rPr>
        <w:t>HJ 24-2020</w:t>
      </w:r>
      <w:r>
        <w:rPr>
          <w:spacing w:val="14"/>
        </w:rPr>
        <w:t>），</w:t>
      </w:r>
      <w:r>
        <w:rPr>
          <w:spacing w:val="-2"/>
        </w:rPr>
        <w:t>确定项目运行期电磁环境主要环境影响评价因子为工频电场、</w:t>
      </w:r>
      <w:r>
        <w:t xml:space="preserve"> </w:t>
      </w:r>
      <w:r>
        <w:rPr>
          <w:spacing w:val="-3"/>
        </w:rPr>
        <w:t>工频磁场。</w:t>
      </w:r>
    </w:p>
    <w:p w14:paraId="798A3F3A">
      <w:pPr>
        <w:pStyle w:val="2"/>
        <w:spacing w:before="1" w:line="227" w:lineRule="auto"/>
        <w:ind w:left="2841"/>
        <w:rPr>
          <w:sz w:val="20"/>
          <w:szCs w:val="20"/>
        </w:rPr>
      </w:pPr>
      <w:r>
        <w:rPr>
          <w:b/>
          <w:bCs/>
          <w:spacing w:val="4"/>
          <w:sz w:val="20"/>
          <w:szCs w:val="20"/>
        </w:rPr>
        <w:t>表</w:t>
      </w:r>
      <w:r>
        <w:rPr>
          <w:spacing w:val="-28"/>
          <w:sz w:val="20"/>
          <w:szCs w:val="20"/>
        </w:rPr>
        <w:t xml:space="preserve"> </w:t>
      </w:r>
      <w:r>
        <w:rPr>
          <w:rFonts w:ascii="Times New Roman" w:hAnsi="Times New Roman" w:eastAsia="Times New Roman" w:cs="Times New Roman"/>
          <w:b/>
          <w:bCs/>
          <w:spacing w:val="4"/>
          <w:sz w:val="20"/>
          <w:szCs w:val="20"/>
        </w:rPr>
        <w:t>2-1</w:t>
      </w:r>
      <w:r>
        <w:rPr>
          <w:rFonts w:ascii="Times New Roman" w:hAnsi="Times New Roman" w:eastAsia="Times New Roman" w:cs="Times New Roman"/>
          <w:b/>
          <w:bCs/>
          <w:spacing w:val="10"/>
          <w:sz w:val="20"/>
          <w:szCs w:val="20"/>
        </w:rPr>
        <w:t xml:space="preserve">    </w:t>
      </w:r>
      <w:r>
        <w:rPr>
          <w:b/>
          <w:bCs/>
          <w:spacing w:val="4"/>
          <w:sz w:val="20"/>
          <w:szCs w:val="20"/>
        </w:rPr>
        <w:t>电磁环境公众曝露控制限值</w:t>
      </w:r>
    </w:p>
    <w:p w14:paraId="4CD71E33">
      <w:pPr>
        <w:spacing w:line="145" w:lineRule="auto"/>
        <w:rPr>
          <w:rFonts w:ascii="Arial"/>
          <w:sz w:val="2"/>
        </w:rPr>
      </w:pPr>
    </w:p>
    <w:tbl>
      <w:tblPr>
        <w:tblStyle w:val="5"/>
        <w:tblW w:w="8524"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4"/>
        <w:gridCol w:w="1516"/>
        <w:gridCol w:w="2923"/>
        <w:gridCol w:w="2831"/>
      </w:tblGrid>
      <w:tr w14:paraId="2C335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54" w:type="dxa"/>
            <w:vMerge w:val="restart"/>
            <w:tcBorders>
              <w:bottom w:val="nil"/>
            </w:tcBorders>
            <w:vAlign w:val="top"/>
          </w:tcPr>
          <w:p w14:paraId="4CD19EDE">
            <w:pPr>
              <w:pStyle w:val="6"/>
              <w:spacing w:before="216" w:line="229" w:lineRule="auto"/>
              <w:ind w:left="431"/>
              <w:rPr>
                <w:sz w:val="20"/>
                <w:szCs w:val="20"/>
              </w:rPr>
            </w:pPr>
            <w:r>
              <w:rPr>
                <w:b/>
                <w:bCs/>
                <w:spacing w:val="-1"/>
                <w:sz w:val="20"/>
                <w:szCs w:val="20"/>
              </w:rPr>
              <w:t>时段</w:t>
            </w:r>
          </w:p>
        </w:tc>
        <w:tc>
          <w:tcPr>
            <w:tcW w:w="1516" w:type="dxa"/>
            <w:vMerge w:val="restart"/>
            <w:tcBorders>
              <w:bottom w:val="nil"/>
            </w:tcBorders>
            <w:vAlign w:val="top"/>
          </w:tcPr>
          <w:p w14:paraId="755BCA78">
            <w:pPr>
              <w:pStyle w:val="6"/>
              <w:spacing w:before="216" w:line="228" w:lineRule="auto"/>
              <w:ind w:left="341"/>
              <w:rPr>
                <w:sz w:val="20"/>
                <w:szCs w:val="20"/>
              </w:rPr>
            </w:pPr>
            <w:r>
              <w:rPr>
                <w:b/>
                <w:bCs/>
                <w:spacing w:val="6"/>
                <w:sz w:val="20"/>
                <w:szCs w:val="20"/>
              </w:rPr>
              <w:t>环境要素</w:t>
            </w:r>
          </w:p>
        </w:tc>
        <w:tc>
          <w:tcPr>
            <w:tcW w:w="5754" w:type="dxa"/>
            <w:gridSpan w:val="2"/>
            <w:vAlign w:val="top"/>
          </w:tcPr>
          <w:p w14:paraId="608BED86">
            <w:pPr>
              <w:pStyle w:val="6"/>
              <w:spacing w:before="56" w:line="226" w:lineRule="auto"/>
              <w:ind w:left="2458"/>
              <w:rPr>
                <w:sz w:val="20"/>
                <w:szCs w:val="20"/>
              </w:rPr>
            </w:pPr>
            <w:r>
              <w:rPr>
                <w:b/>
                <w:bCs/>
                <w:spacing w:val="6"/>
                <w:sz w:val="20"/>
                <w:szCs w:val="20"/>
              </w:rPr>
              <w:t>评价因子</w:t>
            </w:r>
          </w:p>
        </w:tc>
      </w:tr>
      <w:tr w14:paraId="1BFC5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4" w:type="dxa"/>
            <w:vMerge w:val="continue"/>
            <w:tcBorders>
              <w:top w:val="nil"/>
            </w:tcBorders>
            <w:vAlign w:val="top"/>
          </w:tcPr>
          <w:p w14:paraId="0DB9535E">
            <w:pPr>
              <w:rPr>
                <w:rFonts w:ascii="Arial"/>
                <w:sz w:val="21"/>
              </w:rPr>
            </w:pPr>
          </w:p>
        </w:tc>
        <w:tc>
          <w:tcPr>
            <w:tcW w:w="1516" w:type="dxa"/>
            <w:vMerge w:val="continue"/>
            <w:tcBorders>
              <w:top w:val="nil"/>
            </w:tcBorders>
            <w:vAlign w:val="top"/>
          </w:tcPr>
          <w:p w14:paraId="0B81FB00">
            <w:pPr>
              <w:rPr>
                <w:rFonts w:ascii="Arial"/>
                <w:sz w:val="21"/>
              </w:rPr>
            </w:pPr>
          </w:p>
        </w:tc>
        <w:tc>
          <w:tcPr>
            <w:tcW w:w="2923" w:type="dxa"/>
            <w:vAlign w:val="top"/>
          </w:tcPr>
          <w:p w14:paraId="32D9CC72">
            <w:pPr>
              <w:pStyle w:val="6"/>
              <w:spacing w:before="52" w:line="226" w:lineRule="auto"/>
              <w:ind w:left="836"/>
              <w:rPr>
                <w:sz w:val="20"/>
                <w:szCs w:val="20"/>
              </w:rPr>
            </w:pPr>
            <w:r>
              <w:rPr>
                <w:b/>
                <w:bCs/>
                <w:spacing w:val="6"/>
                <w:sz w:val="20"/>
                <w:szCs w:val="20"/>
              </w:rPr>
              <w:t>现状评价因子</w:t>
            </w:r>
          </w:p>
        </w:tc>
        <w:tc>
          <w:tcPr>
            <w:tcW w:w="2831" w:type="dxa"/>
            <w:vAlign w:val="top"/>
          </w:tcPr>
          <w:p w14:paraId="5DCC8F5D">
            <w:pPr>
              <w:pStyle w:val="6"/>
              <w:spacing w:before="52" w:line="226" w:lineRule="auto"/>
              <w:ind w:left="788"/>
              <w:rPr>
                <w:sz w:val="20"/>
                <w:szCs w:val="20"/>
              </w:rPr>
            </w:pPr>
            <w:r>
              <w:rPr>
                <w:b/>
                <w:bCs/>
                <w:spacing w:val="6"/>
                <w:sz w:val="20"/>
                <w:szCs w:val="20"/>
              </w:rPr>
              <w:t>预测评价因子</w:t>
            </w:r>
          </w:p>
        </w:tc>
      </w:tr>
      <w:tr w14:paraId="7B27D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54" w:type="dxa"/>
            <w:vAlign w:val="top"/>
          </w:tcPr>
          <w:p w14:paraId="42D56389">
            <w:pPr>
              <w:pStyle w:val="6"/>
              <w:spacing w:before="209" w:line="228" w:lineRule="auto"/>
              <w:ind w:left="318"/>
              <w:rPr>
                <w:sz w:val="20"/>
                <w:szCs w:val="20"/>
              </w:rPr>
            </w:pPr>
            <w:r>
              <w:rPr>
                <w:spacing w:val="6"/>
                <w:sz w:val="20"/>
                <w:szCs w:val="20"/>
              </w:rPr>
              <w:t>运营期</w:t>
            </w:r>
          </w:p>
        </w:tc>
        <w:tc>
          <w:tcPr>
            <w:tcW w:w="1516" w:type="dxa"/>
            <w:vAlign w:val="top"/>
          </w:tcPr>
          <w:p w14:paraId="7585971F">
            <w:pPr>
              <w:pStyle w:val="6"/>
              <w:spacing w:before="209" w:line="228" w:lineRule="auto"/>
              <w:ind w:left="157"/>
              <w:rPr>
                <w:sz w:val="20"/>
                <w:szCs w:val="20"/>
              </w:rPr>
            </w:pPr>
            <w:r>
              <w:rPr>
                <w:spacing w:val="4"/>
                <w:sz w:val="20"/>
                <w:szCs w:val="20"/>
              </w:rPr>
              <w:t>电磁环境影响</w:t>
            </w:r>
          </w:p>
        </w:tc>
        <w:tc>
          <w:tcPr>
            <w:tcW w:w="2923" w:type="dxa"/>
            <w:vAlign w:val="top"/>
          </w:tcPr>
          <w:p w14:paraId="0DA9027C">
            <w:pPr>
              <w:pStyle w:val="6"/>
              <w:spacing w:before="53" w:line="262" w:lineRule="auto"/>
              <w:ind w:left="405" w:right="412" w:firstLine="38"/>
              <w:rPr>
                <w:sz w:val="20"/>
                <w:szCs w:val="20"/>
              </w:rPr>
            </w:pPr>
            <w:r>
              <w:rPr>
                <w:spacing w:val="6"/>
                <w:sz w:val="20"/>
                <w:szCs w:val="20"/>
              </w:rPr>
              <w:t>工频电场强度（</w:t>
            </w:r>
            <w:r>
              <w:rPr>
                <w:rFonts w:ascii="Times New Roman" w:hAnsi="Times New Roman" w:eastAsia="Times New Roman" w:cs="Times New Roman"/>
                <w:spacing w:val="6"/>
                <w:sz w:val="20"/>
                <w:szCs w:val="20"/>
              </w:rPr>
              <w:t>V/m</w:t>
            </w:r>
            <w:r>
              <w:rPr>
                <w:spacing w:val="6"/>
                <w:sz w:val="20"/>
                <w:szCs w:val="20"/>
              </w:rPr>
              <w:t xml:space="preserve">） </w:t>
            </w:r>
            <w:r>
              <w:rPr>
                <w:spacing w:val="5"/>
                <w:sz w:val="20"/>
                <w:szCs w:val="20"/>
              </w:rPr>
              <w:t>工频磁感应强度 (</w:t>
            </w:r>
            <w:r>
              <w:rPr>
                <w:rFonts w:ascii="Times New Roman" w:hAnsi="Times New Roman" w:eastAsia="Times New Roman" w:cs="Times New Roman"/>
                <w:spacing w:val="5"/>
                <w:sz w:val="20"/>
                <w:szCs w:val="20"/>
              </w:rPr>
              <w:t>μT</w:t>
            </w:r>
            <w:r>
              <w:rPr>
                <w:spacing w:val="5"/>
                <w:sz w:val="20"/>
                <w:szCs w:val="20"/>
              </w:rPr>
              <w:t>）</w:t>
            </w:r>
          </w:p>
        </w:tc>
        <w:tc>
          <w:tcPr>
            <w:tcW w:w="2831" w:type="dxa"/>
            <w:vAlign w:val="top"/>
          </w:tcPr>
          <w:p w14:paraId="1BF62BC7">
            <w:pPr>
              <w:pStyle w:val="6"/>
              <w:spacing w:before="53" w:line="262" w:lineRule="auto"/>
              <w:ind w:left="357" w:right="368" w:firstLine="38"/>
              <w:rPr>
                <w:sz w:val="20"/>
                <w:szCs w:val="20"/>
              </w:rPr>
            </w:pPr>
            <w:r>
              <w:rPr>
                <w:spacing w:val="6"/>
                <w:sz w:val="20"/>
                <w:szCs w:val="20"/>
              </w:rPr>
              <w:t>工频电场强度（</w:t>
            </w:r>
            <w:r>
              <w:rPr>
                <w:rFonts w:ascii="Times New Roman" w:hAnsi="Times New Roman" w:eastAsia="Times New Roman" w:cs="Times New Roman"/>
                <w:spacing w:val="6"/>
                <w:sz w:val="20"/>
                <w:szCs w:val="20"/>
              </w:rPr>
              <w:t>V/m</w:t>
            </w:r>
            <w:r>
              <w:rPr>
                <w:spacing w:val="6"/>
                <w:sz w:val="20"/>
                <w:szCs w:val="20"/>
              </w:rPr>
              <w:t>）</w:t>
            </w:r>
            <w:r>
              <w:rPr>
                <w:spacing w:val="9"/>
                <w:sz w:val="20"/>
                <w:szCs w:val="20"/>
              </w:rPr>
              <w:t xml:space="preserve"> </w:t>
            </w:r>
            <w:r>
              <w:rPr>
                <w:spacing w:val="5"/>
                <w:sz w:val="20"/>
                <w:szCs w:val="20"/>
              </w:rPr>
              <w:t>工频磁感应强度 (</w:t>
            </w:r>
            <w:r>
              <w:rPr>
                <w:rFonts w:ascii="Times New Roman" w:hAnsi="Times New Roman" w:eastAsia="Times New Roman" w:cs="Times New Roman"/>
                <w:spacing w:val="5"/>
                <w:sz w:val="20"/>
                <w:szCs w:val="20"/>
              </w:rPr>
              <w:t>μT</w:t>
            </w:r>
            <w:r>
              <w:rPr>
                <w:spacing w:val="5"/>
                <w:sz w:val="20"/>
                <w:szCs w:val="20"/>
              </w:rPr>
              <w:t>）</w:t>
            </w:r>
          </w:p>
        </w:tc>
      </w:tr>
    </w:tbl>
    <w:p w14:paraId="5DC11617">
      <w:pPr>
        <w:pStyle w:val="2"/>
        <w:spacing w:before="114" w:line="218" w:lineRule="auto"/>
        <w:ind w:left="118"/>
        <w:outlineLvl w:val="2"/>
      </w:pPr>
      <w:r>
        <w:rPr>
          <w:rFonts w:ascii="Times New Roman" w:hAnsi="Times New Roman" w:eastAsia="Times New Roman" w:cs="Times New Roman"/>
          <w:b/>
          <w:bCs/>
          <w:spacing w:val="-2"/>
        </w:rPr>
        <w:t xml:space="preserve">2.2.2 </w:t>
      </w:r>
      <w:r>
        <w:rPr>
          <w:b/>
          <w:bCs/>
          <w:spacing w:val="-2"/>
        </w:rPr>
        <w:t>评价标准</w:t>
      </w:r>
    </w:p>
    <w:p w14:paraId="1300CAD0">
      <w:pPr>
        <w:pStyle w:val="2"/>
        <w:spacing w:before="183" w:line="339" w:lineRule="auto"/>
        <w:ind w:left="121" w:right="111" w:firstLine="481"/>
        <w:jc w:val="both"/>
      </w:pPr>
      <w:r>
        <w:rPr>
          <w:spacing w:val="3"/>
        </w:rPr>
        <w:t>本项目交变电流频率</w:t>
      </w:r>
      <w:r>
        <w:rPr>
          <w:spacing w:val="-46"/>
        </w:rPr>
        <w:t xml:space="preserve"> </w:t>
      </w:r>
      <w:r>
        <w:rPr>
          <w:rFonts w:ascii="Times New Roman" w:hAnsi="Times New Roman" w:eastAsia="Times New Roman" w:cs="Times New Roman"/>
          <w:spacing w:val="3"/>
        </w:rPr>
        <w:t xml:space="preserve">f </w:t>
      </w:r>
      <w:r>
        <w:rPr>
          <w:spacing w:val="3"/>
        </w:rPr>
        <w:t>取值为</w:t>
      </w:r>
      <w:r>
        <w:rPr>
          <w:spacing w:val="-45"/>
        </w:rPr>
        <w:t xml:space="preserve"> </w:t>
      </w:r>
      <w:r>
        <w:rPr>
          <w:rFonts w:ascii="Times New Roman" w:hAnsi="Times New Roman" w:eastAsia="Times New Roman" w:cs="Times New Roman"/>
          <w:spacing w:val="3"/>
        </w:rPr>
        <w:t>0.05</w:t>
      </w:r>
      <w:r>
        <w:rPr>
          <w:rFonts w:ascii="Times New Roman" w:hAnsi="Times New Roman" w:eastAsia="Times New Roman" w:cs="Times New Roman"/>
        </w:rPr>
        <w:t>kHz</w:t>
      </w:r>
      <w:r>
        <w:rPr>
          <w:rFonts w:ascii="Times New Roman" w:hAnsi="Times New Roman" w:eastAsia="Times New Roman" w:cs="Times New Roman"/>
          <w:spacing w:val="-25"/>
        </w:rPr>
        <w:t xml:space="preserve"> </w:t>
      </w:r>
      <w:r>
        <w:rPr>
          <w:spacing w:val="3"/>
        </w:rPr>
        <w:t>，依据《电磁环境控制限值》（</w:t>
      </w:r>
      <w:r>
        <w:rPr>
          <w:rFonts w:ascii="Times New Roman" w:hAnsi="Times New Roman" w:eastAsia="Times New Roman" w:cs="Times New Roman"/>
        </w:rPr>
        <w:t xml:space="preserve">GB </w:t>
      </w:r>
      <w:r>
        <w:rPr>
          <w:rFonts w:ascii="Times New Roman" w:hAnsi="Times New Roman" w:eastAsia="Times New Roman" w:cs="Times New Roman"/>
          <w:spacing w:val="1"/>
        </w:rPr>
        <w:t>8702-2014</w:t>
      </w:r>
      <w:r>
        <w:rPr>
          <w:spacing w:val="1"/>
        </w:rPr>
        <w:t>）规定，为控制电场、磁场、电磁场所致公众暴露，环境中电场、磁</w:t>
      </w:r>
      <w:r>
        <w:rPr>
          <w:spacing w:val="17"/>
        </w:rPr>
        <w:t xml:space="preserve"> </w:t>
      </w:r>
      <w:r>
        <w:rPr>
          <w:spacing w:val="-1"/>
        </w:rPr>
        <w:t>场、电磁场常量参数的方均根值应满足表</w:t>
      </w:r>
      <w:r>
        <w:rPr>
          <w:spacing w:val="-46"/>
        </w:rPr>
        <w:t xml:space="preserve"> </w:t>
      </w:r>
      <w:r>
        <w:rPr>
          <w:rFonts w:ascii="Times New Roman" w:hAnsi="Times New Roman" w:eastAsia="Times New Roman" w:cs="Times New Roman"/>
          <w:spacing w:val="-1"/>
        </w:rPr>
        <w:t xml:space="preserve">2-2 </w:t>
      </w:r>
      <w:r>
        <w:rPr>
          <w:spacing w:val="-1"/>
        </w:rPr>
        <w:t>要求。</w:t>
      </w:r>
    </w:p>
    <w:p w14:paraId="16AD5514">
      <w:pPr>
        <w:pStyle w:val="2"/>
        <w:spacing w:before="1" w:line="222" w:lineRule="auto"/>
        <w:ind w:left="3052"/>
        <w:rPr>
          <w:sz w:val="20"/>
          <w:szCs w:val="20"/>
        </w:rPr>
      </w:pPr>
      <w:r>
        <w:rPr>
          <w:b/>
          <w:bCs/>
          <w:spacing w:val="5"/>
          <w:sz w:val="20"/>
          <w:szCs w:val="20"/>
        </w:rPr>
        <w:t>表</w:t>
      </w:r>
      <w:r>
        <w:rPr>
          <w:spacing w:val="-36"/>
          <w:sz w:val="20"/>
          <w:szCs w:val="20"/>
        </w:rPr>
        <w:t xml:space="preserve"> </w:t>
      </w:r>
      <w:r>
        <w:rPr>
          <w:rFonts w:ascii="Times New Roman" w:hAnsi="Times New Roman" w:eastAsia="Times New Roman" w:cs="Times New Roman"/>
          <w:b/>
          <w:bCs/>
          <w:spacing w:val="5"/>
          <w:sz w:val="20"/>
          <w:szCs w:val="20"/>
        </w:rPr>
        <w:t xml:space="preserve">2-2    </w:t>
      </w:r>
      <w:r>
        <w:rPr>
          <w:b/>
          <w:bCs/>
          <w:spacing w:val="5"/>
          <w:sz w:val="20"/>
          <w:szCs w:val="20"/>
        </w:rPr>
        <w:t>公众暴露控制限值</w:t>
      </w:r>
    </w:p>
    <w:tbl>
      <w:tblPr>
        <w:tblStyle w:val="5"/>
        <w:tblW w:w="8523"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95"/>
        <w:gridCol w:w="2601"/>
        <w:gridCol w:w="2427"/>
      </w:tblGrid>
      <w:tr w14:paraId="4AC5D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495" w:type="dxa"/>
            <w:vAlign w:val="top"/>
          </w:tcPr>
          <w:p w14:paraId="60103032">
            <w:pPr>
              <w:pStyle w:val="6"/>
              <w:spacing w:before="70" w:line="228" w:lineRule="auto"/>
              <w:ind w:left="1145"/>
              <w:rPr>
                <w:sz w:val="20"/>
                <w:szCs w:val="20"/>
              </w:rPr>
            </w:pPr>
            <w:r>
              <w:rPr>
                <w:b/>
                <w:bCs/>
                <w:spacing w:val="7"/>
                <w:sz w:val="20"/>
                <w:szCs w:val="20"/>
              </w:rPr>
              <w:t>频率（</w:t>
            </w:r>
            <w:r>
              <w:rPr>
                <w:rFonts w:ascii="Times New Roman" w:hAnsi="Times New Roman" w:eastAsia="Times New Roman" w:cs="Times New Roman"/>
                <w:b/>
                <w:bCs/>
                <w:sz w:val="20"/>
                <w:szCs w:val="20"/>
              </w:rPr>
              <w:t>kHz</w:t>
            </w:r>
            <w:r>
              <w:rPr>
                <w:b/>
                <w:bCs/>
                <w:spacing w:val="7"/>
                <w:sz w:val="20"/>
                <w:szCs w:val="20"/>
              </w:rPr>
              <w:t>）</w:t>
            </w:r>
          </w:p>
        </w:tc>
        <w:tc>
          <w:tcPr>
            <w:tcW w:w="2601" w:type="dxa"/>
            <w:vAlign w:val="top"/>
          </w:tcPr>
          <w:p w14:paraId="6A7F4B3C">
            <w:pPr>
              <w:pStyle w:val="6"/>
              <w:spacing w:before="70" w:line="228" w:lineRule="auto"/>
              <w:ind w:left="410"/>
              <w:rPr>
                <w:sz w:val="20"/>
                <w:szCs w:val="20"/>
              </w:rPr>
            </w:pPr>
            <w:r>
              <w:rPr>
                <w:b/>
                <w:bCs/>
                <w:spacing w:val="2"/>
                <w:sz w:val="20"/>
                <w:szCs w:val="20"/>
              </w:rPr>
              <w:t>电场强度</w:t>
            </w:r>
            <w:r>
              <w:rPr>
                <w:spacing w:val="-38"/>
                <w:sz w:val="20"/>
                <w:szCs w:val="20"/>
              </w:rPr>
              <w:t xml:space="preserve"> </w:t>
            </w:r>
            <w:r>
              <w:rPr>
                <w:rFonts w:ascii="Times New Roman" w:hAnsi="Times New Roman" w:eastAsia="Times New Roman" w:cs="Times New Roman"/>
                <w:b/>
                <w:bCs/>
                <w:spacing w:val="2"/>
                <w:sz w:val="20"/>
                <w:szCs w:val="20"/>
              </w:rPr>
              <w:t>E</w:t>
            </w:r>
            <w:r>
              <w:rPr>
                <w:b/>
                <w:bCs/>
                <w:spacing w:val="2"/>
                <w:sz w:val="20"/>
                <w:szCs w:val="20"/>
              </w:rPr>
              <w:t>（</w:t>
            </w:r>
            <w:r>
              <w:rPr>
                <w:rFonts w:ascii="Times New Roman" w:hAnsi="Times New Roman" w:eastAsia="Times New Roman" w:cs="Times New Roman"/>
                <w:b/>
                <w:bCs/>
                <w:spacing w:val="2"/>
                <w:sz w:val="20"/>
                <w:szCs w:val="20"/>
              </w:rPr>
              <w:t>V/m</w:t>
            </w:r>
            <w:r>
              <w:rPr>
                <w:b/>
                <w:bCs/>
                <w:spacing w:val="2"/>
                <w:sz w:val="20"/>
                <w:szCs w:val="20"/>
              </w:rPr>
              <w:t>）</w:t>
            </w:r>
          </w:p>
        </w:tc>
        <w:tc>
          <w:tcPr>
            <w:tcW w:w="2427" w:type="dxa"/>
            <w:vAlign w:val="top"/>
          </w:tcPr>
          <w:p w14:paraId="348B74E7">
            <w:pPr>
              <w:pStyle w:val="6"/>
              <w:spacing w:before="70" w:line="221" w:lineRule="auto"/>
              <w:ind w:left="254"/>
              <w:rPr>
                <w:sz w:val="20"/>
                <w:szCs w:val="20"/>
              </w:rPr>
            </w:pPr>
            <w:r>
              <w:rPr>
                <w:b/>
                <w:bCs/>
                <w:spacing w:val="4"/>
                <w:sz w:val="20"/>
                <w:szCs w:val="20"/>
              </w:rPr>
              <w:t>磁感应强度</w:t>
            </w:r>
            <w:r>
              <w:rPr>
                <w:spacing w:val="-37"/>
                <w:sz w:val="20"/>
                <w:szCs w:val="20"/>
              </w:rPr>
              <w:t xml:space="preserve"> </w:t>
            </w:r>
            <w:r>
              <w:rPr>
                <w:rFonts w:ascii="Times New Roman" w:hAnsi="Times New Roman" w:eastAsia="Times New Roman" w:cs="Times New Roman"/>
                <w:b/>
                <w:bCs/>
                <w:spacing w:val="4"/>
                <w:sz w:val="20"/>
                <w:szCs w:val="20"/>
              </w:rPr>
              <w:t xml:space="preserve">B  </w:t>
            </w:r>
            <w:r>
              <w:rPr>
                <w:b/>
                <w:bCs/>
                <w:spacing w:val="4"/>
                <w:sz w:val="20"/>
                <w:szCs w:val="20"/>
              </w:rPr>
              <w:t>(</w:t>
            </w:r>
            <w:r>
              <w:rPr>
                <w:rFonts w:ascii="Times New Roman" w:hAnsi="Times New Roman" w:eastAsia="Times New Roman" w:cs="Times New Roman"/>
                <w:b/>
                <w:bCs/>
                <w:spacing w:val="4"/>
                <w:sz w:val="20"/>
                <w:szCs w:val="20"/>
              </w:rPr>
              <w:t>μT</w:t>
            </w:r>
            <w:r>
              <w:rPr>
                <w:b/>
                <w:bCs/>
                <w:spacing w:val="4"/>
                <w:sz w:val="20"/>
                <w:szCs w:val="20"/>
              </w:rPr>
              <w:t>）</w:t>
            </w:r>
          </w:p>
        </w:tc>
      </w:tr>
      <w:tr w14:paraId="21A6C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3495" w:type="dxa"/>
            <w:vAlign w:val="top"/>
          </w:tcPr>
          <w:p w14:paraId="2406ED4E">
            <w:pPr>
              <w:pStyle w:val="6"/>
              <w:spacing w:before="34" w:line="213" w:lineRule="auto"/>
              <w:ind w:left="1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0.025</w:t>
            </w:r>
            <w:r>
              <w:rPr>
                <w:spacing w:val="4"/>
                <w:sz w:val="20"/>
                <w:szCs w:val="20"/>
              </w:rPr>
              <w:t>～</w:t>
            </w:r>
            <w:r>
              <w:rPr>
                <w:rFonts w:ascii="Times New Roman" w:hAnsi="Times New Roman" w:eastAsia="Times New Roman" w:cs="Times New Roman"/>
                <w:spacing w:val="4"/>
                <w:sz w:val="20"/>
                <w:szCs w:val="20"/>
              </w:rPr>
              <w:t>1.2</w:t>
            </w:r>
          </w:p>
        </w:tc>
        <w:tc>
          <w:tcPr>
            <w:tcW w:w="2601" w:type="dxa"/>
            <w:vAlign w:val="top"/>
          </w:tcPr>
          <w:p w14:paraId="3509FD3A">
            <w:pPr>
              <w:spacing w:line="265" w:lineRule="exact"/>
              <w:ind w:left="1084"/>
              <w:rPr>
                <w:rFonts w:ascii="Times New Roman" w:hAnsi="Times New Roman" w:eastAsia="Times New Roman" w:cs="Times New Roman"/>
                <w:sz w:val="20"/>
                <w:szCs w:val="20"/>
              </w:rPr>
            </w:pPr>
            <w:r>
              <w:rPr>
                <w:rFonts w:ascii="Times New Roman" w:hAnsi="Times New Roman" w:eastAsia="Times New Roman" w:cs="Times New Roman"/>
                <w:spacing w:val="11"/>
                <w:position w:val="3"/>
                <w:sz w:val="20"/>
                <w:szCs w:val="20"/>
              </w:rPr>
              <w:t>200/</w:t>
            </w:r>
            <w:r>
              <w:rPr>
                <w:rFonts w:ascii="Times New Roman" w:hAnsi="Times New Roman" w:eastAsia="Times New Roman" w:cs="Times New Roman"/>
                <w:i/>
                <w:iCs/>
                <w:spacing w:val="11"/>
                <w:position w:val="3"/>
                <w:sz w:val="20"/>
                <w:szCs w:val="20"/>
              </w:rPr>
              <w:t>f</w:t>
            </w:r>
          </w:p>
        </w:tc>
        <w:tc>
          <w:tcPr>
            <w:tcW w:w="2427" w:type="dxa"/>
            <w:vAlign w:val="top"/>
          </w:tcPr>
          <w:p w14:paraId="548EDF18">
            <w:pPr>
              <w:spacing w:line="265" w:lineRule="exact"/>
              <w:ind w:left="1110"/>
              <w:rPr>
                <w:rFonts w:ascii="Times New Roman" w:hAnsi="Times New Roman" w:eastAsia="Times New Roman" w:cs="Times New Roman"/>
                <w:sz w:val="20"/>
                <w:szCs w:val="20"/>
              </w:rPr>
            </w:pPr>
            <w:r>
              <w:rPr>
                <w:rFonts w:ascii="Times New Roman" w:hAnsi="Times New Roman" w:eastAsia="Times New Roman" w:cs="Times New Roman"/>
                <w:spacing w:val="13"/>
                <w:position w:val="3"/>
                <w:sz w:val="20"/>
                <w:szCs w:val="20"/>
              </w:rPr>
              <w:t>5/</w:t>
            </w:r>
            <w:r>
              <w:rPr>
                <w:rFonts w:ascii="Times New Roman" w:hAnsi="Times New Roman" w:eastAsia="Times New Roman" w:cs="Times New Roman"/>
                <w:i/>
                <w:iCs/>
                <w:spacing w:val="13"/>
                <w:position w:val="3"/>
                <w:sz w:val="20"/>
                <w:szCs w:val="20"/>
              </w:rPr>
              <w:t>f</w:t>
            </w:r>
          </w:p>
        </w:tc>
      </w:tr>
      <w:tr w14:paraId="0093C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3495" w:type="dxa"/>
            <w:vAlign w:val="top"/>
          </w:tcPr>
          <w:p w14:paraId="61F9F618">
            <w:pPr>
              <w:pStyle w:val="6"/>
              <w:spacing w:before="34" w:line="218" w:lineRule="auto"/>
              <w:ind w:left="870"/>
              <w:rPr>
                <w:sz w:val="20"/>
                <w:szCs w:val="20"/>
              </w:rPr>
            </w:pPr>
            <w:r>
              <w:rPr>
                <w:spacing w:val="6"/>
                <w:sz w:val="20"/>
                <w:szCs w:val="20"/>
              </w:rPr>
              <w:t>变电站（</w:t>
            </w:r>
            <w:r>
              <w:rPr>
                <w:rFonts w:ascii="Times New Roman" w:hAnsi="Times New Roman" w:eastAsia="Times New Roman" w:cs="Times New Roman"/>
                <w:spacing w:val="6"/>
                <w:sz w:val="20"/>
                <w:szCs w:val="20"/>
              </w:rPr>
              <w:t>0.05</w:t>
            </w:r>
            <w:r>
              <w:rPr>
                <w:rFonts w:ascii="Times New Roman" w:hAnsi="Times New Roman" w:eastAsia="Times New Roman" w:cs="Times New Roman"/>
                <w:sz w:val="20"/>
                <w:szCs w:val="20"/>
              </w:rPr>
              <w:t>kHz</w:t>
            </w:r>
            <w:r>
              <w:rPr>
                <w:spacing w:val="6"/>
                <w:sz w:val="20"/>
                <w:szCs w:val="20"/>
              </w:rPr>
              <w:t>）</w:t>
            </w:r>
          </w:p>
        </w:tc>
        <w:tc>
          <w:tcPr>
            <w:tcW w:w="2601" w:type="dxa"/>
            <w:vAlign w:val="top"/>
          </w:tcPr>
          <w:p w14:paraId="7F35F505">
            <w:pPr>
              <w:spacing w:before="70" w:line="195" w:lineRule="auto"/>
              <w:ind w:left="10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2427" w:type="dxa"/>
            <w:vAlign w:val="top"/>
          </w:tcPr>
          <w:p w14:paraId="723210CB">
            <w:pPr>
              <w:spacing w:before="70" w:line="195" w:lineRule="auto"/>
              <w:ind w:left="10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bl>
    <w:p w14:paraId="310DB1FD">
      <w:pPr>
        <w:pStyle w:val="2"/>
        <w:spacing w:before="37" w:line="345" w:lineRule="auto"/>
        <w:ind w:left="122" w:right="49" w:firstLine="498"/>
      </w:pPr>
      <w:r>
        <w:rPr>
          <w:spacing w:val="-3"/>
        </w:rPr>
        <w:t>因此，本项目变电站评价范围内及附近居民点电磁强度</w:t>
      </w:r>
      <w:r>
        <w:rPr>
          <w:spacing w:val="-48"/>
        </w:rPr>
        <w:t xml:space="preserve"> </w:t>
      </w:r>
      <w:r>
        <w:rPr>
          <w:rFonts w:ascii="Times New Roman" w:hAnsi="Times New Roman" w:eastAsia="Times New Roman" w:cs="Times New Roman"/>
          <w:spacing w:val="-3"/>
        </w:rPr>
        <w:t xml:space="preserve">E </w:t>
      </w:r>
      <w:r>
        <w:rPr>
          <w:spacing w:val="-3"/>
        </w:rPr>
        <w:t>标准为</w:t>
      </w:r>
      <w:r>
        <w:rPr>
          <w:spacing w:val="-56"/>
        </w:rPr>
        <w:t xml:space="preserve"> </w:t>
      </w:r>
      <w:r>
        <w:rPr>
          <w:rFonts w:ascii="Times New Roman" w:hAnsi="Times New Roman" w:eastAsia="Times New Roman" w:cs="Times New Roman"/>
          <w:spacing w:val="-3"/>
        </w:rPr>
        <w:t>4000V/m</w:t>
      </w:r>
      <w:r>
        <w:rPr>
          <w:spacing w:val="-3"/>
        </w:rPr>
        <w:t>，</w:t>
      </w:r>
      <w:r>
        <w:t xml:space="preserve"> </w:t>
      </w:r>
      <w:r>
        <w:rPr>
          <w:spacing w:val="-6"/>
        </w:rPr>
        <w:t>磁感应强度</w:t>
      </w:r>
      <w:r>
        <w:rPr>
          <w:spacing w:val="-56"/>
        </w:rPr>
        <w:t xml:space="preserve"> </w:t>
      </w:r>
      <w:r>
        <w:rPr>
          <w:rFonts w:ascii="Times New Roman" w:hAnsi="Times New Roman" w:eastAsia="Times New Roman" w:cs="Times New Roman"/>
          <w:spacing w:val="-6"/>
        </w:rPr>
        <w:t xml:space="preserve">B </w:t>
      </w:r>
      <w:r>
        <w:rPr>
          <w:spacing w:val="-6"/>
        </w:rPr>
        <w:t>标准为</w:t>
      </w:r>
      <w:r>
        <w:rPr>
          <w:spacing w:val="-32"/>
        </w:rPr>
        <w:t xml:space="preserve"> </w:t>
      </w:r>
      <w:r>
        <w:rPr>
          <w:rFonts w:ascii="Times New Roman" w:hAnsi="Times New Roman" w:eastAsia="Times New Roman" w:cs="Times New Roman"/>
          <w:spacing w:val="-6"/>
        </w:rPr>
        <w:t xml:space="preserve">100 </w:t>
      </w:r>
      <w:r>
        <w:rPr>
          <w:spacing w:val="-6"/>
        </w:rPr>
        <w:t>μ</w:t>
      </w:r>
      <w:r>
        <w:rPr>
          <w:rFonts w:ascii="Times New Roman" w:hAnsi="Times New Roman" w:eastAsia="Times New Roman" w:cs="Times New Roman"/>
          <w:spacing w:val="-6"/>
        </w:rPr>
        <w:t>T</w:t>
      </w:r>
      <w:r>
        <w:rPr>
          <w:spacing w:val="-6"/>
        </w:rPr>
        <w:t>。</w:t>
      </w:r>
    </w:p>
    <w:p w14:paraId="4621DA8C">
      <w:pPr>
        <w:pStyle w:val="2"/>
        <w:spacing w:before="170" w:line="219" w:lineRule="auto"/>
        <w:ind w:left="119"/>
        <w:outlineLvl w:val="1"/>
        <w:rPr>
          <w:sz w:val="28"/>
          <w:szCs w:val="28"/>
        </w:rPr>
      </w:pPr>
      <w:r>
        <w:rPr>
          <w:rFonts w:ascii="Times New Roman" w:hAnsi="Times New Roman" w:eastAsia="Times New Roman" w:cs="Times New Roman"/>
          <w:b/>
          <w:bCs/>
          <w:spacing w:val="-2"/>
          <w:sz w:val="28"/>
          <w:szCs w:val="28"/>
        </w:rPr>
        <w:t xml:space="preserve">2.3 </w:t>
      </w:r>
      <w:r>
        <w:rPr>
          <w:b/>
          <w:bCs/>
          <w:spacing w:val="-2"/>
          <w:sz w:val="28"/>
          <w:szCs w:val="28"/>
        </w:rPr>
        <w:t>评价工作等级</w:t>
      </w:r>
    </w:p>
    <w:p w14:paraId="7AFB43B0">
      <w:pPr>
        <w:pStyle w:val="2"/>
        <w:spacing w:before="158" w:line="344" w:lineRule="auto"/>
        <w:ind w:left="126" w:right="31" w:firstLine="478"/>
      </w:pPr>
      <w:r>
        <w:rPr>
          <w:spacing w:val="-3"/>
        </w:rPr>
        <w:t>按照《环境影响评价技术导则 输变电》（</w:t>
      </w:r>
      <w:r>
        <w:rPr>
          <w:rFonts w:ascii="Times New Roman" w:hAnsi="Times New Roman" w:eastAsia="Times New Roman" w:cs="Times New Roman"/>
          <w:spacing w:val="-3"/>
        </w:rPr>
        <w:t>HJ24-2</w:t>
      </w:r>
      <w:r>
        <w:rPr>
          <w:rFonts w:ascii="Times New Roman" w:hAnsi="Times New Roman" w:eastAsia="Times New Roman" w:cs="Times New Roman"/>
          <w:spacing w:val="-4"/>
        </w:rPr>
        <w:t>020</w:t>
      </w:r>
      <w:r>
        <w:rPr>
          <w:spacing w:val="-4"/>
        </w:rPr>
        <w:t>）中表</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29"/>
        </w:rPr>
        <w:t xml:space="preserve"> </w:t>
      </w:r>
      <w:r>
        <w:rPr>
          <w:spacing w:val="-4"/>
        </w:rPr>
        <w:t>的要求，对本</w:t>
      </w:r>
      <w:r>
        <w:t xml:space="preserve"> </w:t>
      </w:r>
      <w:r>
        <w:rPr>
          <w:spacing w:val="-5"/>
        </w:rPr>
        <w:t>项目电磁环境影响评价工作进行等级划分，电磁环境评价工作等级划分见表</w:t>
      </w:r>
      <w:r>
        <w:rPr>
          <w:spacing w:val="-43"/>
        </w:rPr>
        <w:t xml:space="preserve"> </w:t>
      </w:r>
      <w:r>
        <w:rPr>
          <w:rFonts w:ascii="Times New Roman" w:hAnsi="Times New Roman" w:eastAsia="Times New Roman" w:cs="Times New Roman"/>
          <w:spacing w:val="-5"/>
        </w:rPr>
        <w:t>2-3</w:t>
      </w:r>
      <w:r>
        <w:rPr>
          <w:spacing w:val="-5"/>
        </w:rPr>
        <w:t>。</w:t>
      </w:r>
    </w:p>
    <w:p w14:paraId="1E20E858">
      <w:pPr>
        <w:pStyle w:val="2"/>
        <w:spacing w:before="54" w:line="226" w:lineRule="auto"/>
        <w:ind w:left="2104"/>
        <w:rPr>
          <w:sz w:val="20"/>
          <w:szCs w:val="20"/>
        </w:rPr>
      </w:pPr>
      <w:r>
        <w:rPr>
          <w:b/>
          <w:bCs/>
          <w:spacing w:val="6"/>
          <w:sz w:val="20"/>
          <w:szCs w:val="20"/>
        </w:rPr>
        <w:t>表</w:t>
      </w:r>
      <w:r>
        <w:rPr>
          <w:spacing w:val="-31"/>
          <w:sz w:val="20"/>
          <w:szCs w:val="20"/>
        </w:rPr>
        <w:t xml:space="preserve"> </w:t>
      </w:r>
      <w:r>
        <w:rPr>
          <w:rFonts w:ascii="Times New Roman" w:hAnsi="Times New Roman" w:eastAsia="Times New Roman" w:cs="Times New Roman"/>
          <w:b/>
          <w:bCs/>
          <w:spacing w:val="6"/>
          <w:sz w:val="20"/>
          <w:szCs w:val="20"/>
        </w:rPr>
        <w:t xml:space="preserve">2-3    </w:t>
      </w:r>
      <w:r>
        <w:rPr>
          <w:b/>
          <w:bCs/>
          <w:spacing w:val="6"/>
          <w:sz w:val="20"/>
          <w:szCs w:val="20"/>
        </w:rPr>
        <w:t>输变电工程电磁环境影响评价工作等级</w:t>
      </w:r>
    </w:p>
    <w:p w14:paraId="5727238A">
      <w:pPr>
        <w:spacing w:line="16" w:lineRule="exact"/>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136"/>
        <w:gridCol w:w="733"/>
        <w:gridCol w:w="4413"/>
        <w:gridCol w:w="1541"/>
      </w:tblGrid>
      <w:tr w14:paraId="2CBF6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Align w:val="top"/>
          </w:tcPr>
          <w:p w14:paraId="115B41C0">
            <w:pPr>
              <w:pStyle w:val="6"/>
              <w:spacing w:before="54" w:line="228" w:lineRule="auto"/>
              <w:ind w:left="147"/>
              <w:rPr>
                <w:sz w:val="20"/>
                <w:szCs w:val="20"/>
              </w:rPr>
            </w:pPr>
            <w:r>
              <w:rPr>
                <w:b/>
                <w:bCs/>
                <w:spacing w:val="2"/>
                <w:sz w:val="20"/>
                <w:szCs w:val="20"/>
              </w:rPr>
              <w:t>分类</w:t>
            </w:r>
          </w:p>
        </w:tc>
        <w:tc>
          <w:tcPr>
            <w:tcW w:w="1136" w:type="dxa"/>
            <w:vAlign w:val="top"/>
          </w:tcPr>
          <w:p w14:paraId="03064FD9">
            <w:pPr>
              <w:pStyle w:val="6"/>
              <w:spacing w:before="54" w:line="228" w:lineRule="auto"/>
              <w:ind w:left="174"/>
              <w:rPr>
                <w:sz w:val="20"/>
                <w:szCs w:val="20"/>
              </w:rPr>
            </w:pPr>
            <w:r>
              <w:rPr>
                <w:b/>
                <w:bCs/>
                <w:sz w:val="20"/>
                <w:szCs w:val="20"/>
              </w:rPr>
              <w:t>电压等级</w:t>
            </w:r>
          </w:p>
        </w:tc>
        <w:tc>
          <w:tcPr>
            <w:tcW w:w="5146" w:type="dxa"/>
            <w:gridSpan w:val="2"/>
            <w:vAlign w:val="top"/>
          </w:tcPr>
          <w:p w14:paraId="5189A391">
            <w:pPr>
              <w:pStyle w:val="6"/>
              <w:spacing w:before="54" w:line="228" w:lineRule="auto"/>
              <w:ind w:left="2368"/>
              <w:rPr>
                <w:sz w:val="20"/>
                <w:szCs w:val="20"/>
              </w:rPr>
            </w:pPr>
            <w:r>
              <w:rPr>
                <w:b/>
                <w:bCs/>
                <w:spacing w:val="3"/>
                <w:sz w:val="20"/>
                <w:szCs w:val="20"/>
              </w:rPr>
              <w:t>条件</w:t>
            </w:r>
          </w:p>
        </w:tc>
        <w:tc>
          <w:tcPr>
            <w:tcW w:w="1541" w:type="dxa"/>
            <w:vAlign w:val="top"/>
          </w:tcPr>
          <w:p w14:paraId="06674929">
            <w:pPr>
              <w:pStyle w:val="6"/>
              <w:spacing w:before="55" w:line="226" w:lineRule="auto"/>
              <w:ind w:left="143"/>
              <w:rPr>
                <w:sz w:val="20"/>
                <w:szCs w:val="20"/>
              </w:rPr>
            </w:pPr>
            <w:r>
              <w:rPr>
                <w:b/>
                <w:bCs/>
                <w:spacing w:val="7"/>
                <w:sz w:val="20"/>
                <w:szCs w:val="20"/>
              </w:rPr>
              <w:t>评价工作等级</w:t>
            </w:r>
          </w:p>
        </w:tc>
      </w:tr>
      <w:tr w14:paraId="24F1B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00" w:type="dxa"/>
            <w:vMerge w:val="restart"/>
            <w:tcBorders>
              <w:bottom w:val="nil"/>
            </w:tcBorders>
            <w:vAlign w:val="top"/>
          </w:tcPr>
          <w:p w14:paraId="009DA25D">
            <w:pPr>
              <w:pStyle w:val="6"/>
              <w:spacing w:before="215" w:line="229" w:lineRule="auto"/>
              <w:ind w:left="148"/>
              <w:rPr>
                <w:sz w:val="20"/>
                <w:szCs w:val="20"/>
              </w:rPr>
            </w:pPr>
            <w:r>
              <w:rPr>
                <w:spacing w:val="2"/>
                <w:sz w:val="20"/>
                <w:szCs w:val="20"/>
              </w:rPr>
              <w:t>交流</w:t>
            </w:r>
          </w:p>
        </w:tc>
        <w:tc>
          <w:tcPr>
            <w:tcW w:w="1136" w:type="dxa"/>
            <w:vMerge w:val="restart"/>
            <w:tcBorders>
              <w:bottom w:val="nil"/>
            </w:tcBorders>
            <w:vAlign w:val="top"/>
          </w:tcPr>
          <w:p w14:paraId="2CDE3686">
            <w:pPr>
              <w:pStyle w:val="6"/>
              <w:spacing w:before="215" w:line="268" w:lineRule="exact"/>
              <w:ind w:left="311"/>
              <w:rPr>
                <w:sz w:val="20"/>
                <w:szCs w:val="20"/>
              </w:rPr>
            </w:pPr>
            <w:r>
              <w:rPr>
                <w:spacing w:val="4"/>
                <w:position w:val="1"/>
                <w:sz w:val="20"/>
                <w:szCs w:val="20"/>
              </w:rPr>
              <w:t>220</w:t>
            </w:r>
            <w:r>
              <w:rPr>
                <w:position w:val="1"/>
                <w:sz w:val="20"/>
                <w:szCs w:val="20"/>
              </w:rPr>
              <w:t>kV</w:t>
            </w:r>
          </w:p>
        </w:tc>
        <w:tc>
          <w:tcPr>
            <w:tcW w:w="733" w:type="dxa"/>
            <w:vMerge w:val="restart"/>
            <w:tcBorders>
              <w:bottom w:val="nil"/>
            </w:tcBorders>
            <w:vAlign w:val="top"/>
          </w:tcPr>
          <w:p w14:paraId="3B5CC3E6">
            <w:pPr>
              <w:pStyle w:val="6"/>
              <w:spacing w:before="57" w:line="264" w:lineRule="auto"/>
              <w:ind w:left="265" w:right="156" w:hanging="104"/>
              <w:rPr>
                <w:sz w:val="20"/>
                <w:szCs w:val="20"/>
              </w:rPr>
            </w:pPr>
            <w:r>
              <w:rPr>
                <w:spacing w:val="4"/>
                <w:sz w:val="20"/>
                <w:szCs w:val="20"/>
              </w:rPr>
              <w:t>变电</w:t>
            </w:r>
            <w:r>
              <w:rPr>
                <w:sz w:val="20"/>
                <w:szCs w:val="20"/>
              </w:rPr>
              <w:t xml:space="preserve"> 站</w:t>
            </w:r>
          </w:p>
        </w:tc>
        <w:tc>
          <w:tcPr>
            <w:tcW w:w="4413" w:type="dxa"/>
            <w:vAlign w:val="top"/>
          </w:tcPr>
          <w:p w14:paraId="77EFCC93">
            <w:pPr>
              <w:pStyle w:val="6"/>
              <w:spacing w:before="53" w:line="228" w:lineRule="auto"/>
              <w:ind w:left="1478"/>
              <w:rPr>
                <w:sz w:val="20"/>
                <w:szCs w:val="20"/>
              </w:rPr>
            </w:pPr>
            <w:r>
              <w:rPr>
                <w:spacing w:val="8"/>
                <w:sz w:val="20"/>
                <w:szCs w:val="20"/>
              </w:rPr>
              <w:t>户内式、地下式</w:t>
            </w:r>
          </w:p>
        </w:tc>
        <w:tc>
          <w:tcPr>
            <w:tcW w:w="1541" w:type="dxa"/>
            <w:vAlign w:val="top"/>
          </w:tcPr>
          <w:p w14:paraId="24674522">
            <w:pPr>
              <w:pStyle w:val="6"/>
              <w:spacing w:before="54" w:line="230" w:lineRule="auto"/>
              <w:ind w:left="566"/>
              <w:rPr>
                <w:sz w:val="20"/>
                <w:szCs w:val="20"/>
              </w:rPr>
            </w:pPr>
            <w:r>
              <w:rPr>
                <w:spacing w:val="4"/>
                <w:sz w:val="20"/>
                <w:szCs w:val="20"/>
              </w:rPr>
              <w:t>三级</w:t>
            </w:r>
          </w:p>
        </w:tc>
      </w:tr>
      <w:tr w14:paraId="0D3B6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0" w:type="dxa"/>
            <w:vMerge w:val="continue"/>
            <w:tcBorders>
              <w:top w:val="nil"/>
            </w:tcBorders>
            <w:vAlign w:val="top"/>
          </w:tcPr>
          <w:p w14:paraId="164AA120">
            <w:pPr>
              <w:rPr>
                <w:rFonts w:ascii="Arial"/>
                <w:sz w:val="21"/>
              </w:rPr>
            </w:pPr>
          </w:p>
        </w:tc>
        <w:tc>
          <w:tcPr>
            <w:tcW w:w="1136" w:type="dxa"/>
            <w:vMerge w:val="continue"/>
            <w:tcBorders>
              <w:top w:val="nil"/>
            </w:tcBorders>
            <w:vAlign w:val="top"/>
          </w:tcPr>
          <w:p w14:paraId="2EFF4D70">
            <w:pPr>
              <w:rPr>
                <w:rFonts w:ascii="Arial"/>
                <w:sz w:val="21"/>
              </w:rPr>
            </w:pPr>
          </w:p>
        </w:tc>
        <w:tc>
          <w:tcPr>
            <w:tcW w:w="733" w:type="dxa"/>
            <w:vMerge w:val="continue"/>
            <w:tcBorders>
              <w:top w:val="nil"/>
            </w:tcBorders>
            <w:vAlign w:val="top"/>
          </w:tcPr>
          <w:p w14:paraId="71915982">
            <w:pPr>
              <w:rPr>
                <w:rFonts w:ascii="Arial"/>
                <w:sz w:val="21"/>
              </w:rPr>
            </w:pPr>
          </w:p>
        </w:tc>
        <w:tc>
          <w:tcPr>
            <w:tcW w:w="4413" w:type="dxa"/>
            <w:vAlign w:val="top"/>
          </w:tcPr>
          <w:p w14:paraId="71DBEBFE">
            <w:pPr>
              <w:pStyle w:val="6"/>
              <w:spacing w:before="56" w:line="228" w:lineRule="auto"/>
              <w:ind w:left="1898"/>
              <w:rPr>
                <w:sz w:val="20"/>
                <w:szCs w:val="20"/>
              </w:rPr>
            </w:pPr>
            <w:r>
              <w:rPr>
                <w:spacing w:val="6"/>
                <w:sz w:val="20"/>
                <w:szCs w:val="20"/>
              </w:rPr>
              <w:t>户外式</w:t>
            </w:r>
          </w:p>
        </w:tc>
        <w:tc>
          <w:tcPr>
            <w:tcW w:w="1541" w:type="dxa"/>
            <w:vAlign w:val="top"/>
          </w:tcPr>
          <w:p w14:paraId="6C97A4CB">
            <w:pPr>
              <w:pStyle w:val="6"/>
              <w:spacing w:before="55" w:line="230" w:lineRule="auto"/>
              <w:ind w:left="570"/>
              <w:rPr>
                <w:sz w:val="20"/>
                <w:szCs w:val="20"/>
              </w:rPr>
            </w:pPr>
            <w:r>
              <w:rPr>
                <w:spacing w:val="3"/>
                <w:sz w:val="20"/>
                <w:szCs w:val="20"/>
              </w:rPr>
              <w:t>二级</w:t>
            </w:r>
          </w:p>
        </w:tc>
      </w:tr>
    </w:tbl>
    <w:p w14:paraId="25E91A73">
      <w:pPr>
        <w:pStyle w:val="2"/>
        <w:spacing w:before="37" w:line="218" w:lineRule="auto"/>
        <w:ind w:left="602"/>
      </w:pPr>
      <w:r>
        <w:rPr>
          <w:spacing w:val="-1"/>
        </w:rPr>
        <w:t>根据上表，本项目为户外式</w:t>
      </w:r>
      <w:r>
        <w:rPr>
          <w:spacing w:val="-39"/>
        </w:rPr>
        <w:t xml:space="preserve"> </w:t>
      </w:r>
      <w:r>
        <w:rPr>
          <w:rFonts w:ascii="Times New Roman" w:hAnsi="Times New Roman" w:eastAsia="Times New Roman" w:cs="Times New Roman"/>
          <w:spacing w:val="-1"/>
        </w:rPr>
        <w:t xml:space="preserve">220kV </w:t>
      </w:r>
      <w:r>
        <w:rPr>
          <w:spacing w:val="-1"/>
        </w:rPr>
        <w:t>变电站，评价工作等级为二级。</w:t>
      </w:r>
    </w:p>
    <w:p w14:paraId="0269FCE7">
      <w:pPr>
        <w:pStyle w:val="2"/>
        <w:spacing w:before="163" w:line="219" w:lineRule="auto"/>
        <w:ind w:left="119"/>
        <w:outlineLvl w:val="1"/>
        <w:rPr>
          <w:sz w:val="28"/>
          <w:szCs w:val="28"/>
        </w:rPr>
      </w:pPr>
      <w:r>
        <w:rPr>
          <w:rFonts w:ascii="Times New Roman" w:hAnsi="Times New Roman" w:eastAsia="Times New Roman" w:cs="Times New Roman"/>
          <w:b/>
          <w:bCs/>
          <w:spacing w:val="-2"/>
          <w:sz w:val="28"/>
          <w:szCs w:val="28"/>
        </w:rPr>
        <w:t xml:space="preserve">2.4 </w:t>
      </w:r>
      <w:r>
        <w:rPr>
          <w:b/>
          <w:bCs/>
          <w:spacing w:val="-2"/>
          <w:sz w:val="28"/>
          <w:szCs w:val="28"/>
        </w:rPr>
        <w:t>评价范围</w:t>
      </w:r>
    </w:p>
    <w:p w14:paraId="47B28C3D">
      <w:pPr>
        <w:pStyle w:val="2"/>
        <w:spacing w:before="158" w:line="344" w:lineRule="auto"/>
        <w:ind w:left="126" w:right="113" w:firstLine="477"/>
      </w:pPr>
      <w:r>
        <w:rPr>
          <w:spacing w:val="-8"/>
        </w:rPr>
        <w:t>按照《环境影响评价技术导则 输变电》（</w:t>
      </w:r>
      <w:r>
        <w:rPr>
          <w:rFonts w:ascii="Times New Roman" w:hAnsi="Times New Roman" w:eastAsia="Times New Roman" w:cs="Times New Roman"/>
          <w:spacing w:val="-8"/>
        </w:rPr>
        <w:t>HJ24-2020</w:t>
      </w:r>
      <w:r>
        <w:rPr>
          <w:spacing w:val="-8"/>
        </w:rPr>
        <w:t>）要求，本项目为</w:t>
      </w:r>
      <w:r>
        <w:rPr>
          <w:spacing w:val="-55"/>
        </w:rPr>
        <w:t xml:space="preserve"> </w:t>
      </w:r>
      <w:r>
        <w:rPr>
          <w:rFonts w:ascii="Times New Roman" w:hAnsi="Times New Roman" w:eastAsia="Times New Roman" w:cs="Times New Roman"/>
          <w:spacing w:val="-9"/>
        </w:rPr>
        <w:t>220kV</w:t>
      </w:r>
      <w:r>
        <w:rPr>
          <w:rFonts w:ascii="Times New Roman" w:hAnsi="Times New Roman" w:eastAsia="Times New Roman" w:cs="Times New Roman"/>
        </w:rPr>
        <w:t xml:space="preserve"> </w:t>
      </w:r>
      <w:r>
        <w:rPr>
          <w:spacing w:val="-1"/>
        </w:rPr>
        <w:t>交流输变电工程，对本项目电磁环境影响评价范围划分如表</w:t>
      </w:r>
      <w:r>
        <w:rPr>
          <w:spacing w:val="-46"/>
        </w:rPr>
        <w:t xml:space="preserve"> </w:t>
      </w:r>
      <w:r>
        <w:rPr>
          <w:rFonts w:ascii="Times New Roman" w:hAnsi="Times New Roman" w:eastAsia="Times New Roman" w:cs="Times New Roman"/>
          <w:spacing w:val="-1"/>
        </w:rPr>
        <w:t>2-4</w:t>
      </w:r>
      <w:r>
        <w:rPr>
          <w:spacing w:val="-1"/>
        </w:rPr>
        <w:t>。</w:t>
      </w:r>
    </w:p>
    <w:p w14:paraId="28A1BCF0">
      <w:pPr>
        <w:spacing w:line="344" w:lineRule="auto"/>
        <w:sectPr>
          <w:footerReference r:id="rId183" w:type="default"/>
          <w:pgSz w:w="11906" w:h="16839"/>
          <w:pgMar w:top="1426" w:right="1688" w:bottom="1177" w:left="1687" w:header="0" w:footer="987" w:gutter="0"/>
          <w:cols w:space="720" w:num="1"/>
        </w:sectPr>
      </w:pPr>
    </w:p>
    <w:p w14:paraId="52BE2B80">
      <w:pPr>
        <w:pStyle w:val="2"/>
        <w:spacing w:before="41" w:line="223" w:lineRule="auto"/>
        <w:ind w:left="2524"/>
        <w:rPr>
          <w:sz w:val="20"/>
          <w:szCs w:val="20"/>
        </w:rPr>
      </w:pPr>
      <w:r>
        <w:rPr>
          <w:b/>
          <w:bCs/>
          <w:spacing w:val="6"/>
          <w:sz w:val="20"/>
          <w:szCs w:val="20"/>
        </w:rPr>
        <w:t>表</w:t>
      </w:r>
      <w:r>
        <w:rPr>
          <w:spacing w:val="-39"/>
          <w:sz w:val="20"/>
          <w:szCs w:val="20"/>
        </w:rPr>
        <w:t xml:space="preserve"> </w:t>
      </w:r>
      <w:r>
        <w:rPr>
          <w:rFonts w:ascii="Times New Roman" w:hAnsi="Times New Roman" w:eastAsia="Times New Roman" w:cs="Times New Roman"/>
          <w:b/>
          <w:bCs/>
          <w:spacing w:val="6"/>
          <w:sz w:val="20"/>
          <w:szCs w:val="20"/>
        </w:rPr>
        <w:t xml:space="preserve">2-4    </w:t>
      </w:r>
      <w:r>
        <w:rPr>
          <w:b/>
          <w:bCs/>
          <w:spacing w:val="6"/>
          <w:sz w:val="20"/>
          <w:szCs w:val="20"/>
        </w:rPr>
        <w:t>升压站电磁环境影响评价范围</w:t>
      </w: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7"/>
        <w:gridCol w:w="1680"/>
        <w:gridCol w:w="2792"/>
        <w:gridCol w:w="2404"/>
      </w:tblGrid>
      <w:tr w14:paraId="75026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647" w:type="dxa"/>
            <w:vAlign w:val="top"/>
          </w:tcPr>
          <w:p w14:paraId="02D99C6C">
            <w:pPr>
              <w:pStyle w:val="6"/>
              <w:spacing w:before="69" w:line="228" w:lineRule="auto"/>
              <w:ind w:left="622"/>
              <w:rPr>
                <w:sz w:val="20"/>
                <w:szCs w:val="20"/>
              </w:rPr>
            </w:pPr>
            <w:r>
              <w:rPr>
                <w:spacing w:val="3"/>
                <w:sz w:val="20"/>
                <w:szCs w:val="20"/>
              </w:rPr>
              <w:t>分类</w:t>
            </w:r>
          </w:p>
        </w:tc>
        <w:tc>
          <w:tcPr>
            <w:tcW w:w="1680" w:type="dxa"/>
            <w:vAlign w:val="top"/>
          </w:tcPr>
          <w:p w14:paraId="7B51A3AF">
            <w:pPr>
              <w:pStyle w:val="6"/>
              <w:spacing w:before="69" w:line="228" w:lineRule="auto"/>
              <w:ind w:left="449"/>
              <w:rPr>
                <w:sz w:val="20"/>
                <w:szCs w:val="20"/>
              </w:rPr>
            </w:pPr>
            <w:r>
              <w:rPr>
                <w:spacing w:val="1"/>
                <w:sz w:val="20"/>
                <w:szCs w:val="20"/>
              </w:rPr>
              <w:t>电压等级</w:t>
            </w:r>
          </w:p>
        </w:tc>
        <w:tc>
          <w:tcPr>
            <w:tcW w:w="2792" w:type="dxa"/>
            <w:vAlign w:val="top"/>
          </w:tcPr>
          <w:p w14:paraId="4630FAE1">
            <w:pPr>
              <w:pStyle w:val="6"/>
              <w:spacing w:before="70" w:line="228" w:lineRule="auto"/>
              <w:ind w:left="1195"/>
              <w:rPr>
                <w:sz w:val="20"/>
                <w:szCs w:val="20"/>
              </w:rPr>
            </w:pPr>
            <w:r>
              <w:rPr>
                <w:spacing w:val="3"/>
                <w:sz w:val="20"/>
                <w:szCs w:val="20"/>
              </w:rPr>
              <w:t>工程</w:t>
            </w:r>
          </w:p>
        </w:tc>
        <w:tc>
          <w:tcPr>
            <w:tcW w:w="2404" w:type="dxa"/>
            <w:vAlign w:val="top"/>
          </w:tcPr>
          <w:p w14:paraId="01900DB9">
            <w:pPr>
              <w:pStyle w:val="6"/>
              <w:spacing w:before="70" w:line="226" w:lineRule="auto"/>
              <w:ind w:left="785"/>
              <w:rPr>
                <w:sz w:val="20"/>
                <w:szCs w:val="20"/>
              </w:rPr>
            </w:pPr>
            <w:r>
              <w:rPr>
                <w:spacing w:val="7"/>
                <w:sz w:val="20"/>
                <w:szCs w:val="20"/>
              </w:rPr>
              <w:t>评价范围</w:t>
            </w:r>
          </w:p>
        </w:tc>
      </w:tr>
      <w:tr w14:paraId="5944B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647" w:type="dxa"/>
            <w:vAlign w:val="top"/>
          </w:tcPr>
          <w:p w14:paraId="4E01D43F">
            <w:pPr>
              <w:pStyle w:val="6"/>
              <w:spacing w:before="68" w:line="229" w:lineRule="auto"/>
              <w:ind w:left="624"/>
              <w:rPr>
                <w:sz w:val="20"/>
                <w:szCs w:val="20"/>
              </w:rPr>
            </w:pPr>
            <w:r>
              <w:rPr>
                <w:spacing w:val="2"/>
                <w:sz w:val="20"/>
                <w:szCs w:val="20"/>
              </w:rPr>
              <w:t>交流</w:t>
            </w:r>
          </w:p>
        </w:tc>
        <w:tc>
          <w:tcPr>
            <w:tcW w:w="1680" w:type="dxa"/>
            <w:vAlign w:val="top"/>
          </w:tcPr>
          <w:p w14:paraId="243FC3C8">
            <w:pPr>
              <w:spacing w:before="100" w:line="199"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220</w:t>
            </w:r>
            <w:r>
              <w:rPr>
                <w:rFonts w:ascii="Times New Roman" w:hAnsi="Times New Roman" w:eastAsia="Times New Roman" w:cs="Times New Roman"/>
                <w:sz w:val="20"/>
                <w:szCs w:val="20"/>
              </w:rPr>
              <w:t>kV</w:t>
            </w:r>
          </w:p>
        </w:tc>
        <w:tc>
          <w:tcPr>
            <w:tcW w:w="2792" w:type="dxa"/>
            <w:vAlign w:val="top"/>
          </w:tcPr>
          <w:p w14:paraId="026211FB">
            <w:pPr>
              <w:pStyle w:val="6"/>
              <w:spacing w:before="68" w:line="228" w:lineRule="auto"/>
              <w:ind w:left="773"/>
              <w:rPr>
                <w:sz w:val="20"/>
                <w:szCs w:val="20"/>
              </w:rPr>
            </w:pPr>
            <w:r>
              <w:rPr>
                <w:spacing w:val="8"/>
                <w:sz w:val="20"/>
                <w:szCs w:val="20"/>
              </w:rPr>
              <w:t>户外式变电站</w:t>
            </w:r>
          </w:p>
        </w:tc>
        <w:tc>
          <w:tcPr>
            <w:tcW w:w="2404" w:type="dxa"/>
            <w:vAlign w:val="top"/>
          </w:tcPr>
          <w:p w14:paraId="2DC03A4E">
            <w:pPr>
              <w:pStyle w:val="6"/>
              <w:spacing w:before="68" w:line="228" w:lineRule="auto"/>
              <w:ind w:left="365"/>
              <w:rPr>
                <w:rFonts w:ascii="Times New Roman" w:hAnsi="Times New Roman" w:eastAsia="Times New Roman" w:cs="Times New Roman"/>
                <w:sz w:val="20"/>
                <w:szCs w:val="20"/>
              </w:rPr>
            </w:pPr>
            <w:r>
              <w:rPr>
                <w:spacing w:val="6"/>
                <w:sz w:val="20"/>
                <w:szCs w:val="20"/>
              </w:rPr>
              <w:t>升压站站界外</w:t>
            </w:r>
            <w:r>
              <w:rPr>
                <w:spacing w:val="-34"/>
                <w:sz w:val="20"/>
                <w:szCs w:val="20"/>
              </w:rPr>
              <w:t xml:space="preserve"> </w:t>
            </w:r>
            <w:r>
              <w:rPr>
                <w:rFonts w:ascii="Times New Roman" w:hAnsi="Times New Roman" w:eastAsia="Times New Roman" w:cs="Times New Roman"/>
                <w:spacing w:val="6"/>
                <w:sz w:val="20"/>
                <w:szCs w:val="20"/>
              </w:rPr>
              <w:t>40m</w:t>
            </w:r>
          </w:p>
        </w:tc>
      </w:tr>
    </w:tbl>
    <w:p w14:paraId="0D7EA65E">
      <w:pPr>
        <w:pStyle w:val="2"/>
        <w:spacing w:before="172" w:line="220" w:lineRule="auto"/>
        <w:ind w:left="119"/>
        <w:outlineLvl w:val="1"/>
        <w:rPr>
          <w:sz w:val="28"/>
          <w:szCs w:val="28"/>
        </w:rPr>
      </w:pPr>
      <w:r>
        <w:rPr>
          <w:rFonts w:ascii="Times New Roman" w:hAnsi="Times New Roman" w:eastAsia="Times New Roman" w:cs="Times New Roman"/>
          <w:b/>
          <w:bCs/>
          <w:spacing w:val="-2"/>
          <w:sz w:val="28"/>
          <w:szCs w:val="28"/>
        </w:rPr>
        <w:t xml:space="preserve">2.5 </w:t>
      </w:r>
      <w:r>
        <w:rPr>
          <w:b/>
          <w:bCs/>
          <w:spacing w:val="-2"/>
          <w:sz w:val="28"/>
          <w:szCs w:val="28"/>
        </w:rPr>
        <w:t>环境敏感目标</w:t>
      </w:r>
    </w:p>
    <w:p w14:paraId="408A07E3">
      <w:pPr>
        <w:pStyle w:val="2"/>
        <w:spacing w:before="154" w:line="345" w:lineRule="auto"/>
        <w:ind w:left="122" w:right="109" w:firstLine="480"/>
      </w:pPr>
      <w:r>
        <w:rPr>
          <w:spacing w:val="-3"/>
        </w:rPr>
        <w:t>根据《环境影响评价技术导则 输变电》（</w:t>
      </w:r>
      <w:r>
        <w:rPr>
          <w:rFonts w:ascii="Times New Roman" w:hAnsi="Times New Roman" w:eastAsia="Times New Roman" w:cs="Times New Roman"/>
          <w:spacing w:val="-3"/>
        </w:rPr>
        <w:t>HJ24-2020</w:t>
      </w:r>
      <w:r>
        <w:rPr>
          <w:spacing w:val="8"/>
        </w:rPr>
        <w:t>），</w:t>
      </w:r>
      <w:r>
        <w:rPr>
          <w:spacing w:val="-3"/>
        </w:rPr>
        <w:t>电磁环境敏感目标</w:t>
      </w:r>
      <w:r>
        <w:rPr>
          <w:spacing w:val="1"/>
        </w:rPr>
        <w:t xml:space="preserve"> </w:t>
      </w:r>
      <w:r>
        <w:t>包括住宅、学校、医院、办公楼、工厂等有公众居住</w:t>
      </w:r>
      <w:r>
        <w:rPr>
          <w:spacing w:val="-1"/>
        </w:rPr>
        <w:t>、工作或学习的建筑物。</w:t>
      </w:r>
    </w:p>
    <w:p w14:paraId="109F6D3A">
      <w:pPr>
        <w:pStyle w:val="2"/>
        <w:spacing w:before="37" w:line="344" w:lineRule="auto"/>
        <w:ind w:left="124" w:right="109" w:firstLine="481"/>
      </w:pPr>
      <w:r>
        <w:rPr>
          <w:spacing w:val="1"/>
        </w:rPr>
        <w:t>项目升压站附近</w:t>
      </w:r>
      <w:r>
        <w:rPr>
          <w:spacing w:val="-46"/>
        </w:rPr>
        <w:t xml:space="preserve"> </w:t>
      </w:r>
      <w:r>
        <w:rPr>
          <w:rFonts w:ascii="Times New Roman" w:hAnsi="Times New Roman" w:eastAsia="Times New Roman" w:cs="Times New Roman"/>
          <w:spacing w:val="1"/>
        </w:rPr>
        <w:t>40m</w:t>
      </w:r>
      <w:r>
        <w:rPr>
          <w:rFonts w:ascii="Times New Roman" w:hAnsi="Times New Roman" w:eastAsia="Times New Roman" w:cs="Times New Roman"/>
          <w:spacing w:val="18"/>
        </w:rPr>
        <w:t xml:space="preserve"> </w:t>
      </w:r>
      <w:r>
        <w:rPr>
          <w:spacing w:val="1"/>
        </w:rPr>
        <w:t>范围内无住宅、学校、医院、办公楼、工厂等有公众</w:t>
      </w:r>
      <w:r>
        <w:t xml:space="preserve"> 居住、工作或学习的建筑物。因此项目电磁辐</w:t>
      </w:r>
      <w:r>
        <w:rPr>
          <w:spacing w:val="-1"/>
        </w:rPr>
        <w:t>射影响评价无环境保护目标。</w:t>
      </w:r>
    </w:p>
    <w:p w14:paraId="7EF91B2C">
      <w:pPr>
        <w:pStyle w:val="2"/>
        <w:spacing w:before="173" w:line="219" w:lineRule="auto"/>
        <w:ind w:left="119"/>
        <w:outlineLvl w:val="1"/>
        <w:rPr>
          <w:sz w:val="28"/>
          <w:szCs w:val="28"/>
        </w:rPr>
      </w:pPr>
      <w:r>
        <w:rPr>
          <w:rFonts w:ascii="Times New Roman" w:hAnsi="Times New Roman" w:eastAsia="Times New Roman" w:cs="Times New Roman"/>
          <w:b/>
          <w:bCs/>
          <w:spacing w:val="-2"/>
          <w:sz w:val="28"/>
          <w:szCs w:val="28"/>
        </w:rPr>
        <w:t xml:space="preserve">2.6 </w:t>
      </w:r>
      <w:r>
        <w:rPr>
          <w:b/>
          <w:bCs/>
          <w:spacing w:val="-2"/>
          <w:sz w:val="28"/>
          <w:szCs w:val="28"/>
        </w:rPr>
        <w:t>评价重点</w:t>
      </w:r>
    </w:p>
    <w:p w14:paraId="009E17D5">
      <w:pPr>
        <w:pStyle w:val="2"/>
        <w:spacing w:before="154" w:line="351" w:lineRule="auto"/>
        <w:ind w:left="127" w:right="109" w:firstLine="474"/>
      </w:pPr>
      <w:r>
        <w:rPr>
          <w:spacing w:val="-1"/>
        </w:rPr>
        <w:t>根据《电磁环境控制限值》（</w:t>
      </w:r>
      <w:r>
        <w:rPr>
          <w:rFonts w:ascii="Times New Roman" w:hAnsi="Times New Roman" w:eastAsia="Times New Roman" w:cs="Times New Roman"/>
          <w:spacing w:val="-1"/>
        </w:rPr>
        <w:t>GB8702-20</w:t>
      </w:r>
      <w:r>
        <w:rPr>
          <w:rFonts w:ascii="Times New Roman" w:hAnsi="Times New Roman" w:eastAsia="Times New Roman" w:cs="Times New Roman"/>
          <w:spacing w:val="-2"/>
        </w:rPr>
        <w:t>14</w:t>
      </w:r>
      <w:r>
        <w:rPr>
          <w:spacing w:val="6"/>
        </w:rPr>
        <w:t>），</w:t>
      </w:r>
      <w:r>
        <w:rPr>
          <w:spacing w:val="-2"/>
        </w:rPr>
        <w:t>从电磁环境保护管理角度，</w:t>
      </w:r>
      <w:r>
        <w:t xml:space="preserve"> </w:t>
      </w:r>
      <w:r>
        <w:rPr>
          <w:rFonts w:ascii="Times New Roman" w:hAnsi="Times New Roman" w:eastAsia="Times New Roman" w:cs="Times New Roman"/>
          <w:spacing w:val="-4"/>
        </w:rPr>
        <w:t>100kV</w:t>
      </w:r>
      <w:r>
        <w:rPr>
          <w:rFonts w:ascii="Times New Roman" w:hAnsi="Times New Roman" w:eastAsia="Times New Roman" w:cs="Times New Roman"/>
          <w:spacing w:val="44"/>
          <w:w w:val="101"/>
        </w:rPr>
        <w:t xml:space="preserve"> </w:t>
      </w:r>
      <w:r>
        <w:rPr>
          <w:spacing w:val="-4"/>
        </w:rPr>
        <w:t>以下电压等级的交流输变电设施产生的电场、磁场、电磁场的设施可免于</w:t>
      </w:r>
      <w:r>
        <w:t xml:space="preserve"> </w:t>
      </w:r>
      <w:r>
        <w:rPr>
          <w:spacing w:val="-1"/>
        </w:rPr>
        <w:t>管理，因此本次评价工作的重点为项目升压站运行期的电磁环境影响评价。</w:t>
      </w:r>
    </w:p>
    <w:p w14:paraId="7BAA7B68">
      <w:pPr>
        <w:spacing w:line="351" w:lineRule="auto"/>
        <w:sectPr>
          <w:footerReference r:id="rId184" w:type="default"/>
          <w:pgSz w:w="11906" w:h="16839"/>
          <w:pgMar w:top="1428" w:right="1690" w:bottom="1175" w:left="1687" w:header="0" w:footer="987" w:gutter="0"/>
          <w:cols w:space="720" w:num="1"/>
        </w:sectPr>
      </w:pPr>
    </w:p>
    <w:p w14:paraId="457D104C">
      <w:pPr>
        <w:pStyle w:val="2"/>
        <w:spacing w:before="172" w:line="219" w:lineRule="auto"/>
        <w:ind w:left="183"/>
        <w:outlineLvl w:val="0"/>
        <w:rPr>
          <w:sz w:val="30"/>
          <w:szCs w:val="30"/>
        </w:rPr>
      </w:pPr>
      <w:bookmarkStart w:id="27" w:name="bookmark19"/>
      <w:bookmarkEnd w:id="27"/>
      <w:r>
        <w:rPr>
          <w:rFonts w:ascii="Times New Roman" w:hAnsi="Times New Roman" w:eastAsia="Times New Roman" w:cs="Times New Roman"/>
          <w:b/>
          <w:bCs/>
          <w:spacing w:val="-3"/>
          <w:sz w:val="30"/>
          <w:szCs w:val="30"/>
        </w:rPr>
        <w:t xml:space="preserve">3 </w:t>
      </w:r>
      <w:r>
        <w:rPr>
          <w:b/>
          <w:bCs/>
          <w:spacing w:val="-3"/>
          <w:sz w:val="30"/>
          <w:szCs w:val="30"/>
        </w:rPr>
        <w:t>建设项目概况与分析</w:t>
      </w:r>
    </w:p>
    <w:p w14:paraId="6F810D19">
      <w:pPr>
        <w:pStyle w:val="2"/>
        <w:spacing w:before="276" w:line="220" w:lineRule="auto"/>
        <w:ind w:left="183"/>
        <w:outlineLvl w:val="1"/>
        <w:rPr>
          <w:sz w:val="28"/>
          <w:szCs w:val="28"/>
        </w:rPr>
      </w:pPr>
      <w:r>
        <w:rPr>
          <w:rFonts w:ascii="Times New Roman" w:hAnsi="Times New Roman" w:eastAsia="Times New Roman" w:cs="Times New Roman"/>
          <w:b/>
          <w:bCs/>
          <w:spacing w:val="-4"/>
          <w:sz w:val="28"/>
          <w:szCs w:val="28"/>
        </w:rPr>
        <w:t>3.1</w:t>
      </w:r>
      <w:r>
        <w:rPr>
          <w:rFonts w:ascii="Times New Roman" w:hAnsi="Times New Roman" w:eastAsia="Times New Roman" w:cs="Times New Roman"/>
          <w:b/>
          <w:bCs/>
          <w:spacing w:val="14"/>
          <w:sz w:val="28"/>
          <w:szCs w:val="28"/>
        </w:rPr>
        <w:t xml:space="preserve"> </w:t>
      </w:r>
      <w:r>
        <w:rPr>
          <w:b/>
          <w:bCs/>
          <w:spacing w:val="-4"/>
          <w:sz w:val="28"/>
          <w:szCs w:val="28"/>
        </w:rPr>
        <w:t>项目概况</w:t>
      </w:r>
    </w:p>
    <w:p w14:paraId="4CF1FF13">
      <w:pPr>
        <w:pStyle w:val="2"/>
        <w:spacing w:before="231" w:line="219" w:lineRule="auto"/>
        <w:ind w:left="183"/>
        <w:outlineLvl w:val="2"/>
      </w:pPr>
      <w:r>
        <w:rPr>
          <w:rFonts w:ascii="Times New Roman" w:hAnsi="Times New Roman" w:eastAsia="Times New Roman" w:cs="Times New Roman"/>
          <w:b/>
          <w:bCs/>
          <w:spacing w:val="-2"/>
        </w:rPr>
        <w:t xml:space="preserve">3.1.1 </w:t>
      </w:r>
      <w:r>
        <w:rPr>
          <w:b/>
          <w:bCs/>
          <w:spacing w:val="-2"/>
        </w:rPr>
        <w:t>项目基本情况</w:t>
      </w:r>
    </w:p>
    <w:p w14:paraId="085B8CD7">
      <w:pPr>
        <w:pStyle w:val="2"/>
        <w:spacing w:before="181" w:line="355" w:lineRule="auto"/>
        <w:ind w:left="186" w:right="139" w:firstLine="482"/>
        <w:jc w:val="both"/>
      </w:pPr>
      <w:r>
        <w:rPr>
          <w:spacing w:val="-2"/>
        </w:rPr>
        <w:t>本工程</w:t>
      </w:r>
      <w:r>
        <w:rPr>
          <w:spacing w:val="-55"/>
        </w:rPr>
        <w:t xml:space="preserve"> </w:t>
      </w:r>
      <w:r>
        <w:rPr>
          <w:rFonts w:ascii="Times New Roman" w:hAnsi="Times New Roman" w:eastAsia="Times New Roman" w:cs="Times New Roman"/>
          <w:spacing w:val="-2"/>
        </w:rPr>
        <w:t xml:space="preserve">220kV </w:t>
      </w:r>
      <w:r>
        <w:rPr>
          <w:spacing w:val="-2"/>
        </w:rPr>
        <w:t>升压站占地面积</w:t>
      </w:r>
      <w:r>
        <w:rPr>
          <w:spacing w:val="-31"/>
        </w:rPr>
        <w:t xml:space="preserve"> </w:t>
      </w:r>
      <w:r>
        <w:rPr>
          <w:rFonts w:ascii="Times New Roman" w:hAnsi="Times New Roman" w:eastAsia="Times New Roman" w:cs="Times New Roman"/>
          <w:spacing w:val="-2"/>
        </w:rPr>
        <w:t>1.3888hm</w:t>
      </w:r>
      <w:r>
        <w:rPr>
          <w:rFonts w:ascii="Times New Roman" w:hAnsi="Times New Roman" w:eastAsia="Times New Roman" w:cs="Times New Roman"/>
          <w:spacing w:val="-2"/>
          <w:position w:val="7"/>
          <w:sz w:val="15"/>
          <w:szCs w:val="15"/>
        </w:rPr>
        <w:t>2</w:t>
      </w:r>
      <w:r>
        <w:rPr>
          <w:spacing w:val="-2"/>
        </w:rPr>
        <w:t>。</w:t>
      </w:r>
      <w:r>
        <w:rPr>
          <w:spacing w:val="-3"/>
        </w:rPr>
        <w:t>分为生产区和生活区。升压站北</w:t>
      </w:r>
      <w:r>
        <w:t xml:space="preserve"> </w:t>
      </w:r>
      <w:r>
        <w:rPr>
          <w:spacing w:val="4"/>
        </w:rPr>
        <w:t>侧布置综合楼、辅助用房及危废间，中部布置主变压器、事故油池、主控楼及</w:t>
      </w:r>
      <w:r>
        <w:t xml:space="preserve"> </w:t>
      </w:r>
      <w:r>
        <w:rPr>
          <w:rFonts w:ascii="Times New Roman" w:hAnsi="Times New Roman" w:eastAsia="Times New Roman" w:cs="Times New Roman"/>
          <w:spacing w:val="-1"/>
        </w:rPr>
        <w:t xml:space="preserve">35KV </w:t>
      </w:r>
      <w:r>
        <w:rPr>
          <w:spacing w:val="-1"/>
        </w:rPr>
        <w:t>配电室等。主变压器位于升压站中部，</w:t>
      </w:r>
      <w:r>
        <w:rPr>
          <w:rFonts w:ascii="Times New Roman" w:hAnsi="Times New Roman" w:eastAsia="Times New Roman" w:cs="Times New Roman"/>
          <w:spacing w:val="-1"/>
        </w:rPr>
        <w:t xml:space="preserve">SVG </w:t>
      </w:r>
      <w:r>
        <w:rPr>
          <w:spacing w:val="-1"/>
        </w:rPr>
        <w:t>设备</w:t>
      </w:r>
      <w:r>
        <w:rPr>
          <w:spacing w:val="-2"/>
        </w:rPr>
        <w:t>中控室位于升压站西侧、</w:t>
      </w:r>
      <w:r>
        <w:t xml:space="preserve"> </w:t>
      </w:r>
      <w:r>
        <w:rPr>
          <w:spacing w:val="-3"/>
        </w:rPr>
        <w:t>配电室位于主变压器西侧，事故油池位于主变压器南侧、危废贮存库位于升压站</w:t>
      </w:r>
      <w:r>
        <w:rPr>
          <w:spacing w:val="2"/>
        </w:rPr>
        <w:t xml:space="preserve"> </w:t>
      </w:r>
      <w:r>
        <w:rPr>
          <w:spacing w:val="-3"/>
        </w:rPr>
        <w:t>南侧。</w:t>
      </w:r>
    </w:p>
    <w:p w14:paraId="65E44266">
      <w:pPr>
        <w:pStyle w:val="2"/>
        <w:spacing w:before="33" w:line="351" w:lineRule="auto"/>
        <w:ind w:left="187" w:right="178" w:firstLine="482"/>
        <w:jc w:val="both"/>
      </w:pPr>
      <w:r>
        <w:rPr>
          <w:spacing w:val="-2"/>
        </w:rPr>
        <w:t>升压站建设规模为</w:t>
      </w:r>
      <w:r>
        <w:rPr>
          <w:spacing w:val="-30"/>
        </w:rPr>
        <w:t xml:space="preserve"> </w:t>
      </w:r>
      <w:r>
        <w:rPr>
          <w:rFonts w:ascii="Times New Roman" w:hAnsi="Times New Roman" w:eastAsia="Times New Roman" w:cs="Times New Roman"/>
          <w:spacing w:val="-2"/>
        </w:rPr>
        <w:t>180MVA</w:t>
      </w:r>
      <w:r>
        <w:rPr>
          <w:rFonts w:ascii="Times New Roman" w:hAnsi="Times New Roman" w:eastAsia="Times New Roman" w:cs="Times New Roman"/>
          <w:spacing w:val="-31"/>
        </w:rPr>
        <w:t xml:space="preserve"> </w:t>
      </w:r>
      <w:r>
        <w:rPr>
          <w:spacing w:val="-2"/>
        </w:rPr>
        <w:t>，安装</w:t>
      </w:r>
      <w:r>
        <w:rPr>
          <w:spacing w:val="-2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2"/>
          <w:w w:val="101"/>
        </w:rPr>
        <w:t xml:space="preserve"> </w:t>
      </w:r>
      <w:r>
        <w:rPr>
          <w:spacing w:val="-2"/>
        </w:rPr>
        <w:t>台</w:t>
      </w:r>
      <w:r>
        <w:rPr>
          <w:spacing w:val="-50"/>
        </w:rPr>
        <w:t xml:space="preserve"> </w:t>
      </w:r>
      <w:r>
        <w:rPr>
          <w:rFonts w:ascii="Times New Roman" w:hAnsi="Times New Roman" w:eastAsia="Times New Roman" w:cs="Times New Roman"/>
          <w:spacing w:val="-2"/>
        </w:rPr>
        <w:t xml:space="preserve">220kV </w:t>
      </w:r>
      <w:r>
        <w:rPr>
          <w:spacing w:val="-2"/>
        </w:rPr>
        <w:t>有载调压变压器，化桃箐光</w:t>
      </w:r>
      <w:r>
        <w:t xml:space="preserve"> </w:t>
      </w:r>
      <w:r>
        <w:rPr>
          <w:spacing w:val="-2"/>
        </w:rPr>
        <w:t>伏发电项目通过变压器升压至</w:t>
      </w:r>
      <w:r>
        <w:rPr>
          <w:spacing w:val="-55"/>
        </w:rPr>
        <w:t xml:space="preserve"> </w:t>
      </w:r>
      <w:r>
        <w:rPr>
          <w:rFonts w:ascii="Times New Roman" w:hAnsi="Times New Roman" w:eastAsia="Times New Roman" w:cs="Times New Roman"/>
          <w:spacing w:val="-2"/>
        </w:rPr>
        <w:t xml:space="preserve">220kV </w:t>
      </w:r>
      <w:r>
        <w:rPr>
          <w:spacing w:val="-2"/>
        </w:rPr>
        <w:t>后，以</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3"/>
        </w:rPr>
        <w:t xml:space="preserve"> </w:t>
      </w:r>
      <w:r>
        <w:rPr>
          <w:spacing w:val="-3"/>
        </w:rPr>
        <w:t>回</w:t>
      </w:r>
      <w:r>
        <w:rPr>
          <w:spacing w:val="-55"/>
        </w:rPr>
        <w:t xml:space="preserve"> </w:t>
      </w:r>
      <w:r>
        <w:rPr>
          <w:rFonts w:ascii="Times New Roman" w:hAnsi="Times New Roman" w:eastAsia="Times New Roman" w:cs="Times New Roman"/>
          <w:spacing w:val="-3"/>
        </w:rPr>
        <w:t xml:space="preserve">220kV </w:t>
      </w:r>
      <w:r>
        <w:rPr>
          <w:spacing w:val="-3"/>
        </w:rPr>
        <w:t>送出线路接入</w:t>
      </w:r>
      <w:r>
        <w:rPr>
          <w:spacing w:val="-48"/>
        </w:rPr>
        <w:t xml:space="preserve"> </w:t>
      </w:r>
      <w:r>
        <w:rPr>
          <w:rFonts w:ascii="Times New Roman" w:hAnsi="Times New Roman" w:eastAsia="Times New Roman" w:cs="Times New Roman"/>
          <w:spacing w:val="-3"/>
        </w:rPr>
        <w:t xml:space="preserve">500kV </w:t>
      </w:r>
      <w:r>
        <w:rPr>
          <w:spacing w:val="-3"/>
        </w:rPr>
        <w:t>麒</w:t>
      </w:r>
      <w:r>
        <w:t xml:space="preserve"> </w:t>
      </w:r>
      <w:r>
        <w:rPr>
          <w:spacing w:val="-2"/>
        </w:rPr>
        <w:t>麟变</w:t>
      </w:r>
      <w:r>
        <w:rPr>
          <w:b/>
          <w:bCs/>
          <w:spacing w:val="-2"/>
        </w:rPr>
        <w:t>（本次评价不含项目升压站外送</w:t>
      </w:r>
      <w:r>
        <w:rPr>
          <w:spacing w:val="-46"/>
        </w:rPr>
        <w:t xml:space="preserve"> </w:t>
      </w:r>
      <w:r>
        <w:rPr>
          <w:rFonts w:ascii="Times New Roman" w:hAnsi="Times New Roman" w:eastAsia="Times New Roman" w:cs="Times New Roman"/>
          <w:b/>
          <w:bCs/>
          <w:spacing w:val="-2"/>
        </w:rPr>
        <w:t xml:space="preserve">220kV </w:t>
      </w:r>
      <w:r>
        <w:rPr>
          <w:b/>
          <w:bCs/>
          <w:spacing w:val="-2"/>
        </w:rPr>
        <w:t>线路送出工程）</w:t>
      </w:r>
      <w:r>
        <w:rPr>
          <w:spacing w:val="-2"/>
        </w:rPr>
        <w:t>。</w:t>
      </w:r>
    </w:p>
    <w:p w14:paraId="27B57E52">
      <w:pPr>
        <w:pStyle w:val="2"/>
        <w:spacing w:before="37" w:line="219" w:lineRule="auto"/>
        <w:ind w:left="183"/>
        <w:outlineLvl w:val="2"/>
      </w:pPr>
      <w:r>
        <w:rPr>
          <w:rFonts w:ascii="Times New Roman" w:hAnsi="Times New Roman" w:eastAsia="Times New Roman" w:cs="Times New Roman"/>
          <w:b/>
          <w:bCs/>
          <w:spacing w:val="-2"/>
        </w:rPr>
        <w:t xml:space="preserve">3.1.2 </w:t>
      </w:r>
      <w:r>
        <w:rPr>
          <w:b/>
          <w:bCs/>
          <w:spacing w:val="-2"/>
        </w:rPr>
        <w:t>项目主要技术经济指标</w:t>
      </w:r>
    </w:p>
    <w:p w14:paraId="3CB2EE2C">
      <w:pPr>
        <w:pStyle w:val="2"/>
        <w:spacing w:before="183" w:line="219" w:lineRule="auto"/>
        <w:ind w:left="670"/>
      </w:pPr>
      <w:r>
        <w:rPr>
          <w:spacing w:val="-2"/>
        </w:rPr>
        <w:t>升压站主要技术经济指标详见表</w:t>
      </w:r>
      <w:r>
        <w:rPr>
          <w:spacing w:val="-38"/>
        </w:rPr>
        <w:t xml:space="preserve"> </w:t>
      </w:r>
      <w:r>
        <w:rPr>
          <w:rFonts w:ascii="Times New Roman" w:hAnsi="Times New Roman" w:eastAsia="Times New Roman" w:cs="Times New Roman"/>
          <w:spacing w:val="-2"/>
        </w:rPr>
        <w:t>3-1</w:t>
      </w:r>
      <w:r>
        <w:rPr>
          <w:spacing w:val="-2"/>
        </w:rPr>
        <w:t>。</w:t>
      </w:r>
    </w:p>
    <w:p w14:paraId="35E7C335">
      <w:pPr>
        <w:pStyle w:val="2"/>
        <w:spacing w:before="121" w:line="228" w:lineRule="auto"/>
        <w:ind w:left="2908"/>
        <w:rPr>
          <w:sz w:val="20"/>
          <w:szCs w:val="20"/>
        </w:rPr>
      </w:pPr>
      <w:r>
        <w:rPr>
          <w:b/>
          <w:bCs/>
          <w:spacing w:val="6"/>
          <w:sz w:val="20"/>
          <w:szCs w:val="20"/>
        </w:rPr>
        <w:t>表</w:t>
      </w:r>
      <w:r>
        <w:rPr>
          <w:spacing w:val="-44"/>
          <w:sz w:val="20"/>
          <w:szCs w:val="20"/>
        </w:rPr>
        <w:t xml:space="preserve"> </w:t>
      </w:r>
      <w:r>
        <w:rPr>
          <w:rFonts w:ascii="Times New Roman" w:hAnsi="Times New Roman" w:eastAsia="Times New Roman" w:cs="Times New Roman"/>
          <w:b/>
          <w:bCs/>
          <w:spacing w:val="6"/>
          <w:sz w:val="20"/>
          <w:szCs w:val="20"/>
        </w:rPr>
        <w:t xml:space="preserve">3-1    </w:t>
      </w:r>
      <w:r>
        <w:rPr>
          <w:b/>
          <w:bCs/>
          <w:spacing w:val="6"/>
          <w:sz w:val="20"/>
          <w:szCs w:val="20"/>
        </w:rPr>
        <w:t>升压站主要技术经济指标表</w:t>
      </w:r>
    </w:p>
    <w:p w14:paraId="38EDF943">
      <w:pPr>
        <w:spacing w:line="143" w:lineRule="auto"/>
        <w:rPr>
          <w:rFonts w:ascii="Arial"/>
          <w:sz w:val="2"/>
        </w:rPr>
      </w:pPr>
    </w:p>
    <w:tbl>
      <w:tblPr>
        <w:tblStyle w:val="5"/>
        <w:tblW w:w="86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9"/>
        <w:gridCol w:w="3924"/>
        <w:gridCol w:w="1311"/>
        <w:gridCol w:w="2100"/>
      </w:tblGrid>
      <w:tr w14:paraId="0B62F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319" w:type="dxa"/>
            <w:vAlign w:val="top"/>
          </w:tcPr>
          <w:p w14:paraId="7926089F">
            <w:pPr>
              <w:pStyle w:val="6"/>
              <w:spacing w:before="70" w:line="229" w:lineRule="auto"/>
              <w:ind w:left="450"/>
              <w:rPr>
                <w:sz w:val="20"/>
                <w:szCs w:val="20"/>
              </w:rPr>
            </w:pPr>
            <w:r>
              <w:rPr>
                <w:spacing w:val="5"/>
                <w:sz w:val="20"/>
                <w:szCs w:val="20"/>
              </w:rPr>
              <w:t>序号</w:t>
            </w:r>
          </w:p>
        </w:tc>
        <w:tc>
          <w:tcPr>
            <w:tcW w:w="3924" w:type="dxa"/>
            <w:vAlign w:val="top"/>
          </w:tcPr>
          <w:p w14:paraId="3B5B768C">
            <w:pPr>
              <w:pStyle w:val="6"/>
              <w:spacing w:before="71" w:line="228" w:lineRule="auto"/>
              <w:ind w:left="1756"/>
              <w:rPr>
                <w:sz w:val="20"/>
                <w:szCs w:val="20"/>
              </w:rPr>
            </w:pPr>
            <w:r>
              <w:rPr>
                <w:spacing w:val="3"/>
                <w:sz w:val="20"/>
                <w:szCs w:val="20"/>
              </w:rPr>
              <w:t>项目</w:t>
            </w:r>
          </w:p>
        </w:tc>
        <w:tc>
          <w:tcPr>
            <w:tcW w:w="1311" w:type="dxa"/>
            <w:vAlign w:val="top"/>
          </w:tcPr>
          <w:p w14:paraId="45AF6C88">
            <w:pPr>
              <w:pStyle w:val="6"/>
              <w:spacing w:before="71" w:line="228" w:lineRule="auto"/>
              <w:ind w:left="451"/>
              <w:rPr>
                <w:sz w:val="20"/>
                <w:szCs w:val="20"/>
              </w:rPr>
            </w:pPr>
            <w:r>
              <w:rPr>
                <w:spacing w:val="3"/>
                <w:sz w:val="20"/>
                <w:szCs w:val="20"/>
              </w:rPr>
              <w:t>单位</w:t>
            </w:r>
          </w:p>
        </w:tc>
        <w:tc>
          <w:tcPr>
            <w:tcW w:w="2100" w:type="dxa"/>
            <w:vAlign w:val="top"/>
          </w:tcPr>
          <w:p w14:paraId="5702A6A8">
            <w:pPr>
              <w:pStyle w:val="6"/>
              <w:spacing w:before="70" w:line="228" w:lineRule="auto"/>
              <w:ind w:left="844"/>
              <w:rPr>
                <w:sz w:val="20"/>
                <w:szCs w:val="20"/>
              </w:rPr>
            </w:pPr>
            <w:r>
              <w:rPr>
                <w:spacing w:val="3"/>
                <w:sz w:val="20"/>
                <w:szCs w:val="20"/>
              </w:rPr>
              <w:t>数量</w:t>
            </w:r>
          </w:p>
        </w:tc>
      </w:tr>
      <w:tr w14:paraId="759F6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319" w:type="dxa"/>
            <w:vAlign w:val="top"/>
          </w:tcPr>
          <w:p w14:paraId="3DED7FB6">
            <w:pPr>
              <w:spacing w:before="101"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924" w:type="dxa"/>
            <w:vAlign w:val="top"/>
          </w:tcPr>
          <w:p w14:paraId="0BF9EB02">
            <w:pPr>
              <w:pStyle w:val="6"/>
              <w:spacing w:before="66" w:line="228" w:lineRule="auto"/>
              <w:ind w:left="1228"/>
              <w:rPr>
                <w:sz w:val="20"/>
                <w:szCs w:val="20"/>
              </w:rPr>
            </w:pPr>
            <w:r>
              <w:rPr>
                <w:spacing w:val="8"/>
                <w:sz w:val="20"/>
                <w:szCs w:val="20"/>
              </w:rPr>
              <w:t>升压站用地面积</w:t>
            </w:r>
          </w:p>
        </w:tc>
        <w:tc>
          <w:tcPr>
            <w:tcW w:w="1311" w:type="dxa"/>
            <w:vAlign w:val="top"/>
          </w:tcPr>
          <w:p w14:paraId="3B50FD62">
            <w:pPr>
              <w:spacing w:before="81" w:line="216" w:lineRule="auto"/>
              <w:ind w:left="485"/>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hm</w:t>
            </w:r>
            <w:r>
              <w:rPr>
                <w:rFonts w:ascii="Times New Roman" w:hAnsi="Times New Roman" w:eastAsia="Times New Roman" w:cs="Times New Roman"/>
                <w:spacing w:val="13"/>
                <w:position w:val="5"/>
                <w:sz w:val="13"/>
                <w:szCs w:val="13"/>
              </w:rPr>
              <w:t>2</w:t>
            </w:r>
          </w:p>
        </w:tc>
        <w:tc>
          <w:tcPr>
            <w:tcW w:w="2100" w:type="dxa"/>
            <w:vAlign w:val="top"/>
          </w:tcPr>
          <w:p w14:paraId="6C87F656">
            <w:pPr>
              <w:spacing w:before="101" w:line="195" w:lineRule="auto"/>
              <w:ind w:left="779"/>
              <w:rPr>
                <w:rFonts w:ascii="Times New Roman" w:hAnsi="Times New Roman" w:eastAsia="Times New Roman" w:cs="Times New Roman"/>
                <w:sz w:val="20"/>
                <w:szCs w:val="20"/>
              </w:rPr>
            </w:pPr>
            <w:r>
              <w:rPr>
                <w:rFonts w:ascii="Times New Roman" w:hAnsi="Times New Roman" w:eastAsia="Times New Roman" w:cs="Times New Roman"/>
                <w:sz w:val="20"/>
                <w:szCs w:val="20"/>
              </w:rPr>
              <w:t>1.3888</w:t>
            </w:r>
          </w:p>
        </w:tc>
      </w:tr>
      <w:tr w14:paraId="49F53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319" w:type="dxa"/>
            <w:vAlign w:val="top"/>
          </w:tcPr>
          <w:p w14:paraId="3DD81FF7">
            <w:pPr>
              <w:spacing w:before="104"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924" w:type="dxa"/>
            <w:vAlign w:val="top"/>
          </w:tcPr>
          <w:p w14:paraId="05CB3F90">
            <w:pPr>
              <w:pStyle w:val="6"/>
              <w:spacing w:before="68" w:line="228" w:lineRule="auto"/>
              <w:ind w:left="1440"/>
              <w:rPr>
                <w:sz w:val="20"/>
                <w:szCs w:val="20"/>
              </w:rPr>
            </w:pPr>
            <w:r>
              <w:rPr>
                <w:spacing w:val="7"/>
                <w:sz w:val="20"/>
                <w:szCs w:val="20"/>
              </w:rPr>
              <w:t>升压站围墙</w:t>
            </w:r>
          </w:p>
        </w:tc>
        <w:tc>
          <w:tcPr>
            <w:tcW w:w="1311" w:type="dxa"/>
            <w:vAlign w:val="top"/>
          </w:tcPr>
          <w:p w14:paraId="481E7173">
            <w:pPr>
              <w:spacing w:before="149" w:line="141" w:lineRule="exact"/>
              <w:ind w:left="5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2100" w:type="dxa"/>
            <w:vAlign w:val="top"/>
          </w:tcPr>
          <w:p w14:paraId="636F7DDD">
            <w:pPr>
              <w:spacing w:before="103" w:line="195" w:lineRule="auto"/>
              <w:ind w:left="8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448</w:t>
            </w:r>
          </w:p>
        </w:tc>
      </w:tr>
      <w:tr w14:paraId="69434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1319" w:type="dxa"/>
            <w:vAlign w:val="top"/>
          </w:tcPr>
          <w:p w14:paraId="50D403AA">
            <w:pPr>
              <w:spacing w:before="24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924" w:type="dxa"/>
            <w:vAlign w:val="top"/>
          </w:tcPr>
          <w:p w14:paraId="51F46827">
            <w:pPr>
              <w:pStyle w:val="6"/>
              <w:spacing w:before="56" w:line="261" w:lineRule="auto"/>
              <w:ind w:left="925" w:right="52" w:hanging="867"/>
              <w:rPr>
                <w:sz w:val="20"/>
                <w:szCs w:val="20"/>
              </w:rPr>
            </w:pPr>
            <w:r>
              <w:rPr>
                <w:spacing w:val="8"/>
                <w:sz w:val="20"/>
                <w:szCs w:val="20"/>
              </w:rPr>
              <w:t>综合楼、</w:t>
            </w:r>
            <w:r>
              <w:rPr>
                <w:rFonts w:ascii="Times New Roman" w:hAnsi="Times New Roman" w:eastAsia="Times New Roman" w:cs="Times New Roman"/>
                <w:spacing w:val="8"/>
                <w:sz w:val="20"/>
                <w:szCs w:val="20"/>
              </w:rPr>
              <w:t>35</w:t>
            </w:r>
            <w:r>
              <w:rPr>
                <w:rFonts w:ascii="Times New Roman" w:hAnsi="Times New Roman" w:eastAsia="Times New Roman" w:cs="Times New Roman"/>
                <w:sz w:val="20"/>
                <w:szCs w:val="20"/>
              </w:rPr>
              <w:t>kv</w:t>
            </w:r>
            <w:r>
              <w:rPr>
                <w:rFonts w:ascii="Times New Roman" w:hAnsi="Times New Roman" w:eastAsia="Times New Roman" w:cs="Times New Roman"/>
                <w:spacing w:val="8"/>
                <w:sz w:val="20"/>
                <w:szCs w:val="20"/>
              </w:rPr>
              <w:t xml:space="preserve"> </w:t>
            </w:r>
            <w:r>
              <w:rPr>
                <w:spacing w:val="8"/>
                <w:sz w:val="20"/>
                <w:szCs w:val="20"/>
              </w:rPr>
              <w:t>配电室、继保室及仓库、消</w:t>
            </w:r>
            <w:r>
              <w:rPr>
                <w:sz w:val="20"/>
                <w:szCs w:val="20"/>
              </w:rPr>
              <w:t xml:space="preserve"> </w:t>
            </w:r>
            <w:r>
              <w:rPr>
                <w:spacing w:val="7"/>
                <w:sz w:val="20"/>
                <w:szCs w:val="20"/>
              </w:rPr>
              <w:t>防水泵房、危废贮存库</w:t>
            </w:r>
          </w:p>
        </w:tc>
        <w:tc>
          <w:tcPr>
            <w:tcW w:w="1311" w:type="dxa"/>
            <w:vAlign w:val="top"/>
          </w:tcPr>
          <w:p w14:paraId="6959FA09">
            <w:pPr>
              <w:spacing w:before="227" w:line="216" w:lineRule="auto"/>
              <w:ind w:left="539"/>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2100" w:type="dxa"/>
            <w:vAlign w:val="top"/>
          </w:tcPr>
          <w:p w14:paraId="1CDD4447">
            <w:pPr>
              <w:spacing w:before="247" w:line="195" w:lineRule="auto"/>
              <w:ind w:left="7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4012.88</w:t>
            </w:r>
          </w:p>
        </w:tc>
      </w:tr>
    </w:tbl>
    <w:p w14:paraId="38070AF5">
      <w:pPr>
        <w:pStyle w:val="2"/>
        <w:spacing w:before="116" w:line="219" w:lineRule="auto"/>
        <w:ind w:left="183"/>
        <w:outlineLvl w:val="2"/>
      </w:pPr>
      <w:r>
        <w:rPr>
          <w:rFonts w:ascii="Times New Roman" w:hAnsi="Times New Roman" w:eastAsia="Times New Roman" w:cs="Times New Roman"/>
          <w:b/>
          <w:bCs/>
          <w:spacing w:val="-2"/>
        </w:rPr>
        <w:t xml:space="preserve">3.1.3 </w:t>
      </w:r>
      <w:r>
        <w:rPr>
          <w:b/>
          <w:bCs/>
          <w:spacing w:val="-2"/>
        </w:rPr>
        <w:t>项目侧接线方式</w:t>
      </w:r>
    </w:p>
    <w:p w14:paraId="2DFCCB84">
      <w:pPr>
        <w:pStyle w:val="2"/>
        <w:spacing w:before="186" w:line="354" w:lineRule="auto"/>
        <w:ind w:left="188" w:right="117" w:firstLine="480"/>
        <w:jc w:val="both"/>
      </w:pPr>
      <w:r>
        <w:rPr>
          <w:spacing w:val="-3"/>
        </w:rPr>
        <w:t>本项目升压站设置</w:t>
      </w:r>
      <w:r>
        <w:rPr>
          <w:spacing w:val="-30"/>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8"/>
        </w:rPr>
        <w:t xml:space="preserve"> </w:t>
      </w:r>
      <w:r>
        <w:rPr>
          <w:spacing w:val="-3"/>
        </w:rPr>
        <w:t>台主变，以</w:t>
      </w:r>
      <w:r>
        <w:rPr>
          <w:spacing w:val="-30"/>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5"/>
        </w:rPr>
        <w:t xml:space="preserve"> </w:t>
      </w:r>
      <w:r>
        <w:rPr>
          <w:spacing w:val="-3"/>
        </w:rPr>
        <w:t>回</w:t>
      </w:r>
      <w:r>
        <w:rPr>
          <w:spacing w:val="-53"/>
        </w:rPr>
        <w:t xml:space="preserve"> </w:t>
      </w:r>
      <w:r>
        <w:rPr>
          <w:rFonts w:ascii="Times New Roman" w:hAnsi="Times New Roman" w:eastAsia="Times New Roman" w:cs="Times New Roman"/>
          <w:spacing w:val="-3"/>
        </w:rPr>
        <w:t xml:space="preserve">220kV </w:t>
      </w:r>
      <w:r>
        <w:rPr>
          <w:spacing w:val="-3"/>
        </w:rPr>
        <w:t>架空送出线路接入</w:t>
      </w:r>
      <w:r>
        <w:rPr>
          <w:spacing w:val="-48"/>
        </w:rPr>
        <w:t xml:space="preserve"> </w:t>
      </w:r>
      <w:r>
        <w:rPr>
          <w:rFonts w:ascii="Times New Roman" w:hAnsi="Times New Roman" w:eastAsia="Times New Roman" w:cs="Times New Roman"/>
          <w:spacing w:val="-3"/>
        </w:rPr>
        <w:t xml:space="preserve">500kV </w:t>
      </w:r>
      <w:r>
        <w:rPr>
          <w:spacing w:val="-3"/>
        </w:rPr>
        <w:t>麒麟</w:t>
      </w:r>
      <w:r>
        <w:t xml:space="preserve"> </w:t>
      </w:r>
      <w:r>
        <w:rPr>
          <w:spacing w:val="-3"/>
        </w:rPr>
        <w:t>变升压站。设</w:t>
      </w:r>
      <w:r>
        <w:rPr>
          <w:spacing w:val="-51"/>
        </w:rPr>
        <w:t xml:space="preserve"> </w:t>
      </w:r>
      <w:r>
        <w:rPr>
          <w:rFonts w:ascii="Times New Roman" w:hAnsi="Times New Roman" w:eastAsia="Times New Roman" w:cs="Times New Roman"/>
          <w:spacing w:val="-3"/>
        </w:rPr>
        <w:t xml:space="preserve">3 </w:t>
      </w:r>
      <w:r>
        <w:rPr>
          <w:spacing w:val="-3"/>
        </w:rPr>
        <w:t>个电压等级</w:t>
      </w:r>
      <w:r>
        <w:rPr>
          <w:spacing w:val="-51"/>
        </w:rPr>
        <w:t xml:space="preserve"> </w:t>
      </w:r>
      <w:r>
        <w:rPr>
          <w:rFonts w:ascii="Times New Roman" w:hAnsi="Times New Roman" w:eastAsia="Times New Roman" w:cs="Times New Roman"/>
          <w:spacing w:val="-3"/>
        </w:rPr>
        <w:t>0.4kV</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 xml:space="preserve">35kV </w:t>
      </w:r>
      <w:r>
        <w:rPr>
          <w:spacing w:val="-3"/>
        </w:rPr>
        <w:t>和</w:t>
      </w:r>
      <w:r>
        <w:rPr>
          <w:spacing w:val="-55"/>
        </w:rPr>
        <w:t xml:space="preserve"> </w:t>
      </w:r>
      <w:r>
        <w:rPr>
          <w:rFonts w:ascii="Times New Roman" w:hAnsi="Times New Roman" w:eastAsia="Times New Roman" w:cs="Times New Roman"/>
          <w:spacing w:val="-3"/>
        </w:rPr>
        <w:t>220</w:t>
      </w:r>
      <w:r>
        <w:rPr>
          <w:rFonts w:ascii="Times New Roman" w:hAnsi="Times New Roman" w:eastAsia="Times New Roman" w:cs="Times New Roman"/>
          <w:spacing w:val="-4"/>
        </w:rPr>
        <w:t>kV</w:t>
      </w:r>
      <w:r>
        <w:rPr>
          <w:rFonts w:ascii="Times New Roman" w:hAnsi="Times New Roman" w:eastAsia="Times New Roman" w:cs="Times New Roman"/>
          <w:spacing w:val="-29"/>
        </w:rPr>
        <w:t xml:space="preserve"> </w:t>
      </w:r>
      <w:r>
        <w:rPr>
          <w:spacing w:val="-4"/>
        </w:rPr>
        <w:t>，</w:t>
      </w:r>
      <w:r>
        <w:rPr>
          <w:rFonts w:ascii="Times New Roman" w:hAnsi="Times New Roman" w:eastAsia="Times New Roman" w:cs="Times New Roman"/>
          <w:spacing w:val="-4"/>
        </w:rPr>
        <w:t xml:space="preserve">220kV </w:t>
      </w:r>
      <w:r>
        <w:rPr>
          <w:spacing w:val="-4"/>
        </w:rPr>
        <w:t>侧采用单母线接线，</w:t>
      </w:r>
      <w:r>
        <w:t xml:space="preserve"> </w:t>
      </w:r>
      <w:r>
        <w:rPr>
          <w:spacing w:val="-1"/>
        </w:rPr>
        <w:t>本期建设</w:t>
      </w:r>
      <w:r>
        <w:rPr>
          <w:spacing w:val="-32"/>
        </w:rPr>
        <w:t xml:space="preserve"> </w:t>
      </w:r>
      <w:r>
        <w:rPr>
          <w:rFonts w:ascii="Times New Roman" w:hAnsi="Times New Roman" w:eastAsia="Times New Roman" w:cs="Times New Roman"/>
          <w:spacing w:val="-1"/>
        </w:rPr>
        <w:t xml:space="preserve">1 </w:t>
      </w:r>
      <w:r>
        <w:rPr>
          <w:spacing w:val="-1"/>
        </w:rPr>
        <w:t>个出线间隔，</w:t>
      </w:r>
      <w:r>
        <w:rPr>
          <w:rFonts w:ascii="Times New Roman" w:hAnsi="Times New Roman" w:eastAsia="Times New Roman" w:cs="Times New Roman"/>
          <w:spacing w:val="-1"/>
        </w:rPr>
        <w:t xml:space="preserve">2 </w:t>
      </w:r>
      <w:r>
        <w:rPr>
          <w:spacing w:val="-1"/>
        </w:rPr>
        <w:t>个主变进线间隔，</w:t>
      </w:r>
      <w:r>
        <w:rPr>
          <w:rFonts w:ascii="Times New Roman" w:hAnsi="Times New Roman" w:eastAsia="Times New Roman" w:cs="Times New Roman"/>
          <w:spacing w:val="-1"/>
        </w:rPr>
        <w:t xml:space="preserve">1 </w:t>
      </w:r>
      <w:r>
        <w:rPr>
          <w:spacing w:val="-1"/>
        </w:rPr>
        <w:t>个母线间隔，同时预留</w:t>
      </w:r>
      <w:r>
        <w:rPr>
          <w:spacing w:val="-31"/>
        </w:rPr>
        <w:t xml:space="preserve"> </w:t>
      </w:r>
      <w:r>
        <w:rPr>
          <w:rFonts w:ascii="Times New Roman" w:hAnsi="Times New Roman" w:eastAsia="Times New Roman" w:cs="Times New Roman"/>
          <w:spacing w:val="-1"/>
        </w:rPr>
        <w:t xml:space="preserve">1 </w:t>
      </w:r>
      <w:r>
        <w:rPr>
          <w:spacing w:val="-1"/>
        </w:rPr>
        <w:t>个</w:t>
      </w:r>
      <w:r>
        <w:rPr>
          <w:spacing w:val="-2"/>
        </w:rPr>
        <w:t>出线</w:t>
      </w:r>
      <w:r>
        <w:t xml:space="preserve"> 间隔安装位置；终期共建设</w:t>
      </w:r>
      <w:r>
        <w:rPr>
          <w:spacing w:val="-55"/>
        </w:rPr>
        <w:t xml:space="preserve"> </w:t>
      </w:r>
      <w:r>
        <w:rPr>
          <w:rFonts w:ascii="Times New Roman" w:hAnsi="Times New Roman" w:eastAsia="Times New Roman" w:cs="Times New Roman"/>
        </w:rPr>
        <w:t xml:space="preserve">2 </w:t>
      </w:r>
      <w:r>
        <w:t>个出线间隔，</w:t>
      </w:r>
      <w:r>
        <w:rPr>
          <w:rFonts w:ascii="Times New Roman" w:hAnsi="Times New Roman" w:eastAsia="Times New Roman" w:cs="Times New Roman"/>
        </w:rPr>
        <w:t xml:space="preserve">2 </w:t>
      </w:r>
      <w:r>
        <w:rPr>
          <w:spacing w:val="-1"/>
        </w:rPr>
        <w:t>个进线间隔，</w:t>
      </w:r>
      <w:r>
        <w:rPr>
          <w:rFonts w:ascii="Times New Roman" w:hAnsi="Times New Roman" w:eastAsia="Times New Roman" w:cs="Times New Roman"/>
          <w:spacing w:val="-1"/>
        </w:rPr>
        <w:t xml:space="preserve">1 </w:t>
      </w:r>
      <w:r>
        <w:rPr>
          <w:spacing w:val="-1"/>
        </w:rPr>
        <w:t>个母线间隔，共计</w:t>
      </w:r>
      <w:r>
        <w:t xml:space="preserve"> </w:t>
      </w:r>
      <w:r>
        <w:rPr>
          <w:rFonts w:ascii="Times New Roman" w:hAnsi="Times New Roman" w:eastAsia="Times New Roman" w:cs="Times New Roman"/>
          <w:spacing w:val="-2"/>
        </w:rPr>
        <w:t xml:space="preserve">5 </w:t>
      </w:r>
      <w:r>
        <w:rPr>
          <w:spacing w:val="-2"/>
        </w:rPr>
        <w:t>个间隔。</w:t>
      </w:r>
      <w:r>
        <w:rPr>
          <w:b/>
          <w:bCs/>
          <w:spacing w:val="-2"/>
        </w:rPr>
        <w:t>本次评价按本期建设内容进行评价。</w:t>
      </w:r>
    </w:p>
    <w:p w14:paraId="7A4E3C5C">
      <w:pPr>
        <w:pStyle w:val="2"/>
        <w:spacing w:before="37" w:line="219" w:lineRule="auto"/>
        <w:ind w:left="183"/>
        <w:outlineLvl w:val="2"/>
      </w:pPr>
      <w:r>
        <w:rPr>
          <w:rFonts w:ascii="Times New Roman" w:hAnsi="Times New Roman" w:eastAsia="Times New Roman" w:cs="Times New Roman"/>
          <w:b/>
          <w:bCs/>
          <w:spacing w:val="-2"/>
        </w:rPr>
        <w:t xml:space="preserve">3.1.4 </w:t>
      </w:r>
      <w:r>
        <w:rPr>
          <w:b/>
          <w:bCs/>
          <w:spacing w:val="-2"/>
        </w:rPr>
        <w:t>项目</w:t>
      </w:r>
      <w:r>
        <w:rPr>
          <w:spacing w:val="-42"/>
        </w:rPr>
        <w:t xml:space="preserve"> </w:t>
      </w:r>
      <w:r>
        <w:rPr>
          <w:rFonts w:ascii="Times New Roman" w:hAnsi="Times New Roman" w:eastAsia="Times New Roman" w:cs="Times New Roman"/>
          <w:b/>
          <w:bCs/>
          <w:spacing w:val="-2"/>
        </w:rPr>
        <w:t xml:space="preserve">35kV </w:t>
      </w:r>
      <w:r>
        <w:rPr>
          <w:b/>
          <w:bCs/>
          <w:spacing w:val="-2"/>
        </w:rPr>
        <w:t>侧接线方式</w:t>
      </w:r>
    </w:p>
    <w:p w14:paraId="7DA0A45D">
      <w:pPr>
        <w:pStyle w:val="2"/>
        <w:spacing w:before="182" w:line="219" w:lineRule="auto"/>
        <w:ind w:left="669"/>
      </w:pPr>
      <w:r>
        <w:rPr>
          <w:rFonts w:ascii="Times New Roman" w:hAnsi="Times New Roman" w:eastAsia="Times New Roman" w:cs="Times New Roman"/>
          <w:spacing w:val="-1"/>
        </w:rPr>
        <w:t xml:space="preserve">35kV </w:t>
      </w:r>
      <w:r>
        <w:rPr>
          <w:spacing w:val="-1"/>
        </w:rPr>
        <w:t xml:space="preserve">侧 </w:t>
      </w:r>
      <w:r>
        <w:rPr>
          <w:rFonts w:ascii="Times New Roman" w:hAnsi="Times New Roman" w:eastAsia="Times New Roman" w:cs="Times New Roman"/>
          <w:spacing w:val="-1"/>
        </w:rPr>
        <w:t xml:space="preserve">I  </w:t>
      </w:r>
      <w:r>
        <w:rPr>
          <w:spacing w:val="-1"/>
        </w:rPr>
        <w:t xml:space="preserve">段与 </w:t>
      </w:r>
      <w:r>
        <w:rPr>
          <w:rFonts w:ascii="Times New Roman" w:hAnsi="Times New Roman" w:eastAsia="Times New Roman" w:cs="Times New Roman"/>
          <w:spacing w:val="-1"/>
        </w:rPr>
        <w:t>II</w:t>
      </w:r>
      <w:r>
        <w:rPr>
          <w:rFonts w:ascii="Times New Roman" w:hAnsi="Times New Roman" w:eastAsia="Times New Roman" w:cs="Times New Roman"/>
          <w:spacing w:val="8"/>
        </w:rPr>
        <w:t xml:space="preserve">  </w:t>
      </w:r>
      <w:r>
        <w:rPr>
          <w:spacing w:val="-1"/>
        </w:rPr>
        <w:t>段母线均采用扩大单元接线。</w:t>
      </w:r>
    </w:p>
    <w:p w14:paraId="050490B7">
      <w:pPr>
        <w:pStyle w:val="2"/>
        <w:spacing w:before="185" w:line="351" w:lineRule="auto"/>
        <w:ind w:left="188" w:right="180" w:firstLine="480"/>
      </w:pPr>
      <w:r>
        <w:rPr>
          <w:rFonts w:ascii="Times New Roman" w:hAnsi="Times New Roman" w:eastAsia="Times New Roman" w:cs="Times New Roman"/>
          <w:spacing w:val="3"/>
        </w:rPr>
        <w:t>35</w:t>
      </w:r>
      <w:r>
        <w:rPr>
          <w:rFonts w:ascii="Times New Roman" w:hAnsi="Times New Roman" w:eastAsia="Times New Roman" w:cs="Times New Roman"/>
        </w:rPr>
        <w:t>kV</w:t>
      </w:r>
      <w:r>
        <w:rPr>
          <w:rFonts w:ascii="Times New Roman" w:hAnsi="Times New Roman" w:eastAsia="Times New Roman" w:cs="Times New Roman"/>
          <w:spacing w:val="3"/>
        </w:rPr>
        <w:t xml:space="preserve"> </w:t>
      </w:r>
      <w:r>
        <w:rPr>
          <w:spacing w:val="3"/>
        </w:rPr>
        <w:t>侧本期设置</w:t>
      </w:r>
      <w:r>
        <w:rPr>
          <w:spacing w:val="-42"/>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8"/>
        </w:rPr>
        <w:t xml:space="preserve"> </w:t>
      </w:r>
      <w:r>
        <w:rPr>
          <w:spacing w:val="3"/>
        </w:rPr>
        <w:t>段单母线，采用户内铠装移开式开关柜。本期在</w:t>
      </w:r>
      <w:r>
        <w:rPr>
          <w:spacing w:val="-46"/>
        </w:rPr>
        <w:t xml:space="preserve"> </w:t>
      </w:r>
      <w:r>
        <w:rPr>
          <w:rFonts w:ascii="Times New Roman" w:hAnsi="Times New Roman" w:eastAsia="Times New Roman" w:cs="Times New Roman"/>
          <w:spacing w:val="3"/>
        </w:rPr>
        <w:t>35</w:t>
      </w:r>
      <w:r>
        <w:rPr>
          <w:rFonts w:ascii="Times New Roman" w:hAnsi="Times New Roman" w:eastAsia="Times New Roman" w:cs="Times New Roman"/>
        </w:rPr>
        <w:t xml:space="preserve">kV </w:t>
      </w:r>
      <w:r>
        <w:rPr>
          <w:spacing w:val="-5"/>
        </w:rPr>
        <w:t>每段母线上设置</w:t>
      </w:r>
      <w:r>
        <w:rPr>
          <w:spacing w:val="-45"/>
        </w:rPr>
        <w:t xml:space="preserve"> </w:t>
      </w:r>
      <w:r>
        <w:rPr>
          <w:rFonts w:ascii="Times New Roman" w:hAnsi="Times New Roman" w:eastAsia="Times New Roman" w:cs="Times New Roman"/>
          <w:spacing w:val="-5"/>
        </w:rPr>
        <w:t xml:space="preserve">SVG </w:t>
      </w:r>
      <w:r>
        <w:rPr>
          <w:spacing w:val="-5"/>
        </w:rPr>
        <w:t>动态补偿装置，共安装</w:t>
      </w:r>
      <w:r>
        <w:rPr>
          <w:spacing w:val="-56"/>
        </w:rPr>
        <w:t xml:space="preserve"> </w:t>
      </w:r>
      <w:r>
        <w:rPr>
          <w:rFonts w:ascii="Times New Roman" w:hAnsi="Times New Roman" w:eastAsia="Times New Roman" w:cs="Times New Roman"/>
          <w:spacing w:val="-5"/>
        </w:rPr>
        <w:t xml:space="preserve">4 </w:t>
      </w:r>
      <w:r>
        <w:rPr>
          <w:spacing w:val="-5"/>
        </w:rPr>
        <w:t>套</w:t>
      </w:r>
      <w:r>
        <w:rPr>
          <w:spacing w:val="-45"/>
        </w:rPr>
        <w:t xml:space="preserve"> </w:t>
      </w:r>
      <w:r>
        <w:rPr>
          <w:rFonts w:ascii="Times New Roman" w:hAnsi="Times New Roman" w:eastAsia="Times New Roman" w:cs="Times New Roman"/>
          <w:spacing w:val="-6"/>
        </w:rPr>
        <w:t xml:space="preserve">SVG </w:t>
      </w:r>
      <w:r>
        <w:rPr>
          <w:spacing w:val="-6"/>
        </w:rPr>
        <w:t>动态补偿装置，最终</w:t>
      </w:r>
      <w:r>
        <w:rPr>
          <w:spacing w:val="-45"/>
        </w:rPr>
        <w:t xml:space="preserve"> </w:t>
      </w:r>
      <w:r>
        <w:rPr>
          <w:rFonts w:ascii="Times New Roman" w:hAnsi="Times New Roman" w:eastAsia="Times New Roman" w:cs="Times New Roman"/>
          <w:spacing w:val="-6"/>
        </w:rPr>
        <w:t>SVG</w:t>
      </w:r>
      <w:r>
        <w:rPr>
          <w:rFonts w:ascii="Times New Roman" w:hAnsi="Times New Roman" w:eastAsia="Times New Roman" w:cs="Times New Roman"/>
        </w:rPr>
        <w:t xml:space="preserve"> </w:t>
      </w:r>
      <w:r>
        <w:rPr>
          <w:spacing w:val="-1"/>
        </w:rPr>
        <w:t>安装容量以接入系统批复为准。</w:t>
      </w:r>
    </w:p>
    <w:p w14:paraId="4C494F00">
      <w:pPr>
        <w:spacing w:line="351" w:lineRule="auto"/>
        <w:sectPr>
          <w:footerReference r:id="rId185" w:type="default"/>
          <w:pgSz w:w="11906" w:h="16839"/>
          <w:pgMar w:top="1431" w:right="1620" w:bottom="1175" w:left="1620" w:header="0" w:footer="987" w:gutter="0"/>
          <w:cols w:space="720" w:num="1"/>
        </w:sectPr>
      </w:pPr>
    </w:p>
    <w:p w14:paraId="307E629C">
      <w:pPr>
        <w:pStyle w:val="2"/>
        <w:spacing w:before="122" w:line="219" w:lineRule="auto"/>
        <w:ind w:right="23"/>
        <w:jc w:val="right"/>
      </w:pPr>
      <w:r>
        <w:rPr>
          <w:spacing w:val="-1"/>
        </w:rPr>
        <w:t>升压站</w:t>
      </w:r>
      <w:r>
        <w:rPr>
          <w:spacing w:val="-39"/>
        </w:rPr>
        <w:t xml:space="preserve"> </w:t>
      </w:r>
      <w:r>
        <w:rPr>
          <w:rFonts w:ascii="Times New Roman" w:hAnsi="Times New Roman" w:eastAsia="Times New Roman" w:cs="Times New Roman"/>
          <w:spacing w:val="-1"/>
        </w:rPr>
        <w:t xml:space="preserve">35kV </w:t>
      </w:r>
      <w:r>
        <w:rPr>
          <w:spacing w:val="-1"/>
        </w:rPr>
        <w:t>侧本期建成</w:t>
      </w:r>
      <w:r>
        <w:rPr>
          <w:spacing w:val="-56"/>
        </w:rPr>
        <w:t xml:space="preserve"> </w:t>
      </w:r>
      <w:r>
        <w:rPr>
          <w:rFonts w:ascii="Times New Roman" w:hAnsi="Times New Roman" w:eastAsia="Times New Roman" w:cs="Times New Roman"/>
          <w:spacing w:val="-1"/>
        </w:rPr>
        <w:t xml:space="preserve">4 </w:t>
      </w:r>
      <w:r>
        <w:rPr>
          <w:spacing w:val="-1"/>
        </w:rPr>
        <w:t>个主变进线间隔、</w:t>
      </w:r>
      <w:r>
        <w:rPr>
          <w:rFonts w:ascii="Times New Roman" w:hAnsi="Times New Roman" w:eastAsia="Times New Roman" w:cs="Times New Roman"/>
          <w:spacing w:val="-1"/>
        </w:rPr>
        <w:t xml:space="preserve">17 </w:t>
      </w:r>
      <w:r>
        <w:rPr>
          <w:spacing w:val="-1"/>
        </w:rPr>
        <w:t>个光伏场区集电线路间隔、</w:t>
      </w:r>
    </w:p>
    <w:p w14:paraId="5C9E58E3">
      <w:pPr>
        <w:pStyle w:val="2"/>
        <w:spacing w:before="184" w:line="219" w:lineRule="auto"/>
        <w:ind w:left="116"/>
      </w:pPr>
      <w:r>
        <w:rPr>
          <w:rFonts w:ascii="Times New Roman" w:hAnsi="Times New Roman" w:eastAsia="Times New Roman" w:cs="Times New Roman"/>
          <w:spacing w:val="4"/>
        </w:rPr>
        <w:t xml:space="preserve">2 </w:t>
      </w:r>
      <w:r>
        <w:rPr>
          <w:spacing w:val="4"/>
        </w:rPr>
        <w:t>个母线设备间隔、</w:t>
      </w:r>
      <w:r>
        <w:rPr>
          <w:rFonts w:ascii="Times New Roman" w:hAnsi="Times New Roman" w:eastAsia="Times New Roman" w:cs="Times New Roman"/>
          <w:spacing w:val="4"/>
        </w:rPr>
        <w:t xml:space="preserve">4 </w:t>
      </w:r>
      <w:r>
        <w:rPr>
          <w:spacing w:val="4"/>
        </w:rPr>
        <w:t>个无功补偿间隔、</w:t>
      </w:r>
      <w:r>
        <w:rPr>
          <w:rFonts w:ascii="Times New Roman" w:hAnsi="Times New Roman" w:eastAsia="Times New Roman" w:cs="Times New Roman"/>
          <w:spacing w:val="4"/>
        </w:rPr>
        <w:t xml:space="preserve">2 </w:t>
      </w:r>
      <w:r>
        <w:rPr>
          <w:spacing w:val="4"/>
        </w:rPr>
        <w:t>个接地变间隔、</w:t>
      </w:r>
      <w:r>
        <w:rPr>
          <w:rFonts w:ascii="Times New Roman" w:hAnsi="Times New Roman" w:eastAsia="Times New Roman" w:cs="Times New Roman"/>
          <w:spacing w:val="3"/>
        </w:rPr>
        <w:t xml:space="preserve">2 </w:t>
      </w:r>
      <w:r>
        <w:rPr>
          <w:spacing w:val="3"/>
        </w:rPr>
        <w:t>个站用变间隔，共</w:t>
      </w:r>
    </w:p>
    <w:p w14:paraId="593CA877">
      <w:pPr>
        <w:pStyle w:val="2"/>
        <w:spacing w:before="183" w:line="219" w:lineRule="auto"/>
        <w:ind w:left="121"/>
      </w:pPr>
      <w:r>
        <w:rPr>
          <w:rFonts w:ascii="Times New Roman" w:hAnsi="Times New Roman" w:eastAsia="Times New Roman" w:cs="Times New Roman"/>
          <w:spacing w:val="-2"/>
        </w:rPr>
        <w:t xml:space="preserve">31 </w:t>
      </w:r>
      <w:r>
        <w:rPr>
          <w:spacing w:val="-2"/>
        </w:rPr>
        <w:t>个</w:t>
      </w:r>
      <w:r>
        <w:rPr>
          <w:spacing w:val="-44"/>
        </w:rPr>
        <w:t xml:space="preserve"> </w:t>
      </w:r>
      <w:r>
        <w:rPr>
          <w:rFonts w:ascii="Times New Roman" w:hAnsi="Times New Roman" w:eastAsia="Times New Roman" w:cs="Times New Roman"/>
          <w:spacing w:val="-2"/>
        </w:rPr>
        <w:t xml:space="preserve">35kV </w:t>
      </w:r>
      <w:r>
        <w:rPr>
          <w:spacing w:val="-2"/>
        </w:rPr>
        <w:t>配电间隔。</w:t>
      </w:r>
    </w:p>
    <w:p w14:paraId="752BFCE3">
      <w:pPr>
        <w:pStyle w:val="2"/>
        <w:spacing w:before="182" w:line="220" w:lineRule="auto"/>
        <w:ind w:left="115"/>
        <w:outlineLvl w:val="2"/>
      </w:pPr>
      <w:r>
        <w:rPr>
          <w:rFonts w:ascii="Times New Roman" w:hAnsi="Times New Roman" w:eastAsia="Times New Roman" w:cs="Times New Roman"/>
          <w:b/>
          <w:bCs/>
          <w:spacing w:val="1"/>
        </w:rPr>
        <w:t xml:space="preserve">3.1.5 </w:t>
      </w:r>
      <w:r>
        <w:rPr>
          <w:b/>
          <w:bCs/>
          <w:spacing w:val="1"/>
        </w:rPr>
        <w:t>项目</w:t>
      </w:r>
      <w:r>
        <w:rPr>
          <w:rFonts w:ascii="Times New Roman" w:hAnsi="Times New Roman" w:eastAsia="Times New Roman" w:cs="Times New Roman"/>
          <w:b/>
          <w:bCs/>
          <w:spacing w:val="1"/>
        </w:rPr>
        <w:t>220</w:t>
      </w:r>
      <w:r>
        <w:rPr>
          <w:rFonts w:ascii="Times New Roman" w:hAnsi="Times New Roman" w:eastAsia="Times New Roman" w:cs="Times New Roman"/>
          <w:b/>
          <w:bCs/>
        </w:rPr>
        <w:t>kV</w:t>
      </w:r>
      <w:r>
        <w:rPr>
          <w:rFonts w:ascii="Times New Roman" w:hAnsi="Times New Roman" w:eastAsia="Times New Roman" w:cs="Times New Roman"/>
          <w:b/>
          <w:bCs/>
          <w:spacing w:val="1"/>
        </w:rPr>
        <w:t xml:space="preserve"> </w:t>
      </w:r>
      <w:r>
        <w:rPr>
          <w:b/>
          <w:bCs/>
          <w:spacing w:val="1"/>
        </w:rPr>
        <w:t>升压变电站型式选择</w:t>
      </w:r>
    </w:p>
    <w:p w14:paraId="034A7A05">
      <w:pPr>
        <w:pStyle w:val="2"/>
        <w:spacing w:before="182" w:line="346" w:lineRule="auto"/>
        <w:ind w:left="123" w:right="110" w:firstLine="473"/>
      </w:pPr>
      <w:r>
        <w:rPr>
          <w:rFonts w:ascii="Times New Roman" w:hAnsi="Times New Roman" w:eastAsia="Times New Roman" w:cs="Times New Roman"/>
          <w:spacing w:val="-3"/>
        </w:rPr>
        <w:t xml:space="preserve">220kV </w:t>
      </w:r>
      <w:r>
        <w:rPr>
          <w:spacing w:val="-3"/>
        </w:rPr>
        <w:t>配电装置采用具有供电可靠性高、检修周期长、安全性能高、运行费</w:t>
      </w:r>
      <w:r>
        <w:rPr>
          <w:spacing w:val="15"/>
        </w:rPr>
        <w:t xml:space="preserve"> </w:t>
      </w:r>
      <w:r>
        <w:rPr>
          <w:spacing w:val="-1"/>
        </w:rPr>
        <w:t>用低、</w:t>
      </w:r>
      <w:r>
        <w:rPr>
          <w:spacing w:val="-64"/>
        </w:rPr>
        <w:t xml:space="preserve"> </w:t>
      </w:r>
      <w:r>
        <w:rPr>
          <w:spacing w:val="-1"/>
        </w:rPr>
        <w:t>占地面积少的</w:t>
      </w:r>
      <w:r>
        <w:rPr>
          <w:spacing w:val="-45"/>
        </w:rPr>
        <w:t xml:space="preserve"> </w:t>
      </w:r>
      <w:r>
        <w:rPr>
          <w:rFonts w:ascii="Times New Roman" w:hAnsi="Times New Roman" w:eastAsia="Times New Roman" w:cs="Times New Roman"/>
          <w:spacing w:val="-1"/>
        </w:rPr>
        <w:t xml:space="preserve">SF6 </w:t>
      </w:r>
      <w:r>
        <w:rPr>
          <w:spacing w:val="-1"/>
        </w:rPr>
        <w:t>全封闭组合电器（简称</w:t>
      </w:r>
      <w:r>
        <w:rPr>
          <w:rFonts w:ascii="Times New Roman" w:hAnsi="Times New Roman" w:eastAsia="Times New Roman" w:cs="Times New Roman"/>
          <w:spacing w:val="-1"/>
        </w:rPr>
        <w:t>GIS</w:t>
      </w:r>
      <w:r>
        <w:rPr>
          <w:spacing w:val="-1"/>
        </w:rPr>
        <w:t>）。</w:t>
      </w:r>
    </w:p>
    <w:p w14:paraId="74915E2B">
      <w:pPr>
        <w:pStyle w:val="2"/>
        <w:spacing w:before="35" w:line="219" w:lineRule="auto"/>
        <w:ind w:left="115"/>
        <w:outlineLvl w:val="2"/>
      </w:pPr>
      <w:r>
        <w:rPr>
          <w:rFonts w:ascii="Times New Roman" w:hAnsi="Times New Roman" w:eastAsia="Times New Roman" w:cs="Times New Roman"/>
          <w:b/>
          <w:bCs/>
          <w:spacing w:val="-2"/>
        </w:rPr>
        <w:t xml:space="preserve">3.1.6 </w:t>
      </w:r>
      <w:r>
        <w:rPr>
          <w:b/>
          <w:bCs/>
          <w:spacing w:val="-2"/>
        </w:rPr>
        <w:t>项目主要设备和材料</w:t>
      </w:r>
    </w:p>
    <w:p w14:paraId="726A3DCC">
      <w:pPr>
        <w:pStyle w:val="2"/>
        <w:spacing w:before="107" w:line="219" w:lineRule="auto"/>
        <w:ind w:left="125"/>
      </w:pPr>
      <w:r>
        <w:rPr>
          <w:spacing w:val="-2"/>
        </w:rPr>
        <w:t>项目主要设备和材料见下表</w:t>
      </w:r>
      <w:r>
        <w:rPr>
          <w:spacing w:val="-43"/>
        </w:rPr>
        <w:t xml:space="preserve"> </w:t>
      </w:r>
      <w:r>
        <w:rPr>
          <w:rFonts w:ascii="Times New Roman" w:hAnsi="Times New Roman" w:eastAsia="Times New Roman" w:cs="Times New Roman"/>
          <w:spacing w:val="-2"/>
        </w:rPr>
        <w:t>3-2</w:t>
      </w:r>
      <w:r>
        <w:rPr>
          <w:spacing w:val="-2"/>
        </w:rPr>
        <w:t>。</w:t>
      </w:r>
    </w:p>
    <w:p w14:paraId="47C0C0D1">
      <w:pPr>
        <w:pStyle w:val="2"/>
        <w:spacing w:before="42" w:line="227" w:lineRule="auto"/>
        <w:ind w:left="2840"/>
        <w:rPr>
          <w:sz w:val="20"/>
          <w:szCs w:val="20"/>
        </w:rPr>
      </w:pPr>
      <w:r>
        <w:rPr>
          <w:b/>
          <w:bCs/>
          <w:spacing w:val="5"/>
          <w:sz w:val="20"/>
          <w:szCs w:val="20"/>
        </w:rPr>
        <w:t>表</w:t>
      </w:r>
      <w:r>
        <w:rPr>
          <w:spacing w:val="-28"/>
          <w:sz w:val="20"/>
          <w:szCs w:val="20"/>
        </w:rPr>
        <w:t xml:space="preserve"> </w:t>
      </w:r>
      <w:r>
        <w:rPr>
          <w:rFonts w:ascii="Times New Roman" w:hAnsi="Times New Roman" w:eastAsia="Times New Roman" w:cs="Times New Roman"/>
          <w:b/>
          <w:bCs/>
          <w:spacing w:val="5"/>
          <w:sz w:val="20"/>
          <w:szCs w:val="20"/>
        </w:rPr>
        <w:t xml:space="preserve">3-2    </w:t>
      </w:r>
      <w:r>
        <w:rPr>
          <w:b/>
          <w:bCs/>
          <w:spacing w:val="5"/>
          <w:sz w:val="20"/>
          <w:szCs w:val="20"/>
        </w:rPr>
        <w:t>项目主要设备和材料表</w:t>
      </w:r>
    </w:p>
    <w:p w14:paraId="0DABFB1C">
      <w:pPr>
        <w:spacing w:line="14" w:lineRule="exact"/>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643"/>
        <w:gridCol w:w="4872"/>
        <w:gridCol w:w="559"/>
        <w:gridCol w:w="866"/>
      </w:tblGrid>
      <w:tr w14:paraId="67883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extDirection w:val="tbRlV"/>
            <w:vAlign w:val="top"/>
          </w:tcPr>
          <w:p w14:paraId="7094795D">
            <w:pPr>
              <w:pStyle w:val="6"/>
              <w:spacing w:before="185" w:line="218" w:lineRule="auto"/>
              <w:ind w:left="56"/>
              <w:rPr>
                <w:sz w:val="20"/>
                <w:szCs w:val="20"/>
              </w:rPr>
            </w:pPr>
            <w:r>
              <w:rPr>
                <w:b/>
                <w:bCs/>
                <w:spacing w:val="5"/>
                <w:sz w:val="20"/>
                <w:szCs w:val="20"/>
              </w:rPr>
              <w:t>序</w:t>
            </w:r>
            <w:r>
              <w:rPr>
                <w:spacing w:val="5"/>
                <w:sz w:val="20"/>
                <w:szCs w:val="20"/>
              </w:rPr>
              <w:t xml:space="preserve"> </w:t>
            </w:r>
            <w:r>
              <w:rPr>
                <w:b/>
                <w:bCs/>
                <w:spacing w:val="5"/>
                <w:sz w:val="20"/>
                <w:szCs w:val="20"/>
              </w:rPr>
              <w:t>号</w:t>
            </w:r>
          </w:p>
        </w:tc>
        <w:tc>
          <w:tcPr>
            <w:tcW w:w="1643" w:type="dxa"/>
            <w:vAlign w:val="top"/>
          </w:tcPr>
          <w:p w14:paraId="01B5DE0E">
            <w:pPr>
              <w:pStyle w:val="6"/>
              <w:spacing w:before="212" w:line="230" w:lineRule="auto"/>
              <w:ind w:left="616"/>
              <w:rPr>
                <w:sz w:val="20"/>
                <w:szCs w:val="20"/>
              </w:rPr>
            </w:pPr>
            <w:r>
              <w:rPr>
                <w:b/>
                <w:bCs/>
                <w:spacing w:val="2"/>
                <w:sz w:val="20"/>
                <w:szCs w:val="20"/>
              </w:rPr>
              <w:t>名称</w:t>
            </w:r>
          </w:p>
        </w:tc>
        <w:tc>
          <w:tcPr>
            <w:tcW w:w="4872" w:type="dxa"/>
            <w:vAlign w:val="top"/>
          </w:tcPr>
          <w:p w14:paraId="7E7AF902">
            <w:pPr>
              <w:pStyle w:val="6"/>
              <w:spacing w:before="212" w:line="228" w:lineRule="auto"/>
              <w:ind w:left="1920"/>
              <w:rPr>
                <w:sz w:val="20"/>
                <w:szCs w:val="20"/>
              </w:rPr>
            </w:pPr>
            <w:r>
              <w:rPr>
                <w:b/>
                <w:bCs/>
                <w:spacing w:val="5"/>
                <w:sz w:val="20"/>
                <w:szCs w:val="20"/>
              </w:rPr>
              <w:t>型号及规格</w:t>
            </w:r>
          </w:p>
        </w:tc>
        <w:tc>
          <w:tcPr>
            <w:tcW w:w="559" w:type="dxa"/>
            <w:textDirection w:val="tbRlV"/>
            <w:vAlign w:val="top"/>
          </w:tcPr>
          <w:p w14:paraId="29E6D21A">
            <w:pPr>
              <w:pStyle w:val="6"/>
              <w:spacing w:before="172" w:line="216" w:lineRule="auto"/>
              <w:ind w:left="56"/>
              <w:rPr>
                <w:sz w:val="20"/>
                <w:szCs w:val="20"/>
              </w:rPr>
            </w:pPr>
            <w:r>
              <w:rPr>
                <w:b/>
                <w:bCs/>
                <w:spacing w:val="5"/>
                <w:sz w:val="20"/>
                <w:szCs w:val="20"/>
              </w:rPr>
              <w:t>单</w:t>
            </w:r>
            <w:r>
              <w:rPr>
                <w:spacing w:val="5"/>
                <w:sz w:val="20"/>
                <w:szCs w:val="20"/>
              </w:rPr>
              <w:t xml:space="preserve"> </w:t>
            </w:r>
            <w:r>
              <w:rPr>
                <w:b/>
                <w:bCs/>
                <w:spacing w:val="5"/>
                <w:sz w:val="20"/>
                <w:szCs w:val="20"/>
              </w:rPr>
              <w:t>位</w:t>
            </w:r>
          </w:p>
        </w:tc>
        <w:tc>
          <w:tcPr>
            <w:tcW w:w="866" w:type="dxa"/>
            <w:vAlign w:val="top"/>
          </w:tcPr>
          <w:p w14:paraId="5972D6C1">
            <w:pPr>
              <w:pStyle w:val="6"/>
              <w:spacing w:before="212" w:line="228" w:lineRule="auto"/>
              <w:ind w:left="228"/>
              <w:rPr>
                <w:sz w:val="20"/>
                <w:szCs w:val="20"/>
              </w:rPr>
            </w:pPr>
            <w:r>
              <w:rPr>
                <w:b/>
                <w:bCs/>
                <w:spacing w:val="3"/>
                <w:sz w:val="20"/>
                <w:szCs w:val="20"/>
              </w:rPr>
              <w:t>数量</w:t>
            </w:r>
          </w:p>
        </w:tc>
      </w:tr>
      <w:tr w14:paraId="47370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23" w:type="dxa"/>
            <w:gridSpan w:val="5"/>
            <w:vAlign w:val="top"/>
          </w:tcPr>
          <w:p w14:paraId="520FE664">
            <w:pPr>
              <w:pStyle w:val="6"/>
              <w:spacing w:before="52" w:line="229" w:lineRule="auto"/>
              <w:ind w:left="3954"/>
              <w:rPr>
                <w:sz w:val="20"/>
                <w:szCs w:val="20"/>
              </w:rPr>
            </w:pPr>
            <w:r>
              <w:rPr>
                <w:spacing w:val="6"/>
                <w:sz w:val="20"/>
                <w:szCs w:val="20"/>
              </w:rPr>
              <w:t>升压站</w:t>
            </w:r>
          </w:p>
        </w:tc>
      </w:tr>
      <w:tr w14:paraId="76048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vAlign w:val="top"/>
          </w:tcPr>
          <w:p w14:paraId="0911BB86">
            <w:pPr>
              <w:spacing w:before="8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515" w:type="dxa"/>
            <w:gridSpan w:val="2"/>
            <w:vAlign w:val="top"/>
          </w:tcPr>
          <w:p w14:paraId="7403543F">
            <w:pPr>
              <w:pStyle w:val="6"/>
              <w:spacing w:before="52" w:line="228" w:lineRule="auto"/>
              <w:ind w:left="2528"/>
              <w:rPr>
                <w:sz w:val="20"/>
                <w:szCs w:val="20"/>
              </w:rPr>
            </w:pPr>
            <w:r>
              <w:rPr>
                <w:rFonts w:ascii="Times New Roman" w:hAnsi="Times New Roman" w:eastAsia="Times New Roman" w:cs="Times New Roman"/>
                <w:spacing w:val="7"/>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7"/>
                <w:sz w:val="20"/>
                <w:szCs w:val="20"/>
              </w:rPr>
              <w:t xml:space="preserve"> </w:t>
            </w:r>
            <w:r>
              <w:rPr>
                <w:spacing w:val="7"/>
                <w:sz w:val="20"/>
                <w:szCs w:val="20"/>
              </w:rPr>
              <w:t>配电装置</w:t>
            </w:r>
          </w:p>
        </w:tc>
        <w:tc>
          <w:tcPr>
            <w:tcW w:w="559" w:type="dxa"/>
            <w:vAlign w:val="top"/>
          </w:tcPr>
          <w:p w14:paraId="33340665">
            <w:pPr>
              <w:rPr>
                <w:rFonts w:ascii="Arial"/>
                <w:sz w:val="21"/>
              </w:rPr>
            </w:pPr>
          </w:p>
        </w:tc>
        <w:tc>
          <w:tcPr>
            <w:tcW w:w="866" w:type="dxa"/>
            <w:vAlign w:val="top"/>
          </w:tcPr>
          <w:p w14:paraId="57CBB8D9">
            <w:pPr>
              <w:rPr>
                <w:rFonts w:ascii="Arial"/>
                <w:sz w:val="21"/>
              </w:rPr>
            </w:pPr>
          </w:p>
        </w:tc>
      </w:tr>
      <w:tr w14:paraId="19487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Align w:val="top"/>
          </w:tcPr>
          <w:p w14:paraId="6AB1446A">
            <w:pPr>
              <w:spacing w:before="24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w:t>
            </w:r>
          </w:p>
        </w:tc>
        <w:tc>
          <w:tcPr>
            <w:tcW w:w="6515" w:type="dxa"/>
            <w:gridSpan w:val="2"/>
            <w:vAlign w:val="top"/>
          </w:tcPr>
          <w:p w14:paraId="419A2928">
            <w:pPr>
              <w:pStyle w:val="6"/>
              <w:spacing w:before="206" w:line="221" w:lineRule="auto"/>
              <w:ind w:left="101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户外</w:t>
            </w:r>
            <w:r>
              <w:rPr>
                <w:spacing w:val="-30"/>
                <w:sz w:val="20"/>
                <w:szCs w:val="20"/>
              </w:rPr>
              <w:t xml:space="preserve"> </w:t>
            </w:r>
            <w:r>
              <w:rPr>
                <w:rFonts w:ascii="Times New Roman" w:hAnsi="Times New Roman" w:eastAsia="Times New Roman" w:cs="Times New Roman"/>
                <w:sz w:val="20"/>
                <w:szCs w:val="20"/>
              </w:rPr>
              <w:t>GIS</w:t>
            </w:r>
            <w:r>
              <w:rPr>
                <w:rFonts w:ascii="Times New Roman" w:hAnsi="Times New Roman" w:eastAsia="Times New Roman" w:cs="Times New Roman"/>
                <w:spacing w:val="6"/>
                <w:sz w:val="20"/>
                <w:szCs w:val="20"/>
              </w:rPr>
              <w:t xml:space="preserve"> </w:t>
            </w:r>
            <w:r>
              <w:rPr>
                <w:spacing w:val="6"/>
                <w:sz w:val="20"/>
                <w:szCs w:val="20"/>
              </w:rPr>
              <w:t>主变进线间隔</w:t>
            </w:r>
            <w:r>
              <w:rPr>
                <w:spacing w:val="-41"/>
                <w:sz w:val="20"/>
                <w:szCs w:val="20"/>
              </w:rPr>
              <w:t xml:space="preserve"> </w:t>
            </w:r>
            <w:r>
              <w:rPr>
                <w:rFonts w:ascii="Times New Roman" w:hAnsi="Times New Roman" w:eastAsia="Times New Roman" w:cs="Times New Roman"/>
                <w:spacing w:val="6"/>
                <w:sz w:val="20"/>
                <w:szCs w:val="20"/>
              </w:rPr>
              <w:t>252</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,2000A,50</w:t>
            </w:r>
            <w:r>
              <w:rPr>
                <w:rFonts w:ascii="Times New Roman" w:hAnsi="Times New Roman" w:eastAsia="Times New Roman" w:cs="Times New Roman"/>
                <w:sz w:val="20"/>
                <w:szCs w:val="20"/>
              </w:rPr>
              <w:t>kA</w:t>
            </w:r>
          </w:p>
        </w:tc>
        <w:tc>
          <w:tcPr>
            <w:tcW w:w="559" w:type="dxa"/>
            <w:textDirection w:val="tbRlV"/>
            <w:vAlign w:val="top"/>
          </w:tcPr>
          <w:p w14:paraId="13992341">
            <w:pPr>
              <w:pStyle w:val="6"/>
              <w:spacing w:before="172" w:line="206" w:lineRule="auto"/>
              <w:ind w:left="51"/>
              <w:rPr>
                <w:sz w:val="20"/>
                <w:szCs w:val="20"/>
              </w:rPr>
            </w:pPr>
            <w:r>
              <w:rPr>
                <w:spacing w:val="6"/>
                <w:sz w:val="20"/>
                <w:szCs w:val="20"/>
              </w:rPr>
              <w:t>间 隔</w:t>
            </w:r>
          </w:p>
        </w:tc>
        <w:tc>
          <w:tcPr>
            <w:tcW w:w="866" w:type="dxa"/>
            <w:vAlign w:val="top"/>
          </w:tcPr>
          <w:p w14:paraId="44428604">
            <w:pPr>
              <w:spacing w:before="243"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08F2F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Align w:val="top"/>
          </w:tcPr>
          <w:p w14:paraId="78A4521E">
            <w:pPr>
              <w:spacing w:before="24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6515" w:type="dxa"/>
            <w:gridSpan w:val="2"/>
            <w:vAlign w:val="top"/>
          </w:tcPr>
          <w:p w14:paraId="7BEDF620">
            <w:pPr>
              <w:pStyle w:val="6"/>
              <w:spacing w:before="209" w:line="221" w:lineRule="auto"/>
              <w:ind w:left="101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户外</w:t>
            </w:r>
            <w:r>
              <w:rPr>
                <w:spacing w:val="-30"/>
                <w:sz w:val="20"/>
                <w:szCs w:val="20"/>
              </w:rPr>
              <w:t xml:space="preserve"> </w:t>
            </w:r>
            <w:r>
              <w:rPr>
                <w:rFonts w:ascii="Times New Roman" w:hAnsi="Times New Roman" w:eastAsia="Times New Roman" w:cs="Times New Roman"/>
                <w:sz w:val="20"/>
                <w:szCs w:val="20"/>
              </w:rPr>
              <w:t>GIS</w:t>
            </w:r>
            <w:r>
              <w:rPr>
                <w:rFonts w:ascii="Times New Roman" w:hAnsi="Times New Roman" w:eastAsia="Times New Roman" w:cs="Times New Roman"/>
                <w:spacing w:val="6"/>
                <w:sz w:val="20"/>
                <w:szCs w:val="20"/>
              </w:rPr>
              <w:t xml:space="preserve"> </w:t>
            </w:r>
            <w:r>
              <w:rPr>
                <w:spacing w:val="6"/>
                <w:sz w:val="20"/>
                <w:szCs w:val="20"/>
              </w:rPr>
              <w:t>主变出线间隔</w:t>
            </w:r>
            <w:r>
              <w:rPr>
                <w:spacing w:val="-41"/>
                <w:sz w:val="20"/>
                <w:szCs w:val="20"/>
              </w:rPr>
              <w:t xml:space="preserve"> </w:t>
            </w:r>
            <w:r>
              <w:rPr>
                <w:rFonts w:ascii="Times New Roman" w:hAnsi="Times New Roman" w:eastAsia="Times New Roman" w:cs="Times New Roman"/>
                <w:spacing w:val="6"/>
                <w:sz w:val="20"/>
                <w:szCs w:val="20"/>
              </w:rPr>
              <w:t>252</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,3150A,50</w:t>
            </w:r>
            <w:r>
              <w:rPr>
                <w:rFonts w:ascii="Times New Roman" w:hAnsi="Times New Roman" w:eastAsia="Times New Roman" w:cs="Times New Roman"/>
                <w:sz w:val="20"/>
                <w:szCs w:val="20"/>
              </w:rPr>
              <w:t>kA</w:t>
            </w:r>
          </w:p>
        </w:tc>
        <w:tc>
          <w:tcPr>
            <w:tcW w:w="559" w:type="dxa"/>
            <w:textDirection w:val="tbRlV"/>
            <w:vAlign w:val="top"/>
          </w:tcPr>
          <w:p w14:paraId="133ADD5F">
            <w:pPr>
              <w:pStyle w:val="6"/>
              <w:spacing w:before="172" w:line="206" w:lineRule="auto"/>
              <w:ind w:left="54"/>
              <w:rPr>
                <w:sz w:val="20"/>
                <w:szCs w:val="20"/>
              </w:rPr>
            </w:pPr>
            <w:r>
              <w:rPr>
                <w:spacing w:val="6"/>
                <w:sz w:val="20"/>
                <w:szCs w:val="20"/>
              </w:rPr>
              <w:t>间 隔</w:t>
            </w:r>
          </w:p>
        </w:tc>
        <w:tc>
          <w:tcPr>
            <w:tcW w:w="866" w:type="dxa"/>
            <w:vAlign w:val="top"/>
          </w:tcPr>
          <w:p w14:paraId="3AA7F307">
            <w:pPr>
              <w:spacing w:before="246"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34DE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83" w:type="dxa"/>
            <w:vAlign w:val="top"/>
          </w:tcPr>
          <w:p w14:paraId="1190A577">
            <w:pPr>
              <w:spacing w:before="24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6515" w:type="dxa"/>
            <w:gridSpan w:val="2"/>
            <w:vAlign w:val="top"/>
          </w:tcPr>
          <w:p w14:paraId="3D26418D">
            <w:pPr>
              <w:pStyle w:val="6"/>
              <w:spacing w:before="210" w:line="221" w:lineRule="auto"/>
              <w:ind w:left="101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户外</w:t>
            </w:r>
            <w:r>
              <w:rPr>
                <w:spacing w:val="-30"/>
                <w:sz w:val="20"/>
                <w:szCs w:val="20"/>
              </w:rPr>
              <w:t xml:space="preserve"> </w:t>
            </w:r>
            <w:r>
              <w:rPr>
                <w:rFonts w:ascii="Times New Roman" w:hAnsi="Times New Roman" w:eastAsia="Times New Roman" w:cs="Times New Roman"/>
                <w:sz w:val="20"/>
                <w:szCs w:val="20"/>
              </w:rPr>
              <w:t>GIS</w:t>
            </w:r>
            <w:r>
              <w:rPr>
                <w:rFonts w:ascii="Times New Roman" w:hAnsi="Times New Roman" w:eastAsia="Times New Roman" w:cs="Times New Roman"/>
                <w:spacing w:val="6"/>
                <w:sz w:val="20"/>
                <w:szCs w:val="20"/>
              </w:rPr>
              <w:t xml:space="preserve"> </w:t>
            </w:r>
            <w:r>
              <w:rPr>
                <w:spacing w:val="6"/>
                <w:sz w:val="20"/>
                <w:szCs w:val="20"/>
              </w:rPr>
              <w:t>母线设备间隔</w:t>
            </w:r>
            <w:r>
              <w:rPr>
                <w:spacing w:val="-41"/>
                <w:sz w:val="20"/>
                <w:szCs w:val="20"/>
              </w:rPr>
              <w:t xml:space="preserve"> </w:t>
            </w:r>
            <w:r>
              <w:rPr>
                <w:rFonts w:ascii="Times New Roman" w:hAnsi="Times New Roman" w:eastAsia="Times New Roman" w:cs="Times New Roman"/>
                <w:spacing w:val="6"/>
                <w:sz w:val="20"/>
                <w:szCs w:val="20"/>
              </w:rPr>
              <w:t>252</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,3150A,50</w:t>
            </w:r>
            <w:r>
              <w:rPr>
                <w:rFonts w:ascii="Times New Roman" w:hAnsi="Times New Roman" w:eastAsia="Times New Roman" w:cs="Times New Roman"/>
                <w:sz w:val="20"/>
                <w:szCs w:val="20"/>
              </w:rPr>
              <w:t>kA</w:t>
            </w:r>
          </w:p>
        </w:tc>
        <w:tc>
          <w:tcPr>
            <w:tcW w:w="559" w:type="dxa"/>
            <w:textDirection w:val="tbRlV"/>
            <w:vAlign w:val="top"/>
          </w:tcPr>
          <w:p w14:paraId="1DF3DFE5">
            <w:pPr>
              <w:pStyle w:val="6"/>
              <w:spacing w:before="172" w:line="206" w:lineRule="auto"/>
              <w:ind w:left="54"/>
              <w:rPr>
                <w:sz w:val="20"/>
                <w:szCs w:val="20"/>
              </w:rPr>
            </w:pPr>
            <w:r>
              <w:rPr>
                <w:spacing w:val="6"/>
                <w:sz w:val="20"/>
                <w:szCs w:val="20"/>
              </w:rPr>
              <w:t>间 隔</w:t>
            </w:r>
          </w:p>
        </w:tc>
        <w:tc>
          <w:tcPr>
            <w:tcW w:w="866" w:type="dxa"/>
            <w:vAlign w:val="top"/>
          </w:tcPr>
          <w:p w14:paraId="1CA10427">
            <w:pPr>
              <w:spacing w:before="246"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5908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vAlign w:val="top"/>
          </w:tcPr>
          <w:p w14:paraId="444D9FC7">
            <w:pPr>
              <w:spacing w:before="9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6515" w:type="dxa"/>
            <w:gridSpan w:val="2"/>
            <w:vAlign w:val="top"/>
          </w:tcPr>
          <w:p w14:paraId="4FE21F38">
            <w:pPr>
              <w:pStyle w:val="6"/>
              <w:spacing w:before="54" w:line="227" w:lineRule="auto"/>
              <w:ind w:left="106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35"/>
                <w:w w:val="101"/>
                <w:sz w:val="20"/>
                <w:szCs w:val="20"/>
              </w:rPr>
              <w:t xml:space="preserve"> </w:t>
            </w:r>
            <w:r>
              <w:rPr>
                <w:spacing w:val="6"/>
                <w:sz w:val="20"/>
                <w:szCs w:val="20"/>
              </w:rPr>
              <w:t>出线线路氧化锌避雷器</w:t>
            </w:r>
            <w:r>
              <w:rPr>
                <w:spacing w:val="-46"/>
                <w:sz w:val="20"/>
                <w:szCs w:val="20"/>
              </w:rPr>
              <w:t xml:space="preserve"> </w:t>
            </w:r>
            <w:r>
              <w:rPr>
                <w:rFonts w:ascii="Times New Roman" w:hAnsi="Times New Roman" w:eastAsia="Times New Roman" w:cs="Times New Roman"/>
                <w:spacing w:val="6"/>
                <w:sz w:val="20"/>
                <w:szCs w:val="20"/>
              </w:rPr>
              <w:t>Y10W-204/532</w:t>
            </w:r>
            <w:r>
              <w:rPr>
                <w:rFonts w:ascii="Times New Roman" w:hAnsi="Times New Roman" w:eastAsia="Times New Roman" w:cs="Times New Roman"/>
                <w:sz w:val="20"/>
                <w:szCs w:val="20"/>
              </w:rPr>
              <w:t>GY</w:t>
            </w:r>
          </w:p>
        </w:tc>
        <w:tc>
          <w:tcPr>
            <w:tcW w:w="559" w:type="dxa"/>
            <w:vAlign w:val="top"/>
          </w:tcPr>
          <w:p w14:paraId="15778681">
            <w:pPr>
              <w:pStyle w:val="6"/>
              <w:spacing w:before="53" w:line="231" w:lineRule="auto"/>
              <w:ind w:left="193"/>
              <w:rPr>
                <w:sz w:val="20"/>
                <w:szCs w:val="20"/>
              </w:rPr>
            </w:pPr>
            <w:r>
              <w:rPr>
                <w:sz w:val="20"/>
                <w:szCs w:val="20"/>
              </w:rPr>
              <w:t>只</w:t>
            </w:r>
          </w:p>
        </w:tc>
        <w:tc>
          <w:tcPr>
            <w:tcW w:w="866" w:type="dxa"/>
            <w:vAlign w:val="top"/>
          </w:tcPr>
          <w:p w14:paraId="6A9E21D7">
            <w:pPr>
              <w:spacing w:before="90"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14:paraId="3DD15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vAlign w:val="top"/>
          </w:tcPr>
          <w:p w14:paraId="4DB7BE0B">
            <w:pPr>
              <w:spacing w:before="89"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6515" w:type="dxa"/>
            <w:gridSpan w:val="2"/>
            <w:vAlign w:val="top"/>
          </w:tcPr>
          <w:p w14:paraId="4DC4A99E">
            <w:pPr>
              <w:pStyle w:val="6"/>
              <w:spacing w:before="53" w:line="228" w:lineRule="auto"/>
              <w:ind w:left="1582"/>
              <w:rPr>
                <w:sz w:val="20"/>
                <w:szCs w:val="20"/>
              </w:rPr>
            </w:pPr>
            <w:r>
              <w:rPr>
                <w:rFonts w:ascii="Times New Roman" w:hAnsi="Times New Roman" w:eastAsia="Times New Roman" w:cs="Times New Roman"/>
                <w:spacing w:val="9"/>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9"/>
                <w:sz w:val="20"/>
                <w:szCs w:val="20"/>
              </w:rPr>
              <w:t xml:space="preserve"> </w:t>
            </w:r>
            <w:r>
              <w:rPr>
                <w:spacing w:val="9"/>
                <w:sz w:val="20"/>
                <w:szCs w:val="20"/>
              </w:rPr>
              <w:t>单相线路型电容式电压互感器</w:t>
            </w:r>
          </w:p>
        </w:tc>
        <w:tc>
          <w:tcPr>
            <w:tcW w:w="559" w:type="dxa"/>
            <w:vAlign w:val="top"/>
          </w:tcPr>
          <w:p w14:paraId="4331E644">
            <w:pPr>
              <w:pStyle w:val="6"/>
              <w:spacing w:before="53" w:line="230" w:lineRule="auto"/>
              <w:ind w:left="197"/>
              <w:rPr>
                <w:sz w:val="20"/>
                <w:szCs w:val="20"/>
              </w:rPr>
            </w:pPr>
            <w:r>
              <w:rPr>
                <w:sz w:val="20"/>
                <w:szCs w:val="20"/>
              </w:rPr>
              <w:t>台</w:t>
            </w:r>
          </w:p>
        </w:tc>
        <w:tc>
          <w:tcPr>
            <w:tcW w:w="866" w:type="dxa"/>
            <w:vAlign w:val="top"/>
          </w:tcPr>
          <w:p w14:paraId="43E47652">
            <w:pPr>
              <w:spacing w:before="90"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CDA2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3" w:type="dxa"/>
            <w:vAlign w:val="top"/>
          </w:tcPr>
          <w:p w14:paraId="4D390E4B">
            <w:pPr>
              <w:spacing w:before="89" w:line="195"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43" w:type="dxa"/>
            <w:vAlign w:val="top"/>
          </w:tcPr>
          <w:p w14:paraId="5772B223">
            <w:pPr>
              <w:pStyle w:val="6"/>
              <w:spacing w:before="53" w:line="228" w:lineRule="auto"/>
              <w:ind w:left="198"/>
              <w:rPr>
                <w:sz w:val="20"/>
                <w:szCs w:val="20"/>
              </w:rPr>
            </w:pPr>
            <w:r>
              <w:rPr>
                <w:spacing w:val="7"/>
                <w:sz w:val="20"/>
                <w:szCs w:val="20"/>
              </w:rPr>
              <w:t>主变压器部分</w:t>
            </w:r>
          </w:p>
        </w:tc>
        <w:tc>
          <w:tcPr>
            <w:tcW w:w="4872" w:type="dxa"/>
            <w:vAlign w:val="top"/>
          </w:tcPr>
          <w:p w14:paraId="7802A535">
            <w:pPr>
              <w:rPr>
                <w:rFonts w:ascii="Arial"/>
                <w:sz w:val="21"/>
              </w:rPr>
            </w:pPr>
          </w:p>
        </w:tc>
        <w:tc>
          <w:tcPr>
            <w:tcW w:w="559" w:type="dxa"/>
            <w:vAlign w:val="top"/>
          </w:tcPr>
          <w:p w14:paraId="7928D607">
            <w:pPr>
              <w:rPr>
                <w:rFonts w:ascii="Arial"/>
                <w:sz w:val="21"/>
              </w:rPr>
            </w:pPr>
          </w:p>
        </w:tc>
        <w:tc>
          <w:tcPr>
            <w:tcW w:w="866" w:type="dxa"/>
            <w:vAlign w:val="top"/>
          </w:tcPr>
          <w:p w14:paraId="124DB471">
            <w:pPr>
              <w:rPr>
                <w:rFonts w:ascii="Arial"/>
                <w:sz w:val="21"/>
              </w:rPr>
            </w:pPr>
          </w:p>
        </w:tc>
      </w:tr>
      <w:tr w14:paraId="02F80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83" w:type="dxa"/>
            <w:vMerge w:val="restart"/>
            <w:tcBorders>
              <w:bottom w:val="nil"/>
            </w:tcBorders>
            <w:vAlign w:val="top"/>
          </w:tcPr>
          <w:p w14:paraId="46538C77">
            <w:pPr>
              <w:spacing w:line="251" w:lineRule="auto"/>
              <w:rPr>
                <w:rFonts w:ascii="Arial"/>
                <w:sz w:val="21"/>
              </w:rPr>
            </w:pPr>
          </w:p>
          <w:p w14:paraId="4346FD6E">
            <w:pPr>
              <w:spacing w:line="252" w:lineRule="auto"/>
              <w:rPr>
                <w:rFonts w:ascii="Arial"/>
                <w:sz w:val="21"/>
              </w:rPr>
            </w:pPr>
          </w:p>
          <w:p w14:paraId="0BE5A7BE">
            <w:pPr>
              <w:spacing w:before="58"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w:t>
            </w:r>
          </w:p>
        </w:tc>
        <w:tc>
          <w:tcPr>
            <w:tcW w:w="1643" w:type="dxa"/>
            <w:vMerge w:val="restart"/>
            <w:tcBorders>
              <w:bottom w:val="nil"/>
            </w:tcBorders>
            <w:vAlign w:val="top"/>
          </w:tcPr>
          <w:p w14:paraId="438826A1">
            <w:pPr>
              <w:spacing w:line="460" w:lineRule="auto"/>
              <w:rPr>
                <w:rFonts w:ascii="Arial"/>
                <w:sz w:val="21"/>
              </w:rPr>
            </w:pPr>
          </w:p>
          <w:p w14:paraId="68C2ABF9">
            <w:pPr>
              <w:pStyle w:val="6"/>
              <w:spacing w:before="65" w:line="229" w:lineRule="auto"/>
              <w:ind w:left="407"/>
              <w:rPr>
                <w:sz w:val="20"/>
                <w:szCs w:val="20"/>
              </w:rPr>
            </w:pPr>
            <w:r>
              <w:rPr>
                <w:spacing w:val="6"/>
                <w:sz w:val="20"/>
                <w:szCs w:val="20"/>
              </w:rPr>
              <w:t>主变压器</w:t>
            </w:r>
          </w:p>
        </w:tc>
        <w:tc>
          <w:tcPr>
            <w:tcW w:w="4872" w:type="dxa"/>
            <w:vAlign w:val="top"/>
          </w:tcPr>
          <w:p w14:paraId="44EF6D5D">
            <w:pPr>
              <w:pStyle w:val="6"/>
              <w:spacing w:before="53" w:line="261" w:lineRule="auto"/>
              <w:ind w:left="1120" w:right="861" w:hanging="255"/>
              <w:rPr>
                <w:sz w:val="20"/>
                <w:szCs w:val="20"/>
              </w:rPr>
            </w:pPr>
            <w:r>
              <w:rPr>
                <w:rFonts w:ascii="Times New Roman" w:hAnsi="Times New Roman" w:eastAsia="Times New Roman" w:cs="Times New Roman"/>
                <w:spacing w:val="9"/>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9"/>
                <w:sz w:val="20"/>
                <w:szCs w:val="20"/>
              </w:rPr>
              <w:t xml:space="preserve"> </w:t>
            </w:r>
            <w:r>
              <w:rPr>
                <w:spacing w:val="9"/>
                <w:sz w:val="20"/>
                <w:szCs w:val="20"/>
              </w:rPr>
              <w:t>三相双绕组有载调压变压器</w:t>
            </w:r>
            <w:r>
              <w:rPr>
                <w:sz w:val="20"/>
                <w:szCs w:val="20"/>
              </w:rPr>
              <w:t xml:space="preserve"> </w:t>
            </w:r>
            <w:r>
              <w:rPr>
                <w:rFonts w:ascii="Times New Roman" w:hAnsi="Times New Roman" w:eastAsia="Times New Roman" w:cs="Times New Roman"/>
                <w:sz w:val="20"/>
                <w:szCs w:val="20"/>
              </w:rPr>
              <w:t>SFZ</w:t>
            </w:r>
            <w:r>
              <w:rPr>
                <w:rFonts w:ascii="Times New Roman" w:hAnsi="Times New Roman" w:eastAsia="Times New Roman" w:cs="Times New Roman"/>
                <w:spacing w:val="5"/>
                <w:sz w:val="20"/>
                <w:szCs w:val="20"/>
              </w:rPr>
              <w:t>20-200000/230</w:t>
            </w:r>
            <w:r>
              <w:rPr>
                <w:rFonts w:ascii="Times New Roman" w:hAnsi="Times New Roman" w:eastAsia="Times New Roman" w:cs="Times New Roman"/>
                <w:sz w:val="20"/>
                <w:szCs w:val="20"/>
              </w:rPr>
              <w:t>GY</w:t>
            </w:r>
            <w:r>
              <w:rPr>
                <w:rFonts w:ascii="Times New Roman" w:hAnsi="Times New Roman" w:eastAsia="Times New Roman" w:cs="Times New Roman"/>
                <w:spacing w:val="5"/>
                <w:sz w:val="20"/>
                <w:szCs w:val="20"/>
              </w:rPr>
              <w:t>(</w:t>
            </w:r>
            <w:r>
              <w:rPr>
                <w:spacing w:val="5"/>
                <w:sz w:val="20"/>
                <w:szCs w:val="20"/>
              </w:rPr>
              <w:t>二级）</w:t>
            </w:r>
          </w:p>
        </w:tc>
        <w:tc>
          <w:tcPr>
            <w:tcW w:w="559" w:type="dxa"/>
            <w:vAlign w:val="top"/>
          </w:tcPr>
          <w:p w14:paraId="1BC3CED9">
            <w:pPr>
              <w:pStyle w:val="6"/>
              <w:spacing w:before="209" w:line="230" w:lineRule="auto"/>
              <w:ind w:left="197"/>
              <w:rPr>
                <w:sz w:val="20"/>
                <w:szCs w:val="20"/>
              </w:rPr>
            </w:pPr>
            <w:r>
              <w:rPr>
                <w:sz w:val="20"/>
                <w:szCs w:val="20"/>
              </w:rPr>
              <w:t>台</w:t>
            </w:r>
          </w:p>
        </w:tc>
        <w:tc>
          <w:tcPr>
            <w:tcW w:w="866" w:type="dxa"/>
            <w:vAlign w:val="top"/>
          </w:tcPr>
          <w:p w14:paraId="262A27F5">
            <w:pPr>
              <w:spacing w:before="245"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43264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continue"/>
            <w:tcBorders>
              <w:top w:val="nil"/>
            </w:tcBorders>
            <w:vAlign w:val="top"/>
          </w:tcPr>
          <w:p w14:paraId="256836D2">
            <w:pPr>
              <w:rPr>
                <w:rFonts w:ascii="Arial"/>
                <w:sz w:val="21"/>
              </w:rPr>
            </w:pPr>
          </w:p>
        </w:tc>
        <w:tc>
          <w:tcPr>
            <w:tcW w:w="1643" w:type="dxa"/>
            <w:vMerge w:val="continue"/>
            <w:tcBorders>
              <w:top w:val="nil"/>
            </w:tcBorders>
            <w:vAlign w:val="top"/>
          </w:tcPr>
          <w:p w14:paraId="1550C481">
            <w:pPr>
              <w:rPr>
                <w:rFonts w:ascii="Arial"/>
                <w:sz w:val="21"/>
              </w:rPr>
            </w:pPr>
          </w:p>
        </w:tc>
        <w:tc>
          <w:tcPr>
            <w:tcW w:w="4872" w:type="dxa"/>
            <w:vAlign w:val="top"/>
          </w:tcPr>
          <w:p w14:paraId="2A86E547">
            <w:pPr>
              <w:pStyle w:val="6"/>
              <w:spacing w:before="55" w:line="228" w:lineRule="auto"/>
              <w:ind w:left="865"/>
              <w:rPr>
                <w:sz w:val="20"/>
                <w:szCs w:val="20"/>
              </w:rPr>
            </w:pPr>
            <w:r>
              <w:rPr>
                <w:rFonts w:ascii="Times New Roman" w:hAnsi="Times New Roman" w:eastAsia="Times New Roman" w:cs="Times New Roman"/>
                <w:spacing w:val="9"/>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9"/>
                <w:sz w:val="20"/>
                <w:szCs w:val="20"/>
              </w:rPr>
              <w:t xml:space="preserve"> </w:t>
            </w:r>
            <w:r>
              <w:rPr>
                <w:spacing w:val="9"/>
                <w:sz w:val="20"/>
                <w:szCs w:val="20"/>
              </w:rPr>
              <w:t>三相双绕组有载调压变压器</w:t>
            </w:r>
          </w:p>
          <w:p w14:paraId="27109E67">
            <w:pPr>
              <w:pStyle w:val="6"/>
              <w:spacing w:before="64" w:line="221" w:lineRule="auto"/>
              <w:ind w:left="1121"/>
              <w:rPr>
                <w:rFonts w:ascii="Times New Roman" w:hAnsi="Times New Roman" w:eastAsia="Times New Roman" w:cs="Times New Roman"/>
                <w:sz w:val="20"/>
                <w:szCs w:val="20"/>
              </w:rPr>
            </w:pPr>
            <w:r>
              <w:rPr>
                <w:rFonts w:ascii="Times New Roman" w:hAnsi="Times New Roman" w:eastAsia="Times New Roman" w:cs="Times New Roman"/>
                <w:sz w:val="20"/>
                <w:szCs w:val="20"/>
              </w:rPr>
              <w:t>SFZ</w:t>
            </w:r>
            <w:r>
              <w:rPr>
                <w:rFonts w:ascii="Times New Roman" w:hAnsi="Times New Roman" w:eastAsia="Times New Roman" w:cs="Times New Roman"/>
                <w:spacing w:val="6"/>
                <w:sz w:val="20"/>
                <w:szCs w:val="20"/>
              </w:rPr>
              <w:t>18-300000/230</w:t>
            </w:r>
            <w:r>
              <w:rPr>
                <w:rFonts w:ascii="Times New Roman" w:hAnsi="Times New Roman" w:eastAsia="Times New Roman" w:cs="Times New Roman"/>
                <w:sz w:val="20"/>
                <w:szCs w:val="20"/>
              </w:rPr>
              <w:t>GY</w:t>
            </w:r>
            <w:r>
              <w:rPr>
                <w:spacing w:val="6"/>
                <w:sz w:val="20"/>
                <w:szCs w:val="20"/>
              </w:rPr>
              <w:t>（二级</w:t>
            </w:r>
            <w:r>
              <w:rPr>
                <w:rFonts w:ascii="Times New Roman" w:hAnsi="Times New Roman" w:eastAsia="Times New Roman" w:cs="Times New Roman"/>
                <w:spacing w:val="6"/>
                <w:sz w:val="20"/>
                <w:szCs w:val="20"/>
              </w:rPr>
              <w:t>)</w:t>
            </w:r>
          </w:p>
        </w:tc>
        <w:tc>
          <w:tcPr>
            <w:tcW w:w="559" w:type="dxa"/>
            <w:vAlign w:val="top"/>
          </w:tcPr>
          <w:p w14:paraId="350C0EE3">
            <w:pPr>
              <w:pStyle w:val="6"/>
              <w:spacing w:before="211" w:line="230" w:lineRule="auto"/>
              <w:ind w:left="197"/>
              <w:rPr>
                <w:sz w:val="20"/>
                <w:szCs w:val="20"/>
              </w:rPr>
            </w:pPr>
            <w:r>
              <w:rPr>
                <w:sz w:val="20"/>
                <w:szCs w:val="20"/>
              </w:rPr>
              <w:t>台</w:t>
            </w:r>
          </w:p>
        </w:tc>
        <w:tc>
          <w:tcPr>
            <w:tcW w:w="866" w:type="dxa"/>
            <w:vAlign w:val="top"/>
          </w:tcPr>
          <w:p w14:paraId="03826066">
            <w:pPr>
              <w:spacing w:before="247"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49E38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83" w:type="dxa"/>
            <w:vAlign w:val="top"/>
          </w:tcPr>
          <w:p w14:paraId="7403F603">
            <w:pPr>
              <w:spacing w:line="249" w:lineRule="auto"/>
              <w:rPr>
                <w:rFonts w:ascii="Arial"/>
                <w:sz w:val="21"/>
              </w:rPr>
            </w:pPr>
          </w:p>
          <w:p w14:paraId="4D6E0B16">
            <w:pPr>
              <w:spacing w:line="250" w:lineRule="auto"/>
              <w:rPr>
                <w:rFonts w:ascii="Arial"/>
                <w:sz w:val="21"/>
              </w:rPr>
            </w:pPr>
          </w:p>
          <w:p w14:paraId="61C11D91">
            <w:pPr>
              <w:spacing w:before="57"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643" w:type="dxa"/>
            <w:vAlign w:val="top"/>
          </w:tcPr>
          <w:p w14:paraId="064F7D6C">
            <w:pPr>
              <w:spacing w:line="456" w:lineRule="auto"/>
              <w:rPr>
                <w:rFonts w:ascii="Arial"/>
                <w:sz w:val="21"/>
              </w:rPr>
            </w:pPr>
          </w:p>
          <w:p w14:paraId="5C4B41C3">
            <w:pPr>
              <w:pStyle w:val="6"/>
              <w:spacing w:before="65" w:line="228" w:lineRule="auto"/>
              <w:ind w:left="319"/>
              <w:rPr>
                <w:sz w:val="20"/>
                <w:szCs w:val="20"/>
              </w:rPr>
            </w:pPr>
            <w:r>
              <w:rPr>
                <w:spacing w:val="4"/>
                <w:sz w:val="20"/>
                <w:szCs w:val="20"/>
              </w:rPr>
              <w:t>中性点设备</w:t>
            </w:r>
          </w:p>
        </w:tc>
        <w:tc>
          <w:tcPr>
            <w:tcW w:w="4872" w:type="dxa"/>
            <w:vAlign w:val="top"/>
          </w:tcPr>
          <w:p w14:paraId="0D09384A">
            <w:pPr>
              <w:pStyle w:val="6"/>
              <w:spacing w:before="55" w:line="221" w:lineRule="auto"/>
              <w:ind w:left="486"/>
              <w:rPr>
                <w:sz w:val="20"/>
                <w:szCs w:val="20"/>
              </w:rPr>
            </w:pPr>
            <w:r>
              <w:rPr>
                <w:spacing w:val="6"/>
                <w:sz w:val="20"/>
                <w:szCs w:val="20"/>
              </w:rPr>
              <w:t>隔离开关：</w:t>
            </w:r>
            <w:r>
              <w:rPr>
                <w:rFonts w:ascii="Times New Roman" w:hAnsi="Times New Roman" w:eastAsia="Times New Roman" w:cs="Times New Roman"/>
                <w:sz w:val="20"/>
                <w:szCs w:val="20"/>
              </w:rPr>
              <w:t>GW</w:t>
            </w:r>
            <w:r>
              <w:rPr>
                <w:rFonts w:ascii="Times New Roman" w:hAnsi="Times New Roman" w:eastAsia="Times New Roman" w:cs="Times New Roman"/>
                <w:spacing w:val="6"/>
                <w:sz w:val="20"/>
                <w:szCs w:val="20"/>
              </w:rPr>
              <w:t>13-126/630,630A</w:t>
            </w:r>
            <w:r>
              <w:rPr>
                <w:spacing w:val="6"/>
                <w:sz w:val="20"/>
                <w:szCs w:val="20"/>
              </w:rPr>
              <w:t>；避雷器：</w:t>
            </w:r>
          </w:p>
          <w:p w14:paraId="572B29D4">
            <w:pPr>
              <w:pStyle w:val="6"/>
              <w:spacing w:before="72" w:line="221" w:lineRule="auto"/>
              <w:ind w:left="256"/>
              <w:rPr>
                <w:sz w:val="20"/>
                <w:szCs w:val="20"/>
              </w:rPr>
            </w:pPr>
            <w:r>
              <w:rPr>
                <w:rFonts w:ascii="Times New Roman" w:hAnsi="Times New Roman" w:eastAsia="Times New Roman" w:cs="Times New Roman"/>
                <w:spacing w:val="5"/>
                <w:sz w:val="20"/>
                <w:szCs w:val="20"/>
              </w:rPr>
              <w:t>Y1.5W-144/320</w:t>
            </w:r>
            <w:r>
              <w:rPr>
                <w:rFonts w:ascii="Times New Roman" w:hAnsi="Times New Roman" w:eastAsia="Times New Roman" w:cs="Times New Roman"/>
                <w:sz w:val="20"/>
                <w:szCs w:val="20"/>
              </w:rPr>
              <w:t>GY</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5"/>
                <w:sz w:val="20"/>
                <w:szCs w:val="20"/>
              </w:rPr>
              <w:t>144</w:t>
            </w:r>
            <w:r>
              <w:rPr>
                <w:rFonts w:ascii="Times New Roman" w:hAnsi="Times New Roman" w:eastAsia="Times New Roman" w:cs="Times New Roman"/>
                <w:sz w:val="20"/>
                <w:szCs w:val="20"/>
              </w:rPr>
              <w:t>kV</w:t>
            </w:r>
            <w:r>
              <w:rPr>
                <w:spacing w:val="5"/>
                <w:sz w:val="20"/>
                <w:szCs w:val="20"/>
              </w:rPr>
              <w:t>；中性点电流互感</w:t>
            </w:r>
            <w:r>
              <w:rPr>
                <w:spacing w:val="4"/>
                <w:sz w:val="20"/>
                <w:szCs w:val="20"/>
              </w:rPr>
              <w:t>器：</w:t>
            </w:r>
          </w:p>
          <w:p w14:paraId="33A0A0BB">
            <w:pPr>
              <w:pStyle w:val="6"/>
              <w:spacing w:before="73" w:line="275" w:lineRule="auto"/>
              <w:ind w:left="1131" w:right="64" w:hanging="1022"/>
              <w:rPr>
                <w:rFonts w:ascii="Times New Roman" w:hAnsi="Times New Roman" w:eastAsia="Times New Roman" w:cs="Times New Roman"/>
                <w:sz w:val="20"/>
                <w:szCs w:val="20"/>
              </w:rPr>
            </w:pPr>
            <w:r>
              <w:rPr>
                <w:rFonts w:ascii="Times New Roman" w:hAnsi="Times New Roman" w:eastAsia="Times New Roman" w:cs="Times New Roman"/>
                <w:sz w:val="20"/>
                <w:szCs w:val="20"/>
              </w:rPr>
              <w:t>LRB</w:t>
            </w:r>
            <w:r>
              <w:rPr>
                <w:rFonts w:ascii="Times New Roman" w:hAnsi="Times New Roman" w:eastAsia="Times New Roman" w:cs="Times New Roman"/>
                <w:spacing w:val="5"/>
                <w:sz w:val="20"/>
                <w:szCs w:val="20"/>
              </w:rPr>
              <w:t>-110,500/1A,5P30/5P30</w:t>
            </w:r>
            <w:r>
              <w:rPr>
                <w:spacing w:val="5"/>
                <w:sz w:val="20"/>
                <w:szCs w:val="20"/>
              </w:rPr>
              <w:t>；间隙零序电流互感</w:t>
            </w:r>
            <w:r>
              <w:rPr>
                <w:spacing w:val="4"/>
                <w:sz w:val="20"/>
                <w:szCs w:val="20"/>
              </w:rPr>
              <w:t>器：</w:t>
            </w:r>
            <w:r>
              <w:rPr>
                <w:sz w:val="20"/>
                <w:szCs w:val="20"/>
              </w:rPr>
              <w:t xml:space="preserve"> </w:t>
            </w:r>
            <w:r>
              <w:rPr>
                <w:rFonts w:ascii="Times New Roman" w:hAnsi="Times New Roman" w:eastAsia="Times New Roman" w:cs="Times New Roman"/>
                <w:sz w:val="20"/>
                <w:szCs w:val="20"/>
              </w:rPr>
              <w:t>LJW</w:t>
            </w:r>
            <w:r>
              <w:rPr>
                <w:rFonts w:ascii="Times New Roman" w:hAnsi="Times New Roman" w:eastAsia="Times New Roman" w:cs="Times New Roman"/>
                <w:spacing w:val="2"/>
                <w:sz w:val="20"/>
                <w:szCs w:val="20"/>
              </w:rPr>
              <w:t>-80</w:t>
            </w:r>
            <w:r>
              <w:rPr>
                <w:rFonts w:ascii="Times New Roman" w:hAnsi="Times New Roman" w:eastAsia="Times New Roman" w:cs="Times New Roman"/>
                <w:sz w:val="20"/>
                <w:szCs w:val="20"/>
              </w:rPr>
              <w:t>GY</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100/1A,5P30/5P30</w:t>
            </w:r>
          </w:p>
        </w:tc>
        <w:tc>
          <w:tcPr>
            <w:tcW w:w="559" w:type="dxa"/>
            <w:vAlign w:val="top"/>
          </w:tcPr>
          <w:p w14:paraId="35834290">
            <w:pPr>
              <w:spacing w:line="456" w:lineRule="auto"/>
              <w:rPr>
                <w:rFonts w:ascii="Arial"/>
                <w:sz w:val="21"/>
              </w:rPr>
            </w:pPr>
          </w:p>
          <w:p w14:paraId="2F2226A9">
            <w:pPr>
              <w:pStyle w:val="6"/>
              <w:spacing w:before="65" w:line="228" w:lineRule="auto"/>
              <w:ind w:left="181"/>
              <w:rPr>
                <w:sz w:val="20"/>
                <w:szCs w:val="20"/>
              </w:rPr>
            </w:pPr>
            <w:r>
              <w:rPr>
                <w:sz w:val="20"/>
                <w:szCs w:val="20"/>
              </w:rPr>
              <w:t>套</w:t>
            </w:r>
          </w:p>
        </w:tc>
        <w:tc>
          <w:tcPr>
            <w:tcW w:w="866" w:type="dxa"/>
            <w:vAlign w:val="top"/>
          </w:tcPr>
          <w:p w14:paraId="51886205">
            <w:pPr>
              <w:spacing w:line="249" w:lineRule="auto"/>
              <w:rPr>
                <w:rFonts w:ascii="Arial"/>
                <w:sz w:val="21"/>
              </w:rPr>
            </w:pPr>
          </w:p>
          <w:p w14:paraId="7BFE2DBC">
            <w:pPr>
              <w:spacing w:line="250" w:lineRule="auto"/>
              <w:rPr>
                <w:rFonts w:ascii="Arial"/>
                <w:sz w:val="21"/>
              </w:rPr>
            </w:pPr>
          </w:p>
          <w:p w14:paraId="567885A8">
            <w:pPr>
              <w:spacing w:before="57"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r>
      <w:tr w14:paraId="2E6FC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23" w:type="dxa"/>
            <w:gridSpan w:val="5"/>
            <w:vAlign w:val="top"/>
          </w:tcPr>
          <w:p w14:paraId="0E43483A">
            <w:pPr>
              <w:pStyle w:val="6"/>
              <w:spacing w:before="56" w:line="228" w:lineRule="auto"/>
              <w:ind w:left="3635"/>
              <w:rPr>
                <w:sz w:val="20"/>
                <w:szCs w:val="20"/>
              </w:rPr>
            </w:pPr>
            <w:r>
              <w:rPr>
                <w:spacing w:val="8"/>
                <w:sz w:val="20"/>
                <w:szCs w:val="20"/>
              </w:rPr>
              <w:t>三、储能系统</w:t>
            </w:r>
          </w:p>
        </w:tc>
      </w:tr>
      <w:tr w14:paraId="064BE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83" w:type="dxa"/>
            <w:vAlign w:val="top"/>
          </w:tcPr>
          <w:p w14:paraId="30686EBE">
            <w:pPr>
              <w:spacing w:line="344" w:lineRule="auto"/>
              <w:rPr>
                <w:rFonts w:ascii="Arial"/>
                <w:sz w:val="21"/>
              </w:rPr>
            </w:pPr>
          </w:p>
          <w:p w14:paraId="419189CF">
            <w:pPr>
              <w:spacing w:before="5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w:t>
            </w:r>
          </w:p>
        </w:tc>
        <w:tc>
          <w:tcPr>
            <w:tcW w:w="1643" w:type="dxa"/>
            <w:vAlign w:val="top"/>
          </w:tcPr>
          <w:p w14:paraId="3432EFB9">
            <w:pPr>
              <w:spacing w:line="301" w:lineRule="auto"/>
              <w:rPr>
                <w:rFonts w:ascii="Arial"/>
                <w:sz w:val="21"/>
              </w:rPr>
            </w:pPr>
          </w:p>
          <w:p w14:paraId="0232A02B">
            <w:pPr>
              <w:pStyle w:val="6"/>
              <w:spacing w:before="65" w:line="228" w:lineRule="auto"/>
              <w:ind w:left="404"/>
              <w:rPr>
                <w:sz w:val="20"/>
                <w:szCs w:val="20"/>
              </w:rPr>
            </w:pPr>
            <w:r>
              <w:rPr>
                <w:spacing w:val="7"/>
                <w:sz w:val="20"/>
                <w:szCs w:val="20"/>
              </w:rPr>
              <w:t>储能系统</w:t>
            </w:r>
          </w:p>
        </w:tc>
        <w:tc>
          <w:tcPr>
            <w:tcW w:w="4872" w:type="dxa"/>
            <w:vAlign w:val="top"/>
          </w:tcPr>
          <w:p w14:paraId="107185D3">
            <w:pPr>
              <w:pStyle w:val="6"/>
              <w:spacing w:before="55" w:line="228" w:lineRule="auto"/>
              <w:ind w:left="113"/>
              <w:rPr>
                <w:sz w:val="20"/>
                <w:szCs w:val="20"/>
              </w:rPr>
            </w:pPr>
            <w:r>
              <w:rPr>
                <w:rFonts w:ascii="Times New Roman" w:hAnsi="Times New Roman" w:eastAsia="Times New Roman" w:cs="Times New Roman"/>
                <w:spacing w:val="8"/>
                <w:sz w:val="20"/>
                <w:szCs w:val="20"/>
              </w:rPr>
              <w:t xml:space="preserve">9 </w:t>
            </w:r>
            <w:r>
              <w:rPr>
                <w:spacing w:val="8"/>
                <w:sz w:val="20"/>
                <w:szCs w:val="20"/>
              </w:rPr>
              <w:t>个</w:t>
            </w:r>
            <w:r>
              <w:rPr>
                <w:spacing w:val="-26"/>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z w:val="20"/>
                <w:szCs w:val="20"/>
              </w:rPr>
              <w:t>MW</w:t>
            </w:r>
            <w:r>
              <w:rPr>
                <w:rFonts w:ascii="Times New Roman" w:hAnsi="Times New Roman" w:eastAsia="Times New Roman" w:cs="Times New Roman"/>
                <w:spacing w:val="8"/>
                <w:sz w:val="20"/>
                <w:szCs w:val="20"/>
              </w:rPr>
              <w:t>/10</w:t>
            </w:r>
            <w:r>
              <w:rPr>
                <w:rFonts w:ascii="Times New Roman" w:hAnsi="Times New Roman" w:eastAsia="Times New Roman" w:cs="Times New Roman"/>
                <w:sz w:val="20"/>
                <w:szCs w:val="20"/>
              </w:rPr>
              <w:t>MWh</w:t>
            </w:r>
            <w:r>
              <w:rPr>
                <w:rFonts w:ascii="Times New Roman" w:hAnsi="Times New Roman" w:eastAsia="Times New Roman" w:cs="Times New Roman"/>
                <w:spacing w:val="8"/>
                <w:sz w:val="20"/>
                <w:szCs w:val="20"/>
              </w:rPr>
              <w:t>+14.5</w:t>
            </w:r>
            <w:r>
              <w:rPr>
                <w:rFonts w:ascii="Times New Roman" w:hAnsi="Times New Roman" w:eastAsia="Times New Roman" w:cs="Times New Roman"/>
                <w:sz w:val="20"/>
                <w:szCs w:val="20"/>
              </w:rPr>
              <w:t>MW</w:t>
            </w:r>
            <w:r>
              <w:rPr>
                <w:rFonts w:ascii="Times New Roman" w:hAnsi="Times New Roman" w:eastAsia="Times New Roman" w:cs="Times New Roman"/>
                <w:spacing w:val="8"/>
                <w:sz w:val="20"/>
                <w:szCs w:val="20"/>
              </w:rPr>
              <w:t>/9</w:t>
            </w:r>
            <w:r>
              <w:rPr>
                <w:rFonts w:ascii="Times New Roman" w:hAnsi="Times New Roman" w:eastAsia="Times New Roman" w:cs="Times New Roman"/>
                <w:sz w:val="20"/>
                <w:szCs w:val="20"/>
              </w:rPr>
              <w:t>MWh</w:t>
            </w:r>
            <w:r>
              <w:rPr>
                <w:rFonts w:ascii="Times New Roman" w:hAnsi="Times New Roman" w:eastAsia="Times New Roman" w:cs="Times New Roman"/>
                <w:spacing w:val="8"/>
                <w:sz w:val="20"/>
                <w:szCs w:val="20"/>
              </w:rPr>
              <w:t xml:space="preserve"> </w:t>
            </w:r>
            <w:r>
              <w:rPr>
                <w:spacing w:val="8"/>
                <w:sz w:val="20"/>
                <w:szCs w:val="20"/>
              </w:rPr>
              <w:t>储能单元组成。</w:t>
            </w:r>
          </w:p>
          <w:p w14:paraId="65C51E95">
            <w:pPr>
              <w:pStyle w:val="6"/>
              <w:spacing w:before="65" w:line="227" w:lineRule="auto"/>
              <w:ind w:right="10"/>
              <w:jc w:val="right"/>
              <w:rPr>
                <w:sz w:val="20"/>
                <w:szCs w:val="20"/>
              </w:rPr>
            </w:pPr>
            <w:r>
              <w:rPr>
                <w:rFonts w:ascii="Times New Roman" w:hAnsi="Times New Roman" w:eastAsia="Times New Roman" w:cs="Times New Roman"/>
                <w:spacing w:val="6"/>
                <w:sz w:val="20"/>
                <w:szCs w:val="20"/>
              </w:rPr>
              <w:t xml:space="preserve">45 </w:t>
            </w:r>
            <w:r>
              <w:rPr>
                <w:spacing w:val="6"/>
                <w:sz w:val="20"/>
                <w:szCs w:val="20"/>
              </w:rPr>
              <w:t>尺储能集装箱主要由</w:t>
            </w:r>
            <w:r>
              <w:rPr>
                <w:spacing w:val="-22"/>
                <w:sz w:val="20"/>
                <w:szCs w:val="20"/>
              </w:rPr>
              <w:t xml:space="preserve"> </w:t>
            </w:r>
            <w:r>
              <w:rPr>
                <w:rFonts w:ascii="Times New Roman" w:hAnsi="Times New Roman" w:eastAsia="Times New Roman" w:cs="Times New Roman"/>
                <w:spacing w:val="6"/>
                <w:sz w:val="20"/>
                <w:szCs w:val="20"/>
              </w:rPr>
              <w:t xml:space="preserve">18  </w:t>
            </w:r>
            <w:r>
              <w:rPr>
                <w:spacing w:val="6"/>
                <w:sz w:val="20"/>
                <w:szCs w:val="20"/>
              </w:rPr>
              <w:t>个电池柜、</w:t>
            </w:r>
            <w:r>
              <w:rPr>
                <w:rFonts w:ascii="Times New Roman" w:hAnsi="Times New Roman" w:eastAsia="Times New Roman" w:cs="Times New Roman"/>
                <w:spacing w:val="6"/>
                <w:sz w:val="20"/>
                <w:szCs w:val="20"/>
              </w:rPr>
              <w:t xml:space="preserve">2 </w:t>
            </w:r>
            <w:r>
              <w:rPr>
                <w:spacing w:val="6"/>
                <w:sz w:val="20"/>
                <w:szCs w:val="20"/>
              </w:rPr>
              <w:t>个汇流柜、</w:t>
            </w:r>
          </w:p>
          <w:p w14:paraId="483C4C03">
            <w:pPr>
              <w:pStyle w:val="6"/>
              <w:spacing w:before="66" w:line="227" w:lineRule="auto"/>
              <w:ind w:left="109"/>
              <w:rPr>
                <w:sz w:val="20"/>
                <w:szCs w:val="20"/>
              </w:rPr>
            </w:pPr>
            <w:r>
              <w:rPr>
                <w:rFonts w:ascii="Times New Roman" w:hAnsi="Times New Roman" w:eastAsia="Times New Roman" w:cs="Times New Roman"/>
                <w:spacing w:val="8"/>
                <w:sz w:val="20"/>
                <w:szCs w:val="20"/>
              </w:rPr>
              <w:t xml:space="preserve">2 </w:t>
            </w:r>
            <w:r>
              <w:rPr>
                <w:spacing w:val="8"/>
                <w:sz w:val="20"/>
                <w:szCs w:val="20"/>
              </w:rPr>
              <w:t>个控制柜、</w:t>
            </w:r>
            <w:r>
              <w:rPr>
                <w:rFonts w:ascii="Times New Roman" w:hAnsi="Times New Roman" w:eastAsia="Times New Roman" w:cs="Times New Roman"/>
                <w:spacing w:val="8"/>
                <w:sz w:val="20"/>
                <w:szCs w:val="20"/>
              </w:rPr>
              <w:t xml:space="preserve">2 </w:t>
            </w:r>
            <w:r>
              <w:rPr>
                <w:spacing w:val="8"/>
                <w:sz w:val="20"/>
                <w:szCs w:val="20"/>
              </w:rPr>
              <w:t>套消防系统、</w:t>
            </w:r>
            <w:r>
              <w:rPr>
                <w:rFonts w:ascii="Times New Roman" w:hAnsi="Times New Roman" w:eastAsia="Times New Roman" w:cs="Times New Roman"/>
                <w:spacing w:val="8"/>
                <w:sz w:val="20"/>
                <w:szCs w:val="20"/>
              </w:rPr>
              <w:t xml:space="preserve">2 </w:t>
            </w:r>
            <w:r>
              <w:rPr>
                <w:spacing w:val="8"/>
                <w:sz w:val="20"/>
                <w:szCs w:val="20"/>
              </w:rPr>
              <w:t>套液冷机</w:t>
            </w:r>
            <w:r>
              <w:rPr>
                <w:spacing w:val="7"/>
                <w:sz w:val="20"/>
                <w:szCs w:val="20"/>
              </w:rPr>
              <w:t>组等组成。</w:t>
            </w:r>
          </w:p>
        </w:tc>
        <w:tc>
          <w:tcPr>
            <w:tcW w:w="559" w:type="dxa"/>
            <w:vAlign w:val="top"/>
          </w:tcPr>
          <w:p w14:paraId="59ECE70E">
            <w:pPr>
              <w:spacing w:line="301" w:lineRule="auto"/>
              <w:rPr>
                <w:rFonts w:ascii="Arial"/>
                <w:sz w:val="21"/>
              </w:rPr>
            </w:pPr>
          </w:p>
          <w:p w14:paraId="58BD919C">
            <w:pPr>
              <w:pStyle w:val="6"/>
              <w:spacing w:before="65" w:line="228" w:lineRule="auto"/>
              <w:ind w:left="181"/>
              <w:rPr>
                <w:sz w:val="20"/>
                <w:szCs w:val="20"/>
              </w:rPr>
            </w:pPr>
            <w:r>
              <w:rPr>
                <w:sz w:val="20"/>
                <w:szCs w:val="20"/>
              </w:rPr>
              <w:t>套</w:t>
            </w:r>
          </w:p>
        </w:tc>
        <w:tc>
          <w:tcPr>
            <w:tcW w:w="866" w:type="dxa"/>
            <w:vAlign w:val="top"/>
          </w:tcPr>
          <w:p w14:paraId="72046C35">
            <w:pPr>
              <w:spacing w:line="344" w:lineRule="auto"/>
              <w:rPr>
                <w:rFonts w:ascii="Arial"/>
                <w:sz w:val="21"/>
              </w:rPr>
            </w:pPr>
          </w:p>
          <w:p w14:paraId="6D7DDAB5">
            <w:pPr>
              <w:spacing w:before="57"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14:paraId="57AAE3AA">
      <w:pPr>
        <w:pStyle w:val="2"/>
        <w:spacing w:before="172" w:line="220" w:lineRule="auto"/>
        <w:ind w:left="116"/>
        <w:outlineLvl w:val="1"/>
        <w:rPr>
          <w:sz w:val="28"/>
          <w:szCs w:val="28"/>
        </w:rPr>
      </w:pPr>
      <w:r>
        <w:rPr>
          <w:rFonts w:ascii="Times New Roman" w:hAnsi="Times New Roman" w:eastAsia="Times New Roman" w:cs="Times New Roman"/>
          <w:b/>
          <w:bCs/>
          <w:spacing w:val="-6"/>
          <w:sz w:val="28"/>
          <w:szCs w:val="28"/>
        </w:rPr>
        <w:t>3.2</w:t>
      </w:r>
      <w:r>
        <w:rPr>
          <w:rFonts w:ascii="Times New Roman" w:hAnsi="Times New Roman" w:eastAsia="Times New Roman" w:cs="Times New Roman"/>
          <w:b/>
          <w:bCs/>
          <w:spacing w:val="53"/>
          <w:sz w:val="28"/>
          <w:szCs w:val="28"/>
        </w:rPr>
        <w:t xml:space="preserve"> </w:t>
      </w:r>
      <w:r>
        <w:rPr>
          <w:b/>
          <w:bCs/>
          <w:spacing w:val="-6"/>
          <w:sz w:val="28"/>
          <w:szCs w:val="28"/>
        </w:rPr>
        <w:t>电磁环境影响因素识别</w:t>
      </w:r>
    </w:p>
    <w:p w14:paraId="6AA3996F">
      <w:pPr>
        <w:pStyle w:val="2"/>
        <w:spacing w:before="234" w:line="220" w:lineRule="auto"/>
        <w:ind w:left="115"/>
        <w:outlineLvl w:val="2"/>
      </w:pPr>
      <w:r>
        <w:rPr>
          <w:rFonts w:ascii="Times New Roman" w:hAnsi="Times New Roman" w:eastAsia="Times New Roman" w:cs="Times New Roman"/>
          <w:b/>
          <w:bCs/>
          <w:spacing w:val="-5"/>
        </w:rPr>
        <w:t>3.2.1</w:t>
      </w:r>
      <w:r>
        <w:rPr>
          <w:rFonts w:ascii="Times New Roman" w:hAnsi="Times New Roman" w:eastAsia="Times New Roman" w:cs="Times New Roman"/>
          <w:b/>
          <w:bCs/>
          <w:spacing w:val="47"/>
        </w:rPr>
        <w:t xml:space="preserve"> </w:t>
      </w:r>
      <w:r>
        <w:rPr>
          <w:b/>
          <w:bCs/>
          <w:spacing w:val="-5"/>
        </w:rPr>
        <w:t>电磁环境影响因子</w:t>
      </w:r>
    </w:p>
    <w:p w14:paraId="303DF744">
      <w:pPr>
        <w:pStyle w:val="2"/>
        <w:spacing w:before="181" w:line="347" w:lineRule="auto"/>
        <w:ind w:left="139" w:right="110" w:firstLine="461"/>
      </w:pPr>
      <w:r>
        <w:rPr>
          <w:spacing w:val="-2"/>
        </w:rPr>
        <w:t>根据《环境影响评价技术导则 输变电》（</w:t>
      </w:r>
      <w:r>
        <w:rPr>
          <w:rFonts w:ascii="Times New Roman" w:hAnsi="Times New Roman" w:eastAsia="Times New Roman" w:cs="Times New Roman"/>
          <w:spacing w:val="-2"/>
        </w:rPr>
        <w:t>HJ24-20</w:t>
      </w:r>
      <w:r>
        <w:rPr>
          <w:rFonts w:ascii="Times New Roman" w:hAnsi="Times New Roman" w:eastAsia="Times New Roman" w:cs="Times New Roman"/>
          <w:spacing w:val="-3"/>
        </w:rPr>
        <w:t>20</w:t>
      </w:r>
      <w:r>
        <w:rPr>
          <w:spacing w:val="-3"/>
        </w:rPr>
        <w:t>）表</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1"/>
        </w:rPr>
        <w:t xml:space="preserve"> </w:t>
      </w:r>
      <w:r>
        <w:rPr>
          <w:spacing w:val="-3"/>
        </w:rPr>
        <w:t>，项目电磁影响</w:t>
      </w:r>
      <w:r>
        <w:t xml:space="preserve"> </w:t>
      </w:r>
      <w:r>
        <w:rPr>
          <w:spacing w:val="-2"/>
        </w:rPr>
        <w:t>因子主要为运营期升压站产生的工频电场、工频磁场。</w:t>
      </w:r>
    </w:p>
    <w:p w14:paraId="0F404251">
      <w:pPr>
        <w:spacing w:line="347" w:lineRule="auto"/>
        <w:sectPr>
          <w:footerReference r:id="rId186" w:type="default"/>
          <w:pgSz w:w="11906" w:h="16839"/>
          <w:pgMar w:top="1431" w:right="1689" w:bottom="1177" w:left="1688" w:header="0" w:footer="987" w:gutter="0"/>
          <w:cols w:space="720" w:num="1"/>
        </w:sectPr>
      </w:pPr>
    </w:p>
    <w:p w14:paraId="1EE3FB57">
      <w:pPr>
        <w:pStyle w:val="2"/>
        <w:spacing w:before="122" w:line="220" w:lineRule="auto"/>
        <w:ind w:left="17"/>
        <w:outlineLvl w:val="2"/>
      </w:pPr>
      <w:r>
        <w:rPr>
          <w:rFonts w:ascii="Times New Roman" w:hAnsi="Times New Roman" w:eastAsia="Times New Roman" w:cs="Times New Roman"/>
          <w:b/>
          <w:bCs/>
          <w:spacing w:val="-2"/>
        </w:rPr>
        <w:t xml:space="preserve">3.2.2 </w:t>
      </w:r>
      <w:r>
        <w:rPr>
          <w:b/>
          <w:bCs/>
          <w:spacing w:val="-2"/>
        </w:rPr>
        <w:t>主要污染工序和污染物</w:t>
      </w:r>
    </w:p>
    <w:p w14:paraId="601662AE">
      <w:pPr>
        <w:pStyle w:val="2"/>
        <w:spacing w:before="182" w:line="219" w:lineRule="auto"/>
        <w:ind w:left="514"/>
      </w:pPr>
      <w:r>
        <w:rPr>
          <w:spacing w:val="-3"/>
        </w:rPr>
        <w:t>（</w:t>
      </w:r>
      <w:r>
        <w:rPr>
          <w:rFonts w:ascii="Times New Roman" w:hAnsi="Times New Roman" w:eastAsia="Times New Roman" w:cs="Times New Roman"/>
          <w:spacing w:val="-3"/>
        </w:rPr>
        <w:t>1</w:t>
      </w:r>
      <w:r>
        <w:rPr>
          <w:spacing w:val="-3"/>
        </w:rPr>
        <w:t>）产污环节分析</w:t>
      </w:r>
    </w:p>
    <w:p w14:paraId="0DE11547">
      <w:pPr>
        <w:pStyle w:val="2"/>
        <w:spacing w:before="182" w:line="358" w:lineRule="auto"/>
        <w:ind w:left="16" w:right="13" w:firstLine="489"/>
        <w:jc w:val="both"/>
      </w:pPr>
      <w:r>
        <w:rPr>
          <w:spacing w:val="-3"/>
        </w:rPr>
        <w:t>升压站内带电设备的上层有相互交叉的带电导线，下层有各</w:t>
      </w:r>
      <w:r>
        <w:rPr>
          <w:spacing w:val="-4"/>
        </w:rPr>
        <w:t>种形状带电的电</w:t>
      </w:r>
      <w:r>
        <w:t xml:space="preserve"> </w:t>
      </w:r>
      <w:r>
        <w:rPr>
          <w:spacing w:val="-3"/>
        </w:rPr>
        <w:t>气设备以及设备连接导线，电极形状复杂，数量很多，在它们周围空间形成了一</w:t>
      </w:r>
      <w:r>
        <w:rPr>
          <w:spacing w:val="6"/>
        </w:rPr>
        <w:t xml:space="preserve"> </w:t>
      </w:r>
      <w:r>
        <w:rPr>
          <w:spacing w:val="-3"/>
        </w:rPr>
        <w:t>个比较复杂的交变工频电场、工频磁场。这种高电场的影响之一是对周围地区的</w:t>
      </w:r>
      <w:r>
        <w:rPr>
          <w:spacing w:val="8"/>
        </w:rPr>
        <w:t xml:space="preserve"> </w:t>
      </w:r>
      <w:r>
        <w:rPr>
          <w:spacing w:val="-3"/>
        </w:rPr>
        <w:t>静电感应问题，即升压站周围存在一定的工频电、磁场。输电线路当有电流通过</w:t>
      </w:r>
      <w:r>
        <w:rPr>
          <w:spacing w:val="8"/>
        </w:rPr>
        <w:t xml:space="preserve"> </w:t>
      </w:r>
      <w:r>
        <w:rPr>
          <w:spacing w:val="-3"/>
        </w:rPr>
        <w:t>时，会产生一定强度的工频电、磁场。电场带强度是用沿某方向单位距离内带电</w:t>
      </w:r>
      <w:r>
        <w:rPr>
          <w:spacing w:val="8"/>
        </w:rPr>
        <w:t xml:space="preserve"> </w:t>
      </w:r>
      <w:r>
        <w:rPr>
          <w:spacing w:val="-2"/>
        </w:rPr>
        <w:t>位差（即</w:t>
      </w:r>
      <w:r>
        <w:rPr>
          <w:rFonts w:ascii="Times New Roman" w:hAnsi="Times New Roman" w:eastAsia="Times New Roman" w:cs="Times New Roman"/>
          <w:spacing w:val="-2"/>
        </w:rPr>
        <w:t>“</w:t>
      </w:r>
      <w:r>
        <w:rPr>
          <w:spacing w:val="-2"/>
        </w:rPr>
        <w:t>电压</w:t>
      </w:r>
      <w:r>
        <w:rPr>
          <w:rFonts w:ascii="Times New Roman" w:hAnsi="Times New Roman" w:eastAsia="Times New Roman" w:cs="Times New Roman"/>
          <w:spacing w:val="-2"/>
        </w:rPr>
        <w:t>”</w:t>
      </w:r>
      <w:r>
        <w:rPr>
          <w:spacing w:val="-2"/>
        </w:rPr>
        <w:t>）来度量，电场强度计量单位为每米带伏特数或千伏数（</w:t>
      </w:r>
      <w:r>
        <w:rPr>
          <w:rFonts w:ascii="Times New Roman" w:hAnsi="Times New Roman" w:eastAsia="Times New Roman" w:cs="Times New Roman"/>
          <w:spacing w:val="-2"/>
        </w:rPr>
        <w:t xml:space="preserve">V/m </w:t>
      </w:r>
      <w:r>
        <w:rPr>
          <w:spacing w:val="-2"/>
        </w:rPr>
        <w:t>或</w:t>
      </w:r>
      <w:r>
        <w:t xml:space="preserve"> </w:t>
      </w:r>
      <w:r>
        <w:rPr>
          <w:rFonts w:ascii="Times New Roman" w:hAnsi="Times New Roman" w:eastAsia="Times New Roman" w:cs="Times New Roman"/>
          <w:spacing w:val="-1"/>
        </w:rPr>
        <w:t>kV/m</w:t>
      </w:r>
      <w:r>
        <w:rPr>
          <w:spacing w:val="-1"/>
        </w:rPr>
        <w:t>）。</w:t>
      </w:r>
    </w:p>
    <w:p w14:paraId="4BB7B72D">
      <w:pPr>
        <w:pStyle w:val="2"/>
        <w:spacing w:before="19" w:line="219" w:lineRule="auto"/>
        <w:ind w:left="514"/>
      </w:pPr>
      <w:r>
        <w:rPr>
          <w:spacing w:val="-3"/>
        </w:rPr>
        <w:t>（</w:t>
      </w:r>
      <w:r>
        <w:rPr>
          <w:rFonts w:ascii="Times New Roman" w:hAnsi="Times New Roman" w:eastAsia="Times New Roman" w:cs="Times New Roman"/>
          <w:spacing w:val="-3"/>
        </w:rPr>
        <w:t>2</w:t>
      </w:r>
      <w:r>
        <w:rPr>
          <w:spacing w:val="-3"/>
        </w:rPr>
        <w:t>）污染特性</w:t>
      </w:r>
    </w:p>
    <w:p w14:paraId="12626F2B">
      <w:pPr>
        <w:pStyle w:val="2"/>
        <w:spacing w:before="183" w:line="219" w:lineRule="auto"/>
        <w:ind w:left="522"/>
      </w:pPr>
      <w:r>
        <w:rPr>
          <w:rFonts w:ascii="Times New Roman" w:hAnsi="Times New Roman" w:eastAsia="Times New Roman" w:cs="Times New Roman"/>
          <w:spacing w:val="-3"/>
        </w:rPr>
        <w:t>1</w:t>
      </w:r>
      <w:r>
        <w:rPr>
          <w:spacing w:val="-3"/>
        </w:rPr>
        <w:t>）工频电场特性分析</w:t>
      </w:r>
    </w:p>
    <w:p w14:paraId="19AE6110">
      <w:pPr>
        <w:pStyle w:val="2"/>
        <w:spacing w:before="182" w:line="347" w:lineRule="auto"/>
        <w:ind w:left="27" w:right="13" w:firstLine="482"/>
      </w:pPr>
      <w:r>
        <w:rPr>
          <w:spacing w:val="-3"/>
        </w:rPr>
        <w:t>带电导线在周围空间产生工频电场，因交流电频</w:t>
      </w:r>
      <w:r>
        <w:rPr>
          <w:spacing w:val="-4"/>
        </w:rPr>
        <w:t>率极低，具有如下静电场的</w:t>
      </w:r>
      <w:r>
        <w:t xml:space="preserve"> </w:t>
      </w:r>
      <w:r>
        <w:rPr>
          <w:spacing w:val="-3"/>
        </w:rPr>
        <w:t>一些特性：</w:t>
      </w:r>
    </w:p>
    <w:p w14:paraId="1EEAE10F">
      <w:pPr>
        <w:pStyle w:val="2"/>
        <w:spacing w:before="34" w:line="217" w:lineRule="auto"/>
        <w:ind w:left="502"/>
      </w:pPr>
      <w:r>
        <w:rPr>
          <w:spacing w:val="-1"/>
        </w:rPr>
        <w:t>①电场强度大小与导线相对于大地的电压成正比；</w:t>
      </w:r>
    </w:p>
    <w:p w14:paraId="1598D5A8">
      <w:pPr>
        <w:pStyle w:val="2"/>
        <w:spacing w:before="185" w:line="290" w:lineRule="auto"/>
        <w:ind w:left="23" w:right="13" w:firstLine="478"/>
      </w:pPr>
      <w:r>
        <w:rPr>
          <w:spacing w:val="-3"/>
        </w:rPr>
        <w:t>②电场中的导电物体（如建筑物、树林、土壤等）会使电场严重畸</w:t>
      </w:r>
      <w:r>
        <w:rPr>
          <w:spacing w:val="-4"/>
        </w:rPr>
        <w:t>变，从而</w:t>
      </w:r>
      <w:r>
        <w:t xml:space="preserve"> </w:t>
      </w:r>
      <w:r>
        <w:rPr>
          <w:spacing w:val="-1"/>
        </w:rPr>
        <w:t>产生一定的屏蔽作用。</w:t>
      </w:r>
    </w:p>
    <w:p w14:paraId="1D5C272C">
      <w:pPr>
        <w:pStyle w:val="2"/>
        <w:spacing w:before="184" w:line="219" w:lineRule="auto"/>
        <w:ind w:left="499"/>
      </w:pPr>
      <w:r>
        <w:rPr>
          <w:rFonts w:ascii="Times New Roman" w:hAnsi="Times New Roman" w:eastAsia="Times New Roman" w:cs="Times New Roman"/>
          <w:spacing w:val="-1"/>
        </w:rPr>
        <w:t>2</w:t>
      </w:r>
      <w:r>
        <w:rPr>
          <w:spacing w:val="-1"/>
        </w:rPr>
        <w:t>）工频磁场特性分析</w:t>
      </w:r>
    </w:p>
    <w:p w14:paraId="747ACE08">
      <w:pPr>
        <w:pStyle w:val="2"/>
        <w:spacing w:before="183" w:line="217" w:lineRule="auto"/>
        <w:ind w:left="502"/>
      </w:pPr>
      <w:r>
        <w:rPr>
          <w:spacing w:val="-1"/>
        </w:rPr>
        <w:t>①工频磁场强度的大小仅与电流大小有关，而与电压无关；</w:t>
      </w:r>
    </w:p>
    <w:p w14:paraId="1C9877CE">
      <w:pPr>
        <w:pStyle w:val="2"/>
        <w:spacing w:before="186" w:line="289" w:lineRule="auto"/>
        <w:ind w:left="24" w:right="13" w:firstLine="477"/>
      </w:pPr>
      <w:r>
        <w:t>②</w:t>
      </w:r>
      <w:r>
        <w:rPr>
          <w:rFonts w:ascii="Times New Roman" w:hAnsi="Times New Roman" w:eastAsia="Times New Roman" w:cs="Times New Roman"/>
        </w:rPr>
        <w:t>50Hz</w:t>
      </w:r>
      <w:r>
        <w:rPr>
          <w:rFonts w:ascii="Times New Roman" w:hAnsi="Times New Roman" w:eastAsia="Times New Roman" w:cs="Times New Roman"/>
          <w:spacing w:val="30"/>
          <w:w w:val="101"/>
        </w:rPr>
        <w:t xml:space="preserve"> </w:t>
      </w:r>
      <w:r>
        <w:t>的工频磁场能很容易穿透大多数的物体（如建</w:t>
      </w:r>
      <w:r>
        <w:rPr>
          <w:spacing w:val="-1"/>
        </w:rPr>
        <w:t>筑物或人</w:t>
      </w:r>
      <w:r>
        <w:rPr>
          <w:spacing w:val="7"/>
        </w:rPr>
        <w:t>），</w:t>
      </w:r>
      <w:r>
        <w:rPr>
          <w:spacing w:val="-1"/>
        </w:rPr>
        <w:t>且不受</w:t>
      </w:r>
      <w:r>
        <w:t xml:space="preserve"> </w:t>
      </w:r>
      <w:r>
        <w:rPr>
          <w:spacing w:val="-2"/>
        </w:rPr>
        <w:t>这些物体的干扰；</w:t>
      </w:r>
    </w:p>
    <w:p w14:paraId="5827A1C6">
      <w:pPr>
        <w:pStyle w:val="2"/>
        <w:spacing w:before="184" w:line="288" w:lineRule="auto"/>
        <w:ind w:left="42" w:right="13" w:firstLine="459"/>
      </w:pPr>
      <w:r>
        <w:rPr>
          <w:spacing w:val="-3"/>
        </w:rPr>
        <w:t>③从理论上讲，由于三相交流带电导线中各相电流的有效值相等、</w:t>
      </w:r>
      <w:r>
        <w:rPr>
          <w:spacing w:val="-4"/>
        </w:rPr>
        <w:t>相位互差</w:t>
      </w:r>
      <w:r>
        <w:t xml:space="preserve"> </w:t>
      </w:r>
      <w:r>
        <w:rPr>
          <w:rFonts w:ascii="Times New Roman" w:hAnsi="Times New Roman" w:eastAsia="Times New Roman" w:cs="Times New Roman"/>
          <w:spacing w:val="-4"/>
        </w:rPr>
        <w:t>120°</w:t>
      </w:r>
      <w:r>
        <w:rPr>
          <w:rFonts w:ascii="Times New Roman" w:hAnsi="Times New Roman" w:eastAsia="Times New Roman" w:cs="Times New Roman"/>
          <w:spacing w:val="-20"/>
        </w:rPr>
        <w:t xml:space="preserve"> </w:t>
      </w:r>
      <w:r>
        <w:rPr>
          <w:spacing w:val="-4"/>
        </w:rPr>
        <w:t>,</w:t>
      </w:r>
      <w:r>
        <w:rPr>
          <w:spacing w:val="62"/>
        </w:rPr>
        <w:t xml:space="preserve"> </w:t>
      </w:r>
      <w:r>
        <w:rPr>
          <w:spacing w:val="-4"/>
        </w:rPr>
        <w:t>所以在距带电导线较远处产生的工频磁场相互抵消，近似为零。</w:t>
      </w:r>
    </w:p>
    <w:p w14:paraId="6F771F47">
      <w:pPr>
        <w:spacing w:line="288" w:lineRule="auto"/>
        <w:sectPr>
          <w:footerReference r:id="rId187" w:type="default"/>
          <w:pgSz w:w="11906" w:h="16839"/>
          <w:pgMar w:top="1431" w:right="1785" w:bottom="1175" w:left="1785" w:header="0" w:footer="987" w:gutter="0"/>
          <w:cols w:space="720" w:num="1"/>
        </w:sectPr>
      </w:pPr>
    </w:p>
    <w:p w14:paraId="5077AF51">
      <w:pPr>
        <w:pStyle w:val="2"/>
        <w:spacing w:before="172" w:line="219" w:lineRule="auto"/>
        <w:ind w:left="119"/>
        <w:outlineLvl w:val="0"/>
        <w:rPr>
          <w:sz w:val="30"/>
          <w:szCs w:val="30"/>
        </w:rPr>
      </w:pPr>
      <w:bookmarkStart w:id="28" w:name="bookmark20"/>
      <w:bookmarkEnd w:id="28"/>
      <w:r>
        <w:rPr>
          <w:rFonts w:ascii="Times New Roman" w:hAnsi="Times New Roman" w:eastAsia="Times New Roman" w:cs="Times New Roman"/>
          <w:b/>
          <w:bCs/>
          <w:spacing w:val="-10"/>
          <w:sz w:val="30"/>
          <w:szCs w:val="30"/>
        </w:rPr>
        <w:t>4</w:t>
      </w:r>
      <w:r>
        <w:rPr>
          <w:rFonts w:ascii="Times New Roman" w:hAnsi="Times New Roman" w:eastAsia="Times New Roman" w:cs="Times New Roman"/>
          <w:b/>
          <w:bCs/>
          <w:spacing w:val="47"/>
          <w:w w:val="101"/>
          <w:sz w:val="30"/>
          <w:szCs w:val="30"/>
        </w:rPr>
        <w:t xml:space="preserve"> </w:t>
      </w:r>
      <w:r>
        <w:rPr>
          <w:b/>
          <w:bCs/>
          <w:spacing w:val="-10"/>
          <w:sz w:val="30"/>
          <w:szCs w:val="30"/>
        </w:rPr>
        <w:t>电磁环境现状</w:t>
      </w:r>
    </w:p>
    <w:p w14:paraId="1DD7F40C">
      <w:pPr>
        <w:pStyle w:val="2"/>
        <w:spacing w:before="218" w:line="351" w:lineRule="auto"/>
        <w:ind w:left="121" w:right="110" w:firstLine="480"/>
        <w:jc w:val="both"/>
      </w:pPr>
      <w:r>
        <w:rPr>
          <w:spacing w:val="4"/>
        </w:rPr>
        <w:t>本次电磁辐射影响主要存在于项目</w:t>
      </w:r>
      <w:r>
        <w:rPr>
          <w:rFonts w:ascii="Times New Roman" w:hAnsi="Times New Roman" w:eastAsia="Times New Roman" w:cs="Times New Roman"/>
          <w:spacing w:val="4"/>
        </w:rPr>
        <w:t>220</w:t>
      </w:r>
      <w:r>
        <w:rPr>
          <w:rFonts w:ascii="Times New Roman" w:hAnsi="Times New Roman" w:eastAsia="Times New Roman" w:cs="Times New Roman"/>
        </w:rPr>
        <w:t>kV</w:t>
      </w:r>
      <w:r>
        <w:rPr>
          <w:rFonts w:ascii="Times New Roman" w:hAnsi="Times New Roman" w:eastAsia="Times New Roman" w:cs="Times New Roman"/>
          <w:spacing w:val="4"/>
        </w:rPr>
        <w:t xml:space="preserve"> </w:t>
      </w:r>
      <w:r>
        <w:rPr>
          <w:spacing w:val="4"/>
        </w:rPr>
        <w:t>升压站，本次评价委托云南绿宸</w:t>
      </w:r>
      <w:r>
        <w:rPr>
          <w:spacing w:val="7"/>
        </w:rPr>
        <w:t xml:space="preserve"> </w:t>
      </w:r>
      <w:r>
        <w:rPr>
          <w:spacing w:val="-3"/>
        </w:rPr>
        <w:t>中检联环境检测有限公司在项目拟建升压站中心进行了电磁环境监测，检测基本</w:t>
      </w:r>
      <w:r>
        <w:rPr>
          <w:spacing w:val="1"/>
        </w:rPr>
        <w:t xml:space="preserve"> </w:t>
      </w:r>
      <w:r>
        <w:rPr>
          <w:spacing w:val="-2"/>
        </w:rPr>
        <w:t>信息和检测结果见表</w:t>
      </w:r>
      <w:r>
        <w:rPr>
          <w:spacing w:val="-40"/>
        </w:rPr>
        <w:t xml:space="preserve"> </w:t>
      </w:r>
      <w:r>
        <w:rPr>
          <w:rFonts w:ascii="Times New Roman" w:hAnsi="Times New Roman" w:eastAsia="Times New Roman" w:cs="Times New Roman"/>
          <w:spacing w:val="-2"/>
        </w:rPr>
        <w:t xml:space="preserve">4-1 </w:t>
      </w:r>
      <w:r>
        <w:rPr>
          <w:spacing w:val="-2"/>
        </w:rPr>
        <w:t>和</w:t>
      </w:r>
      <w:r>
        <w:rPr>
          <w:spacing w:val="-56"/>
        </w:rPr>
        <w:t xml:space="preserve"> </w:t>
      </w:r>
      <w:r>
        <w:rPr>
          <w:rFonts w:ascii="Times New Roman" w:hAnsi="Times New Roman" w:eastAsia="Times New Roman" w:cs="Times New Roman"/>
          <w:spacing w:val="-2"/>
        </w:rPr>
        <w:t>4-2</w:t>
      </w:r>
      <w:r>
        <w:rPr>
          <w:spacing w:val="-2"/>
        </w:rPr>
        <w:t>。</w:t>
      </w:r>
    </w:p>
    <w:p w14:paraId="2038E115">
      <w:pPr>
        <w:pStyle w:val="2"/>
        <w:spacing w:before="34" w:line="344" w:lineRule="auto"/>
        <w:ind w:left="124" w:right="110" w:firstLine="480"/>
        <w:jc w:val="both"/>
      </w:pPr>
      <w:r>
        <w:rPr>
          <w:spacing w:val="-3"/>
        </w:rPr>
        <w:t>说明：因拟建升压站区现状为草地，厂界四周无建筑物，</w:t>
      </w:r>
      <w:r>
        <w:rPr>
          <w:spacing w:val="-4"/>
        </w:rPr>
        <w:t>无其他电磁干扰因</w:t>
      </w:r>
      <w:r>
        <w:t xml:space="preserve"> </w:t>
      </w:r>
      <w:r>
        <w:rPr>
          <w:spacing w:val="-5"/>
        </w:rPr>
        <w:t>素，因此本次监测仅在升压站区中心和布设</w:t>
      </w:r>
      <w:r>
        <w:rPr>
          <w:spacing w:val="-31"/>
        </w:rPr>
        <w:t xml:space="preserve"> </w:t>
      </w:r>
      <w:r>
        <w:rPr>
          <w:rFonts w:ascii="Times New Roman" w:hAnsi="Times New Roman" w:eastAsia="Times New Roman" w:cs="Times New Roman"/>
          <w:spacing w:val="-5"/>
        </w:rPr>
        <w:t xml:space="preserve">1 </w:t>
      </w:r>
      <w:r>
        <w:rPr>
          <w:spacing w:val="-5"/>
        </w:rPr>
        <w:t>个监测点位，监测</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6"/>
        </w:rPr>
        <w:t xml:space="preserve"> </w:t>
      </w:r>
      <w:r>
        <w:rPr>
          <w:spacing w:val="-5"/>
        </w:rPr>
        <w:t>次，可代表厂</w:t>
      </w:r>
      <w:r>
        <w:t xml:space="preserve"> </w:t>
      </w:r>
      <w:r>
        <w:rPr>
          <w:spacing w:val="-3"/>
        </w:rPr>
        <w:t>界四周现状。</w:t>
      </w:r>
    </w:p>
    <w:p w14:paraId="26BE40A0">
      <w:pPr>
        <w:pStyle w:val="2"/>
        <w:spacing w:line="227" w:lineRule="auto"/>
        <w:ind w:left="2103"/>
        <w:rPr>
          <w:sz w:val="20"/>
          <w:szCs w:val="20"/>
        </w:rPr>
      </w:pPr>
      <w:r>
        <w:rPr>
          <w:b/>
          <w:bCs/>
          <w:spacing w:val="6"/>
          <w:sz w:val="20"/>
          <w:szCs w:val="20"/>
        </w:rPr>
        <w:t>表</w:t>
      </w:r>
      <w:r>
        <w:rPr>
          <w:spacing w:val="-31"/>
          <w:sz w:val="20"/>
          <w:szCs w:val="20"/>
        </w:rPr>
        <w:t xml:space="preserve"> </w:t>
      </w:r>
      <w:r>
        <w:rPr>
          <w:rFonts w:ascii="Times New Roman" w:hAnsi="Times New Roman" w:eastAsia="Times New Roman" w:cs="Times New Roman"/>
          <w:b/>
          <w:bCs/>
          <w:spacing w:val="6"/>
          <w:sz w:val="20"/>
          <w:szCs w:val="20"/>
        </w:rPr>
        <w:t xml:space="preserve">4-1    </w:t>
      </w:r>
      <w:r>
        <w:rPr>
          <w:b/>
          <w:bCs/>
          <w:spacing w:val="6"/>
          <w:sz w:val="20"/>
          <w:szCs w:val="20"/>
        </w:rPr>
        <w:t>电磁环境监测方法、仪器及条件一览表</w:t>
      </w:r>
    </w:p>
    <w:p w14:paraId="162D18D8">
      <w:pPr>
        <w:spacing w:line="14" w:lineRule="exact"/>
      </w:pPr>
    </w:p>
    <w:tbl>
      <w:tblPr>
        <w:tblStyle w:val="5"/>
        <w:tblW w:w="8422" w:type="dxa"/>
        <w:tblInd w:w="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9"/>
        <w:gridCol w:w="6583"/>
      </w:tblGrid>
      <w:tr w14:paraId="7D194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1839" w:type="dxa"/>
            <w:vAlign w:val="top"/>
          </w:tcPr>
          <w:p w14:paraId="5923AB59">
            <w:pPr>
              <w:pStyle w:val="6"/>
              <w:spacing w:before="55" w:line="228" w:lineRule="auto"/>
              <w:ind w:left="83"/>
              <w:rPr>
                <w:sz w:val="20"/>
                <w:szCs w:val="20"/>
              </w:rPr>
            </w:pPr>
            <w:r>
              <w:rPr>
                <w:spacing w:val="8"/>
                <w:sz w:val="20"/>
                <w:szCs w:val="20"/>
              </w:rPr>
              <w:t>监测所使用的主要</w:t>
            </w:r>
          </w:p>
          <w:p w14:paraId="76824E04">
            <w:pPr>
              <w:pStyle w:val="6"/>
              <w:spacing w:before="64" w:line="228" w:lineRule="auto"/>
              <w:ind w:left="83"/>
              <w:rPr>
                <w:sz w:val="20"/>
                <w:szCs w:val="20"/>
              </w:rPr>
            </w:pPr>
            <w:r>
              <w:rPr>
                <w:spacing w:val="9"/>
                <w:sz w:val="20"/>
                <w:szCs w:val="20"/>
              </w:rPr>
              <w:t>仪器设备名称、型</w:t>
            </w:r>
          </w:p>
          <w:p w14:paraId="25CCEA90">
            <w:pPr>
              <w:pStyle w:val="6"/>
              <w:spacing w:before="65" w:line="228" w:lineRule="auto"/>
              <w:ind w:left="296"/>
              <w:rPr>
                <w:sz w:val="20"/>
                <w:szCs w:val="20"/>
              </w:rPr>
            </w:pPr>
            <w:r>
              <w:rPr>
                <w:spacing w:val="7"/>
                <w:sz w:val="20"/>
                <w:szCs w:val="20"/>
              </w:rPr>
              <w:t>号规格及编号</w:t>
            </w:r>
          </w:p>
        </w:tc>
        <w:tc>
          <w:tcPr>
            <w:tcW w:w="6583" w:type="dxa"/>
            <w:vAlign w:val="top"/>
          </w:tcPr>
          <w:p w14:paraId="7CF63E5E">
            <w:pPr>
              <w:pStyle w:val="6"/>
              <w:spacing w:before="211" w:line="228" w:lineRule="auto"/>
              <w:ind w:left="61"/>
              <w:rPr>
                <w:rFonts w:ascii="Times New Roman" w:hAnsi="Times New Roman" w:eastAsia="Times New Roman" w:cs="Times New Roman"/>
                <w:sz w:val="20"/>
                <w:szCs w:val="20"/>
              </w:rPr>
            </w:pPr>
            <w:r>
              <w:rPr>
                <w:spacing w:val="5"/>
                <w:sz w:val="20"/>
                <w:szCs w:val="20"/>
              </w:rPr>
              <w:t>设备型号及名称：</w:t>
            </w:r>
            <w:r>
              <w:rPr>
                <w:spacing w:val="-48"/>
                <w:sz w:val="20"/>
                <w:szCs w:val="20"/>
              </w:rPr>
              <w:t xml:space="preserve"> </w:t>
            </w:r>
            <w:r>
              <w:rPr>
                <w:spacing w:val="5"/>
                <w:sz w:val="20"/>
                <w:szCs w:val="20"/>
              </w:rPr>
              <w:t>电磁辐射分析仪</w:t>
            </w:r>
            <w:r>
              <w:rPr>
                <w:spacing w:val="-34"/>
                <w:sz w:val="20"/>
                <w:szCs w:val="20"/>
              </w:rPr>
              <w:t xml:space="preserve"> </w:t>
            </w:r>
            <w:r>
              <w:rPr>
                <w:rFonts w:ascii="Times New Roman" w:hAnsi="Times New Roman" w:eastAsia="Times New Roman" w:cs="Times New Roman"/>
                <w:sz w:val="20"/>
                <w:szCs w:val="20"/>
              </w:rPr>
              <w:t>SYET</w:t>
            </w:r>
            <w:r>
              <w:rPr>
                <w:rFonts w:ascii="Times New Roman" w:hAnsi="Times New Roman" w:eastAsia="Times New Roman" w:cs="Times New Roman"/>
                <w:spacing w:val="5"/>
                <w:sz w:val="20"/>
                <w:szCs w:val="20"/>
              </w:rPr>
              <w:t>-550L</w:t>
            </w:r>
          </w:p>
          <w:p w14:paraId="6251BD1F">
            <w:pPr>
              <w:pStyle w:val="6"/>
              <w:spacing w:before="64" w:line="228" w:lineRule="auto"/>
              <w:ind w:left="61"/>
              <w:rPr>
                <w:rFonts w:ascii="Times New Roman" w:hAnsi="Times New Roman" w:eastAsia="Times New Roman" w:cs="Times New Roman"/>
                <w:sz w:val="20"/>
                <w:szCs w:val="20"/>
              </w:rPr>
            </w:pPr>
            <w:r>
              <w:rPr>
                <w:spacing w:val="9"/>
                <w:sz w:val="20"/>
                <w:szCs w:val="20"/>
              </w:rPr>
              <w:t>设备编号：</w:t>
            </w:r>
            <w:r>
              <w:rPr>
                <w:rFonts w:ascii="Times New Roman" w:hAnsi="Times New Roman" w:eastAsia="Times New Roman" w:cs="Times New Roman"/>
                <w:sz w:val="20"/>
                <w:szCs w:val="20"/>
              </w:rPr>
              <w:t>ZJLJCXC</w:t>
            </w:r>
            <w:r>
              <w:rPr>
                <w:rFonts w:ascii="Times New Roman" w:hAnsi="Times New Roman" w:eastAsia="Times New Roman" w:cs="Times New Roman"/>
                <w:spacing w:val="9"/>
                <w:sz w:val="20"/>
                <w:szCs w:val="20"/>
              </w:rPr>
              <w:t>-112</w:t>
            </w:r>
          </w:p>
        </w:tc>
      </w:tr>
      <w:tr w14:paraId="653B7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839" w:type="dxa"/>
            <w:vAlign w:val="top"/>
          </w:tcPr>
          <w:p w14:paraId="3FF59F63">
            <w:pPr>
              <w:pStyle w:val="6"/>
              <w:spacing w:before="65" w:line="228" w:lineRule="auto"/>
              <w:ind w:left="503"/>
              <w:rPr>
                <w:sz w:val="20"/>
                <w:szCs w:val="20"/>
              </w:rPr>
            </w:pPr>
            <w:r>
              <w:rPr>
                <w:spacing w:val="7"/>
                <w:sz w:val="20"/>
                <w:szCs w:val="20"/>
              </w:rPr>
              <w:t>监测单位</w:t>
            </w:r>
          </w:p>
        </w:tc>
        <w:tc>
          <w:tcPr>
            <w:tcW w:w="6583" w:type="dxa"/>
            <w:vAlign w:val="top"/>
          </w:tcPr>
          <w:p w14:paraId="0B1AE531">
            <w:pPr>
              <w:pStyle w:val="6"/>
              <w:spacing w:before="64" w:line="228" w:lineRule="auto"/>
              <w:ind w:left="63"/>
              <w:rPr>
                <w:sz w:val="20"/>
                <w:szCs w:val="20"/>
              </w:rPr>
            </w:pPr>
            <w:r>
              <w:rPr>
                <w:spacing w:val="9"/>
                <w:sz w:val="20"/>
                <w:szCs w:val="20"/>
              </w:rPr>
              <w:t>云南绿宸中检联环境检测有限公司</w:t>
            </w:r>
          </w:p>
        </w:tc>
      </w:tr>
      <w:tr w14:paraId="35464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839" w:type="dxa"/>
            <w:vAlign w:val="top"/>
          </w:tcPr>
          <w:p w14:paraId="2E49B00B">
            <w:pPr>
              <w:pStyle w:val="6"/>
              <w:spacing w:before="207" w:line="228" w:lineRule="auto"/>
              <w:ind w:left="503"/>
              <w:rPr>
                <w:sz w:val="20"/>
                <w:szCs w:val="20"/>
              </w:rPr>
            </w:pPr>
            <w:r>
              <w:rPr>
                <w:spacing w:val="7"/>
                <w:sz w:val="20"/>
                <w:szCs w:val="20"/>
              </w:rPr>
              <w:t>技术指标</w:t>
            </w:r>
          </w:p>
        </w:tc>
        <w:tc>
          <w:tcPr>
            <w:tcW w:w="6583" w:type="dxa"/>
            <w:vAlign w:val="top"/>
          </w:tcPr>
          <w:p w14:paraId="603D7D76">
            <w:pPr>
              <w:pStyle w:val="6"/>
              <w:spacing w:before="51" w:line="228" w:lineRule="auto"/>
              <w:ind w:left="74"/>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29"/>
                <w:sz w:val="20"/>
                <w:szCs w:val="20"/>
              </w:rPr>
              <w:t xml:space="preserve"> </w:t>
            </w:r>
            <w:r>
              <w:rPr>
                <w:spacing w:val="1"/>
                <w:sz w:val="20"/>
                <w:szCs w:val="20"/>
              </w:rPr>
              <w:t>、仪器量程</w:t>
            </w:r>
          </w:p>
          <w:p w14:paraId="58172EC3">
            <w:pPr>
              <w:pStyle w:val="6"/>
              <w:spacing w:before="65" w:line="228" w:lineRule="auto"/>
              <w:ind w:left="82"/>
              <w:rPr>
                <w:rFonts w:ascii="Times New Roman" w:hAnsi="Times New Roman" w:eastAsia="Times New Roman" w:cs="Times New Roman"/>
                <w:sz w:val="20"/>
                <w:szCs w:val="20"/>
              </w:rPr>
            </w:pPr>
            <w:r>
              <w:rPr>
                <w:spacing w:val="4"/>
                <w:sz w:val="20"/>
                <w:szCs w:val="20"/>
              </w:rPr>
              <w:t>电场：</w:t>
            </w:r>
            <w:r>
              <w:rPr>
                <w:rFonts w:ascii="Times New Roman" w:hAnsi="Times New Roman" w:eastAsia="Times New Roman" w:cs="Times New Roman"/>
                <w:spacing w:val="4"/>
                <w:sz w:val="20"/>
                <w:szCs w:val="20"/>
              </w:rPr>
              <w:t>4</w:t>
            </w:r>
            <w:r>
              <w:rPr>
                <w:rFonts w:ascii="Times New Roman" w:hAnsi="Times New Roman" w:eastAsia="Times New Roman" w:cs="Times New Roman"/>
                <w:sz w:val="20"/>
                <w:szCs w:val="20"/>
              </w:rPr>
              <w:t>mV</w:t>
            </w:r>
            <w:r>
              <w:rPr>
                <w:rFonts w:ascii="Times New Roman" w:hAnsi="Times New Roman" w:eastAsia="Times New Roman" w:cs="Times New Roman"/>
                <w:spacing w:val="4"/>
                <w:sz w:val="20"/>
                <w:szCs w:val="20"/>
              </w:rPr>
              <w:t>/m-100</w:t>
            </w:r>
            <w:r>
              <w:rPr>
                <w:rFonts w:ascii="Times New Roman" w:hAnsi="Times New Roman" w:eastAsia="Times New Roman" w:cs="Times New Roman"/>
                <w:sz w:val="20"/>
                <w:szCs w:val="20"/>
              </w:rPr>
              <w:t>kV</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5"/>
                <w:sz w:val="20"/>
                <w:szCs w:val="20"/>
              </w:rPr>
              <w:t xml:space="preserve"> </w:t>
            </w:r>
            <w:r>
              <w:rPr>
                <w:spacing w:val="4"/>
                <w:sz w:val="20"/>
                <w:szCs w:val="20"/>
              </w:rPr>
              <w:t>，磁场：</w:t>
            </w:r>
            <w:r>
              <w:rPr>
                <w:rFonts w:ascii="Times New Roman" w:hAnsi="Times New Roman" w:eastAsia="Times New Roman" w:cs="Times New Roman"/>
                <w:spacing w:val="4"/>
                <w:sz w:val="20"/>
                <w:szCs w:val="20"/>
              </w:rPr>
              <w:t>0.3</w:t>
            </w:r>
            <w:r>
              <w:rPr>
                <w:rFonts w:ascii="Times New Roman" w:hAnsi="Times New Roman" w:eastAsia="Times New Roman" w:cs="Times New Roman"/>
                <w:sz w:val="20"/>
                <w:szCs w:val="20"/>
              </w:rPr>
              <w:t>nT</w:t>
            </w:r>
            <w:r>
              <w:rPr>
                <w:rFonts w:ascii="Times New Roman" w:hAnsi="Times New Roman" w:eastAsia="Times New Roman" w:cs="Times New Roman"/>
                <w:spacing w:val="4"/>
                <w:sz w:val="20"/>
                <w:szCs w:val="20"/>
              </w:rPr>
              <w:t>- 40</w:t>
            </w:r>
            <w:r>
              <w:rPr>
                <w:rFonts w:ascii="Times New Roman" w:hAnsi="Times New Roman" w:eastAsia="Times New Roman" w:cs="Times New Roman"/>
                <w:sz w:val="20"/>
                <w:szCs w:val="20"/>
              </w:rPr>
              <w:t>mT</w:t>
            </w:r>
          </w:p>
        </w:tc>
      </w:tr>
      <w:tr w14:paraId="4F794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1839" w:type="dxa"/>
            <w:vAlign w:val="top"/>
          </w:tcPr>
          <w:p w14:paraId="4399C36F">
            <w:pPr>
              <w:spacing w:line="303" w:lineRule="auto"/>
              <w:rPr>
                <w:rFonts w:ascii="Arial"/>
                <w:sz w:val="21"/>
              </w:rPr>
            </w:pPr>
          </w:p>
          <w:p w14:paraId="1BCB62B5">
            <w:pPr>
              <w:spacing w:line="304" w:lineRule="auto"/>
              <w:rPr>
                <w:rFonts w:ascii="Arial"/>
                <w:sz w:val="21"/>
              </w:rPr>
            </w:pPr>
          </w:p>
          <w:p w14:paraId="44B6076E">
            <w:pPr>
              <w:pStyle w:val="6"/>
              <w:spacing w:before="65" w:line="228" w:lineRule="auto"/>
              <w:ind w:left="292"/>
              <w:rPr>
                <w:sz w:val="20"/>
                <w:szCs w:val="20"/>
              </w:rPr>
            </w:pPr>
            <w:r>
              <w:rPr>
                <w:spacing w:val="8"/>
                <w:sz w:val="20"/>
                <w:szCs w:val="20"/>
              </w:rPr>
              <w:t>监测环境条件</w:t>
            </w:r>
          </w:p>
        </w:tc>
        <w:tc>
          <w:tcPr>
            <w:tcW w:w="6583" w:type="dxa"/>
            <w:vAlign w:val="top"/>
          </w:tcPr>
          <w:p w14:paraId="40C8CC30">
            <w:pPr>
              <w:pStyle w:val="6"/>
              <w:spacing w:before="51" w:line="228" w:lineRule="auto"/>
              <w:ind w:left="59"/>
              <w:rPr>
                <w:sz w:val="20"/>
                <w:szCs w:val="20"/>
              </w:rPr>
            </w:pPr>
            <w:r>
              <w:rPr>
                <w:spacing w:val="3"/>
                <w:sz w:val="20"/>
                <w:szCs w:val="20"/>
              </w:rPr>
              <w:t>监测日期：</w:t>
            </w:r>
            <w:r>
              <w:rPr>
                <w:rFonts w:ascii="Times New Roman" w:hAnsi="Times New Roman" w:eastAsia="Times New Roman" w:cs="Times New Roman"/>
                <w:spacing w:val="3"/>
                <w:sz w:val="20"/>
                <w:szCs w:val="20"/>
              </w:rPr>
              <w:t xml:space="preserve">2025 </w:t>
            </w:r>
            <w:r>
              <w:rPr>
                <w:spacing w:val="3"/>
                <w:sz w:val="20"/>
                <w:szCs w:val="20"/>
              </w:rPr>
              <w:t>年</w:t>
            </w:r>
            <w:r>
              <w:rPr>
                <w:spacing w:val="-30"/>
                <w:sz w:val="20"/>
                <w:szCs w:val="20"/>
              </w:rPr>
              <w:t xml:space="preserve"> </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17"/>
                <w:w w:val="101"/>
                <w:sz w:val="20"/>
                <w:szCs w:val="20"/>
              </w:rPr>
              <w:t xml:space="preserve"> </w:t>
            </w:r>
            <w:r>
              <w:rPr>
                <w:spacing w:val="3"/>
                <w:sz w:val="20"/>
                <w:szCs w:val="20"/>
              </w:rPr>
              <w:t>月</w:t>
            </w:r>
            <w:r>
              <w:rPr>
                <w:spacing w:val="-43"/>
                <w:sz w:val="20"/>
                <w:szCs w:val="20"/>
              </w:rPr>
              <w:t xml:space="preserve"> </w:t>
            </w:r>
            <w:r>
              <w:rPr>
                <w:rFonts w:ascii="Times New Roman" w:hAnsi="Times New Roman" w:eastAsia="Times New Roman" w:cs="Times New Roman"/>
                <w:spacing w:val="3"/>
                <w:sz w:val="20"/>
                <w:szCs w:val="20"/>
              </w:rPr>
              <w:t xml:space="preserve">28  </w:t>
            </w:r>
            <w:r>
              <w:rPr>
                <w:spacing w:val="3"/>
                <w:sz w:val="20"/>
                <w:szCs w:val="20"/>
              </w:rPr>
              <w:t>日</w:t>
            </w:r>
          </w:p>
          <w:p w14:paraId="6953D30B">
            <w:pPr>
              <w:pStyle w:val="6"/>
              <w:spacing w:before="65" w:line="228" w:lineRule="auto"/>
              <w:ind w:left="62"/>
              <w:rPr>
                <w:sz w:val="20"/>
                <w:szCs w:val="20"/>
              </w:rPr>
            </w:pPr>
            <w:r>
              <w:rPr>
                <w:spacing w:val="8"/>
                <w:sz w:val="20"/>
                <w:szCs w:val="20"/>
              </w:rPr>
              <w:t>天气：晴</w:t>
            </w:r>
          </w:p>
          <w:p w14:paraId="014764BC">
            <w:pPr>
              <w:pStyle w:val="6"/>
              <w:spacing w:before="64" w:line="228" w:lineRule="auto"/>
              <w:ind w:left="58"/>
              <w:rPr>
                <w:rFonts w:ascii="Times New Roman" w:hAnsi="Times New Roman" w:eastAsia="Times New Roman" w:cs="Times New Roman"/>
                <w:sz w:val="20"/>
                <w:szCs w:val="20"/>
              </w:rPr>
            </w:pPr>
            <w:r>
              <w:rPr>
                <w:spacing w:val="4"/>
                <w:sz w:val="20"/>
                <w:szCs w:val="20"/>
              </w:rPr>
              <w:t>环境温度：</w:t>
            </w:r>
            <w:r>
              <w:rPr>
                <w:rFonts w:ascii="Times New Roman" w:hAnsi="Times New Roman" w:eastAsia="Times New Roman" w:cs="Times New Roman"/>
                <w:spacing w:val="4"/>
                <w:sz w:val="20"/>
                <w:szCs w:val="20"/>
              </w:rPr>
              <w:t>20.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w:t>
            </w:r>
          </w:p>
          <w:p w14:paraId="3ACEA32F">
            <w:pPr>
              <w:pStyle w:val="6"/>
              <w:spacing w:before="65" w:line="228" w:lineRule="auto"/>
              <w:ind w:left="58"/>
              <w:rPr>
                <w:rFonts w:ascii="Times New Roman" w:hAnsi="Times New Roman" w:eastAsia="Times New Roman" w:cs="Times New Roman"/>
                <w:sz w:val="20"/>
                <w:szCs w:val="20"/>
              </w:rPr>
            </w:pPr>
            <w:r>
              <w:rPr>
                <w:spacing w:val="6"/>
                <w:sz w:val="20"/>
                <w:szCs w:val="20"/>
              </w:rPr>
              <w:t>相对湿度：</w:t>
            </w:r>
            <w:r>
              <w:rPr>
                <w:rFonts w:ascii="Times New Roman" w:hAnsi="Times New Roman" w:eastAsia="Times New Roman" w:cs="Times New Roman"/>
                <w:spacing w:val="6"/>
                <w:sz w:val="20"/>
                <w:szCs w:val="20"/>
              </w:rPr>
              <w:t>50.3%</w:t>
            </w:r>
          </w:p>
          <w:p w14:paraId="2EB61DE5">
            <w:pPr>
              <w:pStyle w:val="6"/>
              <w:spacing w:before="65" w:line="228" w:lineRule="auto"/>
              <w:ind w:left="59"/>
              <w:rPr>
                <w:rFonts w:ascii="Times New Roman" w:hAnsi="Times New Roman" w:eastAsia="Times New Roman" w:cs="Times New Roman"/>
                <w:sz w:val="20"/>
                <w:szCs w:val="20"/>
              </w:rPr>
            </w:pPr>
            <w:r>
              <w:rPr>
                <w:spacing w:val="2"/>
                <w:sz w:val="20"/>
                <w:szCs w:val="20"/>
              </w:rPr>
              <w:t>风速：</w:t>
            </w:r>
            <w:r>
              <w:rPr>
                <w:rFonts w:ascii="Times New Roman" w:hAnsi="Times New Roman" w:eastAsia="Times New Roman" w:cs="Times New Roman"/>
                <w:spacing w:val="2"/>
                <w:sz w:val="20"/>
                <w:szCs w:val="20"/>
              </w:rPr>
              <w:t>2.0~3.0m/s</w:t>
            </w:r>
          </w:p>
        </w:tc>
      </w:tr>
      <w:tr w14:paraId="04BFA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1839" w:type="dxa"/>
            <w:vAlign w:val="top"/>
          </w:tcPr>
          <w:p w14:paraId="76CD04BF">
            <w:pPr>
              <w:spacing w:line="303" w:lineRule="auto"/>
              <w:rPr>
                <w:rFonts w:ascii="Arial"/>
                <w:sz w:val="21"/>
              </w:rPr>
            </w:pPr>
          </w:p>
          <w:p w14:paraId="79B20D47">
            <w:pPr>
              <w:pStyle w:val="6"/>
              <w:spacing w:before="65" w:line="229" w:lineRule="auto"/>
              <w:ind w:left="186"/>
              <w:rPr>
                <w:sz w:val="20"/>
                <w:szCs w:val="20"/>
              </w:rPr>
            </w:pPr>
            <w:r>
              <w:rPr>
                <w:spacing w:val="8"/>
                <w:sz w:val="20"/>
                <w:szCs w:val="20"/>
              </w:rPr>
              <w:t>监测地点及描述</w:t>
            </w:r>
          </w:p>
        </w:tc>
        <w:tc>
          <w:tcPr>
            <w:tcW w:w="6583" w:type="dxa"/>
            <w:vAlign w:val="top"/>
          </w:tcPr>
          <w:p w14:paraId="24AD475F">
            <w:pPr>
              <w:pStyle w:val="6"/>
              <w:spacing w:before="58" w:line="270" w:lineRule="auto"/>
              <w:ind w:left="56" w:right="57" w:firstLine="17"/>
              <w:rPr>
                <w:sz w:val="20"/>
                <w:szCs w:val="20"/>
              </w:rPr>
            </w:pPr>
            <w:r>
              <w:rPr>
                <w:spacing w:val="8"/>
                <w:sz w:val="20"/>
                <w:szCs w:val="20"/>
              </w:rPr>
              <w:t>因新建升压站厂界四周无建筑物，无其他电磁干扰因</w:t>
            </w:r>
            <w:r>
              <w:rPr>
                <w:spacing w:val="7"/>
                <w:sz w:val="20"/>
                <w:szCs w:val="20"/>
              </w:rPr>
              <w:t>素，因此本次监测</w:t>
            </w:r>
            <w:r>
              <w:rPr>
                <w:sz w:val="20"/>
                <w:szCs w:val="20"/>
              </w:rPr>
              <w:t xml:space="preserve"> </w:t>
            </w:r>
            <w:r>
              <w:rPr>
                <w:spacing w:val="6"/>
                <w:sz w:val="20"/>
                <w:szCs w:val="20"/>
              </w:rPr>
              <w:t>仅在升压站区中心和储能场地中心处各布设</w:t>
            </w:r>
            <w:r>
              <w:rPr>
                <w:spacing w:val="-23"/>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个监测点位</w:t>
            </w:r>
            <w:r>
              <w:rPr>
                <w:spacing w:val="5"/>
                <w:sz w:val="20"/>
                <w:szCs w:val="20"/>
              </w:rPr>
              <w:t>，监测</w:t>
            </w:r>
            <w:r>
              <w:rPr>
                <w:spacing w:val="-23"/>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8"/>
                <w:sz w:val="20"/>
                <w:szCs w:val="20"/>
              </w:rPr>
              <w:t xml:space="preserve"> </w:t>
            </w:r>
            <w:r>
              <w:rPr>
                <w:spacing w:val="5"/>
                <w:sz w:val="20"/>
                <w:szCs w:val="20"/>
              </w:rPr>
              <w:t>次，</w:t>
            </w:r>
            <w:r>
              <w:rPr>
                <w:sz w:val="20"/>
                <w:szCs w:val="20"/>
              </w:rPr>
              <w:t xml:space="preserve"> </w:t>
            </w:r>
            <w:r>
              <w:rPr>
                <w:spacing w:val="9"/>
                <w:sz w:val="20"/>
                <w:szCs w:val="20"/>
              </w:rPr>
              <w:t>可代表厂界四周现状</w:t>
            </w:r>
          </w:p>
        </w:tc>
      </w:tr>
    </w:tbl>
    <w:p w14:paraId="0A82E3FE">
      <w:pPr>
        <w:pStyle w:val="2"/>
        <w:spacing w:before="52" w:line="228" w:lineRule="auto"/>
        <w:ind w:left="2523"/>
        <w:rPr>
          <w:sz w:val="20"/>
          <w:szCs w:val="20"/>
        </w:rPr>
      </w:pPr>
      <w:r>
        <w:rPr>
          <w:b/>
          <w:bCs/>
          <w:spacing w:val="5"/>
          <w:sz w:val="20"/>
          <w:szCs w:val="20"/>
        </w:rPr>
        <w:t>表</w:t>
      </w:r>
      <w:r>
        <w:rPr>
          <w:spacing w:val="-40"/>
          <w:sz w:val="20"/>
          <w:szCs w:val="20"/>
        </w:rPr>
        <w:t xml:space="preserve"> </w:t>
      </w:r>
      <w:r>
        <w:rPr>
          <w:rFonts w:ascii="Times New Roman" w:hAnsi="Times New Roman" w:eastAsia="Times New Roman" w:cs="Times New Roman"/>
          <w:b/>
          <w:bCs/>
          <w:spacing w:val="5"/>
          <w:sz w:val="20"/>
          <w:szCs w:val="20"/>
        </w:rPr>
        <w:t>4-2</w:t>
      </w:r>
      <w:r>
        <w:rPr>
          <w:rFonts w:ascii="Times New Roman" w:hAnsi="Times New Roman" w:eastAsia="Times New Roman" w:cs="Times New Roman"/>
          <w:b/>
          <w:bCs/>
          <w:spacing w:val="10"/>
          <w:sz w:val="20"/>
          <w:szCs w:val="20"/>
        </w:rPr>
        <w:t xml:space="preserve">    </w:t>
      </w:r>
      <w:r>
        <w:rPr>
          <w:b/>
          <w:bCs/>
          <w:spacing w:val="5"/>
          <w:sz w:val="20"/>
          <w:szCs w:val="20"/>
        </w:rPr>
        <w:t>电磁辐射现状检测结果一览表</w:t>
      </w:r>
    </w:p>
    <w:p w14:paraId="12F057CE">
      <w:pPr>
        <w:spacing w:line="14" w:lineRule="exact"/>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1"/>
        <w:gridCol w:w="1585"/>
        <w:gridCol w:w="1483"/>
        <w:gridCol w:w="1532"/>
        <w:gridCol w:w="1225"/>
        <w:gridCol w:w="1167"/>
      </w:tblGrid>
      <w:tr w14:paraId="797EA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531" w:type="dxa"/>
            <w:tcBorders>
              <w:bottom w:val="single" w:color="000000" w:sz="4" w:space="0"/>
            </w:tcBorders>
            <w:vAlign w:val="top"/>
          </w:tcPr>
          <w:p w14:paraId="616564A7">
            <w:pPr>
              <w:pStyle w:val="6"/>
              <w:spacing w:before="36" w:line="216" w:lineRule="auto"/>
              <w:ind w:left="350"/>
              <w:rPr>
                <w:sz w:val="20"/>
                <w:szCs w:val="20"/>
              </w:rPr>
            </w:pPr>
            <w:r>
              <w:rPr>
                <w:b/>
                <w:bCs/>
                <w:spacing w:val="6"/>
                <w:sz w:val="20"/>
                <w:szCs w:val="20"/>
              </w:rPr>
              <w:t>检测内容</w:t>
            </w:r>
          </w:p>
        </w:tc>
        <w:tc>
          <w:tcPr>
            <w:tcW w:w="1585" w:type="dxa"/>
            <w:tcBorders>
              <w:bottom w:val="single" w:color="000000" w:sz="4" w:space="0"/>
              <w:right w:val="single" w:color="000000" w:sz="4" w:space="0"/>
            </w:tcBorders>
            <w:vAlign w:val="top"/>
          </w:tcPr>
          <w:p w14:paraId="54C5FF57">
            <w:pPr>
              <w:pStyle w:val="6"/>
              <w:spacing w:before="36" w:line="216" w:lineRule="auto"/>
              <w:ind w:left="268"/>
              <w:rPr>
                <w:sz w:val="20"/>
                <w:szCs w:val="20"/>
              </w:rPr>
            </w:pPr>
            <w:r>
              <w:rPr>
                <w:b/>
                <w:bCs/>
                <w:spacing w:val="6"/>
                <w:sz w:val="20"/>
                <w:szCs w:val="20"/>
              </w:rPr>
              <w:t>检测点位置</w:t>
            </w:r>
          </w:p>
        </w:tc>
        <w:tc>
          <w:tcPr>
            <w:tcW w:w="1483" w:type="dxa"/>
            <w:tcBorders>
              <w:left w:val="single" w:color="000000" w:sz="4" w:space="0"/>
              <w:bottom w:val="single" w:color="000000" w:sz="4" w:space="0"/>
            </w:tcBorders>
            <w:vAlign w:val="top"/>
          </w:tcPr>
          <w:p w14:paraId="59A444F1">
            <w:pPr>
              <w:pStyle w:val="6"/>
              <w:spacing w:before="36" w:line="216" w:lineRule="auto"/>
              <w:ind w:left="322"/>
              <w:rPr>
                <w:sz w:val="20"/>
                <w:szCs w:val="20"/>
              </w:rPr>
            </w:pPr>
            <w:r>
              <w:rPr>
                <w:b/>
                <w:bCs/>
                <w:spacing w:val="6"/>
                <w:sz w:val="20"/>
                <w:szCs w:val="20"/>
              </w:rPr>
              <w:t>检测日期</w:t>
            </w:r>
          </w:p>
        </w:tc>
        <w:tc>
          <w:tcPr>
            <w:tcW w:w="1532" w:type="dxa"/>
            <w:tcBorders>
              <w:right w:val="single" w:color="000000" w:sz="4" w:space="0"/>
            </w:tcBorders>
            <w:vAlign w:val="top"/>
          </w:tcPr>
          <w:p w14:paraId="55234AB0">
            <w:pPr>
              <w:pStyle w:val="6"/>
              <w:spacing w:before="36" w:line="216" w:lineRule="auto"/>
              <w:ind w:left="351"/>
              <w:rPr>
                <w:sz w:val="20"/>
                <w:szCs w:val="20"/>
              </w:rPr>
            </w:pPr>
            <w:r>
              <w:rPr>
                <w:b/>
                <w:bCs/>
                <w:spacing w:val="6"/>
                <w:sz w:val="20"/>
                <w:szCs w:val="20"/>
              </w:rPr>
              <w:t>检测结果</w:t>
            </w:r>
          </w:p>
        </w:tc>
        <w:tc>
          <w:tcPr>
            <w:tcW w:w="1225" w:type="dxa"/>
            <w:tcBorders>
              <w:left w:val="single" w:color="000000" w:sz="4" w:space="0"/>
              <w:right w:val="single" w:color="000000" w:sz="4" w:space="0"/>
            </w:tcBorders>
            <w:vAlign w:val="top"/>
          </w:tcPr>
          <w:p w14:paraId="21AC9C67">
            <w:pPr>
              <w:pStyle w:val="6"/>
              <w:spacing w:before="36" w:line="216" w:lineRule="auto"/>
              <w:ind w:left="195"/>
              <w:rPr>
                <w:sz w:val="20"/>
                <w:szCs w:val="20"/>
              </w:rPr>
            </w:pPr>
            <w:r>
              <w:rPr>
                <w:b/>
                <w:bCs/>
                <w:spacing w:val="6"/>
                <w:sz w:val="20"/>
                <w:szCs w:val="20"/>
              </w:rPr>
              <w:t>标准限值</w:t>
            </w:r>
          </w:p>
        </w:tc>
        <w:tc>
          <w:tcPr>
            <w:tcW w:w="1167" w:type="dxa"/>
            <w:tcBorders>
              <w:left w:val="single" w:color="000000" w:sz="4" w:space="0"/>
            </w:tcBorders>
            <w:vAlign w:val="top"/>
          </w:tcPr>
          <w:p w14:paraId="732F85D4">
            <w:pPr>
              <w:pStyle w:val="6"/>
              <w:spacing w:before="36" w:line="216" w:lineRule="auto"/>
              <w:ind w:left="164"/>
              <w:rPr>
                <w:sz w:val="20"/>
                <w:szCs w:val="20"/>
              </w:rPr>
            </w:pPr>
            <w:r>
              <w:rPr>
                <w:b/>
                <w:bCs/>
                <w:spacing w:val="6"/>
                <w:sz w:val="20"/>
                <w:szCs w:val="20"/>
              </w:rPr>
              <w:t>达标情况</w:t>
            </w:r>
          </w:p>
        </w:tc>
      </w:tr>
      <w:tr w14:paraId="6F152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31" w:type="dxa"/>
            <w:tcBorders>
              <w:top w:val="single" w:color="000000" w:sz="4" w:space="0"/>
              <w:bottom w:val="single" w:color="000000" w:sz="4" w:space="0"/>
            </w:tcBorders>
            <w:vAlign w:val="top"/>
          </w:tcPr>
          <w:p w14:paraId="36139C86">
            <w:pPr>
              <w:pStyle w:val="6"/>
              <w:spacing w:before="51" w:line="228" w:lineRule="auto"/>
              <w:ind w:left="352"/>
              <w:rPr>
                <w:sz w:val="20"/>
                <w:szCs w:val="20"/>
              </w:rPr>
            </w:pPr>
            <w:r>
              <w:rPr>
                <w:spacing w:val="6"/>
                <w:sz w:val="20"/>
                <w:szCs w:val="20"/>
              </w:rPr>
              <w:t>工频电场</w:t>
            </w:r>
          </w:p>
        </w:tc>
        <w:tc>
          <w:tcPr>
            <w:tcW w:w="1585" w:type="dxa"/>
            <w:vMerge w:val="restart"/>
            <w:tcBorders>
              <w:top w:val="single" w:color="000000" w:sz="4" w:space="0"/>
              <w:left w:val="single" w:color="000000" w:sz="4" w:space="0"/>
              <w:bottom w:val="nil"/>
              <w:right w:val="single" w:color="000000" w:sz="4" w:space="0"/>
            </w:tcBorders>
            <w:vAlign w:val="top"/>
          </w:tcPr>
          <w:p w14:paraId="311B6A24">
            <w:pPr>
              <w:pStyle w:val="6"/>
              <w:spacing w:before="79" w:line="227" w:lineRule="auto"/>
              <w:ind w:left="197"/>
              <w:outlineLvl w:val="1"/>
              <w:rPr>
                <w:sz w:val="20"/>
                <w:szCs w:val="20"/>
              </w:rPr>
            </w:pPr>
            <w:r>
              <w:rPr>
                <w:spacing w:val="-1"/>
                <w:sz w:val="20"/>
                <w:szCs w:val="20"/>
              </w:rPr>
              <w:t>项</w:t>
            </w:r>
            <w:r>
              <w:rPr>
                <w:spacing w:val="-21"/>
                <w:sz w:val="20"/>
                <w:szCs w:val="20"/>
              </w:rPr>
              <w:t xml:space="preserve"> </w:t>
            </w:r>
            <w:r>
              <w:rPr>
                <w:spacing w:val="-1"/>
                <w:sz w:val="20"/>
                <w:szCs w:val="20"/>
              </w:rPr>
              <w:t>目拟</w:t>
            </w:r>
            <w:r>
              <w:rPr>
                <w:spacing w:val="-58"/>
                <w:sz w:val="20"/>
                <w:szCs w:val="20"/>
              </w:rPr>
              <w:t xml:space="preserve"> </w:t>
            </w:r>
            <w:r>
              <w:rPr>
                <w:spacing w:val="-1"/>
                <w:sz w:val="20"/>
                <w:szCs w:val="20"/>
              </w:rPr>
              <w:t>建</w:t>
            </w:r>
            <w:r>
              <w:rPr>
                <w:spacing w:val="-59"/>
                <w:sz w:val="20"/>
                <w:szCs w:val="20"/>
              </w:rPr>
              <w:t xml:space="preserve"> </w:t>
            </w:r>
            <w:r>
              <w:rPr>
                <w:spacing w:val="-1"/>
                <w:sz w:val="20"/>
                <w:szCs w:val="20"/>
              </w:rPr>
              <w:t>升</w:t>
            </w:r>
          </w:p>
          <w:p w14:paraId="7B115221">
            <w:pPr>
              <w:pStyle w:val="6"/>
              <w:spacing w:before="25" w:line="228" w:lineRule="auto"/>
              <w:ind w:left="195"/>
              <w:rPr>
                <w:sz w:val="20"/>
                <w:szCs w:val="20"/>
              </w:rPr>
            </w:pPr>
            <w:r>
              <w:rPr>
                <w:spacing w:val="13"/>
                <w:sz w:val="20"/>
                <w:szCs w:val="20"/>
              </w:rPr>
              <w:t>压站</w:t>
            </w:r>
            <w:r>
              <w:rPr>
                <w:spacing w:val="-46"/>
                <w:sz w:val="20"/>
                <w:szCs w:val="20"/>
              </w:rPr>
              <w:t xml:space="preserve"> </w:t>
            </w:r>
            <w:r>
              <w:rPr>
                <w:spacing w:val="13"/>
                <w:sz w:val="20"/>
                <w:szCs w:val="20"/>
              </w:rPr>
              <w:t>区中</w:t>
            </w:r>
            <w:r>
              <w:rPr>
                <w:spacing w:val="-54"/>
                <w:sz w:val="20"/>
                <w:szCs w:val="20"/>
              </w:rPr>
              <w:t xml:space="preserve"> </w:t>
            </w:r>
            <w:r>
              <w:rPr>
                <w:spacing w:val="13"/>
                <w:sz w:val="20"/>
                <w:szCs w:val="20"/>
              </w:rPr>
              <w:t>心</w:t>
            </w:r>
          </w:p>
        </w:tc>
        <w:tc>
          <w:tcPr>
            <w:tcW w:w="1483" w:type="dxa"/>
            <w:vMerge w:val="restart"/>
            <w:tcBorders>
              <w:top w:val="single" w:color="000000" w:sz="4" w:space="0"/>
              <w:left w:val="single" w:color="000000" w:sz="4" w:space="0"/>
              <w:bottom w:val="nil"/>
              <w:right w:val="single" w:color="000000" w:sz="4" w:space="0"/>
            </w:tcBorders>
            <w:vAlign w:val="top"/>
          </w:tcPr>
          <w:p w14:paraId="20E60B6C">
            <w:pPr>
              <w:spacing w:before="252"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2025.2.28</w:t>
            </w:r>
          </w:p>
        </w:tc>
        <w:tc>
          <w:tcPr>
            <w:tcW w:w="1532" w:type="dxa"/>
            <w:tcBorders>
              <w:bottom w:val="single" w:color="000000" w:sz="4" w:space="0"/>
            </w:tcBorders>
            <w:vAlign w:val="top"/>
          </w:tcPr>
          <w:p w14:paraId="7F418F26">
            <w:pPr>
              <w:spacing w:before="85" w:line="199"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1.277V/m</w:t>
            </w:r>
          </w:p>
        </w:tc>
        <w:tc>
          <w:tcPr>
            <w:tcW w:w="1225" w:type="dxa"/>
            <w:tcBorders>
              <w:bottom w:val="single" w:color="000000" w:sz="4" w:space="0"/>
            </w:tcBorders>
            <w:vAlign w:val="top"/>
          </w:tcPr>
          <w:p w14:paraId="3BF19057">
            <w:pPr>
              <w:spacing w:before="85"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4000V/m</w:t>
            </w:r>
          </w:p>
        </w:tc>
        <w:tc>
          <w:tcPr>
            <w:tcW w:w="1167" w:type="dxa"/>
            <w:tcBorders>
              <w:bottom w:val="single" w:color="000000" w:sz="4" w:space="0"/>
            </w:tcBorders>
            <w:vAlign w:val="top"/>
          </w:tcPr>
          <w:p w14:paraId="4B583867">
            <w:pPr>
              <w:pStyle w:val="6"/>
              <w:spacing w:before="51" w:line="228" w:lineRule="auto"/>
              <w:ind w:left="378"/>
              <w:rPr>
                <w:sz w:val="20"/>
                <w:szCs w:val="20"/>
              </w:rPr>
            </w:pPr>
            <w:r>
              <w:rPr>
                <w:spacing w:val="5"/>
                <w:sz w:val="20"/>
                <w:szCs w:val="20"/>
              </w:rPr>
              <w:t>达标</w:t>
            </w:r>
          </w:p>
        </w:tc>
      </w:tr>
      <w:tr w14:paraId="0547C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31" w:type="dxa"/>
            <w:tcBorders>
              <w:top w:val="single" w:color="000000" w:sz="4" w:space="0"/>
              <w:right w:val="single" w:color="000000" w:sz="4" w:space="0"/>
            </w:tcBorders>
            <w:vAlign w:val="top"/>
          </w:tcPr>
          <w:p w14:paraId="0DA3C59F">
            <w:pPr>
              <w:pStyle w:val="6"/>
              <w:spacing w:before="52" w:line="228" w:lineRule="auto"/>
              <w:ind w:left="352"/>
              <w:rPr>
                <w:sz w:val="20"/>
                <w:szCs w:val="20"/>
              </w:rPr>
            </w:pPr>
            <w:r>
              <w:rPr>
                <w:spacing w:val="6"/>
                <w:sz w:val="20"/>
                <w:szCs w:val="20"/>
              </w:rPr>
              <w:t>工频磁场</w:t>
            </w:r>
          </w:p>
        </w:tc>
        <w:tc>
          <w:tcPr>
            <w:tcW w:w="1585" w:type="dxa"/>
            <w:vMerge w:val="continue"/>
            <w:tcBorders>
              <w:top w:val="nil"/>
              <w:left w:val="single" w:color="000000" w:sz="4" w:space="0"/>
              <w:right w:val="single" w:color="000000" w:sz="4" w:space="0"/>
            </w:tcBorders>
            <w:vAlign w:val="top"/>
          </w:tcPr>
          <w:p w14:paraId="55D88098">
            <w:pPr>
              <w:rPr>
                <w:rFonts w:ascii="Arial"/>
                <w:sz w:val="21"/>
              </w:rPr>
            </w:pPr>
          </w:p>
        </w:tc>
        <w:tc>
          <w:tcPr>
            <w:tcW w:w="1483" w:type="dxa"/>
            <w:vMerge w:val="continue"/>
            <w:tcBorders>
              <w:top w:val="nil"/>
              <w:left w:val="single" w:color="000000" w:sz="4" w:space="0"/>
              <w:right w:val="single" w:color="000000" w:sz="4" w:space="0"/>
            </w:tcBorders>
            <w:vAlign w:val="top"/>
          </w:tcPr>
          <w:p w14:paraId="4D6CD3C1">
            <w:pPr>
              <w:rPr>
                <w:rFonts w:ascii="Arial"/>
                <w:sz w:val="21"/>
              </w:rPr>
            </w:pPr>
          </w:p>
        </w:tc>
        <w:tc>
          <w:tcPr>
            <w:tcW w:w="1532" w:type="dxa"/>
            <w:tcBorders>
              <w:top w:val="single" w:color="000000" w:sz="4" w:space="0"/>
              <w:left w:val="single" w:color="000000" w:sz="4" w:space="0"/>
            </w:tcBorders>
            <w:vAlign w:val="top"/>
          </w:tcPr>
          <w:p w14:paraId="0A68F7C4">
            <w:pPr>
              <w:spacing w:before="88" w:line="197"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0.002μT</w:t>
            </w:r>
          </w:p>
        </w:tc>
        <w:tc>
          <w:tcPr>
            <w:tcW w:w="1225" w:type="dxa"/>
            <w:tcBorders>
              <w:top w:val="single" w:color="000000" w:sz="4" w:space="0"/>
            </w:tcBorders>
            <w:vAlign w:val="top"/>
          </w:tcPr>
          <w:p w14:paraId="4FD47791">
            <w:pPr>
              <w:spacing w:before="88" w:line="197" w:lineRule="auto"/>
              <w:ind w:left="357"/>
              <w:rPr>
                <w:rFonts w:ascii="Times New Roman" w:hAnsi="Times New Roman" w:eastAsia="Times New Roman" w:cs="Times New Roman"/>
                <w:sz w:val="20"/>
                <w:szCs w:val="20"/>
              </w:rPr>
            </w:pPr>
            <w:r>
              <w:rPr>
                <w:rFonts w:ascii="Times New Roman" w:hAnsi="Times New Roman" w:eastAsia="Times New Roman" w:cs="Times New Roman"/>
                <w:sz w:val="20"/>
                <w:szCs w:val="20"/>
              </w:rPr>
              <w:t>100μT</w:t>
            </w:r>
          </w:p>
        </w:tc>
        <w:tc>
          <w:tcPr>
            <w:tcW w:w="1167" w:type="dxa"/>
            <w:tcBorders>
              <w:top w:val="single" w:color="000000" w:sz="4" w:space="0"/>
            </w:tcBorders>
            <w:vAlign w:val="top"/>
          </w:tcPr>
          <w:p w14:paraId="76BAFDD8">
            <w:pPr>
              <w:pStyle w:val="6"/>
              <w:spacing w:before="52" w:line="228" w:lineRule="auto"/>
              <w:ind w:left="378"/>
              <w:rPr>
                <w:sz w:val="20"/>
                <w:szCs w:val="20"/>
              </w:rPr>
            </w:pPr>
            <w:r>
              <w:rPr>
                <w:spacing w:val="5"/>
                <w:sz w:val="20"/>
                <w:szCs w:val="20"/>
              </w:rPr>
              <w:t>达标</w:t>
            </w:r>
          </w:p>
        </w:tc>
      </w:tr>
    </w:tbl>
    <w:p w14:paraId="2177436E">
      <w:pPr>
        <w:pStyle w:val="2"/>
        <w:spacing w:before="115" w:line="351" w:lineRule="auto"/>
        <w:ind w:left="120" w:right="112" w:firstLine="480"/>
      </w:pPr>
      <w:r>
        <w:rPr>
          <w:spacing w:val="12"/>
        </w:rPr>
        <w:t>根据上表监测结果可知，拟建升压站区中心监测点的工频磁感应强度为</w:t>
      </w:r>
      <w:r>
        <w:rPr>
          <w:spacing w:val="1"/>
        </w:rPr>
        <w:t xml:space="preserve"> </w:t>
      </w:r>
      <w:r>
        <w:rPr>
          <w:rFonts w:ascii="Times New Roman" w:hAnsi="Times New Roman" w:eastAsia="Times New Roman" w:cs="Times New Roman"/>
          <w:spacing w:val="7"/>
        </w:rPr>
        <w:t>0.002μT</w:t>
      </w:r>
      <w:r>
        <w:rPr>
          <w:rFonts w:ascii="Times New Roman" w:hAnsi="Times New Roman" w:eastAsia="Times New Roman" w:cs="Times New Roman"/>
          <w:spacing w:val="-11"/>
        </w:rPr>
        <w:t xml:space="preserve"> </w:t>
      </w:r>
      <w:r>
        <w:rPr>
          <w:spacing w:val="7"/>
        </w:rPr>
        <w:t xml:space="preserve">，工频电场强度范围为 </w:t>
      </w:r>
      <w:r>
        <w:rPr>
          <w:rFonts w:ascii="Times New Roman" w:hAnsi="Times New Roman" w:eastAsia="Times New Roman" w:cs="Times New Roman"/>
          <w:spacing w:val="7"/>
        </w:rPr>
        <w:t>1.277V/m</w:t>
      </w:r>
      <w:r>
        <w:rPr>
          <w:rFonts w:ascii="Times New Roman" w:hAnsi="Times New Roman" w:eastAsia="Times New Roman" w:cs="Times New Roman"/>
          <w:spacing w:val="-11"/>
        </w:rPr>
        <w:t xml:space="preserve"> </w:t>
      </w:r>
      <w:r>
        <w:rPr>
          <w:spacing w:val="7"/>
        </w:rPr>
        <w:t>，均能满足《电磁环境控制限值》</w:t>
      </w:r>
      <w:r>
        <w:t xml:space="preserve"> </w:t>
      </w:r>
      <w:r>
        <w:rPr>
          <w:spacing w:val="-1"/>
        </w:rPr>
        <w:t>（</w:t>
      </w:r>
      <w:r>
        <w:rPr>
          <w:rFonts w:ascii="Times New Roman" w:hAnsi="Times New Roman" w:eastAsia="Times New Roman" w:cs="Times New Roman"/>
          <w:spacing w:val="-1"/>
        </w:rPr>
        <w:t>GB8702-2014</w:t>
      </w:r>
      <w:r>
        <w:rPr>
          <w:spacing w:val="-1"/>
        </w:rPr>
        <w:t>）标准（工作频率为</w:t>
      </w:r>
      <w:r>
        <w:rPr>
          <w:spacing w:val="-46"/>
        </w:rPr>
        <w:t xml:space="preserve"> </w:t>
      </w:r>
      <w:r>
        <w:rPr>
          <w:rFonts w:ascii="Times New Roman" w:hAnsi="Times New Roman" w:eastAsia="Times New Roman" w:cs="Times New Roman"/>
          <w:spacing w:val="-1"/>
        </w:rPr>
        <w:t>0.05kHz</w:t>
      </w:r>
      <w:r>
        <w:rPr>
          <w:rFonts w:ascii="Times New Roman" w:hAnsi="Times New Roman" w:eastAsia="Times New Roman" w:cs="Times New Roman"/>
          <w:spacing w:val="-27"/>
        </w:rPr>
        <w:t xml:space="preserve"> </w:t>
      </w:r>
      <w:r>
        <w:rPr>
          <w:spacing w:val="-1"/>
        </w:rPr>
        <w:t>，工频电场</w:t>
      </w:r>
      <w:r>
        <w:rPr>
          <w:spacing w:val="-54"/>
        </w:rPr>
        <w:t xml:space="preserve"> </w:t>
      </w:r>
      <w:r>
        <w:rPr>
          <w:rFonts w:ascii="Times New Roman" w:hAnsi="Times New Roman" w:eastAsia="Times New Roman" w:cs="Times New Roman"/>
          <w:spacing w:val="-1"/>
        </w:rPr>
        <w:t>4000V/m</w:t>
      </w:r>
      <w:r>
        <w:rPr>
          <w:rFonts w:ascii="Times New Roman" w:hAnsi="Times New Roman" w:eastAsia="Times New Roman" w:cs="Times New Roman"/>
          <w:spacing w:val="-33"/>
        </w:rPr>
        <w:t xml:space="preserve"> </w:t>
      </w:r>
      <w:r>
        <w:rPr>
          <w:spacing w:val="-1"/>
        </w:rPr>
        <w:t>、工频磁感应</w:t>
      </w:r>
      <w:r>
        <w:t xml:space="preserve"> </w:t>
      </w:r>
      <w:r>
        <w:rPr>
          <w:spacing w:val="-3"/>
        </w:rPr>
        <w:t>强度</w:t>
      </w:r>
      <w:r>
        <w:rPr>
          <w:spacing w:val="-32"/>
        </w:rPr>
        <w:t xml:space="preserve"> </w:t>
      </w:r>
      <w:r>
        <w:rPr>
          <w:rFonts w:ascii="Times New Roman" w:hAnsi="Times New Roman" w:eastAsia="Times New Roman" w:cs="Times New Roman"/>
          <w:spacing w:val="-3"/>
        </w:rPr>
        <w:t>100μT</w:t>
      </w:r>
      <w:r>
        <w:rPr>
          <w:spacing w:val="-3"/>
        </w:rPr>
        <w:t>）的要求。</w:t>
      </w:r>
    </w:p>
    <w:p w14:paraId="3D3AED47">
      <w:pPr>
        <w:spacing w:line="351" w:lineRule="auto"/>
        <w:sectPr>
          <w:footerReference r:id="rId188" w:type="default"/>
          <w:pgSz w:w="11906" w:h="16839"/>
          <w:pgMar w:top="1431" w:right="1689" w:bottom="1177" w:left="1688" w:header="0" w:footer="987" w:gutter="0"/>
          <w:cols w:space="720" w:num="1"/>
        </w:sectPr>
      </w:pPr>
    </w:p>
    <w:p w14:paraId="27EE9D11">
      <w:pPr>
        <w:pStyle w:val="2"/>
        <w:spacing w:before="60" w:line="220" w:lineRule="auto"/>
        <w:ind w:left="121"/>
        <w:outlineLvl w:val="0"/>
        <w:rPr>
          <w:sz w:val="30"/>
          <w:szCs w:val="30"/>
        </w:rPr>
      </w:pPr>
      <w:bookmarkStart w:id="29" w:name="bookmark21"/>
      <w:bookmarkEnd w:id="29"/>
      <w:r>
        <w:rPr>
          <w:rFonts w:ascii="Times New Roman" w:hAnsi="Times New Roman" w:eastAsia="Times New Roman" w:cs="Times New Roman"/>
          <w:b/>
          <w:bCs/>
          <w:spacing w:val="-9"/>
          <w:sz w:val="30"/>
          <w:szCs w:val="30"/>
        </w:rPr>
        <w:t>5</w:t>
      </w:r>
      <w:r>
        <w:rPr>
          <w:rFonts w:ascii="Times New Roman" w:hAnsi="Times New Roman" w:eastAsia="Times New Roman" w:cs="Times New Roman"/>
          <w:b/>
          <w:bCs/>
          <w:spacing w:val="52"/>
          <w:sz w:val="30"/>
          <w:szCs w:val="30"/>
        </w:rPr>
        <w:t xml:space="preserve"> </w:t>
      </w:r>
      <w:r>
        <w:rPr>
          <w:b/>
          <w:bCs/>
          <w:spacing w:val="-9"/>
          <w:sz w:val="30"/>
          <w:szCs w:val="30"/>
        </w:rPr>
        <w:t>电磁环境影响分析</w:t>
      </w:r>
    </w:p>
    <w:p w14:paraId="11A65E7F">
      <w:pPr>
        <w:pStyle w:val="2"/>
        <w:spacing w:before="219" w:line="221" w:lineRule="auto"/>
        <w:ind w:left="120"/>
        <w:outlineLvl w:val="1"/>
        <w:rPr>
          <w:sz w:val="28"/>
          <w:szCs w:val="28"/>
        </w:rPr>
      </w:pPr>
      <w:r>
        <w:rPr>
          <w:rFonts w:ascii="Times New Roman" w:hAnsi="Times New Roman" w:eastAsia="Times New Roman" w:cs="Times New Roman"/>
          <w:b/>
          <w:bCs/>
          <w:spacing w:val="-2"/>
          <w:sz w:val="28"/>
          <w:szCs w:val="28"/>
        </w:rPr>
        <w:t xml:space="preserve">5.1 </w:t>
      </w:r>
      <w:r>
        <w:rPr>
          <w:b/>
          <w:bCs/>
          <w:spacing w:val="-2"/>
          <w:sz w:val="28"/>
          <w:szCs w:val="28"/>
        </w:rPr>
        <w:t>影响预测方法</w:t>
      </w:r>
    </w:p>
    <w:p w14:paraId="3FB41231">
      <w:pPr>
        <w:pStyle w:val="2"/>
        <w:spacing w:before="207" w:line="353" w:lineRule="auto"/>
        <w:ind w:left="119" w:right="200" w:firstLine="480"/>
        <w:jc w:val="both"/>
      </w:pPr>
      <w:r>
        <w:rPr>
          <w:spacing w:val="-8"/>
        </w:rPr>
        <w:t>根据《电磁辐射环境保护管理办法》（原国家环境保护局令第</w:t>
      </w:r>
      <w:r>
        <w:rPr>
          <w:spacing w:val="-32"/>
        </w:rPr>
        <w:t xml:space="preserve"> </w:t>
      </w:r>
      <w:r>
        <w:rPr>
          <w:rFonts w:ascii="Times New Roman" w:hAnsi="Times New Roman" w:eastAsia="Times New Roman" w:cs="Times New Roman"/>
          <w:spacing w:val="-8"/>
        </w:rPr>
        <w:t>18</w:t>
      </w:r>
      <w:r>
        <w:rPr>
          <w:rFonts w:ascii="Times New Roman" w:hAnsi="Times New Roman" w:eastAsia="Times New Roman" w:cs="Times New Roman"/>
          <w:spacing w:val="15"/>
          <w:w w:val="101"/>
        </w:rPr>
        <w:t xml:space="preserve"> </w:t>
      </w:r>
      <w:r>
        <w:rPr>
          <w:spacing w:val="-8"/>
        </w:rPr>
        <w:t>号）</w:t>
      </w:r>
      <w:r>
        <w:rPr>
          <w:spacing w:val="-9"/>
        </w:rPr>
        <w:t>、《电</w:t>
      </w:r>
      <w:r>
        <w:t xml:space="preserve"> </w:t>
      </w:r>
      <w:r>
        <w:rPr>
          <w:spacing w:val="2"/>
        </w:rPr>
        <w:t>磁环境控制限值》（</w:t>
      </w:r>
      <w:r>
        <w:rPr>
          <w:rFonts w:ascii="Times New Roman" w:hAnsi="Times New Roman" w:eastAsia="Times New Roman" w:cs="Times New Roman"/>
        </w:rPr>
        <w:t>GB</w:t>
      </w:r>
      <w:r>
        <w:rPr>
          <w:rFonts w:ascii="Times New Roman" w:hAnsi="Times New Roman" w:eastAsia="Times New Roman" w:cs="Times New Roman"/>
          <w:spacing w:val="2"/>
        </w:rPr>
        <w:t>8072-2014</w:t>
      </w:r>
      <w:r>
        <w:rPr>
          <w:spacing w:val="2"/>
        </w:rPr>
        <w:t>）和《关于</w:t>
      </w:r>
      <w:r>
        <w:rPr>
          <w:spacing w:val="-48"/>
        </w:rPr>
        <w:t xml:space="preserve"> </w:t>
      </w:r>
      <w:r>
        <w:rPr>
          <w:rFonts w:ascii="Times New Roman" w:hAnsi="Times New Roman" w:eastAsia="Times New Roman" w:cs="Times New Roman"/>
          <w:spacing w:val="2"/>
        </w:rPr>
        <w:t xml:space="preserve">35 </w:t>
      </w:r>
      <w:r>
        <w:rPr>
          <w:spacing w:val="2"/>
        </w:rPr>
        <w:t>千</w:t>
      </w:r>
      <w:r>
        <w:rPr>
          <w:spacing w:val="1"/>
        </w:rPr>
        <w:t>伏送、变电系统建设项目环</w:t>
      </w:r>
      <w:r>
        <w:t xml:space="preserve"> 境管理有关问题的复函》，拟建项目涉及的</w:t>
      </w:r>
      <w:r>
        <w:rPr>
          <w:rFonts w:ascii="Times New Roman" w:hAnsi="Times New Roman" w:eastAsia="Times New Roman" w:cs="Times New Roman"/>
        </w:rPr>
        <w:t xml:space="preserve">35kV </w:t>
      </w:r>
      <w:r>
        <w:t>集电线路属于电磁辐射豁免水</w:t>
      </w:r>
      <w:r>
        <w:rPr>
          <w:spacing w:val="18"/>
        </w:rPr>
        <w:t xml:space="preserve"> </w:t>
      </w:r>
      <w:r>
        <w:rPr>
          <w:spacing w:val="2"/>
        </w:rPr>
        <w:t>平，其产生的电磁环境影响较小；因此，本次评价仅对</w:t>
      </w:r>
      <w:r>
        <w:rPr>
          <w:spacing w:val="-52"/>
        </w:rPr>
        <w:t xml:space="preserve"> </w:t>
      </w:r>
      <w:r>
        <w:rPr>
          <w:rFonts w:ascii="Times New Roman" w:hAnsi="Times New Roman" w:eastAsia="Times New Roman" w:cs="Times New Roman"/>
          <w:spacing w:val="2"/>
        </w:rPr>
        <w:t>220</w:t>
      </w:r>
      <w:r>
        <w:rPr>
          <w:rFonts w:ascii="Times New Roman" w:hAnsi="Times New Roman" w:eastAsia="Times New Roman" w:cs="Times New Roman"/>
        </w:rPr>
        <w:t>kV</w:t>
      </w:r>
      <w:r>
        <w:rPr>
          <w:rFonts w:ascii="Times New Roman" w:hAnsi="Times New Roman" w:eastAsia="Times New Roman" w:cs="Times New Roman"/>
          <w:spacing w:val="2"/>
        </w:rPr>
        <w:t xml:space="preserve"> </w:t>
      </w:r>
      <w:r>
        <w:rPr>
          <w:spacing w:val="2"/>
        </w:rPr>
        <w:t>升压站的电</w:t>
      </w:r>
      <w:r>
        <w:rPr>
          <w:spacing w:val="1"/>
        </w:rPr>
        <w:t>磁环</w:t>
      </w:r>
      <w:r>
        <w:t xml:space="preserve"> </w:t>
      </w:r>
      <w:r>
        <w:rPr>
          <w:spacing w:val="-2"/>
        </w:rPr>
        <w:t>境影响进行评价。</w:t>
      </w:r>
    </w:p>
    <w:p w14:paraId="1675914E">
      <w:pPr>
        <w:pStyle w:val="2"/>
        <w:spacing w:before="35" w:line="354" w:lineRule="auto"/>
        <w:ind w:left="120" w:right="200" w:firstLine="480"/>
        <w:jc w:val="both"/>
      </w:pPr>
      <w:r>
        <w:rPr>
          <w:spacing w:val="-1"/>
        </w:rPr>
        <w:t>根据《环境影响评价技术导则 输变电》（</w:t>
      </w:r>
      <w:r>
        <w:rPr>
          <w:rFonts w:ascii="Times New Roman" w:hAnsi="Times New Roman" w:eastAsia="Times New Roman" w:cs="Times New Roman"/>
          <w:spacing w:val="-1"/>
        </w:rPr>
        <w:t>HJ24-2020</w:t>
      </w:r>
      <w:r>
        <w:rPr>
          <w:spacing w:val="2"/>
        </w:rPr>
        <w:t>），</w:t>
      </w:r>
      <w:r>
        <w:rPr>
          <w:spacing w:val="-1"/>
        </w:rPr>
        <w:t>“</w:t>
      </w:r>
      <w:r>
        <w:rPr>
          <w:rFonts w:ascii="Times New Roman" w:hAnsi="Times New Roman" w:eastAsia="Times New Roman" w:cs="Times New Roman"/>
          <w:spacing w:val="-1"/>
        </w:rPr>
        <w:t xml:space="preserve">4.10.2 </w:t>
      </w:r>
      <w:r>
        <w:rPr>
          <w:spacing w:val="-1"/>
        </w:rPr>
        <w:t>二级评价</w:t>
      </w:r>
      <w:r>
        <w:t xml:space="preserve"> </w:t>
      </w:r>
      <w:r>
        <w:rPr>
          <w:spacing w:val="-3"/>
        </w:rPr>
        <w:t>的基本要求，对于升压站、换流站、开关站、串补站，其评价范围内临</w:t>
      </w:r>
      <w:r>
        <w:rPr>
          <w:spacing w:val="-4"/>
        </w:rPr>
        <w:t>近各侧站</w:t>
      </w:r>
      <w:r>
        <w:t xml:space="preserve"> </w:t>
      </w:r>
      <w:r>
        <w:rPr>
          <w:spacing w:val="-3"/>
        </w:rPr>
        <w:t>界的敏感目标的电磁环境现状应实测，站界电磁环境现状可实测，也可</w:t>
      </w:r>
      <w:r>
        <w:rPr>
          <w:spacing w:val="-4"/>
        </w:rPr>
        <w:t>利用已有</w:t>
      </w:r>
      <w:r>
        <w:t xml:space="preserve"> </w:t>
      </w:r>
      <w:r>
        <w:rPr>
          <w:spacing w:val="-4"/>
        </w:rPr>
        <w:t>的最近</w:t>
      </w:r>
      <w:r>
        <w:rPr>
          <w:spacing w:val="-38"/>
        </w:rPr>
        <w:t xml:space="preserve"> </w:t>
      </w:r>
      <w:r>
        <w:rPr>
          <w:rFonts w:ascii="Times New Roman" w:hAnsi="Times New Roman" w:eastAsia="Times New Roman" w:cs="Times New Roman"/>
          <w:spacing w:val="-4"/>
        </w:rPr>
        <w:t xml:space="preserve">3 </w:t>
      </w:r>
      <w:r>
        <w:rPr>
          <w:spacing w:val="-4"/>
        </w:rPr>
        <w:t>年内的电磁环境现状监测资料，并对电磁环境现状进行评价。</w:t>
      </w:r>
      <w:r>
        <w:rPr>
          <w:b/>
          <w:bCs/>
          <w:spacing w:val="-4"/>
        </w:rPr>
        <w:t>电磁环境</w:t>
      </w:r>
      <w:r>
        <w:t xml:space="preserve"> </w:t>
      </w:r>
      <w:r>
        <w:rPr>
          <w:b/>
          <w:bCs/>
          <w:spacing w:val="3"/>
        </w:rPr>
        <w:t>影响预测应采用类比监测的方式</w:t>
      </w:r>
      <w:r>
        <w:rPr>
          <w:spacing w:val="3"/>
        </w:rPr>
        <w:t>。</w:t>
      </w:r>
      <w:r>
        <w:rPr>
          <w:spacing w:val="-80"/>
        </w:rPr>
        <w:t xml:space="preserve"> </w:t>
      </w:r>
      <w:r>
        <w:rPr>
          <w:spacing w:val="3"/>
        </w:rPr>
        <w:t>”</w:t>
      </w:r>
    </w:p>
    <w:p w14:paraId="31A28917">
      <w:pPr>
        <w:pStyle w:val="2"/>
        <w:spacing w:before="42" w:line="220" w:lineRule="auto"/>
        <w:ind w:left="120"/>
        <w:outlineLvl w:val="1"/>
        <w:rPr>
          <w:sz w:val="28"/>
          <w:szCs w:val="28"/>
        </w:rPr>
      </w:pPr>
      <w:r>
        <w:rPr>
          <w:rFonts w:ascii="Times New Roman" w:hAnsi="Times New Roman" w:eastAsia="Times New Roman" w:cs="Times New Roman"/>
          <w:b/>
          <w:bCs/>
          <w:spacing w:val="-2"/>
          <w:sz w:val="28"/>
          <w:szCs w:val="28"/>
        </w:rPr>
        <w:t xml:space="preserve">5.2  </w:t>
      </w:r>
      <w:r>
        <w:rPr>
          <w:b/>
          <w:bCs/>
          <w:spacing w:val="-2"/>
          <w:sz w:val="28"/>
          <w:szCs w:val="28"/>
        </w:rPr>
        <w:t>类比项目可行性分析</w:t>
      </w:r>
    </w:p>
    <w:p w14:paraId="0F7D976D">
      <w:pPr>
        <w:pStyle w:val="2"/>
        <w:spacing w:before="204" w:line="346" w:lineRule="auto"/>
        <w:ind w:left="127" w:right="214" w:firstLine="473"/>
      </w:pPr>
      <w:r>
        <w:rPr>
          <w:spacing w:val="-3"/>
        </w:rPr>
        <w:t>本项目</w:t>
      </w:r>
      <w:r>
        <w:rPr>
          <w:rFonts w:ascii="Times New Roman" w:hAnsi="Times New Roman" w:eastAsia="Times New Roman" w:cs="Times New Roman"/>
          <w:spacing w:val="-3"/>
        </w:rPr>
        <w:t xml:space="preserve">220kV </w:t>
      </w:r>
      <w:r>
        <w:rPr>
          <w:spacing w:val="-3"/>
        </w:rPr>
        <w:t>升压站内本期安装建设</w:t>
      </w:r>
      <w:r>
        <w:rPr>
          <w:spacing w:val="-16"/>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8"/>
        </w:rPr>
        <w:t xml:space="preserve"> </w:t>
      </w:r>
      <w:r>
        <w:rPr>
          <w:spacing w:val="-3"/>
        </w:rPr>
        <w:t>台</w:t>
      </w:r>
      <w:r>
        <w:rPr>
          <w:spacing w:val="-32"/>
        </w:rPr>
        <w:t xml:space="preserve"> </w:t>
      </w:r>
      <w:r>
        <w:rPr>
          <w:rFonts w:ascii="Times New Roman" w:hAnsi="Times New Roman" w:eastAsia="Times New Roman" w:cs="Times New Roman"/>
          <w:spacing w:val="-3"/>
        </w:rPr>
        <w:t>180MVA</w:t>
      </w:r>
      <w:r>
        <w:rPr>
          <w:rFonts w:ascii="Times New Roman" w:hAnsi="Times New Roman" w:eastAsia="Times New Roman" w:cs="Times New Roman"/>
          <w:spacing w:val="31"/>
        </w:rPr>
        <w:t xml:space="preserve"> </w:t>
      </w:r>
      <w:r>
        <w:rPr>
          <w:spacing w:val="-3"/>
        </w:rPr>
        <w:t>的主变，</w:t>
      </w:r>
      <w:r>
        <w:rPr>
          <w:rFonts w:ascii="Times New Roman" w:hAnsi="Times New Roman" w:eastAsia="Times New Roman" w:cs="Times New Roman"/>
          <w:spacing w:val="-3"/>
        </w:rPr>
        <w:t>1</w:t>
      </w:r>
      <w:r>
        <w:rPr>
          <w:rFonts w:ascii="Times New Roman" w:hAnsi="Times New Roman" w:eastAsia="Times New Roman" w:cs="Times New Roman"/>
          <w:spacing w:val="33"/>
        </w:rPr>
        <w:t xml:space="preserve"> </w:t>
      </w:r>
      <w:r>
        <w:rPr>
          <w:spacing w:val="-3"/>
        </w:rPr>
        <w:t>回</w:t>
      </w:r>
      <w:r>
        <w:rPr>
          <w:spacing w:val="-55"/>
        </w:rPr>
        <w:t xml:space="preserve"> </w:t>
      </w:r>
      <w:r>
        <w:rPr>
          <w:rFonts w:ascii="Times New Roman" w:hAnsi="Times New Roman" w:eastAsia="Times New Roman" w:cs="Times New Roman"/>
          <w:spacing w:val="-3"/>
        </w:rPr>
        <w:t xml:space="preserve">220kV </w:t>
      </w:r>
      <w:r>
        <w:rPr>
          <w:spacing w:val="-3"/>
        </w:rPr>
        <w:t>架</w:t>
      </w:r>
      <w:r>
        <w:t xml:space="preserve"> </w:t>
      </w:r>
      <w:r>
        <w:rPr>
          <w:spacing w:val="-1"/>
        </w:rPr>
        <w:t>空出线，总降变采用户外室，主要包括</w:t>
      </w:r>
      <w:r>
        <w:rPr>
          <w:spacing w:val="-46"/>
        </w:rPr>
        <w:t xml:space="preserve"> </w:t>
      </w:r>
      <w:r>
        <w:rPr>
          <w:rFonts w:ascii="Times New Roman" w:hAnsi="Times New Roman" w:eastAsia="Times New Roman" w:cs="Times New Roman"/>
          <w:spacing w:val="-1"/>
        </w:rPr>
        <w:t xml:space="preserve">35kV </w:t>
      </w:r>
      <w:r>
        <w:rPr>
          <w:spacing w:val="-1"/>
        </w:rPr>
        <w:t>配电室及户外电气设备。</w:t>
      </w:r>
    </w:p>
    <w:p w14:paraId="3EA94E0A">
      <w:pPr>
        <w:pStyle w:val="2"/>
        <w:spacing w:before="33" w:line="354" w:lineRule="auto"/>
        <w:ind w:left="122" w:right="200" w:firstLine="479"/>
      </w:pPr>
      <w:r>
        <w:rPr>
          <w:spacing w:val="-1"/>
        </w:rPr>
        <w:t>本次评价选定位于云南省昆明市禄劝县撒营盘镇的“禄劝县撒永山</w:t>
      </w:r>
      <w:r>
        <w:rPr>
          <w:spacing w:val="-38"/>
        </w:rPr>
        <w:t xml:space="preserve"> </w:t>
      </w:r>
      <w:r>
        <w:rPr>
          <w:rFonts w:ascii="Times New Roman" w:hAnsi="Times New Roman" w:eastAsia="Times New Roman" w:cs="Times New Roman"/>
          <w:spacing w:val="-1"/>
        </w:rPr>
        <w:t>250MW</w:t>
      </w:r>
      <w:r>
        <w:rPr>
          <w:rFonts w:ascii="Times New Roman" w:hAnsi="Times New Roman" w:eastAsia="Times New Roman" w:cs="Times New Roman"/>
        </w:rPr>
        <w:t xml:space="preserve"> </w:t>
      </w:r>
      <w:r>
        <w:rPr>
          <w:spacing w:val="-4"/>
        </w:rPr>
        <w:t>光伏电站项目（</w:t>
      </w:r>
      <w:r>
        <w:rPr>
          <w:rFonts w:ascii="Times New Roman" w:hAnsi="Times New Roman" w:eastAsia="Times New Roman" w:cs="Times New Roman"/>
          <w:spacing w:val="-4"/>
        </w:rPr>
        <w:t>220KV</w:t>
      </w:r>
      <w:r>
        <w:rPr>
          <w:spacing w:val="-4"/>
        </w:rPr>
        <w:t>）</w:t>
      </w:r>
      <w:r>
        <w:rPr>
          <w:spacing w:val="-88"/>
        </w:rPr>
        <w:t xml:space="preserve"> </w:t>
      </w:r>
      <w:r>
        <w:rPr>
          <w:spacing w:val="-4"/>
        </w:rPr>
        <w:t>”作为类比对象，类比对象于</w:t>
      </w:r>
      <w:r>
        <w:rPr>
          <w:spacing w:val="-55"/>
        </w:rPr>
        <w:t xml:space="preserve"> </w:t>
      </w:r>
      <w:r>
        <w:rPr>
          <w:rFonts w:ascii="Times New Roman" w:hAnsi="Times New Roman" w:eastAsia="Times New Roman" w:cs="Times New Roman"/>
          <w:spacing w:val="-4"/>
        </w:rPr>
        <w:t>20</w:t>
      </w:r>
      <w:r>
        <w:rPr>
          <w:rFonts w:ascii="Times New Roman" w:hAnsi="Times New Roman" w:eastAsia="Times New Roman" w:cs="Times New Roman"/>
          <w:spacing w:val="-5"/>
        </w:rPr>
        <w:t xml:space="preserve">23 </w:t>
      </w:r>
      <w:r>
        <w:rPr>
          <w:spacing w:val="-5"/>
        </w:rPr>
        <w:t>年</w:t>
      </w:r>
      <w:r>
        <w:rPr>
          <w:spacing w:val="-32"/>
        </w:rPr>
        <w:t xml:space="preserve"> </w:t>
      </w:r>
      <w:r>
        <w:rPr>
          <w:rFonts w:ascii="Times New Roman" w:hAnsi="Times New Roman" w:eastAsia="Times New Roman" w:cs="Times New Roman"/>
          <w:spacing w:val="-5"/>
        </w:rPr>
        <w:t>10</w:t>
      </w:r>
      <w:r>
        <w:rPr>
          <w:rFonts w:ascii="Times New Roman" w:hAnsi="Times New Roman" w:eastAsia="Times New Roman" w:cs="Times New Roman"/>
          <w:spacing w:val="15"/>
        </w:rPr>
        <w:t xml:space="preserve"> </w:t>
      </w:r>
      <w:r>
        <w:rPr>
          <w:spacing w:val="-5"/>
        </w:rPr>
        <w:t>月</w:t>
      </w:r>
      <w:r>
        <w:rPr>
          <w:spacing w:val="-32"/>
        </w:rPr>
        <w:t xml:space="preserve"> </w:t>
      </w:r>
      <w:r>
        <w:rPr>
          <w:rFonts w:ascii="Times New Roman" w:hAnsi="Times New Roman" w:eastAsia="Times New Roman" w:cs="Times New Roman"/>
          <w:spacing w:val="-5"/>
        </w:rPr>
        <w:t xml:space="preserve">12  </w:t>
      </w:r>
      <w:r>
        <w:rPr>
          <w:spacing w:val="-5"/>
        </w:rPr>
        <w:t>日委托</w:t>
      </w:r>
      <w:r>
        <w:t xml:space="preserve"> </w:t>
      </w:r>
      <w:r>
        <w:rPr>
          <w:spacing w:val="-2"/>
        </w:rPr>
        <w:t>云南省核工业二〇九地址大队对升压站厂界东、</w:t>
      </w:r>
      <w:r>
        <w:rPr>
          <w:spacing w:val="-3"/>
        </w:rPr>
        <w:t>南、西、北外</w:t>
      </w:r>
      <w:r>
        <w:rPr>
          <w:spacing w:val="-49"/>
        </w:rPr>
        <w:t xml:space="preserve"> </w:t>
      </w:r>
      <w:r>
        <w:rPr>
          <w:rFonts w:ascii="Times New Roman" w:hAnsi="Times New Roman" w:eastAsia="Times New Roman" w:cs="Times New Roman"/>
          <w:spacing w:val="-3"/>
        </w:rPr>
        <w:t>5m</w:t>
      </w:r>
      <w:r>
        <w:rPr>
          <w:rFonts w:ascii="Times New Roman" w:hAnsi="Times New Roman" w:eastAsia="Times New Roman" w:cs="Times New Roman"/>
          <w:spacing w:val="15"/>
          <w:w w:val="101"/>
        </w:rPr>
        <w:t xml:space="preserve"> </w:t>
      </w:r>
      <w:r>
        <w:rPr>
          <w:spacing w:val="-3"/>
        </w:rPr>
        <w:t>处以及升压站</w:t>
      </w:r>
      <w:r>
        <w:t xml:space="preserve"> </w:t>
      </w:r>
      <w:r>
        <w:rPr>
          <w:spacing w:val="-7"/>
        </w:rPr>
        <w:t>南侧厂界外</w:t>
      </w:r>
      <w:r>
        <w:rPr>
          <w:spacing w:val="-49"/>
        </w:rPr>
        <w:t xml:space="preserve"> </w:t>
      </w:r>
      <w:r>
        <w:rPr>
          <w:rFonts w:ascii="Times New Roman" w:hAnsi="Times New Roman" w:eastAsia="Times New Roman" w:cs="Times New Roman"/>
          <w:spacing w:val="-7"/>
        </w:rPr>
        <w:t>5m</w:t>
      </w:r>
      <w:r>
        <w:rPr>
          <w:rFonts w:ascii="Times New Roman" w:hAnsi="Times New Roman" w:eastAsia="Times New Roman" w:cs="Times New Roman"/>
          <w:spacing w:val="-33"/>
        </w:rPr>
        <w:t xml:space="preserve"> </w:t>
      </w:r>
      <w:r>
        <w:rPr>
          <w:spacing w:val="-7"/>
        </w:rPr>
        <w:t>、</w:t>
      </w:r>
      <w:r>
        <w:rPr>
          <w:rFonts w:ascii="Times New Roman" w:hAnsi="Times New Roman" w:eastAsia="Times New Roman" w:cs="Times New Roman"/>
          <w:spacing w:val="-7"/>
        </w:rPr>
        <w:t>10m</w:t>
      </w:r>
      <w:r>
        <w:rPr>
          <w:rFonts w:ascii="Times New Roman" w:hAnsi="Times New Roman" w:eastAsia="Times New Roman" w:cs="Times New Roman"/>
          <w:spacing w:val="-33"/>
        </w:rPr>
        <w:t xml:space="preserve"> </w:t>
      </w:r>
      <w:r>
        <w:rPr>
          <w:spacing w:val="-7"/>
        </w:rPr>
        <w:t>、</w:t>
      </w:r>
      <w:r>
        <w:rPr>
          <w:rFonts w:ascii="Times New Roman" w:hAnsi="Times New Roman" w:eastAsia="Times New Roman" w:cs="Times New Roman"/>
          <w:spacing w:val="-7"/>
        </w:rPr>
        <w:t>15m</w:t>
      </w:r>
      <w:r>
        <w:rPr>
          <w:rFonts w:ascii="Times New Roman" w:hAnsi="Times New Roman" w:eastAsia="Times New Roman" w:cs="Times New Roman"/>
          <w:spacing w:val="-33"/>
        </w:rPr>
        <w:t xml:space="preserve"> </w:t>
      </w:r>
      <w:r>
        <w:rPr>
          <w:spacing w:val="-7"/>
        </w:rPr>
        <w:t>、</w:t>
      </w:r>
      <w:r>
        <w:rPr>
          <w:rFonts w:ascii="Times New Roman" w:hAnsi="Times New Roman" w:eastAsia="Times New Roman" w:cs="Times New Roman"/>
          <w:spacing w:val="-7"/>
        </w:rPr>
        <w:t>20m</w:t>
      </w:r>
      <w:r>
        <w:rPr>
          <w:rFonts w:ascii="Times New Roman" w:hAnsi="Times New Roman" w:eastAsia="Times New Roman" w:cs="Times New Roman"/>
          <w:spacing w:val="-33"/>
        </w:rPr>
        <w:t xml:space="preserve"> </w:t>
      </w:r>
      <w:r>
        <w:rPr>
          <w:spacing w:val="-7"/>
        </w:rPr>
        <w:t>、</w:t>
      </w:r>
      <w:r>
        <w:rPr>
          <w:rFonts w:ascii="Times New Roman" w:hAnsi="Times New Roman" w:eastAsia="Times New Roman" w:cs="Times New Roman"/>
          <w:spacing w:val="-7"/>
        </w:rPr>
        <w:t>25m</w:t>
      </w:r>
      <w:r>
        <w:rPr>
          <w:rFonts w:ascii="Times New Roman" w:hAnsi="Times New Roman" w:eastAsia="Times New Roman" w:cs="Times New Roman"/>
          <w:spacing w:val="-34"/>
        </w:rPr>
        <w:t xml:space="preserve"> </w:t>
      </w:r>
      <w:r>
        <w:rPr>
          <w:spacing w:val="-7"/>
        </w:rPr>
        <w:t>、</w:t>
      </w:r>
      <w:r>
        <w:rPr>
          <w:rFonts w:ascii="Times New Roman" w:hAnsi="Times New Roman" w:eastAsia="Times New Roman" w:cs="Times New Roman"/>
          <w:spacing w:val="-7"/>
        </w:rPr>
        <w:t>30m</w:t>
      </w:r>
      <w:r>
        <w:rPr>
          <w:rFonts w:ascii="Times New Roman" w:hAnsi="Times New Roman" w:eastAsia="Times New Roman" w:cs="Times New Roman"/>
          <w:spacing w:val="-33"/>
        </w:rPr>
        <w:t xml:space="preserve"> </w:t>
      </w:r>
      <w:r>
        <w:rPr>
          <w:spacing w:val="-7"/>
        </w:rPr>
        <w:t>、</w:t>
      </w:r>
      <w:r>
        <w:rPr>
          <w:rFonts w:ascii="Times New Roman" w:hAnsi="Times New Roman" w:eastAsia="Times New Roman" w:cs="Times New Roman"/>
          <w:spacing w:val="-7"/>
        </w:rPr>
        <w:t>35m</w:t>
      </w:r>
      <w:r>
        <w:rPr>
          <w:rFonts w:ascii="Times New Roman" w:hAnsi="Times New Roman" w:eastAsia="Times New Roman" w:cs="Times New Roman"/>
          <w:spacing w:val="-35"/>
        </w:rPr>
        <w:t xml:space="preserve"> </w:t>
      </w:r>
      <w:r>
        <w:rPr>
          <w:spacing w:val="-7"/>
        </w:rPr>
        <w:t>、</w:t>
      </w:r>
      <w:r>
        <w:rPr>
          <w:rFonts w:ascii="Times New Roman" w:hAnsi="Times New Roman" w:eastAsia="Times New Roman" w:cs="Times New Roman"/>
          <w:spacing w:val="-7"/>
        </w:rPr>
        <w:t>40m</w:t>
      </w:r>
      <w:r>
        <w:rPr>
          <w:rFonts w:ascii="Times New Roman" w:hAnsi="Times New Roman" w:eastAsia="Times New Roman" w:cs="Times New Roman"/>
          <w:spacing w:val="-33"/>
        </w:rPr>
        <w:t xml:space="preserve"> </w:t>
      </w:r>
      <w:r>
        <w:rPr>
          <w:spacing w:val="-7"/>
        </w:rPr>
        <w:t>、</w:t>
      </w:r>
      <w:r>
        <w:rPr>
          <w:rFonts w:ascii="Times New Roman" w:hAnsi="Times New Roman" w:eastAsia="Times New Roman" w:cs="Times New Roman"/>
          <w:spacing w:val="-7"/>
        </w:rPr>
        <w:t>45m</w:t>
      </w:r>
      <w:r>
        <w:rPr>
          <w:rFonts w:ascii="Times New Roman" w:hAnsi="Times New Roman" w:eastAsia="Times New Roman" w:cs="Times New Roman"/>
          <w:spacing w:val="-33"/>
        </w:rPr>
        <w:t xml:space="preserve"> </w:t>
      </w:r>
      <w:r>
        <w:rPr>
          <w:spacing w:val="-7"/>
        </w:rPr>
        <w:t>、</w:t>
      </w:r>
      <w:r>
        <w:rPr>
          <w:rFonts w:ascii="Times New Roman" w:hAnsi="Times New Roman" w:eastAsia="Times New Roman" w:cs="Times New Roman"/>
          <w:spacing w:val="-8"/>
        </w:rPr>
        <w:t>50m</w:t>
      </w:r>
      <w:r>
        <w:rPr>
          <w:rFonts w:ascii="Times New Roman" w:hAnsi="Times New Roman" w:eastAsia="Times New Roman" w:cs="Times New Roman"/>
          <w:spacing w:val="19"/>
        </w:rPr>
        <w:t xml:space="preserve"> </w:t>
      </w:r>
      <w:r>
        <w:rPr>
          <w:spacing w:val="-8"/>
        </w:rPr>
        <w:t>断面进</w:t>
      </w:r>
      <w:r>
        <w:t xml:space="preserve"> </w:t>
      </w:r>
      <w:r>
        <w:rPr>
          <w:spacing w:val="-1"/>
        </w:rPr>
        <w:t>行了工频电场强度、工频磁场强度开展竣工验收监测。</w:t>
      </w:r>
    </w:p>
    <w:p w14:paraId="06601465">
      <w:pPr>
        <w:pStyle w:val="2"/>
        <w:spacing w:before="35" w:line="350" w:lineRule="auto"/>
        <w:ind w:left="122" w:firstLine="478"/>
      </w:pPr>
      <w:r>
        <w:rPr>
          <w:spacing w:val="-4"/>
        </w:rPr>
        <w:t>变电站对站外电磁环境影响的主要决定因素是变电站的电压等级、</w:t>
      </w:r>
      <w:r>
        <w:rPr>
          <w:rFonts w:ascii="Times New Roman" w:hAnsi="Times New Roman" w:eastAsia="Times New Roman" w:cs="Times New Roman"/>
          <w:spacing w:val="-4"/>
        </w:rPr>
        <w:t>GIS</w:t>
      </w:r>
      <w:r>
        <w:rPr>
          <w:rFonts w:ascii="Times New Roman" w:hAnsi="Times New Roman" w:eastAsia="Times New Roman" w:cs="Times New Roman"/>
          <w:spacing w:val="24"/>
          <w:w w:val="101"/>
        </w:rPr>
        <w:t xml:space="preserve"> </w:t>
      </w:r>
      <w:r>
        <w:rPr>
          <w:spacing w:val="-4"/>
        </w:rPr>
        <w:t>布置、</w:t>
      </w:r>
      <w:r>
        <w:t xml:space="preserve"> </w:t>
      </w:r>
      <w:r>
        <w:rPr>
          <w:spacing w:val="-3"/>
        </w:rPr>
        <w:t>主变压器规模和数量、进出线数量及布置、地形。本项目与</w:t>
      </w:r>
      <w:r>
        <w:rPr>
          <w:spacing w:val="-4"/>
        </w:rPr>
        <w:t>类比项目的相关参数</w:t>
      </w:r>
      <w:r>
        <w:t xml:space="preserve">  </w:t>
      </w:r>
      <w:r>
        <w:rPr>
          <w:spacing w:val="-3"/>
        </w:rPr>
        <w:t>比较见下表</w:t>
      </w:r>
      <w:r>
        <w:rPr>
          <w:spacing w:val="-47"/>
        </w:rPr>
        <w:t xml:space="preserve"> </w:t>
      </w:r>
      <w:r>
        <w:rPr>
          <w:rFonts w:ascii="Times New Roman" w:hAnsi="Times New Roman" w:eastAsia="Times New Roman" w:cs="Times New Roman"/>
          <w:spacing w:val="-3"/>
        </w:rPr>
        <w:t>5-1</w:t>
      </w:r>
      <w:r>
        <w:rPr>
          <w:spacing w:val="-3"/>
        </w:rPr>
        <w:t>。</w:t>
      </w:r>
    </w:p>
    <w:p w14:paraId="07326B9A">
      <w:pPr>
        <w:pStyle w:val="2"/>
        <w:spacing w:before="31" w:line="223" w:lineRule="auto"/>
        <w:ind w:left="2626"/>
        <w:rPr>
          <w:sz w:val="20"/>
          <w:szCs w:val="20"/>
        </w:rPr>
      </w:pPr>
      <w:r>
        <w:rPr>
          <w:b/>
          <w:bCs/>
          <w:spacing w:val="5"/>
          <w:sz w:val="20"/>
          <w:szCs w:val="20"/>
        </w:rPr>
        <w:t>表</w:t>
      </w:r>
      <w:r>
        <w:rPr>
          <w:spacing w:val="-22"/>
          <w:sz w:val="20"/>
          <w:szCs w:val="20"/>
        </w:rPr>
        <w:t xml:space="preserve"> </w:t>
      </w:r>
      <w:r>
        <w:rPr>
          <w:rFonts w:ascii="Times New Roman" w:hAnsi="Times New Roman" w:eastAsia="Times New Roman" w:cs="Times New Roman"/>
          <w:b/>
          <w:bCs/>
          <w:spacing w:val="5"/>
          <w:sz w:val="20"/>
          <w:szCs w:val="20"/>
        </w:rPr>
        <w:t xml:space="preserve">5-1    </w:t>
      </w:r>
      <w:r>
        <w:rPr>
          <w:b/>
          <w:bCs/>
          <w:spacing w:val="5"/>
          <w:sz w:val="20"/>
          <w:szCs w:val="20"/>
        </w:rPr>
        <w:t>升压站类比项目情况对比表</w:t>
      </w: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6"/>
        <w:gridCol w:w="2394"/>
        <w:gridCol w:w="2556"/>
        <w:gridCol w:w="2241"/>
      </w:tblGrid>
      <w:tr w14:paraId="6FE8E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326" w:type="dxa"/>
            <w:tcBorders>
              <w:tl2br w:val="single" w:color="000000" w:sz="4" w:space="0"/>
            </w:tcBorders>
            <w:vAlign w:val="top"/>
          </w:tcPr>
          <w:p w14:paraId="70C90230">
            <w:pPr>
              <w:pStyle w:val="6"/>
              <w:spacing w:before="35" w:line="206" w:lineRule="auto"/>
              <w:ind w:left="124" w:right="276" w:firstLine="512"/>
              <w:rPr>
                <w:sz w:val="20"/>
                <w:szCs w:val="20"/>
              </w:rPr>
            </w:pPr>
            <w:r>
              <w:rPr>
                <w:b/>
                <w:bCs/>
                <w:spacing w:val="2"/>
                <w:sz w:val="20"/>
                <w:szCs w:val="20"/>
              </w:rPr>
              <w:t>项目</w:t>
            </w:r>
            <w:r>
              <w:rPr>
                <w:sz w:val="20"/>
                <w:szCs w:val="20"/>
              </w:rPr>
              <w:t xml:space="preserve"> </w:t>
            </w:r>
            <w:r>
              <w:rPr>
                <w:b/>
                <w:bCs/>
                <w:spacing w:val="-3"/>
                <w:sz w:val="20"/>
                <w:szCs w:val="20"/>
              </w:rPr>
              <w:t>名</w:t>
            </w:r>
          </w:p>
          <w:p w14:paraId="6C2BCC51">
            <w:pPr>
              <w:pStyle w:val="6"/>
              <w:spacing w:before="20" w:line="230" w:lineRule="auto"/>
              <w:ind w:left="343"/>
              <w:rPr>
                <w:sz w:val="20"/>
                <w:szCs w:val="20"/>
              </w:rPr>
            </w:pPr>
            <w:r>
              <w:rPr>
                <w:b/>
                <w:bCs/>
                <w:spacing w:val="-1"/>
                <w:sz w:val="20"/>
                <w:szCs w:val="20"/>
              </w:rPr>
              <w:t>称</w:t>
            </w:r>
          </w:p>
        </w:tc>
        <w:tc>
          <w:tcPr>
            <w:tcW w:w="2394" w:type="dxa"/>
            <w:vAlign w:val="top"/>
          </w:tcPr>
          <w:p w14:paraId="4DC6634B">
            <w:pPr>
              <w:pStyle w:val="6"/>
              <w:spacing w:before="164"/>
              <w:ind w:left="1094" w:right="116" w:hanging="976"/>
              <w:rPr>
                <w:sz w:val="20"/>
                <w:szCs w:val="20"/>
              </w:rPr>
            </w:pPr>
            <w:r>
              <w:rPr>
                <w:b/>
                <w:bCs/>
                <w:spacing w:val="5"/>
                <w:sz w:val="20"/>
                <w:szCs w:val="20"/>
              </w:rPr>
              <w:t>本项目拟建</w:t>
            </w:r>
            <w:r>
              <w:rPr>
                <w:spacing w:val="-34"/>
                <w:sz w:val="20"/>
                <w:szCs w:val="20"/>
              </w:rPr>
              <w:t xml:space="preserve"> </w:t>
            </w:r>
            <w:r>
              <w:rPr>
                <w:rFonts w:ascii="Times New Roman" w:hAnsi="Times New Roman" w:eastAsia="Times New Roman" w:cs="Times New Roman"/>
                <w:b/>
                <w:bCs/>
                <w:spacing w:val="5"/>
                <w:sz w:val="20"/>
                <w:szCs w:val="20"/>
              </w:rPr>
              <w:t>220</w:t>
            </w:r>
            <w:r>
              <w:rPr>
                <w:rFonts w:ascii="Times New Roman" w:hAnsi="Times New Roman" w:eastAsia="Times New Roman" w:cs="Times New Roman"/>
                <w:b/>
                <w:bCs/>
                <w:sz w:val="20"/>
                <w:szCs w:val="20"/>
              </w:rPr>
              <w:t>kV</w:t>
            </w:r>
            <w:r>
              <w:rPr>
                <w:rFonts w:ascii="Times New Roman" w:hAnsi="Times New Roman" w:eastAsia="Times New Roman" w:cs="Times New Roman"/>
                <w:b/>
                <w:bCs/>
                <w:spacing w:val="16"/>
                <w:sz w:val="20"/>
                <w:szCs w:val="20"/>
              </w:rPr>
              <w:t xml:space="preserve"> </w:t>
            </w:r>
            <w:r>
              <w:rPr>
                <w:b/>
                <w:bCs/>
                <w:spacing w:val="5"/>
                <w:sz w:val="20"/>
                <w:szCs w:val="20"/>
              </w:rPr>
              <w:t>升压</w:t>
            </w:r>
            <w:r>
              <w:rPr>
                <w:sz w:val="20"/>
                <w:szCs w:val="20"/>
              </w:rPr>
              <w:t xml:space="preserve"> </w:t>
            </w:r>
            <w:r>
              <w:rPr>
                <w:b/>
                <w:bCs/>
                <w:spacing w:val="-3"/>
                <w:sz w:val="20"/>
                <w:szCs w:val="20"/>
              </w:rPr>
              <w:t>站</w:t>
            </w:r>
          </w:p>
        </w:tc>
        <w:tc>
          <w:tcPr>
            <w:tcW w:w="2556" w:type="dxa"/>
            <w:vAlign w:val="top"/>
          </w:tcPr>
          <w:p w14:paraId="79336CE8">
            <w:pPr>
              <w:pStyle w:val="6"/>
              <w:spacing w:before="163" w:line="239" w:lineRule="auto"/>
              <w:ind w:left="230" w:right="126" w:hanging="99"/>
              <w:rPr>
                <w:sz w:val="20"/>
                <w:szCs w:val="20"/>
              </w:rPr>
            </w:pPr>
            <w:r>
              <w:rPr>
                <w:b/>
                <w:bCs/>
                <w:spacing w:val="12"/>
                <w:sz w:val="20"/>
                <w:szCs w:val="20"/>
              </w:rPr>
              <w:t>禄劝县撒永山</w:t>
            </w:r>
            <w:r>
              <w:rPr>
                <w:rFonts w:ascii="Times New Roman" w:hAnsi="Times New Roman" w:eastAsia="Times New Roman" w:cs="Times New Roman"/>
                <w:b/>
                <w:bCs/>
                <w:spacing w:val="12"/>
                <w:sz w:val="20"/>
                <w:szCs w:val="20"/>
              </w:rPr>
              <w:t>250</w:t>
            </w:r>
            <w:r>
              <w:rPr>
                <w:rFonts w:ascii="Times New Roman" w:hAnsi="Times New Roman" w:eastAsia="Times New Roman" w:cs="Times New Roman"/>
                <w:b/>
                <w:bCs/>
                <w:sz w:val="20"/>
                <w:szCs w:val="20"/>
              </w:rPr>
              <w:t>MW</w:t>
            </w:r>
            <w:r>
              <w:rPr>
                <w:rFonts w:ascii="Times New Roman" w:hAnsi="Times New Roman" w:eastAsia="Times New Roman" w:cs="Times New Roman"/>
                <w:b/>
                <w:bCs/>
                <w:spacing w:val="12"/>
                <w:sz w:val="20"/>
                <w:szCs w:val="20"/>
              </w:rPr>
              <w:t xml:space="preserve"> </w:t>
            </w:r>
            <w:r>
              <w:rPr>
                <w:b/>
                <w:bCs/>
                <w:spacing w:val="12"/>
                <w:sz w:val="20"/>
                <w:szCs w:val="20"/>
              </w:rPr>
              <w:t>光</w:t>
            </w:r>
            <w:r>
              <w:rPr>
                <w:spacing w:val="6"/>
                <w:sz w:val="20"/>
                <w:szCs w:val="20"/>
              </w:rPr>
              <w:t xml:space="preserve"> </w:t>
            </w:r>
            <w:r>
              <w:rPr>
                <w:b/>
                <w:bCs/>
                <w:spacing w:val="7"/>
                <w:sz w:val="20"/>
                <w:szCs w:val="20"/>
              </w:rPr>
              <w:t>伏电站项目（</w:t>
            </w:r>
            <w:r>
              <w:rPr>
                <w:rFonts w:ascii="Times New Roman" w:hAnsi="Times New Roman" w:eastAsia="Times New Roman" w:cs="Times New Roman"/>
                <w:b/>
                <w:bCs/>
                <w:spacing w:val="7"/>
                <w:sz w:val="20"/>
                <w:szCs w:val="20"/>
              </w:rPr>
              <w:t>220</w:t>
            </w:r>
            <w:r>
              <w:rPr>
                <w:rFonts w:ascii="Times New Roman" w:hAnsi="Times New Roman" w:eastAsia="Times New Roman" w:cs="Times New Roman"/>
                <w:b/>
                <w:bCs/>
                <w:sz w:val="20"/>
                <w:szCs w:val="20"/>
              </w:rPr>
              <w:t>KV</w:t>
            </w:r>
            <w:r>
              <w:rPr>
                <w:b/>
                <w:bCs/>
                <w:spacing w:val="7"/>
                <w:sz w:val="20"/>
                <w:szCs w:val="20"/>
              </w:rPr>
              <w:t>）</w:t>
            </w:r>
          </w:p>
        </w:tc>
        <w:tc>
          <w:tcPr>
            <w:tcW w:w="2241" w:type="dxa"/>
            <w:vAlign w:val="top"/>
          </w:tcPr>
          <w:p w14:paraId="20B124BF">
            <w:pPr>
              <w:pStyle w:val="6"/>
              <w:spacing w:before="298" w:line="229" w:lineRule="auto"/>
              <w:ind w:left="812"/>
              <w:rPr>
                <w:sz w:val="20"/>
                <w:szCs w:val="20"/>
              </w:rPr>
            </w:pPr>
            <w:r>
              <w:rPr>
                <w:b/>
                <w:bCs/>
                <w:spacing w:val="5"/>
                <w:sz w:val="20"/>
                <w:szCs w:val="20"/>
              </w:rPr>
              <w:t>可比性</w:t>
            </w:r>
          </w:p>
        </w:tc>
      </w:tr>
      <w:tr w14:paraId="08D03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26" w:type="dxa"/>
            <w:vAlign w:val="top"/>
          </w:tcPr>
          <w:p w14:paraId="54576EC0">
            <w:pPr>
              <w:pStyle w:val="6"/>
              <w:spacing w:before="67" w:line="228" w:lineRule="auto"/>
              <w:ind w:left="273"/>
              <w:rPr>
                <w:sz w:val="20"/>
                <w:szCs w:val="20"/>
              </w:rPr>
            </w:pPr>
            <w:r>
              <w:rPr>
                <w:spacing w:val="1"/>
                <w:sz w:val="20"/>
                <w:szCs w:val="20"/>
              </w:rPr>
              <w:t>电压等级</w:t>
            </w:r>
          </w:p>
        </w:tc>
        <w:tc>
          <w:tcPr>
            <w:tcW w:w="2394" w:type="dxa"/>
            <w:vAlign w:val="top"/>
          </w:tcPr>
          <w:p w14:paraId="749B3BBF">
            <w:pPr>
              <w:spacing w:before="99" w:line="199" w:lineRule="auto"/>
              <w:ind w:left="91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220</w:t>
            </w:r>
            <w:r>
              <w:rPr>
                <w:rFonts w:ascii="Times New Roman" w:hAnsi="Times New Roman" w:eastAsia="Times New Roman" w:cs="Times New Roman"/>
                <w:sz w:val="20"/>
                <w:szCs w:val="20"/>
              </w:rPr>
              <w:t>kV</w:t>
            </w:r>
          </w:p>
        </w:tc>
        <w:tc>
          <w:tcPr>
            <w:tcW w:w="2556" w:type="dxa"/>
            <w:vAlign w:val="top"/>
          </w:tcPr>
          <w:p w14:paraId="51C65D85">
            <w:pPr>
              <w:spacing w:before="99" w:line="199" w:lineRule="auto"/>
              <w:ind w:left="99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220</w:t>
            </w:r>
            <w:r>
              <w:rPr>
                <w:rFonts w:ascii="Times New Roman" w:hAnsi="Times New Roman" w:eastAsia="Times New Roman" w:cs="Times New Roman"/>
                <w:sz w:val="20"/>
                <w:szCs w:val="20"/>
              </w:rPr>
              <w:t>kV</w:t>
            </w:r>
          </w:p>
        </w:tc>
        <w:tc>
          <w:tcPr>
            <w:tcW w:w="2241" w:type="dxa"/>
            <w:vAlign w:val="top"/>
          </w:tcPr>
          <w:p w14:paraId="72844D51">
            <w:pPr>
              <w:pStyle w:val="6"/>
              <w:spacing w:before="67" w:line="230" w:lineRule="auto"/>
              <w:ind w:left="915"/>
              <w:rPr>
                <w:sz w:val="20"/>
                <w:szCs w:val="20"/>
              </w:rPr>
            </w:pPr>
            <w:r>
              <w:rPr>
                <w:spacing w:val="4"/>
                <w:sz w:val="20"/>
                <w:szCs w:val="20"/>
              </w:rPr>
              <w:t>相同</w:t>
            </w:r>
          </w:p>
        </w:tc>
      </w:tr>
      <w:tr w14:paraId="71F00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26" w:type="dxa"/>
            <w:vAlign w:val="top"/>
          </w:tcPr>
          <w:p w14:paraId="22BB23B4">
            <w:pPr>
              <w:pStyle w:val="6"/>
              <w:spacing w:before="66" w:line="228" w:lineRule="auto"/>
              <w:ind w:left="250"/>
              <w:rPr>
                <w:sz w:val="20"/>
                <w:szCs w:val="20"/>
              </w:rPr>
            </w:pPr>
            <w:r>
              <w:rPr>
                <w:spacing w:val="6"/>
                <w:sz w:val="20"/>
                <w:szCs w:val="20"/>
              </w:rPr>
              <w:t>主变容量</w:t>
            </w:r>
          </w:p>
        </w:tc>
        <w:tc>
          <w:tcPr>
            <w:tcW w:w="2394" w:type="dxa"/>
            <w:vAlign w:val="top"/>
          </w:tcPr>
          <w:p w14:paraId="5BA71270">
            <w:pPr>
              <w:spacing w:before="104"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1×180</w:t>
            </w:r>
            <w:r>
              <w:rPr>
                <w:rFonts w:ascii="Times New Roman" w:hAnsi="Times New Roman" w:eastAsia="Times New Roman" w:cs="Times New Roman"/>
                <w:sz w:val="20"/>
                <w:szCs w:val="20"/>
              </w:rPr>
              <w:t>MVA</w:t>
            </w:r>
          </w:p>
        </w:tc>
        <w:tc>
          <w:tcPr>
            <w:tcW w:w="2556" w:type="dxa"/>
            <w:vAlign w:val="top"/>
          </w:tcPr>
          <w:p w14:paraId="39F50829">
            <w:pPr>
              <w:spacing w:before="104" w:line="195" w:lineRule="auto"/>
              <w:ind w:left="78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2×125</w:t>
            </w:r>
            <w:r>
              <w:rPr>
                <w:rFonts w:ascii="Times New Roman" w:hAnsi="Times New Roman" w:eastAsia="Times New Roman" w:cs="Times New Roman"/>
                <w:sz w:val="20"/>
                <w:szCs w:val="20"/>
              </w:rPr>
              <w:t>MVA</w:t>
            </w:r>
          </w:p>
        </w:tc>
        <w:tc>
          <w:tcPr>
            <w:tcW w:w="2241" w:type="dxa"/>
            <w:vAlign w:val="top"/>
          </w:tcPr>
          <w:p w14:paraId="2C7E22BA">
            <w:pPr>
              <w:pStyle w:val="6"/>
              <w:spacing w:before="66" w:line="227" w:lineRule="auto"/>
              <w:ind w:left="181"/>
              <w:rPr>
                <w:sz w:val="20"/>
                <w:szCs w:val="20"/>
              </w:rPr>
            </w:pPr>
            <w:r>
              <w:rPr>
                <w:spacing w:val="8"/>
                <w:sz w:val="20"/>
                <w:szCs w:val="20"/>
              </w:rPr>
              <w:t>类比项目大于本项目</w:t>
            </w:r>
          </w:p>
        </w:tc>
      </w:tr>
      <w:tr w14:paraId="405AD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26" w:type="dxa"/>
            <w:vAlign w:val="top"/>
          </w:tcPr>
          <w:p w14:paraId="5C34A45C">
            <w:pPr>
              <w:pStyle w:val="6"/>
              <w:spacing w:before="67" w:line="227" w:lineRule="auto"/>
              <w:ind w:left="248"/>
              <w:rPr>
                <w:sz w:val="20"/>
                <w:szCs w:val="20"/>
              </w:rPr>
            </w:pPr>
            <w:r>
              <w:rPr>
                <w:spacing w:val="7"/>
                <w:sz w:val="20"/>
                <w:szCs w:val="20"/>
              </w:rPr>
              <w:t>布设形式</w:t>
            </w:r>
          </w:p>
        </w:tc>
        <w:tc>
          <w:tcPr>
            <w:tcW w:w="2394" w:type="dxa"/>
            <w:vAlign w:val="top"/>
          </w:tcPr>
          <w:p w14:paraId="1099D15B">
            <w:pPr>
              <w:pStyle w:val="6"/>
              <w:spacing w:before="67" w:line="227" w:lineRule="auto"/>
              <w:ind w:left="781"/>
              <w:rPr>
                <w:sz w:val="20"/>
                <w:szCs w:val="20"/>
              </w:rPr>
            </w:pPr>
            <w:r>
              <w:rPr>
                <w:spacing w:val="7"/>
                <w:sz w:val="20"/>
                <w:szCs w:val="20"/>
              </w:rPr>
              <w:t>户外布置</w:t>
            </w:r>
          </w:p>
        </w:tc>
        <w:tc>
          <w:tcPr>
            <w:tcW w:w="2556" w:type="dxa"/>
            <w:vAlign w:val="top"/>
          </w:tcPr>
          <w:p w14:paraId="7730E861">
            <w:pPr>
              <w:pStyle w:val="6"/>
              <w:spacing w:before="67" w:line="227" w:lineRule="auto"/>
              <w:ind w:left="863"/>
              <w:rPr>
                <w:sz w:val="20"/>
                <w:szCs w:val="20"/>
              </w:rPr>
            </w:pPr>
            <w:r>
              <w:rPr>
                <w:spacing w:val="7"/>
                <w:sz w:val="20"/>
                <w:szCs w:val="20"/>
              </w:rPr>
              <w:t>户外布置</w:t>
            </w:r>
          </w:p>
        </w:tc>
        <w:tc>
          <w:tcPr>
            <w:tcW w:w="2241" w:type="dxa"/>
            <w:vAlign w:val="top"/>
          </w:tcPr>
          <w:p w14:paraId="223235DE">
            <w:pPr>
              <w:pStyle w:val="6"/>
              <w:spacing w:before="67" w:line="230" w:lineRule="auto"/>
              <w:ind w:left="915"/>
              <w:rPr>
                <w:sz w:val="20"/>
                <w:szCs w:val="20"/>
              </w:rPr>
            </w:pPr>
            <w:r>
              <w:rPr>
                <w:spacing w:val="4"/>
                <w:sz w:val="20"/>
                <w:szCs w:val="20"/>
              </w:rPr>
              <w:t>相同</w:t>
            </w:r>
          </w:p>
        </w:tc>
      </w:tr>
      <w:tr w14:paraId="0016A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326" w:type="dxa"/>
            <w:vAlign w:val="top"/>
          </w:tcPr>
          <w:p w14:paraId="21E84843">
            <w:pPr>
              <w:pStyle w:val="6"/>
              <w:spacing w:before="34" w:line="234" w:lineRule="auto"/>
              <w:ind w:left="458" w:right="137" w:hanging="314"/>
              <w:rPr>
                <w:sz w:val="20"/>
                <w:szCs w:val="20"/>
              </w:rPr>
            </w:pPr>
            <w:r>
              <w:rPr>
                <w:spacing w:val="7"/>
                <w:sz w:val="20"/>
                <w:szCs w:val="20"/>
              </w:rPr>
              <w:t>主变距围墙</w:t>
            </w:r>
            <w:r>
              <w:rPr>
                <w:spacing w:val="3"/>
                <w:sz w:val="20"/>
                <w:szCs w:val="20"/>
              </w:rPr>
              <w:t xml:space="preserve"> </w:t>
            </w:r>
            <w:r>
              <w:rPr>
                <w:spacing w:val="5"/>
                <w:sz w:val="20"/>
                <w:szCs w:val="20"/>
              </w:rPr>
              <w:t>距离</w:t>
            </w:r>
          </w:p>
        </w:tc>
        <w:tc>
          <w:tcPr>
            <w:tcW w:w="2394" w:type="dxa"/>
            <w:vAlign w:val="top"/>
          </w:tcPr>
          <w:p w14:paraId="451FD230">
            <w:pPr>
              <w:pStyle w:val="6"/>
              <w:spacing w:before="34" w:line="234" w:lineRule="auto"/>
              <w:ind w:left="725" w:right="147" w:hanging="572"/>
              <w:rPr>
                <w:rFonts w:ascii="Times New Roman" w:hAnsi="Times New Roman" w:eastAsia="Times New Roman" w:cs="Times New Roman"/>
                <w:sz w:val="20"/>
                <w:szCs w:val="20"/>
              </w:rPr>
            </w:pPr>
            <w:r>
              <w:rPr>
                <w:spacing w:val="8"/>
                <w:sz w:val="20"/>
                <w:szCs w:val="20"/>
              </w:rPr>
              <w:t>主变与四周围墙距离约</w:t>
            </w:r>
            <w:r>
              <w:rPr>
                <w:spacing w:val="6"/>
                <w:sz w:val="20"/>
                <w:szCs w:val="20"/>
              </w:rPr>
              <w:t xml:space="preserve"> </w:t>
            </w:r>
            <w:r>
              <w:rPr>
                <w:rFonts w:ascii="Times New Roman" w:hAnsi="Times New Roman" w:eastAsia="Times New Roman" w:cs="Times New Roman"/>
                <w:spacing w:val="4"/>
                <w:sz w:val="20"/>
                <w:szCs w:val="20"/>
              </w:rPr>
              <w:t>35</w:t>
            </w:r>
            <w:r>
              <w:rPr>
                <w:spacing w:val="4"/>
                <w:sz w:val="20"/>
                <w:szCs w:val="20"/>
              </w:rPr>
              <w:t>～</w:t>
            </w:r>
            <w:r>
              <w:rPr>
                <w:rFonts w:ascii="Times New Roman" w:hAnsi="Times New Roman" w:eastAsia="Times New Roman" w:cs="Times New Roman"/>
                <w:spacing w:val="4"/>
                <w:sz w:val="20"/>
                <w:szCs w:val="20"/>
              </w:rPr>
              <w:t>61.5m</w:t>
            </w:r>
          </w:p>
        </w:tc>
        <w:tc>
          <w:tcPr>
            <w:tcW w:w="2556" w:type="dxa"/>
            <w:vAlign w:val="top"/>
          </w:tcPr>
          <w:p w14:paraId="2B653FFA">
            <w:pPr>
              <w:pStyle w:val="6"/>
              <w:spacing w:before="34" w:line="234" w:lineRule="auto"/>
              <w:ind w:left="903" w:right="227" w:hanging="667"/>
              <w:rPr>
                <w:rFonts w:ascii="Times New Roman" w:hAnsi="Times New Roman" w:eastAsia="Times New Roman" w:cs="Times New Roman"/>
                <w:sz w:val="20"/>
                <w:szCs w:val="20"/>
              </w:rPr>
            </w:pPr>
            <w:r>
              <w:rPr>
                <w:spacing w:val="8"/>
                <w:sz w:val="20"/>
                <w:szCs w:val="20"/>
              </w:rPr>
              <w:t>主变与四周围墙距离约</w:t>
            </w:r>
            <w:r>
              <w:rPr>
                <w:spacing w:val="6"/>
                <w:sz w:val="20"/>
                <w:szCs w:val="20"/>
              </w:rPr>
              <w:t xml:space="preserve"> </w:t>
            </w:r>
            <w:r>
              <w:rPr>
                <w:rFonts w:ascii="Times New Roman" w:hAnsi="Times New Roman" w:eastAsia="Times New Roman" w:cs="Times New Roman"/>
                <w:spacing w:val="1"/>
                <w:sz w:val="20"/>
                <w:szCs w:val="20"/>
              </w:rPr>
              <w:t>16</w:t>
            </w:r>
            <w:r>
              <w:rPr>
                <w:spacing w:val="1"/>
                <w:sz w:val="20"/>
                <w:szCs w:val="20"/>
              </w:rPr>
              <w:t>～</w:t>
            </w:r>
            <w:r>
              <w:rPr>
                <w:rFonts w:ascii="Times New Roman" w:hAnsi="Times New Roman" w:eastAsia="Times New Roman" w:cs="Times New Roman"/>
                <w:spacing w:val="1"/>
                <w:sz w:val="20"/>
                <w:szCs w:val="20"/>
              </w:rPr>
              <w:t>65m</w:t>
            </w:r>
          </w:p>
        </w:tc>
        <w:tc>
          <w:tcPr>
            <w:tcW w:w="2241" w:type="dxa"/>
            <w:vAlign w:val="top"/>
          </w:tcPr>
          <w:p w14:paraId="21CD3106">
            <w:pPr>
              <w:spacing w:before="203" w:line="199" w:lineRule="auto"/>
              <w:ind w:left="10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2564E423">
      <w:pPr>
        <w:rPr>
          <w:rFonts w:ascii="Arial"/>
          <w:sz w:val="21"/>
        </w:rPr>
      </w:pPr>
    </w:p>
    <w:p w14:paraId="0C2A535E">
      <w:pPr>
        <w:rPr>
          <w:rFonts w:ascii="Arial" w:hAnsi="Arial" w:eastAsia="Arial" w:cs="Arial"/>
          <w:sz w:val="21"/>
          <w:szCs w:val="21"/>
        </w:rPr>
        <w:sectPr>
          <w:footerReference r:id="rId189" w:type="default"/>
          <w:pgSz w:w="11906" w:h="16839"/>
          <w:pgMar w:top="1425" w:right="1601" w:bottom="1263" w:left="1691" w:header="0" w:footer="1073" w:gutter="0"/>
          <w:cols w:space="720" w:num="1"/>
        </w:sectPr>
      </w:pPr>
    </w:p>
    <w:p w14:paraId="6E4A8E58">
      <w:pPr>
        <w:spacing w:line="91" w:lineRule="auto"/>
        <w:rPr>
          <w:rFonts w:ascii="Arial"/>
          <w:sz w:val="2"/>
        </w:rPr>
      </w:pPr>
    </w:p>
    <w:tbl>
      <w:tblPr>
        <w:tblStyle w:val="5"/>
        <w:tblW w:w="8517"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6"/>
        <w:gridCol w:w="2394"/>
        <w:gridCol w:w="2556"/>
        <w:gridCol w:w="2241"/>
      </w:tblGrid>
      <w:tr w14:paraId="1B0C0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26" w:type="dxa"/>
            <w:vAlign w:val="top"/>
          </w:tcPr>
          <w:p w14:paraId="092016DD">
            <w:pPr>
              <w:pStyle w:val="6"/>
              <w:spacing w:before="36" w:line="216" w:lineRule="auto"/>
              <w:ind w:left="273"/>
              <w:rPr>
                <w:sz w:val="20"/>
                <w:szCs w:val="20"/>
              </w:rPr>
            </w:pPr>
            <w:r>
              <w:rPr>
                <w:spacing w:val="1"/>
                <w:sz w:val="20"/>
                <w:szCs w:val="20"/>
              </w:rPr>
              <w:t>电气形式</w:t>
            </w:r>
          </w:p>
        </w:tc>
        <w:tc>
          <w:tcPr>
            <w:tcW w:w="2394" w:type="dxa"/>
            <w:vAlign w:val="top"/>
          </w:tcPr>
          <w:p w14:paraId="7B78D57B">
            <w:pPr>
              <w:spacing w:before="73" w:line="195" w:lineRule="auto"/>
              <w:ind w:left="10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GIS</w:t>
            </w:r>
          </w:p>
        </w:tc>
        <w:tc>
          <w:tcPr>
            <w:tcW w:w="2556" w:type="dxa"/>
            <w:vAlign w:val="top"/>
          </w:tcPr>
          <w:p w14:paraId="0B9C2456">
            <w:pPr>
              <w:spacing w:before="73" w:line="195" w:lineRule="auto"/>
              <w:ind w:left="11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GIS</w:t>
            </w:r>
          </w:p>
        </w:tc>
        <w:tc>
          <w:tcPr>
            <w:tcW w:w="2241" w:type="dxa"/>
            <w:vAlign w:val="top"/>
          </w:tcPr>
          <w:p w14:paraId="01B6A14A">
            <w:pPr>
              <w:pStyle w:val="6"/>
              <w:spacing w:before="36" w:line="216" w:lineRule="auto"/>
              <w:ind w:left="915"/>
              <w:rPr>
                <w:sz w:val="20"/>
                <w:szCs w:val="20"/>
              </w:rPr>
            </w:pPr>
            <w:r>
              <w:rPr>
                <w:spacing w:val="4"/>
                <w:sz w:val="20"/>
                <w:szCs w:val="20"/>
              </w:rPr>
              <w:t>相同</w:t>
            </w:r>
          </w:p>
        </w:tc>
      </w:tr>
      <w:tr w14:paraId="7056E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26" w:type="dxa"/>
            <w:vAlign w:val="top"/>
          </w:tcPr>
          <w:p w14:paraId="107EC5CB">
            <w:pPr>
              <w:pStyle w:val="6"/>
              <w:spacing w:before="66" w:line="228" w:lineRule="auto"/>
              <w:ind w:left="248"/>
              <w:rPr>
                <w:sz w:val="20"/>
                <w:szCs w:val="20"/>
              </w:rPr>
            </w:pPr>
            <w:r>
              <w:rPr>
                <w:spacing w:val="7"/>
                <w:sz w:val="20"/>
                <w:szCs w:val="20"/>
              </w:rPr>
              <w:t>母线形式</w:t>
            </w:r>
          </w:p>
        </w:tc>
        <w:tc>
          <w:tcPr>
            <w:tcW w:w="2394" w:type="dxa"/>
            <w:vAlign w:val="top"/>
          </w:tcPr>
          <w:p w14:paraId="4DC8A56E">
            <w:pPr>
              <w:pStyle w:val="6"/>
              <w:spacing w:before="66" w:line="228" w:lineRule="auto"/>
              <w:ind w:left="676"/>
              <w:rPr>
                <w:sz w:val="20"/>
                <w:szCs w:val="20"/>
              </w:rPr>
            </w:pPr>
            <w:r>
              <w:rPr>
                <w:spacing w:val="7"/>
                <w:sz w:val="20"/>
                <w:szCs w:val="20"/>
              </w:rPr>
              <w:t>单母线连接</w:t>
            </w:r>
          </w:p>
        </w:tc>
        <w:tc>
          <w:tcPr>
            <w:tcW w:w="2556" w:type="dxa"/>
            <w:vAlign w:val="top"/>
          </w:tcPr>
          <w:p w14:paraId="2B0E7DF4">
            <w:pPr>
              <w:pStyle w:val="6"/>
              <w:spacing w:before="66" w:line="228" w:lineRule="auto"/>
              <w:ind w:left="761"/>
              <w:rPr>
                <w:sz w:val="20"/>
                <w:szCs w:val="20"/>
              </w:rPr>
            </w:pPr>
            <w:r>
              <w:rPr>
                <w:spacing w:val="7"/>
                <w:sz w:val="20"/>
                <w:szCs w:val="20"/>
              </w:rPr>
              <w:t>单母线连接</w:t>
            </w:r>
          </w:p>
        </w:tc>
        <w:tc>
          <w:tcPr>
            <w:tcW w:w="2241" w:type="dxa"/>
            <w:vAlign w:val="top"/>
          </w:tcPr>
          <w:p w14:paraId="28D17B5B">
            <w:pPr>
              <w:pStyle w:val="6"/>
              <w:spacing w:before="65" w:line="230" w:lineRule="auto"/>
              <w:ind w:left="915"/>
              <w:rPr>
                <w:sz w:val="20"/>
                <w:szCs w:val="20"/>
              </w:rPr>
            </w:pPr>
            <w:r>
              <w:rPr>
                <w:spacing w:val="4"/>
                <w:sz w:val="20"/>
                <w:szCs w:val="20"/>
              </w:rPr>
              <w:t>相同</w:t>
            </w:r>
          </w:p>
        </w:tc>
      </w:tr>
      <w:tr w14:paraId="4C8DA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326" w:type="dxa"/>
            <w:vAlign w:val="top"/>
          </w:tcPr>
          <w:p w14:paraId="2E7A64C4">
            <w:pPr>
              <w:pStyle w:val="6"/>
              <w:spacing w:before="34" w:line="216" w:lineRule="auto"/>
              <w:ind w:left="266"/>
              <w:rPr>
                <w:sz w:val="20"/>
                <w:szCs w:val="20"/>
              </w:rPr>
            </w:pPr>
            <w:r>
              <w:rPr>
                <w:spacing w:val="2"/>
                <w:sz w:val="20"/>
                <w:szCs w:val="20"/>
              </w:rPr>
              <w:t>出线回路</w:t>
            </w:r>
          </w:p>
        </w:tc>
        <w:tc>
          <w:tcPr>
            <w:tcW w:w="2394" w:type="dxa"/>
            <w:vAlign w:val="top"/>
          </w:tcPr>
          <w:p w14:paraId="28C0554F">
            <w:pPr>
              <w:pStyle w:val="6"/>
              <w:spacing w:before="34" w:line="216" w:lineRule="auto"/>
              <w:ind w:left="275"/>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37"/>
                <w:w w:val="101"/>
                <w:sz w:val="20"/>
                <w:szCs w:val="20"/>
              </w:rPr>
              <w:t xml:space="preserve"> </w:t>
            </w:r>
            <w:r>
              <w:rPr>
                <w:sz w:val="20"/>
                <w:szCs w:val="20"/>
              </w:rPr>
              <w:t>回</w:t>
            </w:r>
            <w:r>
              <w:rPr>
                <w:spacing w:val="-41"/>
                <w:sz w:val="20"/>
                <w:szCs w:val="20"/>
              </w:rPr>
              <w:t xml:space="preserve"> </w:t>
            </w:r>
            <w:r>
              <w:rPr>
                <w:rFonts w:ascii="Times New Roman" w:hAnsi="Times New Roman" w:eastAsia="Times New Roman" w:cs="Times New Roman"/>
                <w:sz w:val="20"/>
                <w:szCs w:val="20"/>
              </w:rPr>
              <w:t>220kV</w:t>
            </w:r>
            <w:r>
              <w:rPr>
                <w:rFonts w:ascii="Times New Roman" w:hAnsi="Times New Roman" w:eastAsia="Times New Roman" w:cs="Times New Roman"/>
                <w:spacing w:val="15"/>
                <w:sz w:val="20"/>
                <w:szCs w:val="20"/>
              </w:rPr>
              <w:t xml:space="preserve"> </w:t>
            </w:r>
            <w:r>
              <w:rPr>
                <w:sz w:val="20"/>
                <w:szCs w:val="20"/>
              </w:rPr>
              <w:t>架空出线</w:t>
            </w:r>
          </w:p>
        </w:tc>
        <w:tc>
          <w:tcPr>
            <w:tcW w:w="2556" w:type="dxa"/>
            <w:vAlign w:val="top"/>
          </w:tcPr>
          <w:p w14:paraId="5BD1E0B4">
            <w:pPr>
              <w:pStyle w:val="6"/>
              <w:spacing w:before="34" w:line="216" w:lineRule="auto"/>
              <w:ind w:left="358"/>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32"/>
                <w:w w:val="101"/>
                <w:sz w:val="20"/>
                <w:szCs w:val="20"/>
              </w:rPr>
              <w:t xml:space="preserve"> </w:t>
            </w:r>
            <w:r>
              <w:rPr>
                <w:spacing w:val="2"/>
                <w:sz w:val="20"/>
                <w:szCs w:val="20"/>
              </w:rPr>
              <w:t>回</w:t>
            </w:r>
            <w:r>
              <w:rPr>
                <w:spacing w:val="-41"/>
                <w:sz w:val="20"/>
                <w:szCs w:val="20"/>
              </w:rPr>
              <w:t xml:space="preserve"> </w:t>
            </w:r>
            <w:r>
              <w:rPr>
                <w:rFonts w:ascii="Times New Roman" w:hAnsi="Times New Roman" w:eastAsia="Times New Roman" w:cs="Times New Roman"/>
                <w:spacing w:val="2"/>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2"/>
                <w:sz w:val="20"/>
                <w:szCs w:val="20"/>
              </w:rPr>
              <w:t xml:space="preserve"> </w:t>
            </w:r>
            <w:r>
              <w:rPr>
                <w:spacing w:val="2"/>
                <w:sz w:val="20"/>
                <w:szCs w:val="20"/>
              </w:rPr>
              <w:t>架空出线</w:t>
            </w:r>
          </w:p>
        </w:tc>
        <w:tc>
          <w:tcPr>
            <w:tcW w:w="2241" w:type="dxa"/>
            <w:vAlign w:val="top"/>
          </w:tcPr>
          <w:p w14:paraId="2F9BBEEC">
            <w:pPr>
              <w:pStyle w:val="6"/>
              <w:spacing w:before="34" w:line="216" w:lineRule="auto"/>
              <w:ind w:left="915"/>
              <w:rPr>
                <w:sz w:val="20"/>
                <w:szCs w:val="20"/>
              </w:rPr>
            </w:pPr>
            <w:r>
              <w:rPr>
                <w:spacing w:val="4"/>
                <w:sz w:val="20"/>
                <w:szCs w:val="20"/>
              </w:rPr>
              <w:t>相同</w:t>
            </w:r>
          </w:p>
        </w:tc>
      </w:tr>
      <w:tr w14:paraId="0C475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26" w:type="dxa"/>
            <w:vAlign w:val="top"/>
          </w:tcPr>
          <w:p w14:paraId="153F7291">
            <w:pPr>
              <w:pStyle w:val="6"/>
              <w:spacing w:before="168" w:line="229" w:lineRule="auto"/>
              <w:ind w:left="494"/>
              <w:rPr>
                <w:sz w:val="20"/>
                <w:szCs w:val="20"/>
              </w:rPr>
            </w:pPr>
            <w:r>
              <w:rPr>
                <w:spacing w:val="-13"/>
                <w:sz w:val="20"/>
                <w:szCs w:val="20"/>
              </w:rPr>
              <w:t>占地</w:t>
            </w:r>
          </w:p>
        </w:tc>
        <w:tc>
          <w:tcPr>
            <w:tcW w:w="2394" w:type="dxa"/>
            <w:vAlign w:val="top"/>
          </w:tcPr>
          <w:p w14:paraId="5F4AC98F">
            <w:pPr>
              <w:spacing w:before="183" w:line="216" w:lineRule="auto"/>
              <w:ind w:left="760"/>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1.3888</w:t>
            </w:r>
            <w:r>
              <w:rPr>
                <w:rFonts w:ascii="Times New Roman" w:hAnsi="Times New Roman" w:eastAsia="Times New Roman" w:cs="Times New Roman"/>
                <w:sz w:val="20"/>
                <w:szCs w:val="20"/>
              </w:rPr>
              <w:t>hm</w:t>
            </w:r>
            <w:r>
              <w:rPr>
                <w:rFonts w:ascii="Times New Roman" w:hAnsi="Times New Roman" w:eastAsia="Times New Roman" w:cs="Times New Roman"/>
                <w:spacing w:val="2"/>
                <w:position w:val="6"/>
                <w:sz w:val="13"/>
                <w:szCs w:val="13"/>
              </w:rPr>
              <w:t>2</w:t>
            </w:r>
          </w:p>
        </w:tc>
        <w:tc>
          <w:tcPr>
            <w:tcW w:w="2556" w:type="dxa"/>
            <w:vAlign w:val="top"/>
          </w:tcPr>
          <w:p w14:paraId="38097F05">
            <w:pPr>
              <w:spacing w:before="183" w:line="216" w:lineRule="auto"/>
              <w:ind w:left="826"/>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0.6824</w:t>
            </w:r>
            <w:r>
              <w:rPr>
                <w:rFonts w:ascii="Times New Roman" w:hAnsi="Times New Roman" w:eastAsia="Times New Roman" w:cs="Times New Roman"/>
                <w:sz w:val="20"/>
                <w:szCs w:val="20"/>
              </w:rPr>
              <w:t>hm</w:t>
            </w:r>
            <w:r>
              <w:rPr>
                <w:rFonts w:ascii="Times New Roman" w:hAnsi="Times New Roman" w:eastAsia="Times New Roman" w:cs="Times New Roman"/>
                <w:spacing w:val="5"/>
                <w:position w:val="6"/>
                <w:sz w:val="13"/>
                <w:szCs w:val="13"/>
              </w:rPr>
              <w:t>2</w:t>
            </w:r>
          </w:p>
        </w:tc>
        <w:tc>
          <w:tcPr>
            <w:tcW w:w="2241" w:type="dxa"/>
            <w:vAlign w:val="top"/>
          </w:tcPr>
          <w:p w14:paraId="39AAE503">
            <w:pPr>
              <w:pStyle w:val="6"/>
              <w:spacing w:before="31" w:line="234" w:lineRule="auto"/>
              <w:ind w:left="1061" w:right="173" w:hanging="879"/>
              <w:rPr>
                <w:sz w:val="20"/>
                <w:szCs w:val="20"/>
              </w:rPr>
            </w:pPr>
            <w:r>
              <w:rPr>
                <w:spacing w:val="8"/>
                <w:sz w:val="20"/>
                <w:szCs w:val="20"/>
              </w:rPr>
              <w:t>本项目略大于类比项</w:t>
            </w:r>
            <w:r>
              <w:rPr>
                <w:spacing w:val="6"/>
                <w:sz w:val="20"/>
                <w:szCs w:val="20"/>
              </w:rPr>
              <w:t xml:space="preserve"> </w:t>
            </w:r>
            <w:r>
              <w:rPr>
                <w:sz w:val="20"/>
                <w:szCs w:val="20"/>
              </w:rPr>
              <w:t>目</w:t>
            </w:r>
          </w:p>
        </w:tc>
      </w:tr>
      <w:tr w14:paraId="6990F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26" w:type="dxa"/>
            <w:vAlign w:val="top"/>
          </w:tcPr>
          <w:p w14:paraId="77ED2E15">
            <w:pPr>
              <w:pStyle w:val="6"/>
              <w:spacing w:before="66" w:line="229" w:lineRule="auto"/>
              <w:ind w:left="250"/>
              <w:rPr>
                <w:sz w:val="20"/>
                <w:szCs w:val="20"/>
              </w:rPr>
            </w:pPr>
            <w:r>
              <w:rPr>
                <w:spacing w:val="6"/>
                <w:sz w:val="20"/>
                <w:szCs w:val="20"/>
              </w:rPr>
              <w:t>调压方式</w:t>
            </w:r>
          </w:p>
        </w:tc>
        <w:tc>
          <w:tcPr>
            <w:tcW w:w="2394" w:type="dxa"/>
            <w:vAlign w:val="top"/>
          </w:tcPr>
          <w:p w14:paraId="4F184C69">
            <w:pPr>
              <w:pStyle w:val="6"/>
              <w:spacing w:before="66" w:line="228" w:lineRule="auto"/>
              <w:ind w:left="781"/>
              <w:rPr>
                <w:sz w:val="20"/>
                <w:szCs w:val="20"/>
              </w:rPr>
            </w:pPr>
            <w:r>
              <w:rPr>
                <w:spacing w:val="7"/>
                <w:sz w:val="20"/>
                <w:szCs w:val="20"/>
              </w:rPr>
              <w:t>有载调压</w:t>
            </w:r>
          </w:p>
        </w:tc>
        <w:tc>
          <w:tcPr>
            <w:tcW w:w="2556" w:type="dxa"/>
            <w:vAlign w:val="top"/>
          </w:tcPr>
          <w:p w14:paraId="05621F06">
            <w:pPr>
              <w:pStyle w:val="6"/>
              <w:spacing w:before="66" w:line="228" w:lineRule="auto"/>
              <w:ind w:left="863"/>
              <w:rPr>
                <w:sz w:val="20"/>
                <w:szCs w:val="20"/>
              </w:rPr>
            </w:pPr>
            <w:r>
              <w:rPr>
                <w:spacing w:val="7"/>
                <w:sz w:val="20"/>
                <w:szCs w:val="20"/>
              </w:rPr>
              <w:t>有载调压</w:t>
            </w:r>
          </w:p>
        </w:tc>
        <w:tc>
          <w:tcPr>
            <w:tcW w:w="2241" w:type="dxa"/>
            <w:vAlign w:val="top"/>
          </w:tcPr>
          <w:p w14:paraId="7EFCEA0F">
            <w:pPr>
              <w:pStyle w:val="6"/>
              <w:spacing w:before="66" w:line="230" w:lineRule="auto"/>
              <w:ind w:left="915"/>
              <w:rPr>
                <w:sz w:val="20"/>
                <w:szCs w:val="20"/>
              </w:rPr>
            </w:pPr>
            <w:r>
              <w:rPr>
                <w:spacing w:val="4"/>
                <w:sz w:val="20"/>
                <w:szCs w:val="20"/>
              </w:rPr>
              <w:t>相同</w:t>
            </w:r>
          </w:p>
        </w:tc>
      </w:tr>
      <w:tr w14:paraId="7ECD4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26" w:type="dxa"/>
            <w:vAlign w:val="top"/>
          </w:tcPr>
          <w:p w14:paraId="4D230B01">
            <w:pPr>
              <w:pStyle w:val="6"/>
              <w:spacing w:before="66" w:line="227" w:lineRule="auto"/>
              <w:ind w:left="248"/>
              <w:rPr>
                <w:sz w:val="20"/>
                <w:szCs w:val="20"/>
              </w:rPr>
            </w:pPr>
            <w:r>
              <w:rPr>
                <w:spacing w:val="7"/>
                <w:sz w:val="20"/>
                <w:szCs w:val="20"/>
              </w:rPr>
              <w:t>地形地貌</w:t>
            </w:r>
          </w:p>
        </w:tc>
        <w:tc>
          <w:tcPr>
            <w:tcW w:w="2394" w:type="dxa"/>
            <w:vAlign w:val="top"/>
          </w:tcPr>
          <w:p w14:paraId="345CA1D0">
            <w:pPr>
              <w:pStyle w:val="6"/>
              <w:spacing w:before="66" w:line="236" w:lineRule="auto"/>
              <w:ind w:left="1010"/>
              <w:rPr>
                <w:sz w:val="20"/>
                <w:szCs w:val="20"/>
              </w:rPr>
            </w:pPr>
            <w:r>
              <w:rPr>
                <w:spacing w:val="-5"/>
                <w:sz w:val="20"/>
                <w:szCs w:val="20"/>
              </w:rPr>
              <w:t>山地</w:t>
            </w:r>
          </w:p>
        </w:tc>
        <w:tc>
          <w:tcPr>
            <w:tcW w:w="2556" w:type="dxa"/>
            <w:vAlign w:val="top"/>
          </w:tcPr>
          <w:p w14:paraId="5FD7EA82">
            <w:pPr>
              <w:pStyle w:val="6"/>
              <w:spacing w:before="66" w:line="236" w:lineRule="auto"/>
              <w:ind w:left="1093"/>
              <w:rPr>
                <w:sz w:val="20"/>
                <w:szCs w:val="20"/>
              </w:rPr>
            </w:pPr>
            <w:r>
              <w:rPr>
                <w:spacing w:val="-5"/>
                <w:sz w:val="20"/>
                <w:szCs w:val="20"/>
              </w:rPr>
              <w:t>山地</w:t>
            </w:r>
          </w:p>
        </w:tc>
        <w:tc>
          <w:tcPr>
            <w:tcW w:w="2241" w:type="dxa"/>
            <w:vAlign w:val="top"/>
          </w:tcPr>
          <w:p w14:paraId="1F02F6F9">
            <w:pPr>
              <w:pStyle w:val="6"/>
              <w:spacing w:before="66" w:line="230" w:lineRule="auto"/>
              <w:ind w:left="915"/>
              <w:rPr>
                <w:sz w:val="20"/>
                <w:szCs w:val="20"/>
              </w:rPr>
            </w:pPr>
            <w:r>
              <w:rPr>
                <w:spacing w:val="4"/>
                <w:sz w:val="20"/>
                <w:szCs w:val="20"/>
              </w:rPr>
              <w:t>相同</w:t>
            </w:r>
          </w:p>
        </w:tc>
      </w:tr>
      <w:tr w14:paraId="0DCF6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326" w:type="dxa"/>
            <w:vAlign w:val="top"/>
          </w:tcPr>
          <w:p w14:paraId="6E3D93B1">
            <w:pPr>
              <w:rPr>
                <w:rFonts w:ascii="Arial"/>
                <w:sz w:val="21"/>
              </w:rPr>
            </w:pPr>
          </w:p>
          <w:p w14:paraId="4F06514E">
            <w:pPr>
              <w:pStyle w:val="6"/>
              <w:spacing w:before="65" w:line="228" w:lineRule="auto"/>
              <w:ind w:left="248"/>
              <w:rPr>
                <w:sz w:val="20"/>
                <w:szCs w:val="20"/>
              </w:rPr>
            </w:pPr>
            <w:r>
              <w:rPr>
                <w:spacing w:val="7"/>
                <w:sz w:val="20"/>
                <w:szCs w:val="20"/>
              </w:rPr>
              <w:t>环境条件</w:t>
            </w:r>
          </w:p>
        </w:tc>
        <w:tc>
          <w:tcPr>
            <w:tcW w:w="2394" w:type="dxa"/>
            <w:vAlign w:val="top"/>
          </w:tcPr>
          <w:p w14:paraId="47072B16">
            <w:pPr>
              <w:pStyle w:val="6"/>
              <w:spacing w:before="32"/>
              <w:ind w:left="150" w:right="147"/>
              <w:rPr>
                <w:sz w:val="20"/>
                <w:szCs w:val="20"/>
              </w:rPr>
            </w:pPr>
            <w:r>
              <w:rPr>
                <w:spacing w:val="8"/>
                <w:sz w:val="20"/>
                <w:szCs w:val="20"/>
              </w:rPr>
              <w:t xml:space="preserve">农村，周边无建筑物， </w:t>
            </w:r>
            <w:r>
              <w:rPr>
                <w:spacing w:val="9"/>
                <w:sz w:val="20"/>
                <w:szCs w:val="20"/>
              </w:rPr>
              <w:t>场址附近无其他电磁环</w:t>
            </w:r>
          </w:p>
          <w:p w14:paraId="0125C5A7">
            <w:pPr>
              <w:pStyle w:val="6"/>
              <w:spacing w:before="25" w:line="215" w:lineRule="auto"/>
              <w:ind w:left="781"/>
              <w:rPr>
                <w:sz w:val="20"/>
                <w:szCs w:val="20"/>
              </w:rPr>
            </w:pPr>
            <w:r>
              <w:rPr>
                <w:spacing w:val="7"/>
                <w:sz w:val="20"/>
                <w:szCs w:val="20"/>
              </w:rPr>
              <w:t>境影响源</w:t>
            </w:r>
          </w:p>
        </w:tc>
        <w:tc>
          <w:tcPr>
            <w:tcW w:w="2556" w:type="dxa"/>
            <w:vAlign w:val="top"/>
          </w:tcPr>
          <w:p w14:paraId="5EE16E9E">
            <w:pPr>
              <w:pStyle w:val="6"/>
              <w:spacing w:before="33" w:line="227" w:lineRule="auto"/>
              <w:ind w:left="128"/>
              <w:rPr>
                <w:sz w:val="20"/>
                <w:szCs w:val="20"/>
              </w:rPr>
            </w:pPr>
            <w:r>
              <w:rPr>
                <w:spacing w:val="9"/>
                <w:sz w:val="20"/>
                <w:szCs w:val="20"/>
              </w:rPr>
              <w:t>农村，周边无建筑物，场</w:t>
            </w:r>
          </w:p>
          <w:p w14:paraId="581B2CEB">
            <w:pPr>
              <w:pStyle w:val="6"/>
              <w:spacing w:before="27" w:line="227" w:lineRule="auto"/>
              <w:ind w:left="129"/>
              <w:rPr>
                <w:sz w:val="20"/>
                <w:szCs w:val="20"/>
              </w:rPr>
            </w:pPr>
            <w:r>
              <w:rPr>
                <w:spacing w:val="9"/>
                <w:sz w:val="20"/>
                <w:szCs w:val="20"/>
              </w:rPr>
              <w:t>址附近无其他电磁环境影</w:t>
            </w:r>
          </w:p>
          <w:p w14:paraId="694E849C">
            <w:pPr>
              <w:pStyle w:val="6"/>
              <w:spacing w:before="25" w:line="215" w:lineRule="auto"/>
              <w:ind w:left="1085"/>
              <w:rPr>
                <w:sz w:val="20"/>
                <w:szCs w:val="20"/>
              </w:rPr>
            </w:pPr>
            <w:r>
              <w:rPr>
                <w:spacing w:val="-1"/>
                <w:sz w:val="20"/>
                <w:szCs w:val="20"/>
              </w:rPr>
              <w:t>响源</w:t>
            </w:r>
          </w:p>
        </w:tc>
        <w:tc>
          <w:tcPr>
            <w:tcW w:w="2241" w:type="dxa"/>
            <w:vAlign w:val="top"/>
          </w:tcPr>
          <w:p w14:paraId="24F92916">
            <w:pPr>
              <w:rPr>
                <w:rFonts w:ascii="Arial"/>
                <w:sz w:val="21"/>
              </w:rPr>
            </w:pPr>
          </w:p>
          <w:p w14:paraId="68EEDFEC">
            <w:pPr>
              <w:pStyle w:val="6"/>
              <w:spacing w:before="65" w:line="230" w:lineRule="auto"/>
              <w:ind w:left="915"/>
              <w:rPr>
                <w:sz w:val="20"/>
                <w:szCs w:val="20"/>
              </w:rPr>
            </w:pPr>
            <w:r>
              <w:rPr>
                <w:spacing w:val="4"/>
                <w:sz w:val="20"/>
                <w:szCs w:val="20"/>
              </w:rPr>
              <w:t>相同</w:t>
            </w:r>
          </w:p>
        </w:tc>
      </w:tr>
      <w:tr w14:paraId="48EC8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26" w:type="dxa"/>
            <w:vAlign w:val="top"/>
          </w:tcPr>
          <w:p w14:paraId="6AC30FB7">
            <w:pPr>
              <w:spacing w:line="257" w:lineRule="auto"/>
              <w:rPr>
                <w:rFonts w:ascii="Arial"/>
                <w:sz w:val="21"/>
              </w:rPr>
            </w:pPr>
          </w:p>
          <w:p w14:paraId="23E61BF9">
            <w:pPr>
              <w:pStyle w:val="6"/>
              <w:spacing w:before="65" w:line="228" w:lineRule="auto"/>
              <w:ind w:left="248"/>
              <w:rPr>
                <w:sz w:val="20"/>
                <w:szCs w:val="20"/>
              </w:rPr>
            </w:pPr>
            <w:r>
              <w:rPr>
                <w:spacing w:val="7"/>
                <w:sz w:val="20"/>
                <w:szCs w:val="20"/>
              </w:rPr>
              <w:t>运行工况</w:t>
            </w:r>
          </w:p>
        </w:tc>
        <w:tc>
          <w:tcPr>
            <w:tcW w:w="2394" w:type="dxa"/>
            <w:vAlign w:val="top"/>
          </w:tcPr>
          <w:p w14:paraId="674DB899">
            <w:pPr>
              <w:pStyle w:val="6"/>
              <w:spacing w:before="35" w:line="228" w:lineRule="auto"/>
              <w:ind w:left="154"/>
              <w:rPr>
                <w:sz w:val="20"/>
                <w:szCs w:val="20"/>
              </w:rPr>
            </w:pPr>
            <w:r>
              <w:rPr>
                <w:spacing w:val="8"/>
                <w:sz w:val="20"/>
                <w:szCs w:val="20"/>
              </w:rPr>
              <w:t>建成投产后运行电压达</w:t>
            </w:r>
          </w:p>
          <w:p w14:paraId="190153F8">
            <w:pPr>
              <w:pStyle w:val="6"/>
              <w:spacing w:before="24" w:line="228" w:lineRule="auto"/>
              <w:ind w:left="116"/>
              <w:rPr>
                <w:sz w:val="20"/>
                <w:szCs w:val="20"/>
              </w:rPr>
            </w:pPr>
            <w:r>
              <w:rPr>
                <w:spacing w:val="4"/>
                <w:sz w:val="20"/>
                <w:szCs w:val="20"/>
              </w:rPr>
              <w:t>到设计额定</w:t>
            </w:r>
            <w:r>
              <w:rPr>
                <w:spacing w:val="-56"/>
                <w:sz w:val="20"/>
                <w:szCs w:val="20"/>
              </w:rPr>
              <w:t xml:space="preserve"> </w:t>
            </w:r>
            <w:r>
              <w:rPr>
                <w:rFonts w:ascii="Times New Roman" w:hAnsi="Times New Roman" w:eastAsia="Times New Roman" w:cs="Times New Roman"/>
                <w:spacing w:val="4"/>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16"/>
                <w:w w:val="101"/>
                <w:sz w:val="20"/>
                <w:szCs w:val="20"/>
              </w:rPr>
              <w:t xml:space="preserve">  </w:t>
            </w:r>
            <w:r>
              <w:rPr>
                <w:spacing w:val="4"/>
                <w:sz w:val="20"/>
                <w:szCs w:val="20"/>
              </w:rPr>
              <w:t>电压</w:t>
            </w:r>
          </w:p>
          <w:p w14:paraId="4FD7BFFD">
            <w:pPr>
              <w:pStyle w:val="6"/>
              <w:spacing w:before="26" w:line="228" w:lineRule="auto"/>
              <w:ind w:left="153"/>
              <w:rPr>
                <w:sz w:val="20"/>
                <w:szCs w:val="20"/>
              </w:rPr>
            </w:pPr>
            <w:r>
              <w:rPr>
                <w:spacing w:val="8"/>
                <w:sz w:val="20"/>
                <w:szCs w:val="20"/>
              </w:rPr>
              <w:t>等级，电流满足设计的</w:t>
            </w:r>
          </w:p>
          <w:p w14:paraId="14E5E510">
            <w:pPr>
              <w:pStyle w:val="6"/>
              <w:spacing w:before="24" w:line="218" w:lineRule="auto"/>
              <w:ind w:left="571"/>
              <w:rPr>
                <w:sz w:val="20"/>
                <w:szCs w:val="20"/>
              </w:rPr>
            </w:pPr>
            <w:r>
              <w:rPr>
                <w:spacing w:val="8"/>
                <w:sz w:val="20"/>
                <w:szCs w:val="20"/>
              </w:rPr>
              <w:t>额定电流水平</w:t>
            </w:r>
          </w:p>
        </w:tc>
        <w:tc>
          <w:tcPr>
            <w:tcW w:w="2556" w:type="dxa"/>
            <w:vAlign w:val="top"/>
          </w:tcPr>
          <w:p w14:paraId="3EEB97A0">
            <w:pPr>
              <w:rPr>
                <w:rFonts w:ascii="Arial"/>
                <w:sz w:val="21"/>
              </w:rPr>
            </w:pPr>
          </w:p>
          <w:p w14:paraId="35B42D31">
            <w:pPr>
              <w:pStyle w:val="6"/>
              <w:spacing w:before="65"/>
              <w:ind w:left="546" w:right="138" w:hanging="435"/>
              <w:rPr>
                <w:sz w:val="20"/>
                <w:szCs w:val="20"/>
              </w:rPr>
            </w:pPr>
            <w:r>
              <w:rPr>
                <w:spacing w:val="9"/>
                <w:sz w:val="20"/>
                <w:szCs w:val="20"/>
              </w:rPr>
              <w:t>运行电压已达到设计额定</w:t>
            </w:r>
            <w:r>
              <w:rPr>
                <w:sz w:val="20"/>
                <w:szCs w:val="20"/>
              </w:rPr>
              <w:t xml:space="preserve"> </w:t>
            </w:r>
            <w:r>
              <w:rPr>
                <w:rFonts w:ascii="Times New Roman" w:hAnsi="Times New Roman" w:eastAsia="Times New Roman" w:cs="Times New Roman"/>
                <w:spacing w:val="3"/>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40"/>
                <w:w w:val="101"/>
                <w:sz w:val="20"/>
                <w:szCs w:val="20"/>
              </w:rPr>
              <w:t xml:space="preserve"> </w:t>
            </w:r>
            <w:r>
              <w:rPr>
                <w:spacing w:val="3"/>
                <w:sz w:val="20"/>
                <w:szCs w:val="20"/>
              </w:rPr>
              <w:t>电压等级</w:t>
            </w:r>
          </w:p>
        </w:tc>
        <w:tc>
          <w:tcPr>
            <w:tcW w:w="2241" w:type="dxa"/>
            <w:vAlign w:val="top"/>
          </w:tcPr>
          <w:p w14:paraId="2EBFFEC3">
            <w:pPr>
              <w:spacing w:line="376" w:lineRule="auto"/>
              <w:rPr>
                <w:rFonts w:ascii="Arial"/>
                <w:sz w:val="21"/>
              </w:rPr>
            </w:pPr>
          </w:p>
          <w:p w14:paraId="3DC4BE96">
            <w:pPr>
              <w:pStyle w:val="6"/>
              <w:spacing w:before="65" w:line="227" w:lineRule="auto"/>
              <w:ind w:left="285"/>
              <w:rPr>
                <w:sz w:val="20"/>
                <w:szCs w:val="20"/>
              </w:rPr>
            </w:pPr>
            <w:r>
              <w:rPr>
                <w:spacing w:val="8"/>
                <w:sz w:val="20"/>
                <w:szCs w:val="20"/>
              </w:rPr>
              <w:t>本项尚未建设运行</w:t>
            </w:r>
          </w:p>
        </w:tc>
      </w:tr>
    </w:tbl>
    <w:p w14:paraId="19AA73C5">
      <w:pPr>
        <w:pStyle w:val="2"/>
        <w:spacing w:before="33" w:line="353" w:lineRule="auto"/>
        <w:ind w:left="121" w:right="109" w:firstLine="481"/>
        <w:jc w:val="both"/>
      </w:pPr>
      <w:r>
        <w:t>经对比，禄劝县撒永山</w:t>
      </w:r>
      <w:r>
        <w:rPr>
          <w:rFonts w:ascii="Times New Roman" w:hAnsi="Times New Roman" w:eastAsia="Times New Roman" w:cs="Times New Roman"/>
        </w:rPr>
        <w:t xml:space="preserve">250MW </w:t>
      </w:r>
      <w:r>
        <w:t>光伏电站项目（</w:t>
      </w:r>
      <w:r>
        <w:rPr>
          <w:rFonts w:ascii="Times New Roman" w:hAnsi="Times New Roman" w:eastAsia="Times New Roman" w:cs="Times New Roman"/>
        </w:rPr>
        <w:t>220KV</w:t>
      </w:r>
      <w:r>
        <w:t>）电压等级与本项目</w:t>
      </w:r>
      <w:r>
        <w:rPr>
          <w:spacing w:val="2"/>
        </w:rPr>
        <w:t xml:space="preserve"> </w:t>
      </w:r>
      <w:r>
        <w:rPr>
          <w:spacing w:val="-4"/>
        </w:rPr>
        <w:t>升压站一致。类比光伏电站共有</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28"/>
        </w:rPr>
        <w:t xml:space="preserve"> </w:t>
      </w:r>
      <w:r>
        <w:rPr>
          <w:spacing w:val="-4"/>
        </w:rPr>
        <w:t>台主变，户外式布置于站区中部，与本项</w:t>
      </w:r>
      <w:r>
        <w:rPr>
          <w:spacing w:val="-5"/>
        </w:rPr>
        <w:t>目主</w:t>
      </w:r>
      <w:r>
        <w:t xml:space="preserve"> 变布置方式相同。禄劝县撒永山</w:t>
      </w:r>
      <w:r>
        <w:rPr>
          <w:rFonts w:ascii="Times New Roman" w:hAnsi="Times New Roman" w:eastAsia="Times New Roman" w:cs="Times New Roman"/>
        </w:rPr>
        <w:t xml:space="preserve">250MW </w:t>
      </w:r>
      <w:r>
        <w:t>光伏电站项目（</w:t>
      </w:r>
      <w:r>
        <w:rPr>
          <w:rFonts w:ascii="Times New Roman" w:hAnsi="Times New Roman" w:eastAsia="Times New Roman" w:cs="Times New Roman"/>
        </w:rPr>
        <w:t>220KV</w:t>
      </w:r>
      <w:r>
        <w:t>）高压侧出线方</w:t>
      </w:r>
      <w:r>
        <w:rPr>
          <w:spacing w:val="4"/>
        </w:rPr>
        <w:t xml:space="preserve"> </w:t>
      </w:r>
      <w:r>
        <w:rPr>
          <w:spacing w:val="-3"/>
        </w:rPr>
        <w:t>式为架空出线，与本项目升压站一致；其有</w:t>
      </w:r>
      <w:r>
        <w:rPr>
          <w:spacing w:val="-54"/>
        </w:rPr>
        <w:t xml:space="preserve"> </w:t>
      </w:r>
      <w:r>
        <w:rPr>
          <w:rFonts w:ascii="Times New Roman" w:hAnsi="Times New Roman" w:eastAsia="Times New Roman" w:cs="Times New Roman"/>
          <w:spacing w:val="-3"/>
        </w:rPr>
        <w:t>220kV</w:t>
      </w:r>
      <w:r>
        <w:rPr>
          <w:rFonts w:ascii="Times New Roman" w:hAnsi="Times New Roman" w:eastAsia="Times New Roman" w:cs="Times New Roman"/>
          <w:spacing w:val="30"/>
        </w:rPr>
        <w:t xml:space="preserve"> </w:t>
      </w:r>
      <w:r>
        <w:rPr>
          <w:spacing w:val="-3"/>
        </w:rPr>
        <w:t>出线</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3"/>
        </w:rPr>
        <w:t xml:space="preserve"> </w:t>
      </w:r>
      <w:r>
        <w:rPr>
          <w:spacing w:val="-3"/>
        </w:rPr>
        <w:t>回，与本项目一致。</w:t>
      </w:r>
    </w:p>
    <w:p w14:paraId="43CEF0C8">
      <w:pPr>
        <w:pStyle w:val="2"/>
        <w:spacing w:before="35" w:line="352" w:lineRule="auto"/>
        <w:ind w:left="122" w:right="109" w:firstLine="481"/>
        <w:jc w:val="both"/>
      </w:pPr>
      <w:r>
        <w:rPr>
          <w:spacing w:val="-3"/>
        </w:rPr>
        <w:t>理论上，主变容量越大，出线回数越多，电磁</w:t>
      </w:r>
      <w:r>
        <w:rPr>
          <w:spacing w:val="-4"/>
        </w:rPr>
        <w:t>环境影响越大。因此，从总体</w:t>
      </w:r>
      <w:r>
        <w:t xml:space="preserve"> 情况而言，禄劝县撒永山</w:t>
      </w:r>
      <w:r>
        <w:rPr>
          <w:rFonts w:ascii="Times New Roman" w:hAnsi="Times New Roman" w:eastAsia="Times New Roman" w:cs="Times New Roman"/>
        </w:rPr>
        <w:t xml:space="preserve">250MW </w:t>
      </w:r>
      <w:r>
        <w:t>光伏电站项目（</w:t>
      </w:r>
      <w:r>
        <w:rPr>
          <w:rFonts w:ascii="Times New Roman" w:hAnsi="Times New Roman" w:eastAsia="Times New Roman" w:cs="Times New Roman"/>
        </w:rPr>
        <w:t>220KV</w:t>
      </w:r>
      <w:r>
        <w:t>）电磁环境影响应接近</w:t>
      </w:r>
      <w:r>
        <w:rPr>
          <w:spacing w:val="3"/>
        </w:rPr>
        <w:t xml:space="preserve"> </w:t>
      </w:r>
      <w:r>
        <w:rPr>
          <w:spacing w:val="-3"/>
        </w:rPr>
        <w:t>并略大于本项目升压站。以其运行期监测值作为类比对象，能保守反</w:t>
      </w:r>
      <w:r>
        <w:rPr>
          <w:spacing w:val="-4"/>
        </w:rPr>
        <w:t>映本项目拟</w:t>
      </w:r>
      <w:r>
        <w:t xml:space="preserve"> </w:t>
      </w:r>
      <w:r>
        <w:rPr>
          <w:spacing w:val="-1"/>
        </w:rPr>
        <w:t>建</w:t>
      </w:r>
      <w:r>
        <w:rPr>
          <w:spacing w:val="-43"/>
        </w:rPr>
        <w:t xml:space="preserve"> </w:t>
      </w:r>
      <w:r>
        <w:rPr>
          <w:rFonts w:ascii="Times New Roman" w:hAnsi="Times New Roman" w:eastAsia="Times New Roman" w:cs="Times New Roman"/>
          <w:spacing w:val="-1"/>
        </w:rPr>
        <w:t xml:space="preserve">220kV </w:t>
      </w:r>
      <w:r>
        <w:rPr>
          <w:spacing w:val="-1"/>
        </w:rPr>
        <w:t>升压站建成运营期的电磁环境影响，具有可比性。</w:t>
      </w:r>
    </w:p>
    <w:p w14:paraId="11C42659">
      <w:pPr>
        <w:pStyle w:val="2"/>
        <w:spacing w:before="40" w:line="220" w:lineRule="auto"/>
        <w:ind w:left="121"/>
        <w:outlineLvl w:val="1"/>
        <w:rPr>
          <w:sz w:val="28"/>
          <w:szCs w:val="28"/>
        </w:rPr>
      </w:pPr>
      <w:r>
        <w:rPr>
          <w:rFonts w:ascii="Times New Roman" w:hAnsi="Times New Roman" w:eastAsia="Times New Roman" w:cs="Times New Roman"/>
          <w:b/>
          <w:bCs/>
          <w:spacing w:val="-2"/>
          <w:sz w:val="28"/>
          <w:szCs w:val="28"/>
        </w:rPr>
        <w:t xml:space="preserve">5.3 </w:t>
      </w:r>
      <w:r>
        <w:rPr>
          <w:b/>
          <w:bCs/>
          <w:spacing w:val="-2"/>
          <w:sz w:val="28"/>
          <w:szCs w:val="28"/>
        </w:rPr>
        <w:t>类比监测情况</w:t>
      </w:r>
    </w:p>
    <w:p w14:paraId="668B9A5F">
      <w:pPr>
        <w:pStyle w:val="2"/>
        <w:spacing w:before="205" w:line="219" w:lineRule="auto"/>
        <w:ind w:left="613"/>
      </w:pPr>
      <w:r>
        <w:rPr>
          <w:spacing w:val="-2"/>
        </w:rPr>
        <w:t>（</w:t>
      </w:r>
      <w:r>
        <w:rPr>
          <w:rFonts w:ascii="Times New Roman" w:hAnsi="Times New Roman" w:eastAsia="Times New Roman" w:cs="Times New Roman"/>
          <w:spacing w:val="-2"/>
        </w:rPr>
        <w:t>1</w:t>
      </w:r>
      <w:r>
        <w:rPr>
          <w:spacing w:val="-2"/>
        </w:rPr>
        <w:t>）类比监测时间及气象条件</w:t>
      </w:r>
    </w:p>
    <w:p w14:paraId="6C19B774">
      <w:pPr>
        <w:pStyle w:val="2"/>
        <w:spacing w:before="184" w:line="216" w:lineRule="auto"/>
        <w:jc w:val="right"/>
      </w:pPr>
      <w:r>
        <w:rPr>
          <w:rFonts w:ascii="Times New Roman" w:hAnsi="Times New Roman" w:eastAsia="Times New Roman" w:cs="Times New Roman"/>
          <w:spacing w:val="-9"/>
        </w:rPr>
        <w:t xml:space="preserve">2023 </w:t>
      </w:r>
      <w:r>
        <w:rPr>
          <w:spacing w:val="-9"/>
        </w:rPr>
        <w:t>年</w:t>
      </w:r>
      <w:r>
        <w:rPr>
          <w:spacing w:val="-26"/>
        </w:rPr>
        <w:t xml:space="preserve"> </w:t>
      </w:r>
      <w:r>
        <w:rPr>
          <w:rFonts w:ascii="Times New Roman" w:hAnsi="Times New Roman" w:eastAsia="Times New Roman" w:cs="Times New Roman"/>
          <w:spacing w:val="-9"/>
        </w:rPr>
        <w:t>10</w:t>
      </w:r>
      <w:r>
        <w:rPr>
          <w:rFonts w:ascii="Times New Roman" w:hAnsi="Times New Roman" w:eastAsia="Times New Roman" w:cs="Times New Roman"/>
          <w:spacing w:val="15"/>
        </w:rPr>
        <w:t xml:space="preserve"> </w:t>
      </w:r>
      <w:r>
        <w:rPr>
          <w:spacing w:val="-9"/>
        </w:rPr>
        <w:t>月</w:t>
      </w:r>
      <w:r>
        <w:rPr>
          <w:spacing w:val="-32"/>
        </w:rPr>
        <w:t xml:space="preserve"> </w:t>
      </w:r>
      <w:r>
        <w:rPr>
          <w:rFonts w:ascii="Times New Roman" w:hAnsi="Times New Roman" w:eastAsia="Times New Roman" w:cs="Times New Roman"/>
          <w:spacing w:val="-9"/>
        </w:rPr>
        <w:t xml:space="preserve">12  </w:t>
      </w:r>
      <w:r>
        <w:rPr>
          <w:spacing w:val="-9"/>
        </w:rPr>
        <w:t>日。天气状况：晴，环境温度：</w:t>
      </w:r>
      <w:r>
        <w:rPr>
          <w:rFonts w:ascii="Times New Roman" w:hAnsi="Times New Roman" w:eastAsia="Times New Roman" w:cs="Times New Roman"/>
          <w:spacing w:val="-9"/>
        </w:rPr>
        <w:t>16~22℃</w:t>
      </w:r>
      <w:r>
        <w:rPr>
          <w:rFonts w:ascii="Times New Roman" w:hAnsi="Times New Roman" w:eastAsia="Times New Roman" w:cs="Times New Roman"/>
          <w:spacing w:val="-29"/>
        </w:rPr>
        <w:t xml:space="preserve"> </w:t>
      </w:r>
      <w:r>
        <w:rPr>
          <w:spacing w:val="-9"/>
        </w:rPr>
        <w:t>,</w:t>
      </w:r>
      <w:r>
        <w:rPr>
          <w:spacing w:val="39"/>
        </w:rPr>
        <w:t xml:space="preserve"> </w:t>
      </w:r>
      <w:r>
        <w:rPr>
          <w:spacing w:val="-9"/>
        </w:rPr>
        <w:t>相对湿度：</w:t>
      </w:r>
      <w:r>
        <w:rPr>
          <w:rFonts w:ascii="Times New Roman" w:hAnsi="Times New Roman" w:eastAsia="Times New Roman" w:cs="Times New Roman"/>
          <w:spacing w:val="-9"/>
        </w:rPr>
        <w:t>72%</w:t>
      </w:r>
      <w:r>
        <w:rPr>
          <w:spacing w:val="-9"/>
        </w:rPr>
        <w:t>。</w:t>
      </w:r>
    </w:p>
    <w:p w14:paraId="1C4087C0">
      <w:pPr>
        <w:pStyle w:val="2"/>
        <w:spacing w:before="184" w:line="219" w:lineRule="auto"/>
        <w:ind w:left="613"/>
      </w:pPr>
      <w:r>
        <w:rPr>
          <w:spacing w:val="-1"/>
        </w:rPr>
        <w:t>（</w:t>
      </w:r>
      <w:r>
        <w:rPr>
          <w:rFonts w:ascii="Times New Roman" w:hAnsi="Times New Roman" w:eastAsia="Times New Roman" w:cs="Times New Roman"/>
          <w:spacing w:val="-1"/>
        </w:rPr>
        <w:t>2</w:t>
      </w:r>
      <w:r>
        <w:rPr>
          <w:spacing w:val="-1"/>
        </w:rPr>
        <w:t>）监测单位：云南省核工业二〇九地址大队</w:t>
      </w:r>
    </w:p>
    <w:p w14:paraId="2EC63F20">
      <w:pPr>
        <w:pStyle w:val="2"/>
        <w:spacing w:before="184" w:line="219" w:lineRule="auto"/>
        <w:jc w:val="right"/>
      </w:pPr>
      <w:r>
        <w:rPr>
          <w:spacing w:val="-21"/>
        </w:rPr>
        <w:t>（</w:t>
      </w:r>
      <w:r>
        <w:rPr>
          <w:rFonts w:ascii="Times New Roman" w:hAnsi="Times New Roman" w:eastAsia="Times New Roman" w:cs="Times New Roman"/>
          <w:spacing w:val="-21"/>
        </w:rPr>
        <w:t>3</w:t>
      </w:r>
      <w:r>
        <w:rPr>
          <w:spacing w:val="-21"/>
        </w:rPr>
        <w:t>）监测方法：《交流输变电工程电磁环境监测方法（试行）》（</w:t>
      </w:r>
      <w:r>
        <w:rPr>
          <w:rFonts w:ascii="Times New Roman" w:hAnsi="Times New Roman" w:eastAsia="Times New Roman" w:cs="Times New Roman"/>
          <w:spacing w:val="-21"/>
        </w:rPr>
        <w:t>HJ681-2013</w:t>
      </w:r>
      <w:r>
        <w:rPr>
          <w:spacing w:val="-21"/>
        </w:rPr>
        <w:t>）。</w:t>
      </w:r>
    </w:p>
    <w:p w14:paraId="430785BF">
      <w:pPr>
        <w:pStyle w:val="2"/>
        <w:spacing w:before="180" w:line="219" w:lineRule="auto"/>
        <w:ind w:left="613"/>
      </w:pPr>
      <w:r>
        <w:rPr>
          <w:spacing w:val="-3"/>
        </w:rPr>
        <w:t>（</w:t>
      </w:r>
      <w:r>
        <w:rPr>
          <w:rFonts w:ascii="Times New Roman" w:hAnsi="Times New Roman" w:eastAsia="Times New Roman" w:cs="Times New Roman"/>
          <w:spacing w:val="-3"/>
        </w:rPr>
        <w:t>4</w:t>
      </w:r>
      <w:r>
        <w:rPr>
          <w:spacing w:val="-3"/>
        </w:rPr>
        <w:t>）监测仪器</w:t>
      </w:r>
    </w:p>
    <w:p w14:paraId="4F6F9CAF">
      <w:pPr>
        <w:pStyle w:val="2"/>
        <w:spacing w:before="179" w:line="222" w:lineRule="auto"/>
        <w:ind w:left="2733"/>
        <w:rPr>
          <w:sz w:val="20"/>
          <w:szCs w:val="20"/>
        </w:rPr>
      </w:pPr>
      <w:r>
        <w:rPr>
          <w:b/>
          <w:bCs/>
          <w:spacing w:val="4"/>
          <w:sz w:val="20"/>
          <w:szCs w:val="20"/>
        </w:rPr>
        <w:t>表</w:t>
      </w:r>
      <w:r>
        <w:rPr>
          <w:spacing w:val="-33"/>
          <w:sz w:val="20"/>
          <w:szCs w:val="20"/>
        </w:rPr>
        <w:t xml:space="preserve"> </w:t>
      </w:r>
      <w:r>
        <w:rPr>
          <w:rFonts w:ascii="Times New Roman" w:hAnsi="Times New Roman" w:eastAsia="Times New Roman" w:cs="Times New Roman"/>
          <w:b/>
          <w:bCs/>
          <w:spacing w:val="4"/>
          <w:sz w:val="20"/>
          <w:szCs w:val="20"/>
        </w:rPr>
        <w:t>5-2</w:t>
      </w:r>
      <w:r>
        <w:rPr>
          <w:rFonts w:ascii="Times New Roman" w:hAnsi="Times New Roman" w:eastAsia="Times New Roman" w:cs="Times New Roman"/>
          <w:b/>
          <w:bCs/>
          <w:spacing w:val="10"/>
          <w:sz w:val="20"/>
          <w:szCs w:val="20"/>
        </w:rPr>
        <w:t xml:space="preserve">    </w:t>
      </w:r>
      <w:r>
        <w:rPr>
          <w:b/>
          <w:bCs/>
          <w:spacing w:val="4"/>
          <w:sz w:val="20"/>
          <w:szCs w:val="20"/>
        </w:rPr>
        <w:t>电磁环境监测仪器情况表</w:t>
      </w:r>
    </w:p>
    <w:tbl>
      <w:tblPr>
        <w:tblStyle w:val="5"/>
        <w:tblW w:w="85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192"/>
        <w:gridCol w:w="1709"/>
        <w:gridCol w:w="1365"/>
        <w:gridCol w:w="1195"/>
        <w:gridCol w:w="828"/>
        <w:gridCol w:w="1480"/>
      </w:tblGrid>
      <w:tr w14:paraId="0310F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46" w:type="dxa"/>
            <w:vAlign w:val="top"/>
          </w:tcPr>
          <w:p w14:paraId="42A35ED3">
            <w:pPr>
              <w:pStyle w:val="6"/>
              <w:spacing w:before="38" w:line="233" w:lineRule="auto"/>
              <w:ind w:left="170" w:right="160" w:hanging="2"/>
              <w:rPr>
                <w:sz w:val="20"/>
                <w:szCs w:val="20"/>
              </w:rPr>
            </w:pPr>
            <w:r>
              <w:rPr>
                <w:b/>
                <w:bCs/>
                <w:spacing w:val="3"/>
                <w:sz w:val="20"/>
                <w:szCs w:val="20"/>
              </w:rPr>
              <w:t>监测</w:t>
            </w:r>
            <w:r>
              <w:rPr>
                <w:sz w:val="20"/>
                <w:szCs w:val="20"/>
              </w:rPr>
              <w:t xml:space="preserve"> </w:t>
            </w:r>
            <w:r>
              <w:rPr>
                <w:b/>
                <w:bCs/>
                <w:spacing w:val="2"/>
                <w:sz w:val="20"/>
                <w:szCs w:val="20"/>
              </w:rPr>
              <w:t>项目</w:t>
            </w:r>
          </w:p>
        </w:tc>
        <w:tc>
          <w:tcPr>
            <w:tcW w:w="1192" w:type="dxa"/>
            <w:vAlign w:val="top"/>
          </w:tcPr>
          <w:p w14:paraId="14850F71">
            <w:pPr>
              <w:pStyle w:val="6"/>
              <w:spacing w:before="171" w:line="228" w:lineRule="auto"/>
              <w:ind w:left="178"/>
              <w:rPr>
                <w:sz w:val="20"/>
                <w:szCs w:val="20"/>
              </w:rPr>
            </w:pPr>
            <w:r>
              <w:rPr>
                <w:b/>
                <w:bCs/>
                <w:spacing w:val="6"/>
                <w:sz w:val="20"/>
                <w:szCs w:val="20"/>
              </w:rPr>
              <w:t>监测仪器</w:t>
            </w:r>
          </w:p>
        </w:tc>
        <w:tc>
          <w:tcPr>
            <w:tcW w:w="1709" w:type="dxa"/>
            <w:vAlign w:val="top"/>
          </w:tcPr>
          <w:p w14:paraId="04481161">
            <w:pPr>
              <w:pStyle w:val="6"/>
              <w:spacing w:before="171" w:line="228" w:lineRule="auto"/>
              <w:ind w:left="438"/>
              <w:rPr>
                <w:sz w:val="20"/>
                <w:szCs w:val="20"/>
              </w:rPr>
            </w:pPr>
            <w:r>
              <w:rPr>
                <w:b/>
                <w:bCs/>
                <w:spacing w:val="5"/>
                <w:sz w:val="20"/>
                <w:szCs w:val="20"/>
              </w:rPr>
              <w:t>仪器型号</w:t>
            </w:r>
          </w:p>
        </w:tc>
        <w:tc>
          <w:tcPr>
            <w:tcW w:w="1365" w:type="dxa"/>
            <w:vAlign w:val="top"/>
          </w:tcPr>
          <w:p w14:paraId="780465DB">
            <w:pPr>
              <w:pStyle w:val="6"/>
              <w:spacing w:before="38" w:line="233" w:lineRule="auto"/>
              <w:ind w:left="599" w:right="154" w:hanging="437"/>
              <w:rPr>
                <w:sz w:val="20"/>
                <w:szCs w:val="20"/>
              </w:rPr>
            </w:pPr>
            <w:r>
              <w:rPr>
                <w:b/>
                <w:bCs/>
                <w:spacing w:val="6"/>
                <w:sz w:val="20"/>
                <w:szCs w:val="20"/>
              </w:rPr>
              <w:t>仪器适用范</w:t>
            </w:r>
            <w:r>
              <w:rPr>
                <w:sz w:val="20"/>
                <w:szCs w:val="20"/>
              </w:rPr>
              <w:t xml:space="preserve"> </w:t>
            </w:r>
            <w:r>
              <w:rPr>
                <w:b/>
                <w:bCs/>
                <w:spacing w:val="-3"/>
                <w:sz w:val="20"/>
                <w:szCs w:val="20"/>
              </w:rPr>
              <w:t>围</w:t>
            </w:r>
          </w:p>
        </w:tc>
        <w:tc>
          <w:tcPr>
            <w:tcW w:w="1195" w:type="dxa"/>
            <w:vAlign w:val="top"/>
          </w:tcPr>
          <w:p w14:paraId="737980DD">
            <w:pPr>
              <w:pStyle w:val="6"/>
              <w:spacing w:before="38" w:line="233" w:lineRule="auto"/>
              <w:ind w:left="427" w:right="145" w:hanging="275"/>
              <w:rPr>
                <w:sz w:val="20"/>
                <w:szCs w:val="20"/>
              </w:rPr>
            </w:pPr>
            <w:r>
              <w:rPr>
                <w:b/>
                <w:bCs/>
                <w:spacing w:val="5"/>
                <w:sz w:val="20"/>
                <w:szCs w:val="20"/>
              </w:rPr>
              <w:t>检定</w:t>
            </w:r>
            <w:r>
              <w:rPr>
                <w:rFonts w:ascii="Times New Roman" w:hAnsi="Times New Roman" w:eastAsia="Times New Roman" w:cs="Times New Roman"/>
                <w:b/>
                <w:bCs/>
                <w:spacing w:val="5"/>
                <w:sz w:val="20"/>
                <w:szCs w:val="20"/>
              </w:rPr>
              <w:t>/</w:t>
            </w:r>
            <w:r>
              <w:rPr>
                <w:b/>
                <w:bCs/>
                <w:spacing w:val="5"/>
                <w:sz w:val="20"/>
                <w:szCs w:val="20"/>
              </w:rPr>
              <w:t>校准</w:t>
            </w:r>
            <w:r>
              <w:rPr>
                <w:spacing w:val="2"/>
                <w:sz w:val="20"/>
                <w:szCs w:val="20"/>
              </w:rPr>
              <w:t xml:space="preserve"> </w:t>
            </w:r>
            <w:r>
              <w:rPr>
                <w:b/>
                <w:bCs/>
                <w:spacing w:val="-15"/>
                <w:sz w:val="20"/>
                <w:szCs w:val="20"/>
              </w:rPr>
              <w:t>日期</w:t>
            </w:r>
          </w:p>
        </w:tc>
        <w:tc>
          <w:tcPr>
            <w:tcW w:w="828" w:type="dxa"/>
            <w:vAlign w:val="top"/>
          </w:tcPr>
          <w:p w14:paraId="670712EC">
            <w:pPr>
              <w:pStyle w:val="6"/>
              <w:spacing w:before="38" w:line="233" w:lineRule="auto"/>
              <w:ind w:left="212" w:right="200" w:hanging="2"/>
              <w:rPr>
                <w:sz w:val="20"/>
                <w:szCs w:val="20"/>
              </w:rPr>
            </w:pPr>
            <w:r>
              <w:rPr>
                <w:b/>
                <w:bCs/>
                <w:spacing w:val="3"/>
                <w:sz w:val="20"/>
                <w:szCs w:val="20"/>
              </w:rPr>
              <w:t>检定</w:t>
            </w:r>
            <w:r>
              <w:rPr>
                <w:sz w:val="20"/>
                <w:szCs w:val="20"/>
              </w:rPr>
              <w:t xml:space="preserve"> </w:t>
            </w:r>
            <w:r>
              <w:rPr>
                <w:b/>
                <w:bCs/>
                <w:spacing w:val="2"/>
                <w:sz w:val="20"/>
                <w:szCs w:val="20"/>
              </w:rPr>
              <w:t>部门</w:t>
            </w:r>
          </w:p>
        </w:tc>
        <w:tc>
          <w:tcPr>
            <w:tcW w:w="1480" w:type="dxa"/>
            <w:vAlign w:val="top"/>
          </w:tcPr>
          <w:p w14:paraId="6AE75C0B">
            <w:pPr>
              <w:pStyle w:val="6"/>
              <w:spacing w:before="38" w:line="233" w:lineRule="auto"/>
              <w:ind w:left="433" w:right="182" w:hanging="244"/>
              <w:rPr>
                <w:sz w:val="20"/>
                <w:szCs w:val="20"/>
              </w:rPr>
            </w:pPr>
            <w:r>
              <w:rPr>
                <w:b/>
                <w:bCs/>
                <w:spacing w:val="6"/>
                <w:sz w:val="20"/>
                <w:szCs w:val="20"/>
              </w:rPr>
              <w:t>检定</w:t>
            </w:r>
            <w:r>
              <w:rPr>
                <w:rFonts w:ascii="Times New Roman" w:hAnsi="Times New Roman" w:eastAsia="Times New Roman" w:cs="Times New Roman"/>
                <w:b/>
                <w:bCs/>
                <w:spacing w:val="6"/>
                <w:sz w:val="20"/>
                <w:szCs w:val="20"/>
              </w:rPr>
              <w:t>/</w:t>
            </w:r>
            <w:r>
              <w:rPr>
                <w:b/>
                <w:bCs/>
                <w:spacing w:val="6"/>
                <w:sz w:val="20"/>
                <w:szCs w:val="20"/>
              </w:rPr>
              <w:t>校准证</w:t>
            </w:r>
            <w:r>
              <w:rPr>
                <w:sz w:val="20"/>
                <w:szCs w:val="20"/>
              </w:rPr>
              <w:t xml:space="preserve"> </w:t>
            </w:r>
            <w:r>
              <w:rPr>
                <w:b/>
                <w:bCs/>
                <w:spacing w:val="4"/>
                <w:sz w:val="20"/>
                <w:szCs w:val="20"/>
              </w:rPr>
              <w:t>书编号</w:t>
            </w:r>
          </w:p>
        </w:tc>
      </w:tr>
      <w:tr w14:paraId="2F909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746" w:type="dxa"/>
            <w:vAlign w:val="top"/>
          </w:tcPr>
          <w:p w14:paraId="24E30210">
            <w:pPr>
              <w:pStyle w:val="6"/>
              <w:spacing w:before="305" w:line="239" w:lineRule="auto"/>
              <w:ind w:left="191" w:right="163" w:hanging="21"/>
              <w:rPr>
                <w:sz w:val="20"/>
                <w:szCs w:val="20"/>
              </w:rPr>
            </w:pPr>
            <w:r>
              <w:rPr>
                <w:spacing w:val="3"/>
                <w:sz w:val="20"/>
                <w:szCs w:val="20"/>
              </w:rPr>
              <w:t>工频</w:t>
            </w:r>
            <w:r>
              <w:rPr>
                <w:sz w:val="20"/>
                <w:szCs w:val="20"/>
              </w:rPr>
              <w:t xml:space="preserve"> </w:t>
            </w:r>
            <w:r>
              <w:rPr>
                <w:spacing w:val="-8"/>
                <w:sz w:val="20"/>
                <w:szCs w:val="20"/>
              </w:rPr>
              <w:t>电场</w:t>
            </w:r>
          </w:p>
        </w:tc>
        <w:tc>
          <w:tcPr>
            <w:tcW w:w="1192" w:type="dxa"/>
            <w:vAlign w:val="top"/>
          </w:tcPr>
          <w:p w14:paraId="357D5931">
            <w:pPr>
              <w:pStyle w:val="6"/>
              <w:spacing w:before="31" w:line="229" w:lineRule="auto"/>
              <w:ind w:left="185"/>
              <w:rPr>
                <w:sz w:val="20"/>
                <w:szCs w:val="20"/>
              </w:rPr>
            </w:pPr>
            <w:r>
              <w:rPr>
                <w:spacing w:val="6"/>
                <w:sz w:val="20"/>
                <w:szCs w:val="20"/>
              </w:rPr>
              <w:t>西班牙电</w:t>
            </w:r>
          </w:p>
          <w:p w14:paraId="677F5922">
            <w:pPr>
              <w:pStyle w:val="6"/>
              <w:spacing w:before="25" w:line="228" w:lineRule="auto"/>
              <w:ind w:left="180"/>
              <w:rPr>
                <w:sz w:val="20"/>
                <w:szCs w:val="20"/>
              </w:rPr>
            </w:pPr>
            <w:r>
              <w:rPr>
                <w:spacing w:val="7"/>
                <w:sz w:val="20"/>
                <w:szCs w:val="20"/>
              </w:rPr>
              <w:t>磁辐射分</w:t>
            </w:r>
          </w:p>
          <w:p w14:paraId="489E533A">
            <w:pPr>
              <w:pStyle w:val="6"/>
              <w:spacing w:before="24" w:line="221" w:lineRule="auto"/>
              <w:ind w:left="251"/>
              <w:rPr>
                <w:sz w:val="20"/>
                <w:szCs w:val="20"/>
              </w:rPr>
            </w:pPr>
            <w:r>
              <w:rPr>
                <w:spacing w:val="5"/>
                <w:sz w:val="20"/>
                <w:szCs w:val="20"/>
              </w:rPr>
              <w:t>析仪</w:t>
            </w:r>
            <w:r>
              <w:rPr>
                <w:rFonts w:ascii="Times New Roman" w:hAnsi="Times New Roman" w:eastAsia="Times New Roman" w:cs="Times New Roman"/>
                <w:spacing w:val="5"/>
                <w:sz w:val="20"/>
                <w:szCs w:val="20"/>
              </w:rPr>
              <w:t>(</w:t>
            </w:r>
            <w:r>
              <w:rPr>
                <w:spacing w:val="5"/>
                <w:sz w:val="20"/>
                <w:szCs w:val="20"/>
              </w:rPr>
              <w:t>电</w:t>
            </w:r>
          </w:p>
          <w:p w14:paraId="10932C84">
            <w:pPr>
              <w:pStyle w:val="6"/>
              <w:spacing w:before="34" w:line="214" w:lineRule="auto"/>
              <w:ind w:left="458"/>
              <w:rPr>
                <w:rFonts w:ascii="Times New Roman" w:hAnsi="Times New Roman" w:eastAsia="Times New Roman" w:cs="Times New Roman"/>
                <w:sz w:val="20"/>
                <w:szCs w:val="20"/>
              </w:rPr>
            </w:pPr>
            <w:r>
              <w:rPr>
                <w:spacing w:val="3"/>
                <w:sz w:val="20"/>
                <w:szCs w:val="20"/>
              </w:rPr>
              <w:t>场</w:t>
            </w:r>
            <w:r>
              <w:rPr>
                <w:rFonts w:ascii="Times New Roman" w:hAnsi="Times New Roman" w:eastAsia="Times New Roman" w:cs="Times New Roman"/>
                <w:spacing w:val="3"/>
                <w:sz w:val="20"/>
                <w:szCs w:val="20"/>
              </w:rPr>
              <w:t>)</w:t>
            </w:r>
          </w:p>
        </w:tc>
        <w:tc>
          <w:tcPr>
            <w:tcW w:w="1709" w:type="dxa"/>
            <w:vMerge w:val="restart"/>
            <w:tcBorders>
              <w:bottom w:val="nil"/>
            </w:tcBorders>
            <w:vAlign w:val="top"/>
          </w:tcPr>
          <w:p w14:paraId="682F653C">
            <w:pPr>
              <w:rPr>
                <w:rFonts w:ascii="Arial"/>
                <w:sz w:val="21"/>
              </w:rPr>
            </w:pPr>
          </w:p>
          <w:p w14:paraId="6C8DBEF2">
            <w:pPr>
              <w:spacing w:line="241" w:lineRule="auto"/>
              <w:rPr>
                <w:rFonts w:ascii="Arial"/>
                <w:sz w:val="21"/>
              </w:rPr>
            </w:pPr>
          </w:p>
          <w:p w14:paraId="21E71ABD">
            <w:pPr>
              <w:spacing w:line="241" w:lineRule="auto"/>
              <w:rPr>
                <w:rFonts w:ascii="Arial"/>
                <w:sz w:val="21"/>
              </w:rPr>
            </w:pPr>
          </w:p>
          <w:p w14:paraId="22C44F38">
            <w:pPr>
              <w:spacing w:line="241" w:lineRule="auto"/>
              <w:rPr>
                <w:rFonts w:ascii="Arial"/>
                <w:sz w:val="21"/>
              </w:rPr>
            </w:pPr>
          </w:p>
          <w:p w14:paraId="52D8781D">
            <w:pPr>
              <w:spacing w:before="58" w:line="195"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SMP</w:t>
            </w:r>
            <w:r>
              <w:rPr>
                <w:rFonts w:ascii="Times New Roman" w:hAnsi="Times New Roman" w:eastAsia="Times New Roman" w:cs="Times New Roman"/>
                <w:spacing w:val="7"/>
                <w:sz w:val="20"/>
                <w:szCs w:val="20"/>
              </w:rPr>
              <w:t>-560&amp;</w:t>
            </w:r>
            <w:r>
              <w:rPr>
                <w:rFonts w:ascii="Times New Roman" w:hAnsi="Times New Roman" w:eastAsia="Times New Roman" w:cs="Times New Roman"/>
                <w:sz w:val="20"/>
                <w:szCs w:val="20"/>
              </w:rPr>
              <w:t>WP</w:t>
            </w:r>
            <w:r>
              <w:rPr>
                <w:rFonts w:ascii="Times New Roman" w:hAnsi="Times New Roman" w:eastAsia="Times New Roman" w:cs="Times New Roman"/>
                <w:spacing w:val="7"/>
                <w:sz w:val="20"/>
                <w:szCs w:val="20"/>
              </w:rPr>
              <w:t>50</w:t>
            </w:r>
          </w:p>
        </w:tc>
        <w:tc>
          <w:tcPr>
            <w:tcW w:w="1365" w:type="dxa"/>
            <w:vMerge w:val="restart"/>
            <w:tcBorders>
              <w:bottom w:val="nil"/>
            </w:tcBorders>
            <w:vAlign w:val="top"/>
          </w:tcPr>
          <w:p w14:paraId="5ECDAE60">
            <w:pPr>
              <w:spacing w:line="319" w:lineRule="auto"/>
              <w:rPr>
                <w:rFonts w:ascii="Arial"/>
                <w:sz w:val="21"/>
              </w:rPr>
            </w:pPr>
          </w:p>
          <w:p w14:paraId="1418F146">
            <w:pPr>
              <w:spacing w:line="320" w:lineRule="auto"/>
              <w:rPr>
                <w:rFonts w:ascii="Arial"/>
                <w:sz w:val="21"/>
              </w:rPr>
            </w:pPr>
          </w:p>
          <w:p w14:paraId="62630D83">
            <w:pPr>
              <w:spacing w:line="320" w:lineRule="auto"/>
              <w:rPr>
                <w:rFonts w:ascii="Arial"/>
                <w:sz w:val="21"/>
              </w:rPr>
            </w:pPr>
          </w:p>
          <w:p w14:paraId="6D1D32E3">
            <w:pPr>
              <w:spacing w:before="58" w:line="199"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z w:val="20"/>
                <w:szCs w:val="20"/>
              </w:rPr>
              <w:t>Hz</w:t>
            </w:r>
            <w:r>
              <w:rPr>
                <w:rFonts w:ascii="Times New Roman" w:hAnsi="Times New Roman" w:eastAsia="Times New Roman" w:cs="Times New Roman"/>
                <w:spacing w:val="5"/>
                <w:sz w:val="20"/>
                <w:szCs w:val="20"/>
              </w:rPr>
              <w:t>~400</w:t>
            </w:r>
            <w:r>
              <w:rPr>
                <w:rFonts w:ascii="Times New Roman" w:hAnsi="Times New Roman" w:eastAsia="Times New Roman" w:cs="Times New Roman"/>
                <w:sz w:val="20"/>
                <w:szCs w:val="20"/>
              </w:rPr>
              <w:t>kHz</w:t>
            </w:r>
          </w:p>
        </w:tc>
        <w:tc>
          <w:tcPr>
            <w:tcW w:w="1195" w:type="dxa"/>
            <w:vAlign w:val="top"/>
          </w:tcPr>
          <w:p w14:paraId="5BDEDBD9">
            <w:pPr>
              <w:spacing w:line="415" w:lineRule="auto"/>
              <w:rPr>
                <w:rFonts w:ascii="Arial"/>
                <w:sz w:val="21"/>
              </w:rPr>
            </w:pPr>
          </w:p>
          <w:p w14:paraId="11674F6D">
            <w:pPr>
              <w:spacing w:before="5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2024-06-11</w:t>
            </w:r>
          </w:p>
        </w:tc>
        <w:tc>
          <w:tcPr>
            <w:tcW w:w="828" w:type="dxa"/>
            <w:vMerge w:val="restart"/>
            <w:tcBorders>
              <w:bottom w:val="nil"/>
            </w:tcBorders>
            <w:vAlign w:val="top"/>
          </w:tcPr>
          <w:p w14:paraId="355A4E52">
            <w:pPr>
              <w:spacing w:line="379" w:lineRule="auto"/>
              <w:rPr>
                <w:rFonts w:ascii="Arial"/>
                <w:sz w:val="21"/>
              </w:rPr>
            </w:pPr>
          </w:p>
          <w:p w14:paraId="7AF99D5B">
            <w:pPr>
              <w:pStyle w:val="6"/>
              <w:spacing w:before="65" w:line="228" w:lineRule="auto"/>
              <w:ind w:left="230"/>
              <w:rPr>
                <w:sz w:val="20"/>
                <w:szCs w:val="20"/>
              </w:rPr>
            </w:pPr>
            <w:r>
              <w:rPr>
                <w:spacing w:val="-5"/>
                <w:sz w:val="20"/>
                <w:szCs w:val="20"/>
              </w:rPr>
              <w:t>中国</w:t>
            </w:r>
          </w:p>
          <w:p w14:paraId="0F388A7C">
            <w:pPr>
              <w:pStyle w:val="6"/>
              <w:spacing w:before="23" w:line="229" w:lineRule="auto"/>
              <w:ind w:left="211"/>
              <w:rPr>
                <w:sz w:val="20"/>
                <w:szCs w:val="20"/>
              </w:rPr>
            </w:pPr>
            <w:r>
              <w:rPr>
                <w:spacing w:val="4"/>
                <w:sz w:val="20"/>
                <w:szCs w:val="20"/>
              </w:rPr>
              <w:t>测试</w:t>
            </w:r>
          </w:p>
          <w:p w14:paraId="2821CC1D">
            <w:pPr>
              <w:pStyle w:val="6"/>
              <w:spacing w:before="22" w:line="228" w:lineRule="auto"/>
              <w:ind w:left="211"/>
              <w:rPr>
                <w:sz w:val="20"/>
                <w:szCs w:val="20"/>
              </w:rPr>
            </w:pPr>
            <w:r>
              <w:rPr>
                <w:spacing w:val="4"/>
                <w:sz w:val="20"/>
                <w:szCs w:val="20"/>
              </w:rPr>
              <w:t>技术</w:t>
            </w:r>
          </w:p>
          <w:p w14:paraId="7570DB03">
            <w:pPr>
              <w:pStyle w:val="6"/>
              <w:spacing w:before="26" w:line="227" w:lineRule="auto"/>
              <w:ind w:left="210"/>
              <w:rPr>
                <w:sz w:val="20"/>
                <w:szCs w:val="20"/>
              </w:rPr>
            </w:pPr>
            <w:r>
              <w:rPr>
                <w:spacing w:val="4"/>
                <w:sz w:val="20"/>
                <w:szCs w:val="20"/>
              </w:rPr>
              <w:t>研究</w:t>
            </w:r>
          </w:p>
          <w:p w14:paraId="71D28C1F">
            <w:pPr>
              <w:pStyle w:val="6"/>
              <w:spacing w:before="26" w:line="228" w:lineRule="auto"/>
              <w:ind w:left="330"/>
              <w:rPr>
                <w:sz w:val="20"/>
                <w:szCs w:val="20"/>
              </w:rPr>
            </w:pPr>
            <w:r>
              <w:rPr>
                <w:sz w:val="20"/>
                <w:szCs w:val="20"/>
              </w:rPr>
              <w:t>院</w:t>
            </w:r>
          </w:p>
        </w:tc>
        <w:tc>
          <w:tcPr>
            <w:tcW w:w="1480" w:type="dxa"/>
            <w:vAlign w:val="top"/>
          </w:tcPr>
          <w:p w14:paraId="13AE9F68">
            <w:pPr>
              <w:spacing w:line="252" w:lineRule="auto"/>
              <w:rPr>
                <w:rFonts w:ascii="Arial"/>
                <w:sz w:val="21"/>
              </w:rPr>
            </w:pPr>
          </w:p>
          <w:p w14:paraId="78593887">
            <w:pPr>
              <w:pStyle w:val="6"/>
              <w:spacing w:before="65" w:line="228" w:lineRule="auto"/>
              <w:ind w:left="326"/>
              <w:rPr>
                <w:sz w:val="20"/>
                <w:szCs w:val="20"/>
              </w:rPr>
            </w:pPr>
            <w:r>
              <w:rPr>
                <w:spacing w:val="7"/>
                <w:sz w:val="20"/>
                <w:szCs w:val="20"/>
              </w:rPr>
              <w:t>校准字第</w:t>
            </w:r>
          </w:p>
          <w:p w14:paraId="673D45C9">
            <w:pPr>
              <w:spacing w:before="46"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202306010187</w:t>
            </w:r>
          </w:p>
        </w:tc>
      </w:tr>
      <w:tr w14:paraId="488D3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746" w:type="dxa"/>
            <w:vAlign w:val="top"/>
          </w:tcPr>
          <w:p w14:paraId="250FE49F">
            <w:pPr>
              <w:spacing w:line="241" w:lineRule="auto"/>
              <w:rPr>
                <w:rFonts w:ascii="Arial"/>
                <w:sz w:val="21"/>
              </w:rPr>
            </w:pPr>
          </w:p>
          <w:p w14:paraId="718EE568">
            <w:pPr>
              <w:pStyle w:val="6"/>
              <w:spacing w:before="65" w:line="239" w:lineRule="auto"/>
              <w:ind w:left="168" w:right="163" w:firstLine="2"/>
              <w:rPr>
                <w:sz w:val="20"/>
                <w:szCs w:val="20"/>
              </w:rPr>
            </w:pPr>
            <w:r>
              <w:rPr>
                <w:spacing w:val="3"/>
                <w:sz w:val="20"/>
                <w:szCs w:val="20"/>
              </w:rPr>
              <w:t>工频</w:t>
            </w:r>
            <w:r>
              <w:rPr>
                <w:sz w:val="20"/>
                <w:szCs w:val="20"/>
              </w:rPr>
              <w:t xml:space="preserve"> </w:t>
            </w:r>
            <w:r>
              <w:rPr>
                <w:spacing w:val="4"/>
                <w:sz w:val="20"/>
                <w:szCs w:val="20"/>
              </w:rPr>
              <w:t>磁场</w:t>
            </w:r>
          </w:p>
        </w:tc>
        <w:tc>
          <w:tcPr>
            <w:tcW w:w="1192" w:type="dxa"/>
            <w:vAlign w:val="top"/>
          </w:tcPr>
          <w:p w14:paraId="0C60BEDF">
            <w:pPr>
              <w:pStyle w:val="6"/>
              <w:spacing w:before="35" w:line="229" w:lineRule="auto"/>
              <w:ind w:left="185"/>
              <w:rPr>
                <w:sz w:val="20"/>
                <w:szCs w:val="20"/>
              </w:rPr>
            </w:pPr>
            <w:r>
              <w:rPr>
                <w:spacing w:val="6"/>
                <w:sz w:val="20"/>
                <w:szCs w:val="20"/>
              </w:rPr>
              <w:t>西班牙电</w:t>
            </w:r>
          </w:p>
          <w:p w14:paraId="2F31435F">
            <w:pPr>
              <w:pStyle w:val="6"/>
              <w:spacing w:before="22" w:line="228" w:lineRule="auto"/>
              <w:ind w:left="180"/>
              <w:rPr>
                <w:sz w:val="20"/>
                <w:szCs w:val="20"/>
              </w:rPr>
            </w:pPr>
            <w:r>
              <w:rPr>
                <w:spacing w:val="7"/>
                <w:sz w:val="20"/>
                <w:szCs w:val="20"/>
              </w:rPr>
              <w:t>磁辐射分</w:t>
            </w:r>
          </w:p>
          <w:p w14:paraId="5F8BC504">
            <w:pPr>
              <w:pStyle w:val="6"/>
              <w:spacing w:before="24" w:line="221" w:lineRule="auto"/>
              <w:ind w:left="251"/>
              <w:rPr>
                <w:sz w:val="20"/>
                <w:szCs w:val="20"/>
              </w:rPr>
            </w:pPr>
            <w:r>
              <w:rPr>
                <w:spacing w:val="5"/>
                <w:sz w:val="20"/>
                <w:szCs w:val="20"/>
              </w:rPr>
              <w:t>析仪</w:t>
            </w:r>
            <w:r>
              <w:rPr>
                <w:rFonts w:ascii="Times New Roman" w:hAnsi="Times New Roman" w:eastAsia="Times New Roman" w:cs="Times New Roman"/>
                <w:spacing w:val="5"/>
                <w:sz w:val="20"/>
                <w:szCs w:val="20"/>
              </w:rPr>
              <w:t>(</w:t>
            </w:r>
            <w:r>
              <w:rPr>
                <w:spacing w:val="5"/>
                <w:sz w:val="20"/>
                <w:szCs w:val="20"/>
              </w:rPr>
              <w:t>磁</w:t>
            </w:r>
          </w:p>
          <w:p w14:paraId="310AD469">
            <w:pPr>
              <w:pStyle w:val="6"/>
              <w:spacing w:before="34" w:line="218" w:lineRule="auto"/>
              <w:ind w:left="458"/>
              <w:rPr>
                <w:rFonts w:ascii="Times New Roman" w:hAnsi="Times New Roman" w:eastAsia="Times New Roman" w:cs="Times New Roman"/>
                <w:sz w:val="20"/>
                <w:szCs w:val="20"/>
              </w:rPr>
            </w:pPr>
            <w:r>
              <w:rPr>
                <w:spacing w:val="3"/>
                <w:sz w:val="20"/>
                <w:szCs w:val="20"/>
              </w:rPr>
              <w:t>场</w:t>
            </w:r>
            <w:r>
              <w:rPr>
                <w:rFonts w:ascii="Times New Roman" w:hAnsi="Times New Roman" w:eastAsia="Times New Roman" w:cs="Times New Roman"/>
                <w:spacing w:val="3"/>
                <w:sz w:val="20"/>
                <w:szCs w:val="20"/>
              </w:rPr>
              <w:t>)</w:t>
            </w:r>
          </w:p>
        </w:tc>
        <w:tc>
          <w:tcPr>
            <w:tcW w:w="1709" w:type="dxa"/>
            <w:vMerge w:val="continue"/>
            <w:tcBorders>
              <w:top w:val="nil"/>
            </w:tcBorders>
            <w:vAlign w:val="top"/>
          </w:tcPr>
          <w:p w14:paraId="4D52459C">
            <w:pPr>
              <w:rPr>
                <w:rFonts w:ascii="Arial"/>
                <w:sz w:val="21"/>
              </w:rPr>
            </w:pPr>
          </w:p>
        </w:tc>
        <w:tc>
          <w:tcPr>
            <w:tcW w:w="1365" w:type="dxa"/>
            <w:vMerge w:val="continue"/>
            <w:tcBorders>
              <w:top w:val="nil"/>
            </w:tcBorders>
            <w:vAlign w:val="top"/>
          </w:tcPr>
          <w:p w14:paraId="5513D3FE">
            <w:pPr>
              <w:rPr>
                <w:rFonts w:ascii="Arial"/>
                <w:sz w:val="21"/>
              </w:rPr>
            </w:pPr>
          </w:p>
        </w:tc>
        <w:tc>
          <w:tcPr>
            <w:tcW w:w="1195" w:type="dxa"/>
            <w:vAlign w:val="top"/>
          </w:tcPr>
          <w:p w14:paraId="1E4EF9AC">
            <w:pPr>
              <w:spacing w:line="419" w:lineRule="auto"/>
              <w:rPr>
                <w:rFonts w:ascii="Arial"/>
                <w:sz w:val="21"/>
              </w:rPr>
            </w:pPr>
          </w:p>
          <w:p w14:paraId="26840A22">
            <w:pPr>
              <w:spacing w:before="58"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2024-07-06</w:t>
            </w:r>
          </w:p>
        </w:tc>
        <w:tc>
          <w:tcPr>
            <w:tcW w:w="828" w:type="dxa"/>
            <w:vMerge w:val="continue"/>
            <w:tcBorders>
              <w:top w:val="nil"/>
            </w:tcBorders>
            <w:vAlign w:val="top"/>
          </w:tcPr>
          <w:p w14:paraId="77D08EE2">
            <w:pPr>
              <w:rPr>
                <w:rFonts w:ascii="Arial"/>
                <w:sz w:val="21"/>
              </w:rPr>
            </w:pPr>
          </w:p>
        </w:tc>
        <w:tc>
          <w:tcPr>
            <w:tcW w:w="1480" w:type="dxa"/>
            <w:vAlign w:val="top"/>
          </w:tcPr>
          <w:p w14:paraId="4834F244">
            <w:pPr>
              <w:spacing w:line="254" w:lineRule="auto"/>
              <w:rPr>
                <w:rFonts w:ascii="Arial"/>
                <w:sz w:val="21"/>
              </w:rPr>
            </w:pPr>
          </w:p>
          <w:p w14:paraId="493D44F6">
            <w:pPr>
              <w:pStyle w:val="6"/>
              <w:spacing w:before="65" w:line="228" w:lineRule="auto"/>
              <w:ind w:left="326"/>
              <w:rPr>
                <w:sz w:val="20"/>
                <w:szCs w:val="20"/>
              </w:rPr>
            </w:pPr>
            <w:r>
              <w:rPr>
                <w:spacing w:val="7"/>
                <w:sz w:val="20"/>
                <w:szCs w:val="20"/>
              </w:rPr>
              <w:t>校准字第</w:t>
            </w:r>
          </w:p>
          <w:p w14:paraId="66588E7E">
            <w:pPr>
              <w:spacing w:before="46"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202307001374</w:t>
            </w:r>
          </w:p>
        </w:tc>
      </w:tr>
    </w:tbl>
    <w:p w14:paraId="72272B21">
      <w:pPr>
        <w:rPr>
          <w:rFonts w:ascii="Arial"/>
          <w:sz w:val="21"/>
        </w:rPr>
      </w:pPr>
    </w:p>
    <w:p w14:paraId="7CDCBB52">
      <w:pPr>
        <w:rPr>
          <w:rFonts w:ascii="Arial" w:hAnsi="Arial" w:eastAsia="Arial" w:cs="Arial"/>
          <w:sz w:val="21"/>
          <w:szCs w:val="21"/>
        </w:rPr>
        <w:sectPr>
          <w:footerReference r:id="rId190" w:type="default"/>
          <w:pgSz w:w="11906" w:h="16839"/>
          <w:pgMar w:top="1431" w:right="1692" w:bottom="1263" w:left="1690" w:header="0" w:footer="1073" w:gutter="0"/>
          <w:cols w:space="720" w:num="1"/>
        </w:sectPr>
      </w:pPr>
    </w:p>
    <w:p w14:paraId="0CC5428F">
      <w:pPr>
        <w:pStyle w:val="2"/>
        <w:spacing w:before="48" w:line="220" w:lineRule="auto"/>
        <w:ind w:left="613"/>
      </w:pPr>
      <w:r>
        <w:rPr>
          <w:spacing w:val="-3"/>
        </w:rPr>
        <w:t>（</w:t>
      </w:r>
      <w:r>
        <w:rPr>
          <w:rFonts w:ascii="Times New Roman" w:hAnsi="Times New Roman" w:eastAsia="Times New Roman" w:cs="Times New Roman"/>
          <w:spacing w:val="-3"/>
        </w:rPr>
        <w:t>5</w:t>
      </w:r>
      <w:r>
        <w:rPr>
          <w:spacing w:val="-3"/>
        </w:rPr>
        <w:t>）监测工况</w:t>
      </w:r>
    </w:p>
    <w:p w14:paraId="490F8C41">
      <w:pPr>
        <w:pStyle w:val="2"/>
        <w:spacing w:before="181" w:line="345" w:lineRule="auto"/>
        <w:ind w:left="125" w:right="109" w:firstLine="477"/>
      </w:pPr>
      <w:r>
        <w:rPr>
          <w:spacing w:val="-1"/>
        </w:rPr>
        <w:t>监测期间，禄劝县撒永山</w:t>
      </w:r>
      <w:r>
        <w:rPr>
          <w:rFonts w:ascii="Times New Roman" w:hAnsi="Times New Roman" w:eastAsia="Times New Roman" w:cs="Times New Roman"/>
          <w:spacing w:val="-1"/>
        </w:rPr>
        <w:t xml:space="preserve">250MW </w:t>
      </w:r>
      <w:r>
        <w:rPr>
          <w:spacing w:val="-1"/>
        </w:rPr>
        <w:t>光伏电站项目（</w:t>
      </w:r>
      <w:r>
        <w:rPr>
          <w:rFonts w:ascii="Times New Roman" w:hAnsi="Times New Roman" w:eastAsia="Times New Roman" w:cs="Times New Roman"/>
          <w:spacing w:val="-1"/>
        </w:rPr>
        <w:t>220KV</w:t>
      </w:r>
      <w:r>
        <w:rPr>
          <w:spacing w:val="-1"/>
        </w:rPr>
        <w:t>）的</w:t>
      </w:r>
      <w:r>
        <w:rPr>
          <w:spacing w:val="-48"/>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28"/>
          <w:w w:val="101"/>
        </w:rPr>
        <w:t xml:space="preserve"> </w:t>
      </w:r>
      <w:r>
        <w:rPr>
          <w:spacing w:val="-1"/>
        </w:rPr>
        <w:t>台主变均处</w:t>
      </w:r>
      <w:r>
        <w:t xml:space="preserve"> </w:t>
      </w:r>
      <w:r>
        <w:rPr>
          <w:spacing w:val="-1"/>
        </w:rPr>
        <w:t>于正常运行状态，监测工况见下表。</w:t>
      </w:r>
    </w:p>
    <w:p w14:paraId="42881225">
      <w:pPr>
        <w:pStyle w:val="2"/>
        <w:spacing w:before="31" w:line="223" w:lineRule="auto"/>
        <w:ind w:left="2284"/>
        <w:rPr>
          <w:sz w:val="20"/>
          <w:szCs w:val="20"/>
        </w:rPr>
      </w:pPr>
      <w:r>
        <w:rPr>
          <w:b/>
          <w:bCs/>
          <w:spacing w:val="6"/>
          <w:sz w:val="20"/>
          <w:szCs w:val="20"/>
        </w:rPr>
        <w:t>表</w:t>
      </w:r>
      <w:r>
        <w:rPr>
          <w:spacing w:val="-40"/>
          <w:sz w:val="20"/>
          <w:szCs w:val="20"/>
        </w:rPr>
        <w:t xml:space="preserve"> </w:t>
      </w:r>
      <w:r>
        <w:rPr>
          <w:rFonts w:ascii="Times New Roman" w:hAnsi="Times New Roman" w:eastAsia="Times New Roman" w:cs="Times New Roman"/>
          <w:b/>
          <w:bCs/>
          <w:spacing w:val="6"/>
          <w:sz w:val="20"/>
          <w:szCs w:val="20"/>
        </w:rPr>
        <w:t xml:space="preserve">5-3    </w:t>
      </w:r>
      <w:r>
        <w:rPr>
          <w:b/>
          <w:bCs/>
          <w:spacing w:val="6"/>
          <w:sz w:val="20"/>
          <w:szCs w:val="20"/>
        </w:rPr>
        <w:t>监测期间路家村</w:t>
      </w:r>
      <w:r>
        <w:rPr>
          <w:spacing w:val="-43"/>
          <w:sz w:val="20"/>
          <w:szCs w:val="20"/>
        </w:rPr>
        <w:t xml:space="preserve"> </w:t>
      </w:r>
      <w:r>
        <w:rPr>
          <w:rFonts w:ascii="Times New Roman" w:hAnsi="Times New Roman" w:eastAsia="Times New Roman" w:cs="Times New Roman"/>
          <w:b/>
          <w:bCs/>
          <w:spacing w:val="6"/>
          <w:sz w:val="20"/>
          <w:szCs w:val="20"/>
        </w:rPr>
        <w:t>220</w:t>
      </w:r>
      <w:r>
        <w:rPr>
          <w:rFonts w:ascii="Times New Roman" w:hAnsi="Times New Roman" w:eastAsia="Times New Roman" w:cs="Times New Roman"/>
          <w:b/>
          <w:bCs/>
          <w:sz w:val="20"/>
          <w:szCs w:val="20"/>
        </w:rPr>
        <w:t>kV</w:t>
      </w:r>
      <w:r>
        <w:rPr>
          <w:rFonts w:ascii="Times New Roman" w:hAnsi="Times New Roman" w:eastAsia="Times New Roman" w:cs="Times New Roman"/>
          <w:b/>
          <w:bCs/>
          <w:spacing w:val="6"/>
          <w:sz w:val="20"/>
          <w:szCs w:val="20"/>
        </w:rPr>
        <w:t xml:space="preserve"> </w:t>
      </w:r>
      <w:r>
        <w:rPr>
          <w:b/>
          <w:bCs/>
          <w:spacing w:val="6"/>
          <w:sz w:val="20"/>
          <w:szCs w:val="20"/>
        </w:rPr>
        <w:t>汇集站工况</w:t>
      </w:r>
    </w:p>
    <w:tbl>
      <w:tblPr>
        <w:tblStyle w:val="5"/>
        <w:tblW w:w="8517"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091"/>
        <w:gridCol w:w="857"/>
        <w:gridCol w:w="1503"/>
        <w:gridCol w:w="1493"/>
        <w:gridCol w:w="1251"/>
        <w:gridCol w:w="1157"/>
      </w:tblGrid>
      <w:tr w14:paraId="17207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65" w:type="dxa"/>
            <w:vAlign w:val="top"/>
          </w:tcPr>
          <w:p w14:paraId="0F35FE8E">
            <w:pPr>
              <w:pStyle w:val="6"/>
              <w:spacing w:before="171" w:line="228" w:lineRule="auto"/>
              <w:ind w:left="411"/>
              <w:rPr>
                <w:sz w:val="20"/>
                <w:szCs w:val="20"/>
              </w:rPr>
            </w:pPr>
            <w:r>
              <w:rPr>
                <w:b/>
                <w:bCs/>
                <w:spacing w:val="-15"/>
                <w:sz w:val="20"/>
                <w:szCs w:val="20"/>
              </w:rPr>
              <w:t>日期</w:t>
            </w:r>
          </w:p>
        </w:tc>
        <w:tc>
          <w:tcPr>
            <w:tcW w:w="1091" w:type="dxa"/>
            <w:vAlign w:val="top"/>
          </w:tcPr>
          <w:p w14:paraId="6C17D5BD">
            <w:pPr>
              <w:pStyle w:val="6"/>
              <w:spacing w:before="171" w:line="230" w:lineRule="auto"/>
              <w:ind w:left="341"/>
              <w:rPr>
                <w:sz w:val="20"/>
                <w:szCs w:val="20"/>
              </w:rPr>
            </w:pPr>
            <w:r>
              <w:rPr>
                <w:b/>
                <w:bCs/>
                <w:spacing w:val="2"/>
                <w:sz w:val="20"/>
                <w:szCs w:val="20"/>
              </w:rPr>
              <w:t>名称</w:t>
            </w:r>
          </w:p>
        </w:tc>
        <w:tc>
          <w:tcPr>
            <w:tcW w:w="857" w:type="dxa"/>
            <w:vAlign w:val="top"/>
          </w:tcPr>
          <w:p w14:paraId="5B3486AD">
            <w:pPr>
              <w:pStyle w:val="6"/>
              <w:spacing w:before="171" w:line="228" w:lineRule="auto"/>
              <w:ind w:left="238"/>
              <w:rPr>
                <w:sz w:val="20"/>
                <w:szCs w:val="20"/>
              </w:rPr>
            </w:pPr>
            <w:r>
              <w:rPr>
                <w:b/>
                <w:bCs/>
                <w:spacing w:val="-5"/>
                <w:sz w:val="20"/>
                <w:szCs w:val="20"/>
              </w:rPr>
              <w:t>台数</w:t>
            </w:r>
          </w:p>
        </w:tc>
        <w:tc>
          <w:tcPr>
            <w:tcW w:w="1503" w:type="dxa"/>
            <w:vAlign w:val="top"/>
          </w:tcPr>
          <w:p w14:paraId="251BA80F">
            <w:pPr>
              <w:pStyle w:val="6"/>
              <w:spacing w:before="171" w:line="228" w:lineRule="auto"/>
              <w:ind w:left="136"/>
              <w:rPr>
                <w:sz w:val="20"/>
                <w:szCs w:val="20"/>
              </w:rPr>
            </w:pPr>
            <w:r>
              <w:rPr>
                <w:b/>
                <w:bCs/>
                <w:spacing w:val="2"/>
                <w:sz w:val="20"/>
                <w:szCs w:val="20"/>
              </w:rPr>
              <w:t>电压值（</w:t>
            </w:r>
            <w:r>
              <w:rPr>
                <w:rFonts w:ascii="Times New Roman" w:hAnsi="Times New Roman" w:eastAsia="Times New Roman" w:cs="Times New Roman"/>
                <w:b/>
                <w:bCs/>
                <w:sz w:val="20"/>
                <w:szCs w:val="20"/>
              </w:rPr>
              <w:t>kV</w:t>
            </w:r>
            <w:r>
              <w:rPr>
                <w:b/>
                <w:bCs/>
                <w:spacing w:val="2"/>
                <w:sz w:val="20"/>
                <w:szCs w:val="20"/>
              </w:rPr>
              <w:t>）</w:t>
            </w:r>
          </w:p>
        </w:tc>
        <w:tc>
          <w:tcPr>
            <w:tcW w:w="1493" w:type="dxa"/>
            <w:vAlign w:val="top"/>
          </w:tcPr>
          <w:p w14:paraId="470F6E9D">
            <w:pPr>
              <w:pStyle w:val="6"/>
              <w:spacing w:before="171" w:line="228" w:lineRule="auto"/>
              <w:ind w:left="174"/>
              <w:rPr>
                <w:sz w:val="20"/>
                <w:szCs w:val="20"/>
              </w:rPr>
            </w:pPr>
            <w:r>
              <w:rPr>
                <w:b/>
                <w:bCs/>
                <w:sz w:val="20"/>
                <w:szCs w:val="20"/>
              </w:rPr>
              <w:t>电流值（</w:t>
            </w:r>
            <w:r>
              <w:rPr>
                <w:rFonts w:ascii="Times New Roman" w:hAnsi="Times New Roman" w:eastAsia="Times New Roman" w:cs="Times New Roman"/>
                <w:b/>
                <w:bCs/>
                <w:sz w:val="20"/>
                <w:szCs w:val="20"/>
              </w:rPr>
              <w:t>A</w:t>
            </w:r>
            <w:r>
              <w:rPr>
                <w:b/>
                <w:bCs/>
                <w:sz w:val="20"/>
                <w:szCs w:val="20"/>
              </w:rPr>
              <w:t>）</w:t>
            </w:r>
          </w:p>
        </w:tc>
        <w:tc>
          <w:tcPr>
            <w:tcW w:w="1251" w:type="dxa"/>
            <w:vAlign w:val="top"/>
          </w:tcPr>
          <w:p w14:paraId="0062566C">
            <w:pPr>
              <w:pStyle w:val="6"/>
              <w:spacing w:before="33" w:line="235" w:lineRule="auto"/>
              <w:ind w:left="228" w:right="199" w:hanging="16"/>
              <w:rPr>
                <w:sz w:val="20"/>
                <w:szCs w:val="20"/>
              </w:rPr>
            </w:pPr>
            <w:r>
              <w:rPr>
                <w:b/>
                <w:bCs/>
                <w:spacing w:val="6"/>
                <w:sz w:val="20"/>
                <w:szCs w:val="20"/>
              </w:rPr>
              <w:t>有功功率</w:t>
            </w:r>
            <w:r>
              <w:rPr>
                <w:sz w:val="20"/>
                <w:szCs w:val="20"/>
              </w:rPr>
              <w:t xml:space="preserve"> </w:t>
            </w:r>
            <w:r>
              <w:rPr>
                <w:b/>
                <w:bCs/>
                <w:spacing w:val="1"/>
                <w:sz w:val="20"/>
                <w:szCs w:val="20"/>
              </w:rPr>
              <w:t>（</w:t>
            </w:r>
            <w:r>
              <w:rPr>
                <w:rFonts w:ascii="Times New Roman" w:hAnsi="Times New Roman" w:eastAsia="Times New Roman" w:cs="Times New Roman"/>
                <w:b/>
                <w:bCs/>
                <w:sz w:val="20"/>
                <w:szCs w:val="20"/>
              </w:rPr>
              <w:t>MW</w:t>
            </w:r>
            <w:r>
              <w:rPr>
                <w:b/>
                <w:bCs/>
                <w:spacing w:val="1"/>
                <w:sz w:val="20"/>
                <w:szCs w:val="20"/>
              </w:rPr>
              <w:t>）</w:t>
            </w:r>
          </w:p>
        </w:tc>
        <w:tc>
          <w:tcPr>
            <w:tcW w:w="1157" w:type="dxa"/>
            <w:vAlign w:val="top"/>
          </w:tcPr>
          <w:p w14:paraId="54167ED4">
            <w:pPr>
              <w:pStyle w:val="6"/>
              <w:spacing w:before="33" w:line="235" w:lineRule="auto"/>
              <w:ind w:left="132" w:right="134" w:firstLine="32"/>
              <w:rPr>
                <w:sz w:val="20"/>
                <w:szCs w:val="20"/>
              </w:rPr>
            </w:pPr>
            <w:r>
              <w:rPr>
                <w:b/>
                <w:bCs/>
                <w:spacing w:val="6"/>
                <w:sz w:val="20"/>
                <w:szCs w:val="20"/>
              </w:rPr>
              <w:t>无功功率</w:t>
            </w:r>
            <w:r>
              <w:rPr>
                <w:sz w:val="20"/>
                <w:szCs w:val="20"/>
              </w:rPr>
              <w:t xml:space="preserve"> </w:t>
            </w:r>
            <w:r>
              <w:rPr>
                <w:b/>
                <w:bCs/>
                <w:spacing w:val="1"/>
                <w:sz w:val="20"/>
                <w:szCs w:val="20"/>
              </w:rPr>
              <w:t>（</w:t>
            </w:r>
            <w:r>
              <w:rPr>
                <w:rFonts w:ascii="Times New Roman" w:hAnsi="Times New Roman" w:eastAsia="Times New Roman" w:cs="Times New Roman"/>
                <w:b/>
                <w:bCs/>
                <w:sz w:val="20"/>
                <w:szCs w:val="20"/>
              </w:rPr>
              <w:t>Mvar</w:t>
            </w:r>
            <w:r>
              <w:rPr>
                <w:b/>
                <w:bCs/>
                <w:spacing w:val="1"/>
                <w:sz w:val="20"/>
                <w:szCs w:val="20"/>
              </w:rPr>
              <w:t>）</w:t>
            </w:r>
          </w:p>
        </w:tc>
      </w:tr>
      <w:tr w14:paraId="16019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65" w:type="dxa"/>
            <w:vMerge w:val="restart"/>
            <w:tcBorders>
              <w:bottom w:val="nil"/>
            </w:tcBorders>
            <w:vAlign w:val="top"/>
          </w:tcPr>
          <w:p w14:paraId="1D7592FB">
            <w:pPr>
              <w:spacing w:line="400" w:lineRule="auto"/>
              <w:rPr>
                <w:rFonts w:ascii="Arial"/>
                <w:sz w:val="21"/>
              </w:rPr>
            </w:pPr>
          </w:p>
          <w:p w14:paraId="0D9C3E60">
            <w:pPr>
              <w:spacing w:before="58"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2023.10.12</w:t>
            </w:r>
          </w:p>
        </w:tc>
        <w:tc>
          <w:tcPr>
            <w:tcW w:w="1091" w:type="dxa"/>
            <w:vMerge w:val="restart"/>
            <w:tcBorders>
              <w:bottom w:val="nil"/>
            </w:tcBorders>
            <w:vAlign w:val="top"/>
          </w:tcPr>
          <w:p w14:paraId="40A48120">
            <w:pPr>
              <w:pStyle w:val="6"/>
              <w:spacing w:before="33" w:line="228" w:lineRule="auto"/>
              <w:ind w:left="130"/>
              <w:rPr>
                <w:sz w:val="20"/>
                <w:szCs w:val="20"/>
              </w:rPr>
            </w:pPr>
            <w:r>
              <w:rPr>
                <w:spacing w:val="7"/>
                <w:sz w:val="20"/>
                <w:szCs w:val="20"/>
              </w:rPr>
              <w:t>禄劝县撒</w:t>
            </w:r>
          </w:p>
          <w:p w14:paraId="73668CA5">
            <w:pPr>
              <w:pStyle w:val="6"/>
              <w:spacing w:before="24" w:line="231" w:lineRule="auto"/>
              <w:ind w:left="340"/>
              <w:rPr>
                <w:sz w:val="20"/>
                <w:szCs w:val="20"/>
              </w:rPr>
            </w:pPr>
            <w:r>
              <w:rPr>
                <w:spacing w:val="5"/>
                <w:sz w:val="20"/>
                <w:szCs w:val="20"/>
              </w:rPr>
              <w:t>永山</w:t>
            </w:r>
          </w:p>
          <w:p w14:paraId="5C142068">
            <w:pPr>
              <w:spacing w:before="42"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250</w:t>
            </w:r>
            <w:r>
              <w:rPr>
                <w:rFonts w:ascii="Times New Roman" w:hAnsi="Times New Roman" w:eastAsia="Times New Roman" w:cs="Times New Roman"/>
                <w:sz w:val="20"/>
                <w:szCs w:val="20"/>
              </w:rPr>
              <w:t>MW</w:t>
            </w:r>
          </w:p>
          <w:p w14:paraId="1384BCBD">
            <w:pPr>
              <w:pStyle w:val="6"/>
              <w:spacing w:before="33" w:line="218" w:lineRule="auto"/>
              <w:ind w:left="131"/>
              <w:rPr>
                <w:sz w:val="20"/>
                <w:szCs w:val="20"/>
              </w:rPr>
            </w:pPr>
            <w:r>
              <w:rPr>
                <w:spacing w:val="6"/>
                <w:sz w:val="20"/>
                <w:szCs w:val="20"/>
              </w:rPr>
              <w:t>光伏电站</w:t>
            </w:r>
          </w:p>
        </w:tc>
        <w:tc>
          <w:tcPr>
            <w:tcW w:w="857" w:type="dxa"/>
            <w:vAlign w:val="top"/>
          </w:tcPr>
          <w:p w14:paraId="2B169C2D">
            <w:pPr>
              <w:pStyle w:val="6"/>
              <w:spacing w:before="55" w:line="229" w:lineRule="auto"/>
              <w:ind w:left="133"/>
              <w:rPr>
                <w:sz w:val="20"/>
                <w:szCs w:val="20"/>
              </w:rPr>
            </w:pPr>
            <w:r>
              <w:rPr>
                <w:rFonts w:ascii="Times New Roman" w:hAnsi="Times New Roman" w:eastAsia="Times New Roman" w:cs="Times New Roman"/>
                <w:spacing w:val="1"/>
                <w:sz w:val="20"/>
                <w:szCs w:val="20"/>
              </w:rPr>
              <w:t>1#</w:t>
            </w:r>
            <w:r>
              <w:rPr>
                <w:spacing w:val="1"/>
                <w:sz w:val="20"/>
                <w:szCs w:val="20"/>
              </w:rPr>
              <w:t>主变</w:t>
            </w:r>
          </w:p>
        </w:tc>
        <w:tc>
          <w:tcPr>
            <w:tcW w:w="1503" w:type="dxa"/>
            <w:vAlign w:val="top"/>
          </w:tcPr>
          <w:p w14:paraId="55345A40">
            <w:pPr>
              <w:spacing w:before="90"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235.90</w:t>
            </w:r>
          </w:p>
        </w:tc>
        <w:tc>
          <w:tcPr>
            <w:tcW w:w="1493" w:type="dxa"/>
            <w:vAlign w:val="top"/>
          </w:tcPr>
          <w:p w14:paraId="518F04CD">
            <w:pPr>
              <w:spacing w:before="90"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36.38</w:t>
            </w:r>
          </w:p>
        </w:tc>
        <w:tc>
          <w:tcPr>
            <w:tcW w:w="1251" w:type="dxa"/>
            <w:vAlign w:val="top"/>
          </w:tcPr>
          <w:p w14:paraId="3FB940F5">
            <w:pPr>
              <w:spacing w:before="90"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12.88</w:t>
            </w:r>
          </w:p>
        </w:tc>
        <w:tc>
          <w:tcPr>
            <w:tcW w:w="1157" w:type="dxa"/>
            <w:vAlign w:val="top"/>
          </w:tcPr>
          <w:p w14:paraId="042B006E">
            <w:pPr>
              <w:spacing w:before="9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-15.67</w:t>
            </w:r>
          </w:p>
        </w:tc>
      </w:tr>
      <w:tr w14:paraId="08E95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1165" w:type="dxa"/>
            <w:vMerge w:val="continue"/>
            <w:tcBorders>
              <w:top w:val="nil"/>
            </w:tcBorders>
            <w:vAlign w:val="top"/>
          </w:tcPr>
          <w:p w14:paraId="74BC6031">
            <w:pPr>
              <w:rPr>
                <w:rFonts w:ascii="Arial"/>
                <w:sz w:val="21"/>
              </w:rPr>
            </w:pPr>
          </w:p>
        </w:tc>
        <w:tc>
          <w:tcPr>
            <w:tcW w:w="1091" w:type="dxa"/>
            <w:vMerge w:val="continue"/>
            <w:tcBorders>
              <w:top w:val="nil"/>
            </w:tcBorders>
            <w:vAlign w:val="top"/>
          </w:tcPr>
          <w:p w14:paraId="7DA7B05D">
            <w:pPr>
              <w:rPr>
                <w:rFonts w:ascii="Arial"/>
                <w:sz w:val="21"/>
              </w:rPr>
            </w:pPr>
          </w:p>
        </w:tc>
        <w:tc>
          <w:tcPr>
            <w:tcW w:w="857" w:type="dxa"/>
            <w:vAlign w:val="top"/>
          </w:tcPr>
          <w:p w14:paraId="6D5C7A9E">
            <w:pPr>
              <w:pStyle w:val="6"/>
              <w:spacing w:before="261" w:line="229" w:lineRule="auto"/>
              <w:ind w:left="112"/>
              <w:rPr>
                <w:sz w:val="20"/>
                <w:szCs w:val="20"/>
              </w:rPr>
            </w:pPr>
            <w:r>
              <w:rPr>
                <w:rFonts w:ascii="Times New Roman" w:hAnsi="Times New Roman" w:eastAsia="Times New Roman" w:cs="Times New Roman"/>
                <w:spacing w:val="6"/>
                <w:sz w:val="20"/>
                <w:szCs w:val="20"/>
              </w:rPr>
              <w:t>2#</w:t>
            </w:r>
            <w:r>
              <w:rPr>
                <w:spacing w:val="6"/>
                <w:sz w:val="20"/>
                <w:szCs w:val="20"/>
              </w:rPr>
              <w:t>主变</w:t>
            </w:r>
          </w:p>
        </w:tc>
        <w:tc>
          <w:tcPr>
            <w:tcW w:w="1503" w:type="dxa"/>
            <w:vAlign w:val="top"/>
          </w:tcPr>
          <w:p w14:paraId="53370308">
            <w:pPr>
              <w:spacing w:before="297"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235.77</w:t>
            </w:r>
          </w:p>
        </w:tc>
        <w:tc>
          <w:tcPr>
            <w:tcW w:w="1493" w:type="dxa"/>
            <w:vAlign w:val="top"/>
          </w:tcPr>
          <w:p w14:paraId="74AB882C">
            <w:pPr>
              <w:spacing w:before="297"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15.63</w:t>
            </w:r>
          </w:p>
        </w:tc>
        <w:tc>
          <w:tcPr>
            <w:tcW w:w="1251" w:type="dxa"/>
            <w:vAlign w:val="top"/>
          </w:tcPr>
          <w:p w14:paraId="0D9EDCBB">
            <w:pPr>
              <w:spacing w:before="297"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5.49</w:t>
            </w:r>
          </w:p>
        </w:tc>
        <w:tc>
          <w:tcPr>
            <w:tcW w:w="1157" w:type="dxa"/>
            <w:vAlign w:val="top"/>
          </w:tcPr>
          <w:p w14:paraId="2C930ACC">
            <w:pPr>
              <w:spacing w:before="297"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-2.88</w:t>
            </w:r>
          </w:p>
        </w:tc>
      </w:tr>
    </w:tbl>
    <w:p w14:paraId="2ED710CD">
      <w:pPr>
        <w:pStyle w:val="2"/>
        <w:spacing w:before="35" w:line="345" w:lineRule="auto"/>
        <w:ind w:left="145" w:right="109" w:firstLine="457"/>
      </w:pPr>
      <w:r>
        <w:t>禄劝县撒永山</w:t>
      </w:r>
      <w:r>
        <w:rPr>
          <w:rFonts w:ascii="Times New Roman" w:hAnsi="Times New Roman" w:eastAsia="Times New Roman" w:cs="Times New Roman"/>
        </w:rPr>
        <w:t xml:space="preserve">250MW </w:t>
      </w:r>
      <w:r>
        <w:t>光伏电站项目（</w:t>
      </w:r>
      <w:r>
        <w:rPr>
          <w:rFonts w:ascii="Times New Roman" w:hAnsi="Times New Roman" w:eastAsia="Times New Roman" w:cs="Times New Roman"/>
        </w:rPr>
        <w:t>220KV</w:t>
      </w:r>
      <w:r>
        <w:t>）总平面布置及监测布点示意</w:t>
      </w:r>
      <w:r>
        <w:rPr>
          <w:spacing w:val="3"/>
        </w:rPr>
        <w:t xml:space="preserve"> </w:t>
      </w:r>
      <w:r>
        <w:rPr>
          <w:spacing w:val="-7"/>
        </w:rPr>
        <w:t>图见图</w:t>
      </w:r>
      <w:r>
        <w:rPr>
          <w:spacing w:val="-46"/>
        </w:rPr>
        <w:t xml:space="preserve"> </w:t>
      </w:r>
      <w:r>
        <w:rPr>
          <w:rFonts w:ascii="Times New Roman" w:hAnsi="Times New Roman" w:eastAsia="Times New Roman" w:cs="Times New Roman"/>
          <w:spacing w:val="-7"/>
        </w:rPr>
        <w:t>5-1</w:t>
      </w:r>
      <w:r>
        <w:rPr>
          <w:spacing w:val="-7"/>
        </w:rPr>
        <w:t>。</w:t>
      </w:r>
    </w:p>
    <w:p w14:paraId="2334A25D">
      <w:pPr>
        <w:spacing w:line="6912" w:lineRule="exact"/>
        <w:ind w:firstLine="112"/>
      </w:pPr>
      <w:r>
        <w:rPr>
          <w:position w:val="-138"/>
        </w:rPr>
        <w:drawing>
          <wp:inline distT="0" distB="0" distL="0" distR="0">
            <wp:extent cx="5266690" cy="43884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33"/>
                    <a:stretch>
                      <a:fillRect/>
                    </a:stretch>
                  </pic:blipFill>
                  <pic:spPr>
                    <a:xfrm>
                      <a:off x="0" y="0"/>
                      <a:ext cx="5266944" cy="4389119"/>
                    </a:xfrm>
                    <a:prstGeom prst="rect">
                      <a:avLst/>
                    </a:prstGeom>
                  </pic:spPr>
                </pic:pic>
              </a:graphicData>
            </a:graphic>
          </wp:inline>
        </w:drawing>
      </w:r>
    </w:p>
    <w:p w14:paraId="2713BCF6">
      <w:pPr>
        <w:pStyle w:val="2"/>
        <w:spacing w:before="53" w:line="219" w:lineRule="auto"/>
        <w:ind w:left="1815"/>
      </w:pPr>
      <w:r>
        <w:rPr>
          <w:b/>
          <w:bCs/>
          <w:spacing w:val="-3"/>
        </w:rPr>
        <w:t>图</w:t>
      </w:r>
      <w:r>
        <w:rPr>
          <w:spacing w:val="-46"/>
        </w:rPr>
        <w:t xml:space="preserve"> </w:t>
      </w:r>
      <w:r>
        <w:rPr>
          <w:rFonts w:ascii="Times New Roman" w:hAnsi="Times New Roman" w:eastAsia="Times New Roman" w:cs="Times New Roman"/>
          <w:b/>
          <w:bCs/>
          <w:spacing w:val="-3"/>
        </w:rPr>
        <w:t xml:space="preserve">5-1    </w:t>
      </w:r>
      <w:r>
        <w:rPr>
          <w:b/>
          <w:bCs/>
          <w:spacing w:val="-3"/>
        </w:rPr>
        <w:t>类比站站区总平面布置及监测点布置图</w:t>
      </w:r>
    </w:p>
    <w:p w14:paraId="1626E3E0">
      <w:pPr>
        <w:pStyle w:val="2"/>
        <w:spacing w:before="33" w:line="219" w:lineRule="auto"/>
        <w:ind w:left="121"/>
        <w:outlineLvl w:val="1"/>
        <w:rPr>
          <w:sz w:val="28"/>
          <w:szCs w:val="28"/>
        </w:rPr>
      </w:pPr>
      <w:r>
        <w:rPr>
          <w:rFonts w:ascii="Times New Roman" w:hAnsi="Times New Roman" w:eastAsia="Times New Roman" w:cs="Times New Roman"/>
          <w:b/>
          <w:bCs/>
          <w:spacing w:val="-3"/>
          <w:sz w:val="28"/>
          <w:szCs w:val="28"/>
        </w:rPr>
        <w:t xml:space="preserve">5.4 </w:t>
      </w:r>
      <w:r>
        <w:rPr>
          <w:b/>
          <w:bCs/>
          <w:spacing w:val="-3"/>
          <w:sz w:val="28"/>
          <w:szCs w:val="28"/>
        </w:rPr>
        <w:t>类比监测结果与评价</w:t>
      </w:r>
    </w:p>
    <w:p w14:paraId="0EBE2CBF">
      <w:pPr>
        <w:pStyle w:val="2"/>
        <w:spacing w:before="208" w:line="344" w:lineRule="auto"/>
        <w:ind w:left="117" w:right="29" w:firstLine="485"/>
      </w:pPr>
      <w:r>
        <w:t>本环评工频电场强度、工频磁感应强度类比监</w:t>
      </w:r>
      <w:r>
        <w:rPr>
          <w:spacing w:val="-1"/>
        </w:rPr>
        <w:t>测数据引自《禄劝县撒永山</w:t>
      </w:r>
      <w:r>
        <w:t xml:space="preserve">   </w:t>
      </w:r>
      <w:r>
        <w:rPr>
          <w:rFonts w:ascii="Times New Roman" w:hAnsi="Times New Roman" w:eastAsia="Times New Roman" w:cs="Times New Roman"/>
          <w:spacing w:val="-1"/>
        </w:rPr>
        <w:t xml:space="preserve">250MW </w:t>
      </w:r>
      <w:r>
        <w:rPr>
          <w:spacing w:val="-1"/>
        </w:rPr>
        <w:t>光伏电站项目（</w:t>
      </w:r>
      <w:r>
        <w:rPr>
          <w:rFonts w:ascii="Times New Roman" w:hAnsi="Times New Roman" w:eastAsia="Times New Roman" w:cs="Times New Roman"/>
          <w:spacing w:val="-1"/>
        </w:rPr>
        <w:t>220KV</w:t>
      </w:r>
      <w:r>
        <w:rPr>
          <w:spacing w:val="-1"/>
        </w:rPr>
        <w:t>）</w:t>
      </w:r>
      <w:r>
        <w:rPr>
          <w:spacing w:val="-2"/>
        </w:rPr>
        <w:t>竣工验收监测报告》，类比监测结果见表</w:t>
      </w:r>
      <w:r>
        <w:rPr>
          <w:spacing w:val="-48"/>
        </w:rPr>
        <w:t xml:space="preserve"> </w:t>
      </w:r>
      <w:r>
        <w:rPr>
          <w:rFonts w:ascii="Times New Roman" w:hAnsi="Times New Roman" w:eastAsia="Times New Roman" w:cs="Times New Roman"/>
          <w:spacing w:val="-2"/>
        </w:rPr>
        <w:t>5-4</w:t>
      </w:r>
      <w:r>
        <w:rPr>
          <w:spacing w:val="-2"/>
        </w:rPr>
        <w:t>。</w:t>
      </w:r>
    </w:p>
    <w:p w14:paraId="7A236E78">
      <w:pPr>
        <w:pStyle w:val="2"/>
        <w:spacing w:before="35" w:line="223" w:lineRule="auto"/>
        <w:ind w:left="1785"/>
        <w:rPr>
          <w:sz w:val="20"/>
          <w:szCs w:val="20"/>
        </w:rPr>
      </w:pPr>
      <w:r>
        <w:rPr>
          <w:b/>
          <w:bCs/>
          <w:spacing w:val="6"/>
          <w:sz w:val="20"/>
          <w:szCs w:val="20"/>
        </w:rPr>
        <w:t>表</w:t>
      </w:r>
      <w:r>
        <w:rPr>
          <w:spacing w:val="-20"/>
          <w:sz w:val="20"/>
          <w:szCs w:val="20"/>
        </w:rPr>
        <w:t xml:space="preserve"> </w:t>
      </w:r>
      <w:r>
        <w:rPr>
          <w:rFonts w:ascii="Times New Roman" w:hAnsi="Times New Roman" w:eastAsia="Times New Roman" w:cs="Times New Roman"/>
          <w:b/>
          <w:bCs/>
          <w:spacing w:val="6"/>
          <w:sz w:val="20"/>
          <w:szCs w:val="20"/>
        </w:rPr>
        <w:t xml:space="preserve">5-4    </w:t>
      </w:r>
      <w:r>
        <w:rPr>
          <w:b/>
          <w:bCs/>
          <w:spacing w:val="6"/>
          <w:sz w:val="20"/>
          <w:szCs w:val="20"/>
        </w:rPr>
        <w:t>类比变电站工频电场、工频磁场现状监测结果</w:t>
      </w: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5"/>
        <w:gridCol w:w="2358"/>
        <w:gridCol w:w="1981"/>
        <w:gridCol w:w="2033"/>
      </w:tblGrid>
      <w:tr w14:paraId="21DB9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503" w:type="dxa"/>
            <w:gridSpan w:val="2"/>
            <w:vAlign w:val="top"/>
          </w:tcPr>
          <w:p w14:paraId="6820AC77">
            <w:pPr>
              <w:pStyle w:val="6"/>
              <w:spacing w:before="67" w:line="229" w:lineRule="auto"/>
              <w:ind w:left="2058"/>
              <w:rPr>
                <w:sz w:val="20"/>
                <w:szCs w:val="20"/>
              </w:rPr>
            </w:pPr>
            <w:r>
              <w:rPr>
                <w:b/>
                <w:bCs/>
                <w:spacing w:val="-2"/>
                <w:sz w:val="20"/>
                <w:szCs w:val="20"/>
              </w:rPr>
              <w:t>点位</w:t>
            </w:r>
          </w:p>
        </w:tc>
        <w:tc>
          <w:tcPr>
            <w:tcW w:w="1981" w:type="dxa"/>
            <w:vAlign w:val="top"/>
          </w:tcPr>
          <w:p w14:paraId="5E2A7B0F">
            <w:pPr>
              <w:pStyle w:val="6"/>
              <w:spacing w:before="68" w:line="228" w:lineRule="auto"/>
              <w:ind w:left="196"/>
              <w:rPr>
                <w:sz w:val="20"/>
                <w:szCs w:val="20"/>
              </w:rPr>
            </w:pPr>
            <w:r>
              <w:rPr>
                <w:b/>
                <w:bCs/>
                <w:spacing w:val="2"/>
                <w:sz w:val="20"/>
                <w:szCs w:val="20"/>
              </w:rPr>
              <w:t>电场强度（</w:t>
            </w:r>
            <w:r>
              <w:rPr>
                <w:rFonts w:ascii="Times New Roman" w:hAnsi="Times New Roman" w:eastAsia="Times New Roman" w:cs="Times New Roman"/>
                <w:b/>
                <w:bCs/>
                <w:spacing w:val="2"/>
                <w:sz w:val="20"/>
                <w:szCs w:val="20"/>
              </w:rPr>
              <w:t>V/m</w:t>
            </w:r>
            <w:r>
              <w:rPr>
                <w:b/>
                <w:bCs/>
                <w:spacing w:val="2"/>
                <w:sz w:val="20"/>
                <w:szCs w:val="20"/>
              </w:rPr>
              <w:t>）</w:t>
            </w:r>
          </w:p>
        </w:tc>
        <w:tc>
          <w:tcPr>
            <w:tcW w:w="2033" w:type="dxa"/>
            <w:vAlign w:val="top"/>
          </w:tcPr>
          <w:p w14:paraId="1AE2B556">
            <w:pPr>
              <w:pStyle w:val="6"/>
              <w:spacing w:before="67" w:line="221" w:lineRule="auto"/>
              <w:ind w:left="154"/>
              <w:rPr>
                <w:sz w:val="20"/>
                <w:szCs w:val="20"/>
              </w:rPr>
            </w:pPr>
            <w:r>
              <w:rPr>
                <w:b/>
                <w:bCs/>
                <w:spacing w:val="3"/>
                <w:sz w:val="20"/>
                <w:szCs w:val="20"/>
              </w:rPr>
              <w:t>磁感应强度</w:t>
            </w:r>
            <w:r>
              <w:rPr>
                <w:spacing w:val="23"/>
                <w:sz w:val="20"/>
                <w:szCs w:val="20"/>
              </w:rPr>
              <w:t xml:space="preserve"> </w:t>
            </w:r>
            <w:r>
              <w:rPr>
                <w:b/>
                <w:bCs/>
                <w:spacing w:val="3"/>
                <w:sz w:val="20"/>
                <w:szCs w:val="20"/>
              </w:rPr>
              <w:t>(</w:t>
            </w:r>
            <w:r>
              <w:rPr>
                <w:rFonts w:ascii="Times New Roman" w:hAnsi="Times New Roman" w:eastAsia="Times New Roman" w:cs="Times New Roman"/>
                <w:b/>
                <w:bCs/>
                <w:spacing w:val="3"/>
                <w:sz w:val="20"/>
                <w:szCs w:val="20"/>
              </w:rPr>
              <w:t>μT</w:t>
            </w:r>
            <w:r>
              <w:rPr>
                <w:b/>
                <w:bCs/>
                <w:spacing w:val="3"/>
                <w:sz w:val="20"/>
                <w:szCs w:val="20"/>
              </w:rPr>
              <w:t>）</w:t>
            </w:r>
          </w:p>
        </w:tc>
      </w:tr>
      <w:tr w14:paraId="46042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45" w:type="dxa"/>
            <w:vAlign w:val="top"/>
          </w:tcPr>
          <w:p w14:paraId="67BF23BA">
            <w:pPr>
              <w:pStyle w:val="6"/>
              <w:spacing w:before="65" w:line="227" w:lineRule="auto"/>
              <w:ind w:left="117"/>
              <w:rPr>
                <w:sz w:val="20"/>
                <w:szCs w:val="20"/>
              </w:rPr>
            </w:pPr>
            <w:r>
              <w:rPr>
                <w:spacing w:val="6"/>
                <w:sz w:val="20"/>
                <w:szCs w:val="20"/>
              </w:rPr>
              <w:t>路家村</w:t>
            </w:r>
            <w:r>
              <w:rPr>
                <w:spacing w:val="-41"/>
                <w:sz w:val="20"/>
                <w:szCs w:val="20"/>
              </w:rPr>
              <w:t xml:space="preserve"> </w:t>
            </w:r>
            <w:r>
              <w:rPr>
                <w:rFonts w:ascii="Times New Roman" w:hAnsi="Times New Roman" w:eastAsia="Times New Roman" w:cs="Times New Roman"/>
                <w:spacing w:val="6"/>
                <w:sz w:val="20"/>
                <w:szCs w:val="20"/>
              </w:rPr>
              <w:t>220</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汇集站</w:t>
            </w:r>
          </w:p>
        </w:tc>
        <w:tc>
          <w:tcPr>
            <w:tcW w:w="2358" w:type="dxa"/>
            <w:vAlign w:val="top"/>
          </w:tcPr>
          <w:p w14:paraId="0C60F94A">
            <w:pPr>
              <w:pStyle w:val="6"/>
              <w:spacing w:before="65" w:line="228" w:lineRule="auto"/>
              <w:ind w:left="375"/>
              <w:rPr>
                <w:sz w:val="20"/>
                <w:szCs w:val="20"/>
              </w:rPr>
            </w:pPr>
            <w:r>
              <w:rPr>
                <w:spacing w:val="4"/>
                <w:sz w:val="20"/>
                <w:szCs w:val="20"/>
              </w:rPr>
              <w:t>东侧围墙外</w:t>
            </w:r>
            <w:r>
              <w:rPr>
                <w:spacing w:val="-35"/>
                <w:sz w:val="20"/>
                <w:szCs w:val="20"/>
              </w:rPr>
              <w:t xml:space="preserve"> </w:t>
            </w:r>
            <w:r>
              <w:rPr>
                <w:rFonts w:ascii="Times New Roman" w:hAnsi="Times New Roman" w:eastAsia="Times New Roman" w:cs="Times New Roman"/>
                <w:spacing w:val="4"/>
                <w:sz w:val="20"/>
                <w:szCs w:val="20"/>
              </w:rPr>
              <w:t>5m</w:t>
            </w:r>
            <w:r>
              <w:rPr>
                <w:rFonts w:ascii="Times New Roman" w:hAnsi="Times New Roman" w:eastAsia="Times New Roman" w:cs="Times New Roman"/>
                <w:spacing w:val="16"/>
                <w:sz w:val="20"/>
                <w:szCs w:val="20"/>
              </w:rPr>
              <w:t xml:space="preserve"> </w:t>
            </w:r>
            <w:r>
              <w:rPr>
                <w:spacing w:val="4"/>
                <w:sz w:val="20"/>
                <w:szCs w:val="20"/>
              </w:rPr>
              <w:t>处</w:t>
            </w:r>
          </w:p>
        </w:tc>
        <w:tc>
          <w:tcPr>
            <w:tcW w:w="1981" w:type="dxa"/>
            <w:vAlign w:val="top"/>
          </w:tcPr>
          <w:p w14:paraId="4DD2964F">
            <w:pPr>
              <w:pStyle w:val="6"/>
              <w:spacing w:before="66" w:line="263" w:lineRule="exact"/>
              <w:ind w:left="419"/>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76.07</w:t>
            </w:r>
            <w:r>
              <w:rPr>
                <w:spacing w:val="4"/>
                <w:position w:val="1"/>
                <w:sz w:val="20"/>
                <w:szCs w:val="20"/>
              </w:rPr>
              <w:t>±</w:t>
            </w:r>
            <w:r>
              <w:rPr>
                <w:rFonts w:ascii="Times New Roman" w:hAnsi="Times New Roman" w:eastAsia="Times New Roman" w:cs="Times New Roman"/>
                <w:spacing w:val="4"/>
                <w:position w:val="1"/>
                <w:sz w:val="20"/>
                <w:szCs w:val="20"/>
              </w:rPr>
              <w:t>1.035</w:t>
            </w:r>
          </w:p>
        </w:tc>
        <w:tc>
          <w:tcPr>
            <w:tcW w:w="2033" w:type="dxa"/>
            <w:vAlign w:val="top"/>
          </w:tcPr>
          <w:p w14:paraId="695C9684">
            <w:pPr>
              <w:pStyle w:val="6"/>
              <w:spacing w:before="66" w:line="263"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w:t>
            </w:r>
            <w:r>
              <w:rPr>
                <w:rFonts w:ascii="Times New Roman" w:hAnsi="Times New Roman" w:eastAsia="Times New Roman" w:cs="Times New Roman"/>
                <w:spacing w:val="-17"/>
                <w:position w:val="1"/>
                <w:sz w:val="20"/>
                <w:szCs w:val="20"/>
              </w:rPr>
              <w:t xml:space="preserve"> </w:t>
            </w:r>
            <w:r>
              <w:rPr>
                <w:rFonts w:ascii="Times New Roman" w:hAnsi="Times New Roman" w:eastAsia="Times New Roman" w:cs="Times New Roman"/>
                <w:spacing w:val="1"/>
                <w:position w:val="1"/>
                <w:sz w:val="20"/>
                <w:szCs w:val="20"/>
              </w:rPr>
              <w:t>198</w:t>
            </w:r>
            <w:r>
              <w:rPr>
                <w:spacing w:val="1"/>
                <w:position w:val="1"/>
                <w:sz w:val="20"/>
                <w:szCs w:val="20"/>
              </w:rPr>
              <w:t>±</w:t>
            </w:r>
            <w:r>
              <w:rPr>
                <w:rFonts w:ascii="Times New Roman" w:hAnsi="Times New Roman" w:eastAsia="Times New Roman" w:cs="Times New Roman"/>
                <w:spacing w:val="1"/>
                <w:position w:val="1"/>
                <w:sz w:val="20"/>
                <w:szCs w:val="20"/>
              </w:rPr>
              <w:t>0.007</w:t>
            </w:r>
          </w:p>
        </w:tc>
      </w:tr>
    </w:tbl>
    <w:p w14:paraId="1245B9E3">
      <w:pPr>
        <w:spacing w:line="186" w:lineRule="exact"/>
        <w:rPr>
          <w:rFonts w:ascii="Arial"/>
          <w:sz w:val="16"/>
        </w:rPr>
      </w:pPr>
    </w:p>
    <w:p w14:paraId="6AE8B85C">
      <w:pPr>
        <w:spacing w:line="186" w:lineRule="exact"/>
        <w:rPr>
          <w:rFonts w:ascii="Arial" w:hAnsi="Arial" w:eastAsia="Arial" w:cs="Arial"/>
          <w:sz w:val="16"/>
          <w:szCs w:val="16"/>
        </w:rPr>
        <w:sectPr>
          <w:footerReference r:id="rId191" w:type="default"/>
          <w:pgSz w:w="11906" w:h="16839"/>
          <w:pgMar w:top="1426" w:right="1692" w:bottom="1262" w:left="1690" w:header="0" w:footer="1073" w:gutter="0"/>
          <w:cols w:space="720" w:num="1"/>
        </w:sectPr>
      </w:pPr>
    </w:p>
    <w:p w14:paraId="5A7640FA">
      <w:pPr>
        <w:spacing w:line="91" w:lineRule="auto"/>
        <w:rPr>
          <w:rFonts w:ascii="Arial"/>
          <w:sz w:val="2"/>
        </w:rPr>
      </w:pP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5"/>
        <w:gridCol w:w="2358"/>
        <w:gridCol w:w="1981"/>
        <w:gridCol w:w="2033"/>
      </w:tblGrid>
      <w:tr w14:paraId="74554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45" w:type="dxa"/>
            <w:vMerge w:val="restart"/>
            <w:tcBorders>
              <w:bottom w:val="nil"/>
            </w:tcBorders>
            <w:vAlign w:val="top"/>
          </w:tcPr>
          <w:p w14:paraId="7F825DE2">
            <w:pPr>
              <w:pStyle w:val="6"/>
              <w:spacing w:before="37" w:line="228" w:lineRule="auto"/>
              <w:ind w:left="871"/>
              <w:rPr>
                <w:sz w:val="20"/>
                <w:szCs w:val="20"/>
              </w:rPr>
            </w:pPr>
            <w:r>
              <w:rPr>
                <w:spacing w:val="3"/>
                <w:sz w:val="20"/>
                <w:szCs w:val="20"/>
              </w:rPr>
              <w:t>厂界</w:t>
            </w:r>
          </w:p>
        </w:tc>
        <w:tc>
          <w:tcPr>
            <w:tcW w:w="2358" w:type="dxa"/>
            <w:vAlign w:val="top"/>
          </w:tcPr>
          <w:p w14:paraId="3D5443A4">
            <w:pPr>
              <w:pStyle w:val="6"/>
              <w:spacing w:before="68" w:line="228" w:lineRule="auto"/>
              <w:ind w:left="370"/>
              <w:rPr>
                <w:sz w:val="20"/>
                <w:szCs w:val="20"/>
              </w:rPr>
            </w:pPr>
            <w:r>
              <w:rPr>
                <w:spacing w:val="5"/>
                <w:sz w:val="20"/>
                <w:szCs w:val="20"/>
              </w:rPr>
              <w:t>南侧围墙外</w:t>
            </w:r>
            <w:r>
              <w:rPr>
                <w:spacing w:val="-38"/>
                <w:sz w:val="20"/>
                <w:szCs w:val="20"/>
              </w:rPr>
              <w:t xml:space="preserve"> </w:t>
            </w:r>
            <w:r>
              <w:rPr>
                <w:rFonts w:ascii="Times New Roman" w:hAnsi="Times New Roman" w:eastAsia="Times New Roman" w:cs="Times New Roman"/>
                <w:spacing w:val="5"/>
                <w:sz w:val="20"/>
                <w:szCs w:val="20"/>
              </w:rPr>
              <w:t>5m</w:t>
            </w:r>
            <w:r>
              <w:rPr>
                <w:rFonts w:ascii="Times New Roman" w:hAnsi="Times New Roman" w:eastAsia="Times New Roman" w:cs="Times New Roman"/>
                <w:spacing w:val="16"/>
                <w:sz w:val="20"/>
                <w:szCs w:val="20"/>
              </w:rPr>
              <w:t xml:space="preserve"> </w:t>
            </w:r>
            <w:r>
              <w:rPr>
                <w:spacing w:val="5"/>
                <w:sz w:val="20"/>
                <w:szCs w:val="20"/>
              </w:rPr>
              <w:t>处</w:t>
            </w:r>
          </w:p>
        </w:tc>
        <w:tc>
          <w:tcPr>
            <w:tcW w:w="1981" w:type="dxa"/>
            <w:vAlign w:val="top"/>
          </w:tcPr>
          <w:p w14:paraId="784BD08E">
            <w:pPr>
              <w:pStyle w:val="6"/>
              <w:spacing w:before="68" w:line="264" w:lineRule="exact"/>
              <w:ind w:left="46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1670</w:t>
            </w:r>
            <w:r>
              <w:rPr>
                <w:spacing w:val="2"/>
                <w:position w:val="1"/>
                <w:sz w:val="20"/>
                <w:szCs w:val="20"/>
              </w:rPr>
              <w:t>±</w:t>
            </w:r>
            <w:r>
              <w:rPr>
                <w:rFonts w:ascii="Times New Roman" w:hAnsi="Times New Roman" w:eastAsia="Times New Roman" w:cs="Times New Roman"/>
                <w:spacing w:val="2"/>
                <w:position w:val="1"/>
                <w:sz w:val="20"/>
                <w:szCs w:val="20"/>
              </w:rPr>
              <w:t>11.08</w:t>
            </w:r>
          </w:p>
        </w:tc>
        <w:tc>
          <w:tcPr>
            <w:tcW w:w="2033" w:type="dxa"/>
            <w:vAlign w:val="top"/>
          </w:tcPr>
          <w:p w14:paraId="0CA85784">
            <w:pPr>
              <w:pStyle w:val="6"/>
              <w:spacing w:before="68" w:line="26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0.575</w:t>
            </w:r>
            <w:r>
              <w:rPr>
                <w:spacing w:val="4"/>
                <w:position w:val="1"/>
                <w:sz w:val="20"/>
                <w:szCs w:val="20"/>
              </w:rPr>
              <w:t>±</w:t>
            </w:r>
            <w:r>
              <w:rPr>
                <w:rFonts w:ascii="Times New Roman" w:hAnsi="Times New Roman" w:eastAsia="Times New Roman" w:cs="Times New Roman"/>
                <w:spacing w:val="4"/>
                <w:position w:val="1"/>
                <w:sz w:val="20"/>
                <w:szCs w:val="20"/>
              </w:rPr>
              <w:t>0.041</w:t>
            </w:r>
          </w:p>
        </w:tc>
      </w:tr>
      <w:tr w14:paraId="5D27B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45" w:type="dxa"/>
            <w:vMerge w:val="continue"/>
            <w:tcBorders>
              <w:top w:val="nil"/>
              <w:bottom w:val="nil"/>
            </w:tcBorders>
            <w:vAlign w:val="top"/>
          </w:tcPr>
          <w:p w14:paraId="2F8FC416">
            <w:pPr>
              <w:rPr>
                <w:rFonts w:ascii="Arial"/>
                <w:sz w:val="21"/>
              </w:rPr>
            </w:pPr>
          </w:p>
        </w:tc>
        <w:tc>
          <w:tcPr>
            <w:tcW w:w="2358" w:type="dxa"/>
            <w:vAlign w:val="top"/>
          </w:tcPr>
          <w:p w14:paraId="69A48645">
            <w:pPr>
              <w:pStyle w:val="6"/>
              <w:spacing w:before="64" w:line="228" w:lineRule="auto"/>
              <w:ind w:left="372"/>
              <w:rPr>
                <w:sz w:val="20"/>
                <w:szCs w:val="20"/>
              </w:rPr>
            </w:pPr>
            <w:r>
              <w:rPr>
                <w:spacing w:val="4"/>
                <w:sz w:val="20"/>
                <w:szCs w:val="20"/>
              </w:rPr>
              <w:t>西侧围墙外</w:t>
            </w:r>
            <w:r>
              <w:rPr>
                <w:spacing w:val="-33"/>
                <w:sz w:val="20"/>
                <w:szCs w:val="20"/>
              </w:rPr>
              <w:t xml:space="preserve"> </w:t>
            </w:r>
            <w:r>
              <w:rPr>
                <w:rFonts w:ascii="Times New Roman" w:hAnsi="Times New Roman" w:eastAsia="Times New Roman" w:cs="Times New Roman"/>
                <w:spacing w:val="4"/>
                <w:sz w:val="20"/>
                <w:szCs w:val="20"/>
              </w:rPr>
              <w:t>5m</w:t>
            </w:r>
            <w:r>
              <w:rPr>
                <w:rFonts w:ascii="Times New Roman" w:hAnsi="Times New Roman" w:eastAsia="Times New Roman" w:cs="Times New Roman"/>
                <w:spacing w:val="16"/>
                <w:w w:val="101"/>
                <w:sz w:val="20"/>
                <w:szCs w:val="20"/>
              </w:rPr>
              <w:t xml:space="preserve"> </w:t>
            </w:r>
            <w:r>
              <w:rPr>
                <w:spacing w:val="4"/>
                <w:sz w:val="20"/>
                <w:szCs w:val="20"/>
              </w:rPr>
              <w:t>处</w:t>
            </w:r>
          </w:p>
        </w:tc>
        <w:tc>
          <w:tcPr>
            <w:tcW w:w="1981" w:type="dxa"/>
            <w:vAlign w:val="top"/>
          </w:tcPr>
          <w:p w14:paraId="0C208767">
            <w:pPr>
              <w:pStyle w:val="6"/>
              <w:spacing w:before="64" w:line="264"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59.35</w:t>
            </w:r>
            <w:r>
              <w:rPr>
                <w:spacing w:val="4"/>
                <w:position w:val="1"/>
                <w:sz w:val="20"/>
                <w:szCs w:val="20"/>
              </w:rPr>
              <w:t>±</w:t>
            </w:r>
            <w:r>
              <w:rPr>
                <w:rFonts w:ascii="Times New Roman" w:hAnsi="Times New Roman" w:eastAsia="Times New Roman" w:cs="Times New Roman"/>
                <w:spacing w:val="4"/>
                <w:position w:val="1"/>
                <w:sz w:val="20"/>
                <w:szCs w:val="20"/>
              </w:rPr>
              <w:t>2.036</w:t>
            </w:r>
          </w:p>
        </w:tc>
        <w:tc>
          <w:tcPr>
            <w:tcW w:w="2033" w:type="dxa"/>
            <w:vAlign w:val="top"/>
          </w:tcPr>
          <w:p w14:paraId="15AB4BDC">
            <w:pPr>
              <w:pStyle w:val="6"/>
              <w:spacing w:before="64" w:line="264"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2.702</w:t>
            </w:r>
            <w:r>
              <w:rPr>
                <w:spacing w:val="4"/>
                <w:position w:val="1"/>
                <w:sz w:val="20"/>
                <w:szCs w:val="20"/>
              </w:rPr>
              <w:t>±</w:t>
            </w:r>
            <w:r>
              <w:rPr>
                <w:rFonts w:ascii="Times New Roman" w:hAnsi="Times New Roman" w:eastAsia="Times New Roman" w:cs="Times New Roman"/>
                <w:spacing w:val="4"/>
                <w:position w:val="1"/>
                <w:sz w:val="20"/>
                <w:szCs w:val="20"/>
              </w:rPr>
              <w:t>0.048</w:t>
            </w:r>
          </w:p>
        </w:tc>
      </w:tr>
      <w:tr w14:paraId="3E909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45" w:type="dxa"/>
            <w:vMerge w:val="continue"/>
            <w:tcBorders>
              <w:top w:val="nil"/>
            </w:tcBorders>
            <w:vAlign w:val="top"/>
          </w:tcPr>
          <w:p w14:paraId="3921A5F9">
            <w:pPr>
              <w:rPr>
                <w:rFonts w:ascii="Arial"/>
                <w:sz w:val="21"/>
              </w:rPr>
            </w:pPr>
          </w:p>
        </w:tc>
        <w:tc>
          <w:tcPr>
            <w:tcW w:w="2358" w:type="dxa"/>
            <w:vAlign w:val="top"/>
          </w:tcPr>
          <w:p w14:paraId="73807237">
            <w:pPr>
              <w:pStyle w:val="6"/>
              <w:spacing w:before="65" w:line="228" w:lineRule="auto"/>
              <w:ind w:left="371"/>
              <w:rPr>
                <w:sz w:val="20"/>
                <w:szCs w:val="20"/>
              </w:rPr>
            </w:pPr>
            <w:r>
              <w:rPr>
                <w:spacing w:val="4"/>
                <w:sz w:val="20"/>
                <w:szCs w:val="20"/>
              </w:rPr>
              <w:t>北侧围墙外</w:t>
            </w:r>
            <w:r>
              <w:rPr>
                <w:spacing w:val="-31"/>
                <w:sz w:val="20"/>
                <w:szCs w:val="20"/>
              </w:rPr>
              <w:t xml:space="preserve"> </w:t>
            </w:r>
            <w:r>
              <w:rPr>
                <w:rFonts w:ascii="Times New Roman" w:hAnsi="Times New Roman" w:eastAsia="Times New Roman" w:cs="Times New Roman"/>
                <w:spacing w:val="4"/>
                <w:sz w:val="20"/>
                <w:szCs w:val="20"/>
              </w:rPr>
              <w:t>5m</w:t>
            </w:r>
            <w:r>
              <w:rPr>
                <w:rFonts w:ascii="Times New Roman" w:hAnsi="Times New Roman" w:eastAsia="Times New Roman" w:cs="Times New Roman"/>
                <w:spacing w:val="16"/>
                <w:sz w:val="20"/>
                <w:szCs w:val="20"/>
              </w:rPr>
              <w:t xml:space="preserve"> </w:t>
            </w:r>
            <w:r>
              <w:rPr>
                <w:spacing w:val="4"/>
                <w:sz w:val="20"/>
                <w:szCs w:val="20"/>
              </w:rPr>
              <w:t>处</w:t>
            </w:r>
          </w:p>
        </w:tc>
        <w:tc>
          <w:tcPr>
            <w:tcW w:w="1981" w:type="dxa"/>
            <w:vAlign w:val="top"/>
          </w:tcPr>
          <w:p w14:paraId="676947C2">
            <w:pPr>
              <w:pStyle w:val="6"/>
              <w:spacing w:before="66" w:line="26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25.09</w:t>
            </w:r>
            <w:r>
              <w:rPr>
                <w:spacing w:val="4"/>
                <w:position w:val="1"/>
                <w:sz w:val="20"/>
                <w:szCs w:val="20"/>
              </w:rPr>
              <w:t>±</w:t>
            </w:r>
            <w:r>
              <w:rPr>
                <w:rFonts w:ascii="Times New Roman" w:hAnsi="Times New Roman" w:eastAsia="Times New Roman" w:cs="Times New Roman"/>
                <w:spacing w:val="4"/>
                <w:position w:val="1"/>
                <w:sz w:val="20"/>
                <w:szCs w:val="20"/>
              </w:rPr>
              <w:t>0.886</w:t>
            </w:r>
          </w:p>
        </w:tc>
        <w:tc>
          <w:tcPr>
            <w:tcW w:w="2033" w:type="dxa"/>
            <w:vAlign w:val="top"/>
          </w:tcPr>
          <w:p w14:paraId="2227AA56">
            <w:pPr>
              <w:pStyle w:val="6"/>
              <w:spacing w:before="66" w:line="26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w:t>
            </w:r>
            <w:r>
              <w:rPr>
                <w:rFonts w:ascii="Times New Roman" w:hAnsi="Times New Roman" w:eastAsia="Times New Roman" w:cs="Times New Roman"/>
                <w:spacing w:val="-17"/>
                <w:position w:val="1"/>
                <w:sz w:val="20"/>
                <w:szCs w:val="20"/>
              </w:rPr>
              <w:t xml:space="preserve"> </w:t>
            </w:r>
            <w:r>
              <w:rPr>
                <w:rFonts w:ascii="Times New Roman" w:hAnsi="Times New Roman" w:eastAsia="Times New Roman" w:cs="Times New Roman"/>
                <w:spacing w:val="1"/>
                <w:position w:val="1"/>
                <w:sz w:val="20"/>
                <w:szCs w:val="20"/>
              </w:rPr>
              <w:t>178</w:t>
            </w:r>
            <w:r>
              <w:rPr>
                <w:spacing w:val="1"/>
                <w:position w:val="1"/>
                <w:sz w:val="20"/>
                <w:szCs w:val="20"/>
              </w:rPr>
              <w:t>±</w:t>
            </w:r>
            <w:r>
              <w:rPr>
                <w:rFonts w:ascii="Times New Roman" w:hAnsi="Times New Roman" w:eastAsia="Times New Roman" w:cs="Times New Roman"/>
                <w:spacing w:val="1"/>
                <w:position w:val="1"/>
                <w:sz w:val="20"/>
                <w:szCs w:val="20"/>
              </w:rPr>
              <w:t>0.007</w:t>
            </w:r>
          </w:p>
        </w:tc>
      </w:tr>
      <w:tr w14:paraId="70331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45" w:type="dxa"/>
            <w:vMerge w:val="restart"/>
            <w:tcBorders>
              <w:bottom w:val="nil"/>
            </w:tcBorders>
            <w:vAlign w:val="top"/>
          </w:tcPr>
          <w:p w14:paraId="21FE5787">
            <w:pPr>
              <w:spacing w:line="290" w:lineRule="auto"/>
              <w:rPr>
                <w:rFonts w:ascii="Arial"/>
                <w:sz w:val="21"/>
              </w:rPr>
            </w:pPr>
          </w:p>
          <w:p w14:paraId="1588EA10">
            <w:pPr>
              <w:spacing w:line="290" w:lineRule="auto"/>
              <w:rPr>
                <w:rFonts w:ascii="Arial"/>
                <w:sz w:val="21"/>
              </w:rPr>
            </w:pPr>
          </w:p>
          <w:p w14:paraId="3089A992">
            <w:pPr>
              <w:spacing w:line="290" w:lineRule="auto"/>
              <w:rPr>
                <w:rFonts w:ascii="Arial"/>
                <w:sz w:val="21"/>
              </w:rPr>
            </w:pPr>
          </w:p>
          <w:p w14:paraId="71458924">
            <w:pPr>
              <w:spacing w:line="291" w:lineRule="auto"/>
              <w:rPr>
                <w:rFonts w:ascii="Arial"/>
                <w:sz w:val="21"/>
              </w:rPr>
            </w:pPr>
          </w:p>
          <w:p w14:paraId="48E55ACB">
            <w:pPr>
              <w:pStyle w:val="6"/>
              <w:spacing w:before="65" w:line="228" w:lineRule="auto"/>
              <w:ind w:left="449"/>
              <w:rPr>
                <w:sz w:val="20"/>
                <w:szCs w:val="20"/>
              </w:rPr>
            </w:pPr>
            <w:r>
              <w:rPr>
                <w:spacing w:val="8"/>
                <w:sz w:val="20"/>
                <w:szCs w:val="20"/>
              </w:rPr>
              <w:t>禄劝县撒永山</w:t>
            </w:r>
          </w:p>
          <w:p w14:paraId="2DF4DBA9">
            <w:pPr>
              <w:pStyle w:val="6"/>
              <w:spacing w:before="24" w:line="227" w:lineRule="auto"/>
              <w:ind w:left="173"/>
              <w:rPr>
                <w:sz w:val="20"/>
                <w:szCs w:val="20"/>
              </w:rPr>
            </w:pPr>
            <w:r>
              <w:rPr>
                <w:rFonts w:ascii="Times New Roman" w:hAnsi="Times New Roman" w:eastAsia="Times New Roman" w:cs="Times New Roman"/>
                <w:spacing w:val="8"/>
                <w:sz w:val="20"/>
                <w:szCs w:val="20"/>
              </w:rPr>
              <w:t>250</w:t>
            </w:r>
            <w:r>
              <w:rPr>
                <w:rFonts w:ascii="Times New Roman" w:hAnsi="Times New Roman" w:eastAsia="Times New Roman" w:cs="Times New Roman"/>
                <w:sz w:val="20"/>
                <w:szCs w:val="20"/>
              </w:rPr>
              <w:t>MW</w:t>
            </w:r>
            <w:r>
              <w:rPr>
                <w:rFonts w:ascii="Times New Roman" w:hAnsi="Times New Roman" w:eastAsia="Times New Roman" w:cs="Times New Roman"/>
                <w:spacing w:val="8"/>
                <w:sz w:val="20"/>
                <w:szCs w:val="20"/>
              </w:rPr>
              <w:t xml:space="preserve"> </w:t>
            </w:r>
            <w:r>
              <w:rPr>
                <w:spacing w:val="8"/>
                <w:sz w:val="20"/>
                <w:szCs w:val="20"/>
              </w:rPr>
              <w:t>光伏电站项</w:t>
            </w:r>
          </w:p>
          <w:p w14:paraId="4ECFD9DE">
            <w:pPr>
              <w:pStyle w:val="6"/>
              <w:spacing w:before="27" w:line="228" w:lineRule="auto"/>
              <w:ind w:left="179"/>
              <w:rPr>
                <w:sz w:val="20"/>
                <w:szCs w:val="20"/>
              </w:rPr>
            </w:pPr>
            <w:r>
              <w:rPr>
                <w:spacing w:val="4"/>
                <w:sz w:val="20"/>
                <w:szCs w:val="20"/>
              </w:rPr>
              <w:t>目（</w:t>
            </w:r>
            <w:r>
              <w:rPr>
                <w:rFonts w:ascii="Times New Roman" w:hAnsi="Times New Roman" w:eastAsia="Times New Roman" w:cs="Times New Roman"/>
                <w:spacing w:val="4"/>
                <w:sz w:val="20"/>
                <w:szCs w:val="20"/>
              </w:rPr>
              <w:t>220</w:t>
            </w:r>
            <w:r>
              <w:rPr>
                <w:rFonts w:ascii="Times New Roman" w:hAnsi="Times New Roman" w:eastAsia="Times New Roman" w:cs="Times New Roman"/>
                <w:sz w:val="20"/>
                <w:szCs w:val="20"/>
              </w:rPr>
              <w:t>KV</w:t>
            </w:r>
            <w:r>
              <w:rPr>
                <w:spacing w:val="4"/>
                <w:sz w:val="20"/>
                <w:szCs w:val="20"/>
              </w:rPr>
              <w:t>）南侧断</w:t>
            </w:r>
          </w:p>
          <w:p w14:paraId="3C7B90AB">
            <w:pPr>
              <w:pStyle w:val="6"/>
              <w:spacing w:before="27" w:line="229" w:lineRule="auto"/>
              <w:ind w:left="975"/>
              <w:rPr>
                <w:sz w:val="20"/>
                <w:szCs w:val="20"/>
              </w:rPr>
            </w:pPr>
            <w:r>
              <w:rPr>
                <w:sz w:val="20"/>
                <w:szCs w:val="20"/>
              </w:rPr>
              <w:t>面</w:t>
            </w:r>
          </w:p>
        </w:tc>
        <w:tc>
          <w:tcPr>
            <w:tcW w:w="2358" w:type="dxa"/>
            <w:vAlign w:val="top"/>
          </w:tcPr>
          <w:p w14:paraId="3AB9618A">
            <w:pPr>
              <w:pStyle w:val="6"/>
              <w:spacing w:before="67" w:line="228" w:lineRule="auto"/>
              <w:ind w:left="393"/>
              <w:rPr>
                <w:rFonts w:ascii="Times New Roman" w:hAnsi="Times New Roman" w:eastAsia="Times New Roman" w:cs="Times New Roman"/>
                <w:sz w:val="20"/>
                <w:szCs w:val="20"/>
              </w:rPr>
            </w:pPr>
            <w:r>
              <w:rPr>
                <w:spacing w:val="6"/>
                <w:sz w:val="20"/>
                <w:szCs w:val="20"/>
              </w:rPr>
              <w:t>距南侧围墙外</w:t>
            </w:r>
            <w:r>
              <w:rPr>
                <w:spacing w:val="-34"/>
                <w:sz w:val="20"/>
                <w:szCs w:val="20"/>
              </w:rPr>
              <w:t xml:space="preserve"> </w:t>
            </w:r>
            <w:r>
              <w:rPr>
                <w:rFonts w:ascii="Times New Roman" w:hAnsi="Times New Roman" w:eastAsia="Times New Roman" w:cs="Times New Roman"/>
                <w:spacing w:val="6"/>
                <w:sz w:val="20"/>
                <w:szCs w:val="20"/>
              </w:rPr>
              <w:t>5m</w:t>
            </w:r>
          </w:p>
        </w:tc>
        <w:tc>
          <w:tcPr>
            <w:tcW w:w="1981" w:type="dxa"/>
            <w:vAlign w:val="top"/>
          </w:tcPr>
          <w:p w14:paraId="3A034C74">
            <w:pPr>
              <w:pStyle w:val="6"/>
              <w:spacing w:before="67" w:line="264" w:lineRule="exact"/>
              <w:ind w:left="46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1670</w:t>
            </w:r>
            <w:r>
              <w:rPr>
                <w:spacing w:val="2"/>
                <w:position w:val="1"/>
                <w:sz w:val="20"/>
                <w:szCs w:val="20"/>
              </w:rPr>
              <w:t>±</w:t>
            </w:r>
            <w:r>
              <w:rPr>
                <w:rFonts w:ascii="Times New Roman" w:hAnsi="Times New Roman" w:eastAsia="Times New Roman" w:cs="Times New Roman"/>
                <w:spacing w:val="2"/>
                <w:position w:val="1"/>
                <w:sz w:val="20"/>
                <w:szCs w:val="20"/>
              </w:rPr>
              <w:t>11.08</w:t>
            </w:r>
          </w:p>
        </w:tc>
        <w:tc>
          <w:tcPr>
            <w:tcW w:w="2033" w:type="dxa"/>
            <w:vAlign w:val="top"/>
          </w:tcPr>
          <w:p w14:paraId="347F8801">
            <w:pPr>
              <w:pStyle w:val="6"/>
              <w:spacing w:before="67" w:line="26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0.575</w:t>
            </w:r>
            <w:r>
              <w:rPr>
                <w:spacing w:val="4"/>
                <w:position w:val="1"/>
                <w:sz w:val="20"/>
                <w:szCs w:val="20"/>
              </w:rPr>
              <w:t>±</w:t>
            </w:r>
            <w:r>
              <w:rPr>
                <w:rFonts w:ascii="Times New Roman" w:hAnsi="Times New Roman" w:eastAsia="Times New Roman" w:cs="Times New Roman"/>
                <w:spacing w:val="4"/>
                <w:position w:val="1"/>
                <w:sz w:val="20"/>
                <w:szCs w:val="20"/>
              </w:rPr>
              <w:t>0.041</w:t>
            </w:r>
          </w:p>
        </w:tc>
      </w:tr>
      <w:tr w14:paraId="5664F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45" w:type="dxa"/>
            <w:vMerge w:val="continue"/>
            <w:tcBorders>
              <w:top w:val="nil"/>
              <w:bottom w:val="nil"/>
            </w:tcBorders>
            <w:vAlign w:val="top"/>
          </w:tcPr>
          <w:p w14:paraId="0EC57ABF">
            <w:pPr>
              <w:rPr>
                <w:rFonts w:ascii="Arial"/>
                <w:sz w:val="21"/>
              </w:rPr>
            </w:pPr>
          </w:p>
        </w:tc>
        <w:tc>
          <w:tcPr>
            <w:tcW w:w="2358" w:type="dxa"/>
            <w:vAlign w:val="top"/>
          </w:tcPr>
          <w:p w14:paraId="7FF3DCC0">
            <w:pPr>
              <w:pStyle w:val="6"/>
              <w:spacing w:before="68" w:line="228" w:lineRule="auto"/>
              <w:ind w:left="340"/>
              <w:rPr>
                <w:rFonts w:ascii="Times New Roman" w:hAnsi="Times New Roman" w:eastAsia="Times New Roman" w:cs="Times New Roman"/>
                <w:sz w:val="20"/>
                <w:szCs w:val="20"/>
              </w:rPr>
            </w:pPr>
            <w:r>
              <w:rPr>
                <w:spacing w:val="4"/>
                <w:sz w:val="20"/>
                <w:szCs w:val="20"/>
              </w:rPr>
              <w:t>距南侧围墙外</w:t>
            </w:r>
            <w:r>
              <w:rPr>
                <w:spacing w:val="-16"/>
                <w:sz w:val="20"/>
                <w:szCs w:val="20"/>
              </w:rPr>
              <w:t xml:space="preserve"> </w:t>
            </w:r>
            <w:r>
              <w:rPr>
                <w:rFonts w:ascii="Times New Roman" w:hAnsi="Times New Roman" w:eastAsia="Times New Roman" w:cs="Times New Roman"/>
                <w:spacing w:val="4"/>
                <w:sz w:val="20"/>
                <w:szCs w:val="20"/>
              </w:rPr>
              <w:t>10m</w:t>
            </w:r>
          </w:p>
        </w:tc>
        <w:tc>
          <w:tcPr>
            <w:tcW w:w="1981" w:type="dxa"/>
            <w:vAlign w:val="top"/>
          </w:tcPr>
          <w:p w14:paraId="6C1F69B8">
            <w:pPr>
              <w:pStyle w:val="6"/>
              <w:spacing w:before="69" w:line="263"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1563</w:t>
            </w:r>
            <w:r>
              <w:rPr>
                <w:spacing w:val="2"/>
                <w:position w:val="1"/>
                <w:sz w:val="20"/>
                <w:szCs w:val="20"/>
              </w:rPr>
              <w:t>±</w:t>
            </w:r>
            <w:r>
              <w:rPr>
                <w:rFonts w:ascii="Times New Roman" w:hAnsi="Times New Roman" w:eastAsia="Times New Roman" w:cs="Times New Roman"/>
                <w:spacing w:val="2"/>
                <w:position w:val="1"/>
                <w:sz w:val="20"/>
                <w:szCs w:val="20"/>
              </w:rPr>
              <w:t>41.23</w:t>
            </w:r>
          </w:p>
        </w:tc>
        <w:tc>
          <w:tcPr>
            <w:tcW w:w="2033" w:type="dxa"/>
            <w:vAlign w:val="top"/>
          </w:tcPr>
          <w:p w14:paraId="606442E0">
            <w:pPr>
              <w:pStyle w:val="6"/>
              <w:spacing w:before="69" w:line="263"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0.393</w:t>
            </w:r>
            <w:r>
              <w:rPr>
                <w:spacing w:val="4"/>
                <w:position w:val="1"/>
                <w:sz w:val="20"/>
                <w:szCs w:val="20"/>
              </w:rPr>
              <w:t>±</w:t>
            </w:r>
            <w:r>
              <w:rPr>
                <w:rFonts w:ascii="Times New Roman" w:hAnsi="Times New Roman" w:eastAsia="Times New Roman" w:cs="Times New Roman"/>
                <w:spacing w:val="4"/>
                <w:position w:val="1"/>
                <w:sz w:val="20"/>
                <w:szCs w:val="20"/>
              </w:rPr>
              <w:t>0.010</w:t>
            </w:r>
          </w:p>
        </w:tc>
      </w:tr>
      <w:tr w14:paraId="4A332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45" w:type="dxa"/>
            <w:vMerge w:val="continue"/>
            <w:tcBorders>
              <w:top w:val="nil"/>
              <w:bottom w:val="nil"/>
            </w:tcBorders>
            <w:vAlign w:val="top"/>
          </w:tcPr>
          <w:p w14:paraId="4BF91253">
            <w:pPr>
              <w:rPr>
                <w:rFonts w:ascii="Arial"/>
                <w:sz w:val="21"/>
              </w:rPr>
            </w:pPr>
          </w:p>
        </w:tc>
        <w:tc>
          <w:tcPr>
            <w:tcW w:w="2358" w:type="dxa"/>
            <w:vAlign w:val="top"/>
          </w:tcPr>
          <w:p w14:paraId="0056BE40">
            <w:pPr>
              <w:pStyle w:val="6"/>
              <w:spacing w:before="70" w:line="228" w:lineRule="auto"/>
              <w:ind w:left="340"/>
              <w:rPr>
                <w:rFonts w:ascii="Times New Roman" w:hAnsi="Times New Roman" w:eastAsia="Times New Roman" w:cs="Times New Roman"/>
                <w:sz w:val="20"/>
                <w:szCs w:val="20"/>
              </w:rPr>
            </w:pPr>
            <w:r>
              <w:rPr>
                <w:spacing w:val="4"/>
                <w:sz w:val="20"/>
                <w:szCs w:val="20"/>
              </w:rPr>
              <w:t>距南侧围墙外</w:t>
            </w:r>
            <w:r>
              <w:rPr>
                <w:spacing w:val="-16"/>
                <w:sz w:val="20"/>
                <w:szCs w:val="20"/>
              </w:rPr>
              <w:t xml:space="preserve"> </w:t>
            </w:r>
            <w:r>
              <w:rPr>
                <w:rFonts w:ascii="Times New Roman" w:hAnsi="Times New Roman" w:eastAsia="Times New Roman" w:cs="Times New Roman"/>
                <w:spacing w:val="4"/>
                <w:sz w:val="20"/>
                <w:szCs w:val="20"/>
              </w:rPr>
              <w:t>15m</w:t>
            </w:r>
          </w:p>
        </w:tc>
        <w:tc>
          <w:tcPr>
            <w:tcW w:w="1981" w:type="dxa"/>
            <w:vAlign w:val="top"/>
          </w:tcPr>
          <w:p w14:paraId="0926BA22">
            <w:pPr>
              <w:pStyle w:val="6"/>
              <w:spacing w:before="70" w:line="264"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1357</w:t>
            </w:r>
            <w:r>
              <w:rPr>
                <w:spacing w:val="2"/>
                <w:position w:val="1"/>
                <w:sz w:val="20"/>
                <w:szCs w:val="20"/>
              </w:rPr>
              <w:t>±</w:t>
            </w:r>
            <w:r>
              <w:rPr>
                <w:rFonts w:ascii="Times New Roman" w:hAnsi="Times New Roman" w:eastAsia="Times New Roman" w:cs="Times New Roman"/>
                <w:spacing w:val="2"/>
                <w:position w:val="1"/>
                <w:sz w:val="20"/>
                <w:szCs w:val="20"/>
              </w:rPr>
              <w:t>7.899</w:t>
            </w:r>
          </w:p>
        </w:tc>
        <w:tc>
          <w:tcPr>
            <w:tcW w:w="2033" w:type="dxa"/>
            <w:vAlign w:val="top"/>
          </w:tcPr>
          <w:p w14:paraId="67A282C1">
            <w:pPr>
              <w:pStyle w:val="6"/>
              <w:spacing w:before="70" w:line="264" w:lineRule="exact"/>
              <w:ind w:left="44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0.339</w:t>
            </w:r>
            <w:r>
              <w:rPr>
                <w:spacing w:val="3"/>
                <w:position w:val="1"/>
                <w:sz w:val="20"/>
                <w:szCs w:val="20"/>
              </w:rPr>
              <w:t>±</w:t>
            </w:r>
            <w:r>
              <w:rPr>
                <w:rFonts w:ascii="Times New Roman" w:hAnsi="Times New Roman" w:eastAsia="Times New Roman" w:cs="Times New Roman"/>
                <w:spacing w:val="3"/>
                <w:position w:val="1"/>
                <w:sz w:val="20"/>
                <w:szCs w:val="20"/>
              </w:rPr>
              <w:t>0.011</w:t>
            </w:r>
          </w:p>
        </w:tc>
      </w:tr>
      <w:tr w14:paraId="5B0E3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45" w:type="dxa"/>
            <w:vMerge w:val="continue"/>
            <w:tcBorders>
              <w:top w:val="nil"/>
              <w:bottom w:val="nil"/>
            </w:tcBorders>
            <w:vAlign w:val="top"/>
          </w:tcPr>
          <w:p w14:paraId="7D3CAC54">
            <w:pPr>
              <w:rPr>
                <w:rFonts w:ascii="Arial"/>
                <w:sz w:val="21"/>
              </w:rPr>
            </w:pPr>
          </w:p>
        </w:tc>
        <w:tc>
          <w:tcPr>
            <w:tcW w:w="2358" w:type="dxa"/>
            <w:vAlign w:val="top"/>
          </w:tcPr>
          <w:p w14:paraId="1813A128">
            <w:pPr>
              <w:pStyle w:val="6"/>
              <w:spacing w:before="68" w:line="228" w:lineRule="auto"/>
              <w:ind w:left="340"/>
              <w:rPr>
                <w:rFonts w:ascii="Times New Roman" w:hAnsi="Times New Roman" w:eastAsia="Times New Roman" w:cs="Times New Roman"/>
                <w:sz w:val="20"/>
                <w:szCs w:val="20"/>
              </w:rPr>
            </w:pPr>
            <w:r>
              <w:rPr>
                <w:spacing w:val="7"/>
                <w:sz w:val="20"/>
                <w:szCs w:val="20"/>
              </w:rPr>
              <w:t>距南侧围墙外</w:t>
            </w:r>
            <w:r>
              <w:rPr>
                <w:spacing w:val="-43"/>
                <w:sz w:val="20"/>
                <w:szCs w:val="20"/>
              </w:rPr>
              <w:t xml:space="preserve"> </w:t>
            </w:r>
            <w:r>
              <w:rPr>
                <w:rFonts w:ascii="Times New Roman" w:hAnsi="Times New Roman" w:eastAsia="Times New Roman" w:cs="Times New Roman"/>
                <w:spacing w:val="7"/>
                <w:sz w:val="20"/>
                <w:szCs w:val="20"/>
              </w:rPr>
              <w:t>20m</w:t>
            </w:r>
          </w:p>
        </w:tc>
        <w:tc>
          <w:tcPr>
            <w:tcW w:w="1981" w:type="dxa"/>
            <w:vAlign w:val="top"/>
          </w:tcPr>
          <w:p w14:paraId="4DD75DE7">
            <w:pPr>
              <w:pStyle w:val="6"/>
              <w:spacing w:before="68" w:line="264"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1070</w:t>
            </w:r>
            <w:r>
              <w:rPr>
                <w:spacing w:val="2"/>
                <w:position w:val="1"/>
                <w:sz w:val="20"/>
                <w:szCs w:val="20"/>
              </w:rPr>
              <w:t>±</w:t>
            </w:r>
            <w:r>
              <w:rPr>
                <w:rFonts w:ascii="Times New Roman" w:hAnsi="Times New Roman" w:eastAsia="Times New Roman" w:cs="Times New Roman"/>
                <w:spacing w:val="2"/>
                <w:position w:val="1"/>
                <w:sz w:val="20"/>
                <w:szCs w:val="20"/>
              </w:rPr>
              <w:t>37.73</w:t>
            </w:r>
          </w:p>
        </w:tc>
        <w:tc>
          <w:tcPr>
            <w:tcW w:w="2033" w:type="dxa"/>
            <w:vAlign w:val="top"/>
          </w:tcPr>
          <w:p w14:paraId="504DFEEF">
            <w:pPr>
              <w:pStyle w:val="6"/>
              <w:spacing w:before="68" w:line="26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0.241</w:t>
            </w:r>
            <w:r>
              <w:rPr>
                <w:spacing w:val="4"/>
                <w:position w:val="1"/>
                <w:sz w:val="20"/>
                <w:szCs w:val="20"/>
              </w:rPr>
              <w:t>±</w:t>
            </w:r>
            <w:r>
              <w:rPr>
                <w:rFonts w:ascii="Times New Roman" w:hAnsi="Times New Roman" w:eastAsia="Times New Roman" w:cs="Times New Roman"/>
                <w:spacing w:val="4"/>
                <w:position w:val="1"/>
                <w:sz w:val="20"/>
                <w:szCs w:val="20"/>
              </w:rPr>
              <w:t>0.007</w:t>
            </w:r>
          </w:p>
        </w:tc>
      </w:tr>
      <w:tr w14:paraId="59CBB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45" w:type="dxa"/>
            <w:vMerge w:val="continue"/>
            <w:tcBorders>
              <w:top w:val="nil"/>
              <w:bottom w:val="nil"/>
            </w:tcBorders>
            <w:vAlign w:val="top"/>
          </w:tcPr>
          <w:p w14:paraId="5989FC4F">
            <w:pPr>
              <w:rPr>
                <w:rFonts w:ascii="Arial"/>
                <w:sz w:val="21"/>
              </w:rPr>
            </w:pPr>
          </w:p>
        </w:tc>
        <w:tc>
          <w:tcPr>
            <w:tcW w:w="2358" w:type="dxa"/>
            <w:vAlign w:val="top"/>
          </w:tcPr>
          <w:p w14:paraId="3C0BF3C7">
            <w:pPr>
              <w:pStyle w:val="6"/>
              <w:spacing w:before="68" w:line="228" w:lineRule="auto"/>
              <w:ind w:left="340"/>
              <w:rPr>
                <w:rFonts w:ascii="Times New Roman" w:hAnsi="Times New Roman" w:eastAsia="Times New Roman" w:cs="Times New Roman"/>
                <w:sz w:val="20"/>
                <w:szCs w:val="20"/>
              </w:rPr>
            </w:pPr>
            <w:r>
              <w:rPr>
                <w:spacing w:val="7"/>
                <w:sz w:val="20"/>
                <w:szCs w:val="20"/>
              </w:rPr>
              <w:t>距南侧围墙外</w:t>
            </w:r>
            <w:r>
              <w:rPr>
                <w:spacing w:val="-43"/>
                <w:sz w:val="20"/>
                <w:szCs w:val="20"/>
              </w:rPr>
              <w:t xml:space="preserve"> </w:t>
            </w:r>
            <w:r>
              <w:rPr>
                <w:rFonts w:ascii="Times New Roman" w:hAnsi="Times New Roman" w:eastAsia="Times New Roman" w:cs="Times New Roman"/>
                <w:spacing w:val="7"/>
                <w:sz w:val="20"/>
                <w:szCs w:val="20"/>
              </w:rPr>
              <w:t>25m</w:t>
            </w:r>
          </w:p>
        </w:tc>
        <w:tc>
          <w:tcPr>
            <w:tcW w:w="1981" w:type="dxa"/>
            <w:vAlign w:val="top"/>
          </w:tcPr>
          <w:p w14:paraId="08004227">
            <w:pPr>
              <w:pStyle w:val="6"/>
              <w:spacing w:before="68" w:line="264" w:lineRule="exact"/>
              <w:ind w:left="419"/>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949.4</w:t>
            </w:r>
            <w:r>
              <w:rPr>
                <w:spacing w:val="4"/>
                <w:position w:val="1"/>
                <w:sz w:val="20"/>
                <w:szCs w:val="20"/>
              </w:rPr>
              <w:t>±</w:t>
            </w:r>
            <w:r>
              <w:rPr>
                <w:rFonts w:ascii="Times New Roman" w:hAnsi="Times New Roman" w:eastAsia="Times New Roman" w:cs="Times New Roman"/>
                <w:spacing w:val="4"/>
                <w:position w:val="1"/>
                <w:sz w:val="20"/>
                <w:szCs w:val="20"/>
              </w:rPr>
              <w:t>22.13</w:t>
            </w:r>
          </w:p>
        </w:tc>
        <w:tc>
          <w:tcPr>
            <w:tcW w:w="2033" w:type="dxa"/>
            <w:vAlign w:val="top"/>
          </w:tcPr>
          <w:p w14:paraId="7E0FB55D">
            <w:pPr>
              <w:pStyle w:val="6"/>
              <w:spacing w:before="68" w:line="26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0.219</w:t>
            </w:r>
            <w:r>
              <w:rPr>
                <w:spacing w:val="4"/>
                <w:position w:val="1"/>
                <w:sz w:val="20"/>
                <w:szCs w:val="20"/>
              </w:rPr>
              <w:t>±</w:t>
            </w:r>
            <w:r>
              <w:rPr>
                <w:rFonts w:ascii="Times New Roman" w:hAnsi="Times New Roman" w:eastAsia="Times New Roman" w:cs="Times New Roman"/>
                <w:spacing w:val="4"/>
                <w:position w:val="1"/>
                <w:sz w:val="20"/>
                <w:szCs w:val="20"/>
              </w:rPr>
              <w:t>0.013</w:t>
            </w:r>
          </w:p>
        </w:tc>
      </w:tr>
      <w:tr w14:paraId="73F2B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45" w:type="dxa"/>
            <w:vMerge w:val="continue"/>
            <w:tcBorders>
              <w:top w:val="nil"/>
              <w:bottom w:val="nil"/>
            </w:tcBorders>
            <w:vAlign w:val="top"/>
          </w:tcPr>
          <w:p w14:paraId="333690F0">
            <w:pPr>
              <w:rPr>
                <w:rFonts w:ascii="Arial"/>
                <w:sz w:val="21"/>
              </w:rPr>
            </w:pPr>
          </w:p>
        </w:tc>
        <w:tc>
          <w:tcPr>
            <w:tcW w:w="2358" w:type="dxa"/>
            <w:vAlign w:val="top"/>
          </w:tcPr>
          <w:p w14:paraId="4E792594">
            <w:pPr>
              <w:pStyle w:val="6"/>
              <w:spacing w:before="68" w:line="228" w:lineRule="auto"/>
              <w:ind w:left="340"/>
              <w:rPr>
                <w:rFonts w:ascii="Times New Roman" w:hAnsi="Times New Roman" w:eastAsia="Times New Roman" w:cs="Times New Roman"/>
                <w:sz w:val="20"/>
                <w:szCs w:val="20"/>
              </w:rPr>
            </w:pPr>
            <w:r>
              <w:rPr>
                <w:spacing w:val="6"/>
                <w:sz w:val="20"/>
                <w:szCs w:val="20"/>
              </w:rPr>
              <w:t>距南侧围墙外</w:t>
            </w:r>
            <w:r>
              <w:rPr>
                <w:spacing w:val="-34"/>
                <w:sz w:val="20"/>
                <w:szCs w:val="20"/>
              </w:rPr>
              <w:t xml:space="preserve"> </w:t>
            </w:r>
            <w:r>
              <w:rPr>
                <w:rFonts w:ascii="Times New Roman" w:hAnsi="Times New Roman" w:eastAsia="Times New Roman" w:cs="Times New Roman"/>
                <w:spacing w:val="6"/>
                <w:sz w:val="20"/>
                <w:szCs w:val="20"/>
              </w:rPr>
              <w:t>30m</w:t>
            </w:r>
          </w:p>
        </w:tc>
        <w:tc>
          <w:tcPr>
            <w:tcW w:w="1981" w:type="dxa"/>
            <w:vAlign w:val="top"/>
          </w:tcPr>
          <w:p w14:paraId="767D8E0E">
            <w:pPr>
              <w:pStyle w:val="6"/>
              <w:spacing w:before="69" w:line="264"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690.</w:t>
            </w:r>
            <w:r>
              <w:rPr>
                <w:rFonts w:ascii="Times New Roman" w:hAnsi="Times New Roman" w:eastAsia="Times New Roman" w:cs="Times New Roman"/>
                <w:spacing w:val="-16"/>
                <w:position w:val="1"/>
                <w:sz w:val="20"/>
                <w:szCs w:val="20"/>
              </w:rPr>
              <w:t xml:space="preserve"> </w:t>
            </w:r>
            <w:r>
              <w:rPr>
                <w:rFonts w:ascii="Times New Roman" w:hAnsi="Times New Roman" w:eastAsia="Times New Roman" w:cs="Times New Roman"/>
                <w:spacing w:val="1"/>
                <w:position w:val="1"/>
                <w:sz w:val="20"/>
                <w:szCs w:val="20"/>
              </w:rPr>
              <w:t>1</w:t>
            </w:r>
            <w:r>
              <w:rPr>
                <w:spacing w:val="1"/>
                <w:position w:val="1"/>
                <w:sz w:val="20"/>
                <w:szCs w:val="20"/>
              </w:rPr>
              <w:t>±</w:t>
            </w:r>
            <w:r>
              <w:rPr>
                <w:rFonts w:ascii="Times New Roman" w:hAnsi="Times New Roman" w:eastAsia="Times New Roman" w:cs="Times New Roman"/>
                <w:spacing w:val="1"/>
                <w:position w:val="1"/>
                <w:sz w:val="20"/>
                <w:szCs w:val="20"/>
              </w:rPr>
              <w:t>12.50</w:t>
            </w:r>
          </w:p>
        </w:tc>
        <w:tc>
          <w:tcPr>
            <w:tcW w:w="2033" w:type="dxa"/>
            <w:vAlign w:val="top"/>
          </w:tcPr>
          <w:p w14:paraId="03965F70">
            <w:pPr>
              <w:pStyle w:val="6"/>
              <w:spacing w:before="69" w:line="26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0.207</w:t>
            </w:r>
            <w:r>
              <w:rPr>
                <w:spacing w:val="4"/>
                <w:position w:val="1"/>
                <w:sz w:val="20"/>
                <w:szCs w:val="20"/>
              </w:rPr>
              <w:t>±</w:t>
            </w:r>
            <w:r>
              <w:rPr>
                <w:rFonts w:ascii="Times New Roman" w:hAnsi="Times New Roman" w:eastAsia="Times New Roman" w:cs="Times New Roman"/>
                <w:spacing w:val="4"/>
                <w:position w:val="1"/>
                <w:sz w:val="20"/>
                <w:szCs w:val="20"/>
              </w:rPr>
              <w:t>0.018</w:t>
            </w:r>
          </w:p>
        </w:tc>
      </w:tr>
      <w:tr w14:paraId="797C4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45" w:type="dxa"/>
            <w:vMerge w:val="continue"/>
            <w:tcBorders>
              <w:top w:val="nil"/>
              <w:bottom w:val="nil"/>
            </w:tcBorders>
            <w:vAlign w:val="top"/>
          </w:tcPr>
          <w:p w14:paraId="237D2CE0">
            <w:pPr>
              <w:rPr>
                <w:rFonts w:ascii="Arial"/>
                <w:sz w:val="21"/>
              </w:rPr>
            </w:pPr>
          </w:p>
        </w:tc>
        <w:tc>
          <w:tcPr>
            <w:tcW w:w="2358" w:type="dxa"/>
            <w:vAlign w:val="top"/>
          </w:tcPr>
          <w:p w14:paraId="530A4AF7">
            <w:pPr>
              <w:pStyle w:val="6"/>
              <w:spacing w:before="69" w:line="228" w:lineRule="auto"/>
              <w:ind w:left="340"/>
              <w:rPr>
                <w:rFonts w:ascii="Times New Roman" w:hAnsi="Times New Roman" w:eastAsia="Times New Roman" w:cs="Times New Roman"/>
                <w:sz w:val="20"/>
                <w:szCs w:val="20"/>
              </w:rPr>
            </w:pPr>
            <w:r>
              <w:rPr>
                <w:spacing w:val="6"/>
                <w:sz w:val="20"/>
                <w:szCs w:val="20"/>
              </w:rPr>
              <w:t>距南侧围墙外</w:t>
            </w:r>
            <w:r>
              <w:rPr>
                <w:spacing w:val="-34"/>
                <w:sz w:val="20"/>
                <w:szCs w:val="20"/>
              </w:rPr>
              <w:t xml:space="preserve"> </w:t>
            </w:r>
            <w:r>
              <w:rPr>
                <w:rFonts w:ascii="Times New Roman" w:hAnsi="Times New Roman" w:eastAsia="Times New Roman" w:cs="Times New Roman"/>
                <w:spacing w:val="6"/>
                <w:sz w:val="20"/>
                <w:szCs w:val="20"/>
              </w:rPr>
              <w:t>35m</w:t>
            </w:r>
          </w:p>
        </w:tc>
        <w:tc>
          <w:tcPr>
            <w:tcW w:w="1981" w:type="dxa"/>
            <w:vAlign w:val="top"/>
          </w:tcPr>
          <w:p w14:paraId="33B0F402">
            <w:pPr>
              <w:pStyle w:val="6"/>
              <w:spacing w:before="69" w:line="26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478.7</w:t>
            </w:r>
            <w:r>
              <w:rPr>
                <w:spacing w:val="4"/>
                <w:position w:val="1"/>
                <w:sz w:val="20"/>
                <w:szCs w:val="20"/>
              </w:rPr>
              <w:t>±</w:t>
            </w:r>
            <w:r>
              <w:rPr>
                <w:rFonts w:ascii="Times New Roman" w:hAnsi="Times New Roman" w:eastAsia="Times New Roman" w:cs="Times New Roman"/>
                <w:spacing w:val="4"/>
                <w:position w:val="1"/>
                <w:sz w:val="20"/>
                <w:szCs w:val="20"/>
              </w:rPr>
              <w:t>9.088</w:t>
            </w:r>
          </w:p>
        </w:tc>
        <w:tc>
          <w:tcPr>
            <w:tcW w:w="2033" w:type="dxa"/>
            <w:vAlign w:val="top"/>
          </w:tcPr>
          <w:p w14:paraId="0BBB883F">
            <w:pPr>
              <w:pStyle w:val="6"/>
              <w:spacing w:before="69" w:line="26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0.207</w:t>
            </w:r>
            <w:r>
              <w:rPr>
                <w:spacing w:val="4"/>
                <w:position w:val="1"/>
                <w:sz w:val="20"/>
                <w:szCs w:val="20"/>
              </w:rPr>
              <w:t>±</w:t>
            </w:r>
            <w:r>
              <w:rPr>
                <w:rFonts w:ascii="Times New Roman" w:hAnsi="Times New Roman" w:eastAsia="Times New Roman" w:cs="Times New Roman"/>
                <w:spacing w:val="4"/>
                <w:position w:val="1"/>
                <w:sz w:val="20"/>
                <w:szCs w:val="20"/>
              </w:rPr>
              <w:t>0.018</w:t>
            </w:r>
          </w:p>
        </w:tc>
      </w:tr>
      <w:tr w14:paraId="70B75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45" w:type="dxa"/>
            <w:vMerge w:val="continue"/>
            <w:tcBorders>
              <w:top w:val="nil"/>
              <w:bottom w:val="nil"/>
            </w:tcBorders>
            <w:vAlign w:val="top"/>
          </w:tcPr>
          <w:p w14:paraId="47CEB07F">
            <w:pPr>
              <w:rPr>
                <w:rFonts w:ascii="Arial"/>
                <w:sz w:val="21"/>
              </w:rPr>
            </w:pPr>
          </w:p>
        </w:tc>
        <w:tc>
          <w:tcPr>
            <w:tcW w:w="2358" w:type="dxa"/>
            <w:vAlign w:val="top"/>
          </w:tcPr>
          <w:p w14:paraId="011F01A5">
            <w:pPr>
              <w:pStyle w:val="6"/>
              <w:spacing w:before="69" w:line="228" w:lineRule="auto"/>
              <w:ind w:left="340"/>
              <w:rPr>
                <w:rFonts w:ascii="Times New Roman" w:hAnsi="Times New Roman" w:eastAsia="Times New Roman" w:cs="Times New Roman"/>
                <w:sz w:val="20"/>
                <w:szCs w:val="20"/>
              </w:rPr>
            </w:pPr>
            <w:r>
              <w:rPr>
                <w:spacing w:val="7"/>
                <w:sz w:val="20"/>
                <w:szCs w:val="20"/>
              </w:rPr>
              <w:t>距南侧围墙外</w:t>
            </w:r>
            <w:r>
              <w:rPr>
                <w:spacing w:val="-43"/>
                <w:sz w:val="20"/>
                <w:szCs w:val="20"/>
              </w:rPr>
              <w:t xml:space="preserve"> </w:t>
            </w:r>
            <w:r>
              <w:rPr>
                <w:rFonts w:ascii="Times New Roman" w:hAnsi="Times New Roman" w:eastAsia="Times New Roman" w:cs="Times New Roman"/>
                <w:spacing w:val="7"/>
                <w:sz w:val="20"/>
                <w:szCs w:val="20"/>
              </w:rPr>
              <w:t>40m</w:t>
            </w:r>
          </w:p>
        </w:tc>
        <w:tc>
          <w:tcPr>
            <w:tcW w:w="1981" w:type="dxa"/>
            <w:vAlign w:val="top"/>
          </w:tcPr>
          <w:p w14:paraId="68BE5499">
            <w:pPr>
              <w:pStyle w:val="6"/>
              <w:spacing w:before="70" w:line="263"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417.3</w:t>
            </w:r>
            <w:r>
              <w:rPr>
                <w:spacing w:val="4"/>
                <w:position w:val="1"/>
                <w:sz w:val="20"/>
                <w:szCs w:val="20"/>
              </w:rPr>
              <w:t>±</w:t>
            </w:r>
            <w:r>
              <w:rPr>
                <w:rFonts w:ascii="Times New Roman" w:hAnsi="Times New Roman" w:eastAsia="Times New Roman" w:cs="Times New Roman"/>
                <w:spacing w:val="4"/>
                <w:position w:val="1"/>
                <w:sz w:val="20"/>
                <w:szCs w:val="20"/>
              </w:rPr>
              <w:t>8.556</w:t>
            </w:r>
          </w:p>
        </w:tc>
        <w:tc>
          <w:tcPr>
            <w:tcW w:w="2033" w:type="dxa"/>
            <w:vAlign w:val="top"/>
          </w:tcPr>
          <w:p w14:paraId="1888FC23">
            <w:pPr>
              <w:pStyle w:val="6"/>
              <w:spacing w:before="70" w:line="263"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w:t>
            </w:r>
            <w:r>
              <w:rPr>
                <w:rFonts w:ascii="Times New Roman" w:hAnsi="Times New Roman" w:eastAsia="Times New Roman" w:cs="Times New Roman"/>
                <w:spacing w:val="-17"/>
                <w:position w:val="1"/>
                <w:sz w:val="20"/>
                <w:szCs w:val="20"/>
              </w:rPr>
              <w:t xml:space="preserve"> </w:t>
            </w:r>
            <w:r>
              <w:rPr>
                <w:rFonts w:ascii="Times New Roman" w:hAnsi="Times New Roman" w:eastAsia="Times New Roman" w:cs="Times New Roman"/>
                <w:spacing w:val="1"/>
                <w:position w:val="1"/>
                <w:sz w:val="20"/>
                <w:szCs w:val="20"/>
              </w:rPr>
              <w:t>177</w:t>
            </w:r>
            <w:r>
              <w:rPr>
                <w:spacing w:val="1"/>
                <w:position w:val="1"/>
                <w:sz w:val="20"/>
                <w:szCs w:val="20"/>
              </w:rPr>
              <w:t>±</w:t>
            </w:r>
            <w:r>
              <w:rPr>
                <w:rFonts w:ascii="Times New Roman" w:hAnsi="Times New Roman" w:eastAsia="Times New Roman" w:cs="Times New Roman"/>
                <w:spacing w:val="1"/>
                <w:position w:val="1"/>
                <w:sz w:val="20"/>
                <w:szCs w:val="20"/>
              </w:rPr>
              <w:t>0.010</w:t>
            </w:r>
          </w:p>
        </w:tc>
      </w:tr>
      <w:tr w14:paraId="6D967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45" w:type="dxa"/>
            <w:vMerge w:val="continue"/>
            <w:tcBorders>
              <w:top w:val="nil"/>
              <w:bottom w:val="nil"/>
            </w:tcBorders>
            <w:vAlign w:val="top"/>
          </w:tcPr>
          <w:p w14:paraId="72BFCDBC">
            <w:pPr>
              <w:rPr>
                <w:rFonts w:ascii="Arial"/>
                <w:sz w:val="21"/>
              </w:rPr>
            </w:pPr>
          </w:p>
        </w:tc>
        <w:tc>
          <w:tcPr>
            <w:tcW w:w="2358" w:type="dxa"/>
            <w:vAlign w:val="top"/>
          </w:tcPr>
          <w:p w14:paraId="642A4B88">
            <w:pPr>
              <w:pStyle w:val="6"/>
              <w:spacing w:before="70" w:line="228" w:lineRule="auto"/>
              <w:ind w:left="340"/>
              <w:rPr>
                <w:rFonts w:ascii="Times New Roman" w:hAnsi="Times New Roman" w:eastAsia="Times New Roman" w:cs="Times New Roman"/>
                <w:sz w:val="20"/>
                <w:szCs w:val="20"/>
              </w:rPr>
            </w:pPr>
            <w:r>
              <w:rPr>
                <w:spacing w:val="7"/>
                <w:sz w:val="20"/>
                <w:szCs w:val="20"/>
              </w:rPr>
              <w:t>距南侧围墙外</w:t>
            </w:r>
            <w:r>
              <w:rPr>
                <w:spacing w:val="-43"/>
                <w:sz w:val="20"/>
                <w:szCs w:val="20"/>
              </w:rPr>
              <w:t xml:space="preserve"> </w:t>
            </w:r>
            <w:r>
              <w:rPr>
                <w:rFonts w:ascii="Times New Roman" w:hAnsi="Times New Roman" w:eastAsia="Times New Roman" w:cs="Times New Roman"/>
                <w:spacing w:val="7"/>
                <w:sz w:val="20"/>
                <w:szCs w:val="20"/>
              </w:rPr>
              <w:t>45m</w:t>
            </w:r>
          </w:p>
        </w:tc>
        <w:tc>
          <w:tcPr>
            <w:tcW w:w="1981" w:type="dxa"/>
            <w:vAlign w:val="top"/>
          </w:tcPr>
          <w:p w14:paraId="36FD70D3">
            <w:pPr>
              <w:pStyle w:val="6"/>
              <w:spacing w:before="70" w:line="264" w:lineRule="exact"/>
              <w:ind w:left="42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311.0</w:t>
            </w:r>
            <w:r>
              <w:rPr>
                <w:position w:val="1"/>
                <w:sz w:val="20"/>
                <w:szCs w:val="20"/>
              </w:rPr>
              <w:t>±</w:t>
            </w:r>
            <w:r>
              <w:rPr>
                <w:rFonts w:ascii="Times New Roman" w:hAnsi="Times New Roman" w:eastAsia="Times New Roman" w:cs="Times New Roman"/>
                <w:position w:val="1"/>
                <w:sz w:val="20"/>
                <w:szCs w:val="20"/>
              </w:rPr>
              <w:t>19.</w:t>
            </w:r>
            <w:r>
              <w:rPr>
                <w:rFonts w:ascii="Times New Roman" w:hAnsi="Times New Roman" w:eastAsia="Times New Roman" w:cs="Times New Roman"/>
                <w:spacing w:val="-17"/>
                <w:position w:val="1"/>
                <w:sz w:val="20"/>
                <w:szCs w:val="20"/>
              </w:rPr>
              <w:t xml:space="preserve"> </w:t>
            </w:r>
            <w:r>
              <w:rPr>
                <w:rFonts w:ascii="Times New Roman" w:hAnsi="Times New Roman" w:eastAsia="Times New Roman" w:cs="Times New Roman"/>
                <w:position w:val="1"/>
                <w:sz w:val="20"/>
                <w:szCs w:val="20"/>
              </w:rPr>
              <w:t>11</w:t>
            </w:r>
          </w:p>
        </w:tc>
        <w:tc>
          <w:tcPr>
            <w:tcW w:w="2033" w:type="dxa"/>
            <w:vAlign w:val="top"/>
          </w:tcPr>
          <w:p w14:paraId="7A67F9DD">
            <w:pPr>
              <w:pStyle w:val="6"/>
              <w:spacing w:before="70" w:line="26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w:t>
            </w:r>
            <w:r>
              <w:rPr>
                <w:rFonts w:ascii="Times New Roman" w:hAnsi="Times New Roman" w:eastAsia="Times New Roman" w:cs="Times New Roman"/>
                <w:spacing w:val="-17"/>
                <w:position w:val="1"/>
                <w:sz w:val="20"/>
                <w:szCs w:val="20"/>
              </w:rPr>
              <w:t xml:space="preserve"> </w:t>
            </w:r>
            <w:r>
              <w:rPr>
                <w:rFonts w:ascii="Times New Roman" w:hAnsi="Times New Roman" w:eastAsia="Times New Roman" w:cs="Times New Roman"/>
                <w:spacing w:val="1"/>
                <w:position w:val="1"/>
                <w:sz w:val="20"/>
                <w:szCs w:val="20"/>
              </w:rPr>
              <w:t>172</w:t>
            </w:r>
            <w:r>
              <w:rPr>
                <w:spacing w:val="1"/>
                <w:position w:val="1"/>
                <w:sz w:val="20"/>
                <w:szCs w:val="20"/>
              </w:rPr>
              <w:t>±</w:t>
            </w:r>
            <w:r>
              <w:rPr>
                <w:rFonts w:ascii="Times New Roman" w:hAnsi="Times New Roman" w:eastAsia="Times New Roman" w:cs="Times New Roman"/>
                <w:spacing w:val="1"/>
                <w:position w:val="1"/>
                <w:sz w:val="20"/>
                <w:szCs w:val="20"/>
              </w:rPr>
              <w:t>0.008</w:t>
            </w:r>
          </w:p>
        </w:tc>
      </w:tr>
      <w:tr w14:paraId="148FD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45" w:type="dxa"/>
            <w:vMerge w:val="continue"/>
            <w:tcBorders>
              <w:top w:val="nil"/>
            </w:tcBorders>
            <w:vAlign w:val="top"/>
          </w:tcPr>
          <w:p w14:paraId="454C8F1F">
            <w:pPr>
              <w:rPr>
                <w:rFonts w:ascii="Arial"/>
                <w:sz w:val="21"/>
              </w:rPr>
            </w:pPr>
          </w:p>
        </w:tc>
        <w:tc>
          <w:tcPr>
            <w:tcW w:w="2358" w:type="dxa"/>
            <w:vAlign w:val="top"/>
          </w:tcPr>
          <w:p w14:paraId="5894DAFD">
            <w:pPr>
              <w:pStyle w:val="6"/>
              <w:spacing w:before="68" w:line="228" w:lineRule="auto"/>
              <w:ind w:left="340"/>
              <w:rPr>
                <w:rFonts w:ascii="Times New Roman" w:hAnsi="Times New Roman" w:eastAsia="Times New Roman" w:cs="Times New Roman"/>
                <w:sz w:val="20"/>
                <w:szCs w:val="20"/>
              </w:rPr>
            </w:pPr>
            <w:r>
              <w:rPr>
                <w:spacing w:val="6"/>
                <w:sz w:val="20"/>
                <w:szCs w:val="20"/>
              </w:rPr>
              <w:t>距南侧围墙外</w:t>
            </w:r>
            <w:r>
              <w:rPr>
                <w:spacing w:val="-34"/>
                <w:sz w:val="20"/>
                <w:szCs w:val="20"/>
              </w:rPr>
              <w:t xml:space="preserve"> </w:t>
            </w:r>
            <w:r>
              <w:rPr>
                <w:rFonts w:ascii="Times New Roman" w:hAnsi="Times New Roman" w:eastAsia="Times New Roman" w:cs="Times New Roman"/>
                <w:spacing w:val="6"/>
                <w:sz w:val="20"/>
                <w:szCs w:val="20"/>
              </w:rPr>
              <w:t>50m</w:t>
            </w:r>
          </w:p>
        </w:tc>
        <w:tc>
          <w:tcPr>
            <w:tcW w:w="1981" w:type="dxa"/>
            <w:vAlign w:val="top"/>
          </w:tcPr>
          <w:p w14:paraId="0E475E50">
            <w:pPr>
              <w:pStyle w:val="6"/>
              <w:spacing w:before="68" w:line="26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276.</w:t>
            </w:r>
            <w:r>
              <w:rPr>
                <w:rFonts w:ascii="Times New Roman" w:hAnsi="Times New Roman" w:eastAsia="Times New Roman" w:cs="Times New Roman"/>
                <w:spacing w:val="-22"/>
                <w:position w:val="1"/>
                <w:sz w:val="20"/>
                <w:szCs w:val="20"/>
              </w:rPr>
              <w:t xml:space="preserve"> </w:t>
            </w:r>
            <w:r>
              <w:rPr>
                <w:rFonts w:ascii="Times New Roman" w:hAnsi="Times New Roman" w:eastAsia="Times New Roman" w:cs="Times New Roman"/>
                <w:spacing w:val="2"/>
                <w:position w:val="1"/>
                <w:sz w:val="20"/>
                <w:szCs w:val="20"/>
              </w:rPr>
              <w:t>1</w:t>
            </w:r>
            <w:r>
              <w:rPr>
                <w:spacing w:val="2"/>
                <w:position w:val="1"/>
                <w:sz w:val="20"/>
                <w:szCs w:val="20"/>
              </w:rPr>
              <w:t>±</w:t>
            </w:r>
            <w:r>
              <w:rPr>
                <w:rFonts w:ascii="Times New Roman" w:hAnsi="Times New Roman" w:eastAsia="Times New Roman" w:cs="Times New Roman"/>
                <w:spacing w:val="2"/>
                <w:position w:val="1"/>
                <w:sz w:val="20"/>
                <w:szCs w:val="20"/>
              </w:rPr>
              <w:t>7.237</w:t>
            </w:r>
          </w:p>
        </w:tc>
        <w:tc>
          <w:tcPr>
            <w:tcW w:w="2033" w:type="dxa"/>
            <w:vAlign w:val="top"/>
          </w:tcPr>
          <w:p w14:paraId="5B47B77E">
            <w:pPr>
              <w:pStyle w:val="6"/>
              <w:spacing w:before="68" w:line="26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w:t>
            </w:r>
            <w:r>
              <w:rPr>
                <w:rFonts w:ascii="Times New Roman" w:hAnsi="Times New Roman" w:eastAsia="Times New Roman" w:cs="Times New Roman"/>
                <w:spacing w:val="-17"/>
                <w:position w:val="1"/>
                <w:sz w:val="20"/>
                <w:szCs w:val="20"/>
              </w:rPr>
              <w:t xml:space="preserve"> </w:t>
            </w:r>
            <w:r>
              <w:rPr>
                <w:rFonts w:ascii="Times New Roman" w:hAnsi="Times New Roman" w:eastAsia="Times New Roman" w:cs="Times New Roman"/>
                <w:spacing w:val="1"/>
                <w:position w:val="1"/>
                <w:sz w:val="20"/>
                <w:szCs w:val="20"/>
              </w:rPr>
              <w:t>159</w:t>
            </w:r>
            <w:r>
              <w:rPr>
                <w:spacing w:val="1"/>
                <w:position w:val="1"/>
                <w:sz w:val="20"/>
                <w:szCs w:val="20"/>
              </w:rPr>
              <w:t>±</w:t>
            </w:r>
            <w:r>
              <w:rPr>
                <w:rFonts w:ascii="Times New Roman" w:hAnsi="Times New Roman" w:eastAsia="Times New Roman" w:cs="Times New Roman"/>
                <w:spacing w:val="1"/>
                <w:position w:val="1"/>
                <w:sz w:val="20"/>
                <w:szCs w:val="20"/>
              </w:rPr>
              <w:t>0.007</w:t>
            </w:r>
          </w:p>
        </w:tc>
      </w:tr>
    </w:tbl>
    <w:p w14:paraId="3884552B">
      <w:pPr>
        <w:pStyle w:val="2"/>
        <w:spacing w:before="34" w:line="219" w:lineRule="auto"/>
        <w:ind w:right="24"/>
        <w:jc w:val="right"/>
      </w:pPr>
      <w:r>
        <w:t>禄劝县撒永山</w:t>
      </w:r>
      <w:r>
        <w:rPr>
          <w:rFonts w:ascii="Times New Roman" w:hAnsi="Times New Roman" w:eastAsia="Times New Roman" w:cs="Times New Roman"/>
        </w:rPr>
        <w:t xml:space="preserve">250MW </w:t>
      </w:r>
      <w:r>
        <w:t>光伏电站项目（</w:t>
      </w:r>
      <w:r>
        <w:rPr>
          <w:rFonts w:ascii="Times New Roman" w:hAnsi="Times New Roman" w:eastAsia="Times New Roman" w:cs="Times New Roman"/>
        </w:rPr>
        <w:t>220KV</w:t>
      </w:r>
      <w:r>
        <w:t>）衰减规律见图</w:t>
      </w:r>
      <w:r>
        <w:rPr>
          <w:spacing w:val="-48"/>
        </w:rPr>
        <w:t xml:space="preserve"> </w:t>
      </w:r>
      <w:r>
        <w:rPr>
          <w:rFonts w:ascii="Times New Roman" w:hAnsi="Times New Roman" w:eastAsia="Times New Roman" w:cs="Times New Roman"/>
        </w:rPr>
        <w:t>5-2</w:t>
      </w:r>
      <w:r>
        <w:rPr>
          <w:rFonts w:ascii="Times New Roman" w:hAnsi="Times New Roman" w:eastAsia="Times New Roman" w:cs="Times New Roman"/>
          <w:spacing w:val="-34"/>
        </w:rPr>
        <w:t xml:space="preserve"> </w:t>
      </w:r>
      <w:r>
        <w:t>、图</w:t>
      </w:r>
      <w:r>
        <w:rPr>
          <w:spacing w:val="-49"/>
        </w:rPr>
        <w:t xml:space="preserve"> </w:t>
      </w:r>
      <w:r>
        <w:rPr>
          <w:rFonts w:ascii="Times New Roman" w:hAnsi="Times New Roman" w:eastAsia="Times New Roman" w:cs="Times New Roman"/>
        </w:rPr>
        <w:t>5-</w:t>
      </w:r>
      <w:r>
        <w:rPr>
          <w:rFonts w:ascii="Times New Roman" w:hAnsi="Times New Roman" w:eastAsia="Times New Roman" w:cs="Times New Roman"/>
          <w:spacing w:val="-1"/>
        </w:rPr>
        <w:t>3</w:t>
      </w:r>
      <w:r>
        <w:rPr>
          <w:spacing w:val="-1"/>
        </w:rPr>
        <w:t>。</w:t>
      </w:r>
    </w:p>
    <w:p w14:paraId="673E4DBA">
      <w:pPr>
        <w:spacing w:before="116" w:line="4395" w:lineRule="exact"/>
        <w:ind w:firstLine="422"/>
      </w:pPr>
      <w:r>
        <w:rPr>
          <w:position w:val="-87"/>
        </w:rPr>
        <w:drawing>
          <wp:inline distT="0" distB="0" distL="0" distR="0">
            <wp:extent cx="4873625" cy="279082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34"/>
                    <a:stretch>
                      <a:fillRect/>
                    </a:stretch>
                  </pic:blipFill>
                  <pic:spPr>
                    <a:xfrm>
                      <a:off x="0" y="0"/>
                      <a:ext cx="4873625" cy="2790825"/>
                    </a:xfrm>
                    <a:prstGeom prst="rect">
                      <a:avLst/>
                    </a:prstGeom>
                  </pic:spPr>
                </pic:pic>
              </a:graphicData>
            </a:graphic>
          </wp:inline>
        </w:drawing>
      </w:r>
    </w:p>
    <w:p w14:paraId="242C181E">
      <w:pPr>
        <w:pStyle w:val="2"/>
        <w:spacing w:before="16" w:line="228" w:lineRule="auto"/>
        <w:ind w:left="1912"/>
        <w:rPr>
          <w:sz w:val="20"/>
          <w:szCs w:val="20"/>
        </w:rPr>
      </w:pPr>
      <w:r>
        <w:rPr>
          <w:b/>
          <w:bCs/>
          <w:spacing w:val="6"/>
          <w:sz w:val="20"/>
          <w:szCs w:val="20"/>
        </w:rPr>
        <w:t>图</w:t>
      </w:r>
      <w:r>
        <w:rPr>
          <w:spacing w:val="-40"/>
          <w:sz w:val="20"/>
          <w:szCs w:val="20"/>
        </w:rPr>
        <w:t xml:space="preserve"> </w:t>
      </w:r>
      <w:r>
        <w:rPr>
          <w:rFonts w:ascii="Times New Roman" w:hAnsi="Times New Roman" w:eastAsia="Times New Roman" w:cs="Times New Roman"/>
          <w:b/>
          <w:bCs/>
          <w:spacing w:val="6"/>
          <w:sz w:val="20"/>
          <w:szCs w:val="20"/>
        </w:rPr>
        <w:t xml:space="preserve">5-2    </w:t>
      </w:r>
      <w:r>
        <w:rPr>
          <w:b/>
          <w:bCs/>
          <w:spacing w:val="6"/>
          <w:sz w:val="20"/>
          <w:szCs w:val="20"/>
        </w:rPr>
        <w:t>类比变电站工频电场强度随距</w:t>
      </w:r>
      <w:r>
        <w:rPr>
          <w:b/>
          <w:bCs/>
          <w:spacing w:val="5"/>
          <w:sz w:val="20"/>
          <w:szCs w:val="20"/>
        </w:rPr>
        <w:t>离衰减趋势图</w:t>
      </w:r>
    </w:p>
    <w:p w14:paraId="60598AA0">
      <w:pPr>
        <w:spacing w:line="228" w:lineRule="auto"/>
        <w:rPr>
          <w:sz w:val="20"/>
          <w:szCs w:val="20"/>
        </w:rPr>
        <w:sectPr>
          <w:footerReference r:id="rId192" w:type="default"/>
          <w:pgSz w:w="11906" w:h="16839"/>
          <w:pgMar w:top="1431" w:right="1693" w:bottom="1263" w:left="1690" w:header="0" w:footer="1073" w:gutter="0"/>
          <w:cols w:space="720" w:num="1"/>
        </w:sectPr>
      </w:pPr>
    </w:p>
    <w:p w14:paraId="019408C2">
      <w:pPr>
        <w:spacing w:line="4380" w:lineRule="exact"/>
        <w:ind w:firstLine="327"/>
      </w:pPr>
      <w:r>
        <w:rPr>
          <w:position w:val="-87"/>
        </w:rPr>
        <w:drawing>
          <wp:inline distT="0" distB="0" distL="0" distR="0">
            <wp:extent cx="4864100" cy="27813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35"/>
                    <a:stretch>
                      <a:fillRect/>
                    </a:stretch>
                  </pic:blipFill>
                  <pic:spPr>
                    <a:xfrm>
                      <a:off x="0" y="0"/>
                      <a:ext cx="4864100" cy="2781300"/>
                    </a:xfrm>
                    <a:prstGeom prst="rect">
                      <a:avLst/>
                    </a:prstGeom>
                  </pic:spPr>
                </pic:pic>
              </a:graphicData>
            </a:graphic>
          </wp:inline>
        </w:drawing>
      </w:r>
    </w:p>
    <w:p w14:paraId="4BE8B4E2">
      <w:pPr>
        <w:pStyle w:val="2"/>
        <w:spacing w:line="227" w:lineRule="auto"/>
        <w:ind w:left="1710"/>
        <w:rPr>
          <w:sz w:val="20"/>
          <w:szCs w:val="20"/>
        </w:rPr>
      </w:pPr>
      <w:r>
        <w:rPr>
          <w:b/>
          <w:bCs/>
          <w:spacing w:val="6"/>
          <w:sz w:val="20"/>
          <w:szCs w:val="20"/>
        </w:rPr>
        <w:t>图</w:t>
      </w:r>
      <w:r>
        <w:rPr>
          <w:spacing w:val="-38"/>
          <w:sz w:val="20"/>
          <w:szCs w:val="20"/>
        </w:rPr>
        <w:t xml:space="preserve"> </w:t>
      </w:r>
      <w:r>
        <w:rPr>
          <w:rFonts w:ascii="Times New Roman" w:hAnsi="Times New Roman" w:eastAsia="Times New Roman" w:cs="Times New Roman"/>
          <w:b/>
          <w:bCs/>
          <w:spacing w:val="6"/>
          <w:sz w:val="20"/>
          <w:szCs w:val="20"/>
        </w:rPr>
        <w:t xml:space="preserve">5-3    </w:t>
      </w:r>
      <w:r>
        <w:rPr>
          <w:b/>
          <w:bCs/>
          <w:spacing w:val="6"/>
          <w:sz w:val="20"/>
          <w:szCs w:val="20"/>
        </w:rPr>
        <w:t>类比变电站工频磁感应强度随距离衰减</w:t>
      </w:r>
      <w:r>
        <w:rPr>
          <w:b/>
          <w:bCs/>
          <w:spacing w:val="5"/>
          <w:sz w:val="20"/>
          <w:szCs w:val="20"/>
        </w:rPr>
        <w:t>趋势图</w:t>
      </w:r>
    </w:p>
    <w:p w14:paraId="14FE3C10">
      <w:pPr>
        <w:pStyle w:val="2"/>
        <w:spacing w:before="164" w:line="355" w:lineRule="auto"/>
        <w:ind w:left="25" w:firstLine="480"/>
        <w:rPr>
          <w:rFonts w:ascii="Times New Roman" w:hAnsi="Times New Roman" w:eastAsia="Times New Roman" w:cs="Times New Roman"/>
        </w:rPr>
      </w:pPr>
      <w:r>
        <w:rPr>
          <w:spacing w:val="-4"/>
        </w:rPr>
        <w:t>根据上表监测结果可知，类比禄劝县撒永山</w:t>
      </w:r>
      <w:r>
        <w:rPr>
          <w:rFonts w:ascii="Times New Roman" w:hAnsi="Times New Roman" w:eastAsia="Times New Roman" w:cs="Times New Roman"/>
          <w:spacing w:val="-4"/>
        </w:rPr>
        <w:t xml:space="preserve">250MW </w:t>
      </w:r>
      <w:r>
        <w:rPr>
          <w:spacing w:val="-4"/>
        </w:rPr>
        <w:t>光伏电站项目（</w:t>
      </w:r>
      <w:r>
        <w:rPr>
          <w:rFonts w:ascii="Times New Roman" w:hAnsi="Times New Roman" w:eastAsia="Times New Roman" w:cs="Times New Roman"/>
          <w:spacing w:val="-4"/>
        </w:rPr>
        <w:t>220KV</w:t>
      </w:r>
      <w:r>
        <w:rPr>
          <w:spacing w:val="-4"/>
        </w:rPr>
        <w:t>）</w:t>
      </w:r>
      <w:r>
        <w:rPr>
          <w:spacing w:val="15"/>
        </w:rPr>
        <w:t xml:space="preserve"> </w:t>
      </w:r>
      <w:r>
        <w:rPr>
          <w:spacing w:val="-2"/>
        </w:rPr>
        <w:t>厂界围墙</w:t>
      </w:r>
      <w:r>
        <w:rPr>
          <w:spacing w:val="-49"/>
        </w:rPr>
        <w:t xml:space="preserve"> </w:t>
      </w:r>
      <w:r>
        <w:rPr>
          <w:rFonts w:ascii="Times New Roman" w:hAnsi="Times New Roman" w:eastAsia="Times New Roman" w:cs="Times New Roman"/>
          <w:spacing w:val="-2"/>
        </w:rPr>
        <w:t>5m</w:t>
      </w:r>
      <w:r>
        <w:rPr>
          <w:rFonts w:ascii="Times New Roman" w:hAnsi="Times New Roman" w:eastAsia="Times New Roman" w:cs="Times New Roman"/>
          <w:spacing w:val="15"/>
        </w:rPr>
        <w:t xml:space="preserve"> </w:t>
      </w:r>
      <w:r>
        <w:rPr>
          <w:spacing w:val="-2"/>
        </w:rPr>
        <w:t>处测得的工频电场范围为</w:t>
      </w:r>
      <w:r>
        <w:rPr>
          <w:spacing w:val="-55"/>
        </w:rPr>
        <w:t xml:space="preserve"> </w:t>
      </w:r>
      <w:r>
        <w:rPr>
          <w:rFonts w:ascii="Times New Roman" w:hAnsi="Times New Roman" w:eastAsia="Times New Roman" w:cs="Times New Roman"/>
          <w:spacing w:val="-2"/>
        </w:rPr>
        <w:t>25.09±0.886V/m</w:t>
      </w:r>
      <w:r>
        <w:rPr>
          <w:spacing w:val="-2"/>
        </w:rPr>
        <w:t>～</w:t>
      </w:r>
      <w:r>
        <w:rPr>
          <w:rFonts w:ascii="Times New Roman" w:hAnsi="Times New Roman" w:eastAsia="Times New Roman" w:cs="Times New Roman"/>
          <w:spacing w:val="-3"/>
        </w:rPr>
        <w:t>1670</w:t>
      </w:r>
      <w:r>
        <w:rPr>
          <w:spacing w:val="-3"/>
        </w:rPr>
        <w:t>±</w:t>
      </w:r>
      <w:r>
        <w:rPr>
          <w:rFonts w:ascii="Times New Roman" w:hAnsi="Times New Roman" w:eastAsia="Times New Roman" w:cs="Times New Roman"/>
          <w:spacing w:val="-3"/>
        </w:rPr>
        <w:t>11.08V/m</w:t>
      </w:r>
      <w:r>
        <w:rPr>
          <w:spacing w:val="-3"/>
        </w:rPr>
        <w:t>，工频</w:t>
      </w:r>
      <w:r>
        <w:t xml:space="preserve"> </w:t>
      </w:r>
      <w:r>
        <w:rPr>
          <w:spacing w:val="-5"/>
        </w:rPr>
        <w:t>磁感应强度范围为</w:t>
      </w:r>
      <w:r>
        <w:rPr>
          <w:spacing w:val="-51"/>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 xml:space="preserve">178±0.007 </w:t>
      </w:r>
      <w:r>
        <w:rPr>
          <w:spacing w:val="-5"/>
        </w:rPr>
        <w:t>μ</w:t>
      </w:r>
      <w:r>
        <w:rPr>
          <w:rFonts w:ascii="Times New Roman" w:hAnsi="Times New Roman" w:eastAsia="Times New Roman" w:cs="Times New Roman"/>
          <w:spacing w:val="-5"/>
        </w:rPr>
        <w:t>T</w:t>
      </w:r>
      <w:r>
        <w:rPr>
          <w:spacing w:val="-5"/>
        </w:rPr>
        <w:t>～</w:t>
      </w:r>
      <w:r>
        <w:rPr>
          <w:rFonts w:ascii="Times New Roman" w:hAnsi="Times New Roman" w:eastAsia="Times New Roman" w:cs="Times New Roman"/>
          <w:spacing w:val="-6"/>
        </w:rPr>
        <w:t>2.702</w:t>
      </w:r>
      <w:r>
        <w:rPr>
          <w:spacing w:val="-6"/>
        </w:rPr>
        <w:t>±</w:t>
      </w:r>
      <w:r>
        <w:rPr>
          <w:rFonts w:ascii="Times New Roman" w:hAnsi="Times New Roman" w:eastAsia="Times New Roman" w:cs="Times New Roman"/>
          <w:spacing w:val="-6"/>
        </w:rPr>
        <w:t xml:space="preserve">0.048 </w:t>
      </w:r>
      <w:r>
        <w:rPr>
          <w:spacing w:val="-6"/>
        </w:rPr>
        <w:t>μ</w:t>
      </w:r>
      <w:r>
        <w:rPr>
          <w:rFonts w:ascii="Times New Roman" w:hAnsi="Times New Roman" w:eastAsia="Times New Roman" w:cs="Times New Roman"/>
          <w:spacing w:val="-6"/>
        </w:rPr>
        <w:t>T</w:t>
      </w:r>
      <w:r>
        <w:rPr>
          <w:spacing w:val="-6"/>
        </w:rPr>
        <w:t>，均满足《电磁环境控制限</w:t>
      </w:r>
      <w:r>
        <w:t xml:space="preserve"> </w:t>
      </w:r>
      <w:r>
        <w:rPr>
          <w:spacing w:val="-1"/>
        </w:rPr>
        <w:t>值》（</w:t>
      </w:r>
      <w:r>
        <w:rPr>
          <w:rFonts w:ascii="Times New Roman" w:hAnsi="Times New Roman" w:eastAsia="Times New Roman" w:cs="Times New Roman"/>
          <w:spacing w:val="-1"/>
        </w:rPr>
        <w:t>GB</w:t>
      </w:r>
      <w:r>
        <w:rPr>
          <w:rFonts w:ascii="Times New Roman" w:hAnsi="Times New Roman" w:eastAsia="Times New Roman" w:cs="Times New Roman"/>
          <w:spacing w:val="16"/>
        </w:rPr>
        <w:t xml:space="preserve"> </w:t>
      </w:r>
      <w:r>
        <w:rPr>
          <w:rFonts w:ascii="Times New Roman" w:hAnsi="Times New Roman" w:eastAsia="Times New Roman" w:cs="Times New Roman"/>
          <w:spacing w:val="-1"/>
        </w:rPr>
        <w:t>8702-2014</w:t>
      </w:r>
      <w:r>
        <w:rPr>
          <w:spacing w:val="-1"/>
        </w:rPr>
        <w:t>）中工频电场强度</w:t>
      </w:r>
      <w:r>
        <w:rPr>
          <w:spacing w:val="-57"/>
        </w:rPr>
        <w:t xml:space="preserve"> </w:t>
      </w:r>
      <w:r>
        <w:rPr>
          <w:rFonts w:ascii="Times New Roman" w:hAnsi="Times New Roman" w:eastAsia="Times New Roman" w:cs="Times New Roman"/>
          <w:spacing w:val="-1"/>
        </w:rPr>
        <w:t>40</w:t>
      </w:r>
      <w:r>
        <w:rPr>
          <w:rFonts w:ascii="Times New Roman" w:hAnsi="Times New Roman" w:eastAsia="Times New Roman" w:cs="Times New Roman"/>
          <w:spacing w:val="-2"/>
        </w:rPr>
        <w:t>00V/m</w:t>
      </w:r>
      <w:r>
        <w:rPr>
          <w:rFonts w:ascii="Times New Roman" w:hAnsi="Times New Roman" w:eastAsia="Times New Roman" w:cs="Times New Roman"/>
          <w:spacing w:val="30"/>
          <w:w w:val="101"/>
        </w:rPr>
        <w:t xml:space="preserve"> </w:t>
      </w:r>
      <w:r>
        <w:rPr>
          <w:spacing w:val="-2"/>
        </w:rPr>
        <w:t>的限值要求和工频磁感应强度</w:t>
      </w:r>
      <w:r>
        <w:t xml:space="preserve">  </w:t>
      </w:r>
      <w:r>
        <w:rPr>
          <w:rFonts w:ascii="Times New Roman" w:hAnsi="Times New Roman" w:eastAsia="Times New Roman" w:cs="Times New Roman"/>
          <w:spacing w:val="-6"/>
        </w:rPr>
        <w:t>100μT</w:t>
      </w:r>
      <w:r>
        <w:rPr>
          <w:rFonts w:ascii="Times New Roman" w:hAnsi="Times New Roman" w:eastAsia="Times New Roman" w:cs="Times New Roman"/>
          <w:spacing w:val="29"/>
        </w:rPr>
        <w:t xml:space="preserve"> </w:t>
      </w:r>
      <w:r>
        <w:rPr>
          <w:spacing w:val="-6"/>
        </w:rPr>
        <w:t>的限值要求。升压站西北侧</w:t>
      </w:r>
      <w:r>
        <w:rPr>
          <w:spacing w:val="-49"/>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10</w:t>
      </w:r>
      <w:r>
        <w:rPr>
          <w:rFonts w:ascii="Times New Roman" w:hAnsi="Times New Roman" w:eastAsia="Times New Roman" w:cs="Times New Roman"/>
          <w:spacing w:val="-33"/>
        </w:rPr>
        <w:t xml:space="preserve"> </w:t>
      </w:r>
      <w:r>
        <w:rPr>
          <w:spacing w:val="-6"/>
        </w:rPr>
        <w:t>、</w:t>
      </w:r>
      <w:r>
        <w:rPr>
          <w:rFonts w:ascii="Times New Roman" w:hAnsi="Times New Roman" w:eastAsia="Times New Roman" w:cs="Times New Roman"/>
          <w:spacing w:val="-6"/>
        </w:rPr>
        <w:t>15</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20</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25</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30</w:t>
      </w:r>
      <w:r>
        <w:rPr>
          <w:rFonts w:ascii="Times New Roman" w:hAnsi="Times New Roman" w:eastAsia="Times New Roman" w:cs="Times New Roman"/>
          <w:spacing w:val="-34"/>
        </w:rPr>
        <w:t xml:space="preserve"> </w:t>
      </w:r>
      <w:r>
        <w:rPr>
          <w:spacing w:val="-6"/>
        </w:rPr>
        <w:t>、</w:t>
      </w:r>
      <w:r>
        <w:rPr>
          <w:rFonts w:ascii="Times New Roman" w:hAnsi="Times New Roman" w:eastAsia="Times New Roman" w:cs="Times New Roman"/>
          <w:spacing w:val="-6"/>
        </w:rPr>
        <w:t>35</w:t>
      </w:r>
      <w:r>
        <w:rPr>
          <w:rFonts w:ascii="Times New Roman" w:hAnsi="Times New Roman" w:eastAsia="Times New Roman" w:cs="Times New Roman"/>
          <w:spacing w:val="-34"/>
        </w:rPr>
        <w:t xml:space="preserve"> </w:t>
      </w:r>
      <w:r>
        <w:rPr>
          <w:spacing w:val="-7"/>
        </w:rPr>
        <w:t>、</w:t>
      </w:r>
      <w:r>
        <w:rPr>
          <w:rFonts w:ascii="Times New Roman" w:hAnsi="Times New Roman" w:eastAsia="Times New Roman" w:cs="Times New Roman"/>
          <w:spacing w:val="-7"/>
        </w:rPr>
        <w:t>40</w:t>
      </w:r>
      <w:r>
        <w:rPr>
          <w:rFonts w:ascii="Times New Roman" w:hAnsi="Times New Roman" w:eastAsia="Times New Roman" w:cs="Times New Roman"/>
          <w:spacing w:val="-34"/>
        </w:rPr>
        <w:t xml:space="preserve"> </w:t>
      </w:r>
      <w:r>
        <w:rPr>
          <w:spacing w:val="-7"/>
        </w:rPr>
        <w:t>、</w:t>
      </w:r>
      <w:r>
        <w:rPr>
          <w:rFonts w:ascii="Times New Roman" w:hAnsi="Times New Roman" w:eastAsia="Times New Roman" w:cs="Times New Roman"/>
          <w:spacing w:val="-7"/>
        </w:rPr>
        <w:t>45</w:t>
      </w:r>
      <w:r>
        <w:rPr>
          <w:rFonts w:ascii="Times New Roman" w:hAnsi="Times New Roman" w:eastAsia="Times New Roman" w:cs="Times New Roman"/>
          <w:spacing w:val="-33"/>
        </w:rPr>
        <w:t xml:space="preserve"> </w:t>
      </w:r>
      <w:r>
        <w:rPr>
          <w:spacing w:val="-7"/>
        </w:rPr>
        <w:t>、</w:t>
      </w:r>
      <w:r>
        <w:rPr>
          <w:rFonts w:ascii="Times New Roman" w:hAnsi="Times New Roman" w:eastAsia="Times New Roman" w:cs="Times New Roman"/>
          <w:spacing w:val="-7"/>
        </w:rPr>
        <w:t>50m</w:t>
      </w:r>
      <w:r>
        <w:rPr>
          <w:rFonts w:ascii="Times New Roman" w:hAnsi="Times New Roman" w:eastAsia="Times New Roman" w:cs="Times New Roman"/>
        </w:rPr>
        <w:t xml:space="preserve">   </w:t>
      </w:r>
      <w:r>
        <w:rPr>
          <w:spacing w:val="-1"/>
        </w:rPr>
        <w:t>衰减断面处工频电场强度范围为</w:t>
      </w:r>
      <w:r>
        <w:rPr>
          <w:spacing w:val="-55"/>
        </w:rPr>
        <w:t xml:space="preserve"> </w:t>
      </w:r>
      <w:r>
        <w:rPr>
          <w:rFonts w:ascii="Times New Roman" w:hAnsi="Times New Roman" w:eastAsia="Times New Roman" w:cs="Times New Roman"/>
          <w:spacing w:val="-1"/>
        </w:rPr>
        <w:t>276.</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
        </w:rPr>
        <w:t>±7.237</w:t>
      </w:r>
      <w:r>
        <w:rPr>
          <w:spacing w:val="-2"/>
        </w:rPr>
        <w:t>～</w:t>
      </w:r>
      <w:r>
        <w:rPr>
          <w:rFonts w:ascii="Times New Roman" w:hAnsi="Times New Roman" w:eastAsia="Times New Roman" w:cs="Times New Roman"/>
          <w:spacing w:val="-2"/>
        </w:rPr>
        <w:t>1670</w:t>
      </w:r>
      <w:r>
        <w:rPr>
          <w:spacing w:val="-2"/>
        </w:rPr>
        <w:t>±</w:t>
      </w:r>
      <w:r>
        <w:rPr>
          <w:rFonts w:ascii="Times New Roman" w:hAnsi="Times New Roman" w:eastAsia="Times New Roman" w:cs="Times New Roman"/>
          <w:spacing w:val="-2"/>
        </w:rPr>
        <w:t>11.08V/m</w:t>
      </w:r>
      <w:r>
        <w:rPr>
          <w:rFonts w:ascii="Times New Roman" w:hAnsi="Times New Roman" w:eastAsia="Times New Roman" w:cs="Times New Roman"/>
          <w:spacing w:val="-30"/>
        </w:rPr>
        <w:t xml:space="preserve"> </w:t>
      </w:r>
      <w:r>
        <w:rPr>
          <w:spacing w:val="-2"/>
        </w:rPr>
        <w:t>，工频磁场感应</w:t>
      </w:r>
      <w:r>
        <w:t xml:space="preserve">  </w:t>
      </w:r>
      <w:r>
        <w:rPr>
          <w:spacing w:val="-2"/>
        </w:rPr>
        <w:t>强度范围为</w:t>
      </w:r>
      <w:r>
        <w:rPr>
          <w:spacing w:val="-35"/>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159±0.007~0.575±0.041μT</w:t>
      </w:r>
      <w:r>
        <w:rPr>
          <w:rFonts w:ascii="Times New Roman" w:hAnsi="Times New Roman" w:eastAsia="Times New Roman" w:cs="Times New Roman"/>
          <w:spacing w:val="-29"/>
        </w:rPr>
        <w:t xml:space="preserve"> </w:t>
      </w:r>
      <w:r>
        <w:rPr>
          <w:spacing w:val="-2"/>
        </w:rPr>
        <w:t>，均满足《电磁环境控制限值》（</w:t>
      </w:r>
      <w:r>
        <w:rPr>
          <w:rFonts w:ascii="Times New Roman" w:hAnsi="Times New Roman" w:eastAsia="Times New Roman" w:cs="Times New Roman"/>
          <w:spacing w:val="-2"/>
        </w:rPr>
        <w:t>GB</w:t>
      </w:r>
    </w:p>
    <w:p w14:paraId="3675B626">
      <w:pPr>
        <w:pStyle w:val="2"/>
        <w:spacing w:before="39" w:line="232" w:lineRule="auto"/>
        <w:ind w:left="31"/>
      </w:pPr>
      <w:r>
        <w:rPr>
          <w:rFonts w:ascii="Times New Roman" w:hAnsi="Times New Roman" w:eastAsia="Times New Roman" w:cs="Times New Roman"/>
          <w:spacing w:val="-2"/>
        </w:rPr>
        <w:t>8702-2014</w:t>
      </w:r>
      <w:r>
        <w:rPr>
          <w:spacing w:val="-2"/>
        </w:rPr>
        <w:t>）。</w:t>
      </w:r>
    </w:p>
    <w:p w14:paraId="180AA2D6">
      <w:pPr>
        <w:pStyle w:val="2"/>
        <w:spacing w:before="167" w:line="352" w:lineRule="auto"/>
        <w:ind w:left="25" w:right="18" w:firstLine="480"/>
        <w:jc w:val="both"/>
      </w:pPr>
      <w:r>
        <w:rPr>
          <w:spacing w:val="-5"/>
        </w:rPr>
        <w:t>本项目与禄劝县撒永山</w:t>
      </w:r>
      <w:r>
        <w:rPr>
          <w:rFonts w:ascii="Times New Roman" w:hAnsi="Times New Roman" w:eastAsia="Times New Roman" w:cs="Times New Roman"/>
          <w:spacing w:val="-5"/>
        </w:rPr>
        <w:t xml:space="preserve">250MW </w:t>
      </w:r>
      <w:r>
        <w:rPr>
          <w:spacing w:val="-5"/>
        </w:rPr>
        <w:t>光伏电站相比，类比站电压等级、布置形式、</w:t>
      </w:r>
      <w:r>
        <w:rPr>
          <w:spacing w:val="10"/>
        </w:rPr>
        <w:t xml:space="preserve"> </w:t>
      </w:r>
      <w:r>
        <w:rPr>
          <w:spacing w:val="-3"/>
        </w:rPr>
        <w:t>出线方式，母线形式及环境条件均与本项目一致，主变数量、总容量、</w:t>
      </w:r>
      <w:r>
        <w:rPr>
          <w:spacing w:val="-4"/>
        </w:rPr>
        <w:t>占地面积</w:t>
      </w:r>
      <w:r>
        <w:t xml:space="preserve"> </w:t>
      </w:r>
      <w:r>
        <w:rPr>
          <w:spacing w:val="-3"/>
        </w:rPr>
        <w:t>类比项目大于本项目。因此，本项目建成后工频电场强度与工频磁感应</w:t>
      </w:r>
      <w:r>
        <w:rPr>
          <w:spacing w:val="-4"/>
        </w:rPr>
        <w:t>强度能够</w:t>
      </w:r>
      <w:r>
        <w:t xml:space="preserve"> </w:t>
      </w:r>
      <w:r>
        <w:rPr>
          <w:spacing w:val="-1"/>
        </w:rPr>
        <w:t>满足《电磁环境控制限值》（</w:t>
      </w:r>
      <w:r>
        <w:rPr>
          <w:rFonts w:ascii="Times New Roman" w:hAnsi="Times New Roman" w:eastAsia="Times New Roman" w:cs="Times New Roman"/>
          <w:spacing w:val="-1"/>
        </w:rPr>
        <w:t>GB</w:t>
      </w:r>
      <w:r>
        <w:rPr>
          <w:rFonts w:ascii="Times New Roman" w:hAnsi="Times New Roman" w:eastAsia="Times New Roman" w:cs="Times New Roman"/>
          <w:spacing w:val="17"/>
        </w:rPr>
        <w:t xml:space="preserve"> </w:t>
      </w:r>
      <w:r>
        <w:rPr>
          <w:rFonts w:ascii="Times New Roman" w:hAnsi="Times New Roman" w:eastAsia="Times New Roman" w:cs="Times New Roman"/>
          <w:spacing w:val="-1"/>
        </w:rPr>
        <w:t>8702-2014</w:t>
      </w:r>
      <w:r>
        <w:rPr>
          <w:spacing w:val="-1"/>
        </w:rPr>
        <w:t>）要求。</w:t>
      </w:r>
    </w:p>
    <w:p w14:paraId="051B27BE">
      <w:pPr>
        <w:pStyle w:val="2"/>
        <w:spacing w:before="41" w:line="221" w:lineRule="auto"/>
        <w:ind w:left="26"/>
        <w:outlineLvl w:val="1"/>
        <w:rPr>
          <w:sz w:val="28"/>
          <w:szCs w:val="28"/>
        </w:rPr>
      </w:pPr>
      <w:r>
        <w:rPr>
          <w:rFonts w:ascii="Times New Roman" w:hAnsi="Times New Roman" w:eastAsia="Times New Roman" w:cs="Times New Roman"/>
          <w:b/>
          <w:bCs/>
          <w:spacing w:val="-2"/>
          <w:sz w:val="28"/>
          <w:szCs w:val="28"/>
        </w:rPr>
        <w:t xml:space="preserve">5.5 </w:t>
      </w:r>
      <w:r>
        <w:rPr>
          <w:b/>
          <w:bCs/>
          <w:spacing w:val="-2"/>
          <w:sz w:val="28"/>
          <w:szCs w:val="28"/>
        </w:rPr>
        <w:t>对外环境影响</w:t>
      </w:r>
    </w:p>
    <w:p w14:paraId="50A742F2">
      <w:pPr>
        <w:pStyle w:val="2"/>
        <w:spacing w:before="203" w:line="354" w:lineRule="auto"/>
        <w:ind w:left="27" w:right="99" w:firstLine="478"/>
        <w:jc w:val="both"/>
      </w:pPr>
      <w:r>
        <w:rPr>
          <w:spacing w:val="-3"/>
        </w:rPr>
        <w:t>根据类比分析，本项目建成运营后评价范围内的工频</w:t>
      </w:r>
      <w:r>
        <w:rPr>
          <w:spacing w:val="-4"/>
        </w:rPr>
        <w:t>电场强度及工频磁感应</w:t>
      </w:r>
      <w:r>
        <w:t xml:space="preserve"> </w:t>
      </w:r>
      <w:r>
        <w:rPr>
          <w:spacing w:val="-1"/>
        </w:rPr>
        <w:t>强度分别满足《电磁环境控制限值》（</w:t>
      </w:r>
      <w:r>
        <w:rPr>
          <w:rFonts w:ascii="Times New Roman" w:hAnsi="Times New Roman" w:eastAsia="Times New Roman" w:cs="Times New Roman"/>
          <w:spacing w:val="-1"/>
        </w:rPr>
        <w:t>GB8702-2014</w:t>
      </w:r>
      <w:r>
        <w:rPr>
          <w:spacing w:val="-1"/>
        </w:rPr>
        <w:t>）所规定的标准限</w:t>
      </w:r>
      <w:r>
        <w:rPr>
          <w:spacing w:val="-2"/>
        </w:rPr>
        <w:t>值，根据</w:t>
      </w:r>
      <w:r>
        <w:t xml:space="preserve"> </w:t>
      </w:r>
      <w:r>
        <w:rPr>
          <w:spacing w:val="-1"/>
        </w:rPr>
        <w:t>现场踏勘，本项目升压站</w:t>
      </w:r>
      <w:r>
        <w:rPr>
          <w:spacing w:val="-53"/>
        </w:rPr>
        <w:t xml:space="preserve"> </w:t>
      </w:r>
      <w:r>
        <w:rPr>
          <w:rFonts w:ascii="Times New Roman" w:hAnsi="Times New Roman" w:eastAsia="Times New Roman" w:cs="Times New Roman"/>
          <w:spacing w:val="-1"/>
        </w:rPr>
        <w:t>40m</w:t>
      </w:r>
      <w:r>
        <w:rPr>
          <w:rFonts w:ascii="Times New Roman" w:hAnsi="Times New Roman" w:eastAsia="Times New Roman" w:cs="Times New Roman"/>
          <w:spacing w:val="16"/>
        </w:rPr>
        <w:t xml:space="preserve"> </w:t>
      </w:r>
      <w:r>
        <w:rPr>
          <w:spacing w:val="-1"/>
        </w:rPr>
        <w:t>范围内无住宅、学校、医院、办公楼、工厂等有</w:t>
      </w:r>
      <w:r>
        <w:t xml:space="preserve"> </w:t>
      </w:r>
      <w:r>
        <w:rPr>
          <w:spacing w:val="-3"/>
        </w:rPr>
        <w:t>公众居住、工作或学习的建筑物，电场强度和磁感应强度均有随距</w:t>
      </w:r>
      <w:r>
        <w:rPr>
          <w:spacing w:val="-4"/>
        </w:rPr>
        <w:t>离增加而减小</w:t>
      </w:r>
      <w:r>
        <w:t xml:space="preserve"> 的特征，因此升压站建成后产生的工频电场和</w:t>
      </w:r>
      <w:r>
        <w:rPr>
          <w:spacing w:val="-1"/>
        </w:rPr>
        <w:t>工频磁场对外环境影响较小。</w:t>
      </w:r>
    </w:p>
    <w:p w14:paraId="6BE23154">
      <w:pPr>
        <w:spacing w:line="354" w:lineRule="auto"/>
        <w:sectPr>
          <w:footerReference r:id="rId193" w:type="default"/>
          <w:pgSz w:w="11906" w:h="16839"/>
          <w:pgMar w:top="1410" w:right="1702" w:bottom="1263" w:left="1785" w:header="0" w:footer="1073" w:gutter="0"/>
          <w:cols w:space="720" w:num="1"/>
        </w:sectPr>
      </w:pPr>
    </w:p>
    <w:p w14:paraId="5DBC156B">
      <w:pPr>
        <w:pStyle w:val="2"/>
        <w:spacing w:before="55" w:line="221" w:lineRule="auto"/>
        <w:ind w:left="26"/>
        <w:outlineLvl w:val="1"/>
        <w:rPr>
          <w:sz w:val="28"/>
          <w:szCs w:val="28"/>
        </w:rPr>
      </w:pPr>
      <w:r>
        <w:rPr>
          <w:rFonts w:ascii="Times New Roman" w:hAnsi="Times New Roman" w:eastAsia="Times New Roman" w:cs="Times New Roman"/>
          <w:b/>
          <w:bCs/>
          <w:spacing w:val="-7"/>
          <w:sz w:val="28"/>
          <w:szCs w:val="28"/>
        </w:rPr>
        <w:t>5.6</w:t>
      </w:r>
      <w:r>
        <w:rPr>
          <w:rFonts w:ascii="Times New Roman" w:hAnsi="Times New Roman" w:eastAsia="Times New Roman" w:cs="Times New Roman"/>
          <w:b/>
          <w:bCs/>
          <w:spacing w:val="51"/>
          <w:w w:val="101"/>
          <w:sz w:val="28"/>
          <w:szCs w:val="28"/>
        </w:rPr>
        <w:t xml:space="preserve"> </w:t>
      </w:r>
      <w:r>
        <w:rPr>
          <w:b/>
          <w:bCs/>
          <w:spacing w:val="-7"/>
          <w:sz w:val="28"/>
          <w:szCs w:val="28"/>
        </w:rPr>
        <w:t>电磁环境达标距离</w:t>
      </w:r>
    </w:p>
    <w:p w14:paraId="5C45D48A">
      <w:pPr>
        <w:pStyle w:val="2"/>
        <w:spacing w:before="203" w:line="354" w:lineRule="auto"/>
        <w:ind w:left="20" w:firstLine="485"/>
        <w:jc w:val="both"/>
      </w:pPr>
      <w:r>
        <w:rPr>
          <w:spacing w:val="-3"/>
        </w:rPr>
        <w:t>根据电磁环境影响预测分析结果，本项目升压站产生</w:t>
      </w:r>
      <w:r>
        <w:rPr>
          <w:spacing w:val="-4"/>
        </w:rPr>
        <w:t>的工频电场强度、工频</w:t>
      </w:r>
      <w:r>
        <w:t xml:space="preserve"> </w:t>
      </w:r>
      <w:r>
        <w:rPr>
          <w:spacing w:val="10"/>
        </w:rPr>
        <w:t>磁感应强度均满足《电磁环境控制限值》</w:t>
      </w:r>
      <w:r>
        <w:rPr>
          <w:spacing w:val="-87"/>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8</w:t>
      </w:r>
      <w:r>
        <w:rPr>
          <w:rFonts w:ascii="Times New Roman" w:hAnsi="Times New Roman" w:eastAsia="Times New Roman" w:cs="Times New Roman"/>
          <w:spacing w:val="9"/>
        </w:rPr>
        <w:t>702-2014</w:t>
      </w:r>
      <w:r>
        <w:rPr>
          <w:spacing w:val="9"/>
        </w:rPr>
        <w:t>）</w:t>
      </w:r>
      <w:r>
        <w:rPr>
          <w:spacing w:val="-54"/>
        </w:rPr>
        <w:t xml:space="preserve"> </w:t>
      </w:r>
      <w:r>
        <w:rPr>
          <w:spacing w:val="9"/>
        </w:rPr>
        <w:t>中工频电场强度</w:t>
      </w:r>
      <w:r>
        <w:t xml:space="preserve"> </w:t>
      </w:r>
      <w:r>
        <w:rPr>
          <w:rFonts w:ascii="Times New Roman" w:hAnsi="Times New Roman" w:eastAsia="Times New Roman" w:cs="Times New Roman"/>
          <w:spacing w:val="1"/>
        </w:rPr>
        <w:t xml:space="preserve">4000V/m </w:t>
      </w:r>
      <w:r>
        <w:rPr>
          <w:spacing w:val="1"/>
        </w:rPr>
        <w:t>和工频磁感应强度</w:t>
      </w:r>
      <w:r>
        <w:rPr>
          <w:spacing w:val="-27"/>
        </w:rPr>
        <w:t xml:space="preserve"> </w:t>
      </w:r>
      <w:r>
        <w:rPr>
          <w:rFonts w:ascii="Times New Roman" w:hAnsi="Times New Roman" w:eastAsia="Times New Roman" w:cs="Times New Roman"/>
          <w:spacing w:val="1"/>
        </w:rPr>
        <w:t>100μT</w:t>
      </w:r>
      <w:r>
        <w:rPr>
          <w:rFonts w:ascii="Times New Roman" w:hAnsi="Times New Roman" w:eastAsia="Times New Roman" w:cs="Times New Roman"/>
          <w:spacing w:val="34"/>
        </w:rPr>
        <w:t xml:space="preserve"> </w:t>
      </w:r>
      <w:r>
        <w:rPr>
          <w:spacing w:val="1"/>
        </w:rPr>
        <w:t>的评价标</w:t>
      </w:r>
      <w:r>
        <w:t xml:space="preserve">准限值要求。项目升压站运营期产 </w:t>
      </w:r>
      <w:r>
        <w:rPr>
          <w:spacing w:val="-1"/>
        </w:rPr>
        <w:t>生的电磁环境影响均满足相应评价标准限值要求，不设电</w:t>
      </w:r>
      <w:r>
        <w:rPr>
          <w:spacing w:val="-2"/>
        </w:rPr>
        <w:t>磁环境达标控制距离。</w:t>
      </w:r>
      <w:r>
        <w:t xml:space="preserve"> </w:t>
      </w:r>
      <w:r>
        <w:rPr>
          <w:spacing w:val="-2"/>
        </w:rPr>
        <w:t>根据《云南省电力设施保护条例》，禁止在升压站围墙外延伸</w:t>
      </w:r>
      <w:r>
        <w:rPr>
          <w:spacing w:val="-38"/>
        </w:rPr>
        <w:t xml:space="preserve"> </w:t>
      </w:r>
      <w:r>
        <w:rPr>
          <w:rFonts w:ascii="Times New Roman" w:hAnsi="Times New Roman" w:eastAsia="Times New Roman" w:cs="Times New Roman"/>
          <w:spacing w:val="-2"/>
        </w:rPr>
        <w:t xml:space="preserve">3m </w:t>
      </w:r>
      <w:r>
        <w:rPr>
          <w:spacing w:val="-2"/>
        </w:rPr>
        <w:t>所形成的区域</w:t>
      </w:r>
      <w:r>
        <w:t xml:space="preserve"> 内新建永久性建筑物。本工程未涉及条例所列目标，满足</w:t>
      </w:r>
      <w:r>
        <w:rPr>
          <w:spacing w:val="-1"/>
        </w:rPr>
        <w:t>条例要求。</w:t>
      </w:r>
    </w:p>
    <w:p w14:paraId="77158BE9">
      <w:pPr>
        <w:spacing w:line="354" w:lineRule="auto"/>
        <w:sectPr>
          <w:footerReference r:id="rId194" w:type="default"/>
          <w:pgSz w:w="11906" w:h="16839"/>
          <w:pgMar w:top="1424" w:right="1743" w:bottom="1262" w:left="1785" w:header="0" w:footer="1073" w:gutter="0"/>
          <w:cols w:space="720" w:num="1"/>
        </w:sectPr>
      </w:pPr>
    </w:p>
    <w:p w14:paraId="0EAB2188">
      <w:pPr>
        <w:pStyle w:val="2"/>
        <w:spacing w:before="60" w:line="220" w:lineRule="auto"/>
        <w:ind w:left="122"/>
        <w:outlineLvl w:val="0"/>
        <w:rPr>
          <w:sz w:val="30"/>
          <w:szCs w:val="30"/>
        </w:rPr>
      </w:pPr>
      <w:bookmarkStart w:id="30" w:name="bookmark22"/>
      <w:bookmarkEnd w:id="30"/>
      <w:r>
        <w:rPr>
          <w:rFonts w:ascii="Times New Roman" w:hAnsi="Times New Roman" w:eastAsia="Times New Roman" w:cs="Times New Roman"/>
          <w:b/>
          <w:bCs/>
          <w:spacing w:val="-9"/>
          <w:sz w:val="30"/>
          <w:szCs w:val="30"/>
        </w:rPr>
        <w:t>6</w:t>
      </w:r>
      <w:r>
        <w:rPr>
          <w:rFonts w:ascii="Times New Roman" w:hAnsi="Times New Roman" w:eastAsia="Times New Roman" w:cs="Times New Roman"/>
          <w:b/>
          <w:bCs/>
          <w:spacing w:val="51"/>
          <w:sz w:val="30"/>
          <w:szCs w:val="30"/>
        </w:rPr>
        <w:t xml:space="preserve"> </w:t>
      </w:r>
      <w:r>
        <w:rPr>
          <w:b/>
          <w:bCs/>
          <w:spacing w:val="-9"/>
          <w:sz w:val="30"/>
          <w:szCs w:val="30"/>
        </w:rPr>
        <w:t>电磁环境保护措施</w:t>
      </w:r>
    </w:p>
    <w:p w14:paraId="57305CF5">
      <w:pPr>
        <w:pStyle w:val="2"/>
        <w:spacing w:before="214" w:line="219" w:lineRule="auto"/>
        <w:ind w:left="612"/>
      </w:pPr>
      <w:r>
        <w:rPr>
          <w:spacing w:val="-1"/>
        </w:rPr>
        <w:t>（</w:t>
      </w:r>
      <w:r>
        <w:rPr>
          <w:rFonts w:ascii="Times New Roman" w:hAnsi="Times New Roman" w:eastAsia="Times New Roman" w:cs="Times New Roman"/>
          <w:spacing w:val="-1"/>
        </w:rPr>
        <w:t>1</w:t>
      </w:r>
      <w:r>
        <w:rPr>
          <w:spacing w:val="-1"/>
        </w:rPr>
        <w:t>）升压站在设计中高压配电装置采用</w:t>
      </w:r>
      <w:r>
        <w:rPr>
          <w:spacing w:val="-51"/>
        </w:rPr>
        <w:t xml:space="preserve"> </w:t>
      </w:r>
      <w:r>
        <w:rPr>
          <w:rFonts w:ascii="Times New Roman" w:hAnsi="Times New Roman" w:eastAsia="Times New Roman" w:cs="Times New Roman"/>
          <w:spacing w:val="-1"/>
        </w:rPr>
        <w:t>GI</w:t>
      </w:r>
      <w:r>
        <w:rPr>
          <w:rFonts w:ascii="Times New Roman" w:hAnsi="Times New Roman" w:eastAsia="Times New Roman" w:cs="Times New Roman"/>
          <w:spacing w:val="-2"/>
        </w:rPr>
        <w:t>S</w:t>
      </w:r>
      <w:r>
        <w:rPr>
          <w:rFonts w:ascii="Times New Roman" w:hAnsi="Times New Roman" w:eastAsia="Times New Roman" w:cs="Times New Roman"/>
          <w:spacing w:val="16"/>
          <w:w w:val="101"/>
        </w:rPr>
        <w:t xml:space="preserve"> </w:t>
      </w:r>
      <w:r>
        <w:rPr>
          <w:spacing w:val="-2"/>
        </w:rPr>
        <w:t>设备，可降低电磁环境影响。</w:t>
      </w:r>
    </w:p>
    <w:p w14:paraId="59E3C9BD">
      <w:pPr>
        <w:pStyle w:val="2"/>
        <w:spacing w:before="184" w:line="288" w:lineRule="auto"/>
        <w:ind w:left="122" w:right="131" w:firstLine="489"/>
      </w:pPr>
      <w:r>
        <w:rPr>
          <w:spacing w:val="-1"/>
        </w:rPr>
        <w:t>（</w:t>
      </w:r>
      <w:r>
        <w:rPr>
          <w:rFonts w:ascii="Times New Roman" w:hAnsi="Times New Roman" w:eastAsia="Times New Roman" w:cs="Times New Roman"/>
          <w:spacing w:val="-1"/>
        </w:rPr>
        <w:t>2</w:t>
      </w:r>
      <w:r>
        <w:rPr>
          <w:spacing w:val="-1"/>
        </w:rPr>
        <w:t>）使用合理、优良的绝缘子来减少绝缘子的表面放电，尽量使用能改善</w:t>
      </w:r>
      <w:r>
        <w:rPr>
          <w:spacing w:val="11"/>
        </w:rPr>
        <w:t xml:space="preserve"> </w:t>
      </w:r>
      <w:r>
        <w:rPr>
          <w:spacing w:val="-1"/>
        </w:rPr>
        <w:t>绝缘子表面或沿绝缘子串电压分布的保护装置。</w:t>
      </w:r>
    </w:p>
    <w:p w14:paraId="22BD4D5C">
      <w:pPr>
        <w:pStyle w:val="2"/>
        <w:spacing w:before="182" w:line="313" w:lineRule="auto"/>
        <w:ind w:left="121" w:right="29" w:firstLine="490"/>
      </w:pPr>
      <w:r>
        <w:rPr>
          <w:spacing w:val="-5"/>
        </w:rPr>
        <w:t>（</w:t>
      </w:r>
      <w:r>
        <w:rPr>
          <w:rFonts w:ascii="Times New Roman" w:hAnsi="Times New Roman" w:eastAsia="Times New Roman" w:cs="Times New Roman"/>
          <w:spacing w:val="-5"/>
        </w:rPr>
        <w:t>3</w:t>
      </w:r>
      <w:r>
        <w:rPr>
          <w:spacing w:val="-5"/>
        </w:rPr>
        <w:t>）变电站内电器设备接地，地下设接地网；变电站内金属构件，如吊夹、</w:t>
      </w:r>
      <w:r>
        <w:rPr>
          <w:spacing w:val="9"/>
        </w:rPr>
        <w:t xml:space="preserve"> </w:t>
      </w:r>
      <w:r>
        <w:rPr>
          <w:spacing w:val="-3"/>
        </w:rPr>
        <w:t>保护环、保护角、垫片、接头、螺栓、闸刀片等应做到表面光滑，尽</w:t>
      </w:r>
      <w:r>
        <w:rPr>
          <w:spacing w:val="-4"/>
        </w:rPr>
        <w:t>量避免毛刺</w:t>
      </w:r>
      <w:r>
        <w:t xml:space="preserve"> </w:t>
      </w:r>
      <w:r>
        <w:rPr>
          <w:spacing w:val="-3"/>
        </w:rPr>
        <w:t>的出现。</w:t>
      </w:r>
    </w:p>
    <w:p w14:paraId="05D71B00">
      <w:pPr>
        <w:pStyle w:val="2"/>
        <w:spacing w:before="179" w:line="290" w:lineRule="auto"/>
        <w:ind w:left="124" w:right="131" w:firstLine="487"/>
      </w:pPr>
      <w:r>
        <w:rPr>
          <w:spacing w:val="-1"/>
        </w:rPr>
        <w:t>（</w:t>
      </w:r>
      <w:r>
        <w:rPr>
          <w:rFonts w:ascii="Times New Roman" w:hAnsi="Times New Roman" w:eastAsia="Times New Roman" w:cs="Times New Roman"/>
          <w:spacing w:val="-1"/>
        </w:rPr>
        <w:t>4</w:t>
      </w:r>
      <w:r>
        <w:rPr>
          <w:spacing w:val="-1"/>
        </w:rPr>
        <w:t>）运营期加强对升压站内的设备维护，保证设备正常运行，避免运行事</w:t>
      </w:r>
      <w:r>
        <w:rPr>
          <w:spacing w:val="11"/>
        </w:rPr>
        <w:t xml:space="preserve"> </w:t>
      </w:r>
      <w:r>
        <w:rPr>
          <w:spacing w:val="-4"/>
        </w:rPr>
        <w:t>故发生。</w:t>
      </w:r>
    </w:p>
    <w:p w14:paraId="5E6B7385">
      <w:pPr>
        <w:pStyle w:val="2"/>
        <w:spacing w:before="181" w:line="313" w:lineRule="auto"/>
        <w:ind w:left="122" w:right="109" w:firstLine="489"/>
      </w:pPr>
      <w:r>
        <w:rPr>
          <w:spacing w:val="-1"/>
        </w:rPr>
        <w:t>（</w:t>
      </w:r>
      <w:r>
        <w:rPr>
          <w:rFonts w:ascii="Times New Roman" w:hAnsi="Times New Roman" w:eastAsia="Times New Roman" w:cs="Times New Roman"/>
          <w:spacing w:val="-1"/>
        </w:rPr>
        <w:t>5</w:t>
      </w:r>
      <w:r>
        <w:rPr>
          <w:spacing w:val="-1"/>
        </w:rPr>
        <w:t>）严格落实电磁环境相关保护措施，确保各环境影响因子满足相应的标</w:t>
      </w:r>
      <w:r>
        <w:rPr>
          <w:spacing w:val="11"/>
        </w:rPr>
        <w:t xml:space="preserve"> </w:t>
      </w:r>
      <w:r>
        <w:rPr>
          <w:spacing w:val="-3"/>
        </w:rPr>
        <w:t>准限值；站址周围设警告标识；加强输变电相关环境保护知识的宣</w:t>
      </w:r>
      <w:r>
        <w:rPr>
          <w:spacing w:val="-4"/>
        </w:rPr>
        <w:t>传、解释及培</w:t>
      </w:r>
      <w:r>
        <w:t xml:space="preserve"> </w:t>
      </w:r>
      <w:r>
        <w:rPr>
          <w:spacing w:val="-3"/>
        </w:rPr>
        <w:t>训工作。</w:t>
      </w:r>
    </w:p>
    <w:p w14:paraId="1A288236">
      <w:pPr>
        <w:pStyle w:val="2"/>
        <w:spacing w:before="180" w:line="289" w:lineRule="auto"/>
        <w:ind w:left="122" w:right="131" w:firstLine="489"/>
      </w:pPr>
      <w:r>
        <w:rPr>
          <w:spacing w:val="-1"/>
        </w:rPr>
        <w:t>（</w:t>
      </w:r>
      <w:r>
        <w:rPr>
          <w:rFonts w:ascii="Times New Roman" w:hAnsi="Times New Roman" w:eastAsia="Times New Roman" w:cs="Times New Roman"/>
          <w:spacing w:val="-1"/>
        </w:rPr>
        <w:t>6</w:t>
      </w:r>
      <w:r>
        <w:rPr>
          <w:spacing w:val="-1"/>
        </w:rPr>
        <w:t>）开展运行期间的环境影响因子监测工作，如发现环境影响因子超标情</w:t>
      </w:r>
      <w:r>
        <w:rPr>
          <w:spacing w:val="11"/>
        </w:rPr>
        <w:t xml:space="preserve"> </w:t>
      </w:r>
      <w:r>
        <w:rPr>
          <w:spacing w:val="-1"/>
        </w:rPr>
        <w:t>况，应采取有效措施确保满足标准限值要求。</w:t>
      </w:r>
    </w:p>
    <w:p w14:paraId="3C563F05">
      <w:pPr>
        <w:pStyle w:val="2"/>
        <w:spacing w:before="190" w:line="220" w:lineRule="auto"/>
        <w:ind w:left="121"/>
        <w:outlineLvl w:val="0"/>
        <w:rPr>
          <w:sz w:val="30"/>
          <w:szCs w:val="30"/>
        </w:rPr>
      </w:pPr>
      <w:bookmarkStart w:id="31" w:name="bookmark23"/>
      <w:bookmarkEnd w:id="31"/>
      <w:r>
        <w:rPr>
          <w:rFonts w:ascii="Times New Roman" w:hAnsi="Times New Roman" w:eastAsia="Times New Roman" w:cs="Times New Roman"/>
          <w:b/>
          <w:bCs/>
          <w:spacing w:val="-9"/>
          <w:sz w:val="30"/>
          <w:szCs w:val="30"/>
        </w:rPr>
        <w:t>7</w:t>
      </w:r>
      <w:r>
        <w:rPr>
          <w:rFonts w:ascii="Times New Roman" w:hAnsi="Times New Roman" w:eastAsia="Times New Roman" w:cs="Times New Roman"/>
          <w:b/>
          <w:bCs/>
          <w:spacing w:val="25"/>
          <w:w w:val="101"/>
          <w:sz w:val="30"/>
          <w:szCs w:val="30"/>
        </w:rPr>
        <w:t xml:space="preserve">  </w:t>
      </w:r>
      <w:r>
        <w:rPr>
          <w:b/>
          <w:bCs/>
          <w:spacing w:val="-9"/>
          <w:sz w:val="30"/>
          <w:szCs w:val="30"/>
        </w:rPr>
        <w:t>电磁环境监测计划</w:t>
      </w:r>
    </w:p>
    <w:p w14:paraId="7AC9550A">
      <w:pPr>
        <w:pStyle w:val="2"/>
        <w:spacing w:before="216" w:line="353" w:lineRule="auto"/>
        <w:ind w:left="121" w:right="109" w:firstLine="479"/>
        <w:jc w:val="both"/>
      </w:pPr>
      <w:r>
        <w:rPr>
          <w:spacing w:val="-3"/>
        </w:rPr>
        <w:t>根据项目的环境影响和环境管理要求，制定环境监测</w:t>
      </w:r>
      <w:r>
        <w:rPr>
          <w:spacing w:val="-4"/>
        </w:rPr>
        <w:t>计划，环境监测计划的</w:t>
      </w:r>
      <w:r>
        <w:t xml:space="preserve"> </w:t>
      </w:r>
      <w:r>
        <w:rPr>
          <w:spacing w:val="-3"/>
        </w:rPr>
        <w:t>职责主要是测试、收集环境状况基本资料，整理、统计分析监测结果</w:t>
      </w:r>
      <w:r>
        <w:rPr>
          <w:spacing w:val="-4"/>
        </w:rPr>
        <w:t>，上报本项</w:t>
      </w:r>
      <w:r>
        <w:t xml:space="preserve"> </w:t>
      </w:r>
      <w:r>
        <w:rPr>
          <w:spacing w:val="-3"/>
        </w:rPr>
        <w:t>目所在的县级至省级生态环境行政主管部门。由建设单位委托有资质</w:t>
      </w:r>
      <w:r>
        <w:rPr>
          <w:spacing w:val="-4"/>
        </w:rPr>
        <w:t>的环境监测</w:t>
      </w:r>
      <w:r>
        <w:t xml:space="preserve"> </w:t>
      </w:r>
      <w:r>
        <w:rPr>
          <w:spacing w:val="-1"/>
        </w:rPr>
        <w:t>单位进行监测，具体的环境监测计划见表</w:t>
      </w:r>
      <w:r>
        <w:rPr>
          <w:spacing w:val="-51"/>
        </w:rPr>
        <w:t xml:space="preserve"> </w:t>
      </w:r>
      <w:r>
        <w:rPr>
          <w:rFonts w:ascii="Times New Roman" w:hAnsi="Times New Roman" w:eastAsia="Times New Roman" w:cs="Times New Roman"/>
          <w:spacing w:val="-1"/>
        </w:rPr>
        <w:t>7-1</w:t>
      </w:r>
      <w:r>
        <w:rPr>
          <w:spacing w:val="-1"/>
        </w:rPr>
        <w:t>。</w:t>
      </w:r>
    </w:p>
    <w:p w14:paraId="1695C2CD">
      <w:pPr>
        <w:pStyle w:val="2"/>
        <w:spacing w:before="30" w:line="222" w:lineRule="auto"/>
        <w:ind w:left="2520"/>
        <w:rPr>
          <w:sz w:val="20"/>
          <w:szCs w:val="20"/>
        </w:rPr>
      </w:pPr>
      <w:r>
        <w:rPr>
          <w:b/>
          <w:bCs/>
          <w:spacing w:val="4"/>
          <w:sz w:val="20"/>
          <w:szCs w:val="20"/>
        </w:rPr>
        <w:t>表</w:t>
      </w:r>
      <w:r>
        <w:rPr>
          <w:spacing w:val="-23"/>
          <w:sz w:val="20"/>
          <w:szCs w:val="20"/>
        </w:rPr>
        <w:t xml:space="preserve"> </w:t>
      </w:r>
      <w:r>
        <w:rPr>
          <w:rFonts w:ascii="Times New Roman" w:hAnsi="Times New Roman" w:eastAsia="Times New Roman" w:cs="Times New Roman"/>
          <w:b/>
          <w:bCs/>
          <w:spacing w:val="4"/>
          <w:sz w:val="20"/>
          <w:szCs w:val="20"/>
        </w:rPr>
        <w:t>7-1</w:t>
      </w:r>
      <w:r>
        <w:rPr>
          <w:rFonts w:ascii="Times New Roman" w:hAnsi="Times New Roman" w:eastAsia="Times New Roman" w:cs="Times New Roman"/>
          <w:b/>
          <w:bCs/>
          <w:spacing w:val="10"/>
          <w:sz w:val="20"/>
          <w:szCs w:val="20"/>
        </w:rPr>
        <w:t xml:space="preserve">    </w:t>
      </w:r>
      <w:r>
        <w:rPr>
          <w:b/>
          <w:bCs/>
          <w:spacing w:val="4"/>
          <w:sz w:val="20"/>
          <w:szCs w:val="20"/>
        </w:rPr>
        <w:t>电磁辐射监测计划及监测内容</w:t>
      </w: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2"/>
        <w:gridCol w:w="1125"/>
        <w:gridCol w:w="3305"/>
        <w:gridCol w:w="1317"/>
        <w:gridCol w:w="2088"/>
      </w:tblGrid>
      <w:tr w14:paraId="6345A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82" w:type="dxa"/>
            <w:vAlign w:val="top"/>
          </w:tcPr>
          <w:p w14:paraId="2DF07809">
            <w:pPr>
              <w:pStyle w:val="6"/>
              <w:spacing w:before="69" w:line="228" w:lineRule="auto"/>
              <w:ind w:left="139"/>
              <w:rPr>
                <w:sz w:val="20"/>
                <w:szCs w:val="20"/>
              </w:rPr>
            </w:pPr>
            <w:r>
              <w:rPr>
                <w:b/>
                <w:bCs/>
                <w:spacing w:val="2"/>
                <w:sz w:val="20"/>
                <w:szCs w:val="20"/>
              </w:rPr>
              <w:t>项目</w:t>
            </w:r>
          </w:p>
        </w:tc>
        <w:tc>
          <w:tcPr>
            <w:tcW w:w="1125" w:type="dxa"/>
            <w:vAlign w:val="top"/>
          </w:tcPr>
          <w:p w14:paraId="532E5561">
            <w:pPr>
              <w:pStyle w:val="6"/>
              <w:spacing w:before="69" w:line="228" w:lineRule="auto"/>
              <w:ind w:left="145"/>
              <w:rPr>
                <w:sz w:val="20"/>
                <w:szCs w:val="20"/>
              </w:rPr>
            </w:pPr>
            <w:r>
              <w:rPr>
                <w:b/>
                <w:bCs/>
                <w:spacing w:val="6"/>
                <w:sz w:val="20"/>
                <w:szCs w:val="20"/>
              </w:rPr>
              <w:t>监测因子</w:t>
            </w:r>
          </w:p>
        </w:tc>
        <w:tc>
          <w:tcPr>
            <w:tcW w:w="3305" w:type="dxa"/>
            <w:vAlign w:val="top"/>
          </w:tcPr>
          <w:p w14:paraId="16718EE0">
            <w:pPr>
              <w:pStyle w:val="6"/>
              <w:spacing w:before="68" w:line="228" w:lineRule="auto"/>
              <w:ind w:left="921"/>
              <w:rPr>
                <w:sz w:val="20"/>
                <w:szCs w:val="20"/>
              </w:rPr>
            </w:pPr>
            <w:r>
              <w:rPr>
                <w:b/>
                <w:bCs/>
                <w:spacing w:val="7"/>
                <w:sz w:val="20"/>
                <w:szCs w:val="20"/>
              </w:rPr>
              <w:t>监测点位及数量</w:t>
            </w:r>
          </w:p>
        </w:tc>
        <w:tc>
          <w:tcPr>
            <w:tcW w:w="1317" w:type="dxa"/>
            <w:vAlign w:val="top"/>
          </w:tcPr>
          <w:p w14:paraId="3A578721">
            <w:pPr>
              <w:pStyle w:val="6"/>
              <w:spacing w:before="69" w:line="229" w:lineRule="auto"/>
              <w:ind w:left="244"/>
              <w:rPr>
                <w:sz w:val="20"/>
                <w:szCs w:val="20"/>
              </w:rPr>
            </w:pPr>
            <w:r>
              <w:rPr>
                <w:b/>
                <w:bCs/>
                <w:spacing w:val="6"/>
                <w:sz w:val="20"/>
                <w:szCs w:val="20"/>
              </w:rPr>
              <w:t>监测方法</w:t>
            </w:r>
          </w:p>
        </w:tc>
        <w:tc>
          <w:tcPr>
            <w:tcW w:w="2088" w:type="dxa"/>
            <w:vAlign w:val="top"/>
          </w:tcPr>
          <w:p w14:paraId="1666619C">
            <w:pPr>
              <w:pStyle w:val="6"/>
              <w:spacing w:before="68" w:line="228" w:lineRule="auto"/>
              <w:ind w:left="629"/>
              <w:rPr>
                <w:sz w:val="20"/>
                <w:szCs w:val="20"/>
              </w:rPr>
            </w:pPr>
            <w:r>
              <w:rPr>
                <w:b/>
                <w:bCs/>
                <w:spacing w:val="6"/>
                <w:sz w:val="20"/>
                <w:szCs w:val="20"/>
              </w:rPr>
              <w:t>监测频次</w:t>
            </w:r>
          </w:p>
        </w:tc>
      </w:tr>
      <w:tr w14:paraId="42738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682" w:type="dxa"/>
            <w:vAlign w:val="top"/>
          </w:tcPr>
          <w:p w14:paraId="595D6CA9">
            <w:pPr>
              <w:spacing w:line="372" w:lineRule="auto"/>
              <w:rPr>
                <w:rFonts w:ascii="Arial"/>
                <w:sz w:val="21"/>
              </w:rPr>
            </w:pPr>
          </w:p>
          <w:p w14:paraId="3E8AA6BA">
            <w:pPr>
              <w:pStyle w:val="6"/>
              <w:spacing w:before="65" w:line="246" w:lineRule="auto"/>
              <w:ind w:left="135" w:right="131" w:firstLine="2"/>
              <w:jc w:val="both"/>
              <w:rPr>
                <w:sz w:val="20"/>
                <w:szCs w:val="20"/>
              </w:rPr>
            </w:pPr>
            <w:r>
              <w:rPr>
                <w:spacing w:val="3"/>
                <w:sz w:val="20"/>
                <w:szCs w:val="20"/>
              </w:rPr>
              <w:t>工频</w:t>
            </w:r>
            <w:r>
              <w:rPr>
                <w:sz w:val="20"/>
                <w:szCs w:val="20"/>
              </w:rPr>
              <w:t xml:space="preserve"> </w:t>
            </w:r>
            <w:r>
              <w:rPr>
                <w:spacing w:val="4"/>
                <w:sz w:val="20"/>
                <w:szCs w:val="20"/>
              </w:rPr>
              <w:t>电场</w:t>
            </w:r>
            <w:r>
              <w:rPr>
                <w:sz w:val="20"/>
                <w:szCs w:val="20"/>
              </w:rPr>
              <w:t xml:space="preserve"> </w:t>
            </w:r>
            <w:r>
              <w:rPr>
                <w:spacing w:val="4"/>
                <w:sz w:val="20"/>
                <w:szCs w:val="20"/>
              </w:rPr>
              <w:t>工频</w:t>
            </w:r>
            <w:r>
              <w:rPr>
                <w:sz w:val="20"/>
                <w:szCs w:val="20"/>
              </w:rPr>
              <w:t xml:space="preserve"> </w:t>
            </w:r>
            <w:r>
              <w:rPr>
                <w:spacing w:val="4"/>
                <w:sz w:val="20"/>
                <w:szCs w:val="20"/>
              </w:rPr>
              <w:t>磁场</w:t>
            </w:r>
          </w:p>
        </w:tc>
        <w:tc>
          <w:tcPr>
            <w:tcW w:w="1125" w:type="dxa"/>
            <w:vAlign w:val="top"/>
          </w:tcPr>
          <w:p w14:paraId="56EF9DD4">
            <w:pPr>
              <w:spacing w:line="254" w:lineRule="auto"/>
              <w:rPr>
                <w:rFonts w:ascii="Arial"/>
                <w:sz w:val="21"/>
              </w:rPr>
            </w:pPr>
          </w:p>
          <w:p w14:paraId="2B11548B">
            <w:pPr>
              <w:spacing w:line="255" w:lineRule="auto"/>
              <w:rPr>
                <w:rFonts w:ascii="Arial"/>
                <w:sz w:val="21"/>
              </w:rPr>
            </w:pPr>
          </w:p>
          <w:p w14:paraId="11F70D2F">
            <w:pPr>
              <w:pStyle w:val="6"/>
              <w:spacing w:before="65" w:line="228" w:lineRule="auto"/>
              <w:ind w:left="172"/>
              <w:rPr>
                <w:sz w:val="20"/>
                <w:szCs w:val="20"/>
              </w:rPr>
            </w:pPr>
            <w:r>
              <w:rPr>
                <w:spacing w:val="1"/>
                <w:sz w:val="20"/>
                <w:szCs w:val="20"/>
              </w:rPr>
              <w:t>电场强度</w:t>
            </w:r>
          </w:p>
          <w:p w14:paraId="11ADD881">
            <w:pPr>
              <w:pStyle w:val="6"/>
              <w:spacing w:before="23" w:line="230" w:lineRule="auto"/>
              <w:ind w:left="147"/>
              <w:rPr>
                <w:sz w:val="20"/>
                <w:szCs w:val="20"/>
              </w:rPr>
            </w:pPr>
            <w:r>
              <w:rPr>
                <w:spacing w:val="7"/>
                <w:sz w:val="20"/>
                <w:szCs w:val="20"/>
              </w:rPr>
              <w:t>磁感应强</w:t>
            </w:r>
          </w:p>
          <w:p w14:paraId="2B886D4C">
            <w:pPr>
              <w:pStyle w:val="6"/>
              <w:spacing w:before="22" w:line="228" w:lineRule="auto"/>
              <w:ind w:left="461"/>
              <w:rPr>
                <w:sz w:val="20"/>
                <w:szCs w:val="20"/>
              </w:rPr>
            </w:pPr>
            <w:r>
              <w:rPr>
                <w:spacing w:val="1"/>
                <w:sz w:val="20"/>
                <w:szCs w:val="20"/>
              </w:rPr>
              <w:t>度</w:t>
            </w:r>
          </w:p>
        </w:tc>
        <w:tc>
          <w:tcPr>
            <w:tcW w:w="3305" w:type="dxa"/>
            <w:vAlign w:val="top"/>
          </w:tcPr>
          <w:p w14:paraId="626297C8">
            <w:pPr>
              <w:pStyle w:val="6"/>
              <w:spacing w:before="32" w:line="239" w:lineRule="auto"/>
              <w:ind w:left="114" w:right="150" w:firstLine="14"/>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0"/>
                <w:sz w:val="20"/>
                <w:szCs w:val="20"/>
              </w:rPr>
              <w:t xml:space="preserve"> </w:t>
            </w:r>
            <w:r>
              <w:rPr>
                <w:spacing w:val="6"/>
                <w:sz w:val="20"/>
                <w:szCs w:val="20"/>
              </w:rPr>
              <w:t>、升压站东、南、西、北围墙外</w:t>
            </w:r>
            <w:r>
              <w:rPr>
                <w:sz w:val="20"/>
                <w:szCs w:val="20"/>
              </w:rPr>
              <w:t xml:space="preserve"> </w:t>
            </w:r>
            <w:r>
              <w:rPr>
                <w:rFonts w:ascii="Times New Roman" w:hAnsi="Times New Roman" w:eastAsia="Times New Roman" w:cs="Times New Roman"/>
                <w:spacing w:val="3"/>
                <w:sz w:val="20"/>
                <w:szCs w:val="20"/>
              </w:rPr>
              <w:t>5m</w:t>
            </w:r>
            <w:r>
              <w:rPr>
                <w:rFonts w:ascii="Times New Roman" w:hAnsi="Times New Roman" w:eastAsia="Times New Roman" w:cs="Times New Roman"/>
                <w:spacing w:val="25"/>
                <w:w w:val="101"/>
                <w:sz w:val="20"/>
                <w:szCs w:val="20"/>
              </w:rPr>
              <w:t xml:space="preserve"> </w:t>
            </w:r>
            <w:r>
              <w:rPr>
                <w:spacing w:val="3"/>
                <w:sz w:val="20"/>
                <w:szCs w:val="20"/>
              </w:rPr>
              <w:t>处各设</w:t>
            </w:r>
            <w:r>
              <w:rPr>
                <w:spacing w:val="-21"/>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个监测点位；</w:t>
            </w:r>
          </w:p>
          <w:p w14:paraId="59FE75A7">
            <w:pPr>
              <w:pStyle w:val="6"/>
              <w:spacing w:before="25" w:line="245" w:lineRule="auto"/>
              <w:ind w:left="110" w:right="52" w:hanging="2"/>
              <w:rPr>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17"/>
                <w:sz w:val="20"/>
                <w:szCs w:val="20"/>
              </w:rPr>
              <w:t xml:space="preserve"> </w:t>
            </w:r>
            <w:r>
              <w:rPr>
                <w:spacing w:val="10"/>
                <w:sz w:val="20"/>
                <w:szCs w:val="20"/>
              </w:rPr>
              <w:t>、升压站厂界电磁衰减断面以升</w:t>
            </w:r>
            <w:r>
              <w:rPr>
                <w:sz w:val="20"/>
                <w:szCs w:val="20"/>
              </w:rPr>
              <w:t xml:space="preserve"> </w:t>
            </w:r>
            <w:r>
              <w:rPr>
                <w:spacing w:val="5"/>
                <w:sz w:val="20"/>
                <w:szCs w:val="20"/>
              </w:rPr>
              <w:t>压站围墙周围的工频电场、工频磁</w:t>
            </w:r>
            <w:r>
              <w:rPr>
                <w:spacing w:val="8"/>
                <w:sz w:val="20"/>
                <w:szCs w:val="20"/>
              </w:rPr>
              <w:t xml:space="preserve"> </w:t>
            </w:r>
            <w:r>
              <w:rPr>
                <w:spacing w:val="5"/>
                <w:sz w:val="20"/>
                <w:szCs w:val="20"/>
              </w:rPr>
              <w:t xml:space="preserve">场最大值处为起点，在垂直于围墙 </w:t>
            </w:r>
            <w:r>
              <w:rPr>
                <w:spacing w:val="1"/>
                <w:sz w:val="20"/>
                <w:szCs w:val="20"/>
              </w:rPr>
              <w:t>的方向上布设，监测点间距为</w:t>
            </w:r>
            <w:r>
              <w:rPr>
                <w:spacing w:val="-37"/>
                <w:sz w:val="20"/>
                <w:szCs w:val="20"/>
              </w:rPr>
              <w:t xml:space="preserve"> </w:t>
            </w:r>
            <w:r>
              <w:rPr>
                <w:rFonts w:ascii="Times New Roman" w:hAnsi="Times New Roman" w:eastAsia="Times New Roman" w:cs="Times New Roman"/>
                <w:spacing w:val="1"/>
                <w:sz w:val="20"/>
                <w:szCs w:val="20"/>
              </w:rPr>
              <w:t>5m</w:t>
            </w:r>
            <w:r>
              <w:rPr>
                <w:spacing w:val="1"/>
                <w:sz w:val="20"/>
                <w:szCs w:val="20"/>
              </w:rPr>
              <w:t>，</w:t>
            </w:r>
            <w:r>
              <w:rPr>
                <w:sz w:val="20"/>
                <w:szCs w:val="20"/>
              </w:rPr>
              <w:t xml:space="preserve"> </w:t>
            </w:r>
            <w:r>
              <w:rPr>
                <w:spacing w:val="6"/>
                <w:sz w:val="20"/>
                <w:szCs w:val="20"/>
              </w:rPr>
              <w:t>顺序测至距离围墙</w:t>
            </w:r>
            <w:r>
              <w:rPr>
                <w:spacing w:val="-24"/>
                <w:sz w:val="20"/>
                <w:szCs w:val="20"/>
              </w:rPr>
              <w:t xml:space="preserve"> </w:t>
            </w:r>
            <w:r>
              <w:rPr>
                <w:rFonts w:ascii="Times New Roman" w:hAnsi="Times New Roman" w:eastAsia="Times New Roman" w:cs="Times New Roman"/>
                <w:spacing w:val="6"/>
                <w:sz w:val="20"/>
                <w:szCs w:val="20"/>
              </w:rPr>
              <w:t xml:space="preserve">50m </w:t>
            </w:r>
            <w:r>
              <w:rPr>
                <w:spacing w:val="6"/>
                <w:sz w:val="20"/>
                <w:szCs w:val="20"/>
              </w:rPr>
              <w:t>处为止。</w:t>
            </w:r>
          </w:p>
        </w:tc>
        <w:tc>
          <w:tcPr>
            <w:tcW w:w="1317" w:type="dxa"/>
            <w:vAlign w:val="top"/>
          </w:tcPr>
          <w:p w14:paraId="1DEB8D0D">
            <w:pPr>
              <w:pStyle w:val="6"/>
              <w:spacing w:before="166" w:line="246" w:lineRule="auto"/>
              <w:ind w:left="115" w:right="11" w:firstLine="30"/>
              <w:jc w:val="both"/>
              <w:rPr>
                <w:sz w:val="20"/>
                <w:szCs w:val="20"/>
              </w:rPr>
            </w:pPr>
            <w:r>
              <w:rPr>
                <w:spacing w:val="7"/>
                <w:sz w:val="20"/>
                <w:szCs w:val="20"/>
              </w:rPr>
              <w:t>《交流输变</w:t>
            </w:r>
            <w:r>
              <w:rPr>
                <w:sz w:val="20"/>
                <w:szCs w:val="20"/>
              </w:rPr>
              <w:t xml:space="preserve">  </w:t>
            </w:r>
            <w:r>
              <w:rPr>
                <w:spacing w:val="13"/>
                <w:sz w:val="20"/>
                <w:szCs w:val="20"/>
              </w:rPr>
              <w:t>电工程电磁</w:t>
            </w:r>
            <w:r>
              <w:rPr>
                <w:sz w:val="20"/>
                <w:szCs w:val="20"/>
              </w:rPr>
              <w:t xml:space="preserve">  </w:t>
            </w:r>
            <w:r>
              <w:rPr>
                <w:spacing w:val="13"/>
                <w:sz w:val="20"/>
                <w:szCs w:val="20"/>
              </w:rPr>
              <w:t>环境监测方</w:t>
            </w:r>
            <w:r>
              <w:rPr>
                <w:sz w:val="20"/>
                <w:szCs w:val="20"/>
              </w:rPr>
              <w:t xml:space="preserve">  </w:t>
            </w:r>
            <w:r>
              <w:rPr>
                <w:spacing w:val="-3"/>
                <w:sz w:val="20"/>
                <w:szCs w:val="20"/>
              </w:rPr>
              <w:t>法（试行）》</w:t>
            </w:r>
          </w:p>
          <w:p w14:paraId="6462D497">
            <w:pPr>
              <w:pStyle w:val="6"/>
              <w:spacing w:before="24" w:line="245" w:lineRule="auto"/>
              <w:ind w:left="158" w:right="167" w:firstLine="294"/>
              <w:rPr>
                <w:sz w:val="20"/>
                <w:szCs w:val="20"/>
              </w:rPr>
            </w:pPr>
            <w:r>
              <w:rPr>
                <w:spacing w:val="3"/>
                <w:sz w:val="20"/>
                <w:szCs w:val="20"/>
              </w:rPr>
              <w:t>（</w:t>
            </w:r>
            <w:r>
              <w:rPr>
                <w:rFonts w:ascii="Times New Roman" w:hAnsi="Times New Roman" w:eastAsia="Times New Roman" w:cs="Times New Roman"/>
                <w:sz w:val="20"/>
                <w:szCs w:val="20"/>
              </w:rPr>
              <w:t xml:space="preserve">HJ      </w:t>
            </w:r>
            <w:r>
              <w:rPr>
                <w:rFonts w:ascii="Times New Roman" w:hAnsi="Times New Roman" w:eastAsia="Times New Roman" w:cs="Times New Roman"/>
                <w:spacing w:val="2"/>
                <w:sz w:val="20"/>
                <w:szCs w:val="20"/>
              </w:rPr>
              <w:t>681-2013</w:t>
            </w:r>
            <w:r>
              <w:rPr>
                <w:spacing w:val="2"/>
                <w:sz w:val="20"/>
                <w:szCs w:val="20"/>
              </w:rPr>
              <w:t>）</w:t>
            </w:r>
          </w:p>
        </w:tc>
        <w:tc>
          <w:tcPr>
            <w:tcW w:w="2088" w:type="dxa"/>
            <w:vAlign w:val="top"/>
          </w:tcPr>
          <w:p w14:paraId="226BB42B">
            <w:pPr>
              <w:spacing w:line="321" w:lineRule="auto"/>
              <w:rPr>
                <w:rFonts w:ascii="Arial"/>
                <w:sz w:val="21"/>
              </w:rPr>
            </w:pPr>
          </w:p>
          <w:p w14:paraId="76D0A24C">
            <w:pPr>
              <w:spacing w:line="321" w:lineRule="auto"/>
              <w:rPr>
                <w:rFonts w:ascii="Arial"/>
                <w:sz w:val="21"/>
              </w:rPr>
            </w:pPr>
          </w:p>
          <w:p w14:paraId="2FA109AA">
            <w:pPr>
              <w:pStyle w:val="6"/>
              <w:spacing w:before="65"/>
              <w:ind w:left="734" w:right="202" w:hanging="524"/>
              <w:rPr>
                <w:sz w:val="20"/>
                <w:szCs w:val="20"/>
              </w:rPr>
            </w:pPr>
            <w:r>
              <w:rPr>
                <w:spacing w:val="8"/>
                <w:sz w:val="20"/>
                <w:szCs w:val="20"/>
              </w:rPr>
              <w:t>环保竣工验收时监</w:t>
            </w:r>
            <w:r>
              <w:rPr>
                <w:spacing w:val="4"/>
                <w:sz w:val="20"/>
                <w:szCs w:val="20"/>
              </w:rPr>
              <w:t xml:space="preserve"> </w:t>
            </w:r>
            <w:r>
              <w:rPr>
                <w:spacing w:val="6"/>
                <w:sz w:val="20"/>
                <w:szCs w:val="20"/>
              </w:rPr>
              <w:t>测一次</w:t>
            </w:r>
          </w:p>
        </w:tc>
      </w:tr>
    </w:tbl>
    <w:p w14:paraId="56E21B7E">
      <w:pPr>
        <w:rPr>
          <w:rFonts w:ascii="Arial"/>
          <w:sz w:val="21"/>
        </w:rPr>
      </w:pPr>
    </w:p>
    <w:p w14:paraId="01F83365">
      <w:pPr>
        <w:rPr>
          <w:rFonts w:ascii="Arial" w:hAnsi="Arial" w:eastAsia="Arial" w:cs="Arial"/>
          <w:sz w:val="21"/>
          <w:szCs w:val="21"/>
        </w:rPr>
        <w:sectPr>
          <w:footerReference r:id="rId195" w:type="default"/>
          <w:pgSz w:w="11906" w:h="16839"/>
          <w:pgMar w:top="1425" w:right="1692" w:bottom="1262" w:left="1691" w:header="0" w:footer="1073" w:gutter="0"/>
          <w:cols w:space="720" w:num="1"/>
        </w:sectPr>
      </w:pPr>
    </w:p>
    <w:p w14:paraId="4A123C58">
      <w:pPr>
        <w:pStyle w:val="2"/>
        <w:spacing w:before="145" w:line="218" w:lineRule="auto"/>
        <w:ind w:left="6"/>
        <w:outlineLvl w:val="0"/>
        <w:rPr>
          <w:sz w:val="30"/>
          <w:szCs w:val="30"/>
        </w:rPr>
      </w:pPr>
      <w:bookmarkStart w:id="32" w:name="bookmark24"/>
      <w:bookmarkEnd w:id="32"/>
      <w:r>
        <w:rPr>
          <w:rFonts w:ascii="Times New Roman" w:hAnsi="Times New Roman" w:eastAsia="Times New Roman" w:cs="Times New Roman"/>
          <w:b/>
          <w:bCs/>
          <w:spacing w:val="-8"/>
          <w:sz w:val="30"/>
          <w:szCs w:val="30"/>
        </w:rPr>
        <w:t>8</w:t>
      </w:r>
      <w:r>
        <w:rPr>
          <w:rFonts w:ascii="Times New Roman" w:hAnsi="Times New Roman" w:eastAsia="Times New Roman" w:cs="Times New Roman"/>
          <w:b/>
          <w:bCs/>
          <w:spacing w:val="27"/>
          <w:sz w:val="30"/>
          <w:szCs w:val="30"/>
        </w:rPr>
        <w:t xml:space="preserve">  </w:t>
      </w:r>
      <w:r>
        <w:rPr>
          <w:b/>
          <w:bCs/>
          <w:spacing w:val="-8"/>
          <w:sz w:val="30"/>
          <w:szCs w:val="30"/>
        </w:rPr>
        <w:t>电磁环境影响评价结论</w:t>
      </w:r>
    </w:p>
    <w:p w14:paraId="2E498C8D">
      <w:pPr>
        <w:pStyle w:val="2"/>
        <w:spacing w:before="220" w:line="353" w:lineRule="auto"/>
        <w:ind w:right="49" w:firstLine="485"/>
        <w:jc w:val="both"/>
      </w:pPr>
      <w:r>
        <w:rPr>
          <w:spacing w:val="-1"/>
        </w:rPr>
        <w:t>根据类比分析结果，预测得到本项目</w:t>
      </w:r>
      <w:r>
        <w:rPr>
          <w:rFonts w:ascii="Times New Roman" w:hAnsi="Times New Roman" w:eastAsia="Times New Roman" w:cs="Times New Roman"/>
          <w:spacing w:val="-1"/>
        </w:rPr>
        <w:t xml:space="preserve">220kV </w:t>
      </w:r>
      <w:r>
        <w:rPr>
          <w:spacing w:val="-1"/>
        </w:rPr>
        <w:t>升压站投入运营后，厂界外工频</w:t>
      </w:r>
      <w:r>
        <w:rPr>
          <w:spacing w:val="-2"/>
        </w:rPr>
        <w:t>电场</w:t>
      </w:r>
      <w:r>
        <w:t xml:space="preserve"> 强度和工频磁场强度可满足《电磁环境控制限值》（</w:t>
      </w:r>
      <w:r>
        <w:rPr>
          <w:rFonts w:ascii="Times New Roman" w:hAnsi="Times New Roman" w:eastAsia="Times New Roman" w:cs="Times New Roman"/>
        </w:rPr>
        <w:t>GB8702-2014</w:t>
      </w:r>
      <w:r>
        <w:t>）中</w:t>
      </w:r>
      <w:r>
        <w:rPr>
          <w:spacing w:val="-1"/>
        </w:rPr>
        <w:t>工频电场强度</w:t>
      </w:r>
      <w:r>
        <w:t xml:space="preserve"> </w:t>
      </w:r>
      <w:r>
        <w:rPr>
          <w:rFonts w:ascii="Times New Roman" w:hAnsi="Times New Roman" w:eastAsia="Times New Roman" w:cs="Times New Roman"/>
          <w:spacing w:val="-3"/>
        </w:rPr>
        <w:t xml:space="preserve">4000V/m </w:t>
      </w:r>
      <w:r>
        <w:rPr>
          <w:spacing w:val="-3"/>
        </w:rPr>
        <w:t>和工频磁场强度</w:t>
      </w:r>
      <w:r>
        <w:rPr>
          <w:spacing w:val="-32"/>
        </w:rPr>
        <w:t xml:space="preserve"> </w:t>
      </w:r>
      <w:r>
        <w:rPr>
          <w:rFonts w:ascii="Times New Roman" w:hAnsi="Times New Roman" w:eastAsia="Times New Roman" w:cs="Times New Roman"/>
          <w:spacing w:val="-3"/>
        </w:rPr>
        <w:t>100μT</w:t>
      </w:r>
      <w:r>
        <w:rPr>
          <w:rFonts w:ascii="Times New Roman" w:hAnsi="Times New Roman" w:eastAsia="Times New Roman" w:cs="Times New Roman"/>
          <w:spacing w:val="29"/>
        </w:rPr>
        <w:t xml:space="preserve"> </w:t>
      </w:r>
      <w:r>
        <w:rPr>
          <w:spacing w:val="-3"/>
        </w:rPr>
        <w:t>的控制限值要求。同时设计</w:t>
      </w:r>
      <w:r>
        <w:rPr>
          <w:spacing w:val="-4"/>
        </w:rPr>
        <w:t>的升压站项目满足《电力</w:t>
      </w:r>
      <w:r>
        <w:t xml:space="preserve"> </w:t>
      </w:r>
      <w:r>
        <w:rPr>
          <w:spacing w:val="-1"/>
        </w:rPr>
        <w:t>设施保护条例》和《云南省电力设施保护条例》的要求，对周边电磁环境造</w:t>
      </w:r>
      <w:r>
        <w:rPr>
          <w:spacing w:val="-2"/>
        </w:rPr>
        <w:t>成影响较</w:t>
      </w:r>
      <w:r>
        <w:t xml:space="preserve"> </w:t>
      </w:r>
      <w:r>
        <w:rPr>
          <w:spacing w:val="-2"/>
        </w:rPr>
        <w:t>小。</w:t>
      </w:r>
    </w:p>
    <w:p w14:paraId="3CB33359">
      <w:pPr>
        <w:pStyle w:val="2"/>
        <w:spacing w:before="37" w:line="345" w:lineRule="auto"/>
        <w:ind w:left="7" w:right="49" w:firstLine="478"/>
      </w:pPr>
      <w:r>
        <w:rPr>
          <w:spacing w:val="-1"/>
        </w:rPr>
        <w:t>根据现场踏勘，本项目距离附近居民点较远，电场强</w:t>
      </w:r>
      <w:r>
        <w:rPr>
          <w:spacing w:val="-2"/>
        </w:rPr>
        <w:t>度和磁感应强度随距离衰减</w:t>
      </w:r>
      <w:r>
        <w:t xml:space="preserve"> </w:t>
      </w:r>
      <w:r>
        <w:rPr>
          <w:spacing w:val="-1"/>
        </w:rPr>
        <w:t>后，对升压站厂界外居民点产生的电磁辐射影响较小。</w:t>
      </w:r>
    </w:p>
    <w:p w14:paraId="6EE9D7D7">
      <w:pPr>
        <w:pStyle w:val="2"/>
        <w:spacing w:before="35" w:line="345" w:lineRule="auto"/>
        <w:ind w:left="5" w:firstLine="482"/>
      </w:pPr>
      <w:r>
        <w:rPr>
          <w:spacing w:val="-1"/>
        </w:rPr>
        <w:t>综上所述，项目建设方在采取本报告提出的措</w:t>
      </w:r>
      <w:r>
        <w:rPr>
          <w:spacing w:val="-2"/>
        </w:rPr>
        <w:t>施后，项目运营后不会对项目周边</w:t>
      </w:r>
      <w:r>
        <w:t xml:space="preserve"> 环境产生不利影响，从电磁环境保护角度分析，本项目</w:t>
      </w:r>
      <w:r>
        <w:rPr>
          <w:rFonts w:ascii="Times New Roman" w:hAnsi="Times New Roman" w:eastAsia="Times New Roman" w:cs="Times New Roman"/>
        </w:rPr>
        <w:t xml:space="preserve">220kV </w:t>
      </w:r>
      <w:r>
        <w:t>升压站建设是可行的。</w:t>
      </w:r>
    </w:p>
    <w:sectPr>
      <w:footerReference r:id="rId196" w:type="default"/>
      <w:pgSz w:w="11906" w:h="16839"/>
      <w:pgMar w:top="1431" w:right="1481" w:bottom="1263" w:left="1535" w:header="0" w:footer="107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auto"/>
    <w:pitch w:val="default"/>
    <w:sig w:usb0="E00002FF" w:usb1="6AC7FDFB" w:usb2="08000012" w:usb3="00000000" w:csb0="4002009F" w:csb1="DFD70000"/>
  </w:font>
  <w:font w:name="FangSong_GB2312">
    <w:altName w:val="仿宋"/>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41E16">
    <w:pPr>
      <w:spacing w:line="269" w:lineRule="exact"/>
      <w:ind w:left="4407"/>
      <w:rPr>
        <w:rFonts w:ascii="等线" w:hAnsi="等线" w:eastAsia="等线" w:cs="等线"/>
        <w:sz w:val="18"/>
        <w:szCs w:val="18"/>
      </w:rPr>
    </w:pPr>
    <w:r>
      <w:rPr>
        <w:rFonts w:ascii="等线" w:hAnsi="等线" w:eastAsia="等线" w:cs="等线"/>
        <w:position w:val="3"/>
        <w:sz w:val="18"/>
        <w:szCs w:val="18"/>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E4683">
    <w:pPr>
      <w:spacing w:line="176" w:lineRule="auto"/>
      <w:ind w:left="4461"/>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95F03">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20C6B">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E96D9">
    <w:pPr>
      <w:spacing w:line="176" w:lineRule="auto"/>
      <w:ind w:left="446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59208">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A8F58">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3BA5C">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DFD59">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A43C3">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7397B">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3C729">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A7C5C">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F868B">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96E2B">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1B0B8">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A1AA2">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111</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8872F">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73F60">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113</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BC7C9">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C57E2">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115</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1572F">
    <w:pPr>
      <w:spacing w:line="176" w:lineRule="auto"/>
      <w:ind w:left="44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116</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3884D">
    <w:pPr>
      <w:spacing w:line="176" w:lineRule="auto"/>
      <w:ind w:left="4552"/>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3D130">
    <w:pPr>
      <w:spacing w:line="176" w:lineRule="auto"/>
      <w:ind w:left="447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0C217">
    <w:pPr>
      <w:spacing w:line="176" w:lineRule="auto"/>
      <w:ind w:left="4552"/>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118</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7E325">
    <w:pPr>
      <w:spacing w:line="176" w:lineRule="auto"/>
      <w:ind w:left="4552"/>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119</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2EA6F">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120</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7E7D3">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121</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C50F">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122</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9B84E">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123</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D8A62">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124</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ED14F">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125</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8477C">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126</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1FCCB">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7E0B1">
    <w:pPr>
      <w:spacing w:line="176" w:lineRule="auto"/>
      <w:ind w:left="447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359C2">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128</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8D2A0">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129</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AB9E6">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130</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ACA69">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131</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E6DB5">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132</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956C0">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133</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49DDA">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134</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229F4">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135</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C0310">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136</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F34B2">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8F22B">
    <w:pPr>
      <w:spacing w:line="176" w:lineRule="auto"/>
      <w:ind w:left="447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DA2E8">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138</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D4C3A">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139</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91F3F">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140</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8DA7F">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141</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E2BCE">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142</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6D736">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143</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A2318">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144</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AA319">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145</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00593">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146</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F8118">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EF918">
    <w:pPr>
      <w:spacing w:line="176" w:lineRule="auto"/>
      <w:ind w:left="447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0F8A9">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148</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F06A0">
    <w:pPr>
      <w:spacing w:line="176" w:lineRule="auto"/>
      <w:ind w:left="497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149</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60FC5">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150</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CA19E">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151</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8FE9C">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152</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46B93">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153</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6A805">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154</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EB753">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155</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3B044">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156</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2F9E4">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C59C3">
    <w:pPr>
      <w:spacing w:line="176" w:lineRule="auto"/>
      <w:ind w:left="447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87458">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158</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84708">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159</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5E51F">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160</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A8CE5">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161</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2698C">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162</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2505C">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163</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1C974">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164</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09536">
    <w:pPr>
      <w:spacing w:line="176" w:lineRule="auto"/>
      <w:ind w:left="4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165</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2869D">
    <w:pPr>
      <w:spacing w:line="176" w:lineRule="auto"/>
      <w:ind w:left="44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166</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3883A">
    <w:pPr>
      <w:spacing w:line="176" w:lineRule="auto"/>
      <w:ind w:left="44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39A64">
    <w:pPr>
      <w:spacing w:line="176" w:lineRule="auto"/>
      <w:ind w:left="447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E79F">
    <w:pPr>
      <w:spacing w:line="176" w:lineRule="auto"/>
      <w:ind w:left="44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168</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0B151">
    <w:pPr>
      <w:spacing w:line="176" w:lineRule="auto"/>
      <w:ind w:left="44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169</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2D0AC">
    <w:pPr>
      <w:spacing w:line="176" w:lineRule="auto"/>
      <w:ind w:left="44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170</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7BBA3">
    <w:pPr>
      <w:spacing w:line="176" w:lineRule="auto"/>
      <w:ind w:left="44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171</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C6413">
    <w:pPr>
      <w:spacing w:line="176" w:lineRule="auto"/>
      <w:ind w:left="44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172</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7ADCB">
    <w:pPr>
      <w:spacing w:line="177" w:lineRule="auto"/>
      <w:ind w:left="4416"/>
      <w:rPr>
        <w:rFonts w:ascii="等线" w:hAnsi="等线" w:eastAsia="等线" w:cs="等线"/>
        <w:sz w:val="18"/>
        <w:szCs w:val="18"/>
      </w:rPr>
    </w:pPr>
    <w:r>
      <w:rPr>
        <w:rFonts w:ascii="等线" w:hAnsi="等线" w:eastAsia="等线" w:cs="等线"/>
        <w:spacing w:val="-4"/>
        <w:sz w:val="18"/>
        <w:szCs w:val="18"/>
      </w:rPr>
      <w:t>173</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E3FBF">
    <w:pPr>
      <w:spacing w:line="14" w:lineRule="auto"/>
      <w:rPr>
        <w:rFonts w:ascii="Arial"/>
        <w:sz w:val="2"/>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81745">
    <w:pPr>
      <w:spacing w:line="175" w:lineRule="auto"/>
      <w:ind w:left="4134"/>
      <w:rPr>
        <w:rFonts w:ascii="等线" w:hAnsi="等线" w:eastAsia="等线" w:cs="等线"/>
        <w:sz w:val="18"/>
        <w:szCs w:val="18"/>
      </w:rPr>
    </w:pPr>
    <w:r>
      <w:rPr>
        <w:rFonts w:ascii="等线" w:hAnsi="等线" w:eastAsia="等线" w:cs="等线"/>
        <w:sz w:val="18"/>
        <w:szCs w:val="18"/>
      </w:rPr>
      <w:t>1</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3C9E0">
    <w:pPr>
      <w:spacing w:line="177" w:lineRule="auto"/>
      <w:ind w:left="4130"/>
      <w:rPr>
        <w:rFonts w:ascii="等线" w:hAnsi="等线" w:eastAsia="等线" w:cs="等线"/>
        <w:sz w:val="18"/>
        <w:szCs w:val="18"/>
      </w:rPr>
    </w:pPr>
    <w:r>
      <w:rPr>
        <w:rFonts w:ascii="等线" w:hAnsi="等线" w:eastAsia="等线" w:cs="等线"/>
        <w:sz w:val="18"/>
        <w:szCs w:val="18"/>
      </w:rPr>
      <w:t>2</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1CAB7">
    <w:pPr>
      <w:spacing w:line="177" w:lineRule="auto"/>
      <w:ind w:left="4226"/>
      <w:rPr>
        <w:rFonts w:ascii="等线" w:hAnsi="等线" w:eastAsia="等线" w:cs="等线"/>
        <w:sz w:val="18"/>
        <w:szCs w:val="18"/>
      </w:rPr>
    </w:pPr>
    <w:r>
      <w:rPr>
        <w:rFonts w:ascii="等线" w:hAnsi="等线" w:eastAsia="等线" w:cs="等线"/>
        <w:sz w:val="18"/>
        <w:szCs w:val="18"/>
      </w:rPr>
      <w:t>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871A6">
    <w:pPr>
      <w:spacing w:line="176" w:lineRule="auto"/>
      <w:ind w:left="447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5D6C8">
    <w:pPr>
      <w:spacing w:line="175" w:lineRule="auto"/>
      <w:ind w:left="4223"/>
      <w:rPr>
        <w:rFonts w:ascii="等线" w:hAnsi="等线" w:eastAsia="等线" w:cs="等线"/>
        <w:sz w:val="18"/>
        <w:szCs w:val="18"/>
      </w:rPr>
    </w:pPr>
    <w:r>
      <w:rPr>
        <w:rFonts w:ascii="等线" w:hAnsi="等线" w:eastAsia="等线" w:cs="等线"/>
        <w:sz w:val="18"/>
        <w:szCs w:val="18"/>
      </w:rPr>
      <w:t>4</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2450B">
    <w:pPr>
      <w:spacing w:line="175" w:lineRule="auto"/>
      <w:ind w:left="4295"/>
      <w:rPr>
        <w:rFonts w:ascii="等线" w:hAnsi="等线" w:eastAsia="等线" w:cs="等线"/>
        <w:sz w:val="18"/>
        <w:szCs w:val="18"/>
      </w:rPr>
    </w:pPr>
    <w:r>
      <w:rPr>
        <w:rFonts w:ascii="等线" w:hAnsi="等线" w:eastAsia="等线" w:cs="等线"/>
        <w:sz w:val="18"/>
        <w:szCs w:val="18"/>
      </w:rPr>
      <w:t>5</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29395">
    <w:pPr>
      <w:spacing w:line="177" w:lineRule="auto"/>
      <w:ind w:left="4228"/>
      <w:rPr>
        <w:rFonts w:ascii="等线" w:hAnsi="等线" w:eastAsia="等线" w:cs="等线"/>
        <w:sz w:val="18"/>
        <w:szCs w:val="18"/>
      </w:rPr>
    </w:pPr>
    <w:r>
      <w:rPr>
        <w:rFonts w:ascii="等线" w:hAnsi="等线" w:eastAsia="等线" w:cs="等线"/>
        <w:sz w:val="18"/>
        <w:szCs w:val="18"/>
      </w:rPr>
      <w:t>6</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27816">
    <w:pPr>
      <w:spacing w:line="175" w:lineRule="auto"/>
      <w:ind w:left="4129"/>
      <w:rPr>
        <w:rFonts w:ascii="等线" w:hAnsi="等线" w:eastAsia="等线" w:cs="等线"/>
        <w:sz w:val="18"/>
        <w:szCs w:val="18"/>
      </w:rPr>
    </w:pPr>
    <w:r>
      <w:rPr>
        <w:rFonts w:ascii="等线" w:hAnsi="等线" w:eastAsia="等线" w:cs="等线"/>
        <w:sz w:val="18"/>
        <w:szCs w:val="18"/>
      </w:rPr>
      <w:t>7</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32ED0">
    <w:pPr>
      <w:spacing w:line="177" w:lineRule="auto"/>
      <w:ind w:left="4227"/>
      <w:rPr>
        <w:rFonts w:ascii="等线" w:hAnsi="等线" w:eastAsia="等线" w:cs="等线"/>
        <w:sz w:val="18"/>
        <w:szCs w:val="18"/>
      </w:rPr>
    </w:pPr>
    <w:r>
      <w:rPr>
        <w:rFonts w:ascii="等线" w:hAnsi="等线" w:eastAsia="等线" w:cs="等线"/>
        <w:sz w:val="18"/>
        <w:szCs w:val="18"/>
      </w:rPr>
      <w:t>8</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23BB0">
    <w:pPr>
      <w:spacing w:line="177" w:lineRule="auto"/>
      <w:ind w:left="4224"/>
      <w:rPr>
        <w:rFonts w:ascii="等线" w:hAnsi="等线" w:eastAsia="等线" w:cs="等线"/>
        <w:sz w:val="18"/>
        <w:szCs w:val="18"/>
      </w:rPr>
    </w:pPr>
    <w:r>
      <w:rPr>
        <w:rFonts w:ascii="等线" w:hAnsi="等线" w:eastAsia="等线" w:cs="等线"/>
        <w:sz w:val="18"/>
        <w:szCs w:val="18"/>
      </w:rPr>
      <w:t>9</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B03B2">
    <w:pPr>
      <w:spacing w:line="177" w:lineRule="auto"/>
      <w:ind w:left="4181"/>
      <w:rPr>
        <w:rFonts w:ascii="等线" w:hAnsi="等线" w:eastAsia="等线" w:cs="等线"/>
        <w:sz w:val="18"/>
        <w:szCs w:val="18"/>
      </w:rPr>
    </w:pPr>
    <w:r>
      <w:rPr>
        <w:rFonts w:ascii="等线" w:hAnsi="等线" w:eastAsia="等线" w:cs="等线"/>
        <w:spacing w:val="-7"/>
        <w:sz w:val="18"/>
        <w:szCs w:val="18"/>
      </w:rPr>
      <w:t>10</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B361F">
    <w:pPr>
      <w:spacing w:line="175" w:lineRule="auto"/>
      <w:ind w:left="4181"/>
      <w:rPr>
        <w:rFonts w:ascii="等线" w:hAnsi="等线" w:eastAsia="等线" w:cs="等线"/>
        <w:sz w:val="18"/>
        <w:szCs w:val="18"/>
      </w:rPr>
    </w:pPr>
    <w:r>
      <w:rPr>
        <w:rFonts w:ascii="等线" w:hAnsi="等线" w:eastAsia="等线" w:cs="等线"/>
        <w:spacing w:val="-7"/>
        <w:sz w:val="18"/>
        <w:szCs w:val="18"/>
      </w:rPr>
      <w:t>11</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75A9">
    <w:pPr>
      <w:spacing w:line="177" w:lineRule="auto"/>
      <w:ind w:left="4181"/>
      <w:rPr>
        <w:rFonts w:ascii="等线" w:hAnsi="等线" w:eastAsia="等线" w:cs="等线"/>
        <w:sz w:val="18"/>
        <w:szCs w:val="18"/>
      </w:rPr>
    </w:pPr>
    <w:r>
      <w:rPr>
        <w:rFonts w:ascii="等线" w:hAnsi="等线" w:eastAsia="等线" w:cs="等线"/>
        <w:spacing w:val="-7"/>
        <w:sz w:val="18"/>
        <w:szCs w:val="18"/>
      </w:rPr>
      <w:t>12</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D4B8C">
    <w:pPr>
      <w:spacing w:line="177" w:lineRule="auto"/>
      <w:ind w:left="4086"/>
      <w:rPr>
        <w:rFonts w:ascii="等线" w:hAnsi="等线" w:eastAsia="等线" w:cs="等线"/>
        <w:sz w:val="18"/>
        <w:szCs w:val="18"/>
      </w:rPr>
    </w:pPr>
    <w:r>
      <w:rPr>
        <w:rFonts w:ascii="等线" w:hAnsi="等线" w:eastAsia="等线" w:cs="等线"/>
        <w:spacing w:val="-7"/>
        <w:sz w:val="18"/>
        <w:szCs w:val="18"/>
      </w:rPr>
      <w:t>13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F22FD">
    <w:pPr>
      <w:spacing w:line="176" w:lineRule="auto"/>
      <w:ind w:left="447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D74A5">
    <w:pPr>
      <w:spacing w:line="175" w:lineRule="auto"/>
      <w:ind w:left="4086"/>
      <w:rPr>
        <w:rFonts w:ascii="等线" w:hAnsi="等线" w:eastAsia="等线" w:cs="等线"/>
        <w:sz w:val="18"/>
        <w:szCs w:val="18"/>
      </w:rPr>
    </w:pPr>
    <w:r>
      <w:rPr>
        <w:rFonts w:ascii="等线" w:hAnsi="等线" w:eastAsia="等线" w:cs="等线"/>
        <w:spacing w:val="-7"/>
        <w:sz w:val="18"/>
        <w:szCs w:val="18"/>
      </w:rPr>
      <w:t>14</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8EFAF">
    <w:pPr>
      <w:spacing w:line="175" w:lineRule="auto"/>
      <w:ind w:left="4180"/>
      <w:rPr>
        <w:rFonts w:ascii="等线" w:hAnsi="等线" w:eastAsia="等线" w:cs="等线"/>
        <w:sz w:val="18"/>
        <w:szCs w:val="18"/>
      </w:rPr>
    </w:pPr>
    <w:r>
      <w:rPr>
        <w:rFonts w:ascii="等线" w:hAnsi="等线" w:eastAsia="等线" w:cs="等线"/>
        <w:spacing w:val="-7"/>
        <w:sz w:val="18"/>
        <w:szCs w:val="18"/>
      </w:rPr>
      <w:t>15</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2CE3A">
    <w:pPr>
      <w:spacing w:line="177" w:lineRule="auto"/>
      <w:ind w:left="4337"/>
      <w:rPr>
        <w:rFonts w:ascii="等线" w:hAnsi="等线" w:eastAsia="等线" w:cs="等线"/>
        <w:sz w:val="18"/>
        <w:szCs w:val="18"/>
      </w:rPr>
    </w:pPr>
    <w:r>
      <w:rPr>
        <w:rFonts w:ascii="等线" w:hAnsi="等线" w:eastAsia="等线" w:cs="等线"/>
        <w:spacing w:val="-7"/>
        <w:sz w:val="18"/>
        <w:szCs w:val="18"/>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F9E20">
    <w:pPr>
      <w:spacing w:line="269" w:lineRule="exact"/>
      <w:ind w:left="4139"/>
      <w:rPr>
        <w:rFonts w:ascii="等线" w:hAnsi="等线" w:eastAsia="等线" w:cs="等线"/>
        <w:sz w:val="18"/>
        <w:szCs w:val="18"/>
      </w:rPr>
    </w:pPr>
    <w:r>
      <w:rPr>
        <w:rFonts w:ascii="等线" w:hAnsi="等线" w:eastAsia="等线" w:cs="等线"/>
        <w:spacing w:val="-8"/>
        <w:position w:val="3"/>
        <w:sz w:val="18"/>
        <w:szCs w:val="18"/>
      </w:rP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E9E55">
    <w:pPr>
      <w:spacing w:line="176" w:lineRule="auto"/>
      <w:ind w:left="447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16A30">
    <w:pPr>
      <w:spacing w:line="176" w:lineRule="auto"/>
      <w:ind w:left="447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F14E8">
    <w:pPr>
      <w:spacing w:line="176" w:lineRule="auto"/>
      <w:ind w:left="4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A84E0">
    <w:pPr>
      <w:spacing w:line="176" w:lineRule="auto"/>
      <w:ind w:left="4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0BCE6">
    <w:pPr>
      <w:spacing w:line="176" w:lineRule="auto"/>
      <w:ind w:left="4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CA9B9">
    <w:pPr>
      <w:spacing w:line="176" w:lineRule="auto"/>
      <w:ind w:left="4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AF285">
    <w:pPr>
      <w:spacing w:line="176" w:lineRule="auto"/>
      <w:ind w:left="4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EC714">
    <w:pPr>
      <w:spacing w:line="176" w:lineRule="auto"/>
      <w:ind w:left="4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DFEFC">
    <w:pPr>
      <w:spacing w:line="176" w:lineRule="auto"/>
      <w:ind w:left="4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4CAFA">
    <w:pPr>
      <w:spacing w:line="176" w:lineRule="auto"/>
      <w:ind w:left="4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AD3FF">
    <w:pPr>
      <w:spacing w:line="176" w:lineRule="auto"/>
      <w:ind w:left="434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C8373">
    <w:pPr>
      <w:spacing w:line="176" w:lineRule="auto"/>
      <w:ind w:left="4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1E046">
    <w:pPr>
      <w:spacing w:line="176" w:lineRule="auto"/>
      <w:ind w:left="44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E9C78">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7C11D">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19C7B">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B2F82">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14302">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0F8E7">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AD60E">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6B927">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16C0B">
    <w:pPr>
      <w:spacing w:line="176" w:lineRule="auto"/>
      <w:ind w:left="432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65D35">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054C9">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0742D">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19D7B">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D498C">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1F24E">
    <w:pPr>
      <w:spacing w:line="176" w:lineRule="auto"/>
      <w:ind w:left="44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DDF1A">
    <w:pPr>
      <w:spacing w:line="176" w:lineRule="auto"/>
      <w:ind w:left="44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FB798">
    <w:pPr>
      <w:spacing w:line="176" w:lineRule="auto"/>
      <w:ind w:left="44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1A3F">
    <w:pPr>
      <w:spacing w:line="176" w:lineRule="auto"/>
      <w:ind w:left="44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09615">
    <w:pPr>
      <w:spacing w:line="176" w:lineRule="auto"/>
      <w:ind w:left="44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9DF50">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A7591">
    <w:pPr>
      <w:spacing w:line="176" w:lineRule="auto"/>
      <w:ind w:left="44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83028">
    <w:pPr>
      <w:spacing w:line="176" w:lineRule="auto"/>
      <w:ind w:left="444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9C58F">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45259">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F7FE6">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2D44D">
    <w:pPr>
      <w:spacing w:line="176" w:lineRule="auto"/>
      <w:ind w:left="44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3CF6E">
    <w:pPr>
      <w:spacing w:line="176" w:lineRule="auto"/>
      <w:ind w:left="44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4D0B6">
    <w:pPr>
      <w:spacing w:line="173" w:lineRule="auto"/>
      <w:ind w:left="44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D478B">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6962C">
    <w:pPr>
      <w:spacing w:line="173"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5545F">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B04BD">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47531">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1C5D8">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F7658">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F5F29">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0A15D">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97136">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9A952">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48284">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7A706">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95146">
    <w:pPr>
      <w:spacing w:line="173" w:lineRule="auto"/>
      <w:ind w:left="445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74E7">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F3B30">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EA7B2">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E08A3">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B9CD9">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FD95B">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475A5">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84322">
    <w:pPr>
      <w:spacing w:line="173"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CDA6B">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3DAED">
    <w:pPr>
      <w:spacing w:line="173"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70E0B">
    <w:pPr>
      <w:spacing w:line="176" w:lineRule="auto"/>
      <w:ind w:left="445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9ADD4">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8E4C5">
    <w:pPr>
      <w:spacing w:line="176" w:lineRule="auto"/>
      <w:ind w:left="445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0B0A3">
    <w:pPr>
      <w:spacing w:line="176" w:lineRule="auto"/>
      <w:ind w:left="445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6F526">
    <w:pPr>
      <w:spacing w:line="176" w:lineRule="auto"/>
      <w:ind w:left="445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CBDC5">
    <w:pPr>
      <w:spacing w:line="176" w:lineRule="auto"/>
      <w:ind w:left="445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6099F">
    <w:pPr>
      <w:spacing w:line="176" w:lineRule="auto"/>
      <w:ind w:left="445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15E3D">
    <w:pPr>
      <w:spacing w:line="176" w:lineRule="auto"/>
      <w:ind w:left="445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FBC99">
    <w:pPr>
      <w:spacing w:line="176" w:lineRule="auto"/>
      <w:ind w:left="445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6D565">
    <w:pPr>
      <w:spacing w:line="176" w:lineRule="auto"/>
      <w:ind w:left="445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EE0D1">
    <w:pPr>
      <w:spacing w:line="176" w:lineRule="auto"/>
      <w:ind w:left="445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4B72">
    <w:pPr>
      <w:spacing w:line="173" w:lineRule="auto"/>
      <w:ind w:left="445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09201">
    <w:pPr>
      <w:spacing w:line="176" w:lineRule="auto"/>
      <w:ind w:left="445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50D2A">
    <w:pPr>
      <w:spacing w:line="176" w:lineRule="auto"/>
      <w:ind w:left="445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89</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CD315">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B0E0C">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4CBB7">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713CC">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E2897">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EC646">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27F43">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1DB5D">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DEyMWI5MTUzMWI3YWI3NzBiZTMyYzQ0M2MxYzYyMjMifQ=="/>
  </w:docVars>
  <w:rsids>
    <w:rsidRoot w:val="00000000"/>
    <w:rsid w:val="01FA3EA4"/>
    <w:rsid w:val="0B304E29"/>
    <w:rsid w:val="53903D5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7" Type="http://schemas.openxmlformats.org/officeDocument/2006/relationships/fontTable" Target="fontTable.xml"/><Relationship Id="rId236" Type="http://schemas.openxmlformats.org/officeDocument/2006/relationships/customXml" Target="../customXml/item1.xml"/><Relationship Id="rId235" Type="http://schemas.openxmlformats.org/officeDocument/2006/relationships/image" Target="media/image38.jpeg"/><Relationship Id="rId234" Type="http://schemas.openxmlformats.org/officeDocument/2006/relationships/image" Target="media/image37.jpeg"/><Relationship Id="rId233" Type="http://schemas.openxmlformats.org/officeDocument/2006/relationships/image" Target="media/image36.jpeg"/><Relationship Id="rId232" Type="http://schemas.openxmlformats.org/officeDocument/2006/relationships/image" Target="media/image35.png"/><Relationship Id="rId231" Type="http://schemas.openxmlformats.org/officeDocument/2006/relationships/image" Target="media/image34.jpeg"/><Relationship Id="rId230" Type="http://schemas.openxmlformats.org/officeDocument/2006/relationships/image" Target="media/image33.jpeg"/><Relationship Id="rId23" Type="http://schemas.openxmlformats.org/officeDocument/2006/relationships/footer" Target="footer19.xml"/><Relationship Id="rId229" Type="http://schemas.openxmlformats.org/officeDocument/2006/relationships/image" Target="media/image32.png"/><Relationship Id="rId228" Type="http://schemas.openxmlformats.org/officeDocument/2006/relationships/image" Target="media/image31.png"/><Relationship Id="rId227" Type="http://schemas.openxmlformats.org/officeDocument/2006/relationships/image" Target="media/image30.png"/><Relationship Id="rId226" Type="http://schemas.openxmlformats.org/officeDocument/2006/relationships/image" Target="media/image29.png"/><Relationship Id="rId225" Type="http://schemas.openxmlformats.org/officeDocument/2006/relationships/image" Target="media/image28.png"/><Relationship Id="rId224" Type="http://schemas.openxmlformats.org/officeDocument/2006/relationships/image" Target="media/image27.png"/><Relationship Id="rId223" Type="http://schemas.openxmlformats.org/officeDocument/2006/relationships/image" Target="media/image26.png"/><Relationship Id="rId222" Type="http://schemas.openxmlformats.org/officeDocument/2006/relationships/image" Target="media/image25.png"/><Relationship Id="rId221" Type="http://schemas.openxmlformats.org/officeDocument/2006/relationships/image" Target="media/image24.jpeg"/><Relationship Id="rId220" Type="http://schemas.openxmlformats.org/officeDocument/2006/relationships/image" Target="media/image23.jpeg"/><Relationship Id="rId22" Type="http://schemas.openxmlformats.org/officeDocument/2006/relationships/footer" Target="footer18.xml"/><Relationship Id="rId219" Type="http://schemas.openxmlformats.org/officeDocument/2006/relationships/image" Target="media/image22.jpeg"/><Relationship Id="rId218" Type="http://schemas.openxmlformats.org/officeDocument/2006/relationships/image" Target="media/image21.jpeg"/><Relationship Id="rId217" Type="http://schemas.openxmlformats.org/officeDocument/2006/relationships/image" Target="media/image20.jpeg"/><Relationship Id="rId216" Type="http://schemas.openxmlformats.org/officeDocument/2006/relationships/image" Target="media/image19.jpeg"/><Relationship Id="rId215" Type="http://schemas.openxmlformats.org/officeDocument/2006/relationships/image" Target="media/image18.jpeg"/><Relationship Id="rId214" Type="http://schemas.openxmlformats.org/officeDocument/2006/relationships/image" Target="media/image17.jpeg"/><Relationship Id="rId213" Type="http://schemas.openxmlformats.org/officeDocument/2006/relationships/image" Target="media/image16.jpeg"/><Relationship Id="rId212" Type="http://schemas.openxmlformats.org/officeDocument/2006/relationships/image" Target="media/image15.jpeg"/><Relationship Id="rId211" Type="http://schemas.openxmlformats.org/officeDocument/2006/relationships/image" Target="media/image14.jpeg"/><Relationship Id="rId210" Type="http://schemas.openxmlformats.org/officeDocument/2006/relationships/image" Target="media/image13.png"/><Relationship Id="rId21" Type="http://schemas.openxmlformats.org/officeDocument/2006/relationships/footer" Target="footer17.xml"/><Relationship Id="rId209" Type="http://schemas.openxmlformats.org/officeDocument/2006/relationships/image" Target="media/image12.png"/><Relationship Id="rId208" Type="http://schemas.openxmlformats.org/officeDocument/2006/relationships/image" Target="media/image11.png"/><Relationship Id="rId207" Type="http://schemas.openxmlformats.org/officeDocument/2006/relationships/image" Target="media/image10.png"/><Relationship Id="rId206" Type="http://schemas.openxmlformats.org/officeDocument/2006/relationships/image" Target="media/image9.png"/><Relationship Id="rId205" Type="http://schemas.openxmlformats.org/officeDocument/2006/relationships/image" Target="media/image8.png"/><Relationship Id="rId204" Type="http://schemas.openxmlformats.org/officeDocument/2006/relationships/image" Target="media/image7.png"/><Relationship Id="rId203" Type="http://schemas.openxmlformats.org/officeDocument/2006/relationships/image" Target="media/image6.png"/><Relationship Id="rId202" Type="http://schemas.openxmlformats.org/officeDocument/2006/relationships/image" Target="media/image5.png"/><Relationship Id="rId201" Type="http://schemas.openxmlformats.org/officeDocument/2006/relationships/image" Target="media/image4.png"/><Relationship Id="rId200" Type="http://schemas.openxmlformats.org/officeDocument/2006/relationships/image" Target="media/image3.pn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2.png"/><Relationship Id="rId198" Type="http://schemas.openxmlformats.org/officeDocument/2006/relationships/image" Target="media/image1.png"/><Relationship Id="rId197" Type="http://schemas.openxmlformats.org/officeDocument/2006/relationships/theme" Target="theme/theme1.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193</Pages>
  <Words>8109</Words>
  <Characters>8818</Characters>
  <TotalTime>2</TotalTime>
  <ScaleCrop>false</ScaleCrop>
  <LinksUpToDate>false</LinksUpToDate>
  <CharactersWithSpaces>9601</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2025-03-13T12:54:00Z</dcterms:created>
  <dc:creator>H</dc:creator>
  <cp:lastModifiedBy>学而知之</cp:lastModifiedBy>
  <dcterms:modified xsi:type="dcterms:W3CDTF">2026-01-09T03:15:28Z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2025-04-09T19:57:37Z</vt:filetime>
  </property>
  <property fmtid="{D5CDD505-2E9C-101B-9397-08002B2CF9AE}" pid="4" name="KSOProductBuildVer">
    <vt:lpwstr>2052-12.1.0.24034</vt:lpwstr>
  </property>
  <property fmtid="{D5CDD505-2E9C-101B-9397-08002B2CF9AE}" pid="5" name="ICV">
    <vt:lpwstr>3A1B1846AB6347A2B2CB0A9FA6482385_13</vt:lpwstr>
  </property>
  <property fmtid="{D5CDD505-2E9C-101B-9397-08002B2CF9AE}" pid="6" name="KSOTemplateDocerSaveRecord">
    <vt:lpwstr>eyJoZGlkIjoiNDlhYTc5NDc4NDUxMTc0YzljM2FkNzNkNjQyOGQ0Y2EiLCJ1c2VySWQiOiIxOTk2MjU0OTkifQ==</vt:lpwstr>
  </property>
</Properties>
</file>